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17B05" w14:textId="77777777" w:rsidR="00773DE6" w:rsidRPr="00730DE4" w:rsidRDefault="00E72B65" w:rsidP="00A074ED">
      <w:pPr>
        <w:rPr>
          <w:rStyle w:val="BookTitle"/>
          <w:b w:val="0"/>
          <w:bCs w:val="0"/>
          <w:sz w:val="36"/>
          <w:szCs w:val="36"/>
        </w:rPr>
        <w:sectPr w:rsidR="00773DE6" w:rsidRPr="00730DE4" w:rsidSect="00773DE6">
          <w:footerReference w:type="default" r:id="rId7"/>
          <w:pgSz w:w="11906" w:h="16838" w:code="9"/>
          <w:pgMar w:top="5812" w:right="1418" w:bottom="1418" w:left="1418" w:header="454" w:footer="454" w:gutter="0"/>
          <w:pgNumType w:start="0"/>
          <w:cols w:space="708"/>
          <w:docGrid w:linePitch="360"/>
        </w:sectPr>
      </w:pPr>
      <w:r w:rsidRPr="00730DE4">
        <w:rPr>
          <w:rFonts w:asciiTheme="majorHAnsi" w:hAnsiTheme="majorHAnsi"/>
          <w:b/>
          <w:bCs/>
          <w:noProof/>
          <w:spacing w:val="10"/>
          <w:sz w:val="110"/>
          <w:szCs w:val="110"/>
        </w:rPr>
        <w:drawing>
          <wp:anchor distT="0" distB="0" distL="114300" distR="114300" simplePos="0" relativeHeight="251658240" behindDoc="1" locked="0" layoutInCell="1" allowOverlap="1" wp14:anchorId="76FD7052" wp14:editId="42660CCD">
            <wp:simplePos x="0" y="0"/>
            <wp:positionH relativeFrom="column">
              <wp:posOffset>-920750</wp:posOffset>
            </wp:positionH>
            <wp:positionV relativeFrom="paragraph">
              <wp:posOffset>-3732318</wp:posOffset>
            </wp:positionV>
            <wp:extent cx="7603772" cy="10755886"/>
            <wp:effectExtent l="0" t="0" r="0" b="7620"/>
            <wp:wrapNone/>
            <wp:docPr id="6836405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64054"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03772" cy="10755886"/>
                    </a:xfrm>
                    <a:prstGeom prst="rect">
                      <a:avLst/>
                    </a:prstGeom>
                  </pic:spPr>
                </pic:pic>
              </a:graphicData>
            </a:graphic>
            <wp14:sizeRelH relativeFrom="margin">
              <wp14:pctWidth>0</wp14:pctWidth>
            </wp14:sizeRelH>
            <wp14:sizeRelV relativeFrom="margin">
              <wp14:pctHeight>0</wp14:pctHeight>
            </wp14:sizeRelV>
          </wp:anchor>
        </w:drawing>
      </w:r>
      <w:r w:rsidR="00A074ED" w:rsidRPr="00730DE4">
        <w:rPr>
          <w:rStyle w:val="BookTitle"/>
          <w:sz w:val="110"/>
          <w:szCs w:val="110"/>
        </w:rPr>
        <w:t xml:space="preserve">Annual </w:t>
      </w:r>
      <w:r w:rsidR="00A074ED" w:rsidRPr="00730DE4">
        <w:rPr>
          <w:rStyle w:val="BookTitle"/>
          <w:sz w:val="110"/>
          <w:szCs w:val="110"/>
        </w:rPr>
        <w:br/>
        <w:t xml:space="preserve">Report </w:t>
      </w:r>
      <w:r w:rsidR="00A074ED" w:rsidRPr="00730DE4">
        <w:rPr>
          <w:rStyle w:val="BookTitle"/>
          <w:sz w:val="110"/>
          <w:szCs w:val="110"/>
        </w:rPr>
        <w:br/>
      </w:r>
      <w:r w:rsidR="00A074ED" w:rsidRPr="00730DE4">
        <w:rPr>
          <w:rStyle w:val="BookTitle"/>
        </w:rPr>
        <w:t xml:space="preserve">2023–2024 </w:t>
      </w:r>
      <w:r w:rsidR="00A074ED" w:rsidRPr="00730DE4">
        <w:rPr>
          <w:rStyle w:val="BookTitle"/>
        </w:rPr>
        <w:br/>
      </w:r>
      <w:r w:rsidR="00A074ED" w:rsidRPr="00730DE4">
        <w:rPr>
          <w:rStyle w:val="BookTitle"/>
        </w:rPr>
        <w:br/>
      </w:r>
      <w:r w:rsidR="00A074ED" w:rsidRPr="00730DE4">
        <w:rPr>
          <w:rStyle w:val="BookTitle"/>
          <w:b w:val="0"/>
          <w:bCs w:val="0"/>
          <w:sz w:val="36"/>
          <w:szCs w:val="36"/>
        </w:rPr>
        <w:t>Department of Transport and Main Roads</w:t>
      </w:r>
    </w:p>
    <w:p w14:paraId="0522E311" w14:textId="4002F003" w:rsidR="002023A3" w:rsidRPr="00730DE4" w:rsidRDefault="002023A3" w:rsidP="002023A3">
      <w:r w:rsidRPr="00730DE4">
        <w:rPr>
          <w:rStyle w:val="Strong"/>
        </w:rPr>
        <w:lastRenderedPageBreak/>
        <w:t xml:space="preserve">Copyright </w:t>
      </w:r>
      <w:r w:rsidR="00557A78" w:rsidRPr="00730DE4">
        <w:rPr>
          <w:rStyle w:val="Strong"/>
        </w:rPr>
        <w:br/>
      </w:r>
      <w:r w:rsidRPr="00730DE4">
        <w:t xml:space="preserve">This publication is protected by the </w:t>
      </w:r>
      <w:r w:rsidRPr="00730DE4">
        <w:rPr>
          <w:rStyle w:val="Emphasis"/>
        </w:rPr>
        <w:t>Copyright Act 1968</w:t>
      </w:r>
      <w:r w:rsidRPr="00730DE4">
        <w:t xml:space="preserve">. © State of Queensland (Department of Transport and Main Roads), 2024 Compiled and published by the Queensland Department of Transport and Main Roads. </w:t>
      </w:r>
    </w:p>
    <w:p w14:paraId="573C1669" w14:textId="237AD279" w:rsidR="002023A3" w:rsidRPr="00730DE4" w:rsidRDefault="002023A3" w:rsidP="002023A3">
      <w:r w:rsidRPr="00730DE4">
        <w:rPr>
          <w:rStyle w:val="Strong"/>
        </w:rPr>
        <w:t xml:space="preserve">Licence </w:t>
      </w:r>
      <w:r w:rsidR="00557A78" w:rsidRPr="00730DE4">
        <w:rPr>
          <w:rStyle w:val="Strong"/>
        </w:rPr>
        <w:br/>
      </w:r>
      <w:r w:rsidRPr="00730DE4">
        <w:t xml:space="preserve">The material in this work is licensed by the Department of Transport and Main Roads under a Creative Commons Attribution 4.0 International licence (CC BY 4.0), with the exception of: </w:t>
      </w:r>
    </w:p>
    <w:p w14:paraId="3734AC1C" w14:textId="6C1E68DD" w:rsidR="002023A3" w:rsidRPr="00730DE4" w:rsidRDefault="002023A3" w:rsidP="002023A3">
      <w:pPr>
        <w:pStyle w:val="ListBullet"/>
      </w:pPr>
      <w:r w:rsidRPr="00730DE4">
        <w:t xml:space="preserve">the Queensland Coat of Arms </w:t>
      </w:r>
    </w:p>
    <w:p w14:paraId="7ABB9293" w14:textId="3EF9BDD1" w:rsidR="002023A3" w:rsidRPr="00730DE4" w:rsidRDefault="002023A3" w:rsidP="002023A3">
      <w:pPr>
        <w:pStyle w:val="ListBullet"/>
      </w:pPr>
      <w:r w:rsidRPr="00730DE4">
        <w:t xml:space="preserve">this department’s logo </w:t>
      </w:r>
    </w:p>
    <w:p w14:paraId="08F2FA88" w14:textId="5DF9D797" w:rsidR="002023A3" w:rsidRPr="00730DE4" w:rsidRDefault="002023A3" w:rsidP="002023A3">
      <w:pPr>
        <w:pStyle w:val="ListBullet"/>
      </w:pPr>
      <w:r w:rsidRPr="00730DE4">
        <w:t xml:space="preserve">any third party material </w:t>
      </w:r>
    </w:p>
    <w:p w14:paraId="6C81E0E3" w14:textId="6272EF2B" w:rsidR="002023A3" w:rsidRPr="00730DE4" w:rsidRDefault="002023A3" w:rsidP="002023A3">
      <w:pPr>
        <w:pStyle w:val="ListBullet"/>
      </w:pPr>
      <w:r w:rsidRPr="00730DE4">
        <w:t xml:space="preserve">any material protected by a trademark, and </w:t>
      </w:r>
    </w:p>
    <w:p w14:paraId="4D9D481E" w14:textId="492C616C" w:rsidR="002023A3" w:rsidRPr="00730DE4" w:rsidRDefault="002023A3" w:rsidP="002023A3">
      <w:pPr>
        <w:pStyle w:val="ListBullet"/>
      </w:pPr>
      <w:r w:rsidRPr="00730DE4">
        <w:t xml:space="preserve">any images and/or photographs. </w:t>
      </w:r>
    </w:p>
    <w:p w14:paraId="25E49738" w14:textId="45CA229D" w:rsidR="002023A3" w:rsidRPr="00730DE4" w:rsidRDefault="002023A3" w:rsidP="002023A3">
      <w:r w:rsidRPr="00730DE4">
        <w:t xml:space="preserve">More information on the CC BY licence is set out as follows: </w:t>
      </w:r>
    </w:p>
    <w:p w14:paraId="4D89FD89" w14:textId="3CA4332F" w:rsidR="002023A3" w:rsidRPr="00730DE4" w:rsidRDefault="002023A3" w:rsidP="00AF0D67">
      <w:pPr>
        <w:pStyle w:val="ListBullet"/>
      </w:pPr>
      <w:r w:rsidRPr="00730DE4">
        <w:t>Creative Commons website</w:t>
      </w:r>
      <w:r w:rsidR="00E1135C" w:rsidRPr="00730DE4">
        <w:t>—</w:t>
      </w:r>
      <w:r w:rsidRPr="00730DE4">
        <w:t xml:space="preserve">https://www.creativecommons.org </w:t>
      </w:r>
    </w:p>
    <w:p w14:paraId="49111EF7" w14:textId="29ADB345" w:rsidR="00AF0D67" w:rsidRPr="00730DE4" w:rsidRDefault="002023A3" w:rsidP="00AF0D67">
      <w:pPr>
        <w:pStyle w:val="ListBullet"/>
      </w:pPr>
      <w:r w:rsidRPr="00730DE4">
        <w:t>Attribution 4.0 international (CC BY 4.0)</w:t>
      </w:r>
      <w:r w:rsidR="00E1135C" w:rsidRPr="00730DE4">
        <w:t>—</w:t>
      </w:r>
      <w:r w:rsidRPr="00730DE4">
        <w:t>https://www.creativecommons.org/licenses/by/4.0/</w:t>
      </w:r>
    </w:p>
    <w:p w14:paraId="47123601" w14:textId="64BADEC5" w:rsidR="00E83F8B" w:rsidRPr="00730DE4" w:rsidRDefault="00E83F8B" w:rsidP="00574277">
      <w:pPr>
        <w:rPr>
          <w:rStyle w:val="Strong"/>
        </w:rPr>
      </w:pPr>
      <w:r w:rsidRPr="00730DE4">
        <w:rPr>
          <w:rStyle w:val="Strong"/>
          <w:noProof/>
        </w:rPr>
        <w:drawing>
          <wp:inline distT="0" distB="0" distL="0" distR="0" wp14:anchorId="7001161D" wp14:editId="278DD13A">
            <wp:extent cx="1143000" cy="400050"/>
            <wp:effectExtent l="0" t="0" r="0" b="0"/>
            <wp:docPr id="1079376109"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376109" name="Graphic 1">
                      <a:extLst>
                        <a:ext uri="{C183D7F6-B498-43B3-948B-1728B52AA6E4}">
                          <adec:decorative xmlns:adec="http://schemas.microsoft.com/office/drawing/2017/decorative" val="1"/>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1143000" cy="400050"/>
                    </a:xfrm>
                    <a:prstGeom prst="rect">
                      <a:avLst/>
                    </a:prstGeom>
                  </pic:spPr>
                </pic:pic>
              </a:graphicData>
            </a:graphic>
          </wp:inline>
        </w:drawing>
      </w:r>
    </w:p>
    <w:p w14:paraId="51B0A540" w14:textId="5C731C51" w:rsidR="00574277" w:rsidRPr="00730DE4" w:rsidRDefault="00574277" w:rsidP="00574277">
      <w:r w:rsidRPr="00730DE4">
        <w:rPr>
          <w:rStyle w:val="Strong"/>
        </w:rPr>
        <w:t>CC BY Licence Summary Statement</w:t>
      </w:r>
      <w:r w:rsidR="00557A78" w:rsidRPr="00730DE4">
        <w:rPr>
          <w:rStyle w:val="Strong"/>
        </w:rPr>
        <w:br/>
      </w:r>
      <w:r w:rsidRPr="00730DE4">
        <w:t>In essence, you are free to copy, communicate and adapt this annual report, as long as you attribute the work to the State of Queensland (Department of Transport and Main Roads).</w:t>
      </w:r>
    </w:p>
    <w:p w14:paraId="424238FC" w14:textId="66589A1B" w:rsidR="002023A3" w:rsidRPr="00730DE4" w:rsidRDefault="002023A3" w:rsidP="002023A3">
      <w:r w:rsidRPr="00730DE4">
        <w:rPr>
          <w:rStyle w:val="Strong"/>
        </w:rPr>
        <w:t>Attribution</w:t>
      </w:r>
      <w:r w:rsidR="00557A78" w:rsidRPr="00730DE4">
        <w:rPr>
          <w:rStyle w:val="Strong"/>
        </w:rPr>
        <w:t xml:space="preserve"> </w:t>
      </w:r>
      <w:r w:rsidR="00557A78" w:rsidRPr="00730DE4">
        <w:rPr>
          <w:rStyle w:val="Strong"/>
        </w:rPr>
        <w:br/>
      </w:r>
      <w:r w:rsidRPr="00730DE4">
        <w:t>The CC BY 4.0 licence is a standard form licence agreement that allows you to copy and redistribute the material in any medium or format, as well as remix, transform, and build upon the material, on the condition that you provide a link to the licence, you indicate if changes were made, and you attribute the material as follows:</w:t>
      </w:r>
    </w:p>
    <w:p w14:paraId="0190FE9B" w14:textId="46E9A1F3" w:rsidR="002023A3" w:rsidRPr="00730DE4" w:rsidRDefault="002023A3" w:rsidP="002023A3">
      <w:r w:rsidRPr="00730DE4">
        <w:t xml:space="preserve">© The State of Queensland (Department of Transport and Main Roads), Annual Report 2023–24, 2024 is licensed under CC BY 4.0 </w:t>
      </w:r>
    </w:p>
    <w:p w14:paraId="45CDDB5E" w14:textId="35429348" w:rsidR="00AF0D67" w:rsidRPr="00730DE4" w:rsidRDefault="002023A3" w:rsidP="002023A3">
      <w:r w:rsidRPr="00730DE4">
        <w:t xml:space="preserve">Enquiries about the use of any material in this publication can be sent to the department at: </w:t>
      </w:r>
      <w:hyperlink r:id="rId11" w:history="1">
        <w:r w:rsidR="00AF0D67" w:rsidRPr="00730DE4">
          <w:rPr>
            <w:rStyle w:val="Hyperlink"/>
          </w:rPr>
          <w:t>copyright@tmr.gov.au</w:t>
        </w:r>
      </w:hyperlink>
    </w:p>
    <w:p w14:paraId="2588BB31" w14:textId="0982079E" w:rsidR="000A717C" w:rsidRDefault="002023A3" w:rsidP="000A717C">
      <w:r w:rsidRPr="00730DE4">
        <w:t>ISSN: 1837-2694</w:t>
      </w:r>
      <w:r w:rsidR="00557A78" w:rsidRPr="00730DE4">
        <w:br/>
      </w:r>
      <w:r w:rsidRPr="00730DE4">
        <w:t>ISSN: 1837-2708 (pdf)</w:t>
      </w:r>
      <w:bookmarkStart w:id="0" w:name="_Toc176507532"/>
      <w:bookmarkStart w:id="1" w:name="_Toc176763558"/>
      <w:r w:rsidR="000A717C">
        <w:br w:type="page"/>
      </w:r>
    </w:p>
    <w:p w14:paraId="38E4467D" w14:textId="50569B18" w:rsidR="00062047" w:rsidRPr="00730DE4" w:rsidRDefault="00062047" w:rsidP="002B7001">
      <w:pPr>
        <w:pStyle w:val="Heading2"/>
      </w:pPr>
      <w:bookmarkStart w:id="2" w:name="_Toc180490434"/>
      <w:bookmarkStart w:id="3" w:name="_Toc180491467"/>
      <w:r w:rsidRPr="00730DE4">
        <w:lastRenderedPageBreak/>
        <w:t>Letter of compliance</w:t>
      </w:r>
      <w:bookmarkEnd w:id="0"/>
      <w:bookmarkEnd w:id="1"/>
      <w:bookmarkEnd w:id="2"/>
      <w:bookmarkEnd w:id="3"/>
    </w:p>
    <w:p w14:paraId="2870FD8E" w14:textId="577B5029" w:rsidR="00062047" w:rsidRPr="00730DE4" w:rsidRDefault="00263125" w:rsidP="00062047">
      <w:r w:rsidRPr="00730DE4">
        <w:t>5</w:t>
      </w:r>
      <w:r w:rsidR="00062047" w:rsidRPr="00730DE4">
        <w:t xml:space="preserve"> September 2024</w:t>
      </w:r>
    </w:p>
    <w:p w14:paraId="1E047C71" w14:textId="11F77B7D" w:rsidR="00062047" w:rsidRPr="00730DE4" w:rsidRDefault="00062047" w:rsidP="00062047">
      <w:r w:rsidRPr="00730DE4">
        <w:t>The Honourable Bart Mellish MP</w:t>
      </w:r>
      <w:r w:rsidRPr="00730DE4">
        <w:br/>
        <w:t>Minister for Transport and Main Roads and Minister for Digital Services</w:t>
      </w:r>
      <w:r w:rsidRPr="00730DE4">
        <w:br/>
        <w:t>1 William Street, Brisbane, Queensland 4000</w:t>
      </w:r>
    </w:p>
    <w:p w14:paraId="2D26C5E8" w14:textId="77777777" w:rsidR="00062047" w:rsidRPr="00730DE4" w:rsidRDefault="00062047" w:rsidP="00062047">
      <w:r w:rsidRPr="00730DE4">
        <w:t>Dear Minister</w:t>
      </w:r>
    </w:p>
    <w:p w14:paraId="17974DC2" w14:textId="48C6221E" w:rsidR="00062047" w:rsidRPr="00730DE4" w:rsidRDefault="00062047" w:rsidP="00062047">
      <w:r w:rsidRPr="00730DE4">
        <w:t>I am pleased to submit for presentation to the Parliament, the Annual Report 2023–24 and financial statements for the Department of Transport and Main Roads.</w:t>
      </w:r>
    </w:p>
    <w:p w14:paraId="228EDB81" w14:textId="77777777" w:rsidR="00062047" w:rsidRPr="00730DE4" w:rsidRDefault="00062047" w:rsidP="00062047">
      <w:r w:rsidRPr="00730DE4">
        <w:t>I certify that this annual report complies with:</w:t>
      </w:r>
    </w:p>
    <w:p w14:paraId="34090CFC" w14:textId="77777777" w:rsidR="00062047" w:rsidRPr="00730DE4" w:rsidRDefault="00062047" w:rsidP="00062047">
      <w:pPr>
        <w:pStyle w:val="ListBullet"/>
      </w:pPr>
      <w:r w:rsidRPr="00730DE4">
        <w:t xml:space="preserve">the prescribed requirements of the </w:t>
      </w:r>
      <w:r w:rsidRPr="00730DE4">
        <w:rPr>
          <w:rStyle w:val="Emphasis"/>
        </w:rPr>
        <w:t>Financial Accountability Act 2009</w:t>
      </w:r>
      <w:r w:rsidRPr="00730DE4">
        <w:t xml:space="preserve"> and the </w:t>
      </w:r>
      <w:r w:rsidRPr="00730DE4">
        <w:rPr>
          <w:rStyle w:val="Emphasis"/>
        </w:rPr>
        <w:t>Financial and Performance Management Standard 2019</w:t>
      </w:r>
    </w:p>
    <w:p w14:paraId="5B92E77D" w14:textId="7DF3CEED" w:rsidR="00062047" w:rsidRPr="00730DE4" w:rsidRDefault="00062047" w:rsidP="00062047">
      <w:pPr>
        <w:pStyle w:val="ListBullet"/>
      </w:pPr>
      <w:r w:rsidRPr="00730DE4">
        <w:t xml:space="preserve">the detailed requirements set out in the </w:t>
      </w:r>
      <w:r w:rsidRPr="00730DE4">
        <w:rPr>
          <w:rStyle w:val="Emphasis"/>
        </w:rPr>
        <w:t>Annual Report requirements for Queensland Government agencies</w:t>
      </w:r>
      <w:r w:rsidRPr="00730DE4">
        <w:t>.</w:t>
      </w:r>
    </w:p>
    <w:p w14:paraId="4C04BCDA" w14:textId="491EDACC" w:rsidR="00062047" w:rsidRPr="00730DE4" w:rsidRDefault="00062047" w:rsidP="00062047">
      <w:r w:rsidRPr="00730DE4">
        <w:t xml:space="preserve">A checklist outlining the annual report requirements can be found on page </w:t>
      </w:r>
      <w:r w:rsidR="002E5F86" w:rsidRPr="00730DE4">
        <w:t>XXX</w:t>
      </w:r>
      <w:r w:rsidRPr="00730DE4">
        <w:t xml:space="preserve"> of this annual report.</w:t>
      </w:r>
    </w:p>
    <w:p w14:paraId="13D5CD44" w14:textId="6CCDC2F2" w:rsidR="00062047" w:rsidRPr="00730DE4" w:rsidRDefault="00062047" w:rsidP="00062047">
      <w:r w:rsidRPr="00730DE4">
        <w:t>Yours sincerely</w:t>
      </w:r>
    </w:p>
    <w:p w14:paraId="024230F0" w14:textId="5FE3EF06" w:rsidR="00062047" w:rsidRPr="00730DE4" w:rsidRDefault="00062047" w:rsidP="00062047">
      <w:pPr>
        <w:rPr>
          <w:rStyle w:val="Strong"/>
        </w:rPr>
      </w:pPr>
      <w:r w:rsidRPr="00730DE4">
        <w:t>Sally Stannard</w:t>
      </w:r>
      <w:r w:rsidR="002E5F86" w:rsidRPr="00730DE4">
        <w:br/>
      </w:r>
      <w:r w:rsidRPr="00730DE4">
        <w:rPr>
          <w:rStyle w:val="Strong"/>
        </w:rPr>
        <w:t>Director-General</w:t>
      </w:r>
      <w:r w:rsidR="002E5F86" w:rsidRPr="00730DE4">
        <w:rPr>
          <w:rStyle w:val="Strong"/>
        </w:rPr>
        <w:br/>
      </w:r>
      <w:r w:rsidRPr="00730DE4">
        <w:rPr>
          <w:rStyle w:val="Strong"/>
        </w:rPr>
        <w:t>Department of Transport and Main Roads</w:t>
      </w:r>
    </w:p>
    <w:p w14:paraId="7DD24932" w14:textId="2A20ABE9" w:rsidR="00062047" w:rsidRPr="00730DE4" w:rsidRDefault="00062047" w:rsidP="00062047">
      <w:r w:rsidRPr="00730DE4">
        <w:rPr>
          <w:rStyle w:val="Strong"/>
        </w:rPr>
        <w:t>For more information</w:t>
      </w:r>
      <w:r w:rsidR="0013309E" w:rsidRPr="00730DE4">
        <w:br/>
      </w:r>
      <w:r w:rsidRPr="00730DE4">
        <w:t xml:space="preserve">Phone: </w:t>
      </w:r>
      <w:r w:rsidR="001F6C6A" w:rsidRPr="00730DE4">
        <w:t>13 23 80</w:t>
      </w:r>
      <w:r w:rsidR="0013309E" w:rsidRPr="00730DE4">
        <w:t>*</w:t>
      </w:r>
      <w:r w:rsidR="0013309E" w:rsidRPr="00730DE4">
        <w:br/>
      </w:r>
      <w:r w:rsidRPr="00730DE4">
        <w:t xml:space="preserve">Email: </w:t>
      </w:r>
      <w:hyperlink r:id="rId12" w:history="1">
        <w:r w:rsidR="0013309E" w:rsidRPr="00730DE4">
          <w:rPr>
            <w:rStyle w:val="Hyperlink"/>
          </w:rPr>
          <w:t>annual.report@tmr.qld.gov.au</w:t>
        </w:r>
      </w:hyperlink>
      <w:r w:rsidR="0013309E" w:rsidRPr="00730DE4">
        <w:br/>
      </w:r>
      <w:r w:rsidRPr="00730DE4">
        <w:t>Visit: www.tmr.qld.gov.au</w:t>
      </w:r>
    </w:p>
    <w:p w14:paraId="74642250" w14:textId="1B5EB71C" w:rsidR="003B6A87" w:rsidRPr="00730DE4" w:rsidRDefault="00062047" w:rsidP="00062047">
      <w:pPr>
        <w:rPr>
          <w:rStyle w:val="Hyperlink"/>
        </w:rPr>
      </w:pPr>
      <w:r w:rsidRPr="00730DE4">
        <w:t>You can provide feedback on the annual report at the Queensland Government Get Involved website:</w:t>
      </w:r>
      <w:r w:rsidR="003B6A87" w:rsidRPr="00730DE4">
        <w:t xml:space="preserve"> </w:t>
      </w:r>
      <w:hyperlink r:id="rId13" w:history="1">
        <w:r w:rsidR="003B6A87" w:rsidRPr="00730DE4">
          <w:rPr>
            <w:rStyle w:val="Hyperlink"/>
          </w:rPr>
          <w:t>https://www.getinvolved.qld.gov.au/gi/consultation/13350/view.html</w:t>
        </w:r>
      </w:hyperlink>
    </w:p>
    <w:p w14:paraId="68852549" w14:textId="77777777" w:rsidR="00DF71F3" w:rsidRPr="00730DE4" w:rsidRDefault="00DF71F3" w:rsidP="00062047">
      <w:pPr>
        <w:rPr>
          <w:rStyle w:val="Hyperlink"/>
        </w:rPr>
      </w:pPr>
    </w:p>
    <w:p w14:paraId="269A0F3F" w14:textId="635E3A4C" w:rsidR="00557A78" w:rsidRPr="00730DE4" w:rsidRDefault="0013309E" w:rsidP="00DF71F3">
      <w:pPr>
        <w:pStyle w:val="Caption"/>
      </w:pPr>
      <w:r w:rsidRPr="00730DE4">
        <w:t>*Local call charge in Australia. Higher rates apply from mobile phones and payphones. Check with your service provider for call costs. For international callers, please phone +61 7 3834 2011.</w:t>
      </w:r>
      <w:r w:rsidR="00557A78" w:rsidRPr="00730DE4">
        <w:br w:type="page"/>
      </w:r>
    </w:p>
    <w:p w14:paraId="75F222D3" w14:textId="5D43DF55" w:rsidR="006D01E9" w:rsidRDefault="00AB456C" w:rsidP="00361176">
      <w:pPr>
        <w:pStyle w:val="Heading2"/>
        <w:rPr>
          <w:b/>
          <w:bCs/>
          <w:lang w:val="en-US"/>
        </w:rPr>
      </w:pPr>
      <w:bookmarkStart w:id="4" w:name="_Toc176763559"/>
      <w:bookmarkStart w:id="5" w:name="_Toc180490435"/>
      <w:bookmarkStart w:id="6" w:name="_Toc180491468"/>
      <w:r w:rsidRPr="00730DE4">
        <w:lastRenderedPageBreak/>
        <w:t>Contents</w:t>
      </w:r>
      <w:bookmarkEnd w:id="4"/>
      <w:bookmarkEnd w:id="5"/>
      <w:bookmarkEnd w:id="6"/>
    </w:p>
    <w:p w14:paraId="6F7359CA" w14:textId="77777777" w:rsidR="00361176" w:rsidRDefault="00361176" w:rsidP="00361176">
      <w:pPr>
        <w:rPr>
          <w:lang w:val="en-US"/>
        </w:rPr>
      </w:pPr>
    </w:p>
    <w:sdt>
      <w:sdtPr>
        <w:rPr>
          <w:rFonts w:eastAsiaTheme="minorHAnsi" w:cstheme="minorBidi"/>
          <w:b w:val="0"/>
          <w:color w:val="18242E" w:themeColor="text1" w:themeTint="E6"/>
          <w:sz w:val="24"/>
          <w:szCs w:val="22"/>
        </w:rPr>
        <w:id w:val="7421060"/>
        <w:docPartObj>
          <w:docPartGallery w:val="Table of Contents"/>
          <w:docPartUnique/>
        </w:docPartObj>
      </w:sdtPr>
      <w:sdtEndPr>
        <w:rPr>
          <w:bCs/>
          <w:noProof/>
        </w:rPr>
      </w:sdtEndPr>
      <w:sdtContent>
        <w:p w14:paraId="53AC7931" w14:textId="6689EEBE" w:rsidR="00361176" w:rsidRPr="00361176" w:rsidRDefault="00361176" w:rsidP="00361176">
          <w:pPr>
            <w:pStyle w:val="TOCHeading"/>
            <w:rPr>
              <w:noProof/>
            </w:rPr>
          </w:pPr>
          <w:r>
            <w:t>Contents</w:t>
          </w:r>
          <w:r>
            <w:fldChar w:fldCharType="begin"/>
          </w:r>
          <w:r>
            <w:instrText xml:space="preserve"> TOC \o "1-5" \h \z \u </w:instrText>
          </w:r>
          <w:r>
            <w:fldChar w:fldCharType="separate"/>
          </w:r>
        </w:p>
        <w:p w14:paraId="1AB22239" w14:textId="3C2CE16E" w:rsidR="00361176" w:rsidRDefault="00000000">
          <w:pPr>
            <w:pStyle w:val="TOC1"/>
            <w:tabs>
              <w:tab w:val="right" w:leader="dot" w:pos="9060"/>
            </w:tabs>
            <w:rPr>
              <w:rFonts w:eastAsiaTheme="minorEastAsia" w:cstheme="minorBidi"/>
              <w:b w:val="0"/>
              <w:bCs w:val="0"/>
              <w:noProof/>
              <w:color w:val="auto"/>
              <w:kern w:val="2"/>
              <w:sz w:val="22"/>
              <w:szCs w:val="22"/>
              <w:lang w:eastAsia="en-AU"/>
              <w14:ligatures w14:val="standardContextual"/>
            </w:rPr>
          </w:pPr>
          <w:hyperlink w:anchor="_Toc180491469" w:history="1">
            <w:r w:rsidR="00361176" w:rsidRPr="00CC780B">
              <w:rPr>
                <w:rStyle w:val="Hyperlink"/>
                <w:noProof/>
              </w:rPr>
              <w:t>Introduction</w:t>
            </w:r>
            <w:r w:rsidR="00361176">
              <w:rPr>
                <w:noProof/>
                <w:webHidden/>
              </w:rPr>
              <w:tab/>
            </w:r>
            <w:r w:rsidR="00361176">
              <w:rPr>
                <w:noProof/>
                <w:webHidden/>
              </w:rPr>
              <w:fldChar w:fldCharType="begin"/>
            </w:r>
            <w:r w:rsidR="00361176">
              <w:rPr>
                <w:noProof/>
                <w:webHidden/>
              </w:rPr>
              <w:instrText xml:space="preserve"> PAGEREF _Toc180491469 \h </w:instrText>
            </w:r>
            <w:r w:rsidR="00361176">
              <w:rPr>
                <w:noProof/>
                <w:webHidden/>
              </w:rPr>
            </w:r>
            <w:r w:rsidR="00361176">
              <w:rPr>
                <w:noProof/>
                <w:webHidden/>
              </w:rPr>
              <w:fldChar w:fldCharType="separate"/>
            </w:r>
            <w:r w:rsidR="009308E6">
              <w:rPr>
                <w:noProof/>
                <w:webHidden/>
              </w:rPr>
              <w:t>1</w:t>
            </w:r>
            <w:r w:rsidR="00361176">
              <w:rPr>
                <w:noProof/>
                <w:webHidden/>
              </w:rPr>
              <w:fldChar w:fldCharType="end"/>
            </w:r>
          </w:hyperlink>
        </w:p>
        <w:p w14:paraId="3ED79AE1" w14:textId="0DAEAC76"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1470" w:history="1">
            <w:r w:rsidR="00361176" w:rsidRPr="00CC780B">
              <w:rPr>
                <w:rStyle w:val="Hyperlink"/>
                <w:noProof/>
                <w:lang w:val="en-US"/>
              </w:rPr>
              <w:t>About us</w:t>
            </w:r>
            <w:r w:rsidR="00361176">
              <w:rPr>
                <w:noProof/>
                <w:webHidden/>
              </w:rPr>
              <w:tab/>
            </w:r>
            <w:r w:rsidR="00361176">
              <w:rPr>
                <w:noProof/>
                <w:webHidden/>
              </w:rPr>
              <w:fldChar w:fldCharType="begin"/>
            </w:r>
            <w:r w:rsidR="00361176">
              <w:rPr>
                <w:noProof/>
                <w:webHidden/>
              </w:rPr>
              <w:instrText xml:space="preserve"> PAGEREF _Toc180491470 \h </w:instrText>
            </w:r>
            <w:r w:rsidR="00361176">
              <w:rPr>
                <w:noProof/>
                <w:webHidden/>
              </w:rPr>
            </w:r>
            <w:r w:rsidR="00361176">
              <w:rPr>
                <w:noProof/>
                <w:webHidden/>
              </w:rPr>
              <w:fldChar w:fldCharType="separate"/>
            </w:r>
            <w:r w:rsidR="009308E6">
              <w:rPr>
                <w:noProof/>
                <w:webHidden/>
              </w:rPr>
              <w:t>1</w:t>
            </w:r>
            <w:r w:rsidR="00361176">
              <w:rPr>
                <w:noProof/>
                <w:webHidden/>
              </w:rPr>
              <w:fldChar w:fldCharType="end"/>
            </w:r>
          </w:hyperlink>
        </w:p>
        <w:p w14:paraId="2AD6B59D" w14:textId="7FDEDB7B"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1478" w:history="1">
            <w:r w:rsidR="00361176" w:rsidRPr="00CC780B">
              <w:rPr>
                <w:rStyle w:val="Hyperlink"/>
                <w:noProof/>
              </w:rPr>
              <w:t>Director-General Message</w:t>
            </w:r>
            <w:r w:rsidR="00361176">
              <w:rPr>
                <w:noProof/>
                <w:webHidden/>
              </w:rPr>
              <w:tab/>
            </w:r>
            <w:r w:rsidR="00361176">
              <w:rPr>
                <w:noProof/>
                <w:webHidden/>
              </w:rPr>
              <w:fldChar w:fldCharType="begin"/>
            </w:r>
            <w:r w:rsidR="00361176">
              <w:rPr>
                <w:noProof/>
                <w:webHidden/>
              </w:rPr>
              <w:instrText xml:space="preserve"> PAGEREF _Toc180491478 \h </w:instrText>
            </w:r>
            <w:r w:rsidR="00361176">
              <w:rPr>
                <w:noProof/>
                <w:webHidden/>
              </w:rPr>
            </w:r>
            <w:r w:rsidR="00361176">
              <w:rPr>
                <w:noProof/>
                <w:webHidden/>
              </w:rPr>
              <w:fldChar w:fldCharType="separate"/>
            </w:r>
            <w:r w:rsidR="009308E6">
              <w:rPr>
                <w:noProof/>
                <w:webHidden/>
              </w:rPr>
              <w:t>5</w:t>
            </w:r>
            <w:r w:rsidR="00361176">
              <w:rPr>
                <w:noProof/>
                <w:webHidden/>
              </w:rPr>
              <w:fldChar w:fldCharType="end"/>
            </w:r>
          </w:hyperlink>
        </w:p>
        <w:p w14:paraId="5C3C42E0" w14:textId="71F5D1FD"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1485" w:history="1">
            <w:r w:rsidR="00361176" w:rsidRPr="00CC780B">
              <w:rPr>
                <w:rStyle w:val="Hyperlink"/>
                <w:noProof/>
              </w:rPr>
              <w:t>Chief Finance Officer’s Report</w:t>
            </w:r>
            <w:r w:rsidR="00361176">
              <w:rPr>
                <w:noProof/>
                <w:webHidden/>
              </w:rPr>
              <w:tab/>
            </w:r>
            <w:r w:rsidR="00361176">
              <w:rPr>
                <w:noProof/>
                <w:webHidden/>
              </w:rPr>
              <w:fldChar w:fldCharType="begin"/>
            </w:r>
            <w:r w:rsidR="00361176">
              <w:rPr>
                <w:noProof/>
                <w:webHidden/>
              </w:rPr>
              <w:instrText xml:space="preserve"> PAGEREF _Toc180491485 \h </w:instrText>
            </w:r>
            <w:r w:rsidR="00361176">
              <w:rPr>
                <w:noProof/>
                <w:webHidden/>
              </w:rPr>
            </w:r>
            <w:r w:rsidR="00361176">
              <w:rPr>
                <w:noProof/>
                <w:webHidden/>
              </w:rPr>
              <w:fldChar w:fldCharType="separate"/>
            </w:r>
            <w:r w:rsidR="009308E6">
              <w:rPr>
                <w:noProof/>
                <w:webHidden/>
              </w:rPr>
              <w:t>11</w:t>
            </w:r>
            <w:r w:rsidR="00361176">
              <w:rPr>
                <w:noProof/>
                <w:webHidden/>
              </w:rPr>
              <w:fldChar w:fldCharType="end"/>
            </w:r>
          </w:hyperlink>
        </w:p>
        <w:p w14:paraId="3A531662" w14:textId="70831ABB"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1493" w:history="1">
            <w:r w:rsidR="00361176" w:rsidRPr="00CC780B">
              <w:rPr>
                <w:rStyle w:val="Hyperlink"/>
                <w:noProof/>
              </w:rPr>
              <w:t>Department of Transport and Main Roads Strategic Plan 2023–2027</w:t>
            </w:r>
            <w:r w:rsidR="00361176">
              <w:rPr>
                <w:noProof/>
                <w:webHidden/>
              </w:rPr>
              <w:tab/>
            </w:r>
            <w:r w:rsidR="00361176">
              <w:rPr>
                <w:noProof/>
                <w:webHidden/>
              </w:rPr>
              <w:fldChar w:fldCharType="begin"/>
            </w:r>
            <w:r w:rsidR="00361176">
              <w:rPr>
                <w:noProof/>
                <w:webHidden/>
              </w:rPr>
              <w:instrText xml:space="preserve"> PAGEREF _Toc180491493 \h </w:instrText>
            </w:r>
            <w:r w:rsidR="00361176">
              <w:rPr>
                <w:noProof/>
                <w:webHidden/>
              </w:rPr>
            </w:r>
            <w:r w:rsidR="00361176">
              <w:rPr>
                <w:noProof/>
                <w:webHidden/>
              </w:rPr>
              <w:fldChar w:fldCharType="separate"/>
            </w:r>
            <w:r w:rsidR="009308E6">
              <w:rPr>
                <w:noProof/>
                <w:webHidden/>
              </w:rPr>
              <w:t>16</w:t>
            </w:r>
            <w:r w:rsidR="00361176">
              <w:rPr>
                <w:noProof/>
                <w:webHidden/>
              </w:rPr>
              <w:fldChar w:fldCharType="end"/>
            </w:r>
          </w:hyperlink>
        </w:p>
        <w:p w14:paraId="186B1A2D" w14:textId="12E8578A"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1533" w:history="1">
            <w:r w:rsidR="00361176" w:rsidRPr="00CC780B">
              <w:rPr>
                <w:rStyle w:val="Hyperlink"/>
                <w:noProof/>
              </w:rPr>
              <w:t>Queensland Government's objectives for the community</w:t>
            </w:r>
            <w:r w:rsidR="00361176">
              <w:rPr>
                <w:noProof/>
                <w:webHidden/>
              </w:rPr>
              <w:tab/>
            </w:r>
            <w:r w:rsidR="00361176">
              <w:rPr>
                <w:noProof/>
                <w:webHidden/>
              </w:rPr>
              <w:fldChar w:fldCharType="begin"/>
            </w:r>
            <w:r w:rsidR="00361176">
              <w:rPr>
                <w:noProof/>
                <w:webHidden/>
              </w:rPr>
              <w:instrText xml:space="preserve"> PAGEREF _Toc180491533 \h </w:instrText>
            </w:r>
            <w:r w:rsidR="00361176">
              <w:rPr>
                <w:noProof/>
                <w:webHidden/>
              </w:rPr>
            </w:r>
            <w:r w:rsidR="00361176">
              <w:rPr>
                <w:noProof/>
                <w:webHidden/>
              </w:rPr>
              <w:fldChar w:fldCharType="separate"/>
            </w:r>
            <w:r w:rsidR="009308E6">
              <w:rPr>
                <w:noProof/>
                <w:webHidden/>
              </w:rPr>
              <w:t>24</w:t>
            </w:r>
            <w:r w:rsidR="00361176">
              <w:rPr>
                <w:noProof/>
                <w:webHidden/>
              </w:rPr>
              <w:fldChar w:fldCharType="end"/>
            </w:r>
          </w:hyperlink>
        </w:p>
        <w:p w14:paraId="7EA87EE0" w14:textId="35E42C3D"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1546" w:history="1">
            <w:r w:rsidR="00361176" w:rsidRPr="00CC780B">
              <w:rPr>
                <w:rStyle w:val="Hyperlink"/>
                <w:noProof/>
                <w:lang w:val="en-US"/>
              </w:rPr>
              <w:t>Key priorities and outcomes</w:t>
            </w:r>
            <w:r w:rsidR="00361176">
              <w:rPr>
                <w:noProof/>
                <w:webHidden/>
              </w:rPr>
              <w:tab/>
            </w:r>
            <w:r w:rsidR="00361176">
              <w:rPr>
                <w:noProof/>
                <w:webHidden/>
              </w:rPr>
              <w:fldChar w:fldCharType="begin"/>
            </w:r>
            <w:r w:rsidR="00361176">
              <w:rPr>
                <w:noProof/>
                <w:webHidden/>
              </w:rPr>
              <w:instrText xml:space="preserve"> PAGEREF _Toc180491546 \h </w:instrText>
            </w:r>
            <w:r w:rsidR="00361176">
              <w:rPr>
                <w:noProof/>
                <w:webHidden/>
              </w:rPr>
            </w:r>
            <w:r w:rsidR="00361176">
              <w:rPr>
                <w:noProof/>
                <w:webHidden/>
              </w:rPr>
              <w:fldChar w:fldCharType="separate"/>
            </w:r>
            <w:r w:rsidR="009308E6">
              <w:rPr>
                <w:noProof/>
                <w:webHidden/>
              </w:rPr>
              <w:t>29</w:t>
            </w:r>
            <w:r w:rsidR="00361176">
              <w:rPr>
                <w:noProof/>
                <w:webHidden/>
              </w:rPr>
              <w:fldChar w:fldCharType="end"/>
            </w:r>
          </w:hyperlink>
        </w:p>
        <w:p w14:paraId="19C67F01" w14:textId="4E1BA6C6"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1554" w:history="1">
            <w:r w:rsidR="00361176" w:rsidRPr="00CC780B">
              <w:rPr>
                <w:rStyle w:val="Hyperlink"/>
                <w:noProof/>
                <w:lang w:val="en-US"/>
              </w:rPr>
              <w:t>Performance statements 2023–24</w:t>
            </w:r>
            <w:r w:rsidR="00361176">
              <w:rPr>
                <w:noProof/>
                <w:webHidden/>
              </w:rPr>
              <w:tab/>
            </w:r>
            <w:r w:rsidR="00361176">
              <w:rPr>
                <w:noProof/>
                <w:webHidden/>
              </w:rPr>
              <w:fldChar w:fldCharType="begin"/>
            </w:r>
            <w:r w:rsidR="00361176">
              <w:rPr>
                <w:noProof/>
                <w:webHidden/>
              </w:rPr>
              <w:instrText xml:space="preserve"> PAGEREF _Toc180491554 \h </w:instrText>
            </w:r>
            <w:r w:rsidR="00361176">
              <w:rPr>
                <w:noProof/>
                <w:webHidden/>
              </w:rPr>
            </w:r>
            <w:r w:rsidR="00361176">
              <w:rPr>
                <w:noProof/>
                <w:webHidden/>
              </w:rPr>
              <w:fldChar w:fldCharType="separate"/>
            </w:r>
            <w:r w:rsidR="009308E6">
              <w:rPr>
                <w:noProof/>
                <w:webHidden/>
              </w:rPr>
              <w:t>38</w:t>
            </w:r>
            <w:r w:rsidR="00361176">
              <w:rPr>
                <w:noProof/>
                <w:webHidden/>
              </w:rPr>
              <w:fldChar w:fldCharType="end"/>
            </w:r>
          </w:hyperlink>
        </w:p>
        <w:p w14:paraId="5DDECBDF" w14:textId="63DF98BB"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1571" w:history="1">
            <w:r w:rsidR="00361176" w:rsidRPr="00CC780B">
              <w:rPr>
                <w:rStyle w:val="Hyperlink"/>
                <w:noProof/>
                <w:lang w:val="en-US"/>
              </w:rPr>
              <w:t>Strategic opportunities and challenges</w:t>
            </w:r>
            <w:r w:rsidR="00361176">
              <w:rPr>
                <w:noProof/>
                <w:webHidden/>
              </w:rPr>
              <w:tab/>
            </w:r>
            <w:r w:rsidR="00361176">
              <w:rPr>
                <w:noProof/>
                <w:webHidden/>
              </w:rPr>
              <w:fldChar w:fldCharType="begin"/>
            </w:r>
            <w:r w:rsidR="00361176">
              <w:rPr>
                <w:noProof/>
                <w:webHidden/>
              </w:rPr>
              <w:instrText xml:space="preserve"> PAGEREF _Toc180491571 \h </w:instrText>
            </w:r>
            <w:r w:rsidR="00361176">
              <w:rPr>
                <w:noProof/>
                <w:webHidden/>
              </w:rPr>
            </w:r>
            <w:r w:rsidR="00361176">
              <w:rPr>
                <w:noProof/>
                <w:webHidden/>
              </w:rPr>
              <w:fldChar w:fldCharType="separate"/>
            </w:r>
            <w:r w:rsidR="009308E6">
              <w:rPr>
                <w:noProof/>
                <w:webHidden/>
              </w:rPr>
              <w:t>57</w:t>
            </w:r>
            <w:r w:rsidR="00361176">
              <w:rPr>
                <w:noProof/>
                <w:webHidden/>
              </w:rPr>
              <w:fldChar w:fldCharType="end"/>
            </w:r>
          </w:hyperlink>
        </w:p>
        <w:p w14:paraId="0CCF4D2A" w14:textId="74B2213F"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1582" w:history="1">
            <w:r w:rsidR="00361176" w:rsidRPr="00CC780B">
              <w:rPr>
                <w:rStyle w:val="Hyperlink"/>
                <w:noProof/>
              </w:rPr>
              <w:t>Environment and sustainability</w:t>
            </w:r>
            <w:r w:rsidR="00361176">
              <w:rPr>
                <w:noProof/>
                <w:webHidden/>
              </w:rPr>
              <w:tab/>
            </w:r>
            <w:r w:rsidR="00361176">
              <w:rPr>
                <w:noProof/>
                <w:webHidden/>
              </w:rPr>
              <w:fldChar w:fldCharType="begin"/>
            </w:r>
            <w:r w:rsidR="00361176">
              <w:rPr>
                <w:noProof/>
                <w:webHidden/>
              </w:rPr>
              <w:instrText xml:space="preserve"> PAGEREF _Toc180491582 \h </w:instrText>
            </w:r>
            <w:r w:rsidR="00361176">
              <w:rPr>
                <w:noProof/>
                <w:webHidden/>
              </w:rPr>
            </w:r>
            <w:r w:rsidR="00361176">
              <w:rPr>
                <w:noProof/>
                <w:webHidden/>
              </w:rPr>
              <w:fldChar w:fldCharType="separate"/>
            </w:r>
            <w:r w:rsidR="009308E6">
              <w:rPr>
                <w:noProof/>
                <w:webHidden/>
              </w:rPr>
              <w:t>64</w:t>
            </w:r>
            <w:r w:rsidR="00361176">
              <w:rPr>
                <w:noProof/>
                <w:webHidden/>
              </w:rPr>
              <w:fldChar w:fldCharType="end"/>
            </w:r>
          </w:hyperlink>
        </w:p>
        <w:p w14:paraId="1402E84F" w14:textId="08477954"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1589" w:history="1">
            <w:r w:rsidR="00361176" w:rsidRPr="00CC780B">
              <w:rPr>
                <w:rStyle w:val="Hyperlink"/>
                <w:noProof/>
              </w:rPr>
              <w:t>Looking ahead</w:t>
            </w:r>
            <w:r w:rsidR="00361176">
              <w:rPr>
                <w:noProof/>
                <w:webHidden/>
              </w:rPr>
              <w:tab/>
            </w:r>
            <w:r w:rsidR="00361176">
              <w:rPr>
                <w:noProof/>
                <w:webHidden/>
              </w:rPr>
              <w:fldChar w:fldCharType="begin"/>
            </w:r>
            <w:r w:rsidR="00361176">
              <w:rPr>
                <w:noProof/>
                <w:webHidden/>
              </w:rPr>
              <w:instrText xml:space="preserve"> PAGEREF _Toc180491589 \h </w:instrText>
            </w:r>
            <w:r w:rsidR="00361176">
              <w:rPr>
                <w:noProof/>
                <w:webHidden/>
              </w:rPr>
            </w:r>
            <w:r w:rsidR="00361176">
              <w:rPr>
                <w:noProof/>
                <w:webHidden/>
              </w:rPr>
              <w:fldChar w:fldCharType="separate"/>
            </w:r>
            <w:r w:rsidR="009308E6">
              <w:rPr>
                <w:noProof/>
                <w:webHidden/>
              </w:rPr>
              <w:t>67</w:t>
            </w:r>
            <w:r w:rsidR="00361176">
              <w:rPr>
                <w:noProof/>
                <w:webHidden/>
              </w:rPr>
              <w:fldChar w:fldCharType="end"/>
            </w:r>
          </w:hyperlink>
        </w:p>
        <w:p w14:paraId="4E96DC71" w14:textId="42B38507"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1590" w:history="1">
            <w:r w:rsidR="00361176" w:rsidRPr="00CC780B">
              <w:rPr>
                <w:rStyle w:val="Hyperlink"/>
                <w:noProof/>
              </w:rPr>
              <w:t>Fast facts</w:t>
            </w:r>
            <w:r w:rsidR="00361176">
              <w:rPr>
                <w:noProof/>
                <w:webHidden/>
              </w:rPr>
              <w:tab/>
            </w:r>
            <w:r w:rsidR="00361176">
              <w:rPr>
                <w:noProof/>
                <w:webHidden/>
              </w:rPr>
              <w:fldChar w:fldCharType="begin"/>
            </w:r>
            <w:r w:rsidR="00361176">
              <w:rPr>
                <w:noProof/>
                <w:webHidden/>
              </w:rPr>
              <w:instrText xml:space="preserve"> PAGEREF _Toc180491590 \h </w:instrText>
            </w:r>
            <w:r w:rsidR="00361176">
              <w:rPr>
                <w:noProof/>
                <w:webHidden/>
              </w:rPr>
            </w:r>
            <w:r w:rsidR="00361176">
              <w:rPr>
                <w:noProof/>
                <w:webHidden/>
              </w:rPr>
              <w:fldChar w:fldCharType="separate"/>
            </w:r>
            <w:r w:rsidR="009308E6">
              <w:rPr>
                <w:noProof/>
                <w:webHidden/>
              </w:rPr>
              <w:t>69</w:t>
            </w:r>
            <w:r w:rsidR="00361176">
              <w:rPr>
                <w:noProof/>
                <w:webHidden/>
              </w:rPr>
              <w:fldChar w:fldCharType="end"/>
            </w:r>
          </w:hyperlink>
        </w:p>
        <w:p w14:paraId="79DD19C7" w14:textId="22597D4F" w:rsidR="00361176" w:rsidRDefault="00000000">
          <w:pPr>
            <w:pStyle w:val="TOC1"/>
            <w:tabs>
              <w:tab w:val="right" w:leader="dot" w:pos="9060"/>
            </w:tabs>
            <w:rPr>
              <w:rFonts w:eastAsiaTheme="minorEastAsia" w:cstheme="minorBidi"/>
              <w:b w:val="0"/>
              <w:bCs w:val="0"/>
              <w:noProof/>
              <w:color w:val="auto"/>
              <w:kern w:val="2"/>
              <w:sz w:val="22"/>
              <w:szCs w:val="22"/>
              <w:lang w:eastAsia="en-AU"/>
              <w14:ligatures w14:val="standardContextual"/>
            </w:rPr>
          </w:pPr>
          <w:hyperlink w:anchor="_Toc180491599" w:history="1">
            <w:r w:rsidR="00361176" w:rsidRPr="00CC780B">
              <w:rPr>
                <w:rStyle w:val="Hyperlink"/>
                <w:noProof/>
              </w:rPr>
              <w:t>Integrated Transport Network</w:t>
            </w:r>
            <w:r w:rsidR="00361176">
              <w:rPr>
                <w:noProof/>
                <w:webHidden/>
              </w:rPr>
              <w:tab/>
            </w:r>
            <w:r w:rsidR="00361176">
              <w:rPr>
                <w:noProof/>
                <w:webHidden/>
              </w:rPr>
              <w:fldChar w:fldCharType="begin"/>
            </w:r>
            <w:r w:rsidR="00361176">
              <w:rPr>
                <w:noProof/>
                <w:webHidden/>
              </w:rPr>
              <w:instrText xml:space="preserve"> PAGEREF _Toc180491599 \h </w:instrText>
            </w:r>
            <w:r w:rsidR="00361176">
              <w:rPr>
                <w:noProof/>
                <w:webHidden/>
              </w:rPr>
            </w:r>
            <w:r w:rsidR="00361176">
              <w:rPr>
                <w:noProof/>
                <w:webHidden/>
              </w:rPr>
              <w:fldChar w:fldCharType="separate"/>
            </w:r>
            <w:r w:rsidR="009308E6">
              <w:rPr>
                <w:noProof/>
                <w:webHidden/>
              </w:rPr>
              <w:t>72</w:t>
            </w:r>
            <w:r w:rsidR="00361176">
              <w:rPr>
                <w:noProof/>
                <w:webHidden/>
              </w:rPr>
              <w:fldChar w:fldCharType="end"/>
            </w:r>
          </w:hyperlink>
        </w:p>
        <w:p w14:paraId="3232D823" w14:textId="68EB1EA2"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1600" w:history="1">
            <w:r w:rsidR="00361176" w:rsidRPr="00CC780B">
              <w:rPr>
                <w:rStyle w:val="Hyperlink"/>
                <w:noProof/>
              </w:rPr>
              <w:t>Highlights</w:t>
            </w:r>
            <w:r w:rsidR="00361176">
              <w:rPr>
                <w:noProof/>
                <w:webHidden/>
              </w:rPr>
              <w:tab/>
            </w:r>
            <w:r w:rsidR="00361176">
              <w:rPr>
                <w:noProof/>
                <w:webHidden/>
              </w:rPr>
              <w:fldChar w:fldCharType="begin"/>
            </w:r>
            <w:r w:rsidR="00361176">
              <w:rPr>
                <w:noProof/>
                <w:webHidden/>
              </w:rPr>
              <w:instrText xml:space="preserve"> PAGEREF _Toc180491600 \h </w:instrText>
            </w:r>
            <w:r w:rsidR="00361176">
              <w:rPr>
                <w:noProof/>
                <w:webHidden/>
              </w:rPr>
            </w:r>
            <w:r w:rsidR="00361176">
              <w:rPr>
                <w:noProof/>
                <w:webHidden/>
              </w:rPr>
              <w:fldChar w:fldCharType="separate"/>
            </w:r>
            <w:r w:rsidR="009308E6">
              <w:rPr>
                <w:noProof/>
                <w:webHidden/>
              </w:rPr>
              <w:t>72</w:t>
            </w:r>
            <w:r w:rsidR="00361176">
              <w:rPr>
                <w:noProof/>
                <w:webHidden/>
              </w:rPr>
              <w:fldChar w:fldCharType="end"/>
            </w:r>
          </w:hyperlink>
        </w:p>
        <w:p w14:paraId="639A7F78" w14:textId="5304BBE2"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1601" w:history="1">
            <w:r w:rsidR="00361176" w:rsidRPr="00CC780B">
              <w:rPr>
                <w:rStyle w:val="Hyperlink"/>
                <w:noProof/>
                <w:lang w:val="en-US"/>
              </w:rPr>
              <w:t>Planning best value investments for our future</w:t>
            </w:r>
            <w:r w:rsidR="00361176">
              <w:rPr>
                <w:noProof/>
                <w:webHidden/>
              </w:rPr>
              <w:tab/>
            </w:r>
            <w:r w:rsidR="00361176">
              <w:rPr>
                <w:noProof/>
                <w:webHidden/>
              </w:rPr>
              <w:fldChar w:fldCharType="begin"/>
            </w:r>
            <w:r w:rsidR="00361176">
              <w:rPr>
                <w:noProof/>
                <w:webHidden/>
              </w:rPr>
              <w:instrText xml:space="preserve"> PAGEREF _Toc180491601 \h </w:instrText>
            </w:r>
            <w:r w:rsidR="00361176">
              <w:rPr>
                <w:noProof/>
                <w:webHidden/>
              </w:rPr>
            </w:r>
            <w:r w:rsidR="00361176">
              <w:rPr>
                <w:noProof/>
                <w:webHidden/>
              </w:rPr>
              <w:fldChar w:fldCharType="separate"/>
            </w:r>
            <w:r w:rsidR="009308E6">
              <w:rPr>
                <w:noProof/>
                <w:webHidden/>
              </w:rPr>
              <w:t>74</w:t>
            </w:r>
            <w:r w:rsidR="00361176">
              <w:rPr>
                <w:noProof/>
                <w:webHidden/>
              </w:rPr>
              <w:fldChar w:fldCharType="end"/>
            </w:r>
          </w:hyperlink>
        </w:p>
        <w:p w14:paraId="26D7AE58" w14:textId="1F9A14E0"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1614" w:history="1">
            <w:r w:rsidR="00361176" w:rsidRPr="00CC780B">
              <w:rPr>
                <w:rStyle w:val="Hyperlink"/>
                <w:noProof/>
              </w:rPr>
              <w:t>Investing in passenger transport</w:t>
            </w:r>
            <w:r w:rsidR="00361176">
              <w:rPr>
                <w:noProof/>
                <w:webHidden/>
              </w:rPr>
              <w:tab/>
            </w:r>
            <w:r w:rsidR="00361176">
              <w:rPr>
                <w:noProof/>
                <w:webHidden/>
              </w:rPr>
              <w:fldChar w:fldCharType="begin"/>
            </w:r>
            <w:r w:rsidR="00361176">
              <w:rPr>
                <w:noProof/>
                <w:webHidden/>
              </w:rPr>
              <w:instrText xml:space="preserve"> PAGEREF _Toc180491614 \h </w:instrText>
            </w:r>
            <w:r w:rsidR="00361176">
              <w:rPr>
                <w:noProof/>
                <w:webHidden/>
              </w:rPr>
            </w:r>
            <w:r w:rsidR="00361176">
              <w:rPr>
                <w:noProof/>
                <w:webHidden/>
              </w:rPr>
              <w:fldChar w:fldCharType="separate"/>
            </w:r>
            <w:r w:rsidR="009308E6">
              <w:rPr>
                <w:noProof/>
                <w:webHidden/>
              </w:rPr>
              <w:t>82</w:t>
            </w:r>
            <w:r w:rsidR="00361176">
              <w:rPr>
                <w:noProof/>
                <w:webHidden/>
              </w:rPr>
              <w:fldChar w:fldCharType="end"/>
            </w:r>
          </w:hyperlink>
        </w:p>
        <w:p w14:paraId="138F71B9" w14:textId="588F454F"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1618" w:history="1">
            <w:r w:rsidR="00361176" w:rsidRPr="00CC780B">
              <w:rPr>
                <w:rStyle w:val="Hyperlink"/>
                <w:noProof/>
              </w:rPr>
              <w:t>Investing in an active Queensland</w:t>
            </w:r>
            <w:r w:rsidR="00361176">
              <w:rPr>
                <w:noProof/>
                <w:webHidden/>
              </w:rPr>
              <w:tab/>
            </w:r>
            <w:r w:rsidR="00361176">
              <w:rPr>
                <w:noProof/>
                <w:webHidden/>
              </w:rPr>
              <w:fldChar w:fldCharType="begin"/>
            </w:r>
            <w:r w:rsidR="00361176">
              <w:rPr>
                <w:noProof/>
                <w:webHidden/>
              </w:rPr>
              <w:instrText xml:space="preserve"> PAGEREF _Toc180491618 \h </w:instrText>
            </w:r>
            <w:r w:rsidR="00361176">
              <w:rPr>
                <w:noProof/>
                <w:webHidden/>
              </w:rPr>
            </w:r>
            <w:r w:rsidR="00361176">
              <w:rPr>
                <w:noProof/>
                <w:webHidden/>
              </w:rPr>
              <w:fldChar w:fldCharType="separate"/>
            </w:r>
            <w:r w:rsidR="009308E6">
              <w:rPr>
                <w:noProof/>
                <w:webHidden/>
              </w:rPr>
              <w:t>85</w:t>
            </w:r>
            <w:r w:rsidR="00361176">
              <w:rPr>
                <w:noProof/>
                <w:webHidden/>
              </w:rPr>
              <w:fldChar w:fldCharType="end"/>
            </w:r>
          </w:hyperlink>
        </w:p>
        <w:p w14:paraId="7DCE6517" w14:textId="6B256912"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1623" w:history="1">
            <w:r w:rsidR="00361176" w:rsidRPr="00CC780B">
              <w:rPr>
                <w:rStyle w:val="Hyperlink"/>
                <w:noProof/>
              </w:rPr>
              <w:t>Marine infrastructure</w:t>
            </w:r>
            <w:r w:rsidR="00361176">
              <w:rPr>
                <w:noProof/>
                <w:webHidden/>
              </w:rPr>
              <w:tab/>
            </w:r>
            <w:r w:rsidR="00361176">
              <w:rPr>
                <w:noProof/>
                <w:webHidden/>
              </w:rPr>
              <w:fldChar w:fldCharType="begin"/>
            </w:r>
            <w:r w:rsidR="00361176">
              <w:rPr>
                <w:noProof/>
                <w:webHidden/>
              </w:rPr>
              <w:instrText xml:space="preserve"> PAGEREF _Toc180491623 \h </w:instrText>
            </w:r>
            <w:r w:rsidR="00361176">
              <w:rPr>
                <w:noProof/>
                <w:webHidden/>
              </w:rPr>
            </w:r>
            <w:r w:rsidR="00361176">
              <w:rPr>
                <w:noProof/>
                <w:webHidden/>
              </w:rPr>
              <w:fldChar w:fldCharType="separate"/>
            </w:r>
            <w:r w:rsidR="009308E6">
              <w:rPr>
                <w:noProof/>
                <w:webHidden/>
              </w:rPr>
              <w:t>88</w:t>
            </w:r>
            <w:r w:rsidR="00361176">
              <w:rPr>
                <w:noProof/>
                <w:webHidden/>
              </w:rPr>
              <w:fldChar w:fldCharType="end"/>
            </w:r>
          </w:hyperlink>
        </w:p>
        <w:p w14:paraId="65D38ABB" w14:textId="5A4A247A"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1627" w:history="1">
            <w:r w:rsidR="00361176" w:rsidRPr="00CC780B">
              <w:rPr>
                <w:rStyle w:val="Hyperlink"/>
                <w:noProof/>
              </w:rPr>
              <w:t>Major projects</w:t>
            </w:r>
            <w:r w:rsidR="00361176">
              <w:rPr>
                <w:noProof/>
                <w:webHidden/>
              </w:rPr>
              <w:tab/>
            </w:r>
            <w:r w:rsidR="00361176">
              <w:rPr>
                <w:noProof/>
                <w:webHidden/>
              </w:rPr>
              <w:fldChar w:fldCharType="begin"/>
            </w:r>
            <w:r w:rsidR="00361176">
              <w:rPr>
                <w:noProof/>
                <w:webHidden/>
              </w:rPr>
              <w:instrText xml:space="preserve"> PAGEREF _Toc180491627 \h </w:instrText>
            </w:r>
            <w:r w:rsidR="00361176">
              <w:rPr>
                <w:noProof/>
                <w:webHidden/>
              </w:rPr>
            </w:r>
            <w:r w:rsidR="00361176">
              <w:rPr>
                <w:noProof/>
                <w:webHidden/>
              </w:rPr>
              <w:fldChar w:fldCharType="separate"/>
            </w:r>
            <w:r w:rsidR="009308E6">
              <w:rPr>
                <w:noProof/>
                <w:webHidden/>
              </w:rPr>
              <w:t>90</w:t>
            </w:r>
            <w:r w:rsidR="00361176">
              <w:rPr>
                <w:noProof/>
                <w:webHidden/>
              </w:rPr>
              <w:fldChar w:fldCharType="end"/>
            </w:r>
          </w:hyperlink>
        </w:p>
        <w:p w14:paraId="58F819BD" w14:textId="11C56E3C"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1631" w:history="1">
            <w:r w:rsidR="00361176" w:rsidRPr="00CC780B">
              <w:rPr>
                <w:rStyle w:val="Hyperlink"/>
                <w:noProof/>
              </w:rPr>
              <w:t>Our regions</w:t>
            </w:r>
            <w:r w:rsidR="00361176">
              <w:rPr>
                <w:noProof/>
                <w:webHidden/>
              </w:rPr>
              <w:tab/>
            </w:r>
            <w:r w:rsidR="00361176">
              <w:rPr>
                <w:noProof/>
                <w:webHidden/>
              </w:rPr>
              <w:fldChar w:fldCharType="begin"/>
            </w:r>
            <w:r w:rsidR="00361176">
              <w:rPr>
                <w:noProof/>
                <w:webHidden/>
              </w:rPr>
              <w:instrText xml:space="preserve"> PAGEREF _Toc180491631 \h </w:instrText>
            </w:r>
            <w:r w:rsidR="00361176">
              <w:rPr>
                <w:noProof/>
                <w:webHidden/>
              </w:rPr>
            </w:r>
            <w:r w:rsidR="00361176">
              <w:rPr>
                <w:noProof/>
                <w:webHidden/>
              </w:rPr>
              <w:fldChar w:fldCharType="separate"/>
            </w:r>
            <w:r w:rsidR="009308E6">
              <w:rPr>
                <w:noProof/>
                <w:webHidden/>
              </w:rPr>
              <w:t>92</w:t>
            </w:r>
            <w:r w:rsidR="00361176">
              <w:rPr>
                <w:noProof/>
                <w:webHidden/>
              </w:rPr>
              <w:fldChar w:fldCharType="end"/>
            </w:r>
          </w:hyperlink>
        </w:p>
        <w:p w14:paraId="256AF38F" w14:textId="70E2AC55" w:rsidR="00361176" w:rsidRDefault="00000000">
          <w:pPr>
            <w:pStyle w:val="TOC1"/>
            <w:tabs>
              <w:tab w:val="right" w:leader="dot" w:pos="9060"/>
            </w:tabs>
            <w:rPr>
              <w:rFonts w:eastAsiaTheme="minorEastAsia" w:cstheme="minorBidi"/>
              <w:b w:val="0"/>
              <w:bCs w:val="0"/>
              <w:noProof/>
              <w:color w:val="auto"/>
              <w:kern w:val="2"/>
              <w:sz w:val="22"/>
              <w:szCs w:val="22"/>
              <w:lang w:eastAsia="en-AU"/>
              <w14:ligatures w14:val="standardContextual"/>
            </w:rPr>
          </w:pPr>
          <w:hyperlink w:anchor="_Toc180491733" w:history="1">
            <w:r w:rsidR="00361176" w:rsidRPr="00CC780B">
              <w:rPr>
                <w:rStyle w:val="Hyperlink"/>
                <w:noProof/>
              </w:rPr>
              <w:t>Accessible to Everyone</w:t>
            </w:r>
            <w:r w:rsidR="00361176">
              <w:rPr>
                <w:noProof/>
                <w:webHidden/>
              </w:rPr>
              <w:tab/>
            </w:r>
            <w:r w:rsidR="00361176">
              <w:rPr>
                <w:noProof/>
                <w:webHidden/>
              </w:rPr>
              <w:fldChar w:fldCharType="begin"/>
            </w:r>
            <w:r w:rsidR="00361176">
              <w:rPr>
                <w:noProof/>
                <w:webHidden/>
              </w:rPr>
              <w:instrText xml:space="preserve"> PAGEREF _Toc180491733 \h </w:instrText>
            </w:r>
            <w:r w:rsidR="00361176">
              <w:rPr>
                <w:noProof/>
                <w:webHidden/>
              </w:rPr>
            </w:r>
            <w:r w:rsidR="00361176">
              <w:rPr>
                <w:noProof/>
                <w:webHidden/>
              </w:rPr>
              <w:fldChar w:fldCharType="separate"/>
            </w:r>
            <w:r w:rsidR="009308E6">
              <w:rPr>
                <w:noProof/>
                <w:webHidden/>
              </w:rPr>
              <w:t>148</w:t>
            </w:r>
            <w:r w:rsidR="00361176">
              <w:rPr>
                <w:noProof/>
                <w:webHidden/>
              </w:rPr>
              <w:fldChar w:fldCharType="end"/>
            </w:r>
          </w:hyperlink>
        </w:p>
        <w:p w14:paraId="130E7DC8" w14:textId="15330361"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1734" w:history="1">
            <w:r w:rsidR="00361176" w:rsidRPr="00CC780B">
              <w:rPr>
                <w:rStyle w:val="Hyperlink"/>
                <w:noProof/>
              </w:rPr>
              <w:t>Highlights</w:t>
            </w:r>
            <w:r w:rsidR="00361176">
              <w:rPr>
                <w:noProof/>
                <w:webHidden/>
              </w:rPr>
              <w:tab/>
            </w:r>
            <w:r w:rsidR="00361176">
              <w:rPr>
                <w:noProof/>
                <w:webHidden/>
              </w:rPr>
              <w:fldChar w:fldCharType="begin"/>
            </w:r>
            <w:r w:rsidR="00361176">
              <w:rPr>
                <w:noProof/>
                <w:webHidden/>
              </w:rPr>
              <w:instrText xml:space="preserve"> PAGEREF _Toc180491734 \h </w:instrText>
            </w:r>
            <w:r w:rsidR="00361176">
              <w:rPr>
                <w:noProof/>
                <w:webHidden/>
              </w:rPr>
            </w:r>
            <w:r w:rsidR="00361176">
              <w:rPr>
                <w:noProof/>
                <w:webHidden/>
              </w:rPr>
              <w:fldChar w:fldCharType="separate"/>
            </w:r>
            <w:r w:rsidR="009308E6">
              <w:rPr>
                <w:noProof/>
                <w:webHidden/>
              </w:rPr>
              <w:t>148</w:t>
            </w:r>
            <w:r w:rsidR="00361176">
              <w:rPr>
                <w:noProof/>
                <w:webHidden/>
              </w:rPr>
              <w:fldChar w:fldCharType="end"/>
            </w:r>
          </w:hyperlink>
        </w:p>
        <w:p w14:paraId="2DFC2A6A" w14:textId="0D895F01"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1735" w:history="1">
            <w:r w:rsidR="00361176" w:rsidRPr="00CC780B">
              <w:rPr>
                <w:rStyle w:val="Hyperlink"/>
                <w:noProof/>
              </w:rPr>
              <w:t>Shaping our products and services with a customer focus</w:t>
            </w:r>
            <w:r w:rsidR="00361176">
              <w:rPr>
                <w:noProof/>
                <w:webHidden/>
              </w:rPr>
              <w:tab/>
            </w:r>
            <w:r w:rsidR="00361176">
              <w:rPr>
                <w:noProof/>
                <w:webHidden/>
              </w:rPr>
              <w:fldChar w:fldCharType="begin"/>
            </w:r>
            <w:r w:rsidR="00361176">
              <w:rPr>
                <w:noProof/>
                <w:webHidden/>
              </w:rPr>
              <w:instrText xml:space="preserve"> PAGEREF _Toc180491735 \h </w:instrText>
            </w:r>
            <w:r w:rsidR="00361176">
              <w:rPr>
                <w:noProof/>
                <w:webHidden/>
              </w:rPr>
            </w:r>
            <w:r w:rsidR="00361176">
              <w:rPr>
                <w:noProof/>
                <w:webHidden/>
              </w:rPr>
              <w:fldChar w:fldCharType="separate"/>
            </w:r>
            <w:r w:rsidR="009308E6">
              <w:rPr>
                <w:noProof/>
                <w:webHidden/>
              </w:rPr>
              <w:t>150</w:t>
            </w:r>
            <w:r w:rsidR="00361176">
              <w:rPr>
                <w:noProof/>
                <w:webHidden/>
              </w:rPr>
              <w:fldChar w:fldCharType="end"/>
            </w:r>
          </w:hyperlink>
        </w:p>
        <w:p w14:paraId="30007937" w14:textId="45C441FE"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1756" w:history="1">
            <w:r w:rsidR="00361176" w:rsidRPr="00CC780B">
              <w:rPr>
                <w:rStyle w:val="Hyperlink"/>
                <w:noProof/>
                <w:lang w:val="en-US"/>
              </w:rPr>
              <w:t>Digitising customer interactions</w:t>
            </w:r>
            <w:r w:rsidR="00361176">
              <w:rPr>
                <w:noProof/>
                <w:webHidden/>
              </w:rPr>
              <w:tab/>
            </w:r>
            <w:r w:rsidR="00361176">
              <w:rPr>
                <w:noProof/>
                <w:webHidden/>
              </w:rPr>
              <w:fldChar w:fldCharType="begin"/>
            </w:r>
            <w:r w:rsidR="00361176">
              <w:rPr>
                <w:noProof/>
                <w:webHidden/>
              </w:rPr>
              <w:instrText xml:space="preserve"> PAGEREF _Toc180491756 \h </w:instrText>
            </w:r>
            <w:r w:rsidR="00361176">
              <w:rPr>
                <w:noProof/>
                <w:webHidden/>
              </w:rPr>
            </w:r>
            <w:r w:rsidR="00361176">
              <w:rPr>
                <w:noProof/>
                <w:webHidden/>
              </w:rPr>
              <w:fldChar w:fldCharType="separate"/>
            </w:r>
            <w:r w:rsidR="009308E6">
              <w:rPr>
                <w:noProof/>
                <w:webHidden/>
              </w:rPr>
              <w:t>163</w:t>
            </w:r>
            <w:r w:rsidR="00361176">
              <w:rPr>
                <w:noProof/>
                <w:webHidden/>
              </w:rPr>
              <w:fldChar w:fldCharType="end"/>
            </w:r>
          </w:hyperlink>
        </w:p>
        <w:p w14:paraId="02525F1E" w14:textId="32CDF2D3"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1760" w:history="1">
            <w:r w:rsidR="00361176" w:rsidRPr="00CC780B">
              <w:rPr>
                <w:rStyle w:val="Hyperlink"/>
                <w:noProof/>
              </w:rPr>
              <w:t>Engaging with industry</w:t>
            </w:r>
            <w:r w:rsidR="00361176">
              <w:rPr>
                <w:noProof/>
                <w:webHidden/>
              </w:rPr>
              <w:tab/>
            </w:r>
            <w:r w:rsidR="00361176">
              <w:rPr>
                <w:noProof/>
                <w:webHidden/>
              </w:rPr>
              <w:fldChar w:fldCharType="begin"/>
            </w:r>
            <w:r w:rsidR="00361176">
              <w:rPr>
                <w:noProof/>
                <w:webHidden/>
              </w:rPr>
              <w:instrText xml:space="preserve"> PAGEREF _Toc180491760 \h </w:instrText>
            </w:r>
            <w:r w:rsidR="00361176">
              <w:rPr>
                <w:noProof/>
                <w:webHidden/>
              </w:rPr>
            </w:r>
            <w:r w:rsidR="00361176">
              <w:rPr>
                <w:noProof/>
                <w:webHidden/>
              </w:rPr>
              <w:fldChar w:fldCharType="separate"/>
            </w:r>
            <w:r w:rsidR="009308E6">
              <w:rPr>
                <w:noProof/>
                <w:webHidden/>
              </w:rPr>
              <w:t>165</w:t>
            </w:r>
            <w:r w:rsidR="00361176">
              <w:rPr>
                <w:noProof/>
                <w:webHidden/>
              </w:rPr>
              <w:fldChar w:fldCharType="end"/>
            </w:r>
          </w:hyperlink>
        </w:p>
        <w:p w14:paraId="76C64F60" w14:textId="0F15C8BD"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1765" w:history="1">
            <w:r w:rsidR="00361176" w:rsidRPr="00CC780B">
              <w:rPr>
                <w:rStyle w:val="Hyperlink"/>
                <w:noProof/>
              </w:rPr>
              <w:t>Delivering with partners</w:t>
            </w:r>
            <w:r w:rsidR="00361176">
              <w:rPr>
                <w:noProof/>
                <w:webHidden/>
              </w:rPr>
              <w:tab/>
            </w:r>
            <w:r w:rsidR="00361176">
              <w:rPr>
                <w:noProof/>
                <w:webHidden/>
              </w:rPr>
              <w:fldChar w:fldCharType="begin"/>
            </w:r>
            <w:r w:rsidR="00361176">
              <w:rPr>
                <w:noProof/>
                <w:webHidden/>
              </w:rPr>
              <w:instrText xml:space="preserve"> PAGEREF _Toc180491765 \h </w:instrText>
            </w:r>
            <w:r w:rsidR="00361176">
              <w:rPr>
                <w:noProof/>
                <w:webHidden/>
              </w:rPr>
            </w:r>
            <w:r w:rsidR="00361176">
              <w:rPr>
                <w:noProof/>
                <w:webHidden/>
              </w:rPr>
              <w:fldChar w:fldCharType="separate"/>
            </w:r>
            <w:r w:rsidR="009308E6">
              <w:rPr>
                <w:noProof/>
                <w:webHidden/>
              </w:rPr>
              <w:t>168</w:t>
            </w:r>
            <w:r w:rsidR="00361176">
              <w:rPr>
                <w:noProof/>
                <w:webHidden/>
              </w:rPr>
              <w:fldChar w:fldCharType="end"/>
            </w:r>
          </w:hyperlink>
        </w:p>
        <w:p w14:paraId="7C846A59" w14:textId="32A27D47"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1776" w:history="1">
            <w:r w:rsidR="00361176" w:rsidRPr="00CC780B">
              <w:rPr>
                <w:rStyle w:val="Hyperlink"/>
                <w:noProof/>
              </w:rPr>
              <w:t>Preserving our history and heritage</w:t>
            </w:r>
            <w:r w:rsidR="00361176">
              <w:rPr>
                <w:noProof/>
                <w:webHidden/>
              </w:rPr>
              <w:tab/>
            </w:r>
            <w:r w:rsidR="00361176">
              <w:rPr>
                <w:noProof/>
                <w:webHidden/>
              </w:rPr>
              <w:fldChar w:fldCharType="begin"/>
            </w:r>
            <w:r w:rsidR="00361176">
              <w:rPr>
                <w:noProof/>
                <w:webHidden/>
              </w:rPr>
              <w:instrText xml:space="preserve"> PAGEREF _Toc180491776 \h </w:instrText>
            </w:r>
            <w:r w:rsidR="00361176">
              <w:rPr>
                <w:noProof/>
                <w:webHidden/>
              </w:rPr>
            </w:r>
            <w:r w:rsidR="00361176">
              <w:rPr>
                <w:noProof/>
                <w:webHidden/>
              </w:rPr>
              <w:fldChar w:fldCharType="separate"/>
            </w:r>
            <w:r w:rsidR="009308E6">
              <w:rPr>
                <w:noProof/>
                <w:webHidden/>
              </w:rPr>
              <w:t>176</w:t>
            </w:r>
            <w:r w:rsidR="00361176">
              <w:rPr>
                <w:noProof/>
                <w:webHidden/>
              </w:rPr>
              <w:fldChar w:fldCharType="end"/>
            </w:r>
          </w:hyperlink>
        </w:p>
        <w:p w14:paraId="5BA64F14" w14:textId="6A1B8664"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1783" w:history="1">
            <w:r w:rsidR="00361176" w:rsidRPr="00CC780B">
              <w:rPr>
                <w:rStyle w:val="Hyperlink"/>
                <w:noProof/>
              </w:rPr>
              <w:t>Road safety</w:t>
            </w:r>
            <w:r w:rsidR="00361176">
              <w:rPr>
                <w:noProof/>
                <w:webHidden/>
              </w:rPr>
              <w:tab/>
            </w:r>
            <w:r w:rsidR="00361176">
              <w:rPr>
                <w:noProof/>
                <w:webHidden/>
              </w:rPr>
              <w:fldChar w:fldCharType="begin"/>
            </w:r>
            <w:r w:rsidR="00361176">
              <w:rPr>
                <w:noProof/>
                <w:webHidden/>
              </w:rPr>
              <w:instrText xml:space="preserve"> PAGEREF _Toc180491783 \h </w:instrText>
            </w:r>
            <w:r w:rsidR="00361176">
              <w:rPr>
                <w:noProof/>
                <w:webHidden/>
              </w:rPr>
            </w:r>
            <w:r w:rsidR="00361176">
              <w:rPr>
                <w:noProof/>
                <w:webHidden/>
              </w:rPr>
              <w:fldChar w:fldCharType="separate"/>
            </w:r>
            <w:r w:rsidR="009308E6">
              <w:rPr>
                <w:noProof/>
                <w:webHidden/>
              </w:rPr>
              <w:t>180</w:t>
            </w:r>
            <w:r w:rsidR="00361176">
              <w:rPr>
                <w:noProof/>
                <w:webHidden/>
              </w:rPr>
              <w:fldChar w:fldCharType="end"/>
            </w:r>
          </w:hyperlink>
        </w:p>
        <w:p w14:paraId="226D5A35" w14:textId="368E9CF8"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1795" w:history="1">
            <w:r w:rsidR="00361176" w:rsidRPr="00CC780B">
              <w:rPr>
                <w:rStyle w:val="Hyperlink"/>
                <w:noProof/>
              </w:rPr>
              <w:t>Rail safety</w:t>
            </w:r>
            <w:r w:rsidR="00361176">
              <w:rPr>
                <w:noProof/>
                <w:webHidden/>
              </w:rPr>
              <w:tab/>
            </w:r>
            <w:r w:rsidR="00361176">
              <w:rPr>
                <w:noProof/>
                <w:webHidden/>
              </w:rPr>
              <w:fldChar w:fldCharType="begin"/>
            </w:r>
            <w:r w:rsidR="00361176">
              <w:rPr>
                <w:noProof/>
                <w:webHidden/>
              </w:rPr>
              <w:instrText xml:space="preserve"> PAGEREF _Toc180491795 \h </w:instrText>
            </w:r>
            <w:r w:rsidR="00361176">
              <w:rPr>
                <w:noProof/>
                <w:webHidden/>
              </w:rPr>
            </w:r>
            <w:r w:rsidR="00361176">
              <w:rPr>
                <w:noProof/>
                <w:webHidden/>
              </w:rPr>
              <w:fldChar w:fldCharType="separate"/>
            </w:r>
            <w:r w:rsidR="009308E6">
              <w:rPr>
                <w:noProof/>
                <w:webHidden/>
              </w:rPr>
              <w:t>188</w:t>
            </w:r>
            <w:r w:rsidR="00361176">
              <w:rPr>
                <w:noProof/>
                <w:webHidden/>
              </w:rPr>
              <w:fldChar w:fldCharType="end"/>
            </w:r>
          </w:hyperlink>
        </w:p>
        <w:p w14:paraId="6B3436C4" w14:textId="694EB3E3"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1797" w:history="1">
            <w:r w:rsidR="00361176" w:rsidRPr="00CC780B">
              <w:rPr>
                <w:rStyle w:val="Hyperlink"/>
                <w:noProof/>
              </w:rPr>
              <w:t>Marine safety</w:t>
            </w:r>
            <w:r w:rsidR="00361176">
              <w:rPr>
                <w:noProof/>
                <w:webHidden/>
              </w:rPr>
              <w:tab/>
            </w:r>
            <w:r w:rsidR="00361176">
              <w:rPr>
                <w:noProof/>
                <w:webHidden/>
              </w:rPr>
              <w:fldChar w:fldCharType="begin"/>
            </w:r>
            <w:r w:rsidR="00361176">
              <w:rPr>
                <w:noProof/>
                <w:webHidden/>
              </w:rPr>
              <w:instrText xml:space="preserve"> PAGEREF _Toc180491797 \h </w:instrText>
            </w:r>
            <w:r w:rsidR="00361176">
              <w:rPr>
                <w:noProof/>
                <w:webHidden/>
              </w:rPr>
            </w:r>
            <w:r w:rsidR="00361176">
              <w:rPr>
                <w:noProof/>
                <w:webHidden/>
              </w:rPr>
              <w:fldChar w:fldCharType="separate"/>
            </w:r>
            <w:r w:rsidR="009308E6">
              <w:rPr>
                <w:noProof/>
                <w:webHidden/>
              </w:rPr>
              <w:t>189</w:t>
            </w:r>
            <w:r w:rsidR="00361176">
              <w:rPr>
                <w:noProof/>
                <w:webHidden/>
              </w:rPr>
              <w:fldChar w:fldCharType="end"/>
            </w:r>
          </w:hyperlink>
        </w:p>
        <w:p w14:paraId="2ABEDFFE" w14:textId="475AC39E"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1809" w:history="1">
            <w:r w:rsidR="00361176" w:rsidRPr="00CC780B">
              <w:rPr>
                <w:rStyle w:val="Hyperlink"/>
                <w:noProof/>
              </w:rPr>
              <w:t>Designing solutions that create value</w:t>
            </w:r>
            <w:r w:rsidR="00361176">
              <w:rPr>
                <w:noProof/>
                <w:webHidden/>
              </w:rPr>
              <w:tab/>
            </w:r>
            <w:r w:rsidR="00361176">
              <w:rPr>
                <w:noProof/>
                <w:webHidden/>
              </w:rPr>
              <w:fldChar w:fldCharType="begin"/>
            </w:r>
            <w:r w:rsidR="00361176">
              <w:rPr>
                <w:noProof/>
                <w:webHidden/>
              </w:rPr>
              <w:instrText xml:space="preserve"> PAGEREF _Toc180491809 \h </w:instrText>
            </w:r>
            <w:r w:rsidR="00361176">
              <w:rPr>
                <w:noProof/>
                <w:webHidden/>
              </w:rPr>
            </w:r>
            <w:r w:rsidR="00361176">
              <w:rPr>
                <w:noProof/>
                <w:webHidden/>
              </w:rPr>
              <w:fldChar w:fldCharType="separate"/>
            </w:r>
            <w:r w:rsidR="009308E6">
              <w:rPr>
                <w:noProof/>
                <w:webHidden/>
              </w:rPr>
              <w:t>196</w:t>
            </w:r>
            <w:r w:rsidR="00361176">
              <w:rPr>
                <w:noProof/>
                <w:webHidden/>
              </w:rPr>
              <w:fldChar w:fldCharType="end"/>
            </w:r>
          </w:hyperlink>
        </w:p>
        <w:p w14:paraId="33537E09" w14:textId="69CCEE40"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1819" w:history="1">
            <w:r w:rsidR="00361176" w:rsidRPr="00CC780B">
              <w:rPr>
                <w:rStyle w:val="Hyperlink"/>
                <w:noProof/>
              </w:rPr>
              <w:t>Reducing the impact of network disruption</w:t>
            </w:r>
            <w:r w:rsidR="00361176">
              <w:rPr>
                <w:noProof/>
                <w:webHidden/>
              </w:rPr>
              <w:tab/>
            </w:r>
            <w:r w:rsidR="00361176">
              <w:rPr>
                <w:noProof/>
                <w:webHidden/>
              </w:rPr>
              <w:fldChar w:fldCharType="begin"/>
            </w:r>
            <w:r w:rsidR="00361176">
              <w:rPr>
                <w:noProof/>
                <w:webHidden/>
              </w:rPr>
              <w:instrText xml:space="preserve"> PAGEREF _Toc180491819 \h </w:instrText>
            </w:r>
            <w:r w:rsidR="00361176">
              <w:rPr>
                <w:noProof/>
                <w:webHidden/>
              </w:rPr>
            </w:r>
            <w:r w:rsidR="00361176">
              <w:rPr>
                <w:noProof/>
                <w:webHidden/>
              </w:rPr>
              <w:fldChar w:fldCharType="separate"/>
            </w:r>
            <w:r w:rsidR="009308E6">
              <w:rPr>
                <w:noProof/>
                <w:webHidden/>
              </w:rPr>
              <w:t>202</w:t>
            </w:r>
            <w:r w:rsidR="00361176">
              <w:rPr>
                <w:noProof/>
                <w:webHidden/>
              </w:rPr>
              <w:fldChar w:fldCharType="end"/>
            </w:r>
          </w:hyperlink>
        </w:p>
        <w:p w14:paraId="44B82672" w14:textId="3AADADB8" w:rsidR="00361176" w:rsidRDefault="00000000">
          <w:pPr>
            <w:pStyle w:val="TOC1"/>
            <w:tabs>
              <w:tab w:val="right" w:leader="dot" w:pos="9060"/>
            </w:tabs>
            <w:rPr>
              <w:rFonts w:eastAsiaTheme="minorEastAsia" w:cstheme="minorBidi"/>
              <w:b w:val="0"/>
              <w:bCs w:val="0"/>
              <w:noProof/>
              <w:color w:val="auto"/>
              <w:kern w:val="2"/>
              <w:sz w:val="22"/>
              <w:szCs w:val="22"/>
              <w:lang w:eastAsia="en-AU"/>
              <w14:ligatures w14:val="standardContextual"/>
            </w:rPr>
          </w:pPr>
          <w:hyperlink w:anchor="_Toc180491824" w:history="1">
            <w:r w:rsidR="00361176" w:rsidRPr="00CC780B">
              <w:rPr>
                <w:rStyle w:val="Hyperlink"/>
                <w:noProof/>
              </w:rPr>
              <w:t>Customer and Digital</w:t>
            </w:r>
            <w:r w:rsidR="00361176">
              <w:rPr>
                <w:noProof/>
                <w:webHidden/>
              </w:rPr>
              <w:tab/>
            </w:r>
            <w:r w:rsidR="00361176">
              <w:rPr>
                <w:noProof/>
                <w:webHidden/>
              </w:rPr>
              <w:fldChar w:fldCharType="begin"/>
            </w:r>
            <w:r w:rsidR="00361176">
              <w:rPr>
                <w:noProof/>
                <w:webHidden/>
              </w:rPr>
              <w:instrText xml:space="preserve"> PAGEREF _Toc180491824 \h </w:instrText>
            </w:r>
            <w:r w:rsidR="00361176">
              <w:rPr>
                <w:noProof/>
                <w:webHidden/>
              </w:rPr>
            </w:r>
            <w:r w:rsidR="00361176">
              <w:rPr>
                <w:noProof/>
                <w:webHidden/>
              </w:rPr>
              <w:fldChar w:fldCharType="separate"/>
            </w:r>
            <w:r w:rsidR="009308E6">
              <w:rPr>
                <w:noProof/>
                <w:webHidden/>
              </w:rPr>
              <w:t>205</w:t>
            </w:r>
            <w:r w:rsidR="00361176">
              <w:rPr>
                <w:noProof/>
                <w:webHidden/>
              </w:rPr>
              <w:fldChar w:fldCharType="end"/>
            </w:r>
          </w:hyperlink>
        </w:p>
        <w:p w14:paraId="67A7BD40" w14:textId="574498A0"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1825" w:history="1">
            <w:r w:rsidR="00361176" w:rsidRPr="00CC780B">
              <w:rPr>
                <w:rStyle w:val="Hyperlink"/>
                <w:noProof/>
              </w:rPr>
              <w:t>Highlights</w:t>
            </w:r>
            <w:r w:rsidR="00361176">
              <w:rPr>
                <w:noProof/>
                <w:webHidden/>
              </w:rPr>
              <w:tab/>
            </w:r>
            <w:r w:rsidR="00361176">
              <w:rPr>
                <w:noProof/>
                <w:webHidden/>
              </w:rPr>
              <w:fldChar w:fldCharType="begin"/>
            </w:r>
            <w:r w:rsidR="00361176">
              <w:rPr>
                <w:noProof/>
                <w:webHidden/>
              </w:rPr>
              <w:instrText xml:space="preserve"> PAGEREF _Toc180491825 \h </w:instrText>
            </w:r>
            <w:r w:rsidR="00361176">
              <w:rPr>
                <w:noProof/>
                <w:webHidden/>
              </w:rPr>
            </w:r>
            <w:r w:rsidR="00361176">
              <w:rPr>
                <w:noProof/>
                <w:webHidden/>
              </w:rPr>
              <w:fldChar w:fldCharType="separate"/>
            </w:r>
            <w:r w:rsidR="009308E6">
              <w:rPr>
                <w:noProof/>
                <w:webHidden/>
              </w:rPr>
              <w:t>205</w:t>
            </w:r>
            <w:r w:rsidR="00361176">
              <w:rPr>
                <w:noProof/>
                <w:webHidden/>
              </w:rPr>
              <w:fldChar w:fldCharType="end"/>
            </w:r>
          </w:hyperlink>
        </w:p>
        <w:p w14:paraId="29143849" w14:textId="7FDB15B1"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1826" w:history="1">
            <w:r w:rsidR="00361176" w:rsidRPr="00CC780B">
              <w:rPr>
                <w:rStyle w:val="Hyperlink"/>
                <w:noProof/>
              </w:rPr>
              <w:t>Digital government</w:t>
            </w:r>
            <w:r w:rsidR="00361176">
              <w:rPr>
                <w:noProof/>
                <w:webHidden/>
              </w:rPr>
              <w:tab/>
            </w:r>
            <w:r w:rsidR="00361176">
              <w:rPr>
                <w:noProof/>
                <w:webHidden/>
              </w:rPr>
              <w:fldChar w:fldCharType="begin"/>
            </w:r>
            <w:r w:rsidR="00361176">
              <w:rPr>
                <w:noProof/>
                <w:webHidden/>
              </w:rPr>
              <w:instrText xml:space="preserve"> PAGEREF _Toc180491826 \h </w:instrText>
            </w:r>
            <w:r w:rsidR="00361176">
              <w:rPr>
                <w:noProof/>
                <w:webHidden/>
              </w:rPr>
            </w:r>
            <w:r w:rsidR="00361176">
              <w:rPr>
                <w:noProof/>
                <w:webHidden/>
              </w:rPr>
              <w:fldChar w:fldCharType="separate"/>
            </w:r>
            <w:r w:rsidR="009308E6">
              <w:rPr>
                <w:noProof/>
                <w:webHidden/>
              </w:rPr>
              <w:t>207</w:t>
            </w:r>
            <w:r w:rsidR="00361176">
              <w:rPr>
                <w:noProof/>
                <w:webHidden/>
              </w:rPr>
              <w:fldChar w:fldCharType="end"/>
            </w:r>
          </w:hyperlink>
        </w:p>
        <w:p w14:paraId="541CF281" w14:textId="23404D79"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1833" w:history="1">
            <w:r w:rsidR="00361176" w:rsidRPr="00CC780B">
              <w:rPr>
                <w:rStyle w:val="Hyperlink"/>
                <w:noProof/>
              </w:rPr>
              <w:t>Digital customer</w:t>
            </w:r>
            <w:r w:rsidR="00361176">
              <w:rPr>
                <w:noProof/>
                <w:webHidden/>
              </w:rPr>
              <w:tab/>
            </w:r>
            <w:r w:rsidR="00361176">
              <w:rPr>
                <w:noProof/>
                <w:webHidden/>
              </w:rPr>
              <w:fldChar w:fldCharType="begin"/>
            </w:r>
            <w:r w:rsidR="00361176">
              <w:rPr>
                <w:noProof/>
                <w:webHidden/>
              </w:rPr>
              <w:instrText xml:space="preserve"> PAGEREF _Toc180491833 \h </w:instrText>
            </w:r>
            <w:r w:rsidR="00361176">
              <w:rPr>
                <w:noProof/>
                <w:webHidden/>
              </w:rPr>
            </w:r>
            <w:r w:rsidR="00361176">
              <w:rPr>
                <w:noProof/>
                <w:webHidden/>
              </w:rPr>
              <w:fldChar w:fldCharType="separate"/>
            </w:r>
            <w:r w:rsidR="009308E6">
              <w:rPr>
                <w:noProof/>
                <w:webHidden/>
              </w:rPr>
              <w:t>211</w:t>
            </w:r>
            <w:r w:rsidR="00361176">
              <w:rPr>
                <w:noProof/>
                <w:webHidden/>
              </w:rPr>
              <w:fldChar w:fldCharType="end"/>
            </w:r>
          </w:hyperlink>
        </w:p>
        <w:p w14:paraId="75900D32" w14:textId="267A3980"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1837" w:history="1">
            <w:r w:rsidR="00361176" w:rsidRPr="00CC780B">
              <w:rPr>
                <w:rStyle w:val="Hyperlink"/>
                <w:noProof/>
              </w:rPr>
              <w:t>Digital economy</w:t>
            </w:r>
            <w:r w:rsidR="00361176">
              <w:rPr>
                <w:noProof/>
                <w:webHidden/>
              </w:rPr>
              <w:tab/>
            </w:r>
            <w:r w:rsidR="00361176">
              <w:rPr>
                <w:noProof/>
                <w:webHidden/>
              </w:rPr>
              <w:fldChar w:fldCharType="begin"/>
            </w:r>
            <w:r w:rsidR="00361176">
              <w:rPr>
                <w:noProof/>
                <w:webHidden/>
              </w:rPr>
              <w:instrText xml:space="preserve"> PAGEREF _Toc180491837 \h </w:instrText>
            </w:r>
            <w:r w:rsidR="00361176">
              <w:rPr>
                <w:noProof/>
                <w:webHidden/>
              </w:rPr>
            </w:r>
            <w:r w:rsidR="00361176">
              <w:rPr>
                <w:noProof/>
                <w:webHidden/>
              </w:rPr>
              <w:fldChar w:fldCharType="separate"/>
            </w:r>
            <w:r w:rsidR="009308E6">
              <w:rPr>
                <w:noProof/>
                <w:webHidden/>
              </w:rPr>
              <w:t>213</w:t>
            </w:r>
            <w:r w:rsidR="00361176">
              <w:rPr>
                <w:noProof/>
                <w:webHidden/>
              </w:rPr>
              <w:fldChar w:fldCharType="end"/>
            </w:r>
          </w:hyperlink>
        </w:p>
        <w:p w14:paraId="4FCC8FF5" w14:textId="2E4957AD" w:rsidR="00361176" w:rsidRDefault="00000000">
          <w:pPr>
            <w:pStyle w:val="TOC1"/>
            <w:tabs>
              <w:tab w:val="right" w:leader="dot" w:pos="9060"/>
            </w:tabs>
            <w:rPr>
              <w:rFonts w:eastAsiaTheme="minorEastAsia" w:cstheme="minorBidi"/>
              <w:b w:val="0"/>
              <w:bCs w:val="0"/>
              <w:noProof/>
              <w:color w:val="auto"/>
              <w:kern w:val="2"/>
              <w:sz w:val="22"/>
              <w:szCs w:val="22"/>
              <w:lang w:eastAsia="en-AU"/>
              <w14:ligatures w14:val="standardContextual"/>
            </w:rPr>
          </w:pPr>
          <w:hyperlink w:anchor="_Toc180491842" w:history="1">
            <w:r w:rsidR="00361176" w:rsidRPr="00CC780B">
              <w:rPr>
                <w:rStyle w:val="Hyperlink"/>
                <w:noProof/>
              </w:rPr>
              <w:t>Our People</w:t>
            </w:r>
            <w:r w:rsidR="00361176">
              <w:rPr>
                <w:noProof/>
                <w:webHidden/>
              </w:rPr>
              <w:tab/>
            </w:r>
            <w:r w:rsidR="00361176">
              <w:rPr>
                <w:noProof/>
                <w:webHidden/>
              </w:rPr>
              <w:fldChar w:fldCharType="begin"/>
            </w:r>
            <w:r w:rsidR="00361176">
              <w:rPr>
                <w:noProof/>
                <w:webHidden/>
              </w:rPr>
              <w:instrText xml:space="preserve"> PAGEREF _Toc180491842 \h </w:instrText>
            </w:r>
            <w:r w:rsidR="00361176">
              <w:rPr>
                <w:noProof/>
                <w:webHidden/>
              </w:rPr>
            </w:r>
            <w:r w:rsidR="00361176">
              <w:rPr>
                <w:noProof/>
                <w:webHidden/>
              </w:rPr>
              <w:fldChar w:fldCharType="separate"/>
            </w:r>
            <w:r w:rsidR="009308E6">
              <w:rPr>
                <w:noProof/>
                <w:webHidden/>
              </w:rPr>
              <w:t>215</w:t>
            </w:r>
            <w:r w:rsidR="00361176">
              <w:rPr>
                <w:noProof/>
                <w:webHidden/>
              </w:rPr>
              <w:fldChar w:fldCharType="end"/>
            </w:r>
          </w:hyperlink>
        </w:p>
        <w:p w14:paraId="75BB8530" w14:textId="2006E7E3"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1843" w:history="1">
            <w:r w:rsidR="00361176" w:rsidRPr="00CC780B">
              <w:rPr>
                <w:rStyle w:val="Hyperlink"/>
                <w:noProof/>
              </w:rPr>
              <w:t>Highlights</w:t>
            </w:r>
            <w:r w:rsidR="00361176">
              <w:rPr>
                <w:noProof/>
                <w:webHidden/>
              </w:rPr>
              <w:tab/>
            </w:r>
            <w:r w:rsidR="00361176">
              <w:rPr>
                <w:noProof/>
                <w:webHidden/>
              </w:rPr>
              <w:fldChar w:fldCharType="begin"/>
            </w:r>
            <w:r w:rsidR="00361176">
              <w:rPr>
                <w:noProof/>
                <w:webHidden/>
              </w:rPr>
              <w:instrText xml:space="preserve"> PAGEREF _Toc180491843 \h </w:instrText>
            </w:r>
            <w:r w:rsidR="00361176">
              <w:rPr>
                <w:noProof/>
                <w:webHidden/>
              </w:rPr>
            </w:r>
            <w:r w:rsidR="00361176">
              <w:rPr>
                <w:noProof/>
                <w:webHidden/>
              </w:rPr>
              <w:fldChar w:fldCharType="separate"/>
            </w:r>
            <w:r w:rsidR="009308E6">
              <w:rPr>
                <w:noProof/>
                <w:webHidden/>
              </w:rPr>
              <w:t>215</w:t>
            </w:r>
            <w:r w:rsidR="00361176">
              <w:rPr>
                <w:noProof/>
                <w:webHidden/>
              </w:rPr>
              <w:fldChar w:fldCharType="end"/>
            </w:r>
          </w:hyperlink>
        </w:p>
        <w:p w14:paraId="35F184D0" w14:textId="0399EE96"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1844" w:history="1">
            <w:r w:rsidR="00361176" w:rsidRPr="00CC780B">
              <w:rPr>
                <w:rStyle w:val="Hyperlink"/>
                <w:noProof/>
                <w:lang w:val="en-US"/>
              </w:rPr>
              <w:t>TMR People and Culture–Year in review</w:t>
            </w:r>
            <w:r w:rsidR="00361176">
              <w:rPr>
                <w:noProof/>
                <w:webHidden/>
              </w:rPr>
              <w:tab/>
            </w:r>
            <w:r w:rsidR="00361176">
              <w:rPr>
                <w:noProof/>
                <w:webHidden/>
              </w:rPr>
              <w:fldChar w:fldCharType="begin"/>
            </w:r>
            <w:r w:rsidR="00361176">
              <w:rPr>
                <w:noProof/>
                <w:webHidden/>
              </w:rPr>
              <w:instrText xml:space="preserve"> PAGEREF _Toc180491844 \h </w:instrText>
            </w:r>
            <w:r w:rsidR="00361176">
              <w:rPr>
                <w:noProof/>
                <w:webHidden/>
              </w:rPr>
            </w:r>
            <w:r w:rsidR="00361176">
              <w:rPr>
                <w:noProof/>
                <w:webHidden/>
              </w:rPr>
              <w:fldChar w:fldCharType="separate"/>
            </w:r>
            <w:r w:rsidR="009308E6">
              <w:rPr>
                <w:noProof/>
                <w:webHidden/>
              </w:rPr>
              <w:t>217</w:t>
            </w:r>
            <w:r w:rsidR="00361176">
              <w:rPr>
                <w:noProof/>
                <w:webHidden/>
              </w:rPr>
              <w:fldChar w:fldCharType="end"/>
            </w:r>
          </w:hyperlink>
        </w:p>
        <w:p w14:paraId="0D80FB81" w14:textId="396A3C14"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1845" w:history="1">
            <w:r w:rsidR="00361176" w:rsidRPr="00CC780B">
              <w:rPr>
                <w:rStyle w:val="Hyperlink"/>
                <w:noProof/>
              </w:rPr>
              <w:t>Establishing an agile and future ready workforce</w:t>
            </w:r>
            <w:r w:rsidR="00361176">
              <w:rPr>
                <w:noProof/>
                <w:webHidden/>
              </w:rPr>
              <w:tab/>
            </w:r>
            <w:r w:rsidR="00361176">
              <w:rPr>
                <w:noProof/>
                <w:webHidden/>
              </w:rPr>
              <w:fldChar w:fldCharType="begin"/>
            </w:r>
            <w:r w:rsidR="00361176">
              <w:rPr>
                <w:noProof/>
                <w:webHidden/>
              </w:rPr>
              <w:instrText xml:space="preserve"> PAGEREF _Toc180491845 \h </w:instrText>
            </w:r>
            <w:r w:rsidR="00361176">
              <w:rPr>
                <w:noProof/>
                <w:webHidden/>
              </w:rPr>
            </w:r>
            <w:r w:rsidR="00361176">
              <w:rPr>
                <w:noProof/>
                <w:webHidden/>
              </w:rPr>
              <w:fldChar w:fldCharType="separate"/>
            </w:r>
            <w:r w:rsidR="009308E6">
              <w:rPr>
                <w:noProof/>
                <w:webHidden/>
              </w:rPr>
              <w:t>220</w:t>
            </w:r>
            <w:r w:rsidR="00361176">
              <w:rPr>
                <w:noProof/>
                <w:webHidden/>
              </w:rPr>
              <w:fldChar w:fldCharType="end"/>
            </w:r>
          </w:hyperlink>
        </w:p>
        <w:p w14:paraId="79E4A147" w14:textId="0F25A0D9"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1854" w:history="1">
            <w:r w:rsidR="00361176" w:rsidRPr="00CC780B">
              <w:rPr>
                <w:rStyle w:val="Hyperlink"/>
                <w:noProof/>
              </w:rPr>
              <w:t>Digital uplift of our information and processes</w:t>
            </w:r>
            <w:r w:rsidR="00361176">
              <w:rPr>
                <w:noProof/>
                <w:webHidden/>
              </w:rPr>
              <w:tab/>
            </w:r>
            <w:r w:rsidR="00361176">
              <w:rPr>
                <w:noProof/>
                <w:webHidden/>
              </w:rPr>
              <w:fldChar w:fldCharType="begin"/>
            </w:r>
            <w:r w:rsidR="00361176">
              <w:rPr>
                <w:noProof/>
                <w:webHidden/>
              </w:rPr>
              <w:instrText xml:space="preserve"> PAGEREF _Toc180491854 \h </w:instrText>
            </w:r>
            <w:r w:rsidR="00361176">
              <w:rPr>
                <w:noProof/>
                <w:webHidden/>
              </w:rPr>
            </w:r>
            <w:r w:rsidR="00361176">
              <w:rPr>
                <w:noProof/>
                <w:webHidden/>
              </w:rPr>
              <w:fldChar w:fldCharType="separate"/>
            </w:r>
            <w:r w:rsidR="009308E6">
              <w:rPr>
                <w:noProof/>
                <w:webHidden/>
              </w:rPr>
              <w:t>232</w:t>
            </w:r>
            <w:r w:rsidR="00361176">
              <w:rPr>
                <w:noProof/>
                <w:webHidden/>
              </w:rPr>
              <w:fldChar w:fldCharType="end"/>
            </w:r>
          </w:hyperlink>
        </w:p>
        <w:p w14:paraId="56E3C81C" w14:textId="3DE51056"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1858" w:history="1">
            <w:r w:rsidR="00361176" w:rsidRPr="00CC780B">
              <w:rPr>
                <w:rStyle w:val="Hyperlink"/>
                <w:noProof/>
              </w:rPr>
              <w:t>Creating a diverse and inclusive workforce</w:t>
            </w:r>
            <w:r w:rsidR="00361176">
              <w:rPr>
                <w:noProof/>
                <w:webHidden/>
              </w:rPr>
              <w:tab/>
            </w:r>
            <w:r w:rsidR="00361176">
              <w:rPr>
                <w:noProof/>
                <w:webHidden/>
              </w:rPr>
              <w:fldChar w:fldCharType="begin"/>
            </w:r>
            <w:r w:rsidR="00361176">
              <w:rPr>
                <w:noProof/>
                <w:webHidden/>
              </w:rPr>
              <w:instrText xml:space="preserve"> PAGEREF _Toc180491858 \h </w:instrText>
            </w:r>
            <w:r w:rsidR="00361176">
              <w:rPr>
                <w:noProof/>
                <w:webHidden/>
              </w:rPr>
            </w:r>
            <w:r w:rsidR="00361176">
              <w:rPr>
                <w:noProof/>
                <w:webHidden/>
              </w:rPr>
              <w:fldChar w:fldCharType="separate"/>
            </w:r>
            <w:r w:rsidR="009308E6">
              <w:rPr>
                <w:noProof/>
                <w:webHidden/>
              </w:rPr>
              <w:t>234</w:t>
            </w:r>
            <w:r w:rsidR="00361176">
              <w:rPr>
                <w:noProof/>
                <w:webHidden/>
              </w:rPr>
              <w:fldChar w:fldCharType="end"/>
            </w:r>
          </w:hyperlink>
        </w:p>
        <w:p w14:paraId="4CBB8BE5" w14:textId="69388649"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1870" w:history="1">
            <w:r w:rsidR="00361176" w:rsidRPr="00CC780B">
              <w:rPr>
                <w:rStyle w:val="Hyperlink"/>
                <w:noProof/>
              </w:rPr>
              <w:t>Attracting talented people</w:t>
            </w:r>
            <w:r w:rsidR="00361176">
              <w:rPr>
                <w:noProof/>
                <w:webHidden/>
              </w:rPr>
              <w:tab/>
            </w:r>
            <w:r w:rsidR="00361176">
              <w:rPr>
                <w:noProof/>
                <w:webHidden/>
              </w:rPr>
              <w:fldChar w:fldCharType="begin"/>
            </w:r>
            <w:r w:rsidR="00361176">
              <w:rPr>
                <w:noProof/>
                <w:webHidden/>
              </w:rPr>
              <w:instrText xml:space="preserve"> PAGEREF _Toc180491870 \h </w:instrText>
            </w:r>
            <w:r w:rsidR="00361176">
              <w:rPr>
                <w:noProof/>
                <w:webHidden/>
              </w:rPr>
            </w:r>
            <w:r w:rsidR="00361176">
              <w:rPr>
                <w:noProof/>
                <w:webHidden/>
              </w:rPr>
              <w:fldChar w:fldCharType="separate"/>
            </w:r>
            <w:r w:rsidR="009308E6">
              <w:rPr>
                <w:noProof/>
                <w:webHidden/>
              </w:rPr>
              <w:t>240</w:t>
            </w:r>
            <w:r w:rsidR="00361176">
              <w:rPr>
                <w:noProof/>
                <w:webHidden/>
              </w:rPr>
              <w:fldChar w:fldCharType="end"/>
            </w:r>
          </w:hyperlink>
        </w:p>
        <w:p w14:paraId="15BC2114" w14:textId="4E7A228A"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1880" w:history="1">
            <w:r w:rsidR="00361176" w:rsidRPr="00CC780B">
              <w:rPr>
                <w:rStyle w:val="Hyperlink"/>
                <w:noProof/>
              </w:rPr>
              <w:t>Building a strong culture</w:t>
            </w:r>
            <w:r w:rsidR="00361176">
              <w:rPr>
                <w:noProof/>
                <w:webHidden/>
              </w:rPr>
              <w:tab/>
            </w:r>
            <w:r w:rsidR="00361176">
              <w:rPr>
                <w:noProof/>
                <w:webHidden/>
              </w:rPr>
              <w:fldChar w:fldCharType="begin"/>
            </w:r>
            <w:r w:rsidR="00361176">
              <w:rPr>
                <w:noProof/>
                <w:webHidden/>
              </w:rPr>
              <w:instrText xml:space="preserve"> PAGEREF _Toc180491880 \h </w:instrText>
            </w:r>
            <w:r w:rsidR="00361176">
              <w:rPr>
                <w:noProof/>
                <w:webHidden/>
              </w:rPr>
            </w:r>
            <w:r w:rsidR="00361176">
              <w:rPr>
                <w:noProof/>
                <w:webHidden/>
              </w:rPr>
              <w:fldChar w:fldCharType="separate"/>
            </w:r>
            <w:r w:rsidR="009308E6">
              <w:rPr>
                <w:noProof/>
                <w:webHidden/>
              </w:rPr>
              <w:t>245</w:t>
            </w:r>
            <w:r w:rsidR="00361176">
              <w:rPr>
                <w:noProof/>
                <w:webHidden/>
              </w:rPr>
              <w:fldChar w:fldCharType="end"/>
            </w:r>
          </w:hyperlink>
        </w:p>
        <w:p w14:paraId="46B0702C" w14:textId="18C78F5B"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1884" w:history="1">
            <w:r w:rsidR="00361176" w:rsidRPr="00CC780B">
              <w:rPr>
                <w:rStyle w:val="Hyperlink"/>
                <w:noProof/>
              </w:rPr>
              <w:t>Health and wellbeing</w:t>
            </w:r>
            <w:r w:rsidR="00361176">
              <w:rPr>
                <w:noProof/>
                <w:webHidden/>
              </w:rPr>
              <w:tab/>
            </w:r>
            <w:r w:rsidR="00361176">
              <w:rPr>
                <w:noProof/>
                <w:webHidden/>
              </w:rPr>
              <w:fldChar w:fldCharType="begin"/>
            </w:r>
            <w:r w:rsidR="00361176">
              <w:rPr>
                <w:noProof/>
                <w:webHidden/>
              </w:rPr>
              <w:instrText xml:space="preserve"> PAGEREF _Toc180491884 \h </w:instrText>
            </w:r>
            <w:r w:rsidR="00361176">
              <w:rPr>
                <w:noProof/>
                <w:webHidden/>
              </w:rPr>
            </w:r>
            <w:r w:rsidR="00361176">
              <w:rPr>
                <w:noProof/>
                <w:webHidden/>
              </w:rPr>
              <w:fldChar w:fldCharType="separate"/>
            </w:r>
            <w:r w:rsidR="009308E6">
              <w:rPr>
                <w:noProof/>
                <w:webHidden/>
              </w:rPr>
              <w:t>248</w:t>
            </w:r>
            <w:r w:rsidR="00361176">
              <w:rPr>
                <w:noProof/>
                <w:webHidden/>
              </w:rPr>
              <w:fldChar w:fldCharType="end"/>
            </w:r>
          </w:hyperlink>
        </w:p>
        <w:p w14:paraId="22DC0A14" w14:textId="560C6633"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1887" w:history="1">
            <w:r w:rsidR="00361176" w:rsidRPr="00CC780B">
              <w:rPr>
                <w:rStyle w:val="Hyperlink"/>
                <w:noProof/>
              </w:rPr>
              <w:t>Safety of our staff–</w:t>
            </w:r>
            <w:r w:rsidR="00361176" w:rsidRPr="00CC780B">
              <w:rPr>
                <w:rStyle w:val="Hyperlink"/>
                <w:noProof/>
                <w:lang w:val="en-US"/>
              </w:rPr>
              <w:t>Safety performance</w:t>
            </w:r>
            <w:r w:rsidR="00361176">
              <w:rPr>
                <w:noProof/>
                <w:webHidden/>
              </w:rPr>
              <w:tab/>
            </w:r>
            <w:r w:rsidR="00361176">
              <w:rPr>
                <w:noProof/>
                <w:webHidden/>
              </w:rPr>
              <w:fldChar w:fldCharType="begin"/>
            </w:r>
            <w:r w:rsidR="00361176">
              <w:rPr>
                <w:noProof/>
                <w:webHidden/>
              </w:rPr>
              <w:instrText xml:space="preserve"> PAGEREF _Toc180491887 \h </w:instrText>
            </w:r>
            <w:r w:rsidR="00361176">
              <w:rPr>
                <w:noProof/>
                <w:webHidden/>
              </w:rPr>
            </w:r>
            <w:r w:rsidR="00361176">
              <w:rPr>
                <w:noProof/>
                <w:webHidden/>
              </w:rPr>
              <w:fldChar w:fldCharType="separate"/>
            </w:r>
            <w:r w:rsidR="009308E6">
              <w:rPr>
                <w:noProof/>
                <w:webHidden/>
              </w:rPr>
              <w:t>250</w:t>
            </w:r>
            <w:r w:rsidR="00361176">
              <w:rPr>
                <w:noProof/>
                <w:webHidden/>
              </w:rPr>
              <w:fldChar w:fldCharType="end"/>
            </w:r>
          </w:hyperlink>
        </w:p>
        <w:p w14:paraId="6E7B73D6" w14:textId="4FC8E71C" w:rsidR="00361176" w:rsidRDefault="00000000">
          <w:pPr>
            <w:pStyle w:val="TOC1"/>
            <w:tabs>
              <w:tab w:val="right" w:leader="dot" w:pos="9060"/>
            </w:tabs>
            <w:rPr>
              <w:rFonts w:eastAsiaTheme="minorEastAsia" w:cstheme="minorBidi"/>
              <w:b w:val="0"/>
              <w:bCs w:val="0"/>
              <w:noProof/>
              <w:color w:val="auto"/>
              <w:kern w:val="2"/>
              <w:sz w:val="22"/>
              <w:szCs w:val="22"/>
              <w:lang w:eastAsia="en-AU"/>
              <w14:ligatures w14:val="standardContextual"/>
            </w:rPr>
          </w:pPr>
          <w:hyperlink w:anchor="_Toc180491888" w:history="1">
            <w:r w:rsidR="00361176" w:rsidRPr="00CC780B">
              <w:rPr>
                <w:rStyle w:val="Hyperlink"/>
                <w:noProof/>
              </w:rPr>
              <w:t>Our Organisation</w:t>
            </w:r>
            <w:r w:rsidR="00361176">
              <w:rPr>
                <w:noProof/>
                <w:webHidden/>
              </w:rPr>
              <w:tab/>
            </w:r>
            <w:r w:rsidR="00361176">
              <w:rPr>
                <w:noProof/>
                <w:webHidden/>
              </w:rPr>
              <w:fldChar w:fldCharType="begin"/>
            </w:r>
            <w:r w:rsidR="00361176">
              <w:rPr>
                <w:noProof/>
                <w:webHidden/>
              </w:rPr>
              <w:instrText xml:space="preserve"> PAGEREF _Toc180491888 \h </w:instrText>
            </w:r>
            <w:r w:rsidR="00361176">
              <w:rPr>
                <w:noProof/>
                <w:webHidden/>
              </w:rPr>
            </w:r>
            <w:r w:rsidR="00361176">
              <w:rPr>
                <w:noProof/>
                <w:webHidden/>
              </w:rPr>
              <w:fldChar w:fldCharType="separate"/>
            </w:r>
            <w:r w:rsidR="009308E6">
              <w:rPr>
                <w:noProof/>
                <w:webHidden/>
              </w:rPr>
              <w:t>251</w:t>
            </w:r>
            <w:r w:rsidR="00361176">
              <w:rPr>
                <w:noProof/>
                <w:webHidden/>
              </w:rPr>
              <w:fldChar w:fldCharType="end"/>
            </w:r>
          </w:hyperlink>
        </w:p>
        <w:p w14:paraId="1117B907" w14:textId="491DF673"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1889" w:history="1">
            <w:r w:rsidR="00361176" w:rsidRPr="00CC780B">
              <w:rPr>
                <w:rStyle w:val="Hyperlink"/>
                <w:noProof/>
              </w:rPr>
              <w:t>Highlights</w:t>
            </w:r>
            <w:r w:rsidR="00361176">
              <w:rPr>
                <w:noProof/>
                <w:webHidden/>
              </w:rPr>
              <w:tab/>
            </w:r>
            <w:r w:rsidR="00361176">
              <w:rPr>
                <w:noProof/>
                <w:webHidden/>
              </w:rPr>
              <w:fldChar w:fldCharType="begin"/>
            </w:r>
            <w:r w:rsidR="00361176">
              <w:rPr>
                <w:noProof/>
                <w:webHidden/>
              </w:rPr>
              <w:instrText xml:space="preserve"> PAGEREF _Toc180491889 \h </w:instrText>
            </w:r>
            <w:r w:rsidR="00361176">
              <w:rPr>
                <w:noProof/>
                <w:webHidden/>
              </w:rPr>
            </w:r>
            <w:r w:rsidR="00361176">
              <w:rPr>
                <w:noProof/>
                <w:webHidden/>
              </w:rPr>
              <w:fldChar w:fldCharType="separate"/>
            </w:r>
            <w:r w:rsidR="009308E6">
              <w:rPr>
                <w:noProof/>
                <w:webHidden/>
              </w:rPr>
              <w:t>251</w:t>
            </w:r>
            <w:r w:rsidR="00361176">
              <w:rPr>
                <w:noProof/>
                <w:webHidden/>
              </w:rPr>
              <w:fldChar w:fldCharType="end"/>
            </w:r>
          </w:hyperlink>
        </w:p>
        <w:p w14:paraId="562204C1" w14:textId="7EC9F541"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1890" w:history="1">
            <w:r w:rsidR="00361176" w:rsidRPr="00CC780B">
              <w:rPr>
                <w:rStyle w:val="Hyperlink"/>
                <w:noProof/>
              </w:rPr>
              <w:t>Management structure</w:t>
            </w:r>
            <w:r w:rsidR="00361176">
              <w:rPr>
                <w:noProof/>
                <w:webHidden/>
              </w:rPr>
              <w:tab/>
            </w:r>
            <w:r w:rsidR="00361176">
              <w:rPr>
                <w:noProof/>
                <w:webHidden/>
              </w:rPr>
              <w:fldChar w:fldCharType="begin"/>
            </w:r>
            <w:r w:rsidR="00361176">
              <w:rPr>
                <w:noProof/>
                <w:webHidden/>
              </w:rPr>
              <w:instrText xml:space="preserve"> PAGEREF _Toc180491890 \h </w:instrText>
            </w:r>
            <w:r w:rsidR="00361176">
              <w:rPr>
                <w:noProof/>
                <w:webHidden/>
              </w:rPr>
            </w:r>
            <w:r w:rsidR="00361176">
              <w:rPr>
                <w:noProof/>
                <w:webHidden/>
              </w:rPr>
              <w:fldChar w:fldCharType="separate"/>
            </w:r>
            <w:r w:rsidR="009308E6">
              <w:rPr>
                <w:noProof/>
                <w:webHidden/>
              </w:rPr>
              <w:t>252</w:t>
            </w:r>
            <w:r w:rsidR="00361176">
              <w:rPr>
                <w:noProof/>
                <w:webHidden/>
              </w:rPr>
              <w:fldChar w:fldCharType="end"/>
            </w:r>
          </w:hyperlink>
        </w:p>
        <w:p w14:paraId="721D3754" w14:textId="4411A81F"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1891" w:history="1">
            <w:r w:rsidR="00361176" w:rsidRPr="00CC780B">
              <w:rPr>
                <w:rStyle w:val="Hyperlink"/>
                <w:noProof/>
              </w:rPr>
              <w:t>ELT Biographies</w:t>
            </w:r>
            <w:r w:rsidR="00361176">
              <w:rPr>
                <w:noProof/>
                <w:webHidden/>
              </w:rPr>
              <w:tab/>
            </w:r>
            <w:r w:rsidR="00361176">
              <w:rPr>
                <w:noProof/>
                <w:webHidden/>
              </w:rPr>
              <w:fldChar w:fldCharType="begin"/>
            </w:r>
            <w:r w:rsidR="00361176">
              <w:rPr>
                <w:noProof/>
                <w:webHidden/>
              </w:rPr>
              <w:instrText xml:space="preserve"> PAGEREF _Toc180491891 \h </w:instrText>
            </w:r>
            <w:r w:rsidR="00361176">
              <w:rPr>
                <w:noProof/>
                <w:webHidden/>
              </w:rPr>
            </w:r>
            <w:r w:rsidR="00361176">
              <w:rPr>
                <w:noProof/>
                <w:webHidden/>
              </w:rPr>
              <w:fldChar w:fldCharType="separate"/>
            </w:r>
            <w:r w:rsidR="009308E6">
              <w:rPr>
                <w:noProof/>
                <w:webHidden/>
              </w:rPr>
              <w:t>254</w:t>
            </w:r>
            <w:r w:rsidR="00361176">
              <w:rPr>
                <w:noProof/>
                <w:webHidden/>
              </w:rPr>
              <w:fldChar w:fldCharType="end"/>
            </w:r>
          </w:hyperlink>
        </w:p>
        <w:p w14:paraId="73503702" w14:textId="5B7B6A01"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1901" w:history="1">
            <w:r w:rsidR="00361176" w:rsidRPr="00CC780B">
              <w:rPr>
                <w:rStyle w:val="Hyperlink"/>
                <w:noProof/>
              </w:rPr>
              <w:t>Governance committees</w:t>
            </w:r>
            <w:r w:rsidR="00361176">
              <w:rPr>
                <w:noProof/>
                <w:webHidden/>
              </w:rPr>
              <w:tab/>
            </w:r>
            <w:r w:rsidR="00361176">
              <w:rPr>
                <w:noProof/>
                <w:webHidden/>
              </w:rPr>
              <w:fldChar w:fldCharType="begin"/>
            </w:r>
            <w:r w:rsidR="00361176">
              <w:rPr>
                <w:noProof/>
                <w:webHidden/>
              </w:rPr>
              <w:instrText xml:space="preserve"> PAGEREF _Toc180491901 \h </w:instrText>
            </w:r>
            <w:r w:rsidR="00361176">
              <w:rPr>
                <w:noProof/>
                <w:webHidden/>
              </w:rPr>
            </w:r>
            <w:r w:rsidR="00361176">
              <w:rPr>
                <w:noProof/>
                <w:webHidden/>
              </w:rPr>
              <w:fldChar w:fldCharType="separate"/>
            </w:r>
            <w:r w:rsidR="009308E6">
              <w:rPr>
                <w:noProof/>
                <w:webHidden/>
              </w:rPr>
              <w:t>262</w:t>
            </w:r>
            <w:r w:rsidR="00361176">
              <w:rPr>
                <w:noProof/>
                <w:webHidden/>
              </w:rPr>
              <w:fldChar w:fldCharType="end"/>
            </w:r>
          </w:hyperlink>
        </w:p>
        <w:p w14:paraId="0AA47EBC" w14:textId="6714F29C"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1908" w:history="1">
            <w:r w:rsidR="00361176" w:rsidRPr="00CC780B">
              <w:rPr>
                <w:rStyle w:val="Hyperlink"/>
                <w:noProof/>
              </w:rPr>
              <w:t>Robust management standards</w:t>
            </w:r>
            <w:r w:rsidR="00361176">
              <w:rPr>
                <w:noProof/>
                <w:webHidden/>
              </w:rPr>
              <w:tab/>
            </w:r>
            <w:r w:rsidR="00361176">
              <w:rPr>
                <w:noProof/>
                <w:webHidden/>
              </w:rPr>
              <w:fldChar w:fldCharType="begin"/>
            </w:r>
            <w:r w:rsidR="00361176">
              <w:rPr>
                <w:noProof/>
                <w:webHidden/>
              </w:rPr>
              <w:instrText xml:space="preserve"> PAGEREF _Toc180491908 \h </w:instrText>
            </w:r>
            <w:r w:rsidR="00361176">
              <w:rPr>
                <w:noProof/>
                <w:webHidden/>
              </w:rPr>
            </w:r>
            <w:r w:rsidR="00361176">
              <w:rPr>
                <w:noProof/>
                <w:webHidden/>
              </w:rPr>
              <w:fldChar w:fldCharType="separate"/>
            </w:r>
            <w:r w:rsidR="009308E6">
              <w:rPr>
                <w:noProof/>
                <w:webHidden/>
              </w:rPr>
              <w:t>268</w:t>
            </w:r>
            <w:r w:rsidR="00361176">
              <w:rPr>
                <w:noProof/>
                <w:webHidden/>
              </w:rPr>
              <w:fldChar w:fldCharType="end"/>
            </w:r>
          </w:hyperlink>
        </w:p>
        <w:p w14:paraId="27BC77EB" w14:textId="4CB97EFC"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1912" w:history="1">
            <w:r w:rsidR="00361176" w:rsidRPr="00CC780B">
              <w:rPr>
                <w:rStyle w:val="Hyperlink"/>
                <w:noProof/>
              </w:rPr>
              <w:t>Internal accountability</w:t>
            </w:r>
            <w:r w:rsidR="00361176">
              <w:rPr>
                <w:noProof/>
                <w:webHidden/>
              </w:rPr>
              <w:tab/>
            </w:r>
            <w:r w:rsidR="00361176">
              <w:rPr>
                <w:noProof/>
                <w:webHidden/>
              </w:rPr>
              <w:fldChar w:fldCharType="begin"/>
            </w:r>
            <w:r w:rsidR="00361176">
              <w:rPr>
                <w:noProof/>
                <w:webHidden/>
              </w:rPr>
              <w:instrText xml:space="preserve"> PAGEREF _Toc180491912 \h </w:instrText>
            </w:r>
            <w:r w:rsidR="00361176">
              <w:rPr>
                <w:noProof/>
                <w:webHidden/>
              </w:rPr>
            </w:r>
            <w:r w:rsidR="00361176">
              <w:rPr>
                <w:noProof/>
                <w:webHidden/>
              </w:rPr>
              <w:fldChar w:fldCharType="separate"/>
            </w:r>
            <w:r w:rsidR="009308E6">
              <w:rPr>
                <w:noProof/>
                <w:webHidden/>
              </w:rPr>
              <w:t>271</w:t>
            </w:r>
            <w:r w:rsidR="00361176">
              <w:rPr>
                <w:noProof/>
                <w:webHidden/>
              </w:rPr>
              <w:fldChar w:fldCharType="end"/>
            </w:r>
          </w:hyperlink>
        </w:p>
        <w:p w14:paraId="1C8F967D" w14:textId="321D5723"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1919" w:history="1">
            <w:r w:rsidR="00361176" w:rsidRPr="00CC780B">
              <w:rPr>
                <w:rStyle w:val="Hyperlink"/>
                <w:noProof/>
              </w:rPr>
              <w:t>External accountability</w:t>
            </w:r>
            <w:r w:rsidR="00361176">
              <w:rPr>
                <w:noProof/>
                <w:webHidden/>
              </w:rPr>
              <w:tab/>
            </w:r>
            <w:r w:rsidR="00361176">
              <w:rPr>
                <w:noProof/>
                <w:webHidden/>
              </w:rPr>
              <w:fldChar w:fldCharType="begin"/>
            </w:r>
            <w:r w:rsidR="00361176">
              <w:rPr>
                <w:noProof/>
                <w:webHidden/>
              </w:rPr>
              <w:instrText xml:space="preserve"> PAGEREF _Toc180491919 \h </w:instrText>
            </w:r>
            <w:r w:rsidR="00361176">
              <w:rPr>
                <w:noProof/>
                <w:webHidden/>
              </w:rPr>
            </w:r>
            <w:r w:rsidR="00361176">
              <w:rPr>
                <w:noProof/>
                <w:webHidden/>
              </w:rPr>
              <w:fldChar w:fldCharType="separate"/>
            </w:r>
            <w:r w:rsidR="009308E6">
              <w:rPr>
                <w:noProof/>
                <w:webHidden/>
              </w:rPr>
              <w:t>276</w:t>
            </w:r>
            <w:r w:rsidR="00361176">
              <w:rPr>
                <w:noProof/>
                <w:webHidden/>
              </w:rPr>
              <w:fldChar w:fldCharType="end"/>
            </w:r>
          </w:hyperlink>
        </w:p>
        <w:p w14:paraId="24B61AEC" w14:textId="0A24C74D"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1928" w:history="1">
            <w:r w:rsidR="00361176" w:rsidRPr="00CC780B">
              <w:rPr>
                <w:rStyle w:val="Hyperlink"/>
                <w:noProof/>
              </w:rPr>
              <w:t>Risk management</w:t>
            </w:r>
            <w:r w:rsidR="00361176">
              <w:rPr>
                <w:noProof/>
                <w:webHidden/>
              </w:rPr>
              <w:tab/>
            </w:r>
            <w:r w:rsidR="00361176">
              <w:rPr>
                <w:noProof/>
                <w:webHidden/>
              </w:rPr>
              <w:fldChar w:fldCharType="begin"/>
            </w:r>
            <w:r w:rsidR="00361176">
              <w:rPr>
                <w:noProof/>
                <w:webHidden/>
              </w:rPr>
              <w:instrText xml:space="preserve"> PAGEREF _Toc180491928 \h </w:instrText>
            </w:r>
            <w:r w:rsidR="00361176">
              <w:rPr>
                <w:noProof/>
                <w:webHidden/>
              </w:rPr>
            </w:r>
            <w:r w:rsidR="00361176">
              <w:rPr>
                <w:noProof/>
                <w:webHidden/>
              </w:rPr>
              <w:fldChar w:fldCharType="separate"/>
            </w:r>
            <w:r w:rsidR="009308E6">
              <w:rPr>
                <w:noProof/>
                <w:webHidden/>
              </w:rPr>
              <w:t>280</w:t>
            </w:r>
            <w:r w:rsidR="00361176">
              <w:rPr>
                <w:noProof/>
                <w:webHidden/>
              </w:rPr>
              <w:fldChar w:fldCharType="end"/>
            </w:r>
          </w:hyperlink>
        </w:p>
        <w:p w14:paraId="495173E0" w14:textId="232FD0AB" w:rsidR="00361176" w:rsidRDefault="00000000">
          <w:pPr>
            <w:pStyle w:val="TOC1"/>
            <w:tabs>
              <w:tab w:val="right" w:leader="dot" w:pos="9060"/>
            </w:tabs>
            <w:rPr>
              <w:rFonts w:eastAsiaTheme="minorEastAsia" w:cstheme="minorBidi"/>
              <w:b w:val="0"/>
              <w:bCs w:val="0"/>
              <w:noProof/>
              <w:color w:val="auto"/>
              <w:kern w:val="2"/>
              <w:sz w:val="22"/>
              <w:szCs w:val="22"/>
              <w:lang w:eastAsia="en-AU"/>
              <w14:ligatures w14:val="standardContextual"/>
            </w:rPr>
          </w:pPr>
          <w:hyperlink w:anchor="_Toc180491930" w:history="1">
            <w:r w:rsidR="00361176" w:rsidRPr="00CC780B">
              <w:rPr>
                <w:rStyle w:val="Hyperlink"/>
                <w:noProof/>
              </w:rPr>
              <w:t>Financial statements</w:t>
            </w:r>
            <w:r w:rsidR="00361176">
              <w:rPr>
                <w:noProof/>
                <w:webHidden/>
              </w:rPr>
              <w:tab/>
            </w:r>
            <w:r w:rsidR="00361176">
              <w:rPr>
                <w:noProof/>
                <w:webHidden/>
              </w:rPr>
              <w:fldChar w:fldCharType="begin"/>
            </w:r>
            <w:r w:rsidR="00361176">
              <w:rPr>
                <w:noProof/>
                <w:webHidden/>
              </w:rPr>
              <w:instrText xml:space="preserve"> PAGEREF _Toc180491930 \h </w:instrText>
            </w:r>
            <w:r w:rsidR="00361176">
              <w:rPr>
                <w:noProof/>
                <w:webHidden/>
              </w:rPr>
            </w:r>
            <w:r w:rsidR="00361176">
              <w:rPr>
                <w:noProof/>
                <w:webHidden/>
              </w:rPr>
              <w:fldChar w:fldCharType="separate"/>
            </w:r>
            <w:r w:rsidR="009308E6">
              <w:rPr>
                <w:noProof/>
                <w:webHidden/>
              </w:rPr>
              <w:t>282</w:t>
            </w:r>
            <w:r w:rsidR="00361176">
              <w:rPr>
                <w:noProof/>
                <w:webHidden/>
              </w:rPr>
              <w:fldChar w:fldCharType="end"/>
            </w:r>
          </w:hyperlink>
        </w:p>
        <w:p w14:paraId="1CBF9138" w14:textId="45905559" w:rsidR="00361176" w:rsidRDefault="00000000">
          <w:pPr>
            <w:pStyle w:val="TOC1"/>
            <w:tabs>
              <w:tab w:val="right" w:leader="dot" w:pos="9060"/>
            </w:tabs>
            <w:rPr>
              <w:rFonts w:eastAsiaTheme="minorEastAsia" w:cstheme="minorBidi"/>
              <w:b w:val="0"/>
              <w:bCs w:val="0"/>
              <w:noProof/>
              <w:color w:val="auto"/>
              <w:kern w:val="2"/>
              <w:sz w:val="22"/>
              <w:szCs w:val="22"/>
              <w:lang w:eastAsia="en-AU"/>
              <w14:ligatures w14:val="standardContextual"/>
            </w:rPr>
          </w:pPr>
          <w:hyperlink w:anchor="_Toc180492030" w:history="1">
            <w:r w:rsidR="00361176" w:rsidRPr="00CC780B">
              <w:rPr>
                <w:rStyle w:val="Hyperlink"/>
                <w:noProof/>
              </w:rPr>
              <w:t>Appendices</w:t>
            </w:r>
            <w:r w:rsidR="00361176">
              <w:rPr>
                <w:noProof/>
                <w:webHidden/>
              </w:rPr>
              <w:tab/>
            </w:r>
            <w:r w:rsidR="00361176">
              <w:rPr>
                <w:noProof/>
                <w:webHidden/>
              </w:rPr>
              <w:fldChar w:fldCharType="begin"/>
            </w:r>
            <w:r w:rsidR="00361176">
              <w:rPr>
                <w:noProof/>
                <w:webHidden/>
              </w:rPr>
              <w:instrText xml:space="preserve"> PAGEREF _Toc180492030 \h </w:instrText>
            </w:r>
            <w:r w:rsidR="00361176">
              <w:rPr>
                <w:noProof/>
                <w:webHidden/>
              </w:rPr>
            </w:r>
            <w:r w:rsidR="00361176">
              <w:rPr>
                <w:noProof/>
                <w:webHidden/>
              </w:rPr>
              <w:fldChar w:fldCharType="separate"/>
            </w:r>
            <w:r w:rsidR="009308E6">
              <w:rPr>
                <w:noProof/>
                <w:webHidden/>
              </w:rPr>
              <w:t>373</w:t>
            </w:r>
            <w:r w:rsidR="00361176">
              <w:rPr>
                <w:noProof/>
                <w:webHidden/>
              </w:rPr>
              <w:fldChar w:fldCharType="end"/>
            </w:r>
          </w:hyperlink>
        </w:p>
        <w:p w14:paraId="7C32D6F3" w14:textId="702946E0"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2031" w:history="1">
            <w:r w:rsidR="00361176" w:rsidRPr="00CC780B">
              <w:rPr>
                <w:rStyle w:val="Hyperlink"/>
                <w:noProof/>
              </w:rPr>
              <w:t>Appendix 1:</w:t>
            </w:r>
            <w:r w:rsidR="00361176" w:rsidRPr="00CC780B">
              <w:rPr>
                <w:rStyle w:val="Hyperlink"/>
                <w:noProof/>
                <w:lang w:val="en-US"/>
              </w:rPr>
              <w:t xml:space="preserve"> </w:t>
            </w:r>
            <w:r w:rsidR="00361176" w:rsidRPr="00CC780B">
              <w:rPr>
                <w:rStyle w:val="Hyperlink"/>
                <w:noProof/>
              </w:rPr>
              <w:t>Legislation administered by the department</w:t>
            </w:r>
            <w:r w:rsidR="00361176">
              <w:rPr>
                <w:noProof/>
                <w:webHidden/>
              </w:rPr>
              <w:tab/>
            </w:r>
            <w:r w:rsidR="00361176">
              <w:rPr>
                <w:noProof/>
                <w:webHidden/>
              </w:rPr>
              <w:fldChar w:fldCharType="begin"/>
            </w:r>
            <w:r w:rsidR="00361176">
              <w:rPr>
                <w:noProof/>
                <w:webHidden/>
              </w:rPr>
              <w:instrText xml:space="preserve"> PAGEREF _Toc180492031 \h </w:instrText>
            </w:r>
            <w:r w:rsidR="00361176">
              <w:rPr>
                <w:noProof/>
                <w:webHidden/>
              </w:rPr>
            </w:r>
            <w:r w:rsidR="00361176">
              <w:rPr>
                <w:noProof/>
                <w:webHidden/>
              </w:rPr>
              <w:fldChar w:fldCharType="separate"/>
            </w:r>
            <w:r w:rsidR="009308E6">
              <w:rPr>
                <w:noProof/>
                <w:webHidden/>
              </w:rPr>
              <w:t>373</w:t>
            </w:r>
            <w:r w:rsidR="00361176">
              <w:rPr>
                <w:noProof/>
                <w:webHidden/>
              </w:rPr>
              <w:fldChar w:fldCharType="end"/>
            </w:r>
          </w:hyperlink>
        </w:p>
        <w:p w14:paraId="063E394D" w14:textId="26FD2A46"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2033" w:history="1">
            <w:r w:rsidR="00361176" w:rsidRPr="00CC780B">
              <w:rPr>
                <w:rStyle w:val="Hyperlink"/>
                <w:noProof/>
                <w:lang w:val="en-US"/>
              </w:rPr>
              <w:t>Appendix 2: Associated authorities</w:t>
            </w:r>
            <w:r w:rsidR="00361176">
              <w:rPr>
                <w:noProof/>
                <w:webHidden/>
              </w:rPr>
              <w:tab/>
            </w:r>
            <w:r w:rsidR="00361176">
              <w:rPr>
                <w:noProof/>
                <w:webHidden/>
              </w:rPr>
              <w:fldChar w:fldCharType="begin"/>
            </w:r>
            <w:r w:rsidR="00361176">
              <w:rPr>
                <w:noProof/>
                <w:webHidden/>
              </w:rPr>
              <w:instrText xml:space="preserve"> PAGEREF _Toc180492033 \h </w:instrText>
            </w:r>
            <w:r w:rsidR="00361176">
              <w:rPr>
                <w:noProof/>
                <w:webHidden/>
              </w:rPr>
            </w:r>
            <w:r w:rsidR="00361176">
              <w:rPr>
                <w:noProof/>
                <w:webHidden/>
              </w:rPr>
              <w:fldChar w:fldCharType="separate"/>
            </w:r>
            <w:r w:rsidR="009308E6">
              <w:rPr>
                <w:noProof/>
                <w:webHidden/>
              </w:rPr>
              <w:t>374</w:t>
            </w:r>
            <w:r w:rsidR="00361176">
              <w:rPr>
                <w:noProof/>
                <w:webHidden/>
              </w:rPr>
              <w:fldChar w:fldCharType="end"/>
            </w:r>
          </w:hyperlink>
        </w:p>
        <w:p w14:paraId="612FBAE3" w14:textId="42105716"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2042" w:history="1">
            <w:r w:rsidR="00361176" w:rsidRPr="00CC780B">
              <w:rPr>
                <w:rStyle w:val="Hyperlink"/>
                <w:noProof/>
                <w:lang w:val="en-US"/>
              </w:rPr>
              <w:t xml:space="preserve">Appendix 3: </w:t>
            </w:r>
            <w:r w:rsidR="00361176" w:rsidRPr="00CC780B">
              <w:rPr>
                <w:rStyle w:val="Hyperlink"/>
                <w:noProof/>
              </w:rPr>
              <w:t>Camera</w:t>
            </w:r>
            <w:r w:rsidR="00361176" w:rsidRPr="00CC780B">
              <w:rPr>
                <w:rStyle w:val="Hyperlink"/>
                <w:noProof/>
                <w:lang w:val="en-US"/>
              </w:rPr>
              <w:t xml:space="preserve"> Detected Offence Program</w:t>
            </w:r>
            <w:r w:rsidR="00361176">
              <w:rPr>
                <w:noProof/>
                <w:webHidden/>
              </w:rPr>
              <w:tab/>
            </w:r>
            <w:r w:rsidR="00361176">
              <w:rPr>
                <w:noProof/>
                <w:webHidden/>
              </w:rPr>
              <w:fldChar w:fldCharType="begin"/>
            </w:r>
            <w:r w:rsidR="00361176">
              <w:rPr>
                <w:noProof/>
                <w:webHidden/>
              </w:rPr>
              <w:instrText xml:space="preserve"> PAGEREF _Toc180492042 \h </w:instrText>
            </w:r>
            <w:r w:rsidR="00361176">
              <w:rPr>
                <w:noProof/>
                <w:webHidden/>
              </w:rPr>
            </w:r>
            <w:r w:rsidR="00361176">
              <w:rPr>
                <w:noProof/>
                <w:webHidden/>
              </w:rPr>
              <w:fldChar w:fldCharType="separate"/>
            </w:r>
            <w:r w:rsidR="009308E6">
              <w:rPr>
                <w:noProof/>
                <w:webHidden/>
              </w:rPr>
              <w:t>377</w:t>
            </w:r>
            <w:r w:rsidR="00361176">
              <w:rPr>
                <w:noProof/>
                <w:webHidden/>
              </w:rPr>
              <w:fldChar w:fldCharType="end"/>
            </w:r>
          </w:hyperlink>
        </w:p>
        <w:p w14:paraId="3C1D3429" w14:textId="2DD6BA35"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2047" w:history="1">
            <w:r w:rsidR="00361176" w:rsidRPr="00CC780B">
              <w:rPr>
                <w:rStyle w:val="Hyperlink"/>
                <w:noProof/>
                <w:lang w:val="en-US"/>
              </w:rPr>
              <w:t>Appendix 4: Transport operator payments</w:t>
            </w:r>
            <w:r w:rsidR="00361176">
              <w:rPr>
                <w:noProof/>
                <w:webHidden/>
              </w:rPr>
              <w:tab/>
            </w:r>
            <w:r w:rsidR="00361176">
              <w:rPr>
                <w:noProof/>
                <w:webHidden/>
              </w:rPr>
              <w:fldChar w:fldCharType="begin"/>
            </w:r>
            <w:r w:rsidR="00361176">
              <w:rPr>
                <w:noProof/>
                <w:webHidden/>
              </w:rPr>
              <w:instrText xml:space="preserve"> PAGEREF _Toc180492047 \h </w:instrText>
            </w:r>
            <w:r w:rsidR="00361176">
              <w:rPr>
                <w:noProof/>
                <w:webHidden/>
              </w:rPr>
            </w:r>
            <w:r w:rsidR="00361176">
              <w:rPr>
                <w:noProof/>
                <w:webHidden/>
              </w:rPr>
              <w:fldChar w:fldCharType="separate"/>
            </w:r>
            <w:r w:rsidR="009308E6">
              <w:rPr>
                <w:noProof/>
                <w:webHidden/>
              </w:rPr>
              <w:t>384</w:t>
            </w:r>
            <w:r w:rsidR="00361176">
              <w:rPr>
                <w:noProof/>
                <w:webHidden/>
              </w:rPr>
              <w:fldChar w:fldCharType="end"/>
            </w:r>
          </w:hyperlink>
        </w:p>
        <w:p w14:paraId="5B962AD8" w14:textId="50824C38"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2065" w:history="1">
            <w:r w:rsidR="00361176" w:rsidRPr="00CC780B">
              <w:rPr>
                <w:rStyle w:val="Hyperlink"/>
                <w:noProof/>
                <w:lang w:val="en-US"/>
              </w:rPr>
              <w:t>Appendix 5: Queensland Government bodies</w:t>
            </w:r>
            <w:r w:rsidR="00361176">
              <w:rPr>
                <w:noProof/>
                <w:webHidden/>
              </w:rPr>
              <w:tab/>
            </w:r>
            <w:r w:rsidR="00361176">
              <w:rPr>
                <w:noProof/>
                <w:webHidden/>
              </w:rPr>
              <w:fldChar w:fldCharType="begin"/>
            </w:r>
            <w:r w:rsidR="00361176">
              <w:rPr>
                <w:noProof/>
                <w:webHidden/>
              </w:rPr>
              <w:instrText xml:space="preserve"> PAGEREF _Toc180492065 \h </w:instrText>
            </w:r>
            <w:r w:rsidR="00361176">
              <w:rPr>
                <w:noProof/>
                <w:webHidden/>
              </w:rPr>
            </w:r>
            <w:r w:rsidR="00361176">
              <w:rPr>
                <w:noProof/>
                <w:webHidden/>
              </w:rPr>
              <w:fldChar w:fldCharType="separate"/>
            </w:r>
            <w:r w:rsidR="009308E6">
              <w:rPr>
                <w:noProof/>
                <w:webHidden/>
              </w:rPr>
              <w:t>396</w:t>
            </w:r>
            <w:r w:rsidR="00361176">
              <w:rPr>
                <w:noProof/>
                <w:webHidden/>
              </w:rPr>
              <w:fldChar w:fldCharType="end"/>
            </w:r>
          </w:hyperlink>
        </w:p>
        <w:p w14:paraId="2EF6658F" w14:textId="38EFA623"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2072" w:history="1">
            <w:r w:rsidR="00361176" w:rsidRPr="00CC780B">
              <w:rPr>
                <w:rStyle w:val="Hyperlink"/>
                <w:noProof/>
                <w:lang w:val="en-US"/>
              </w:rPr>
              <w:t>Appendix 6: Glossary</w:t>
            </w:r>
            <w:r w:rsidR="00361176">
              <w:rPr>
                <w:noProof/>
                <w:webHidden/>
              </w:rPr>
              <w:tab/>
            </w:r>
            <w:r w:rsidR="00361176">
              <w:rPr>
                <w:noProof/>
                <w:webHidden/>
              </w:rPr>
              <w:fldChar w:fldCharType="begin"/>
            </w:r>
            <w:r w:rsidR="00361176">
              <w:rPr>
                <w:noProof/>
                <w:webHidden/>
              </w:rPr>
              <w:instrText xml:space="preserve"> PAGEREF _Toc180492072 \h </w:instrText>
            </w:r>
            <w:r w:rsidR="00361176">
              <w:rPr>
                <w:noProof/>
                <w:webHidden/>
              </w:rPr>
            </w:r>
            <w:r w:rsidR="00361176">
              <w:rPr>
                <w:noProof/>
                <w:webHidden/>
              </w:rPr>
              <w:fldChar w:fldCharType="separate"/>
            </w:r>
            <w:r w:rsidR="009308E6">
              <w:rPr>
                <w:noProof/>
                <w:webHidden/>
              </w:rPr>
              <w:t>400</w:t>
            </w:r>
            <w:r w:rsidR="00361176">
              <w:rPr>
                <w:noProof/>
                <w:webHidden/>
              </w:rPr>
              <w:fldChar w:fldCharType="end"/>
            </w:r>
          </w:hyperlink>
        </w:p>
        <w:p w14:paraId="3DA2DFFD" w14:textId="1D779630"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2073" w:history="1">
            <w:r w:rsidR="00361176" w:rsidRPr="00CC780B">
              <w:rPr>
                <w:rStyle w:val="Hyperlink"/>
                <w:noProof/>
                <w:lang w:val="en-US"/>
              </w:rPr>
              <w:t>Appendix 7: Acronyms</w:t>
            </w:r>
            <w:r w:rsidR="00361176">
              <w:rPr>
                <w:noProof/>
                <w:webHidden/>
              </w:rPr>
              <w:tab/>
            </w:r>
            <w:r w:rsidR="00361176">
              <w:rPr>
                <w:noProof/>
                <w:webHidden/>
              </w:rPr>
              <w:fldChar w:fldCharType="begin"/>
            </w:r>
            <w:r w:rsidR="00361176">
              <w:rPr>
                <w:noProof/>
                <w:webHidden/>
              </w:rPr>
              <w:instrText xml:space="preserve"> PAGEREF _Toc180492073 \h </w:instrText>
            </w:r>
            <w:r w:rsidR="00361176">
              <w:rPr>
                <w:noProof/>
                <w:webHidden/>
              </w:rPr>
            </w:r>
            <w:r w:rsidR="00361176">
              <w:rPr>
                <w:noProof/>
                <w:webHidden/>
              </w:rPr>
              <w:fldChar w:fldCharType="separate"/>
            </w:r>
            <w:r w:rsidR="009308E6">
              <w:rPr>
                <w:noProof/>
                <w:webHidden/>
              </w:rPr>
              <w:t>405</w:t>
            </w:r>
            <w:r w:rsidR="00361176">
              <w:rPr>
                <w:noProof/>
                <w:webHidden/>
              </w:rPr>
              <w:fldChar w:fldCharType="end"/>
            </w:r>
          </w:hyperlink>
        </w:p>
        <w:p w14:paraId="2C77B9DD" w14:textId="408A8724"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2074" w:history="1">
            <w:r w:rsidR="00361176" w:rsidRPr="00CC780B">
              <w:rPr>
                <w:rStyle w:val="Hyperlink"/>
                <w:noProof/>
              </w:rPr>
              <w:t>Appendix 8: Compliance checklist</w:t>
            </w:r>
            <w:r w:rsidR="00361176">
              <w:rPr>
                <w:noProof/>
                <w:webHidden/>
              </w:rPr>
              <w:tab/>
            </w:r>
            <w:r w:rsidR="00361176">
              <w:rPr>
                <w:noProof/>
                <w:webHidden/>
              </w:rPr>
              <w:fldChar w:fldCharType="begin"/>
            </w:r>
            <w:r w:rsidR="00361176">
              <w:rPr>
                <w:noProof/>
                <w:webHidden/>
              </w:rPr>
              <w:instrText xml:space="preserve"> PAGEREF _Toc180492074 \h </w:instrText>
            </w:r>
            <w:r w:rsidR="00361176">
              <w:rPr>
                <w:noProof/>
                <w:webHidden/>
              </w:rPr>
            </w:r>
            <w:r w:rsidR="00361176">
              <w:rPr>
                <w:noProof/>
                <w:webHidden/>
              </w:rPr>
              <w:fldChar w:fldCharType="separate"/>
            </w:r>
            <w:r w:rsidR="009308E6">
              <w:rPr>
                <w:noProof/>
                <w:webHidden/>
              </w:rPr>
              <w:t>413</w:t>
            </w:r>
            <w:r w:rsidR="00361176">
              <w:rPr>
                <w:noProof/>
                <w:webHidden/>
              </w:rPr>
              <w:fldChar w:fldCharType="end"/>
            </w:r>
          </w:hyperlink>
        </w:p>
        <w:p w14:paraId="20C6EA46" w14:textId="4EAAAE1D"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2085" w:history="1">
            <w:r w:rsidR="00361176" w:rsidRPr="00CC780B">
              <w:rPr>
                <w:rStyle w:val="Hyperlink"/>
                <w:noProof/>
                <w:lang w:val="en-US"/>
              </w:rPr>
              <w:t xml:space="preserve">Appendix 9: </w:t>
            </w:r>
            <w:r w:rsidR="00361176" w:rsidRPr="00CC780B">
              <w:rPr>
                <w:rStyle w:val="Hyperlink"/>
                <w:noProof/>
              </w:rPr>
              <w:t>Where to find us</w:t>
            </w:r>
            <w:r w:rsidR="00361176">
              <w:rPr>
                <w:noProof/>
                <w:webHidden/>
              </w:rPr>
              <w:tab/>
            </w:r>
            <w:r w:rsidR="00361176">
              <w:rPr>
                <w:noProof/>
                <w:webHidden/>
              </w:rPr>
              <w:fldChar w:fldCharType="begin"/>
            </w:r>
            <w:r w:rsidR="00361176">
              <w:rPr>
                <w:noProof/>
                <w:webHidden/>
              </w:rPr>
              <w:instrText xml:space="preserve"> PAGEREF _Toc180492085 \h </w:instrText>
            </w:r>
            <w:r w:rsidR="00361176">
              <w:rPr>
                <w:noProof/>
                <w:webHidden/>
              </w:rPr>
            </w:r>
            <w:r w:rsidR="00361176">
              <w:rPr>
                <w:noProof/>
                <w:webHidden/>
              </w:rPr>
              <w:fldChar w:fldCharType="separate"/>
            </w:r>
            <w:r w:rsidR="009308E6">
              <w:rPr>
                <w:noProof/>
                <w:webHidden/>
              </w:rPr>
              <w:t>418</w:t>
            </w:r>
            <w:r w:rsidR="00361176">
              <w:rPr>
                <w:noProof/>
                <w:webHidden/>
              </w:rPr>
              <w:fldChar w:fldCharType="end"/>
            </w:r>
          </w:hyperlink>
        </w:p>
        <w:p w14:paraId="09D96308" w14:textId="19DC92E8"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2102" w:history="1">
            <w:r w:rsidR="00361176" w:rsidRPr="00CC780B">
              <w:rPr>
                <w:rStyle w:val="Hyperlink"/>
                <w:noProof/>
                <w:lang w:val="en-US"/>
              </w:rPr>
              <w:t>Appendix 10: Index</w:t>
            </w:r>
            <w:r w:rsidR="00361176">
              <w:rPr>
                <w:noProof/>
                <w:webHidden/>
              </w:rPr>
              <w:tab/>
            </w:r>
            <w:r w:rsidR="00361176">
              <w:rPr>
                <w:noProof/>
                <w:webHidden/>
              </w:rPr>
              <w:fldChar w:fldCharType="begin"/>
            </w:r>
            <w:r w:rsidR="00361176">
              <w:rPr>
                <w:noProof/>
                <w:webHidden/>
              </w:rPr>
              <w:instrText xml:space="preserve"> PAGEREF _Toc180492102 \h </w:instrText>
            </w:r>
            <w:r w:rsidR="00361176">
              <w:rPr>
                <w:noProof/>
                <w:webHidden/>
              </w:rPr>
            </w:r>
            <w:r w:rsidR="00361176">
              <w:rPr>
                <w:noProof/>
                <w:webHidden/>
              </w:rPr>
              <w:fldChar w:fldCharType="separate"/>
            </w:r>
            <w:r w:rsidR="009308E6">
              <w:rPr>
                <w:noProof/>
                <w:webHidden/>
              </w:rPr>
              <w:t>434</w:t>
            </w:r>
            <w:r w:rsidR="00361176">
              <w:rPr>
                <w:noProof/>
                <w:webHidden/>
              </w:rPr>
              <w:fldChar w:fldCharType="end"/>
            </w:r>
          </w:hyperlink>
        </w:p>
        <w:p w14:paraId="73B8D703" w14:textId="1D5526C5" w:rsidR="00361176" w:rsidRDefault="00000000">
          <w:pPr>
            <w:pStyle w:val="TOC2"/>
            <w:rPr>
              <w:rFonts w:eastAsiaTheme="minorEastAsia" w:cstheme="minorBidi"/>
              <w:iCs w:val="0"/>
              <w:noProof/>
              <w:color w:val="auto"/>
              <w:kern w:val="2"/>
              <w:sz w:val="22"/>
              <w:szCs w:val="22"/>
              <w:lang w:eastAsia="en-AU"/>
              <w14:ligatures w14:val="standardContextual"/>
            </w:rPr>
          </w:pPr>
          <w:hyperlink w:anchor="_Toc180492103" w:history="1">
            <w:r w:rsidR="00361176" w:rsidRPr="00CC780B">
              <w:rPr>
                <w:rStyle w:val="Hyperlink"/>
                <w:noProof/>
                <w:lang w:val="en-US"/>
              </w:rPr>
              <w:t>Appendix 11: Figures and tables</w:t>
            </w:r>
            <w:r w:rsidR="00361176">
              <w:rPr>
                <w:noProof/>
                <w:webHidden/>
              </w:rPr>
              <w:tab/>
            </w:r>
            <w:r w:rsidR="00361176">
              <w:rPr>
                <w:noProof/>
                <w:webHidden/>
              </w:rPr>
              <w:fldChar w:fldCharType="begin"/>
            </w:r>
            <w:r w:rsidR="00361176">
              <w:rPr>
                <w:noProof/>
                <w:webHidden/>
              </w:rPr>
              <w:instrText xml:space="preserve"> PAGEREF _Toc180492103 \h </w:instrText>
            </w:r>
            <w:r w:rsidR="00361176">
              <w:rPr>
                <w:noProof/>
                <w:webHidden/>
              </w:rPr>
            </w:r>
            <w:r w:rsidR="00361176">
              <w:rPr>
                <w:noProof/>
                <w:webHidden/>
              </w:rPr>
              <w:fldChar w:fldCharType="separate"/>
            </w:r>
            <w:r w:rsidR="009308E6">
              <w:rPr>
                <w:noProof/>
                <w:webHidden/>
              </w:rPr>
              <w:t>438</w:t>
            </w:r>
            <w:r w:rsidR="00361176">
              <w:rPr>
                <w:noProof/>
                <w:webHidden/>
              </w:rPr>
              <w:fldChar w:fldCharType="end"/>
            </w:r>
          </w:hyperlink>
        </w:p>
        <w:p w14:paraId="755F9542" w14:textId="7D305D25" w:rsidR="00361176" w:rsidRDefault="00361176">
          <w:r>
            <w:fldChar w:fldCharType="end"/>
          </w:r>
        </w:p>
      </w:sdtContent>
    </w:sdt>
    <w:p w14:paraId="4CE3C973" w14:textId="77777777" w:rsidR="00361176" w:rsidRDefault="00361176" w:rsidP="00361176">
      <w:pPr>
        <w:rPr>
          <w:lang w:val="en-US"/>
        </w:rPr>
        <w:sectPr w:rsidR="00361176" w:rsidSect="007345BF">
          <w:pgSz w:w="11906" w:h="16838" w:code="9"/>
          <w:pgMar w:top="1134" w:right="1418" w:bottom="1418" w:left="1418" w:header="454" w:footer="454" w:gutter="0"/>
          <w:pgNumType w:start="1"/>
          <w:cols w:space="708"/>
          <w:docGrid w:linePitch="360"/>
        </w:sectPr>
      </w:pPr>
    </w:p>
    <w:p w14:paraId="7AD80925" w14:textId="77777777" w:rsidR="00361176" w:rsidRPr="00361176" w:rsidRDefault="00361176" w:rsidP="00361176">
      <w:pPr>
        <w:rPr>
          <w:lang w:val="en-US"/>
        </w:rPr>
      </w:pPr>
    </w:p>
    <w:p w14:paraId="4C3BA377" w14:textId="000C6101" w:rsidR="00557A78" w:rsidRPr="00730DE4" w:rsidRDefault="00557A78" w:rsidP="00557A78">
      <w:pPr>
        <w:pStyle w:val="Heading1"/>
      </w:pPr>
      <w:bookmarkStart w:id="7" w:name="_Toc180490436"/>
      <w:bookmarkStart w:id="8" w:name="_Toc180491469"/>
      <w:r w:rsidRPr="00730DE4">
        <w:t>Introduction</w:t>
      </w:r>
      <w:bookmarkEnd w:id="7"/>
      <w:bookmarkEnd w:id="8"/>
    </w:p>
    <w:p w14:paraId="05B3EE9A" w14:textId="77E45045" w:rsidR="002514F8" w:rsidRPr="00730DE4" w:rsidRDefault="002514F8" w:rsidP="002B7001">
      <w:pPr>
        <w:pStyle w:val="Heading2"/>
        <w:rPr>
          <w:lang w:val="en-US"/>
        </w:rPr>
      </w:pPr>
      <w:bookmarkStart w:id="9" w:name="_Toc180490437"/>
      <w:bookmarkStart w:id="10" w:name="_Toc180491470"/>
      <w:r w:rsidRPr="00730DE4">
        <w:rPr>
          <w:lang w:val="en-US"/>
        </w:rPr>
        <w:t>About us</w:t>
      </w:r>
      <w:bookmarkEnd w:id="9"/>
      <w:bookmarkEnd w:id="10"/>
      <w:r w:rsidRPr="00730DE4">
        <w:rPr>
          <w:lang w:val="en-US"/>
        </w:rPr>
        <w:t xml:space="preserve"> </w:t>
      </w:r>
    </w:p>
    <w:p w14:paraId="62D53D45" w14:textId="77777777" w:rsidR="002514F8" w:rsidRPr="00730DE4" w:rsidRDefault="002514F8" w:rsidP="002B7001">
      <w:pPr>
        <w:pStyle w:val="Heading3"/>
        <w:rPr>
          <w:lang w:val="en-US"/>
        </w:rPr>
      </w:pPr>
      <w:bookmarkStart w:id="11" w:name="_Toc180487232"/>
      <w:bookmarkStart w:id="12" w:name="_Toc180490438"/>
      <w:bookmarkStart w:id="13" w:name="_Toc180491471"/>
      <w:r w:rsidRPr="00730DE4">
        <w:rPr>
          <w:lang w:val="en-US"/>
        </w:rPr>
        <w:t>Our role</w:t>
      </w:r>
      <w:bookmarkEnd w:id="11"/>
      <w:bookmarkEnd w:id="12"/>
      <w:bookmarkEnd w:id="13"/>
    </w:p>
    <w:p w14:paraId="299C6A2B" w14:textId="77777777" w:rsidR="002514F8" w:rsidRPr="00730DE4" w:rsidRDefault="002514F8" w:rsidP="00B415F9">
      <w:pPr>
        <w:rPr>
          <w:lang w:val="en-US"/>
        </w:rPr>
      </w:pPr>
      <w:r w:rsidRPr="00730DE4">
        <w:rPr>
          <w:lang w:val="en-US"/>
        </w:rPr>
        <w:t>The Department of Transport and Main Roads (TMR) moves and connects people, places, goods, and services safely, efficiently, and effectively across Queensland.</w:t>
      </w:r>
    </w:p>
    <w:p w14:paraId="70A1AEE3" w14:textId="77777777" w:rsidR="002514F8" w:rsidRPr="00730DE4" w:rsidRDefault="002514F8" w:rsidP="00B415F9">
      <w:pPr>
        <w:rPr>
          <w:lang w:val="en-US"/>
        </w:rPr>
      </w:pPr>
      <w:r w:rsidRPr="00730DE4">
        <w:rPr>
          <w:lang w:val="en-US"/>
        </w:rPr>
        <w:t>TMR is responsible for planning, managing, and delivering a single integrated transport network across road, rail, air, and sea for the state. To meet these obligations, TMR is committed to ensuring Queensland’s transport system contributes to people’s quality of life, a vibrant economy, and a sustainable environment.</w:t>
      </w:r>
    </w:p>
    <w:p w14:paraId="05BF2E4F" w14:textId="77777777" w:rsidR="002514F8" w:rsidRPr="00730DE4" w:rsidRDefault="002514F8" w:rsidP="00B415F9">
      <w:pPr>
        <w:rPr>
          <w:lang w:val="en-US"/>
        </w:rPr>
      </w:pPr>
      <w:r w:rsidRPr="00730DE4">
        <w:rPr>
          <w:lang w:val="en-US"/>
        </w:rPr>
        <w:t>In 2023–24, TMR administered an adjusted operating budget of $8.236 billion, an adjusted capital budget of $4.151 billion and managed assets worth $106.718 billion.</w:t>
      </w:r>
    </w:p>
    <w:p w14:paraId="12603949" w14:textId="77777777" w:rsidR="002514F8" w:rsidRPr="00730DE4" w:rsidRDefault="002514F8" w:rsidP="00B415F9">
      <w:pPr>
        <w:rPr>
          <w:lang w:val="en-US"/>
        </w:rPr>
      </w:pPr>
      <w:r w:rsidRPr="00730DE4">
        <w:rPr>
          <w:lang w:val="en-US"/>
        </w:rPr>
        <w:t>This funding enables TMR to deliver transport and road infrastructure to connect Queensland and to help ensure the infrastructure built and maintained is efficient, reliable, and safe.</w:t>
      </w:r>
    </w:p>
    <w:p w14:paraId="10825BEC" w14:textId="77777777" w:rsidR="002514F8" w:rsidRPr="00730DE4" w:rsidRDefault="002514F8" w:rsidP="00B415F9">
      <w:pPr>
        <w:rPr>
          <w:lang w:val="en-US"/>
        </w:rPr>
      </w:pPr>
      <w:r w:rsidRPr="00730DE4">
        <w:rPr>
          <w:lang w:val="en-US"/>
        </w:rPr>
        <w:t xml:space="preserve">TMR operates under the </w:t>
      </w:r>
      <w:r w:rsidRPr="00730DE4">
        <w:rPr>
          <w:rStyle w:val="Emphasis"/>
          <w:lang w:val="en-US"/>
        </w:rPr>
        <w:t>Administrative Arrangements Order (No.2) 2018</w:t>
      </w:r>
      <w:r w:rsidRPr="00730DE4">
        <w:rPr>
          <w:lang w:val="en-US"/>
        </w:rPr>
        <w:t xml:space="preserve"> and the </w:t>
      </w:r>
      <w:r w:rsidRPr="00730DE4">
        <w:rPr>
          <w:rStyle w:val="Emphasis"/>
          <w:lang w:val="en-US"/>
        </w:rPr>
        <w:t>Public Service Departmental Arrangements Notice (No.4) 2017</w:t>
      </w:r>
      <w:r w:rsidRPr="00730DE4">
        <w:rPr>
          <w:lang w:val="en-US"/>
        </w:rPr>
        <w:t>. It discharges its statutory obligations under 25 acts, listed in Appendix 1. Progress on achieving these obligations, further information, and links to websites are included throughout the report.</w:t>
      </w:r>
    </w:p>
    <w:p w14:paraId="740D1B43" w14:textId="77777777" w:rsidR="002514F8" w:rsidRPr="00730DE4" w:rsidRDefault="002514F8" w:rsidP="002B7001">
      <w:pPr>
        <w:pStyle w:val="Heading3"/>
        <w:rPr>
          <w:lang w:val="en-US"/>
        </w:rPr>
      </w:pPr>
      <w:bookmarkStart w:id="14" w:name="_Toc180487233"/>
      <w:bookmarkStart w:id="15" w:name="_Toc180490439"/>
      <w:bookmarkStart w:id="16" w:name="_Toc180491472"/>
      <w:r w:rsidRPr="00730DE4">
        <w:rPr>
          <w:lang w:val="en-US"/>
        </w:rPr>
        <w:t>What the report contains</w:t>
      </w:r>
      <w:bookmarkEnd w:id="14"/>
      <w:bookmarkEnd w:id="15"/>
      <w:bookmarkEnd w:id="16"/>
    </w:p>
    <w:p w14:paraId="35DBD1D3" w14:textId="77777777" w:rsidR="002514F8" w:rsidRPr="00730DE4" w:rsidRDefault="002514F8" w:rsidP="00A42A66">
      <w:pPr>
        <w:rPr>
          <w:lang w:val="en-US"/>
        </w:rPr>
      </w:pPr>
      <w:r w:rsidRPr="00730DE4">
        <w:rPr>
          <w:lang w:val="en-US"/>
        </w:rPr>
        <w:t>TMR’s Annual Report 2023–24 describes the department’s operations for the financial year from1 July 2023 to 30 June 2024.</w:t>
      </w:r>
    </w:p>
    <w:p w14:paraId="4D24F79C" w14:textId="1E3C0613" w:rsidR="00EA1647" w:rsidRDefault="002514F8" w:rsidP="00EA1647">
      <w:pPr>
        <w:rPr>
          <w:lang w:val="en-US"/>
        </w:rPr>
      </w:pPr>
      <w:r w:rsidRPr="00730DE4">
        <w:rPr>
          <w:lang w:val="en-US"/>
        </w:rPr>
        <w:t>The report structure is separated into six main sections to support our vision, creating a single integrated network accessible to everyone. Progress is enabled by TMR’s organisational structure and delivered by TMR’s people.</w:t>
      </w:r>
      <w:r w:rsidR="00EA1647">
        <w:rPr>
          <w:lang w:val="en-US"/>
        </w:rPr>
        <w:br w:type="page"/>
      </w:r>
    </w:p>
    <w:p w14:paraId="166E5F46" w14:textId="1FFD2298" w:rsidR="002514F8" w:rsidRPr="00730DE4" w:rsidRDefault="002514F8" w:rsidP="002B7001">
      <w:pPr>
        <w:pStyle w:val="Heading3"/>
        <w:rPr>
          <w:lang w:val="en-US"/>
        </w:rPr>
      </w:pPr>
      <w:bookmarkStart w:id="17" w:name="_Toc180487234"/>
      <w:bookmarkStart w:id="18" w:name="_Toc180490440"/>
      <w:bookmarkStart w:id="19" w:name="_Toc180491473"/>
      <w:r w:rsidRPr="00730DE4">
        <w:rPr>
          <w:lang w:val="en-US"/>
        </w:rPr>
        <w:lastRenderedPageBreak/>
        <w:t>Why we have an Annual Report</w:t>
      </w:r>
      <w:bookmarkEnd w:id="17"/>
      <w:bookmarkEnd w:id="18"/>
      <w:bookmarkEnd w:id="19"/>
    </w:p>
    <w:p w14:paraId="2349CE6F" w14:textId="77777777" w:rsidR="002514F8" w:rsidRPr="00730DE4" w:rsidRDefault="002514F8" w:rsidP="00382A46">
      <w:pPr>
        <w:rPr>
          <w:lang w:val="en-US"/>
        </w:rPr>
      </w:pPr>
      <w:r w:rsidRPr="00730DE4">
        <w:rPr>
          <w:lang w:val="en-US"/>
        </w:rPr>
        <w:t xml:space="preserve">As well as meeting the statutory requirements set out in the </w:t>
      </w:r>
      <w:r w:rsidRPr="00730DE4">
        <w:rPr>
          <w:rStyle w:val="Emphasis"/>
          <w:lang w:val="en-US"/>
        </w:rPr>
        <w:t>Financial Accountability Act 2009</w:t>
      </w:r>
      <w:r w:rsidRPr="00730DE4">
        <w:rPr>
          <w:lang w:val="en-US"/>
        </w:rPr>
        <w:t xml:space="preserve"> and the </w:t>
      </w:r>
      <w:r w:rsidRPr="00730DE4">
        <w:rPr>
          <w:rStyle w:val="Emphasis"/>
          <w:lang w:val="en-US"/>
        </w:rPr>
        <w:t>Financial and Performance Management Standard 2019</w:t>
      </w:r>
      <w:r w:rsidRPr="00730DE4">
        <w:rPr>
          <w:lang w:val="en-US"/>
        </w:rPr>
        <w:t>, the Annual Report aims to inform stakeholders about TMR’s performance and strategic vision for a connected and accessible transport network for Queensland.</w:t>
      </w:r>
    </w:p>
    <w:p w14:paraId="61812F2C" w14:textId="77777777" w:rsidR="002514F8" w:rsidRPr="00730DE4" w:rsidRDefault="002514F8" w:rsidP="002B7001">
      <w:pPr>
        <w:pStyle w:val="Heading3"/>
        <w:rPr>
          <w:lang w:val="en-US"/>
        </w:rPr>
      </w:pPr>
      <w:bookmarkStart w:id="20" w:name="_Toc180487235"/>
      <w:bookmarkStart w:id="21" w:name="_Toc180490441"/>
      <w:bookmarkStart w:id="22" w:name="_Toc180491474"/>
      <w:r w:rsidRPr="00730DE4">
        <w:rPr>
          <w:lang w:val="en-US"/>
        </w:rPr>
        <w:t>Accessing the Annual Report</w:t>
      </w:r>
      <w:bookmarkEnd w:id="20"/>
      <w:bookmarkEnd w:id="21"/>
      <w:bookmarkEnd w:id="22"/>
    </w:p>
    <w:p w14:paraId="33FB8353" w14:textId="77777777" w:rsidR="002514F8" w:rsidRPr="00730DE4" w:rsidRDefault="002514F8" w:rsidP="00B415F9">
      <w:pPr>
        <w:rPr>
          <w:lang w:val="en-US"/>
        </w:rPr>
      </w:pPr>
      <w:r w:rsidRPr="00730DE4">
        <w:rPr>
          <w:lang w:val="en-US"/>
        </w:rPr>
        <w:t xml:space="preserve">The Annual Report is available on the Department of Transport and Main Roads’ website at </w:t>
      </w:r>
      <w:hyperlink r:id="rId14" w:history="1">
        <w:r w:rsidRPr="00730DE4">
          <w:rPr>
            <w:rStyle w:val="Hyperlink"/>
            <w:lang w:val="en-US"/>
          </w:rPr>
          <w:t>www.tmr.qld.gov.au/annualreport</w:t>
        </w:r>
      </w:hyperlink>
      <w:r w:rsidRPr="00730DE4">
        <w:rPr>
          <w:lang w:val="en-US"/>
        </w:rPr>
        <w:t>.</w:t>
      </w:r>
    </w:p>
    <w:p w14:paraId="52E9E6E9" w14:textId="77777777" w:rsidR="002514F8" w:rsidRPr="00730DE4" w:rsidRDefault="002514F8" w:rsidP="00B415F9">
      <w:pPr>
        <w:rPr>
          <w:lang w:val="en-US"/>
        </w:rPr>
      </w:pPr>
      <w:r w:rsidRPr="00730DE4">
        <w:rPr>
          <w:lang w:val="en-US"/>
        </w:rPr>
        <w:t xml:space="preserve">Additional annual reporting requirements have been published on the Queensland Government Open Data portal at </w:t>
      </w:r>
      <w:hyperlink r:id="rId15" w:history="1">
        <w:r w:rsidRPr="00730DE4">
          <w:rPr>
            <w:rStyle w:val="Hyperlink"/>
            <w:lang w:val="en-US"/>
          </w:rPr>
          <w:t>www.qld.gov.au/data</w:t>
        </w:r>
      </w:hyperlink>
      <w:r w:rsidRPr="00730DE4">
        <w:rPr>
          <w:lang w:val="en-US"/>
        </w:rPr>
        <w:t>.</w:t>
      </w:r>
    </w:p>
    <w:p w14:paraId="724C57BA" w14:textId="77777777" w:rsidR="002514F8" w:rsidRPr="00730DE4" w:rsidRDefault="002514F8" w:rsidP="00B415F9">
      <w:pPr>
        <w:rPr>
          <w:lang w:val="en-US"/>
        </w:rPr>
      </w:pPr>
      <w:r w:rsidRPr="00730DE4">
        <w:rPr>
          <w:lang w:val="en-US"/>
        </w:rPr>
        <w:t>This includes:</w:t>
      </w:r>
    </w:p>
    <w:p w14:paraId="75CE67AA" w14:textId="77777777" w:rsidR="002514F8" w:rsidRPr="00730DE4" w:rsidRDefault="002514F8" w:rsidP="00B415F9">
      <w:pPr>
        <w:pStyle w:val="ListBullet"/>
        <w:rPr>
          <w:lang w:val="en-US"/>
        </w:rPr>
      </w:pPr>
      <w:r w:rsidRPr="00730DE4">
        <w:rPr>
          <w:lang w:val="en-US"/>
        </w:rPr>
        <w:t>overseas travel</w:t>
      </w:r>
    </w:p>
    <w:p w14:paraId="0A6BD095" w14:textId="77777777" w:rsidR="002514F8" w:rsidRPr="00730DE4" w:rsidRDefault="002514F8" w:rsidP="00B415F9">
      <w:pPr>
        <w:pStyle w:val="ListBullet"/>
        <w:rPr>
          <w:lang w:val="en-US"/>
        </w:rPr>
      </w:pPr>
      <w:r w:rsidRPr="00730DE4">
        <w:rPr>
          <w:lang w:val="en-US"/>
        </w:rPr>
        <w:t>consultancies</w:t>
      </w:r>
    </w:p>
    <w:p w14:paraId="652DA64A" w14:textId="77777777" w:rsidR="002514F8" w:rsidRPr="00730DE4" w:rsidRDefault="002514F8" w:rsidP="00B415F9">
      <w:pPr>
        <w:pStyle w:val="ListBullet"/>
        <w:rPr>
          <w:lang w:val="en-US"/>
        </w:rPr>
      </w:pPr>
      <w:r w:rsidRPr="00730DE4">
        <w:rPr>
          <w:lang w:val="en-US"/>
        </w:rPr>
        <w:t xml:space="preserve">school transport operator payments </w:t>
      </w:r>
    </w:p>
    <w:p w14:paraId="23514DA2" w14:textId="77777777" w:rsidR="002514F8" w:rsidRPr="00730DE4" w:rsidRDefault="002514F8" w:rsidP="00B415F9">
      <w:pPr>
        <w:pStyle w:val="ListBullet"/>
        <w:rPr>
          <w:lang w:val="en-US"/>
        </w:rPr>
      </w:pPr>
      <w:r w:rsidRPr="00730DE4">
        <w:rPr>
          <w:lang w:val="en-US"/>
        </w:rPr>
        <w:t>Queensland Language Services Policy measures.</w:t>
      </w:r>
    </w:p>
    <w:p w14:paraId="2DB0B15F" w14:textId="464E6280" w:rsidR="002514F8" w:rsidRPr="00730DE4" w:rsidRDefault="009C6058" w:rsidP="00B415F9">
      <w:pPr>
        <w:rPr>
          <w:lang w:val="en-US"/>
        </w:rPr>
      </w:pPr>
      <w:r w:rsidRPr="00730DE4">
        <w:rPr>
          <w:noProof/>
          <w:lang w:val="en-US"/>
        </w:rPr>
        <w:drawing>
          <wp:inline distT="0" distB="0" distL="0" distR="0" wp14:anchorId="61622F98" wp14:editId="09A03D59">
            <wp:extent cx="900000" cy="900000"/>
            <wp:effectExtent l="0" t="0" r="0" b="0"/>
            <wp:docPr id="1427519769" name="Graphic 1" descr="Interpreter symbol">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519769" name="Graphic 1" descr="Interpreter symbol">
                      <a:extLst>
                        <a:ext uri="{C183D7F6-B498-43B3-948B-1728B52AA6E4}">
                          <adec:decorative xmlns:adec="http://schemas.microsoft.com/office/drawing/2017/decorative" val="0"/>
                        </a:ext>
                      </a:extLst>
                    </pic:cNvPr>
                    <pic:cNvPicPr/>
                  </pic:nvPicPr>
                  <pic:blipFill>
                    <a:blip r:embed="rId16">
                      <a:extLst>
                        <a:ext uri="{96DAC541-7B7A-43D3-8B79-37D633B846F1}">
                          <asvg:svgBlip xmlns:asvg="http://schemas.microsoft.com/office/drawing/2016/SVG/main" r:embed="rId17"/>
                        </a:ext>
                      </a:extLst>
                    </a:blip>
                    <a:stretch>
                      <a:fillRect/>
                    </a:stretch>
                  </pic:blipFill>
                  <pic:spPr>
                    <a:xfrm>
                      <a:off x="0" y="0"/>
                      <a:ext cx="900000" cy="900000"/>
                    </a:xfrm>
                    <a:prstGeom prst="rect">
                      <a:avLst/>
                    </a:prstGeom>
                  </pic:spPr>
                </pic:pic>
              </a:graphicData>
            </a:graphic>
          </wp:inline>
        </w:drawing>
      </w:r>
    </w:p>
    <w:p w14:paraId="6E915590" w14:textId="77777777" w:rsidR="002514F8" w:rsidRPr="00730DE4" w:rsidRDefault="002514F8" w:rsidP="00C530E0">
      <w:pPr>
        <w:rPr>
          <w:lang w:val="en-US"/>
        </w:rPr>
      </w:pPr>
      <w:r w:rsidRPr="00730DE4">
        <w:rPr>
          <w:lang w:val="en-US"/>
        </w:rPr>
        <w:t>The Queensland Government is committed to providing accessible services to Queenslanders from all culturally and linguistically diverse backgrounds. If you have difficulty understanding the Annual Report, please call translation services on 1800 512 451 to arrange an interpreter to effectively communicate the report to you.</w:t>
      </w:r>
    </w:p>
    <w:p w14:paraId="1D019C1F" w14:textId="61CF1FEF" w:rsidR="00EA1647" w:rsidRDefault="00263125" w:rsidP="00EA1647">
      <w:pPr>
        <w:rPr>
          <w:lang w:val="en-US"/>
        </w:rPr>
      </w:pPr>
      <w:r w:rsidRPr="00730DE4">
        <w:rPr>
          <w:lang w:val="en-US"/>
        </w:rPr>
        <w:t xml:space="preserve">You can also email </w:t>
      </w:r>
      <w:hyperlink r:id="rId18" w:history="1">
        <w:r w:rsidRPr="00730DE4">
          <w:rPr>
            <w:rStyle w:val="Hyperlink"/>
            <w:lang w:val="en-US"/>
          </w:rPr>
          <w:t>annual.report@tmr.qld.gov.au</w:t>
        </w:r>
      </w:hyperlink>
      <w:r w:rsidRPr="00730DE4">
        <w:rPr>
          <w:lang w:val="en-US"/>
        </w:rPr>
        <w:t xml:space="preserve"> to request a printed copy or a format that is accessible for you.</w:t>
      </w:r>
      <w:r w:rsidR="00EA1647">
        <w:rPr>
          <w:lang w:val="en-US"/>
        </w:rPr>
        <w:br w:type="page"/>
      </w:r>
    </w:p>
    <w:p w14:paraId="1D9820D8" w14:textId="45B07191" w:rsidR="002514F8" w:rsidRPr="00730DE4" w:rsidRDefault="002514F8" w:rsidP="002B7001">
      <w:pPr>
        <w:pStyle w:val="Heading3"/>
        <w:rPr>
          <w:lang w:val="en-US"/>
        </w:rPr>
      </w:pPr>
      <w:bookmarkStart w:id="23" w:name="_Toc180487236"/>
      <w:bookmarkStart w:id="24" w:name="_Toc180490442"/>
      <w:bookmarkStart w:id="25" w:name="_Toc180491475"/>
      <w:r w:rsidRPr="00730DE4">
        <w:rPr>
          <w:lang w:val="en-US"/>
        </w:rPr>
        <w:lastRenderedPageBreak/>
        <w:t>Transport and Main Roads’ Strategic Plan</w:t>
      </w:r>
      <w:bookmarkEnd w:id="23"/>
      <w:bookmarkEnd w:id="24"/>
      <w:bookmarkEnd w:id="25"/>
    </w:p>
    <w:p w14:paraId="7030C533" w14:textId="77777777" w:rsidR="002514F8" w:rsidRPr="00730DE4" w:rsidRDefault="002514F8" w:rsidP="00B415F9">
      <w:pPr>
        <w:rPr>
          <w:lang w:val="en-US"/>
        </w:rPr>
      </w:pPr>
      <w:r w:rsidRPr="00730DE4">
        <w:rPr>
          <w:lang w:val="en-US"/>
        </w:rPr>
        <w:t xml:space="preserve">TMR’s </w:t>
      </w:r>
      <w:r w:rsidRPr="00730DE4">
        <w:rPr>
          <w:rStyle w:val="Emphasis"/>
          <w:lang w:val="en-US"/>
        </w:rPr>
        <w:t>Strategic Plan 2023–2027</w:t>
      </w:r>
      <w:r w:rsidRPr="00730DE4">
        <w:rPr>
          <w:lang w:val="en-US"/>
        </w:rPr>
        <w:t xml:space="preserve"> is a new four-year direction-setting document outlining a strong vision and purpose for the creation of a single integrated network accessible to everyone. The plan incorporates the Queensland Government Customer and Digital Group (QGCDG), recognising the machinery-of-government changes effective 18 May 2023. The plan represents the first year of the strategic planning cycle that commenced on 1 July 2023 and was informed by extensive consultation across TMR and with other Queensland Government agencies.</w:t>
      </w:r>
    </w:p>
    <w:p w14:paraId="1A0A215A" w14:textId="77777777" w:rsidR="002514F8" w:rsidRPr="00730DE4" w:rsidRDefault="002514F8" w:rsidP="00B415F9">
      <w:pPr>
        <w:rPr>
          <w:lang w:val="en-US"/>
        </w:rPr>
      </w:pPr>
      <w:r w:rsidRPr="00730DE4">
        <w:rPr>
          <w:lang w:val="en-US"/>
        </w:rPr>
        <w:t>The strategic plan demonstrates how TMR:</w:t>
      </w:r>
    </w:p>
    <w:p w14:paraId="11AE3BDC" w14:textId="77777777" w:rsidR="002514F8" w:rsidRPr="00730DE4" w:rsidRDefault="002514F8" w:rsidP="00B415F9">
      <w:pPr>
        <w:pStyle w:val="ListBullet"/>
        <w:rPr>
          <w:lang w:val="en-US"/>
        </w:rPr>
      </w:pPr>
      <w:r w:rsidRPr="00730DE4">
        <w:rPr>
          <w:lang w:val="en-US"/>
        </w:rPr>
        <w:t xml:space="preserve">contributes to the Queensland Government’s objectives for the community </w:t>
      </w:r>
    </w:p>
    <w:p w14:paraId="643B294E" w14:textId="77777777" w:rsidR="002514F8" w:rsidRPr="00730DE4" w:rsidRDefault="002514F8" w:rsidP="00B415F9">
      <w:pPr>
        <w:pStyle w:val="ListBullet"/>
        <w:rPr>
          <w:lang w:val="en-US"/>
        </w:rPr>
      </w:pPr>
      <w:r w:rsidRPr="00730DE4">
        <w:rPr>
          <w:lang w:val="en-US"/>
        </w:rPr>
        <w:t xml:space="preserve">responds to opportunities and challenges </w:t>
      </w:r>
    </w:p>
    <w:p w14:paraId="4CAC92FD" w14:textId="77777777" w:rsidR="002514F8" w:rsidRPr="00730DE4" w:rsidRDefault="002514F8" w:rsidP="00B415F9">
      <w:pPr>
        <w:pStyle w:val="ListBullet"/>
        <w:rPr>
          <w:lang w:val="en-US"/>
        </w:rPr>
      </w:pPr>
      <w:r w:rsidRPr="00730DE4">
        <w:rPr>
          <w:lang w:val="en-US"/>
        </w:rPr>
        <w:t>delivers for customers and workforce through the strategic objectives centred around accessible and integrated; safe and secure; responsive; efficient and productive; sustainable; digital economic contribution; and capable, adaptable, and aligned.</w:t>
      </w:r>
    </w:p>
    <w:p w14:paraId="138FE534" w14:textId="77777777" w:rsidR="002514F8" w:rsidRPr="00730DE4" w:rsidRDefault="002514F8" w:rsidP="002B7001">
      <w:pPr>
        <w:pStyle w:val="Heading3"/>
        <w:rPr>
          <w:lang w:val="en-US"/>
        </w:rPr>
      </w:pPr>
      <w:bookmarkStart w:id="26" w:name="_Toc180487237"/>
      <w:bookmarkStart w:id="27" w:name="_Toc180490443"/>
      <w:bookmarkStart w:id="28" w:name="_Toc180491476"/>
      <w:r w:rsidRPr="00730DE4">
        <w:rPr>
          <w:lang w:val="en-US"/>
        </w:rPr>
        <w:t>Business planning</w:t>
      </w:r>
      <w:bookmarkEnd w:id="26"/>
      <w:bookmarkEnd w:id="27"/>
      <w:bookmarkEnd w:id="28"/>
    </w:p>
    <w:p w14:paraId="1258C7F2" w14:textId="77777777" w:rsidR="002514F8" w:rsidRPr="00730DE4" w:rsidRDefault="002514F8" w:rsidP="00B415F9">
      <w:pPr>
        <w:rPr>
          <w:lang w:val="en-US"/>
        </w:rPr>
      </w:pPr>
      <w:r w:rsidRPr="00730DE4">
        <w:rPr>
          <w:lang w:val="en-US"/>
        </w:rPr>
        <w:t xml:space="preserve">TMR’s divisional and branch business plans align with TMR’s Strategic Plan and are positioned to support the delivery of TMR’s strategic objectives. Business plans are created at the beginning of the financial year detailing the actions a division or branch will take within that year to achieve the overall targets outlined in the strategic plan. These business plans are ‘living documents’ and are reviewed quarterly to ensure TMR remains responsive to performance outcomes, operational risks, and opportunities. </w:t>
      </w:r>
    </w:p>
    <w:p w14:paraId="72FB5066" w14:textId="77777777" w:rsidR="002514F8" w:rsidRPr="00730DE4" w:rsidRDefault="002514F8" w:rsidP="002B7001">
      <w:pPr>
        <w:pStyle w:val="Heading3"/>
        <w:rPr>
          <w:lang w:val="en-US"/>
        </w:rPr>
      </w:pPr>
      <w:bookmarkStart w:id="29" w:name="_Toc180487238"/>
      <w:bookmarkStart w:id="30" w:name="_Toc180490444"/>
      <w:bookmarkStart w:id="31" w:name="_Toc180491477"/>
      <w:r w:rsidRPr="00730DE4">
        <w:rPr>
          <w:lang w:val="en-US"/>
        </w:rPr>
        <w:t>Whole-of-government plans and specific initiatives—Digital</w:t>
      </w:r>
      <w:bookmarkEnd w:id="29"/>
      <w:bookmarkEnd w:id="30"/>
      <w:bookmarkEnd w:id="31"/>
    </w:p>
    <w:p w14:paraId="2E484FD1" w14:textId="77777777" w:rsidR="002514F8" w:rsidRPr="00730DE4" w:rsidRDefault="002514F8" w:rsidP="00B415F9">
      <w:pPr>
        <w:rPr>
          <w:lang w:val="en-US"/>
        </w:rPr>
      </w:pPr>
      <w:r w:rsidRPr="00730DE4">
        <w:rPr>
          <w:lang w:val="en-US"/>
        </w:rPr>
        <w:t>TMR’s QGCDG has a number of whole-of-government and specific purpose plans relating to digital services including:</w:t>
      </w:r>
    </w:p>
    <w:p w14:paraId="272ADB05" w14:textId="77777777" w:rsidR="002514F8" w:rsidRPr="00730DE4" w:rsidRDefault="002514F8" w:rsidP="00B415F9">
      <w:pPr>
        <w:pStyle w:val="ListBullet"/>
        <w:rPr>
          <w:rStyle w:val="Emphasis"/>
        </w:rPr>
      </w:pPr>
      <w:r w:rsidRPr="00730DE4">
        <w:rPr>
          <w:rStyle w:val="Emphasis"/>
        </w:rPr>
        <w:t>Digital Professional Workforce Action Plan 2020–2024</w:t>
      </w:r>
    </w:p>
    <w:p w14:paraId="32211D58" w14:textId="77777777" w:rsidR="002514F8" w:rsidRPr="00730DE4" w:rsidRDefault="002514F8" w:rsidP="00B415F9">
      <w:pPr>
        <w:pStyle w:val="ListBullet"/>
        <w:rPr>
          <w:rStyle w:val="Emphasis"/>
        </w:rPr>
      </w:pPr>
      <w:r w:rsidRPr="00730DE4">
        <w:rPr>
          <w:rStyle w:val="Emphasis"/>
        </w:rPr>
        <w:t>Queensland Government Cyber Security Hazard Plan</w:t>
      </w:r>
    </w:p>
    <w:p w14:paraId="3B6F7A3B" w14:textId="77777777" w:rsidR="002514F8" w:rsidRPr="00730DE4" w:rsidRDefault="002514F8" w:rsidP="00B415F9">
      <w:pPr>
        <w:pStyle w:val="ListBullet"/>
        <w:rPr>
          <w:rStyle w:val="Emphasis"/>
        </w:rPr>
      </w:pPr>
      <w:r w:rsidRPr="00730DE4">
        <w:rPr>
          <w:rStyle w:val="Emphasis"/>
        </w:rPr>
        <w:t>Our Thriving Digital Future: Queensland’s Digital Economy Strategy</w:t>
      </w:r>
      <w:r w:rsidRPr="00730DE4">
        <w:t xml:space="preserve"> and 2023–2026 Action Plan.</w:t>
      </w:r>
    </w:p>
    <w:p w14:paraId="3EB10B4A" w14:textId="77777777" w:rsidR="002514F8" w:rsidRPr="00730DE4" w:rsidRDefault="002514F8" w:rsidP="00B415F9">
      <w:pPr>
        <w:rPr>
          <w:lang w:val="en-US"/>
        </w:rPr>
      </w:pPr>
      <w:r w:rsidRPr="00730DE4">
        <w:rPr>
          <w:lang w:val="en-US"/>
        </w:rPr>
        <w:t xml:space="preserve">QGCDG is committed to building Queensland’s digital workforce through delivery of the Queensland Government Digital Graduate Program and the </w:t>
      </w:r>
      <w:r w:rsidRPr="00730DE4">
        <w:rPr>
          <w:rStyle w:val="Emphasis"/>
        </w:rPr>
        <w:t>Digital Professional Workforce Action Plan 2020–2024</w:t>
      </w:r>
      <w:r w:rsidRPr="00730DE4">
        <w:rPr>
          <w:lang w:val="en-US"/>
        </w:rPr>
        <w:t>.</w:t>
      </w:r>
    </w:p>
    <w:p w14:paraId="290AF844" w14:textId="77777777" w:rsidR="002514F8" w:rsidRPr="00730DE4" w:rsidRDefault="002514F8" w:rsidP="00B415F9">
      <w:pPr>
        <w:rPr>
          <w:lang w:val="en-US"/>
        </w:rPr>
      </w:pPr>
      <w:r w:rsidRPr="00730DE4">
        <w:rPr>
          <w:lang w:val="en-US"/>
        </w:rPr>
        <w:lastRenderedPageBreak/>
        <w:t>The Queensland Government Digital Graduate Program offers recent graduates the opportunity to get a head start on their career. The Digital Professional Workforce Action Plan aims to position Queensland as an innovative, digitally-savvy economy. Investing in skills development and attracting a broader range of people into the profession will produce an additional 10,000 digital professionals by 2024.</w:t>
      </w:r>
    </w:p>
    <w:p w14:paraId="24E30F23" w14:textId="77777777" w:rsidR="002514F8" w:rsidRPr="00730DE4" w:rsidRDefault="002514F8" w:rsidP="00B415F9">
      <w:pPr>
        <w:rPr>
          <w:lang w:val="en-US"/>
        </w:rPr>
      </w:pPr>
      <w:r w:rsidRPr="00730DE4">
        <w:rPr>
          <w:rStyle w:val="Emphasis"/>
        </w:rPr>
        <w:t>Our Thriving Digital Future: Queensland’s Digital Economy Strategy</w:t>
      </w:r>
      <w:r w:rsidRPr="00730DE4">
        <w:rPr>
          <w:lang w:val="en-US"/>
        </w:rPr>
        <w:t xml:space="preserve"> provides the overarching vision, direction, and actions needed to accelerate growth of the state’s digital and broader economy for 2023–26.</w:t>
      </w:r>
    </w:p>
    <w:p w14:paraId="35C881AA" w14:textId="77777777" w:rsidR="002514F8" w:rsidRPr="00730DE4" w:rsidRDefault="002514F8" w:rsidP="00B415F9">
      <w:pPr>
        <w:rPr>
          <w:lang w:val="en-US"/>
        </w:rPr>
      </w:pPr>
      <w:r w:rsidRPr="00730DE4">
        <w:rPr>
          <w:lang w:val="en-US"/>
        </w:rPr>
        <w:t xml:space="preserve">The strategy and its </w:t>
      </w:r>
      <w:r w:rsidRPr="00730DE4">
        <w:t xml:space="preserve">2023–2026 </w:t>
      </w:r>
      <w:r w:rsidRPr="00730DE4">
        <w:rPr>
          <w:lang w:val="en-US"/>
        </w:rPr>
        <w:t>Action Plan will implement the Queensland Government’s agenda for a thriving digital economy, better digital government services, and to advance digital inclusion for digitally disadvantaged Queenslanders.</w:t>
      </w:r>
    </w:p>
    <w:p w14:paraId="68232954" w14:textId="54C1884B" w:rsidR="002514F8" w:rsidRPr="00730DE4" w:rsidRDefault="002514F8" w:rsidP="00B415F9">
      <w:pPr>
        <w:rPr>
          <w:lang w:val="en-US"/>
        </w:rPr>
      </w:pPr>
      <w:r w:rsidRPr="00730DE4">
        <w:rPr>
          <w:lang w:val="en-US"/>
        </w:rPr>
        <w:t>Three core focus areas and six priorities will guide initiatives under the action plans to ensure Queensland continues to invest in digital transformations that support good jobs, better service delivery, and enhances Queensland’s great lifestyle.</w:t>
      </w:r>
    </w:p>
    <w:p w14:paraId="27F55BCD" w14:textId="77777777" w:rsidR="002514F8" w:rsidRPr="00730DE4" w:rsidRDefault="002514F8" w:rsidP="00B415F9">
      <w:pPr>
        <w:rPr>
          <w:lang w:val="en-US"/>
        </w:rPr>
      </w:pPr>
      <w:r w:rsidRPr="00730DE4">
        <w:rPr>
          <w:lang w:val="en-US"/>
        </w:rPr>
        <w:t>The strategy is central to ensuring that digital technologies support Queensland’s competitive economic future, including delivery of the Brisbane 2032 Olympic and Paralympic Games.</w:t>
      </w:r>
    </w:p>
    <w:p w14:paraId="0ACF8A9D" w14:textId="77777777" w:rsidR="002514F8" w:rsidRPr="00730DE4" w:rsidRDefault="002514F8" w:rsidP="00B415F9">
      <w:pPr>
        <w:rPr>
          <w:lang w:val="en-US"/>
        </w:rPr>
      </w:pPr>
      <w:r w:rsidRPr="00730DE4">
        <w:rPr>
          <w:lang w:val="en-US"/>
        </w:rPr>
        <w:t>Delivery of the 2023–26 Action Plan will ensure Queensland builds solid foundations through partnerships to:</w:t>
      </w:r>
    </w:p>
    <w:p w14:paraId="570552EB" w14:textId="77777777" w:rsidR="002514F8" w:rsidRPr="00730DE4" w:rsidRDefault="002514F8" w:rsidP="00B415F9">
      <w:pPr>
        <w:pStyle w:val="ListBullet"/>
        <w:rPr>
          <w:lang w:val="en-US"/>
        </w:rPr>
      </w:pPr>
      <w:r w:rsidRPr="00730DE4">
        <w:rPr>
          <w:lang w:val="en-US"/>
        </w:rPr>
        <w:t>unlock the value of the digital economy for all Queenslanders</w:t>
      </w:r>
    </w:p>
    <w:p w14:paraId="024AEFD2" w14:textId="77777777" w:rsidR="002514F8" w:rsidRPr="00730DE4" w:rsidRDefault="002514F8" w:rsidP="00B415F9">
      <w:pPr>
        <w:pStyle w:val="ListBullet"/>
        <w:rPr>
          <w:lang w:val="en-US"/>
        </w:rPr>
      </w:pPr>
      <w:r w:rsidRPr="00730DE4">
        <w:rPr>
          <w:lang w:val="en-US"/>
        </w:rPr>
        <w:t>grow Queensland’s businesses, industries, and digital talent</w:t>
      </w:r>
    </w:p>
    <w:p w14:paraId="478A228B" w14:textId="05874684" w:rsidR="000F1F6C" w:rsidRPr="00EA1647" w:rsidRDefault="002514F8" w:rsidP="00EA1647">
      <w:pPr>
        <w:pStyle w:val="ListBullet"/>
        <w:rPr>
          <w:lang w:val="en-US"/>
        </w:rPr>
      </w:pPr>
      <w:r w:rsidRPr="00730DE4">
        <w:rPr>
          <w:lang w:val="en-US"/>
        </w:rPr>
        <w:t>create a more digitally-enabled and responsive government.</w:t>
      </w:r>
      <w:r w:rsidR="000F1F6C" w:rsidRPr="00EA1647">
        <w:rPr>
          <w:lang w:val="en-US"/>
        </w:rPr>
        <w:br w:type="page"/>
      </w:r>
    </w:p>
    <w:p w14:paraId="6FB33851" w14:textId="7B2E97B7" w:rsidR="002514F8" w:rsidRPr="00730DE4" w:rsidRDefault="002514F8" w:rsidP="002B7001">
      <w:pPr>
        <w:pStyle w:val="Heading2"/>
      </w:pPr>
      <w:bookmarkStart w:id="32" w:name="_Toc180490445"/>
      <w:bookmarkStart w:id="33" w:name="_Toc180491478"/>
      <w:r w:rsidRPr="00730DE4">
        <w:lastRenderedPageBreak/>
        <w:t>Director-General Message</w:t>
      </w:r>
      <w:bookmarkEnd w:id="32"/>
      <w:bookmarkEnd w:id="33"/>
    </w:p>
    <w:p w14:paraId="498462AD" w14:textId="77777777" w:rsidR="002514F8" w:rsidRPr="00730DE4" w:rsidRDefault="002514F8" w:rsidP="00A32469">
      <w:r w:rsidRPr="00730DE4">
        <w:t>Welcome to the 2023–24 Annual Report for the Department of Transport and Main Roads (TMR).</w:t>
      </w:r>
    </w:p>
    <w:p w14:paraId="76CA6C5F" w14:textId="77777777" w:rsidR="002514F8" w:rsidRPr="00730DE4" w:rsidRDefault="002514F8" w:rsidP="00A32469">
      <w:r w:rsidRPr="00730DE4">
        <w:t>We've experienced some significant challenges over the past year including a series of extreme weather events, cost of living pressures that continue to affect many Queenslanders, and an extraordinary escalation in the cost of construction and the supply of materials impacting businesses.</w:t>
      </w:r>
    </w:p>
    <w:p w14:paraId="4EAC7D6F" w14:textId="77777777" w:rsidR="002514F8" w:rsidRPr="00730DE4" w:rsidRDefault="002514F8" w:rsidP="00A32469">
      <w:r w:rsidRPr="00730DE4">
        <w:t>However, I'm proud to say that TMR's commitment to delivering transport and digital services for the people of Queensland and our focus on supporting, uplifting, and partnering with industry has never been stronger. This year's Annual Report shines a light on the different ways we are delivering on our strategic objectives and showcases how our work contributes to the broader commitments of the Queensland Government.</w:t>
      </w:r>
    </w:p>
    <w:p w14:paraId="4A54EE28" w14:textId="77777777" w:rsidR="002514F8" w:rsidRPr="00730DE4" w:rsidRDefault="002514F8" w:rsidP="00A32469">
      <w:r w:rsidRPr="00730DE4">
        <w:t>Before I move on to some key highlights, I want to acknowledge the continued dedication and support of our outstanding people. Their leadership and advocacy will enable us to provide reliable, resilient, and responsive transport networks and digital services that are safe and accessible for everyone.</w:t>
      </w:r>
    </w:p>
    <w:p w14:paraId="37413E69" w14:textId="77777777" w:rsidR="002514F8" w:rsidRPr="00730DE4" w:rsidRDefault="002514F8" w:rsidP="002B7001">
      <w:pPr>
        <w:pStyle w:val="Heading3"/>
      </w:pPr>
      <w:bookmarkStart w:id="34" w:name="_Toc180487240"/>
      <w:bookmarkStart w:id="35" w:name="_Toc180490446"/>
      <w:bookmarkStart w:id="36" w:name="_Toc180491479"/>
      <w:r w:rsidRPr="00730DE4">
        <w:t>Investing for sustainable growth</w:t>
      </w:r>
      <w:bookmarkEnd w:id="34"/>
      <w:bookmarkEnd w:id="35"/>
      <w:bookmarkEnd w:id="36"/>
    </w:p>
    <w:p w14:paraId="5D041FBB" w14:textId="77777777" w:rsidR="002514F8" w:rsidRPr="00730DE4" w:rsidRDefault="002514F8" w:rsidP="00A32469">
      <w:r w:rsidRPr="00730DE4">
        <w:t>Amidst significant market, industry, and economic uncertainty, we are taking a responsible approach to investment to ensure we can successfully deliver an accessible, safe, and resilient transport network.</w:t>
      </w:r>
    </w:p>
    <w:p w14:paraId="02421DC2" w14:textId="3743639D" w:rsidR="002514F8" w:rsidRPr="00730DE4" w:rsidRDefault="002514F8" w:rsidP="00A32469">
      <w:r w:rsidRPr="00730DE4">
        <w:t xml:space="preserve">The </w:t>
      </w:r>
      <w:r w:rsidRPr="00730DE4">
        <w:rPr>
          <w:rStyle w:val="Emphasis"/>
        </w:rPr>
        <w:t>Queensland Transport and Roads Investment Program</w:t>
      </w:r>
      <w:r w:rsidRPr="00730DE4">
        <w:t xml:space="preserve"> (QTRIP) </w:t>
      </w:r>
      <w:r w:rsidRPr="00730DE4">
        <w:rPr>
          <w:rStyle w:val="Emphasis"/>
        </w:rPr>
        <w:t>2024–25 to 2027–28</w:t>
      </w:r>
      <w:r w:rsidRPr="00730DE4">
        <w:t xml:space="preserve"> (see page </w:t>
      </w:r>
      <w:r w:rsidR="006F7C81" w:rsidRPr="00730DE4">
        <w:t>7</w:t>
      </w:r>
      <w:r w:rsidR="00A421AF" w:rsidRPr="00730DE4">
        <w:t>6</w:t>
      </w:r>
      <w:r w:rsidR="006F7C81" w:rsidRPr="00730DE4">
        <w:t>–7</w:t>
      </w:r>
      <w:r w:rsidR="00A421AF" w:rsidRPr="00730DE4">
        <w:t>7</w:t>
      </w:r>
      <w:r w:rsidRPr="00730DE4">
        <w:t>) outlines a $37.4 billion investment in road, rail, maritime, public transport, and active transport infrastructure across state, national, and local networks, which is estimated to support 28,000 jobs over the life of the program.</w:t>
      </w:r>
    </w:p>
    <w:p w14:paraId="3D7C4044" w14:textId="08FEDE8A" w:rsidR="002514F8" w:rsidRPr="00730DE4" w:rsidRDefault="002514F8" w:rsidP="00A32469">
      <w:r w:rsidRPr="00730DE4">
        <w:t xml:space="preserve">Significant road projects being delivered across the state include the Coomera Connector (Stage One), Coomera to Nerang (page </w:t>
      </w:r>
      <w:r w:rsidR="00FD67D7" w:rsidRPr="00730DE4">
        <w:t>14</w:t>
      </w:r>
      <w:r w:rsidR="00A421AF" w:rsidRPr="00730DE4">
        <w:t>9</w:t>
      </w:r>
      <w:r w:rsidR="00FD67D7" w:rsidRPr="00730DE4">
        <w:t>–1</w:t>
      </w:r>
      <w:r w:rsidR="00A421AF" w:rsidRPr="00730DE4">
        <w:t>50</w:t>
      </w:r>
      <w:r w:rsidRPr="00730DE4">
        <w:t xml:space="preserve">); the Rockhampton Ring Road (page </w:t>
      </w:r>
      <w:r w:rsidR="00FD67D7" w:rsidRPr="00730DE4">
        <w:t>11</w:t>
      </w:r>
      <w:r w:rsidR="00A421AF" w:rsidRPr="00730DE4">
        <w:t>9</w:t>
      </w:r>
      <w:r w:rsidR="00FD67D7" w:rsidRPr="00730DE4">
        <w:t>–1</w:t>
      </w:r>
      <w:r w:rsidR="00A421AF" w:rsidRPr="00730DE4">
        <w:t>20</w:t>
      </w:r>
      <w:r w:rsidRPr="00730DE4">
        <w:t xml:space="preserve">); the Pacific Motorway, Varsity Lakes to Tugun upgrade (page </w:t>
      </w:r>
      <w:r w:rsidR="00FD67D7" w:rsidRPr="00730DE4">
        <w:t>15</w:t>
      </w:r>
      <w:r w:rsidR="00A421AF" w:rsidRPr="00730DE4">
        <w:t>4</w:t>
      </w:r>
      <w:r w:rsidRPr="00730DE4">
        <w:t xml:space="preserve">); and Bruce Highway (Cooroy to Curra) Section D (page </w:t>
      </w:r>
      <w:r w:rsidR="00FD67D7" w:rsidRPr="00730DE4">
        <w:t>12</w:t>
      </w:r>
      <w:r w:rsidR="00A421AF" w:rsidRPr="00730DE4">
        <w:t>3</w:t>
      </w:r>
      <w:r w:rsidR="00FD67D7" w:rsidRPr="00730DE4">
        <w:t>–12</w:t>
      </w:r>
      <w:r w:rsidR="00A421AF" w:rsidRPr="00730DE4">
        <w:t>4</w:t>
      </w:r>
      <w:r w:rsidRPr="00730DE4">
        <w:t xml:space="preserve">). </w:t>
      </w:r>
    </w:p>
    <w:p w14:paraId="62BA51A9" w14:textId="68C0AF17" w:rsidR="002514F8" w:rsidRPr="00730DE4" w:rsidRDefault="002514F8" w:rsidP="00A32469">
      <w:r w:rsidRPr="00730DE4">
        <w:t xml:space="preserve">This QTRIP also includes significant rail investment—the largest ever, with $14 billion programmed over the next four years to deliver transformative rail projects to support our growing communities. These include the Direct Sunshine Coast Rail Line (Stage One) (page </w:t>
      </w:r>
      <w:r w:rsidR="007260BD" w:rsidRPr="00730DE4">
        <w:t>13</w:t>
      </w:r>
      <w:r w:rsidR="00A421AF" w:rsidRPr="00730DE4">
        <w:t>6</w:t>
      </w:r>
      <w:r w:rsidRPr="00730DE4">
        <w:t xml:space="preserve">), Logan and Gold Coast Faster Rail (LGC) (page </w:t>
      </w:r>
      <w:r w:rsidR="007260BD" w:rsidRPr="00730DE4">
        <w:t>14</w:t>
      </w:r>
      <w:r w:rsidR="00A421AF" w:rsidRPr="00730DE4">
        <w:t>7</w:t>
      </w:r>
      <w:r w:rsidR="007260BD" w:rsidRPr="00730DE4">
        <w:t>–14</w:t>
      </w:r>
      <w:r w:rsidR="00A421AF" w:rsidRPr="00730DE4">
        <w:t>8</w:t>
      </w:r>
      <w:r w:rsidRPr="00730DE4">
        <w:t xml:space="preserve">), and the Queensland Train Manufacturing Program (QTMP) (page </w:t>
      </w:r>
      <w:r w:rsidR="007260BD" w:rsidRPr="00730DE4">
        <w:t>1</w:t>
      </w:r>
      <w:r w:rsidR="00A421AF" w:rsidRPr="00730DE4">
        <w:t>80</w:t>
      </w:r>
      <w:r w:rsidRPr="00730DE4">
        <w:t>).</w:t>
      </w:r>
    </w:p>
    <w:p w14:paraId="20DBB2E3" w14:textId="77777777" w:rsidR="002514F8" w:rsidRPr="00730DE4" w:rsidRDefault="002514F8" w:rsidP="00A32469">
      <w:r w:rsidRPr="00730DE4">
        <w:t xml:space="preserve">These projects will also ensure we are well-positioned to meet the challenges of hosting the Brisbane 2032 Olympic and Paralympic Games. By 2032, transport </w:t>
      </w:r>
      <w:r w:rsidRPr="00730DE4">
        <w:lastRenderedPageBreak/>
        <w:t>corridors will better connect the three Games zones with a strong focus on environmentally friendly transport modes, including extending the capacity and reach of the South East Queensland passenger rail network, to contribute to a more sustainable Games.</w:t>
      </w:r>
    </w:p>
    <w:p w14:paraId="276A76EC" w14:textId="77777777" w:rsidR="002514F8" w:rsidRPr="00730DE4" w:rsidRDefault="002514F8" w:rsidP="002B7001">
      <w:pPr>
        <w:pStyle w:val="Heading3"/>
      </w:pPr>
      <w:bookmarkStart w:id="37" w:name="_Toc180487241"/>
      <w:bookmarkStart w:id="38" w:name="_Toc180490447"/>
      <w:bookmarkStart w:id="39" w:name="_Toc180491480"/>
      <w:r w:rsidRPr="00730DE4">
        <w:t>Working in partnership</w:t>
      </w:r>
      <w:bookmarkEnd w:id="37"/>
      <w:bookmarkEnd w:id="38"/>
      <w:bookmarkEnd w:id="39"/>
    </w:p>
    <w:p w14:paraId="3A610803" w14:textId="77777777" w:rsidR="002514F8" w:rsidRPr="00730DE4" w:rsidRDefault="002514F8" w:rsidP="00A32469">
      <w:r w:rsidRPr="00730DE4">
        <w:t>From co-designing solutions with customers through to forging strategic alliances with industry, none of our work would be possible without close collaboration with our partners.</w:t>
      </w:r>
    </w:p>
    <w:p w14:paraId="377D317C" w14:textId="049D227A" w:rsidR="002514F8" w:rsidRPr="00730DE4" w:rsidRDefault="002514F8" w:rsidP="00A32469">
      <w:r w:rsidRPr="00730DE4">
        <w:t xml:space="preserve">Following a successful rollout across the entire South East Queensland train and tram network, the Smart Ticketing project (page </w:t>
      </w:r>
      <w:r w:rsidR="00D83EA5" w:rsidRPr="00730DE4">
        <w:t>15</w:t>
      </w:r>
      <w:r w:rsidR="00A421AF" w:rsidRPr="00730DE4">
        <w:t>9</w:t>
      </w:r>
      <w:r w:rsidR="00D83EA5" w:rsidRPr="00730DE4">
        <w:t>–1</w:t>
      </w:r>
      <w:r w:rsidR="00A421AF" w:rsidRPr="00730DE4">
        <w:t>60</w:t>
      </w:r>
      <w:r w:rsidRPr="00730DE4">
        <w:t>) is providing more choice in how customers plan and pay for their public transport journeys. In June 2024, more than 15 million customer trips using new Smart Ticketing payments have been recorded on trains, trams, and river ferries.</w:t>
      </w:r>
    </w:p>
    <w:p w14:paraId="58E02615" w14:textId="0EB51E73" w:rsidR="002514F8" w:rsidRPr="00730DE4" w:rsidRDefault="002514F8" w:rsidP="00A32469">
      <w:r w:rsidRPr="00730DE4">
        <w:t xml:space="preserve">TMR, in partnership with Better Hearing Australia took significant steps to enhance accessibility across our network through the deployment of ‘smartloop’ countertop Hearing Augmentation Loop Devices to all TMR Customer Service Centres (page </w:t>
      </w:r>
      <w:r w:rsidR="00D83EA5" w:rsidRPr="00730DE4">
        <w:t>16</w:t>
      </w:r>
      <w:r w:rsidR="00A421AF" w:rsidRPr="00730DE4">
        <w:t>5</w:t>
      </w:r>
      <w:r w:rsidRPr="00730DE4">
        <w:t>). These devices enable customers with hearing aids or cochlear implants to connect via Telecoil technology, making it easier for them to communicate with staff and access information.</w:t>
      </w:r>
    </w:p>
    <w:p w14:paraId="2A21CAC6" w14:textId="60B1445F" w:rsidR="002514F8" w:rsidRPr="00730DE4" w:rsidRDefault="002514F8" w:rsidP="00A32469">
      <w:r w:rsidRPr="00730DE4">
        <w:t xml:space="preserve">TMR has made significant strides in its continuous improvement of the digital service delivery channel during the 2023–24 financial year by increasing the number of online services available to customers (page </w:t>
      </w:r>
      <w:r w:rsidR="004C5ECC" w:rsidRPr="00730DE4">
        <w:t>16</w:t>
      </w:r>
      <w:r w:rsidR="00A421AF" w:rsidRPr="00730DE4">
        <w:t>5</w:t>
      </w:r>
      <w:r w:rsidR="004C5ECC" w:rsidRPr="00730DE4">
        <w:softHyphen/>
        <w:t>–16</w:t>
      </w:r>
      <w:r w:rsidR="00A421AF" w:rsidRPr="00730DE4">
        <w:t>6</w:t>
      </w:r>
      <w:r w:rsidRPr="00730DE4">
        <w:t xml:space="preserve">). TMR is also investing in innovative technology to enhance customer service in Queensland by leveraging robotic process automation (page </w:t>
      </w:r>
      <w:r w:rsidR="00624F83" w:rsidRPr="00730DE4">
        <w:t>17</w:t>
      </w:r>
      <w:r w:rsidR="00A421AF" w:rsidRPr="00730DE4">
        <w:t>1</w:t>
      </w:r>
      <w:r w:rsidRPr="00730DE4">
        <w:t>). This technology streamlines processes, improves communication, and helps reduce ‘no-shows’ for Practical Driving Tests (PDT).</w:t>
      </w:r>
    </w:p>
    <w:p w14:paraId="17CF7C47" w14:textId="0DDF5E67" w:rsidR="00EA1647" w:rsidRDefault="002514F8" w:rsidP="00EA1647">
      <w:r w:rsidRPr="00730DE4">
        <w:t xml:space="preserve">The Roads and Transport Alliance is a partnership between TMR and Queensland local governments that saw 220 projects delivered across the state in 2023–24, representing a joint investment of more than $120 million (page </w:t>
      </w:r>
      <w:r w:rsidR="00624F83" w:rsidRPr="00730DE4">
        <w:t>1</w:t>
      </w:r>
      <w:r w:rsidR="00A421AF" w:rsidRPr="00730DE4">
        <w:t>80</w:t>
      </w:r>
      <w:r w:rsidR="00624F83" w:rsidRPr="00730DE4">
        <w:t>–18</w:t>
      </w:r>
      <w:r w:rsidR="00A421AF" w:rsidRPr="00730DE4">
        <w:t>1</w:t>
      </w:r>
      <w:r w:rsidRPr="00730DE4">
        <w:t xml:space="preserve">). TMR has also continued to work with Queensland Rail to deliver key rail infrastructure improvements across the network. This includes the delivery of accessibility upgrades at Banyo, Bundamba, Buranda, Burpengary, Lindum, and Morningside stations (page </w:t>
      </w:r>
      <w:r w:rsidR="00624F83" w:rsidRPr="00730DE4">
        <w:t>8</w:t>
      </w:r>
      <w:r w:rsidR="00A421AF" w:rsidRPr="00730DE4">
        <w:t>1</w:t>
      </w:r>
      <w:r w:rsidRPr="00730DE4">
        <w:t>).</w:t>
      </w:r>
      <w:r w:rsidR="00EA1647">
        <w:br w:type="page"/>
      </w:r>
    </w:p>
    <w:p w14:paraId="01B19408" w14:textId="3843B04E" w:rsidR="002514F8" w:rsidRPr="00730DE4" w:rsidRDefault="002514F8" w:rsidP="002B7001">
      <w:pPr>
        <w:pStyle w:val="Heading3"/>
      </w:pPr>
      <w:bookmarkStart w:id="40" w:name="_Toc180487242"/>
      <w:bookmarkStart w:id="41" w:name="_Toc180490448"/>
      <w:bookmarkStart w:id="42" w:name="_Toc180491481"/>
      <w:r w:rsidRPr="00730DE4">
        <w:lastRenderedPageBreak/>
        <w:t>Keeping Queenslanders safe</w:t>
      </w:r>
      <w:bookmarkEnd w:id="40"/>
      <w:bookmarkEnd w:id="41"/>
      <w:bookmarkEnd w:id="42"/>
    </w:p>
    <w:p w14:paraId="1488B7B9" w14:textId="77777777" w:rsidR="002514F8" w:rsidRPr="00730DE4" w:rsidRDefault="002514F8" w:rsidP="00A32469">
      <w:r w:rsidRPr="00730DE4">
        <w:t xml:space="preserve">Safety is a key priority for TMR, and we are working tirelessly across every part of our business to eliminate threats, risks, and unsafe behaviours to keep our communities safe. </w:t>
      </w:r>
    </w:p>
    <w:p w14:paraId="5BFCEC41" w14:textId="23BB52AE" w:rsidR="002514F8" w:rsidRPr="00730DE4" w:rsidRDefault="002514F8" w:rsidP="00A32469">
      <w:r w:rsidRPr="00730DE4">
        <w:t xml:space="preserve">QGCDG’s Cyber Security Unit (CSU) is focused on strengthening whole-of-government cyber security capability by ensuring effective cyber governance, enhancing cyber skills, and providing advanced defence capabilities to better protect government and Queenslanders (page </w:t>
      </w:r>
      <w:r w:rsidR="00A421AF" w:rsidRPr="00730DE4">
        <w:t>216</w:t>
      </w:r>
      <w:r w:rsidRPr="00730DE4">
        <w:t xml:space="preserve">). In October 2023, Exercise Sky Scriber brought together 115 staff from 20 departments and six supporting areas to evaluate the effectiveness of the new Queensland Government Cyber Security Arrangements in managing agency and whole-of-government responses during a complex cyber incident (page </w:t>
      </w:r>
      <w:r w:rsidR="00E14B56" w:rsidRPr="00730DE4">
        <w:t>206</w:t>
      </w:r>
      <w:r w:rsidRPr="00730DE4">
        <w:t>).</w:t>
      </w:r>
    </w:p>
    <w:p w14:paraId="1100655D" w14:textId="14A76E3C" w:rsidR="002514F8" w:rsidRPr="00730DE4" w:rsidRDefault="002514F8" w:rsidP="00A32469">
      <w:r w:rsidRPr="00730DE4">
        <w:t xml:space="preserve">The </w:t>
      </w:r>
      <w:r w:rsidRPr="00730DE4">
        <w:rPr>
          <w:rStyle w:val="Emphasis"/>
        </w:rPr>
        <w:t>Queensland Road Safety Strategy 2022−31</w:t>
      </w:r>
      <w:r w:rsidRPr="00730DE4">
        <w:t xml:space="preserve"> and </w:t>
      </w:r>
      <w:r w:rsidRPr="00730DE4">
        <w:rPr>
          <w:rStyle w:val="Emphasis"/>
        </w:rPr>
        <w:t>Queensland Road Safety Action Plan 2022−24</w:t>
      </w:r>
      <w:r w:rsidRPr="00730DE4">
        <w:t xml:space="preserve"> reaffirm Queensland’s commitment to a vision of zero serious road trauma by 2050 (page </w:t>
      </w:r>
      <w:r w:rsidR="00E14B56" w:rsidRPr="00730DE4">
        <w:t>187–188)</w:t>
      </w:r>
      <w:r w:rsidRPr="00730DE4">
        <w:t>. Priority actions for 2023–24 include the launch of the Ride to Zero program to improve motorcycle safety, the release of child restraint video guides for parents and carers, and the roll out of speed cameras in road work zones and school zones.</w:t>
      </w:r>
    </w:p>
    <w:p w14:paraId="573D5BE7" w14:textId="157B0CA6" w:rsidR="002514F8" w:rsidRPr="00730DE4" w:rsidRDefault="002514F8" w:rsidP="00A32469">
      <w:r w:rsidRPr="00730DE4">
        <w:t xml:space="preserve">During 2023–24, TMR’s StreetSmarts initiative focused on improving road safety through a series of innovative campaigns targeting critical issues on the road network (page </w:t>
      </w:r>
      <w:r w:rsidR="00E14B56" w:rsidRPr="00730DE4">
        <w:t>192–193</w:t>
      </w:r>
      <w:r w:rsidRPr="00730DE4">
        <w:t>). This included the ‘In Your Hands’ Drink Driving campaign, in partnership with the Betoota Advocate, and an anti-speeding campaign designed by young people through the Co-Lab Youth Road Safety Challenge.</w:t>
      </w:r>
    </w:p>
    <w:p w14:paraId="67FB92D1" w14:textId="470BDC91" w:rsidR="002514F8" w:rsidRPr="00730DE4" w:rsidRDefault="002514F8" w:rsidP="00A32469">
      <w:r w:rsidRPr="00730DE4">
        <w:t xml:space="preserve">A key initiative in the rail safety space was the National Level Crossing Rountable which brought over 70 senior executives together from government, industry, peak bodies, advocacy groups, and academia across Australia and New Zealand (page </w:t>
      </w:r>
      <w:r w:rsidR="00E14B56" w:rsidRPr="00730DE4">
        <w:t>195</w:t>
      </w:r>
      <w:r w:rsidRPr="00730DE4">
        <w:t>). The group committed to progressing several actions from the Roundtable, including a pilot program in Queensland to test camera technology at level crossings.</w:t>
      </w:r>
    </w:p>
    <w:p w14:paraId="393C5D54" w14:textId="6CE4F229" w:rsidR="002514F8" w:rsidRPr="00730DE4" w:rsidRDefault="002514F8" w:rsidP="00A32469">
      <w:r w:rsidRPr="00730DE4">
        <w:t xml:space="preserve">The European Train Control System (ETCS) will transform the rail network, increasing both safety and network capacity (page </w:t>
      </w:r>
      <w:r w:rsidR="009857EF" w:rsidRPr="00730DE4">
        <w:t>178–179</w:t>
      </w:r>
      <w:r w:rsidRPr="00730DE4">
        <w:t>). ETCS increases network capacity by providing oversight and control of trains as they are in operation. This increases network capacity by safely controlling the proximity of trains to each other as they run more frequently and closer together on the network.</w:t>
      </w:r>
    </w:p>
    <w:p w14:paraId="5BD52D97" w14:textId="75DD3E34" w:rsidR="002514F8" w:rsidRPr="00730DE4" w:rsidRDefault="002514F8" w:rsidP="00A32469">
      <w:r w:rsidRPr="00730DE4">
        <w:t xml:space="preserve">Reforming lifejacket laws is just one of many ways Maritime Safety Queensland (MSQ) is working to improve safety in Queensland waters (page </w:t>
      </w:r>
      <w:r w:rsidR="009857EF" w:rsidRPr="00730DE4">
        <w:t>197</w:t>
      </w:r>
      <w:r w:rsidRPr="00730DE4">
        <w:t xml:space="preserve">). The Maritime Enforcement Team (MET) also works closely with compliance partners including Queensland Police Service (QPS) and Queensland Boating and Fisheries Patrol to coordinate targeted safety campaigns and operations across the state. </w:t>
      </w:r>
    </w:p>
    <w:p w14:paraId="1C42DE09" w14:textId="77777777" w:rsidR="002514F8" w:rsidRPr="00730DE4" w:rsidRDefault="002514F8" w:rsidP="002B7001">
      <w:pPr>
        <w:pStyle w:val="Heading3"/>
      </w:pPr>
      <w:bookmarkStart w:id="43" w:name="_Toc180487243"/>
      <w:bookmarkStart w:id="44" w:name="_Toc180490449"/>
      <w:bookmarkStart w:id="45" w:name="_Toc180491482"/>
      <w:r w:rsidRPr="00730DE4">
        <w:lastRenderedPageBreak/>
        <w:t>Delivering for Aboriginal and Torres Strait Islander communities</w:t>
      </w:r>
      <w:bookmarkEnd w:id="43"/>
      <w:bookmarkEnd w:id="44"/>
      <w:bookmarkEnd w:id="45"/>
    </w:p>
    <w:p w14:paraId="4C4CD37D" w14:textId="77777777" w:rsidR="002514F8" w:rsidRPr="00730DE4" w:rsidRDefault="002514F8" w:rsidP="00A32469">
      <w:r w:rsidRPr="00730DE4">
        <w:t>To achieve a thriving economy that benefits all Queenslanders, it is vital to consider how we can improve access to digital services and training and employment opportunities for Aboriginal and Torres Strait Islander communities.</w:t>
      </w:r>
    </w:p>
    <w:p w14:paraId="3A5A428B" w14:textId="3BD09FA5" w:rsidR="002514F8" w:rsidRPr="00730DE4" w:rsidRDefault="002514F8" w:rsidP="00A32469">
      <w:r w:rsidRPr="00730DE4">
        <w:t xml:space="preserve">Delivered in partnership with Microsoft, the First Nations Digital Careers Program aims to empower Aboriginal and Torres Strait Islander Queenslanders of all age groups to move into a digital career (page </w:t>
      </w:r>
      <w:r w:rsidR="009857EF" w:rsidRPr="00730DE4">
        <w:t>208</w:t>
      </w:r>
      <w:r w:rsidRPr="00730DE4">
        <w:t>). The program is supporting 27 trainees from the second and third intake who are working across 15 different government agencies and industry organisations. Participation continues to grow with 12 new trainees from the fourth intake commencing in January 2024.</w:t>
      </w:r>
    </w:p>
    <w:p w14:paraId="33B7AA0F" w14:textId="77777777" w:rsidR="002514F8" w:rsidRPr="00730DE4" w:rsidRDefault="002514F8" w:rsidP="00A32469">
      <w:r w:rsidRPr="00730DE4">
        <w:t>In June 2023, QGCDG celebrated the establishment of the Palm Island Digital Service Centre. QGCDG continues to support the operations of two community-owned and controlled, and commercially sustainable, Digital Service Centres in remote First Nations communities, Cherbourg and Palm Island.</w:t>
      </w:r>
    </w:p>
    <w:p w14:paraId="2803D9F1" w14:textId="77777777" w:rsidR="002514F8" w:rsidRPr="00730DE4" w:rsidRDefault="002514F8" w:rsidP="00A32469">
      <w:r w:rsidRPr="00730DE4">
        <w:t>The Queensland Government, in partnership with Queensland-based not-for-profit LiteHaus International, has also delivered 4000 refurbished devices to rural and remote students. This initiative aims to enhance digital access and literacy for regional Queenslanders, focusing particularly on Aboriginal, Torres Strait Islander, and culturally and linguistically diverse communities.</w:t>
      </w:r>
    </w:p>
    <w:p w14:paraId="36CCB9E2" w14:textId="436E6E4D" w:rsidR="002514F8" w:rsidRPr="00730DE4" w:rsidRDefault="002514F8" w:rsidP="00A32469">
      <w:r w:rsidRPr="00730DE4">
        <w:t xml:space="preserve">In 2023–24, TMR reaffirmed its commitment to delivering social, environmental, and economic outcomes through the </w:t>
      </w:r>
      <w:r w:rsidRPr="00730DE4">
        <w:rPr>
          <w:rStyle w:val="Emphasis"/>
        </w:rPr>
        <w:t>Queensland Procurement Policy</w:t>
      </w:r>
      <w:r w:rsidRPr="00730DE4">
        <w:t xml:space="preserve"> and </w:t>
      </w:r>
      <w:r w:rsidRPr="00730DE4">
        <w:rPr>
          <w:rStyle w:val="Emphasis"/>
        </w:rPr>
        <w:t>Queensland Indigenous Procurement Policy</w:t>
      </w:r>
      <w:r w:rsidRPr="00730DE4">
        <w:t xml:space="preserve"> (page </w:t>
      </w:r>
      <w:r w:rsidR="009857EF" w:rsidRPr="00730DE4">
        <w:t>285–286</w:t>
      </w:r>
      <w:r w:rsidRPr="00730DE4">
        <w:t>). During the year, TMR awarded more than 90 per cent of its contracts to Queensland suppliers and increased the number of Aboriginal and Torres Strait Islander businesses engaged by 23 per cent.</w:t>
      </w:r>
    </w:p>
    <w:p w14:paraId="6703E9F1" w14:textId="77777777" w:rsidR="002514F8" w:rsidRPr="00730DE4" w:rsidRDefault="002514F8" w:rsidP="002B7001">
      <w:pPr>
        <w:pStyle w:val="Heading3"/>
      </w:pPr>
      <w:bookmarkStart w:id="46" w:name="_Toc180487244"/>
      <w:bookmarkStart w:id="47" w:name="_Toc180490450"/>
      <w:bookmarkStart w:id="48" w:name="_Toc180491483"/>
      <w:r w:rsidRPr="00730DE4">
        <w:t>Supporting our diverse and committed workforce</w:t>
      </w:r>
      <w:bookmarkEnd w:id="46"/>
      <w:bookmarkEnd w:id="47"/>
      <w:bookmarkEnd w:id="48"/>
    </w:p>
    <w:p w14:paraId="1C32B066" w14:textId="77777777" w:rsidR="002514F8" w:rsidRPr="00730DE4" w:rsidRDefault="002514F8" w:rsidP="00A32469">
      <w:r w:rsidRPr="00730DE4">
        <w:t>I'm proud to lead an organisation that values and encourages diversity of thought and experiences, uniting our people around a common purpose and supporting them to serve their communities.</w:t>
      </w:r>
    </w:p>
    <w:p w14:paraId="5FA5F778" w14:textId="03FBB32E" w:rsidR="002514F8" w:rsidRPr="00730DE4" w:rsidRDefault="002514F8" w:rsidP="00A32469">
      <w:r w:rsidRPr="00730DE4">
        <w:t xml:space="preserve">In 2024, the TMR Safety Charter was renewed and a new Workplace Health and Safety (WHS) management system was implemented, reaffirming our pledge to integrate safety as a fundamental value across all operations. TMR also continued its Learning Strategy 2021–24, supporting our people to apply a contemporary and agile approach to their professional development with a focus on continuous learning (page </w:t>
      </w:r>
      <w:r w:rsidR="009857EF" w:rsidRPr="00730DE4">
        <w:t>238</w:t>
      </w:r>
      <w:r w:rsidRPr="00730DE4">
        <w:t>).</w:t>
      </w:r>
    </w:p>
    <w:p w14:paraId="7D139C31" w14:textId="771EB75A" w:rsidR="002514F8" w:rsidRPr="00730DE4" w:rsidRDefault="002514F8" w:rsidP="00A32469">
      <w:r w:rsidRPr="00730DE4">
        <w:lastRenderedPageBreak/>
        <w:t xml:space="preserve">The year also saw a big focus on building the digital and data capability of our workforce. Initiatives included a range of courses and programs for staff (page </w:t>
      </w:r>
      <w:r w:rsidR="009857EF" w:rsidRPr="00730DE4">
        <w:t>238</w:t>
      </w:r>
      <w:r w:rsidRPr="00730DE4">
        <w:t xml:space="preserve">), expansion of Microsoft Teams and virtual desktop capability (page </w:t>
      </w:r>
      <w:r w:rsidR="009857EF" w:rsidRPr="00730DE4">
        <w:t>240–241</w:t>
      </w:r>
      <w:r w:rsidRPr="00730DE4">
        <w:t xml:space="preserve">), and the digitisation of corporate processes (page </w:t>
      </w:r>
      <w:r w:rsidR="009857EF" w:rsidRPr="00730DE4">
        <w:t>241</w:t>
      </w:r>
      <w:r w:rsidRPr="00730DE4">
        <w:t>).</w:t>
      </w:r>
    </w:p>
    <w:p w14:paraId="745C0FB0" w14:textId="60A3069B" w:rsidR="002514F8" w:rsidRPr="00730DE4" w:rsidRDefault="002514F8" w:rsidP="00A32469">
      <w:r w:rsidRPr="00730DE4">
        <w:t xml:space="preserve">In 2023–24, TMR made further progress in reaching gender equality in the workplace (page </w:t>
      </w:r>
      <w:r w:rsidR="009857EF" w:rsidRPr="00730DE4">
        <w:t>243–245</w:t>
      </w:r>
      <w:r w:rsidRPr="00730DE4">
        <w:t>). Initiatives including TMR Wonder Women and Leadership Ladder supported the advancement of emerging female leaders across the organisation and celebrated the diverse and inspirational women of TMR who work across our many disciplines.</w:t>
      </w:r>
    </w:p>
    <w:p w14:paraId="0AD2D7F0" w14:textId="5E85B8C4" w:rsidR="002514F8" w:rsidRPr="00730DE4" w:rsidRDefault="002514F8" w:rsidP="00A32469">
      <w:r w:rsidRPr="00730DE4">
        <w:t xml:space="preserve">TMR supports the diversity of our people through various programs and events. These include acknowledging TMR staff’s cultural diversity during Harmony Week (page </w:t>
      </w:r>
      <w:r w:rsidR="00433D24" w:rsidRPr="00730DE4">
        <w:t>242</w:t>
      </w:r>
      <w:r w:rsidRPr="00730DE4">
        <w:t xml:space="preserve">) and supporting Aboriginal and Torres Strait Islander employees through participation in events such as National Reconciliation Week and NAIDOC Week (page </w:t>
      </w:r>
      <w:r w:rsidR="00433D24" w:rsidRPr="00730DE4">
        <w:t>142–143</w:t>
      </w:r>
      <w:r w:rsidRPr="00730DE4">
        <w:t xml:space="preserve">). TMR also provides LGBTIQ+ awareness, education, and support to diverse employees through the OneTMR Pride Network (page </w:t>
      </w:r>
      <w:r w:rsidR="00433D24" w:rsidRPr="00730DE4">
        <w:t>245</w:t>
      </w:r>
      <w:r w:rsidRPr="00730DE4">
        <w:t>).</w:t>
      </w:r>
    </w:p>
    <w:p w14:paraId="55B2D58C" w14:textId="4B1E503B" w:rsidR="002514F8" w:rsidRPr="00730DE4" w:rsidRDefault="002514F8" w:rsidP="00A32469">
      <w:r w:rsidRPr="00730DE4">
        <w:t xml:space="preserve">2023 was a big year for recognition, with a total of 1153 individuals and teams nominated for a CUBIE, TMR’s annual recognition award, by their peers, customers, and managers for achievements and behaviours aligned to the five Public Sector values (page </w:t>
      </w:r>
      <w:r w:rsidR="00433D24" w:rsidRPr="00730DE4">
        <w:t>255–257</w:t>
      </w:r>
      <w:r w:rsidRPr="00730DE4">
        <w:t>).</w:t>
      </w:r>
    </w:p>
    <w:p w14:paraId="48B74103" w14:textId="680B7458" w:rsidR="002514F8" w:rsidRPr="00730DE4" w:rsidRDefault="002514F8" w:rsidP="00A32469">
      <w:r w:rsidRPr="00730DE4">
        <w:t xml:space="preserve">Other highlights included a Customer Experience Initiative of the year award win for Smart Service Queensland at the annual Auscontact National Excellence Awards (page </w:t>
      </w:r>
      <w:r w:rsidR="00433D24" w:rsidRPr="00730DE4">
        <w:t>219</w:t>
      </w:r>
      <w:r w:rsidRPr="00730DE4">
        <w:t xml:space="preserve">), and the Source-2-Pay project took out the Best State Government Project category in the iTnews Benchmark Awards (page </w:t>
      </w:r>
      <w:r w:rsidR="00433D24" w:rsidRPr="00730DE4">
        <w:t>241</w:t>
      </w:r>
      <w:r w:rsidRPr="00730DE4">
        <w:t xml:space="preserve">). </w:t>
      </w:r>
    </w:p>
    <w:p w14:paraId="3945F22C" w14:textId="77777777" w:rsidR="002514F8" w:rsidRPr="00730DE4" w:rsidRDefault="002514F8" w:rsidP="002B7001">
      <w:pPr>
        <w:pStyle w:val="Heading3"/>
      </w:pPr>
      <w:bookmarkStart w:id="49" w:name="_Toc180487245"/>
      <w:bookmarkStart w:id="50" w:name="_Toc180490451"/>
      <w:bookmarkStart w:id="51" w:name="_Toc180491484"/>
      <w:r w:rsidRPr="00730DE4">
        <w:t>Looking to the future</w:t>
      </w:r>
      <w:bookmarkEnd w:id="49"/>
      <w:bookmarkEnd w:id="50"/>
      <w:bookmarkEnd w:id="51"/>
    </w:p>
    <w:p w14:paraId="4B6852E8" w14:textId="77777777" w:rsidR="002514F8" w:rsidRPr="00730DE4" w:rsidRDefault="002514F8" w:rsidP="00A32469">
      <w:r w:rsidRPr="00730DE4">
        <w:t xml:space="preserve">While this Annual Report focuses on the work of one large and diverse department, it is also a testament to the increasing importance of TMR's strategic partnerships. As Queensland's population continues to grow and evolve, so too does the imperative for organisations to work together to address ever more complex needs. </w:t>
      </w:r>
    </w:p>
    <w:p w14:paraId="7C416EB6" w14:textId="77777777" w:rsidR="002514F8" w:rsidRPr="00730DE4" w:rsidRDefault="002514F8" w:rsidP="00A32469">
      <w:r w:rsidRPr="00730DE4">
        <w:t>Looking ahead at some examples, TMR will focus on developing strategies, in collaboration with transport partners including the Games Venue and Legacy Delivery Authority, to deliver efficient and sustainable transport services to support the Games.</w:t>
      </w:r>
    </w:p>
    <w:p w14:paraId="7541338D" w14:textId="77777777" w:rsidR="002514F8" w:rsidRPr="00730DE4" w:rsidRDefault="002514F8" w:rsidP="00A32469">
      <w:r w:rsidRPr="00730DE4">
        <w:t>TMR will also work with the Australian Government and telecommunication providers to improve connectivity across Queensland through programs such as the Regional Connectivity Program Round Three and Mobile Black Spot Program Round Seven initiatives. We will also support an uplift in the cyber security preparedness of Queensland Government entities through a central program of cyber security services and assistance.</w:t>
      </w:r>
    </w:p>
    <w:p w14:paraId="616396BD" w14:textId="77777777" w:rsidR="002514F8" w:rsidRPr="00730DE4" w:rsidRDefault="002514F8" w:rsidP="00A32469">
      <w:r w:rsidRPr="00730DE4">
        <w:lastRenderedPageBreak/>
        <w:t xml:space="preserve">When our ambitions are aligned, we are stronger and better equipped to deliver the infrastructure and services our communities depend on. I look forward to the journey ahead, spurred on by the needs of our customers, the support of our industry partners, and the inspirational commitment and leadership of our people.  </w:t>
      </w:r>
    </w:p>
    <w:p w14:paraId="6A7827C4" w14:textId="7E1BFE07" w:rsidR="002514F8" w:rsidRPr="00730DE4" w:rsidRDefault="002514F8" w:rsidP="00A32469">
      <w:r w:rsidRPr="00730DE4">
        <w:rPr>
          <w:rStyle w:val="Strong"/>
        </w:rPr>
        <w:t xml:space="preserve">Sally Stannard </w:t>
      </w:r>
      <w:r w:rsidRPr="00730DE4">
        <w:rPr>
          <w:rStyle w:val="Strong"/>
        </w:rPr>
        <w:br/>
      </w:r>
      <w:r w:rsidRPr="00730DE4">
        <w:t xml:space="preserve">Director-General </w:t>
      </w:r>
      <w:r w:rsidRPr="00730DE4">
        <w:br/>
        <w:t>Department of Transport and Main Roads</w:t>
      </w:r>
    </w:p>
    <w:p w14:paraId="39AB3F10" w14:textId="4C49A7CF" w:rsidR="000F1F6C" w:rsidRPr="00730DE4" w:rsidRDefault="000F1F6C">
      <w:pPr>
        <w:suppressAutoHyphens w:val="0"/>
        <w:spacing w:before="0" w:line="259" w:lineRule="auto"/>
      </w:pPr>
      <w:r w:rsidRPr="00730DE4">
        <w:br w:type="page"/>
      </w:r>
    </w:p>
    <w:p w14:paraId="19DD3681" w14:textId="5DB391C0" w:rsidR="002514F8" w:rsidRPr="00730DE4" w:rsidRDefault="002514F8" w:rsidP="002B7001">
      <w:pPr>
        <w:pStyle w:val="Heading2"/>
      </w:pPr>
      <w:bookmarkStart w:id="52" w:name="_Toc180490452"/>
      <w:bookmarkStart w:id="53" w:name="_Toc180491485"/>
      <w:r w:rsidRPr="00730DE4">
        <w:lastRenderedPageBreak/>
        <w:t>Chief Finance Officer’s Report</w:t>
      </w:r>
      <w:bookmarkEnd w:id="52"/>
      <w:bookmarkEnd w:id="53"/>
    </w:p>
    <w:p w14:paraId="5680C2A9" w14:textId="77777777" w:rsidR="002514F8" w:rsidRPr="00730DE4" w:rsidRDefault="002514F8" w:rsidP="002B7001">
      <w:pPr>
        <w:pStyle w:val="Heading3"/>
      </w:pPr>
      <w:bookmarkStart w:id="54" w:name="_Toc180487247"/>
      <w:bookmarkStart w:id="55" w:name="_Toc180490453"/>
      <w:bookmarkStart w:id="56" w:name="_Toc180491486"/>
      <w:r w:rsidRPr="00730DE4">
        <w:t>Summary</w:t>
      </w:r>
      <w:bookmarkEnd w:id="54"/>
      <w:bookmarkEnd w:id="55"/>
      <w:bookmarkEnd w:id="56"/>
    </w:p>
    <w:p w14:paraId="24B8B865" w14:textId="77777777" w:rsidR="002514F8" w:rsidRPr="00730DE4" w:rsidRDefault="002514F8" w:rsidP="00B3040A">
      <w:r w:rsidRPr="00730DE4">
        <w:t xml:space="preserve">TMR's </w:t>
      </w:r>
      <w:r w:rsidRPr="00730DE4">
        <w:rPr>
          <w:rStyle w:val="Emphasis"/>
        </w:rPr>
        <w:t>Financial Sustainability Plan (2022–26)</w:t>
      </w:r>
      <w:r w:rsidRPr="00730DE4">
        <w:t xml:space="preserve"> supports its key objectives by establishing a robust financial structure, channelling investments into critical areas, ensuring revenue certainty, and striving for cost-effectiveness.</w:t>
      </w:r>
    </w:p>
    <w:p w14:paraId="5D86BCDA" w14:textId="77777777" w:rsidR="002514F8" w:rsidRPr="00730DE4" w:rsidRDefault="002514F8" w:rsidP="00B3040A">
      <w:r w:rsidRPr="00730DE4">
        <w:t>In a clear demonstration of TMR's enduring financial health, TMR posted an operating surplus totalling $322.61 million in 2023–24. This substantial surplus arose mainly due to a boost in grant funding allocated for the reconstruction of transportation systems damaged by natural events, as provided under the Disaster Recovery Funding Arrangements (DRFA). This increase was somewhat tempered by the escalated depreciation associated with yearly revaluations of assets.</w:t>
      </w:r>
    </w:p>
    <w:p w14:paraId="1507DFF3" w14:textId="77777777" w:rsidR="002514F8" w:rsidRPr="00730DE4" w:rsidRDefault="002514F8" w:rsidP="00B3040A">
      <w:r w:rsidRPr="00730DE4">
        <w:t xml:space="preserve">TMR has once again accomplished the delivery of its capital agenda, expending $4.151 billion, marking the seventh consecutive year of successful capital program execution. This consistent achievement is due to several major projects moving forward quicker than anticipated. Notable projects making significant progress included the ambitious QTMP, substantial enhancements to the Bruce Highway, developments along the Pacific Motorway (M1), work on the Coomera Connector, expedited improvements to the Logan and the Gold Coast faster rail links, and the third stage of the Gold Coast Light Rail system. TMR continues to work with the Australian Government collaboratively on the outcomes arising from the independent strategic review of its </w:t>
      </w:r>
      <w:r w:rsidRPr="00730DE4">
        <w:rPr>
          <w:rStyle w:val="Emphasis"/>
        </w:rPr>
        <w:t>Infrastructure Investment Program</w:t>
      </w:r>
      <w:r w:rsidRPr="00730DE4">
        <w:t>.</w:t>
      </w:r>
    </w:p>
    <w:p w14:paraId="6A271E34" w14:textId="77777777" w:rsidR="002514F8" w:rsidRPr="00730DE4" w:rsidRDefault="002514F8" w:rsidP="00B3040A">
      <w:r w:rsidRPr="00730DE4">
        <w:t>The 2023–24 financial year saw the initiation of construction work related in preparation for the QTMP, valued at $9.5 billion. This significant project will see the production of sixty-five new six-car commuter trains aimed at bolstering the transportation needs of the growing population in South East Queensland. This initiative is also pivotal to the success of the Cross River Rail (CRR) project as well as the upcoming Brisbane 2032 Olympic and Paralympic Games and forms part of a significant increase in investment in the South East Queensland rail network over coming years.</w:t>
      </w:r>
    </w:p>
    <w:p w14:paraId="79BEA22E" w14:textId="77777777" w:rsidR="002514F8" w:rsidRPr="00730DE4" w:rsidRDefault="002514F8" w:rsidP="00B3040A">
      <w:r w:rsidRPr="00730DE4">
        <w:t>Public transport usage has continued to demonstrate positive recovery from the pandemic, with an approximate nine per cent increase in ridership for 2023–24, which translates to an additional 14.519 million journeys compared to the previous year. This rise includes all forms of transit, namely buses, trains, ferries, and trams.</w:t>
      </w:r>
    </w:p>
    <w:p w14:paraId="2160B121" w14:textId="77777777" w:rsidR="002514F8" w:rsidRPr="00730DE4" w:rsidRDefault="002514F8" w:rsidP="00B3040A">
      <w:r w:rsidRPr="00730DE4">
        <w:t xml:space="preserve">As TMR forges forward with its digital agenda, notable strides have been made with the launch of the Digital Licence with more than 600,000 licences being issued. TMR also continued its journey to a streamlined digital platform that promises the transformation and modernisation of legacy payment processes through the implementation of SAP Ariba and SAP Fieldglass systems. The department is </w:t>
      </w:r>
      <w:r w:rsidRPr="00730DE4">
        <w:lastRenderedPageBreak/>
        <w:t>already observing the initial benefits, reporting reductions in processing expenses and enhancements in the promptness of payment settlements.</w:t>
      </w:r>
    </w:p>
    <w:p w14:paraId="1578008E" w14:textId="77777777" w:rsidR="002514F8" w:rsidRPr="00730DE4" w:rsidRDefault="002514F8" w:rsidP="00B3040A">
      <w:r w:rsidRPr="00730DE4">
        <w:t xml:space="preserve">In accordance with the requirements of section 77(2)(b) of the </w:t>
      </w:r>
      <w:r w:rsidRPr="00730DE4">
        <w:rPr>
          <w:rStyle w:val="Emphasis"/>
        </w:rPr>
        <w:t>Financial Accountability Act 2009,</w:t>
      </w:r>
      <w:r w:rsidRPr="00730DE4">
        <w:t xml:space="preserve"> I have provided the Director-General with a statement that the financial internal controls of the department are operating efficiently, effectively, and economically in compliance with section 54 of the </w:t>
      </w:r>
      <w:r w:rsidRPr="00730DE4">
        <w:rPr>
          <w:rStyle w:val="Emphasis"/>
        </w:rPr>
        <w:t>Financial and Performance Management Standard 2019</w:t>
      </w:r>
      <w:r w:rsidRPr="00730DE4">
        <w:t>.</w:t>
      </w:r>
    </w:p>
    <w:p w14:paraId="37B9F897" w14:textId="77777777" w:rsidR="002514F8" w:rsidRPr="00730DE4" w:rsidRDefault="002514F8" w:rsidP="00B3040A">
      <w:r w:rsidRPr="00730DE4">
        <w:t>This financial summary provides an overview of the department’s financial results for 2023–24. A comprehensive set of financial statements is provided in this report, which includes an analysis of actual expenditure compared to the published budget, with explanations of major variances.</w:t>
      </w:r>
    </w:p>
    <w:p w14:paraId="74828AC0" w14:textId="77777777" w:rsidR="002514F8" w:rsidRPr="00730DE4" w:rsidRDefault="002514F8" w:rsidP="002B7001">
      <w:pPr>
        <w:pStyle w:val="Heading3"/>
      </w:pPr>
      <w:bookmarkStart w:id="57" w:name="_Toc180487248"/>
      <w:bookmarkStart w:id="58" w:name="_Toc180490454"/>
      <w:bookmarkStart w:id="59" w:name="_Toc180491487"/>
      <w:r w:rsidRPr="00730DE4">
        <w:t>Funding sources</w:t>
      </w:r>
      <w:bookmarkEnd w:id="57"/>
      <w:bookmarkEnd w:id="58"/>
      <w:bookmarkEnd w:id="59"/>
      <w:r w:rsidRPr="00730DE4">
        <w:t xml:space="preserve"> </w:t>
      </w:r>
    </w:p>
    <w:p w14:paraId="4F11D60B" w14:textId="77777777" w:rsidR="002514F8" w:rsidRPr="00730DE4" w:rsidRDefault="002514F8" w:rsidP="00B3040A">
      <w:r w:rsidRPr="00730DE4">
        <w:t xml:space="preserve">Funding to meet departmental operational requirements, and for capital investment in the transport network, is received from the Queensland Government, TMR’s own sourced revenue and allocations from the Australian Government. Funding from government comprises departmental services revenue, equity injections, and allocations from the Australian Government for capital and maintenance works on the National Network. </w:t>
      </w:r>
    </w:p>
    <w:p w14:paraId="7A4D4C38" w14:textId="77777777" w:rsidR="002514F8" w:rsidRPr="00730DE4" w:rsidRDefault="002514F8" w:rsidP="00B3040A">
      <w:r w:rsidRPr="00730DE4">
        <w:t xml:space="preserve">Key drivers of the TMR’s funding include the delivery of capital investment in the roads and transport infrastructure network and in the provision of the department’s key objectives through operational service delivery. In 2023–24, the adjusted budgeted revenue for the department was $8.432 billion, and the capital budget was $4.151 billion. </w:t>
      </w:r>
    </w:p>
    <w:p w14:paraId="0271F396" w14:textId="77777777" w:rsidR="002514F8" w:rsidRPr="00730DE4" w:rsidRDefault="002514F8" w:rsidP="002B7001">
      <w:pPr>
        <w:pStyle w:val="Heading3"/>
      </w:pPr>
      <w:bookmarkStart w:id="60" w:name="_Toc180487249"/>
      <w:bookmarkStart w:id="61" w:name="_Toc180490455"/>
      <w:bookmarkStart w:id="62" w:name="_Toc180491488"/>
      <w:r w:rsidRPr="00730DE4">
        <w:t>Administered revenue</w:t>
      </w:r>
      <w:bookmarkEnd w:id="60"/>
      <w:bookmarkEnd w:id="61"/>
      <w:bookmarkEnd w:id="62"/>
    </w:p>
    <w:p w14:paraId="689A830D" w14:textId="5896B6C4" w:rsidR="00EA1647" w:rsidRDefault="002514F8" w:rsidP="00B3040A">
      <w:r w:rsidRPr="00730DE4">
        <w:t>TMR administers, but does not control, certain resources on behalf of the Queensland Government. The main source of administered revenue is from user charges and fees from motor vehicle registrations and other regulatory fees.</w:t>
      </w:r>
      <w:r w:rsidR="00EA1647">
        <w:br w:type="page"/>
      </w:r>
    </w:p>
    <w:p w14:paraId="0AA28775" w14:textId="77777777" w:rsidR="002514F8" w:rsidRPr="00730DE4" w:rsidRDefault="002514F8" w:rsidP="002B7001">
      <w:pPr>
        <w:pStyle w:val="Heading3"/>
      </w:pPr>
      <w:bookmarkStart w:id="63" w:name="_Toc180487250"/>
      <w:bookmarkStart w:id="64" w:name="_Toc180490456"/>
      <w:bookmarkStart w:id="65" w:name="_Toc180491489"/>
      <w:r w:rsidRPr="00730DE4">
        <w:lastRenderedPageBreak/>
        <w:t>Financial performance</w:t>
      </w:r>
      <w:bookmarkEnd w:id="63"/>
      <w:bookmarkEnd w:id="64"/>
      <w:bookmarkEnd w:id="65"/>
    </w:p>
    <w:p w14:paraId="1833560B" w14:textId="77777777" w:rsidR="002514F8" w:rsidRPr="00730DE4" w:rsidRDefault="002514F8" w:rsidP="00B3040A">
      <w:r w:rsidRPr="00730DE4">
        <w:t>TMR recorded an operating surplus of $322.61 million for 2023–24. Table 1 summarises the financial results of the department’s operations for the past five financial years.</w:t>
      </w:r>
    </w:p>
    <w:p w14:paraId="0478A2DD" w14:textId="77777777" w:rsidR="002514F8" w:rsidRPr="00730DE4" w:rsidRDefault="002514F8" w:rsidP="002671F9">
      <w:pPr>
        <w:pStyle w:val="FigureCaption"/>
      </w:pPr>
      <w:r w:rsidRPr="00730DE4">
        <w:t>Table 1: Summary of financial results of the department’s operations</w:t>
      </w:r>
    </w:p>
    <w:tbl>
      <w:tblPr>
        <w:tblStyle w:val="TMRDefault"/>
        <w:tblW w:w="5000" w:type="pct"/>
        <w:tblLook w:val="04A0" w:firstRow="1" w:lastRow="0" w:firstColumn="1" w:lastColumn="0" w:noHBand="0" w:noVBand="1"/>
      </w:tblPr>
      <w:tblGrid>
        <w:gridCol w:w="2511"/>
        <w:gridCol w:w="2247"/>
        <w:gridCol w:w="2354"/>
        <w:gridCol w:w="1948"/>
      </w:tblGrid>
      <w:tr w:rsidR="000A65A9" w:rsidRPr="00730DE4" w14:paraId="3A32C5CE" w14:textId="77777777" w:rsidTr="00111FB9">
        <w:trPr>
          <w:cnfStyle w:val="100000000000" w:firstRow="1" w:lastRow="0" w:firstColumn="0" w:lastColumn="0" w:oddVBand="0" w:evenVBand="0" w:oddHBand="0" w:evenHBand="0" w:firstRowFirstColumn="0" w:firstRowLastColumn="0" w:lastRowFirstColumn="0" w:lastRowLastColumn="0"/>
          <w:tblHeader/>
        </w:trPr>
        <w:tc>
          <w:tcPr>
            <w:tcW w:w="1386" w:type="pct"/>
          </w:tcPr>
          <w:p w14:paraId="230CBAF9" w14:textId="77777777" w:rsidR="002514F8" w:rsidRPr="00730DE4" w:rsidRDefault="002514F8" w:rsidP="00111FB9">
            <w:pPr>
              <w:pStyle w:val="NoSpacing"/>
              <w:rPr>
                <w:color w:val="FFFFFF" w:themeColor="background1"/>
              </w:rPr>
            </w:pPr>
            <w:r w:rsidRPr="00730DE4">
              <w:rPr>
                <w:color w:val="FFFFFF" w:themeColor="background1"/>
              </w:rPr>
              <w:t>Financial year</w:t>
            </w:r>
          </w:p>
        </w:tc>
        <w:tc>
          <w:tcPr>
            <w:tcW w:w="1240" w:type="pct"/>
          </w:tcPr>
          <w:p w14:paraId="3A6DAF42" w14:textId="77777777" w:rsidR="002514F8" w:rsidRPr="00730DE4" w:rsidRDefault="002514F8" w:rsidP="00111FB9">
            <w:pPr>
              <w:pStyle w:val="NoSpacing"/>
              <w:rPr>
                <w:color w:val="FFFFFF" w:themeColor="background1"/>
              </w:rPr>
            </w:pPr>
            <w:r w:rsidRPr="00730DE4">
              <w:rPr>
                <w:color w:val="FFFFFF" w:themeColor="background1"/>
              </w:rPr>
              <w:t>Total income</w:t>
            </w:r>
          </w:p>
        </w:tc>
        <w:tc>
          <w:tcPr>
            <w:tcW w:w="1299" w:type="pct"/>
          </w:tcPr>
          <w:p w14:paraId="1CE957C9" w14:textId="77777777" w:rsidR="002514F8" w:rsidRPr="00730DE4" w:rsidRDefault="002514F8" w:rsidP="00111FB9">
            <w:pPr>
              <w:pStyle w:val="NoSpacing"/>
              <w:rPr>
                <w:color w:val="FFFFFF" w:themeColor="background1"/>
              </w:rPr>
            </w:pPr>
            <w:r w:rsidRPr="00730DE4">
              <w:rPr>
                <w:color w:val="FFFFFF" w:themeColor="background1"/>
              </w:rPr>
              <w:t>Total expenses</w:t>
            </w:r>
          </w:p>
        </w:tc>
        <w:tc>
          <w:tcPr>
            <w:tcW w:w="1075" w:type="pct"/>
          </w:tcPr>
          <w:p w14:paraId="3ED98792" w14:textId="77777777" w:rsidR="002514F8" w:rsidRPr="00730DE4" w:rsidRDefault="002514F8" w:rsidP="00111FB9">
            <w:pPr>
              <w:pStyle w:val="NoSpacing"/>
              <w:rPr>
                <w:color w:val="FFFFFF" w:themeColor="background1"/>
              </w:rPr>
            </w:pPr>
            <w:r w:rsidRPr="00730DE4">
              <w:rPr>
                <w:color w:val="FFFFFF" w:themeColor="background1"/>
              </w:rPr>
              <w:t>Operating result for the year</w:t>
            </w:r>
          </w:p>
        </w:tc>
      </w:tr>
      <w:tr w:rsidR="000A65A9" w:rsidRPr="00730DE4" w14:paraId="5F361F66" w14:textId="77777777" w:rsidTr="00111FB9">
        <w:trPr>
          <w:cnfStyle w:val="000000100000" w:firstRow="0" w:lastRow="0" w:firstColumn="0" w:lastColumn="0" w:oddVBand="0" w:evenVBand="0" w:oddHBand="1" w:evenHBand="0" w:firstRowFirstColumn="0" w:firstRowLastColumn="0" w:lastRowFirstColumn="0" w:lastRowLastColumn="0"/>
        </w:trPr>
        <w:tc>
          <w:tcPr>
            <w:tcW w:w="1386" w:type="pct"/>
          </w:tcPr>
          <w:p w14:paraId="48DB3A8A" w14:textId="77777777" w:rsidR="002514F8" w:rsidRPr="00730DE4" w:rsidRDefault="002514F8" w:rsidP="00111FB9">
            <w:pPr>
              <w:pStyle w:val="NoSpacing"/>
            </w:pPr>
            <w:r w:rsidRPr="00730DE4">
              <w:t>2023–24 ($ '000)</w:t>
            </w:r>
          </w:p>
        </w:tc>
        <w:tc>
          <w:tcPr>
            <w:tcW w:w="1240" w:type="pct"/>
          </w:tcPr>
          <w:p w14:paraId="1D619DA5" w14:textId="77777777" w:rsidR="002514F8" w:rsidRPr="00730DE4" w:rsidRDefault="002514F8" w:rsidP="00111FB9">
            <w:pPr>
              <w:pStyle w:val="NoSpacing"/>
            </w:pPr>
            <w:r w:rsidRPr="00730DE4">
              <w:t>8,954,931</w:t>
            </w:r>
          </w:p>
        </w:tc>
        <w:tc>
          <w:tcPr>
            <w:tcW w:w="1299" w:type="pct"/>
          </w:tcPr>
          <w:p w14:paraId="44E990CB" w14:textId="77777777" w:rsidR="002514F8" w:rsidRPr="00730DE4" w:rsidRDefault="002514F8" w:rsidP="00111FB9">
            <w:pPr>
              <w:pStyle w:val="NoSpacing"/>
            </w:pPr>
            <w:r w:rsidRPr="00730DE4">
              <w:t>8,632,321</w:t>
            </w:r>
          </w:p>
        </w:tc>
        <w:tc>
          <w:tcPr>
            <w:tcW w:w="1075" w:type="pct"/>
          </w:tcPr>
          <w:p w14:paraId="4F648B05" w14:textId="77777777" w:rsidR="002514F8" w:rsidRPr="00730DE4" w:rsidRDefault="002514F8" w:rsidP="00111FB9">
            <w:pPr>
              <w:pStyle w:val="NoSpacing"/>
            </w:pPr>
            <w:r w:rsidRPr="00730DE4">
              <w:t>322,610</w:t>
            </w:r>
          </w:p>
        </w:tc>
      </w:tr>
      <w:tr w:rsidR="002514F8" w:rsidRPr="00730DE4" w14:paraId="1AB56DDC" w14:textId="77777777" w:rsidTr="00111FB9">
        <w:tc>
          <w:tcPr>
            <w:tcW w:w="1386" w:type="pct"/>
          </w:tcPr>
          <w:p w14:paraId="3A5F6B10" w14:textId="77777777" w:rsidR="002514F8" w:rsidRPr="00730DE4" w:rsidRDefault="002514F8" w:rsidP="00111FB9">
            <w:pPr>
              <w:pStyle w:val="NoSpacing"/>
            </w:pPr>
            <w:r w:rsidRPr="00730DE4">
              <w:t>2022–23 ($ '000)</w:t>
            </w:r>
          </w:p>
        </w:tc>
        <w:tc>
          <w:tcPr>
            <w:tcW w:w="1240" w:type="pct"/>
          </w:tcPr>
          <w:p w14:paraId="799B2AF0" w14:textId="77777777" w:rsidR="002514F8" w:rsidRPr="00730DE4" w:rsidRDefault="002514F8" w:rsidP="00111FB9">
            <w:pPr>
              <w:pStyle w:val="NoSpacing"/>
            </w:pPr>
            <w:r w:rsidRPr="00730DE4">
              <w:t>7,693,151</w:t>
            </w:r>
          </w:p>
        </w:tc>
        <w:tc>
          <w:tcPr>
            <w:tcW w:w="1299" w:type="pct"/>
          </w:tcPr>
          <w:p w14:paraId="50CB2921" w14:textId="77777777" w:rsidR="002514F8" w:rsidRPr="00730DE4" w:rsidRDefault="002514F8" w:rsidP="00111FB9">
            <w:pPr>
              <w:pStyle w:val="NoSpacing"/>
            </w:pPr>
            <w:r w:rsidRPr="00730DE4">
              <w:t>7,688,155</w:t>
            </w:r>
          </w:p>
        </w:tc>
        <w:tc>
          <w:tcPr>
            <w:tcW w:w="1075" w:type="pct"/>
          </w:tcPr>
          <w:p w14:paraId="1CF5BF37" w14:textId="77777777" w:rsidR="002514F8" w:rsidRPr="00730DE4" w:rsidRDefault="002514F8" w:rsidP="00111FB9">
            <w:pPr>
              <w:pStyle w:val="NoSpacing"/>
            </w:pPr>
            <w:r w:rsidRPr="00730DE4">
              <w:t>4,996</w:t>
            </w:r>
          </w:p>
        </w:tc>
      </w:tr>
      <w:tr w:rsidR="000A65A9" w:rsidRPr="00730DE4" w14:paraId="3D31B625" w14:textId="77777777" w:rsidTr="00111FB9">
        <w:trPr>
          <w:cnfStyle w:val="000000100000" w:firstRow="0" w:lastRow="0" w:firstColumn="0" w:lastColumn="0" w:oddVBand="0" w:evenVBand="0" w:oddHBand="1" w:evenHBand="0" w:firstRowFirstColumn="0" w:firstRowLastColumn="0" w:lastRowFirstColumn="0" w:lastRowLastColumn="0"/>
        </w:trPr>
        <w:tc>
          <w:tcPr>
            <w:tcW w:w="1386" w:type="pct"/>
          </w:tcPr>
          <w:p w14:paraId="3D445256" w14:textId="77777777" w:rsidR="002514F8" w:rsidRPr="00730DE4" w:rsidRDefault="002514F8" w:rsidP="00111FB9">
            <w:pPr>
              <w:pStyle w:val="NoSpacing"/>
            </w:pPr>
            <w:r w:rsidRPr="00730DE4">
              <w:t>2021–22 ($ '000)</w:t>
            </w:r>
          </w:p>
        </w:tc>
        <w:tc>
          <w:tcPr>
            <w:tcW w:w="1240" w:type="pct"/>
          </w:tcPr>
          <w:p w14:paraId="011776AD" w14:textId="77777777" w:rsidR="002514F8" w:rsidRPr="00730DE4" w:rsidRDefault="002514F8" w:rsidP="00111FB9">
            <w:pPr>
              <w:pStyle w:val="NoSpacing"/>
            </w:pPr>
            <w:r w:rsidRPr="00730DE4">
              <w:t>7,133,330</w:t>
            </w:r>
          </w:p>
        </w:tc>
        <w:tc>
          <w:tcPr>
            <w:tcW w:w="1299" w:type="pct"/>
          </w:tcPr>
          <w:p w14:paraId="7C307E9F" w14:textId="77777777" w:rsidR="002514F8" w:rsidRPr="00730DE4" w:rsidRDefault="002514F8" w:rsidP="00111FB9">
            <w:pPr>
              <w:pStyle w:val="NoSpacing"/>
            </w:pPr>
            <w:r w:rsidRPr="00730DE4">
              <w:t>7,194,409</w:t>
            </w:r>
          </w:p>
        </w:tc>
        <w:tc>
          <w:tcPr>
            <w:tcW w:w="1075" w:type="pct"/>
          </w:tcPr>
          <w:p w14:paraId="6B76874E" w14:textId="77777777" w:rsidR="002514F8" w:rsidRPr="00730DE4" w:rsidRDefault="002514F8" w:rsidP="00111FB9">
            <w:pPr>
              <w:pStyle w:val="NoSpacing"/>
            </w:pPr>
            <w:r w:rsidRPr="00730DE4">
              <w:t>(61,079)</w:t>
            </w:r>
          </w:p>
        </w:tc>
      </w:tr>
      <w:tr w:rsidR="002514F8" w:rsidRPr="00730DE4" w14:paraId="35C9F1DE" w14:textId="77777777" w:rsidTr="00111FB9">
        <w:tc>
          <w:tcPr>
            <w:tcW w:w="1386" w:type="pct"/>
          </w:tcPr>
          <w:p w14:paraId="37257831" w14:textId="77777777" w:rsidR="002514F8" w:rsidRPr="00730DE4" w:rsidRDefault="002514F8" w:rsidP="00111FB9">
            <w:pPr>
              <w:pStyle w:val="NoSpacing"/>
            </w:pPr>
            <w:r w:rsidRPr="00730DE4">
              <w:t>2020–21 ($ '000)</w:t>
            </w:r>
          </w:p>
        </w:tc>
        <w:tc>
          <w:tcPr>
            <w:tcW w:w="1240" w:type="pct"/>
          </w:tcPr>
          <w:p w14:paraId="3380C5F8" w14:textId="77777777" w:rsidR="002514F8" w:rsidRPr="00730DE4" w:rsidRDefault="002514F8" w:rsidP="00111FB9">
            <w:pPr>
              <w:pStyle w:val="NoSpacing"/>
            </w:pPr>
            <w:r w:rsidRPr="00730DE4">
              <w:t>6,785,407</w:t>
            </w:r>
          </w:p>
        </w:tc>
        <w:tc>
          <w:tcPr>
            <w:tcW w:w="1299" w:type="pct"/>
          </w:tcPr>
          <w:p w14:paraId="6E379096" w14:textId="77777777" w:rsidR="002514F8" w:rsidRPr="00730DE4" w:rsidRDefault="002514F8" w:rsidP="00111FB9">
            <w:pPr>
              <w:pStyle w:val="NoSpacing"/>
            </w:pPr>
            <w:r w:rsidRPr="00730DE4">
              <w:t>6,770,731</w:t>
            </w:r>
          </w:p>
        </w:tc>
        <w:tc>
          <w:tcPr>
            <w:tcW w:w="1075" w:type="pct"/>
          </w:tcPr>
          <w:p w14:paraId="64B2ADFF" w14:textId="77777777" w:rsidR="002514F8" w:rsidRPr="00730DE4" w:rsidRDefault="002514F8" w:rsidP="00111FB9">
            <w:pPr>
              <w:pStyle w:val="NoSpacing"/>
            </w:pPr>
            <w:r w:rsidRPr="00730DE4">
              <w:t>14,676</w:t>
            </w:r>
          </w:p>
        </w:tc>
      </w:tr>
      <w:tr w:rsidR="000A65A9" w:rsidRPr="00730DE4" w14:paraId="4867F879" w14:textId="77777777" w:rsidTr="00111FB9">
        <w:trPr>
          <w:cnfStyle w:val="000000100000" w:firstRow="0" w:lastRow="0" w:firstColumn="0" w:lastColumn="0" w:oddVBand="0" w:evenVBand="0" w:oddHBand="1" w:evenHBand="0" w:firstRowFirstColumn="0" w:firstRowLastColumn="0" w:lastRowFirstColumn="0" w:lastRowLastColumn="0"/>
        </w:trPr>
        <w:tc>
          <w:tcPr>
            <w:tcW w:w="1386" w:type="pct"/>
          </w:tcPr>
          <w:p w14:paraId="1F50B083" w14:textId="77777777" w:rsidR="002514F8" w:rsidRPr="00730DE4" w:rsidRDefault="002514F8" w:rsidP="00111FB9">
            <w:pPr>
              <w:pStyle w:val="NoSpacing"/>
            </w:pPr>
            <w:r w:rsidRPr="00730DE4">
              <w:t>2019–20 ($ '000)</w:t>
            </w:r>
          </w:p>
        </w:tc>
        <w:tc>
          <w:tcPr>
            <w:tcW w:w="1240" w:type="pct"/>
          </w:tcPr>
          <w:p w14:paraId="7590436A" w14:textId="77777777" w:rsidR="002514F8" w:rsidRPr="00730DE4" w:rsidRDefault="002514F8" w:rsidP="00111FB9">
            <w:pPr>
              <w:pStyle w:val="NoSpacing"/>
            </w:pPr>
            <w:r w:rsidRPr="00730DE4">
              <w:t>6,660,146</w:t>
            </w:r>
          </w:p>
        </w:tc>
        <w:tc>
          <w:tcPr>
            <w:tcW w:w="1299" w:type="pct"/>
          </w:tcPr>
          <w:p w14:paraId="3A7731B2" w14:textId="77777777" w:rsidR="002514F8" w:rsidRPr="00730DE4" w:rsidRDefault="002514F8" w:rsidP="00111FB9">
            <w:pPr>
              <w:pStyle w:val="NoSpacing"/>
            </w:pPr>
            <w:r w:rsidRPr="00730DE4">
              <w:t>6,431,402</w:t>
            </w:r>
          </w:p>
        </w:tc>
        <w:tc>
          <w:tcPr>
            <w:tcW w:w="1075" w:type="pct"/>
          </w:tcPr>
          <w:p w14:paraId="09BA3AA1" w14:textId="77777777" w:rsidR="002514F8" w:rsidRPr="00730DE4" w:rsidRDefault="002514F8" w:rsidP="00111FB9">
            <w:pPr>
              <w:pStyle w:val="NoSpacing"/>
            </w:pPr>
            <w:r w:rsidRPr="00730DE4">
              <w:t>228,744</w:t>
            </w:r>
          </w:p>
        </w:tc>
      </w:tr>
    </w:tbl>
    <w:p w14:paraId="3068A1CD" w14:textId="77777777" w:rsidR="002514F8" w:rsidRPr="00730DE4" w:rsidRDefault="002514F8" w:rsidP="002B7001">
      <w:pPr>
        <w:pStyle w:val="Heading3"/>
      </w:pPr>
      <w:bookmarkStart w:id="66" w:name="_Toc180487251"/>
      <w:bookmarkStart w:id="67" w:name="_Toc180490457"/>
      <w:bookmarkStart w:id="68" w:name="_Toc180491490"/>
      <w:r w:rsidRPr="00730DE4">
        <w:t>Income</w:t>
      </w:r>
      <w:bookmarkEnd w:id="66"/>
      <w:bookmarkEnd w:id="67"/>
      <w:bookmarkEnd w:id="68"/>
    </w:p>
    <w:p w14:paraId="39141382" w14:textId="77777777" w:rsidR="002514F8" w:rsidRPr="00730DE4" w:rsidRDefault="002514F8" w:rsidP="002671F9">
      <w:r w:rsidRPr="00730DE4">
        <w:t>TMR's total income of $8.955 billion included appropriation revenue from the Queensland Government ($6.957 billion), user charges ($1.104 billion), grants and other contributions ($597 million), and service concession arrangements revenue ($232 million). In 2023–24, TMR's total income increased by $1.262 billion. Queensland Government appropriations are the main source of income and account for 77.69 per cent of total income earned in the reporting period.</w:t>
      </w:r>
    </w:p>
    <w:p w14:paraId="523D3A7E" w14:textId="77777777" w:rsidR="002514F8" w:rsidRPr="00730DE4" w:rsidRDefault="002514F8" w:rsidP="00D3757D">
      <w:pPr>
        <w:pStyle w:val="FigureCaption"/>
      </w:pPr>
      <w:r w:rsidRPr="00730DE4">
        <w:t>Figure 1: Income by category for the year ended 30 June 2024</w:t>
      </w:r>
    </w:p>
    <w:tbl>
      <w:tblPr>
        <w:tblStyle w:val="TMRDefault"/>
        <w:tblW w:w="5000" w:type="pct"/>
        <w:tblLook w:val="04A0" w:firstRow="1" w:lastRow="0" w:firstColumn="1" w:lastColumn="0" w:noHBand="0" w:noVBand="1"/>
      </w:tblPr>
      <w:tblGrid>
        <w:gridCol w:w="5131"/>
        <w:gridCol w:w="1948"/>
        <w:gridCol w:w="1981"/>
      </w:tblGrid>
      <w:tr w:rsidR="002514F8" w:rsidRPr="00730DE4" w14:paraId="7EEB84D3" w14:textId="77777777" w:rsidTr="00111FB9">
        <w:trPr>
          <w:cnfStyle w:val="100000000000" w:firstRow="1" w:lastRow="0" w:firstColumn="0" w:lastColumn="0" w:oddVBand="0" w:evenVBand="0" w:oddHBand="0" w:evenHBand="0" w:firstRowFirstColumn="0" w:firstRowLastColumn="0" w:lastRowFirstColumn="0" w:lastRowLastColumn="0"/>
          <w:tblHeader/>
        </w:trPr>
        <w:tc>
          <w:tcPr>
            <w:tcW w:w="2831" w:type="pct"/>
          </w:tcPr>
          <w:p w14:paraId="11F9CC91" w14:textId="77777777" w:rsidR="002514F8" w:rsidRPr="00730DE4" w:rsidRDefault="002514F8" w:rsidP="00111FB9">
            <w:pPr>
              <w:pStyle w:val="NoSpacing"/>
              <w:rPr>
                <w:color w:val="FFFFFF" w:themeColor="background1"/>
              </w:rPr>
            </w:pPr>
            <w:r w:rsidRPr="00730DE4">
              <w:rPr>
                <w:color w:val="FFFFFF" w:themeColor="background1"/>
              </w:rPr>
              <w:t>Income</w:t>
            </w:r>
          </w:p>
        </w:tc>
        <w:tc>
          <w:tcPr>
            <w:tcW w:w="1075" w:type="pct"/>
          </w:tcPr>
          <w:p w14:paraId="37299385" w14:textId="77777777" w:rsidR="002514F8" w:rsidRPr="00730DE4" w:rsidRDefault="002514F8" w:rsidP="00111FB9">
            <w:pPr>
              <w:pStyle w:val="NoSpacing"/>
              <w:rPr>
                <w:color w:val="FFFFFF" w:themeColor="background1"/>
              </w:rPr>
            </w:pPr>
            <w:r w:rsidRPr="00730DE4">
              <w:rPr>
                <w:color w:val="FFFFFF" w:themeColor="background1"/>
              </w:rPr>
              <w:t>Income %</w:t>
            </w:r>
          </w:p>
        </w:tc>
        <w:tc>
          <w:tcPr>
            <w:tcW w:w="1093" w:type="pct"/>
          </w:tcPr>
          <w:p w14:paraId="510D1BAC" w14:textId="77777777" w:rsidR="002514F8" w:rsidRPr="00730DE4" w:rsidRDefault="002514F8" w:rsidP="00111FB9">
            <w:pPr>
              <w:pStyle w:val="NoSpacing"/>
              <w:rPr>
                <w:color w:val="FFFFFF" w:themeColor="background1"/>
              </w:rPr>
            </w:pPr>
            <w:r w:rsidRPr="00730DE4">
              <w:rPr>
                <w:color w:val="FFFFFF" w:themeColor="background1"/>
              </w:rPr>
              <w:t>$ '000</w:t>
            </w:r>
          </w:p>
        </w:tc>
      </w:tr>
      <w:tr w:rsidR="000A65A9" w:rsidRPr="00730DE4" w14:paraId="30CC7341" w14:textId="77777777" w:rsidTr="00111FB9">
        <w:trPr>
          <w:cnfStyle w:val="000000100000" w:firstRow="0" w:lastRow="0" w:firstColumn="0" w:lastColumn="0" w:oddVBand="0" w:evenVBand="0" w:oddHBand="1" w:evenHBand="0" w:firstRowFirstColumn="0" w:firstRowLastColumn="0" w:lastRowFirstColumn="0" w:lastRowLastColumn="0"/>
        </w:trPr>
        <w:tc>
          <w:tcPr>
            <w:tcW w:w="2831" w:type="pct"/>
          </w:tcPr>
          <w:p w14:paraId="2C538FB6" w14:textId="77777777" w:rsidR="002514F8" w:rsidRPr="00730DE4" w:rsidRDefault="002514F8" w:rsidP="00111FB9">
            <w:pPr>
              <w:pStyle w:val="NoSpacing"/>
            </w:pPr>
            <w:r w:rsidRPr="00730DE4">
              <w:t>Appropriation revenue</w:t>
            </w:r>
          </w:p>
        </w:tc>
        <w:tc>
          <w:tcPr>
            <w:tcW w:w="1075" w:type="pct"/>
          </w:tcPr>
          <w:p w14:paraId="1CBCF2BD" w14:textId="77777777" w:rsidR="002514F8" w:rsidRPr="00730DE4" w:rsidRDefault="002514F8" w:rsidP="00111FB9">
            <w:pPr>
              <w:pStyle w:val="NoSpacing"/>
            </w:pPr>
            <w:r w:rsidRPr="00730DE4">
              <w:t>77.69</w:t>
            </w:r>
          </w:p>
        </w:tc>
        <w:tc>
          <w:tcPr>
            <w:tcW w:w="1093" w:type="pct"/>
          </w:tcPr>
          <w:p w14:paraId="17B90A4A" w14:textId="77777777" w:rsidR="002514F8" w:rsidRPr="00730DE4" w:rsidRDefault="002514F8" w:rsidP="00111FB9">
            <w:pPr>
              <w:pStyle w:val="NoSpacing"/>
            </w:pPr>
            <w:r w:rsidRPr="00730DE4">
              <w:t>6,957,051</w:t>
            </w:r>
          </w:p>
        </w:tc>
      </w:tr>
      <w:tr w:rsidR="002514F8" w:rsidRPr="00730DE4" w14:paraId="721F2FC1" w14:textId="77777777" w:rsidTr="00111FB9">
        <w:tc>
          <w:tcPr>
            <w:tcW w:w="2831" w:type="pct"/>
          </w:tcPr>
          <w:p w14:paraId="2E6E4B32" w14:textId="77777777" w:rsidR="002514F8" w:rsidRPr="00730DE4" w:rsidRDefault="002514F8" w:rsidP="00111FB9">
            <w:pPr>
              <w:pStyle w:val="NoSpacing"/>
            </w:pPr>
            <w:r w:rsidRPr="00730DE4">
              <w:t>User charges and fees</w:t>
            </w:r>
          </w:p>
        </w:tc>
        <w:tc>
          <w:tcPr>
            <w:tcW w:w="1075" w:type="pct"/>
          </w:tcPr>
          <w:p w14:paraId="58479B0C" w14:textId="77777777" w:rsidR="002514F8" w:rsidRPr="00730DE4" w:rsidRDefault="002514F8" w:rsidP="00111FB9">
            <w:pPr>
              <w:pStyle w:val="NoSpacing"/>
            </w:pPr>
            <w:r w:rsidRPr="00730DE4">
              <w:t>12.33</w:t>
            </w:r>
          </w:p>
        </w:tc>
        <w:tc>
          <w:tcPr>
            <w:tcW w:w="1093" w:type="pct"/>
          </w:tcPr>
          <w:p w14:paraId="4E140C0D" w14:textId="77777777" w:rsidR="002514F8" w:rsidRPr="00730DE4" w:rsidRDefault="002514F8" w:rsidP="00111FB9">
            <w:pPr>
              <w:pStyle w:val="NoSpacing"/>
            </w:pPr>
            <w:r w:rsidRPr="00730DE4">
              <w:t>1,104,337</w:t>
            </w:r>
          </w:p>
        </w:tc>
      </w:tr>
      <w:tr w:rsidR="000A65A9" w:rsidRPr="00730DE4" w14:paraId="07F3F378" w14:textId="77777777" w:rsidTr="00111FB9">
        <w:trPr>
          <w:cnfStyle w:val="000000100000" w:firstRow="0" w:lastRow="0" w:firstColumn="0" w:lastColumn="0" w:oddVBand="0" w:evenVBand="0" w:oddHBand="1" w:evenHBand="0" w:firstRowFirstColumn="0" w:firstRowLastColumn="0" w:lastRowFirstColumn="0" w:lastRowLastColumn="0"/>
        </w:trPr>
        <w:tc>
          <w:tcPr>
            <w:tcW w:w="2831" w:type="pct"/>
          </w:tcPr>
          <w:p w14:paraId="3177E192" w14:textId="77777777" w:rsidR="002514F8" w:rsidRPr="00730DE4" w:rsidRDefault="002514F8" w:rsidP="00111FB9">
            <w:pPr>
              <w:pStyle w:val="NoSpacing"/>
            </w:pPr>
            <w:r w:rsidRPr="00730DE4">
              <w:t>Grants and other contributions</w:t>
            </w:r>
          </w:p>
        </w:tc>
        <w:tc>
          <w:tcPr>
            <w:tcW w:w="1075" w:type="pct"/>
          </w:tcPr>
          <w:p w14:paraId="5F156B97" w14:textId="77777777" w:rsidR="002514F8" w:rsidRPr="00730DE4" w:rsidRDefault="002514F8" w:rsidP="00111FB9">
            <w:pPr>
              <w:pStyle w:val="NoSpacing"/>
            </w:pPr>
            <w:r w:rsidRPr="00730DE4">
              <w:t>6.67</w:t>
            </w:r>
          </w:p>
        </w:tc>
        <w:tc>
          <w:tcPr>
            <w:tcW w:w="1093" w:type="pct"/>
          </w:tcPr>
          <w:p w14:paraId="53CD599E" w14:textId="77777777" w:rsidR="002514F8" w:rsidRPr="00730DE4" w:rsidRDefault="002514F8" w:rsidP="00111FB9">
            <w:pPr>
              <w:pStyle w:val="NoSpacing"/>
            </w:pPr>
            <w:r w:rsidRPr="00730DE4">
              <w:t>597,013</w:t>
            </w:r>
          </w:p>
        </w:tc>
      </w:tr>
      <w:tr w:rsidR="002514F8" w:rsidRPr="00730DE4" w14:paraId="20EC73E4" w14:textId="77777777" w:rsidTr="00111FB9">
        <w:tc>
          <w:tcPr>
            <w:tcW w:w="2831" w:type="pct"/>
          </w:tcPr>
          <w:p w14:paraId="34CFF9BE" w14:textId="77777777" w:rsidR="002514F8" w:rsidRPr="00730DE4" w:rsidRDefault="002514F8" w:rsidP="00111FB9">
            <w:pPr>
              <w:pStyle w:val="NoSpacing"/>
            </w:pPr>
            <w:r w:rsidRPr="00730DE4">
              <w:t>Service concession arrangements revenue</w:t>
            </w:r>
          </w:p>
        </w:tc>
        <w:tc>
          <w:tcPr>
            <w:tcW w:w="1075" w:type="pct"/>
          </w:tcPr>
          <w:p w14:paraId="29ACBBE0" w14:textId="77777777" w:rsidR="002514F8" w:rsidRPr="00730DE4" w:rsidRDefault="002514F8" w:rsidP="00111FB9">
            <w:pPr>
              <w:pStyle w:val="NoSpacing"/>
            </w:pPr>
            <w:r w:rsidRPr="00730DE4">
              <w:t>2.59</w:t>
            </w:r>
          </w:p>
        </w:tc>
        <w:tc>
          <w:tcPr>
            <w:tcW w:w="1093" w:type="pct"/>
          </w:tcPr>
          <w:p w14:paraId="62B04FA6" w14:textId="77777777" w:rsidR="002514F8" w:rsidRPr="00730DE4" w:rsidRDefault="002514F8" w:rsidP="00111FB9">
            <w:pPr>
              <w:pStyle w:val="NoSpacing"/>
            </w:pPr>
            <w:r w:rsidRPr="00730DE4">
              <w:t>232,180</w:t>
            </w:r>
          </w:p>
        </w:tc>
      </w:tr>
      <w:tr w:rsidR="000A65A9" w:rsidRPr="00730DE4" w14:paraId="24EF041E" w14:textId="77777777" w:rsidTr="00111FB9">
        <w:trPr>
          <w:cnfStyle w:val="000000100000" w:firstRow="0" w:lastRow="0" w:firstColumn="0" w:lastColumn="0" w:oddVBand="0" w:evenVBand="0" w:oddHBand="1" w:evenHBand="0" w:firstRowFirstColumn="0" w:firstRowLastColumn="0" w:lastRowFirstColumn="0" w:lastRowLastColumn="0"/>
        </w:trPr>
        <w:tc>
          <w:tcPr>
            <w:tcW w:w="2831" w:type="pct"/>
          </w:tcPr>
          <w:p w14:paraId="2A26AA7A" w14:textId="77777777" w:rsidR="002514F8" w:rsidRPr="00730DE4" w:rsidRDefault="002514F8" w:rsidP="00111FB9">
            <w:pPr>
              <w:pStyle w:val="NoSpacing"/>
            </w:pPr>
            <w:r w:rsidRPr="00730DE4">
              <w:t>Other revenue</w:t>
            </w:r>
          </w:p>
        </w:tc>
        <w:tc>
          <w:tcPr>
            <w:tcW w:w="1075" w:type="pct"/>
          </w:tcPr>
          <w:p w14:paraId="2866CA16" w14:textId="77777777" w:rsidR="002514F8" w:rsidRPr="00730DE4" w:rsidRDefault="002514F8" w:rsidP="00111FB9">
            <w:pPr>
              <w:pStyle w:val="NoSpacing"/>
            </w:pPr>
            <w:r w:rsidRPr="00730DE4">
              <w:t>0.72</w:t>
            </w:r>
          </w:p>
        </w:tc>
        <w:tc>
          <w:tcPr>
            <w:tcW w:w="1093" w:type="pct"/>
          </w:tcPr>
          <w:p w14:paraId="0A637793" w14:textId="77777777" w:rsidR="002514F8" w:rsidRPr="00730DE4" w:rsidRDefault="002514F8" w:rsidP="00111FB9">
            <w:pPr>
              <w:pStyle w:val="NoSpacing"/>
            </w:pPr>
            <w:r w:rsidRPr="00730DE4">
              <w:t>64,350</w:t>
            </w:r>
          </w:p>
        </w:tc>
      </w:tr>
      <w:tr w:rsidR="002514F8" w:rsidRPr="00730DE4" w14:paraId="1C58760A" w14:textId="77777777" w:rsidTr="00111FB9">
        <w:tc>
          <w:tcPr>
            <w:tcW w:w="2831" w:type="pct"/>
          </w:tcPr>
          <w:p w14:paraId="007DB1D8" w14:textId="77777777" w:rsidR="002514F8" w:rsidRPr="00730DE4" w:rsidRDefault="002514F8" w:rsidP="00111FB9">
            <w:pPr>
              <w:pStyle w:val="NoSpacing"/>
              <w:rPr>
                <w:rStyle w:val="Strong"/>
              </w:rPr>
            </w:pPr>
            <w:r w:rsidRPr="00730DE4">
              <w:rPr>
                <w:rStyle w:val="Strong"/>
              </w:rPr>
              <w:t>Total income</w:t>
            </w:r>
          </w:p>
        </w:tc>
        <w:tc>
          <w:tcPr>
            <w:tcW w:w="1075" w:type="pct"/>
          </w:tcPr>
          <w:p w14:paraId="711C4EC2" w14:textId="77777777" w:rsidR="002514F8" w:rsidRPr="00730DE4" w:rsidRDefault="002514F8" w:rsidP="00111FB9">
            <w:pPr>
              <w:pStyle w:val="NoSpacing"/>
              <w:rPr>
                <w:rStyle w:val="Strong"/>
              </w:rPr>
            </w:pPr>
          </w:p>
        </w:tc>
        <w:tc>
          <w:tcPr>
            <w:tcW w:w="1093" w:type="pct"/>
          </w:tcPr>
          <w:p w14:paraId="66065785" w14:textId="77777777" w:rsidR="002514F8" w:rsidRPr="00730DE4" w:rsidRDefault="002514F8" w:rsidP="00111FB9">
            <w:pPr>
              <w:pStyle w:val="NoSpacing"/>
              <w:rPr>
                <w:rStyle w:val="Strong"/>
              </w:rPr>
            </w:pPr>
            <w:r w:rsidRPr="00730DE4">
              <w:rPr>
                <w:rStyle w:val="Strong"/>
              </w:rPr>
              <w:t>8,954,931</w:t>
            </w:r>
          </w:p>
        </w:tc>
      </w:tr>
    </w:tbl>
    <w:p w14:paraId="28972BBB" w14:textId="77777777" w:rsidR="002514F8" w:rsidRPr="00730DE4" w:rsidRDefault="002514F8" w:rsidP="002B7001">
      <w:pPr>
        <w:pStyle w:val="Heading3"/>
      </w:pPr>
      <w:bookmarkStart w:id="69" w:name="_Toc180487252"/>
      <w:bookmarkStart w:id="70" w:name="_Toc180490458"/>
      <w:bookmarkStart w:id="71" w:name="_Toc180491491"/>
      <w:r w:rsidRPr="00730DE4">
        <w:lastRenderedPageBreak/>
        <w:t>Expenses</w:t>
      </w:r>
      <w:bookmarkEnd w:id="69"/>
      <w:bookmarkEnd w:id="70"/>
      <w:bookmarkEnd w:id="71"/>
    </w:p>
    <w:p w14:paraId="4A755E7A" w14:textId="77777777" w:rsidR="002514F8" w:rsidRPr="00730DE4" w:rsidRDefault="002514F8" w:rsidP="00B3040A">
      <w:r w:rsidRPr="00730DE4">
        <w:t xml:space="preserve">Total expenses for TMR were $8.632 billion. Supplies and services were the largest category of expenditure, comprising 58 per cent of total expenditure, followed by depreciation and amortisation of assets, grants and subsidies, and employee expenses. </w:t>
      </w:r>
    </w:p>
    <w:p w14:paraId="13B65B58" w14:textId="77777777" w:rsidR="002514F8" w:rsidRPr="00730DE4" w:rsidRDefault="002514F8" w:rsidP="00B3040A">
      <w:r w:rsidRPr="00730DE4">
        <w:t>Approximately 71 per cent of total supplies and services consists of payments to operators of rail, bus, air, and ferry services. Total expenses in 2023–24 has increased by $944.2 million.</w:t>
      </w:r>
    </w:p>
    <w:p w14:paraId="55DAFD75" w14:textId="77777777" w:rsidR="002514F8" w:rsidRPr="00730DE4" w:rsidRDefault="002514F8" w:rsidP="00D3757D">
      <w:pPr>
        <w:pStyle w:val="FigureCaption"/>
      </w:pPr>
      <w:r w:rsidRPr="00730DE4">
        <w:t>Figure 2: Expenses by category for the year ended 30 June 2024</w:t>
      </w:r>
    </w:p>
    <w:tbl>
      <w:tblPr>
        <w:tblStyle w:val="TMRDefault"/>
        <w:tblW w:w="5000" w:type="pct"/>
        <w:tblLook w:val="04A0" w:firstRow="1" w:lastRow="0" w:firstColumn="1" w:lastColumn="0" w:noHBand="0" w:noVBand="1"/>
      </w:tblPr>
      <w:tblGrid>
        <w:gridCol w:w="5115"/>
        <w:gridCol w:w="1964"/>
        <w:gridCol w:w="1981"/>
      </w:tblGrid>
      <w:tr w:rsidR="002514F8" w:rsidRPr="00730DE4" w14:paraId="553BC702" w14:textId="77777777" w:rsidTr="00111FB9">
        <w:trPr>
          <w:cnfStyle w:val="100000000000" w:firstRow="1" w:lastRow="0" w:firstColumn="0" w:lastColumn="0" w:oddVBand="0" w:evenVBand="0" w:oddHBand="0" w:evenHBand="0" w:firstRowFirstColumn="0" w:firstRowLastColumn="0" w:lastRowFirstColumn="0" w:lastRowLastColumn="0"/>
          <w:tblHeader/>
        </w:trPr>
        <w:tc>
          <w:tcPr>
            <w:tcW w:w="2823" w:type="pct"/>
          </w:tcPr>
          <w:p w14:paraId="4D3A5E13" w14:textId="77777777" w:rsidR="002514F8" w:rsidRPr="00730DE4" w:rsidRDefault="002514F8" w:rsidP="00111FB9">
            <w:pPr>
              <w:pStyle w:val="NoSpacing"/>
              <w:rPr>
                <w:color w:val="FFFFFF" w:themeColor="background1"/>
              </w:rPr>
            </w:pPr>
            <w:r w:rsidRPr="00730DE4">
              <w:rPr>
                <w:color w:val="FFFFFF" w:themeColor="background1"/>
              </w:rPr>
              <w:t>Expenses</w:t>
            </w:r>
          </w:p>
        </w:tc>
        <w:tc>
          <w:tcPr>
            <w:tcW w:w="1084" w:type="pct"/>
          </w:tcPr>
          <w:p w14:paraId="5337E04F" w14:textId="77777777" w:rsidR="002514F8" w:rsidRPr="00730DE4" w:rsidRDefault="002514F8" w:rsidP="00111FB9">
            <w:pPr>
              <w:pStyle w:val="NoSpacing"/>
              <w:rPr>
                <w:color w:val="FFFFFF" w:themeColor="background1"/>
              </w:rPr>
            </w:pPr>
            <w:r w:rsidRPr="00730DE4">
              <w:rPr>
                <w:color w:val="FFFFFF" w:themeColor="background1"/>
              </w:rPr>
              <w:t>Expense %</w:t>
            </w:r>
          </w:p>
        </w:tc>
        <w:tc>
          <w:tcPr>
            <w:tcW w:w="1093" w:type="pct"/>
          </w:tcPr>
          <w:p w14:paraId="21A515A3" w14:textId="77777777" w:rsidR="002514F8" w:rsidRPr="00730DE4" w:rsidRDefault="002514F8" w:rsidP="00111FB9">
            <w:pPr>
              <w:pStyle w:val="NoSpacing"/>
              <w:rPr>
                <w:color w:val="FFFFFF" w:themeColor="background1"/>
              </w:rPr>
            </w:pPr>
            <w:r w:rsidRPr="00730DE4">
              <w:rPr>
                <w:color w:val="FFFFFF" w:themeColor="background1"/>
              </w:rPr>
              <w:t>$ ‘000</w:t>
            </w:r>
          </w:p>
        </w:tc>
      </w:tr>
      <w:tr w:rsidR="000A65A9" w:rsidRPr="00730DE4" w14:paraId="3E47627A" w14:textId="77777777" w:rsidTr="00111FB9">
        <w:trPr>
          <w:cnfStyle w:val="000000100000" w:firstRow="0" w:lastRow="0" w:firstColumn="0" w:lastColumn="0" w:oddVBand="0" w:evenVBand="0" w:oddHBand="1" w:evenHBand="0" w:firstRowFirstColumn="0" w:firstRowLastColumn="0" w:lastRowFirstColumn="0" w:lastRowLastColumn="0"/>
        </w:trPr>
        <w:tc>
          <w:tcPr>
            <w:tcW w:w="2823" w:type="pct"/>
          </w:tcPr>
          <w:p w14:paraId="714E8BCA" w14:textId="77777777" w:rsidR="002514F8" w:rsidRPr="00730DE4" w:rsidRDefault="002514F8" w:rsidP="00111FB9">
            <w:pPr>
              <w:pStyle w:val="NoSpacing"/>
            </w:pPr>
            <w:r w:rsidRPr="00730DE4">
              <w:t>Employee expenses</w:t>
            </w:r>
          </w:p>
        </w:tc>
        <w:tc>
          <w:tcPr>
            <w:tcW w:w="1084" w:type="pct"/>
          </w:tcPr>
          <w:p w14:paraId="6D55AC15" w14:textId="77777777" w:rsidR="002514F8" w:rsidRPr="00730DE4" w:rsidRDefault="002514F8" w:rsidP="00111FB9">
            <w:pPr>
              <w:pStyle w:val="NoSpacing"/>
            </w:pPr>
            <w:r w:rsidRPr="00730DE4">
              <w:t>12.55</w:t>
            </w:r>
          </w:p>
        </w:tc>
        <w:tc>
          <w:tcPr>
            <w:tcW w:w="1093" w:type="pct"/>
          </w:tcPr>
          <w:p w14:paraId="0AB78A75" w14:textId="77777777" w:rsidR="002514F8" w:rsidRPr="00730DE4" w:rsidRDefault="002514F8" w:rsidP="00111FB9">
            <w:pPr>
              <w:pStyle w:val="NoSpacing"/>
            </w:pPr>
            <w:r w:rsidRPr="00730DE4">
              <w:t>1,083,824</w:t>
            </w:r>
          </w:p>
        </w:tc>
      </w:tr>
      <w:tr w:rsidR="002514F8" w:rsidRPr="00730DE4" w14:paraId="01FA7FC2" w14:textId="77777777" w:rsidTr="00111FB9">
        <w:tc>
          <w:tcPr>
            <w:tcW w:w="2823" w:type="pct"/>
          </w:tcPr>
          <w:p w14:paraId="5399B018" w14:textId="77777777" w:rsidR="002514F8" w:rsidRPr="00730DE4" w:rsidRDefault="002514F8" w:rsidP="00111FB9">
            <w:pPr>
              <w:pStyle w:val="NoSpacing"/>
            </w:pPr>
            <w:r w:rsidRPr="00730DE4">
              <w:t>Supplies and services</w:t>
            </w:r>
          </w:p>
        </w:tc>
        <w:tc>
          <w:tcPr>
            <w:tcW w:w="1084" w:type="pct"/>
          </w:tcPr>
          <w:p w14:paraId="4A057763" w14:textId="77777777" w:rsidR="002514F8" w:rsidRPr="00730DE4" w:rsidRDefault="002514F8" w:rsidP="00111FB9">
            <w:pPr>
              <w:pStyle w:val="NoSpacing"/>
            </w:pPr>
            <w:r w:rsidRPr="00730DE4">
              <w:t>57.66</w:t>
            </w:r>
          </w:p>
        </w:tc>
        <w:tc>
          <w:tcPr>
            <w:tcW w:w="1093" w:type="pct"/>
          </w:tcPr>
          <w:p w14:paraId="4EC1F5AB" w14:textId="77777777" w:rsidR="002514F8" w:rsidRPr="00730DE4" w:rsidRDefault="002514F8" w:rsidP="00111FB9">
            <w:pPr>
              <w:pStyle w:val="NoSpacing"/>
            </w:pPr>
            <w:r w:rsidRPr="00730DE4">
              <w:t>4,977,004</w:t>
            </w:r>
          </w:p>
        </w:tc>
      </w:tr>
      <w:tr w:rsidR="000A65A9" w:rsidRPr="00730DE4" w14:paraId="1AB3CD85" w14:textId="77777777" w:rsidTr="00111FB9">
        <w:trPr>
          <w:cnfStyle w:val="000000100000" w:firstRow="0" w:lastRow="0" w:firstColumn="0" w:lastColumn="0" w:oddVBand="0" w:evenVBand="0" w:oddHBand="1" w:evenHBand="0" w:firstRowFirstColumn="0" w:firstRowLastColumn="0" w:lastRowFirstColumn="0" w:lastRowLastColumn="0"/>
        </w:trPr>
        <w:tc>
          <w:tcPr>
            <w:tcW w:w="2823" w:type="pct"/>
          </w:tcPr>
          <w:p w14:paraId="0203F8C4" w14:textId="77777777" w:rsidR="002514F8" w:rsidRPr="00730DE4" w:rsidRDefault="002514F8" w:rsidP="00111FB9">
            <w:pPr>
              <w:pStyle w:val="NoSpacing"/>
            </w:pPr>
            <w:r w:rsidRPr="00730DE4">
              <w:t xml:space="preserve">Grants and subsidies </w:t>
            </w:r>
          </w:p>
        </w:tc>
        <w:tc>
          <w:tcPr>
            <w:tcW w:w="1084" w:type="pct"/>
          </w:tcPr>
          <w:p w14:paraId="6D6B2F06" w14:textId="77777777" w:rsidR="002514F8" w:rsidRPr="00730DE4" w:rsidRDefault="002514F8" w:rsidP="00111FB9">
            <w:pPr>
              <w:pStyle w:val="NoSpacing"/>
            </w:pPr>
            <w:r w:rsidRPr="00730DE4">
              <w:t>9.15</w:t>
            </w:r>
          </w:p>
        </w:tc>
        <w:tc>
          <w:tcPr>
            <w:tcW w:w="1093" w:type="pct"/>
          </w:tcPr>
          <w:p w14:paraId="43F7F661" w14:textId="77777777" w:rsidR="002514F8" w:rsidRPr="00730DE4" w:rsidRDefault="002514F8" w:rsidP="00111FB9">
            <w:pPr>
              <w:pStyle w:val="NoSpacing"/>
            </w:pPr>
            <w:r w:rsidRPr="00730DE4">
              <w:t>790,233</w:t>
            </w:r>
          </w:p>
        </w:tc>
      </w:tr>
      <w:tr w:rsidR="002514F8" w:rsidRPr="00730DE4" w14:paraId="1892833A" w14:textId="77777777" w:rsidTr="00111FB9">
        <w:tc>
          <w:tcPr>
            <w:tcW w:w="2823" w:type="pct"/>
          </w:tcPr>
          <w:p w14:paraId="7EE01877" w14:textId="77777777" w:rsidR="002514F8" w:rsidRPr="00730DE4" w:rsidRDefault="002514F8" w:rsidP="00111FB9">
            <w:pPr>
              <w:pStyle w:val="NoSpacing"/>
            </w:pPr>
            <w:r w:rsidRPr="00730DE4">
              <w:t>Finance and borrowing costs</w:t>
            </w:r>
          </w:p>
        </w:tc>
        <w:tc>
          <w:tcPr>
            <w:tcW w:w="1084" w:type="pct"/>
          </w:tcPr>
          <w:p w14:paraId="7617936D" w14:textId="77777777" w:rsidR="002514F8" w:rsidRPr="00730DE4" w:rsidRDefault="002514F8" w:rsidP="00111FB9">
            <w:pPr>
              <w:pStyle w:val="NoSpacing"/>
            </w:pPr>
            <w:r w:rsidRPr="00730DE4">
              <w:t>1.19</w:t>
            </w:r>
          </w:p>
        </w:tc>
        <w:tc>
          <w:tcPr>
            <w:tcW w:w="1093" w:type="pct"/>
          </w:tcPr>
          <w:p w14:paraId="017FA2BB" w14:textId="77777777" w:rsidR="002514F8" w:rsidRPr="00730DE4" w:rsidRDefault="002514F8" w:rsidP="00111FB9">
            <w:pPr>
              <w:pStyle w:val="NoSpacing"/>
            </w:pPr>
            <w:r w:rsidRPr="00730DE4">
              <w:t>102,645</w:t>
            </w:r>
          </w:p>
        </w:tc>
      </w:tr>
      <w:tr w:rsidR="000A65A9" w:rsidRPr="00730DE4" w14:paraId="2A721CDF" w14:textId="77777777" w:rsidTr="00111FB9">
        <w:trPr>
          <w:cnfStyle w:val="000000100000" w:firstRow="0" w:lastRow="0" w:firstColumn="0" w:lastColumn="0" w:oddVBand="0" w:evenVBand="0" w:oddHBand="1" w:evenHBand="0" w:firstRowFirstColumn="0" w:firstRowLastColumn="0" w:lastRowFirstColumn="0" w:lastRowLastColumn="0"/>
        </w:trPr>
        <w:tc>
          <w:tcPr>
            <w:tcW w:w="2823" w:type="pct"/>
          </w:tcPr>
          <w:p w14:paraId="47C110C0" w14:textId="77777777" w:rsidR="002514F8" w:rsidRPr="00730DE4" w:rsidRDefault="002514F8" w:rsidP="00111FB9">
            <w:pPr>
              <w:pStyle w:val="NoSpacing"/>
            </w:pPr>
            <w:r w:rsidRPr="00730DE4">
              <w:t>Depreciation and amortisation</w:t>
            </w:r>
          </w:p>
        </w:tc>
        <w:tc>
          <w:tcPr>
            <w:tcW w:w="1084" w:type="pct"/>
          </w:tcPr>
          <w:p w14:paraId="54AC826F" w14:textId="77777777" w:rsidR="002514F8" w:rsidRPr="00730DE4" w:rsidRDefault="002514F8" w:rsidP="00111FB9">
            <w:pPr>
              <w:pStyle w:val="NoSpacing"/>
            </w:pPr>
            <w:r w:rsidRPr="00730DE4">
              <w:t>19.08</w:t>
            </w:r>
          </w:p>
        </w:tc>
        <w:tc>
          <w:tcPr>
            <w:tcW w:w="1093" w:type="pct"/>
          </w:tcPr>
          <w:p w14:paraId="7914B509" w14:textId="77777777" w:rsidR="002514F8" w:rsidRPr="00730DE4" w:rsidRDefault="002514F8" w:rsidP="00111FB9">
            <w:pPr>
              <w:pStyle w:val="NoSpacing"/>
            </w:pPr>
            <w:r w:rsidRPr="00730DE4">
              <w:t>1,646,691</w:t>
            </w:r>
          </w:p>
        </w:tc>
      </w:tr>
      <w:tr w:rsidR="002514F8" w:rsidRPr="00730DE4" w14:paraId="6B2F963C" w14:textId="77777777" w:rsidTr="00111FB9">
        <w:tc>
          <w:tcPr>
            <w:tcW w:w="2823" w:type="pct"/>
          </w:tcPr>
          <w:p w14:paraId="76CA6190" w14:textId="77777777" w:rsidR="002514F8" w:rsidRPr="00730DE4" w:rsidRDefault="002514F8" w:rsidP="00111FB9">
            <w:pPr>
              <w:pStyle w:val="NoSpacing"/>
            </w:pPr>
            <w:r w:rsidRPr="00730DE4">
              <w:t>Other expenses</w:t>
            </w:r>
          </w:p>
        </w:tc>
        <w:tc>
          <w:tcPr>
            <w:tcW w:w="1084" w:type="pct"/>
          </w:tcPr>
          <w:p w14:paraId="4D0DC740" w14:textId="77777777" w:rsidR="002514F8" w:rsidRPr="00730DE4" w:rsidRDefault="002514F8" w:rsidP="00111FB9">
            <w:pPr>
              <w:pStyle w:val="NoSpacing"/>
            </w:pPr>
            <w:r w:rsidRPr="00730DE4">
              <w:t>0.37</w:t>
            </w:r>
          </w:p>
        </w:tc>
        <w:tc>
          <w:tcPr>
            <w:tcW w:w="1093" w:type="pct"/>
          </w:tcPr>
          <w:p w14:paraId="24A1B87F" w14:textId="77777777" w:rsidR="002514F8" w:rsidRPr="00730DE4" w:rsidRDefault="002514F8" w:rsidP="00111FB9">
            <w:pPr>
              <w:pStyle w:val="NoSpacing"/>
            </w:pPr>
            <w:r w:rsidRPr="00730DE4">
              <w:t>31,924</w:t>
            </w:r>
          </w:p>
        </w:tc>
      </w:tr>
      <w:tr w:rsidR="000A65A9" w:rsidRPr="00730DE4" w14:paraId="16F3D8AF" w14:textId="77777777" w:rsidTr="00111FB9">
        <w:trPr>
          <w:cnfStyle w:val="000000100000" w:firstRow="0" w:lastRow="0" w:firstColumn="0" w:lastColumn="0" w:oddVBand="0" w:evenVBand="0" w:oddHBand="1" w:evenHBand="0" w:firstRowFirstColumn="0" w:firstRowLastColumn="0" w:lastRowFirstColumn="0" w:lastRowLastColumn="0"/>
        </w:trPr>
        <w:tc>
          <w:tcPr>
            <w:tcW w:w="2823" w:type="pct"/>
          </w:tcPr>
          <w:p w14:paraId="1BA35B2F" w14:textId="77777777" w:rsidR="002514F8" w:rsidRPr="00730DE4" w:rsidRDefault="002514F8" w:rsidP="00111FB9">
            <w:pPr>
              <w:pStyle w:val="NoSpacing"/>
              <w:rPr>
                <w:rStyle w:val="Strong"/>
              </w:rPr>
            </w:pPr>
            <w:r w:rsidRPr="00730DE4">
              <w:rPr>
                <w:rStyle w:val="Strong"/>
              </w:rPr>
              <w:t>Total expenses</w:t>
            </w:r>
          </w:p>
        </w:tc>
        <w:tc>
          <w:tcPr>
            <w:tcW w:w="1084" w:type="pct"/>
          </w:tcPr>
          <w:p w14:paraId="64EDD664" w14:textId="77777777" w:rsidR="002514F8" w:rsidRPr="00730DE4" w:rsidRDefault="002514F8" w:rsidP="00111FB9">
            <w:pPr>
              <w:pStyle w:val="NoSpacing"/>
              <w:rPr>
                <w:rStyle w:val="Strong"/>
              </w:rPr>
            </w:pPr>
          </w:p>
        </w:tc>
        <w:tc>
          <w:tcPr>
            <w:tcW w:w="1093" w:type="pct"/>
          </w:tcPr>
          <w:p w14:paraId="13469CA3" w14:textId="77777777" w:rsidR="002514F8" w:rsidRPr="00730DE4" w:rsidRDefault="002514F8" w:rsidP="00111FB9">
            <w:pPr>
              <w:pStyle w:val="NoSpacing"/>
              <w:rPr>
                <w:rStyle w:val="Strong"/>
              </w:rPr>
            </w:pPr>
            <w:r w:rsidRPr="00730DE4">
              <w:rPr>
                <w:rStyle w:val="Strong"/>
              </w:rPr>
              <w:t>8,632,321</w:t>
            </w:r>
          </w:p>
        </w:tc>
      </w:tr>
    </w:tbl>
    <w:p w14:paraId="0D6AB511" w14:textId="77777777" w:rsidR="00EA1647" w:rsidRDefault="00EA1647" w:rsidP="002B7001">
      <w:pPr>
        <w:pStyle w:val="Heading3"/>
      </w:pPr>
      <w:r>
        <w:br w:type="page"/>
      </w:r>
    </w:p>
    <w:p w14:paraId="72701F5A" w14:textId="55DFFFF1" w:rsidR="002514F8" w:rsidRPr="00730DE4" w:rsidRDefault="002514F8" w:rsidP="002B7001">
      <w:pPr>
        <w:pStyle w:val="Heading3"/>
      </w:pPr>
      <w:bookmarkStart w:id="72" w:name="_Toc180487253"/>
      <w:bookmarkStart w:id="73" w:name="_Toc180490459"/>
      <w:bookmarkStart w:id="74" w:name="_Toc180491492"/>
      <w:r w:rsidRPr="00730DE4">
        <w:lastRenderedPageBreak/>
        <w:t>Financial position</w:t>
      </w:r>
      <w:bookmarkEnd w:id="72"/>
      <w:bookmarkEnd w:id="73"/>
      <w:bookmarkEnd w:id="74"/>
    </w:p>
    <w:p w14:paraId="526FA380" w14:textId="77777777" w:rsidR="002514F8" w:rsidRPr="00730DE4" w:rsidRDefault="002514F8" w:rsidP="002C59D9">
      <w:r w:rsidRPr="00730DE4">
        <w:t>The net assets position reported in the financial statements shows the net worth of TMR. At 30 June 2024, total equity was $116.297 billion. Table 2 summarises TMR's financial position for the past five financial years.</w:t>
      </w:r>
    </w:p>
    <w:p w14:paraId="1FE03D3E" w14:textId="77777777" w:rsidR="002514F8" w:rsidRPr="00730DE4" w:rsidRDefault="002514F8" w:rsidP="002C59D9">
      <w:r w:rsidRPr="00730DE4">
        <w:t>Total assets have increased by $6.22 billion due mainly to an increase in the gross value of infrastructure assets of $4.726 billion from the recognition of infrastructure assets from capital work in progress undertaken in 2024, and a $1.359 billion revaluation increase, offset by an increase in accumulated depreciation of $1.222 billion.</w:t>
      </w:r>
    </w:p>
    <w:p w14:paraId="789A41E5" w14:textId="77777777" w:rsidR="002514F8" w:rsidRPr="00730DE4" w:rsidRDefault="002514F8" w:rsidP="00D3757D">
      <w:pPr>
        <w:pStyle w:val="FigureCaption"/>
      </w:pPr>
      <w:r w:rsidRPr="00730DE4">
        <w:t>Table 2: Summary of financial position—Assets and liabilities</w:t>
      </w:r>
    </w:p>
    <w:tbl>
      <w:tblPr>
        <w:tblStyle w:val="TMRDefault"/>
        <w:tblW w:w="5000" w:type="pct"/>
        <w:tblLook w:val="04A0" w:firstRow="1" w:lastRow="0" w:firstColumn="1" w:lastColumn="0" w:noHBand="0" w:noVBand="1"/>
      </w:tblPr>
      <w:tblGrid>
        <w:gridCol w:w="2469"/>
        <w:gridCol w:w="2260"/>
        <w:gridCol w:w="2365"/>
        <w:gridCol w:w="1966"/>
      </w:tblGrid>
      <w:tr w:rsidR="000A65A9" w:rsidRPr="00730DE4" w14:paraId="456A339F" w14:textId="77777777" w:rsidTr="00111FB9">
        <w:trPr>
          <w:cnfStyle w:val="100000000000" w:firstRow="1" w:lastRow="0" w:firstColumn="0" w:lastColumn="0" w:oddVBand="0" w:evenVBand="0" w:oddHBand="0" w:evenHBand="0" w:firstRowFirstColumn="0" w:firstRowLastColumn="0" w:lastRowFirstColumn="0" w:lastRowLastColumn="0"/>
          <w:tblHeader/>
        </w:trPr>
        <w:tc>
          <w:tcPr>
            <w:tcW w:w="1362" w:type="pct"/>
          </w:tcPr>
          <w:p w14:paraId="50DEEE3E" w14:textId="77777777" w:rsidR="002514F8" w:rsidRPr="00730DE4" w:rsidRDefault="002514F8" w:rsidP="00111FB9">
            <w:pPr>
              <w:pStyle w:val="NoSpacing"/>
              <w:rPr>
                <w:color w:val="FFFFFF" w:themeColor="background1"/>
              </w:rPr>
            </w:pPr>
            <w:r w:rsidRPr="00730DE4">
              <w:rPr>
                <w:color w:val="FFFFFF" w:themeColor="background1"/>
              </w:rPr>
              <w:t xml:space="preserve">Financial year </w:t>
            </w:r>
          </w:p>
        </w:tc>
        <w:tc>
          <w:tcPr>
            <w:tcW w:w="1247" w:type="pct"/>
          </w:tcPr>
          <w:p w14:paraId="1366AAB3" w14:textId="77777777" w:rsidR="002514F8" w:rsidRPr="00730DE4" w:rsidRDefault="002514F8" w:rsidP="00111FB9">
            <w:pPr>
              <w:pStyle w:val="NoSpacing"/>
              <w:rPr>
                <w:color w:val="FFFFFF" w:themeColor="background1"/>
              </w:rPr>
            </w:pPr>
            <w:r w:rsidRPr="00730DE4">
              <w:rPr>
                <w:color w:val="FFFFFF" w:themeColor="background1"/>
              </w:rPr>
              <w:t>Total assets</w:t>
            </w:r>
          </w:p>
        </w:tc>
        <w:tc>
          <w:tcPr>
            <w:tcW w:w="1305" w:type="pct"/>
          </w:tcPr>
          <w:p w14:paraId="64AF5743" w14:textId="77777777" w:rsidR="002514F8" w:rsidRPr="00730DE4" w:rsidRDefault="002514F8" w:rsidP="00111FB9">
            <w:pPr>
              <w:pStyle w:val="NoSpacing"/>
              <w:rPr>
                <w:color w:val="FFFFFF" w:themeColor="background1"/>
              </w:rPr>
            </w:pPr>
            <w:r w:rsidRPr="00730DE4">
              <w:rPr>
                <w:color w:val="FFFFFF" w:themeColor="background1"/>
              </w:rPr>
              <w:t>Total liabilities</w:t>
            </w:r>
          </w:p>
        </w:tc>
        <w:tc>
          <w:tcPr>
            <w:tcW w:w="1085" w:type="pct"/>
          </w:tcPr>
          <w:p w14:paraId="35B3950F" w14:textId="77777777" w:rsidR="002514F8" w:rsidRPr="00730DE4" w:rsidRDefault="002514F8" w:rsidP="00111FB9">
            <w:pPr>
              <w:pStyle w:val="NoSpacing"/>
              <w:rPr>
                <w:color w:val="FFFFFF" w:themeColor="background1"/>
              </w:rPr>
            </w:pPr>
            <w:r w:rsidRPr="00730DE4">
              <w:rPr>
                <w:color w:val="FFFFFF" w:themeColor="background1"/>
              </w:rPr>
              <w:t>Total equity</w:t>
            </w:r>
          </w:p>
        </w:tc>
      </w:tr>
      <w:tr w:rsidR="000A65A9" w:rsidRPr="00730DE4" w14:paraId="604100D6" w14:textId="77777777" w:rsidTr="00111FB9">
        <w:trPr>
          <w:cnfStyle w:val="000000100000" w:firstRow="0" w:lastRow="0" w:firstColumn="0" w:lastColumn="0" w:oddVBand="0" w:evenVBand="0" w:oddHBand="1" w:evenHBand="0" w:firstRowFirstColumn="0" w:firstRowLastColumn="0" w:lastRowFirstColumn="0" w:lastRowLastColumn="0"/>
        </w:trPr>
        <w:tc>
          <w:tcPr>
            <w:tcW w:w="1362" w:type="pct"/>
          </w:tcPr>
          <w:p w14:paraId="164B2611" w14:textId="77777777" w:rsidR="002514F8" w:rsidRPr="00730DE4" w:rsidRDefault="002514F8" w:rsidP="00111FB9">
            <w:pPr>
              <w:pStyle w:val="NoSpacing"/>
            </w:pPr>
            <w:r w:rsidRPr="00730DE4">
              <w:t>2023–24 ($ '000)</w:t>
            </w:r>
          </w:p>
        </w:tc>
        <w:tc>
          <w:tcPr>
            <w:tcW w:w="1247" w:type="pct"/>
          </w:tcPr>
          <w:p w14:paraId="5C0022B4" w14:textId="77777777" w:rsidR="002514F8" w:rsidRPr="00730DE4" w:rsidRDefault="002514F8" w:rsidP="00111FB9">
            <w:pPr>
              <w:pStyle w:val="NoSpacing"/>
            </w:pPr>
            <w:r w:rsidRPr="00730DE4">
              <w:t xml:space="preserve">126,137,870 </w:t>
            </w:r>
          </w:p>
        </w:tc>
        <w:tc>
          <w:tcPr>
            <w:tcW w:w="1305" w:type="pct"/>
          </w:tcPr>
          <w:p w14:paraId="0C404D01" w14:textId="77777777" w:rsidR="002514F8" w:rsidRPr="00730DE4" w:rsidRDefault="002514F8" w:rsidP="00111FB9">
            <w:pPr>
              <w:pStyle w:val="NoSpacing"/>
            </w:pPr>
            <w:r w:rsidRPr="00730DE4">
              <w:t xml:space="preserve">9,840,904 </w:t>
            </w:r>
          </w:p>
        </w:tc>
        <w:tc>
          <w:tcPr>
            <w:tcW w:w="1085" w:type="pct"/>
          </w:tcPr>
          <w:p w14:paraId="19D6CB46" w14:textId="77777777" w:rsidR="002514F8" w:rsidRPr="00730DE4" w:rsidRDefault="002514F8" w:rsidP="00111FB9">
            <w:pPr>
              <w:pStyle w:val="NoSpacing"/>
            </w:pPr>
            <w:r w:rsidRPr="00730DE4">
              <w:t xml:space="preserve">116,296,966 </w:t>
            </w:r>
          </w:p>
        </w:tc>
      </w:tr>
      <w:tr w:rsidR="002514F8" w:rsidRPr="00730DE4" w14:paraId="0B9F7FB8" w14:textId="77777777" w:rsidTr="00111FB9">
        <w:tc>
          <w:tcPr>
            <w:tcW w:w="1362" w:type="pct"/>
          </w:tcPr>
          <w:p w14:paraId="38CA0BBA" w14:textId="77777777" w:rsidR="002514F8" w:rsidRPr="00730DE4" w:rsidRDefault="002514F8" w:rsidP="00111FB9">
            <w:pPr>
              <w:pStyle w:val="NoSpacing"/>
            </w:pPr>
            <w:r w:rsidRPr="00730DE4">
              <w:t>2022–23 ($ '000)</w:t>
            </w:r>
          </w:p>
        </w:tc>
        <w:tc>
          <w:tcPr>
            <w:tcW w:w="1247" w:type="pct"/>
          </w:tcPr>
          <w:p w14:paraId="3A30AD52" w14:textId="77777777" w:rsidR="002514F8" w:rsidRPr="00730DE4" w:rsidRDefault="002514F8" w:rsidP="00111FB9">
            <w:pPr>
              <w:pStyle w:val="NoSpacing"/>
            </w:pPr>
            <w:r w:rsidRPr="00730DE4">
              <w:t>119,917,902</w:t>
            </w:r>
          </w:p>
        </w:tc>
        <w:tc>
          <w:tcPr>
            <w:tcW w:w="1305" w:type="pct"/>
          </w:tcPr>
          <w:p w14:paraId="7875F8F4" w14:textId="77777777" w:rsidR="002514F8" w:rsidRPr="00730DE4" w:rsidRDefault="002514F8" w:rsidP="00111FB9">
            <w:pPr>
              <w:pStyle w:val="NoSpacing"/>
            </w:pPr>
            <w:r w:rsidRPr="00730DE4">
              <w:t>10,185,996</w:t>
            </w:r>
          </w:p>
        </w:tc>
        <w:tc>
          <w:tcPr>
            <w:tcW w:w="1085" w:type="pct"/>
          </w:tcPr>
          <w:p w14:paraId="60DCA47F" w14:textId="77777777" w:rsidR="002514F8" w:rsidRPr="00730DE4" w:rsidRDefault="002514F8" w:rsidP="00111FB9">
            <w:pPr>
              <w:pStyle w:val="NoSpacing"/>
            </w:pPr>
            <w:r w:rsidRPr="00730DE4">
              <w:t>109,731,906</w:t>
            </w:r>
          </w:p>
        </w:tc>
      </w:tr>
      <w:tr w:rsidR="000A65A9" w:rsidRPr="00730DE4" w14:paraId="2A32FB7A" w14:textId="77777777" w:rsidTr="00111FB9">
        <w:trPr>
          <w:cnfStyle w:val="000000100000" w:firstRow="0" w:lastRow="0" w:firstColumn="0" w:lastColumn="0" w:oddVBand="0" w:evenVBand="0" w:oddHBand="1" w:evenHBand="0" w:firstRowFirstColumn="0" w:firstRowLastColumn="0" w:lastRowFirstColumn="0" w:lastRowLastColumn="0"/>
        </w:trPr>
        <w:tc>
          <w:tcPr>
            <w:tcW w:w="1362" w:type="pct"/>
          </w:tcPr>
          <w:p w14:paraId="00F378AF" w14:textId="77777777" w:rsidR="002514F8" w:rsidRPr="00730DE4" w:rsidRDefault="002514F8" w:rsidP="00111FB9">
            <w:pPr>
              <w:pStyle w:val="NoSpacing"/>
            </w:pPr>
            <w:r w:rsidRPr="00730DE4">
              <w:t>2021–22 ($ '000)</w:t>
            </w:r>
          </w:p>
        </w:tc>
        <w:tc>
          <w:tcPr>
            <w:tcW w:w="1247" w:type="pct"/>
          </w:tcPr>
          <w:p w14:paraId="176985F4" w14:textId="77777777" w:rsidR="002514F8" w:rsidRPr="00730DE4" w:rsidRDefault="002514F8" w:rsidP="00111FB9">
            <w:pPr>
              <w:pStyle w:val="NoSpacing"/>
            </w:pPr>
            <w:r w:rsidRPr="00730DE4">
              <w:t>100,750,641</w:t>
            </w:r>
          </w:p>
        </w:tc>
        <w:tc>
          <w:tcPr>
            <w:tcW w:w="1305" w:type="pct"/>
          </w:tcPr>
          <w:p w14:paraId="464493D8" w14:textId="77777777" w:rsidR="002514F8" w:rsidRPr="00730DE4" w:rsidRDefault="002514F8" w:rsidP="00111FB9">
            <w:pPr>
              <w:pStyle w:val="NoSpacing"/>
            </w:pPr>
            <w:r w:rsidRPr="00730DE4">
              <w:t>10,042,913</w:t>
            </w:r>
          </w:p>
        </w:tc>
        <w:tc>
          <w:tcPr>
            <w:tcW w:w="1085" w:type="pct"/>
          </w:tcPr>
          <w:p w14:paraId="4FE89F45" w14:textId="77777777" w:rsidR="002514F8" w:rsidRPr="00730DE4" w:rsidRDefault="002514F8" w:rsidP="00111FB9">
            <w:pPr>
              <w:pStyle w:val="NoSpacing"/>
            </w:pPr>
            <w:r w:rsidRPr="00730DE4">
              <w:t>90,707,728</w:t>
            </w:r>
          </w:p>
        </w:tc>
      </w:tr>
      <w:tr w:rsidR="002514F8" w:rsidRPr="00730DE4" w14:paraId="1B67C47D" w14:textId="77777777" w:rsidTr="00111FB9">
        <w:tc>
          <w:tcPr>
            <w:tcW w:w="1362" w:type="pct"/>
          </w:tcPr>
          <w:p w14:paraId="00E62FE5" w14:textId="77777777" w:rsidR="002514F8" w:rsidRPr="00730DE4" w:rsidRDefault="002514F8" w:rsidP="00111FB9">
            <w:pPr>
              <w:pStyle w:val="NoSpacing"/>
            </w:pPr>
            <w:r w:rsidRPr="00730DE4">
              <w:t>2020–21 ($ '000)</w:t>
            </w:r>
          </w:p>
        </w:tc>
        <w:tc>
          <w:tcPr>
            <w:tcW w:w="1247" w:type="pct"/>
          </w:tcPr>
          <w:p w14:paraId="19C81CFD" w14:textId="77777777" w:rsidR="002514F8" w:rsidRPr="00730DE4" w:rsidRDefault="002514F8" w:rsidP="00111FB9">
            <w:pPr>
              <w:pStyle w:val="NoSpacing"/>
            </w:pPr>
            <w:r w:rsidRPr="00730DE4">
              <w:t>87,402,208</w:t>
            </w:r>
          </w:p>
        </w:tc>
        <w:tc>
          <w:tcPr>
            <w:tcW w:w="1305" w:type="pct"/>
          </w:tcPr>
          <w:p w14:paraId="2D0CE39D" w14:textId="77777777" w:rsidR="002514F8" w:rsidRPr="00730DE4" w:rsidRDefault="002514F8" w:rsidP="00111FB9">
            <w:pPr>
              <w:pStyle w:val="NoSpacing"/>
            </w:pPr>
            <w:r w:rsidRPr="00730DE4">
              <w:t>10,218,610</w:t>
            </w:r>
          </w:p>
        </w:tc>
        <w:tc>
          <w:tcPr>
            <w:tcW w:w="1085" w:type="pct"/>
          </w:tcPr>
          <w:p w14:paraId="6284CADF" w14:textId="77777777" w:rsidR="002514F8" w:rsidRPr="00730DE4" w:rsidRDefault="002514F8" w:rsidP="00111FB9">
            <w:pPr>
              <w:pStyle w:val="NoSpacing"/>
            </w:pPr>
            <w:r w:rsidRPr="00730DE4">
              <w:t>77,183,598</w:t>
            </w:r>
          </w:p>
        </w:tc>
      </w:tr>
      <w:tr w:rsidR="000A65A9" w:rsidRPr="00730DE4" w14:paraId="689B97C4" w14:textId="77777777" w:rsidTr="00111FB9">
        <w:trPr>
          <w:cnfStyle w:val="000000100000" w:firstRow="0" w:lastRow="0" w:firstColumn="0" w:lastColumn="0" w:oddVBand="0" w:evenVBand="0" w:oddHBand="1" w:evenHBand="0" w:firstRowFirstColumn="0" w:firstRowLastColumn="0" w:lastRowFirstColumn="0" w:lastRowLastColumn="0"/>
        </w:trPr>
        <w:tc>
          <w:tcPr>
            <w:tcW w:w="1362" w:type="pct"/>
          </w:tcPr>
          <w:p w14:paraId="76E9A7C1" w14:textId="77777777" w:rsidR="002514F8" w:rsidRPr="00730DE4" w:rsidRDefault="002514F8" w:rsidP="00111FB9">
            <w:pPr>
              <w:pStyle w:val="NoSpacing"/>
            </w:pPr>
            <w:r w:rsidRPr="00730DE4">
              <w:t>2019–20 ($ '000)</w:t>
            </w:r>
          </w:p>
        </w:tc>
        <w:tc>
          <w:tcPr>
            <w:tcW w:w="1247" w:type="pct"/>
          </w:tcPr>
          <w:p w14:paraId="7CD587BA" w14:textId="77777777" w:rsidR="002514F8" w:rsidRPr="00730DE4" w:rsidRDefault="002514F8" w:rsidP="00111FB9">
            <w:pPr>
              <w:pStyle w:val="NoSpacing"/>
            </w:pPr>
            <w:r w:rsidRPr="00730DE4">
              <w:t>82,417,092</w:t>
            </w:r>
          </w:p>
        </w:tc>
        <w:tc>
          <w:tcPr>
            <w:tcW w:w="1305" w:type="pct"/>
          </w:tcPr>
          <w:p w14:paraId="26C4EB13" w14:textId="77777777" w:rsidR="002514F8" w:rsidRPr="00730DE4" w:rsidRDefault="002514F8" w:rsidP="00111FB9">
            <w:pPr>
              <w:pStyle w:val="NoSpacing"/>
            </w:pPr>
            <w:r w:rsidRPr="00730DE4">
              <w:t>10,413,403</w:t>
            </w:r>
          </w:p>
        </w:tc>
        <w:tc>
          <w:tcPr>
            <w:tcW w:w="1085" w:type="pct"/>
          </w:tcPr>
          <w:p w14:paraId="6B7AFF28" w14:textId="77777777" w:rsidR="002514F8" w:rsidRPr="00730DE4" w:rsidRDefault="002514F8" w:rsidP="00111FB9">
            <w:pPr>
              <w:pStyle w:val="NoSpacing"/>
            </w:pPr>
            <w:r w:rsidRPr="00730DE4">
              <w:t>72,003,689</w:t>
            </w:r>
          </w:p>
        </w:tc>
      </w:tr>
    </w:tbl>
    <w:p w14:paraId="668C4F45" w14:textId="77777777" w:rsidR="00464141" w:rsidRPr="00730DE4" w:rsidRDefault="00464141">
      <w:pPr>
        <w:suppressAutoHyphens w:val="0"/>
        <w:spacing w:before="0" w:line="259" w:lineRule="auto"/>
        <w:rPr>
          <w:rFonts w:eastAsiaTheme="majorEastAsia" w:cstheme="majorBidi"/>
          <w:color w:val="080C0F" w:themeColor="text1"/>
          <w:sz w:val="60"/>
          <w:szCs w:val="32"/>
        </w:rPr>
      </w:pPr>
      <w:r w:rsidRPr="00730DE4">
        <w:br w:type="page"/>
      </w:r>
    </w:p>
    <w:p w14:paraId="17CD4055" w14:textId="6A994258" w:rsidR="00DF71F3" w:rsidRPr="00730DE4" w:rsidRDefault="00DF71F3" w:rsidP="00DF71F3">
      <w:pPr>
        <w:pStyle w:val="Heading2"/>
      </w:pPr>
      <w:bookmarkStart w:id="75" w:name="_Toc180490460"/>
      <w:bookmarkStart w:id="76" w:name="_Toc180491493"/>
      <w:r w:rsidRPr="00730DE4">
        <w:lastRenderedPageBreak/>
        <w:t>Department of Transport and Main Roads Strategic Plan</w:t>
      </w:r>
      <w:r w:rsidRPr="00730DE4">
        <w:br/>
        <w:t>2023–2027</w:t>
      </w:r>
      <w:bookmarkEnd w:id="75"/>
      <w:bookmarkEnd w:id="76"/>
    </w:p>
    <w:p w14:paraId="3829CA82" w14:textId="77777777" w:rsidR="00DF71F3" w:rsidRPr="00730DE4" w:rsidRDefault="00DF71F3" w:rsidP="00DF71F3">
      <w:pPr>
        <w:pStyle w:val="Heading3"/>
      </w:pPr>
      <w:bookmarkStart w:id="77" w:name="_Toc180487255"/>
      <w:bookmarkStart w:id="78" w:name="_Toc180490461"/>
      <w:bookmarkStart w:id="79" w:name="_Toc180491494"/>
      <w:r w:rsidRPr="00730DE4">
        <w:t>Creating a single integrated network accessible to everyone</w:t>
      </w:r>
      <w:bookmarkEnd w:id="77"/>
      <w:bookmarkEnd w:id="78"/>
      <w:bookmarkEnd w:id="79"/>
    </w:p>
    <w:p w14:paraId="364AA319" w14:textId="77777777" w:rsidR="00DF71F3" w:rsidRPr="00730DE4" w:rsidRDefault="00DF71F3" w:rsidP="00DF71F3">
      <w:pPr>
        <w:pStyle w:val="ListBullet"/>
      </w:pPr>
      <w:r w:rsidRPr="00730DE4">
        <w:t>Accessible and integrated</w:t>
      </w:r>
    </w:p>
    <w:p w14:paraId="685FCB59" w14:textId="77777777" w:rsidR="00DF71F3" w:rsidRPr="00730DE4" w:rsidRDefault="00DF71F3" w:rsidP="00DF71F3">
      <w:pPr>
        <w:pStyle w:val="ListBullet"/>
      </w:pPr>
      <w:r w:rsidRPr="00730DE4">
        <w:t>Safe and secure</w:t>
      </w:r>
    </w:p>
    <w:p w14:paraId="3E090A4C" w14:textId="77777777" w:rsidR="00DF71F3" w:rsidRPr="00730DE4" w:rsidRDefault="00DF71F3" w:rsidP="00DF71F3">
      <w:pPr>
        <w:pStyle w:val="ListBullet"/>
      </w:pPr>
      <w:r w:rsidRPr="00730DE4">
        <w:t>Responsive</w:t>
      </w:r>
    </w:p>
    <w:p w14:paraId="7BDCCDD6" w14:textId="77777777" w:rsidR="00DF71F3" w:rsidRPr="00730DE4" w:rsidRDefault="00DF71F3" w:rsidP="00DF71F3">
      <w:pPr>
        <w:pStyle w:val="ListBullet"/>
      </w:pPr>
      <w:r w:rsidRPr="00730DE4">
        <w:t>Efficient and productive</w:t>
      </w:r>
    </w:p>
    <w:p w14:paraId="60D18ED7" w14:textId="77777777" w:rsidR="00DF71F3" w:rsidRPr="00730DE4" w:rsidRDefault="00DF71F3" w:rsidP="00DF71F3">
      <w:pPr>
        <w:pStyle w:val="ListBullet"/>
      </w:pPr>
      <w:r w:rsidRPr="00730DE4">
        <w:t>Sustainable</w:t>
      </w:r>
    </w:p>
    <w:p w14:paraId="6261B0EF" w14:textId="77777777" w:rsidR="00DF71F3" w:rsidRPr="00730DE4" w:rsidRDefault="00DF71F3" w:rsidP="00DF71F3">
      <w:pPr>
        <w:pStyle w:val="ListBullet"/>
      </w:pPr>
      <w:r w:rsidRPr="00730DE4">
        <w:t>Digital economic contribution</w:t>
      </w:r>
    </w:p>
    <w:p w14:paraId="58CDB111" w14:textId="77777777" w:rsidR="00DF71F3" w:rsidRPr="00730DE4" w:rsidRDefault="00DF71F3" w:rsidP="00DF71F3">
      <w:pPr>
        <w:pStyle w:val="ListBullet"/>
      </w:pPr>
      <w:r w:rsidRPr="00730DE4">
        <w:t>Capable, adaptable and aligned</w:t>
      </w:r>
    </w:p>
    <w:p w14:paraId="660EB6C2" w14:textId="77777777" w:rsidR="00DF71F3" w:rsidRPr="00730DE4" w:rsidRDefault="00DF71F3" w:rsidP="00DF71F3">
      <w:r w:rsidRPr="00730DE4">
        <w:t>The Department of Transport and Main Roads (TMR) supports the government’s objectives for the community:</w:t>
      </w:r>
    </w:p>
    <w:p w14:paraId="5D862BA8" w14:textId="77777777" w:rsidR="00DF71F3" w:rsidRPr="00730DE4" w:rsidRDefault="00DF71F3" w:rsidP="00DF71F3">
      <w:pPr>
        <w:pStyle w:val="ListBullet"/>
      </w:pPr>
      <w:r w:rsidRPr="00730DE4">
        <w:rPr>
          <w:rStyle w:val="Strong"/>
        </w:rPr>
        <w:t>Good jobs:</w:t>
      </w:r>
      <w:r w:rsidRPr="00730DE4">
        <w:t xml:space="preserve"> Good, secure jobs in our traditional and emerging industries</w:t>
      </w:r>
    </w:p>
    <w:p w14:paraId="7F45BD8B" w14:textId="77777777" w:rsidR="00DF71F3" w:rsidRPr="00730DE4" w:rsidRDefault="00DF71F3" w:rsidP="00DF71F3">
      <w:pPr>
        <w:pStyle w:val="ListBullet"/>
      </w:pPr>
      <w:r w:rsidRPr="00730DE4">
        <w:rPr>
          <w:rStyle w:val="Strong"/>
        </w:rPr>
        <w:t>Better services:</w:t>
      </w:r>
      <w:r w:rsidRPr="00730DE4">
        <w:t xml:space="preserve"> Deliver even better services right across Queensland</w:t>
      </w:r>
    </w:p>
    <w:p w14:paraId="318584D1" w14:textId="77777777" w:rsidR="00DF71F3" w:rsidRPr="00730DE4" w:rsidRDefault="00DF71F3" w:rsidP="00DF71F3">
      <w:pPr>
        <w:pStyle w:val="ListBullet"/>
      </w:pPr>
      <w:r w:rsidRPr="00730DE4">
        <w:rPr>
          <w:rStyle w:val="Strong"/>
        </w:rPr>
        <w:t>Great lifestyle:</w:t>
      </w:r>
      <w:r w:rsidRPr="00730DE4">
        <w:t xml:space="preserve"> Protect and enhance our Queensland lifestyle as we grow.</w:t>
      </w:r>
    </w:p>
    <w:p w14:paraId="6A452190" w14:textId="77777777" w:rsidR="00DF71F3" w:rsidRPr="00730DE4" w:rsidRDefault="00DF71F3" w:rsidP="00DF71F3">
      <w:r w:rsidRPr="00730DE4">
        <w:t>The strategic plan is underpinned by the Transport Planning and Coordination Act and the Transport Coordination Plan 2017–2027.</w:t>
      </w:r>
    </w:p>
    <w:p w14:paraId="792570C5" w14:textId="77777777" w:rsidR="00DF71F3" w:rsidRPr="00730DE4" w:rsidRDefault="00DF71F3" w:rsidP="00DF71F3">
      <w:r w:rsidRPr="00730DE4">
        <w:t>Our commitment to Human Rights: We will respect, protect and promote human rights in our decision-making and actions.</w:t>
      </w:r>
    </w:p>
    <w:p w14:paraId="2C641F24" w14:textId="77777777" w:rsidR="00DF71F3" w:rsidRPr="00730DE4" w:rsidRDefault="00DF71F3" w:rsidP="00DF71F3">
      <w:pPr>
        <w:pStyle w:val="Heading3"/>
      </w:pPr>
      <w:bookmarkStart w:id="80" w:name="_Toc180487256"/>
      <w:bookmarkStart w:id="81" w:name="_Toc180490462"/>
      <w:bookmarkStart w:id="82" w:name="_Toc180491495"/>
      <w:r w:rsidRPr="00730DE4">
        <w:t>Our vision and purpose</w:t>
      </w:r>
      <w:bookmarkEnd w:id="80"/>
      <w:bookmarkEnd w:id="81"/>
      <w:bookmarkEnd w:id="82"/>
    </w:p>
    <w:p w14:paraId="180B7F5F" w14:textId="77777777" w:rsidR="00DF71F3" w:rsidRPr="00730DE4" w:rsidRDefault="00DF71F3" w:rsidP="00DF71F3">
      <w:r w:rsidRPr="00730DE4">
        <w:t>Creating a single integrated network accessible to everyone</w:t>
      </w:r>
    </w:p>
    <w:p w14:paraId="0C222A72" w14:textId="77777777" w:rsidR="00DF71F3" w:rsidRPr="00730DE4" w:rsidRDefault="00DF71F3" w:rsidP="00DF71F3">
      <w:pPr>
        <w:pStyle w:val="Heading3"/>
      </w:pPr>
      <w:bookmarkStart w:id="83" w:name="_Toc180487257"/>
      <w:bookmarkStart w:id="84" w:name="_Toc180490463"/>
      <w:bookmarkStart w:id="85" w:name="_Toc180491496"/>
      <w:r w:rsidRPr="00730DE4">
        <w:rPr>
          <w:rStyle w:val="Strong"/>
        </w:rPr>
        <w:t>Principle:</w:t>
      </w:r>
      <w:r w:rsidRPr="00730DE4">
        <w:t xml:space="preserve"> Accessible and integrated</w:t>
      </w:r>
      <w:bookmarkEnd w:id="83"/>
      <w:bookmarkEnd w:id="84"/>
      <w:bookmarkEnd w:id="85"/>
    </w:p>
    <w:p w14:paraId="15C2FD1B" w14:textId="77777777" w:rsidR="00DF71F3" w:rsidRPr="00730DE4" w:rsidRDefault="00DF71F3" w:rsidP="00DF71F3">
      <w:pPr>
        <w:pStyle w:val="Heading4"/>
      </w:pPr>
      <w:bookmarkStart w:id="86" w:name="_Toc180487258"/>
      <w:bookmarkStart w:id="87" w:name="_Toc180490464"/>
      <w:bookmarkStart w:id="88" w:name="_Toc180491497"/>
      <w:r w:rsidRPr="00730DE4">
        <w:t>Objective</w:t>
      </w:r>
      <w:bookmarkEnd w:id="86"/>
      <w:bookmarkEnd w:id="87"/>
      <w:bookmarkEnd w:id="88"/>
    </w:p>
    <w:p w14:paraId="7474B64B" w14:textId="77777777" w:rsidR="00DF71F3" w:rsidRPr="00730DE4" w:rsidRDefault="00DF71F3" w:rsidP="00DF71F3">
      <w:r w:rsidRPr="00730DE4">
        <w:t>A transport system that is accessible and connects customers and communities</w:t>
      </w:r>
    </w:p>
    <w:p w14:paraId="3C825202" w14:textId="77777777" w:rsidR="00DF71F3" w:rsidRPr="00730DE4" w:rsidRDefault="00DF71F3" w:rsidP="00DF71F3">
      <w:pPr>
        <w:pStyle w:val="Heading4"/>
      </w:pPr>
      <w:bookmarkStart w:id="89" w:name="_Toc180487259"/>
      <w:bookmarkStart w:id="90" w:name="_Toc180490465"/>
      <w:bookmarkStart w:id="91" w:name="_Toc180491498"/>
      <w:r w:rsidRPr="00730DE4">
        <w:lastRenderedPageBreak/>
        <w:t>Success looks like</w:t>
      </w:r>
      <w:bookmarkEnd w:id="89"/>
      <w:bookmarkEnd w:id="90"/>
      <w:bookmarkEnd w:id="91"/>
    </w:p>
    <w:p w14:paraId="6E90ECD1" w14:textId="77777777" w:rsidR="00DF71F3" w:rsidRPr="00730DE4" w:rsidRDefault="00DF71F3" w:rsidP="00DF71F3">
      <w:pPr>
        <w:pStyle w:val="ListBullet"/>
      </w:pPr>
      <w:r w:rsidRPr="00730DE4">
        <w:t>More accessible, integrated and inclusive transport services and infrastructure</w:t>
      </w:r>
    </w:p>
    <w:p w14:paraId="48DA02D0" w14:textId="77777777" w:rsidR="00DF71F3" w:rsidRPr="00730DE4" w:rsidRDefault="00DF71F3" w:rsidP="00DF71F3">
      <w:pPr>
        <w:pStyle w:val="ListBullet"/>
      </w:pPr>
      <w:r w:rsidRPr="00730DE4">
        <w:t>Increased social and economic participation through improved availability and ease of access to community services</w:t>
      </w:r>
    </w:p>
    <w:p w14:paraId="6EAACD30" w14:textId="77777777" w:rsidR="00DF71F3" w:rsidRPr="00730DE4" w:rsidRDefault="00DF71F3" w:rsidP="00DF71F3">
      <w:pPr>
        <w:pStyle w:val="ListBullet"/>
      </w:pPr>
      <w:r w:rsidRPr="00730DE4">
        <w:t>Increased transport options to reflect diverse community needs</w:t>
      </w:r>
    </w:p>
    <w:p w14:paraId="298E8C4C" w14:textId="77777777" w:rsidR="00DF71F3" w:rsidRPr="00730DE4" w:rsidRDefault="00DF71F3" w:rsidP="00DF71F3">
      <w:pPr>
        <w:pStyle w:val="ListBullet"/>
      </w:pPr>
      <w:r w:rsidRPr="00730DE4">
        <w:t>Better access to community services by First Nations people</w:t>
      </w:r>
    </w:p>
    <w:p w14:paraId="5CA8FBC6" w14:textId="77777777" w:rsidR="00DF71F3" w:rsidRPr="00730DE4" w:rsidRDefault="00DF71F3" w:rsidP="00DF71F3">
      <w:pPr>
        <w:pStyle w:val="Heading4"/>
      </w:pPr>
      <w:bookmarkStart w:id="92" w:name="_Toc180487260"/>
      <w:bookmarkStart w:id="93" w:name="_Toc180490466"/>
      <w:bookmarkStart w:id="94" w:name="_Toc180491499"/>
      <w:r w:rsidRPr="00730DE4">
        <w:t>Ways to get there</w:t>
      </w:r>
      <w:bookmarkEnd w:id="92"/>
      <w:bookmarkEnd w:id="93"/>
      <w:bookmarkEnd w:id="94"/>
    </w:p>
    <w:p w14:paraId="59CFD5A9" w14:textId="77777777" w:rsidR="00DF71F3" w:rsidRPr="00730DE4" w:rsidRDefault="00DF71F3" w:rsidP="00DF71F3">
      <w:pPr>
        <w:pStyle w:val="ListBullet"/>
      </w:pPr>
      <w:r w:rsidRPr="00730DE4">
        <w:t>Take a movement and place-based approach to transport planning, designing and operations</w:t>
      </w:r>
    </w:p>
    <w:p w14:paraId="1544A278" w14:textId="77777777" w:rsidR="00DF71F3" w:rsidRPr="00730DE4" w:rsidRDefault="00DF71F3" w:rsidP="00DF71F3">
      <w:pPr>
        <w:pStyle w:val="ListBullet"/>
      </w:pPr>
      <w:r w:rsidRPr="00730DE4">
        <w:t>Develop our partnerships with industry and government</w:t>
      </w:r>
    </w:p>
    <w:p w14:paraId="0519828E" w14:textId="77777777" w:rsidR="00DF71F3" w:rsidRPr="00730DE4" w:rsidRDefault="00DF71F3" w:rsidP="00DF71F3">
      <w:pPr>
        <w:pStyle w:val="ListBullet"/>
      </w:pPr>
      <w:r w:rsidRPr="00730DE4">
        <w:t>Strengthen our collaboration and co-design approach with our customers</w:t>
      </w:r>
    </w:p>
    <w:p w14:paraId="3EB23476" w14:textId="77777777" w:rsidR="00DF71F3" w:rsidRPr="00730DE4" w:rsidRDefault="00DF71F3" w:rsidP="00DF71F3">
      <w:pPr>
        <w:pStyle w:val="ListBullet"/>
      </w:pPr>
      <w:r w:rsidRPr="00730DE4">
        <w:t>Expand the application of universal design thinking</w:t>
      </w:r>
    </w:p>
    <w:p w14:paraId="55937985" w14:textId="77777777" w:rsidR="00DF71F3" w:rsidRPr="00730DE4" w:rsidRDefault="00DF71F3" w:rsidP="00DF71F3">
      <w:pPr>
        <w:pStyle w:val="ListBullet"/>
      </w:pPr>
      <w:r w:rsidRPr="00730DE4">
        <w:t>Harness emerging technologies and data to drive integration across the transport ecosystem</w:t>
      </w:r>
    </w:p>
    <w:p w14:paraId="15A9B750" w14:textId="77777777" w:rsidR="00DF71F3" w:rsidRPr="00730DE4" w:rsidRDefault="00DF71F3" w:rsidP="00DF71F3">
      <w:pPr>
        <w:pStyle w:val="ListBullet"/>
      </w:pPr>
      <w:r w:rsidRPr="00730DE4">
        <w:t>Enhance access and mobility throughout Queensland</w:t>
      </w:r>
    </w:p>
    <w:p w14:paraId="2AEA434B" w14:textId="77777777" w:rsidR="00DF71F3" w:rsidRPr="00730DE4" w:rsidRDefault="00DF71F3" w:rsidP="00DF71F3">
      <w:pPr>
        <w:pStyle w:val="ListBullet"/>
      </w:pPr>
      <w:r w:rsidRPr="00730DE4">
        <w:t>Use the government Champion Network for First Nations communities</w:t>
      </w:r>
    </w:p>
    <w:p w14:paraId="782455CE" w14:textId="77777777" w:rsidR="00DF71F3" w:rsidRPr="00730DE4" w:rsidRDefault="00DF71F3" w:rsidP="00DF71F3">
      <w:pPr>
        <w:pStyle w:val="Heading4"/>
      </w:pPr>
      <w:bookmarkStart w:id="95" w:name="_Toc180487261"/>
      <w:bookmarkStart w:id="96" w:name="_Toc180490467"/>
      <w:bookmarkStart w:id="97" w:name="_Toc180491500"/>
      <w:r w:rsidRPr="00730DE4">
        <w:t>Our contribution to the Queensland Government’s objectives for the community</w:t>
      </w:r>
      <w:bookmarkEnd w:id="95"/>
      <w:bookmarkEnd w:id="96"/>
      <w:bookmarkEnd w:id="97"/>
    </w:p>
    <w:p w14:paraId="24FCBD91" w14:textId="77777777" w:rsidR="00DF71F3" w:rsidRPr="00730DE4" w:rsidRDefault="00DF71F3" w:rsidP="00DF71F3">
      <w:pPr>
        <w:pStyle w:val="ListBullet"/>
      </w:pPr>
      <w:r w:rsidRPr="00730DE4">
        <w:t>Supporting jobs</w:t>
      </w:r>
    </w:p>
    <w:p w14:paraId="0F0135BA" w14:textId="77777777" w:rsidR="00DF71F3" w:rsidRPr="00730DE4" w:rsidRDefault="00DF71F3" w:rsidP="00DF71F3">
      <w:pPr>
        <w:pStyle w:val="ListBullet"/>
      </w:pPr>
      <w:r w:rsidRPr="00730DE4">
        <w:t>Connecting Queensland</w:t>
      </w:r>
    </w:p>
    <w:p w14:paraId="3C76D013" w14:textId="77777777" w:rsidR="00DF71F3" w:rsidRPr="00730DE4" w:rsidRDefault="00DF71F3" w:rsidP="00DF71F3">
      <w:pPr>
        <w:pStyle w:val="ListBullet"/>
      </w:pPr>
      <w:r w:rsidRPr="00730DE4">
        <w:t>Growing our regions</w:t>
      </w:r>
    </w:p>
    <w:p w14:paraId="351948E3" w14:textId="77777777" w:rsidR="00DF71F3" w:rsidRPr="00730DE4" w:rsidRDefault="00DF71F3" w:rsidP="00DF71F3">
      <w:pPr>
        <w:pStyle w:val="ListBullet"/>
      </w:pPr>
      <w:r w:rsidRPr="00730DE4">
        <w:t>Honouring and embracing our rich and ancient cultural history</w:t>
      </w:r>
    </w:p>
    <w:p w14:paraId="260DFA18" w14:textId="77777777" w:rsidR="00DF71F3" w:rsidRPr="00730DE4" w:rsidRDefault="00DF71F3" w:rsidP="00DF71F3">
      <w:pPr>
        <w:pStyle w:val="Heading3"/>
      </w:pPr>
      <w:bookmarkStart w:id="98" w:name="_Toc180487262"/>
      <w:bookmarkStart w:id="99" w:name="_Toc180490468"/>
      <w:bookmarkStart w:id="100" w:name="_Toc180491501"/>
      <w:r w:rsidRPr="00730DE4">
        <w:rPr>
          <w:rStyle w:val="Strong"/>
        </w:rPr>
        <w:t>Principle:</w:t>
      </w:r>
      <w:r w:rsidRPr="00730DE4">
        <w:t xml:space="preserve"> Safe and secure</w:t>
      </w:r>
      <w:bookmarkEnd w:id="98"/>
      <w:bookmarkEnd w:id="99"/>
      <w:bookmarkEnd w:id="100"/>
    </w:p>
    <w:p w14:paraId="01402518" w14:textId="77777777" w:rsidR="00DF71F3" w:rsidRPr="00730DE4" w:rsidRDefault="00DF71F3" w:rsidP="00DF71F3">
      <w:pPr>
        <w:pStyle w:val="Heading4"/>
      </w:pPr>
      <w:bookmarkStart w:id="101" w:name="_Toc180487263"/>
      <w:bookmarkStart w:id="102" w:name="_Toc180490469"/>
      <w:bookmarkStart w:id="103" w:name="_Toc180491502"/>
      <w:r w:rsidRPr="00730DE4">
        <w:t>Objective</w:t>
      </w:r>
      <w:bookmarkEnd w:id="101"/>
      <w:bookmarkEnd w:id="102"/>
      <w:bookmarkEnd w:id="103"/>
    </w:p>
    <w:p w14:paraId="14DBA9F1" w14:textId="77777777" w:rsidR="00DF71F3" w:rsidRPr="00730DE4" w:rsidRDefault="00DF71F3" w:rsidP="00DF71F3">
      <w:r w:rsidRPr="00730DE4">
        <w:t>A transport system that is safe and secure for customers and goods</w:t>
      </w:r>
    </w:p>
    <w:p w14:paraId="4A133A13" w14:textId="77777777" w:rsidR="00DF71F3" w:rsidRPr="00730DE4" w:rsidRDefault="00DF71F3" w:rsidP="00DF71F3">
      <w:pPr>
        <w:pStyle w:val="Heading4"/>
      </w:pPr>
      <w:bookmarkStart w:id="104" w:name="_Toc180487264"/>
      <w:bookmarkStart w:id="105" w:name="_Toc180490470"/>
      <w:bookmarkStart w:id="106" w:name="_Toc180491503"/>
      <w:r w:rsidRPr="00730DE4">
        <w:t>Success looks like</w:t>
      </w:r>
      <w:bookmarkEnd w:id="104"/>
      <w:bookmarkEnd w:id="105"/>
      <w:bookmarkEnd w:id="106"/>
    </w:p>
    <w:p w14:paraId="5EA7C0BB" w14:textId="77777777" w:rsidR="00DF71F3" w:rsidRPr="00730DE4" w:rsidRDefault="00DF71F3" w:rsidP="00DF71F3">
      <w:pPr>
        <w:pStyle w:val="ListBullet"/>
      </w:pPr>
      <w:r w:rsidRPr="00730DE4">
        <w:t>Improved safety and security for customers, systems and the transportation of goods</w:t>
      </w:r>
    </w:p>
    <w:p w14:paraId="6499B593" w14:textId="77777777" w:rsidR="00DF71F3" w:rsidRPr="00730DE4" w:rsidRDefault="00DF71F3" w:rsidP="00DF71F3">
      <w:pPr>
        <w:pStyle w:val="ListBullet"/>
      </w:pPr>
      <w:r w:rsidRPr="00730DE4">
        <w:t>Reduced transport related fatalities and injuries</w:t>
      </w:r>
    </w:p>
    <w:p w14:paraId="77D7BAF7" w14:textId="77777777" w:rsidR="00DF71F3" w:rsidRPr="00730DE4" w:rsidRDefault="00DF71F3" w:rsidP="00DF71F3">
      <w:pPr>
        <w:pStyle w:val="ListBullet"/>
      </w:pPr>
      <w:r w:rsidRPr="00730DE4">
        <w:t>Improved customer and community trust in the transport system</w:t>
      </w:r>
    </w:p>
    <w:p w14:paraId="2A2C8B85" w14:textId="77777777" w:rsidR="00DF71F3" w:rsidRPr="00730DE4" w:rsidRDefault="00DF71F3" w:rsidP="00DF71F3">
      <w:pPr>
        <w:pStyle w:val="Heading4"/>
      </w:pPr>
      <w:bookmarkStart w:id="107" w:name="_Toc180487265"/>
      <w:bookmarkStart w:id="108" w:name="_Toc180490471"/>
      <w:bookmarkStart w:id="109" w:name="_Toc180491504"/>
      <w:r w:rsidRPr="00730DE4">
        <w:lastRenderedPageBreak/>
        <w:t>Ways to get there</w:t>
      </w:r>
      <w:bookmarkEnd w:id="107"/>
      <w:bookmarkEnd w:id="108"/>
      <w:bookmarkEnd w:id="109"/>
    </w:p>
    <w:p w14:paraId="09F1357A" w14:textId="77777777" w:rsidR="00DF71F3" w:rsidRPr="00730DE4" w:rsidRDefault="00DF71F3" w:rsidP="00DF71F3">
      <w:pPr>
        <w:pStyle w:val="ListBullet"/>
      </w:pPr>
      <w:r w:rsidRPr="00730DE4">
        <w:t>Build on a safe system approach for transport safety</w:t>
      </w:r>
    </w:p>
    <w:p w14:paraId="059D39BA" w14:textId="77777777" w:rsidR="00DF71F3" w:rsidRPr="00730DE4" w:rsidRDefault="00DF71F3" w:rsidP="00DF71F3">
      <w:pPr>
        <w:pStyle w:val="ListBullet"/>
      </w:pPr>
      <w:r w:rsidRPr="00730DE4">
        <w:t>Educate the community on their role in safety</w:t>
      </w:r>
    </w:p>
    <w:p w14:paraId="7BBC5515" w14:textId="77777777" w:rsidR="00DF71F3" w:rsidRPr="00730DE4" w:rsidRDefault="00DF71F3" w:rsidP="00DF71F3">
      <w:pPr>
        <w:pStyle w:val="ListBullet"/>
      </w:pPr>
      <w:r w:rsidRPr="00730DE4">
        <w:t>Nurture partnerships to deliver a safe and secure transport system</w:t>
      </w:r>
    </w:p>
    <w:p w14:paraId="0318EF88" w14:textId="77777777" w:rsidR="00DF71F3" w:rsidRPr="00730DE4" w:rsidRDefault="00DF71F3" w:rsidP="00DF71F3">
      <w:pPr>
        <w:pStyle w:val="ListBullet"/>
      </w:pPr>
      <w:r w:rsidRPr="00730DE4">
        <w:t>Embed cyber security to protect information assets and personal data</w:t>
      </w:r>
    </w:p>
    <w:p w14:paraId="6EA9F345" w14:textId="77777777" w:rsidR="00DF71F3" w:rsidRPr="00730DE4" w:rsidRDefault="00DF71F3" w:rsidP="00DF71F3">
      <w:pPr>
        <w:pStyle w:val="Heading4"/>
      </w:pPr>
      <w:bookmarkStart w:id="110" w:name="_Toc180487266"/>
      <w:bookmarkStart w:id="111" w:name="_Toc180490472"/>
      <w:bookmarkStart w:id="112" w:name="_Toc180491505"/>
      <w:r w:rsidRPr="00730DE4">
        <w:t>Our contribution to the Queensland Government’s objectives for the community</w:t>
      </w:r>
      <w:bookmarkEnd w:id="110"/>
      <w:bookmarkEnd w:id="111"/>
      <w:bookmarkEnd w:id="112"/>
    </w:p>
    <w:p w14:paraId="08E6871F" w14:textId="77777777" w:rsidR="00DF71F3" w:rsidRPr="00730DE4" w:rsidRDefault="00DF71F3" w:rsidP="00DF71F3">
      <w:pPr>
        <w:pStyle w:val="ListBullet"/>
      </w:pPr>
      <w:r w:rsidRPr="00730DE4">
        <w:t>Backing our frontline services</w:t>
      </w:r>
    </w:p>
    <w:p w14:paraId="0EDA6DC8" w14:textId="77777777" w:rsidR="00DF71F3" w:rsidRPr="00730DE4" w:rsidRDefault="00DF71F3" w:rsidP="00DF71F3">
      <w:pPr>
        <w:pStyle w:val="ListBullet"/>
      </w:pPr>
      <w:r w:rsidRPr="00730DE4">
        <w:t>Keeping Queenslanders safe</w:t>
      </w:r>
    </w:p>
    <w:p w14:paraId="6CB24A00" w14:textId="77777777" w:rsidR="00DF71F3" w:rsidRPr="00730DE4" w:rsidRDefault="00DF71F3" w:rsidP="00DF71F3">
      <w:pPr>
        <w:pStyle w:val="ListBullet"/>
      </w:pPr>
      <w:r w:rsidRPr="00730DE4">
        <w:t>Building Queensland</w:t>
      </w:r>
    </w:p>
    <w:p w14:paraId="0ECDD29F" w14:textId="77777777" w:rsidR="00DF71F3" w:rsidRPr="00730DE4" w:rsidRDefault="00DF71F3" w:rsidP="00DF71F3">
      <w:pPr>
        <w:pStyle w:val="Heading3"/>
      </w:pPr>
      <w:bookmarkStart w:id="113" w:name="_Toc180487267"/>
      <w:bookmarkStart w:id="114" w:name="_Toc180490473"/>
      <w:bookmarkStart w:id="115" w:name="_Toc180491506"/>
      <w:r w:rsidRPr="00730DE4">
        <w:rPr>
          <w:rStyle w:val="Strong"/>
        </w:rPr>
        <w:t>Principle:</w:t>
      </w:r>
      <w:r w:rsidRPr="00730DE4">
        <w:t xml:space="preserve"> Responsive</w:t>
      </w:r>
      <w:bookmarkEnd w:id="113"/>
      <w:bookmarkEnd w:id="114"/>
      <w:bookmarkEnd w:id="115"/>
    </w:p>
    <w:p w14:paraId="0915D18A" w14:textId="77777777" w:rsidR="00DF71F3" w:rsidRPr="00730DE4" w:rsidRDefault="00DF71F3" w:rsidP="00DF71F3">
      <w:pPr>
        <w:pStyle w:val="Heading4"/>
      </w:pPr>
      <w:bookmarkStart w:id="116" w:name="_Toc180487268"/>
      <w:bookmarkStart w:id="117" w:name="_Toc180490474"/>
      <w:bookmarkStart w:id="118" w:name="_Toc180491507"/>
      <w:r w:rsidRPr="00730DE4">
        <w:t>Objective</w:t>
      </w:r>
      <w:bookmarkEnd w:id="116"/>
      <w:bookmarkEnd w:id="117"/>
      <w:bookmarkEnd w:id="118"/>
    </w:p>
    <w:p w14:paraId="25146251" w14:textId="77777777" w:rsidR="00DF71F3" w:rsidRPr="00730DE4" w:rsidRDefault="00DF71F3" w:rsidP="00DF71F3">
      <w:r w:rsidRPr="00730DE4">
        <w:t>A transport system that is responsive and resilient to the changing environment</w:t>
      </w:r>
    </w:p>
    <w:p w14:paraId="1A0C8655" w14:textId="77777777" w:rsidR="00DF71F3" w:rsidRPr="00730DE4" w:rsidRDefault="00DF71F3" w:rsidP="00DF71F3">
      <w:pPr>
        <w:pStyle w:val="Heading4"/>
      </w:pPr>
      <w:bookmarkStart w:id="119" w:name="_Toc180487269"/>
      <w:bookmarkStart w:id="120" w:name="_Toc180490475"/>
      <w:bookmarkStart w:id="121" w:name="_Toc180491508"/>
      <w:r w:rsidRPr="00730DE4">
        <w:t>Success looks like</w:t>
      </w:r>
      <w:bookmarkEnd w:id="119"/>
      <w:bookmarkEnd w:id="120"/>
      <w:bookmarkEnd w:id="121"/>
    </w:p>
    <w:p w14:paraId="6D8A3A9A" w14:textId="77777777" w:rsidR="00DF71F3" w:rsidRPr="00730DE4" w:rsidRDefault="00DF71F3" w:rsidP="00DF71F3">
      <w:pPr>
        <w:pStyle w:val="ListBullet"/>
      </w:pPr>
      <w:r w:rsidRPr="00730DE4">
        <w:t>Improved operations and reliability of the transport system</w:t>
      </w:r>
    </w:p>
    <w:p w14:paraId="6AF709F9" w14:textId="77777777" w:rsidR="00DF71F3" w:rsidRPr="00730DE4" w:rsidRDefault="00DF71F3" w:rsidP="00DF71F3">
      <w:pPr>
        <w:pStyle w:val="ListBullet"/>
      </w:pPr>
      <w:r w:rsidRPr="00730DE4">
        <w:t>Responsive to unplanned events and opportunities</w:t>
      </w:r>
    </w:p>
    <w:p w14:paraId="2246822E" w14:textId="77777777" w:rsidR="00DF71F3" w:rsidRPr="00730DE4" w:rsidRDefault="00DF71F3" w:rsidP="00DF71F3">
      <w:pPr>
        <w:pStyle w:val="ListBullet"/>
      </w:pPr>
      <w:r w:rsidRPr="00730DE4">
        <w:t>Improved customer experience for all transport users</w:t>
      </w:r>
    </w:p>
    <w:p w14:paraId="05FCE7C5" w14:textId="77777777" w:rsidR="00DF71F3" w:rsidRPr="00730DE4" w:rsidRDefault="00DF71F3" w:rsidP="00DF71F3">
      <w:pPr>
        <w:pStyle w:val="Heading4"/>
      </w:pPr>
      <w:bookmarkStart w:id="122" w:name="_Toc180487270"/>
      <w:bookmarkStart w:id="123" w:name="_Toc180490476"/>
      <w:bookmarkStart w:id="124" w:name="_Toc180491509"/>
      <w:r w:rsidRPr="00730DE4">
        <w:t>Ways to get there</w:t>
      </w:r>
      <w:bookmarkEnd w:id="122"/>
      <w:bookmarkEnd w:id="123"/>
      <w:bookmarkEnd w:id="124"/>
    </w:p>
    <w:p w14:paraId="525427DD" w14:textId="77777777" w:rsidR="00DF71F3" w:rsidRPr="00730DE4" w:rsidRDefault="00DF71F3" w:rsidP="00DF71F3">
      <w:pPr>
        <w:pStyle w:val="ListBullet"/>
      </w:pPr>
      <w:r w:rsidRPr="00730DE4">
        <w:t>Continue to proactively manage network disruptions and disaster recovery</w:t>
      </w:r>
    </w:p>
    <w:p w14:paraId="018A2514" w14:textId="77777777" w:rsidR="00DF71F3" w:rsidRPr="00730DE4" w:rsidRDefault="00DF71F3" w:rsidP="00DF71F3">
      <w:pPr>
        <w:pStyle w:val="ListBullet"/>
      </w:pPr>
      <w:r w:rsidRPr="00730DE4">
        <w:t>Build on operational excellence and local planning of services to enhance network resilience</w:t>
      </w:r>
    </w:p>
    <w:p w14:paraId="2BBD10F0" w14:textId="77777777" w:rsidR="00DF71F3" w:rsidRPr="00730DE4" w:rsidRDefault="00DF71F3" w:rsidP="00DF71F3">
      <w:pPr>
        <w:pStyle w:val="ListBullet"/>
      </w:pPr>
      <w:r w:rsidRPr="00730DE4">
        <w:t>Continue to invest in relevant frontline workforce capability</w:t>
      </w:r>
    </w:p>
    <w:p w14:paraId="0F3F8229" w14:textId="77777777" w:rsidR="00DF71F3" w:rsidRPr="00730DE4" w:rsidRDefault="00DF71F3" w:rsidP="00DF71F3">
      <w:pPr>
        <w:pStyle w:val="ListBullet"/>
      </w:pPr>
      <w:r w:rsidRPr="00730DE4">
        <w:t>Build our multi-modal network management capability</w:t>
      </w:r>
    </w:p>
    <w:p w14:paraId="12711C00" w14:textId="77777777" w:rsidR="00DF71F3" w:rsidRPr="00730DE4" w:rsidRDefault="00DF71F3" w:rsidP="00DF71F3">
      <w:pPr>
        <w:pStyle w:val="ListBullet"/>
      </w:pPr>
      <w:r w:rsidRPr="00730DE4">
        <w:t>Enable, support and regulate emerging technologies to enhance mobility services</w:t>
      </w:r>
    </w:p>
    <w:p w14:paraId="184BF791" w14:textId="77777777" w:rsidR="00DF71F3" w:rsidRPr="00730DE4" w:rsidRDefault="00DF71F3" w:rsidP="00DF71F3">
      <w:pPr>
        <w:pStyle w:val="ListBullet"/>
      </w:pPr>
      <w:r w:rsidRPr="00730DE4">
        <w:t>Commit to continuous improvement in our services, communications and digital capabilities</w:t>
      </w:r>
    </w:p>
    <w:p w14:paraId="686BE7BC" w14:textId="63BE8630" w:rsidR="00EA1647" w:rsidRDefault="00DF71F3" w:rsidP="00DF71F3">
      <w:pPr>
        <w:pStyle w:val="ListBullet"/>
      </w:pPr>
      <w:r w:rsidRPr="00730DE4">
        <w:t>Adopt a whole-of-system perspective when designing the transport system</w:t>
      </w:r>
      <w:r w:rsidR="00EA1647">
        <w:br w:type="page"/>
      </w:r>
    </w:p>
    <w:p w14:paraId="08D81184" w14:textId="110ADA78" w:rsidR="00DF71F3" w:rsidRPr="00730DE4" w:rsidRDefault="00DF71F3" w:rsidP="00DF71F3">
      <w:pPr>
        <w:pStyle w:val="Heading4"/>
      </w:pPr>
      <w:bookmarkStart w:id="125" w:name="_Toc180487271"/>
      <w:bookmarkStart w:id="126" w:name="_Toc180490477"/>
      <w:bookmarkStart w:id="127" w:name="_Toc180491510"/>
      <w:r w:rsidRPr="00730DE4">
        <w:lastRenderedPageBreak/>
        <w:t>Our contribution to the Queensland Government’s objectives for the community</w:t>
      </w:r>
      <w:bookmarkEnd w:id="125"/>
      <w:bookmarkEnd w:id="126"/>
      <w:bookmarkEnd w:id="127"/>
    </w:p>
    <w:p w14:paraId="6424A235" w14:textId="77777777" w:rsidR="00DF71F3" w:rsidRPr="00730DE4" w:rsidRDefault="00DF71F3" w:rsidP="00DF71F3">
      <w:pPr>
        <w:pStyle w:val="ListBullet"/>
      </w:pPr>
      <w:r w:rsidRPr="00730DE4">
        <w:t>Supporting jobs</w:t>
      </w:r>
    </w:p>
    <w:p w14:paraId="6C6FC05D" w14:textId="77777777" w:rsidR="00DF71F3" w:rsidRPr="00730DE4" w:rsidRDefault="00DF71F3" w:rsidP="00DF71F3">
      <w:pPr>
        <w:pStyle w:val="ListBullet"/>
      </w:pPr>
      <w:r w:rsidRPr="00730DE4">
        <w:t>Making it for Queensland Investing in skills</w:t>
      </w:r>
    </w:p>
    <w:p w14:paraId="1633AC52" w14:textId="77777777" w:rsidR="00DF71F3" w:rsidRPr="00730DE4" w:rsidRDefault="00DF71F3" w:rsidP="00DF71F3">
      <w:pPr>
        <w:pStyle w:val="ListBullet"/>
      </w:pPr>
      <w:r w:rsidRPr="00730DE4">
        <w:t>Backing our frontline services</w:t>
      </w:r>
    </w:p>
    <w:p w14:paraId="57667511" w14:textId="77777777" w:rsidR="00DF71F3" w:rsidRPr="00730DE4" w:rsidRDefault="00DF71F3" w:rsidP="00DF71F3">
      <w:pPr>
        <w:pStyle w:val="ListBullet"/>
      </w:pPr>
      <w:r w:rsidRPr="00730DE4">
        <w:t>Connecting Queensland</w:t>
      </w:r>
    </w:p>
    <w:p w14:paraId="10A5FE9F" w14:textId="77777777" w:rsidR="00DF71F3" w:rsidRPr="00730DE4" w:rsidRDefault="00DF71F3" w:rsidP="00DF71F3">
      <w:pPr>
        <w:pStyle w:val="ListBullet"/>
      </w:pPr>
      <w:r w:rsidRPr="00730DE4">
        <w:t>Protecting the environment</w:t>
      </w:r>
    </w:p>
    <w:p w14:paraId="4B25CD63" w14:textId="77777777" w:rsidR="00DF71F3" w:rsidRPr="00730DE4" w:rsidRDefault="00DF71F3" w:rsidP="00DF71F3">
      <w:pPr>
        <w:pStyle w:val="Heading3"/>
      </w:pPr>
      <w:bookmarkStart w:id="128" w:name="_Toc180487272"/>
      <w:bookmarkStart w:id="129" w:name="_Toc180490478"/>
      <w:bookmarkStart w:id="130" w:name="_Toc180491511"/>
      <w:r w:rsidRPr="00730DE4">
        <w:rPr>
          <w:rStyle w:val="Strong"/>
        </w:rPr>
        <w:t>Principle:</w:t>
      </w:r>
      <w:r w:rsidRPr="00730DE4">
        <w:t xml:space="preserve"> Efficient and productive</w:t>
      </w:r>
      <w:bookmarkEnd w:id="128"/>
      <w:bookmarkEnd w:id="129"/>
      <w:bookmarkEnd w:id="130"/>
    </w:p>
    <w:p w14:paraId="04452E94" w14:textId="77777777" w:rsidR="00DF71F3" w:rsidRPr="00730DE4" w:rsidRDefault="00DF71F3" w:rsidP="00DF71F3">
      <w:pPr>
        <w:pStyle w:val="Heading4"/>
      </w:pPr>
      <w:bookmarkStart w:id="131" w:name="_Toc180487273"/>
      <w:bookmarkStart w:id="132" w:name="_Toc180490479"/>
      <w:bookmarkStart w:id="133" w:name="_Toc180491512"/>
      <w:r w:rsidRPr="00730DE4">
        <w:t>Objective</w:t>
      </w:r>
      <w:bookmarkEnd w:id="131"/>
      <w:bookmarkEnd w:id="132"/>
      <w:bookmarkEnd w:id="133"/>
    </w:p>
    <w:p w14:paraId="6D188E8C" w14:textId="77777777" w:rsidR="00DF71F3" w:rsidRPr="00730DE4" w:rsidRDefault="00DF71F3" w:rsidP="00DF71F3">
      <w:r w:rsidRPr="00730DE4">
        <w:t>A transport system that is a key enabler of economic activity</w:t>
      </w:r>
    </w:p>
    <w:p w14:paraId="62218632" w14:textId="77777777" w:rsidR="00DF71F3" w:rsidRPr="00730DE4" w:rsidRDefault="00DF71F3" w:rsidP="00DF71F3">
      <w:pPr>
        <w:pStyle w:val="Heading4"/>
      </w:pPr>
      <w:bookmarkStart w:id="134" w:name="_Toc180487274"/>
      <w:bookmarkStart w:id="135" w:name="_Toc180490480"/>
      <w:bookmarkStart w:id="136" w:name="_Toc180491513"/>
      <w:r w:rsidRPr="00730DE4">
        <w:t>Success looks like</w:t>
      </w:r>
      <w:bookmarkEnd w:id="134"/>
      <w:bookmarkEnd w:id="135"/>
      <w:bookmarkEnd w:id="136"/>
    </w:p>
    <w:p w14:paraId="3B261763" w14:textId="77777777" w:rsidR="00DF71F3" w:rsidRPr="00730DE4" w:rsidRDefault="00DF71F3" w:rsidP="00DF71F3">
      <w:pPr>
        <w:pStyle w:val="ListBullet"/>
      </w:pPr>
      <w:r w:rsidRPr="00730DE4">
        <w:t>Increased efficiency and reliability in the movement of goods and services</w:t>
      </w:r>
    </w:p>
    <w:p w14:paraId="3F5C0808" w14:textId="77777777" w:rsidR="00DF71F3" w:rsidRPr="00730DE4" w:rsidRDefault="00DF71F3" w:rsidP="00DF71F3">
      <w:pPr>
        <w:pStyle w:val="ListBullet"/>
      </w:pPr>
      <w:r w:rsidRPr="00730DE4">
        <w:t>Increased procurement from small businesses and First Nations suppliers</w:t>
      </w:r>
    </w:p>
    <w:p w14:paraId="48ACF74B" w14:textId="77777777" w:rsidR="00DF71F3" w:rsidRPr="00730DE4" w:rsidRDefault="00DF71F3" w:rsidP="00DF71F3">
      <w:pPr>
        <w:pStyle w:val="ListBullet"/>
      </w:pPr>
      <w:r w:rsidRPr="00730DE4">
        <w:t>Improved access to local, national and overseas markets for Queensland businesses</w:t>
      </w:r>
    </w:p>
    <w:p w14:paraId="2E97D0AA" w14:textId="77777777" w:rsidR="00DF71F3" w:rsidRPr="00730DE4" w:rsidRDefault="00DF71F3" w:rsidP="00DF71F3">
      <w:pPr>
        <w:pStyle w:val="ListBullet"/>
      </w:pPr>
      <w:r w:rsidRPr="00730DE4">
        <w:t>Increased long-term social and economic outcomes for local and First Nations communities</w:t>
      </w:r>
    </w:p>
    <w:p w14:paraId="112CCA20" w14:textId="77777777" w:rsidR="00DF71F3" w:rsidRPr="00730DE4" w:rsidRDefault="00DF71F3" w:rsidP="00DF71F3">
      <w:pPr>
        <w:pStyle w:val="ListBullet"/>
      </w:pPr>
      <w:r w:rsidRPr="00730DE4">
        <w:t>Increased adoption of innovative funding and resourcing models</w:t>
      </w:r>
    </w:p>
    <w:p w14:paraId="7E52E239" w14:textId="77777777" w:rsidR="00DF71F3" w:rsidRPr="00730DE4" w:rsidRDefault="00DF71F3" w:rsidP="00DF71F3">
      <w:pPr>
        <w:pStyle w:val="Heading4"/>
      </w:pPr>
      <w:bookmarkStart w:id="137" w:name="_Toc180487275"/>
      <w:bookmarkStart w:id="138" w:name="_Toc180490481"/>
      <w:bookmarkStart w:id="139" w:name="_Toc180491514"/>
      <w:r w:rsidRPr="00730DE4">
        <w:t>Ways to get there</w:t>
      </w:r>
      <w:bookmarkEnd w:id="137"/>
      <w:bookmarkEnd w:id="138"/>
      <w:bookmarkEnd w:id="139"/>
    </w:p>
    <w:p w14:paraId="4CBD922D" w14:textId="77777777" w:rsidR="00DF71F3" w:rsidRPr="00730DE4" w:rsidRDefault="00DF71F3" w:rsidP="00DF71F3">
      <w:pPr>
        <w:pStyle w:val="ListBullet"/>
      </w:pPr>
      <w:r w:rsidRPr="00730DE4">
        <w:t>Invest in infrastructure and services delivered in partnership with industry</w:t>
      </w:r>
    </w:p>
    <w:p w14:paraId="1F9DB0BA" w14:textId="77777777" w:rsidR="00DF71F3" w:rsidRPr="00730DE4" w:rsidRDefault="00DF71F3" w:rsidP="00DF71F3">
      <w:pPr>
        <w:pStyle w:val="ListBullet"/>
      </w:pPr>
      <w:r w:rsidRPr="00730DE4">
        <w:t>Maintain assets efficiently to maximise productivity</w:t>
      </w:r>
    </w:p>
    <w:p w14:paraId="7F918404" w14:textId="77777777" w:rsidR="00DF71F3" w:rsidRPr="00730DE4" w:rsidRDefault="00DF71F3" w:rsidP="00DF71F3">
      <w:pPr>
        <w:pStyle w:val="ListBullet"/>
      </w:pPr>
      <w:r w:rsidRPr="00730DE4">
        <w:t>Invest in research to lower capital and operational costs</w:t>
      </w:r>
    </w:p>
    <w:p w14:paraId="0C82935A" w14:textId="77777777" w:rsidR="00DF71F3" w:rsidRPr="00730DE4" w:rsidRDefault="00DF71F3" w:rsidP="00DF71F3">
      <w:pPr>
        <w:pStyle w:val="ListBullet"/>
      </w:pPr>
      <w:r w:rsidRPr="00730DE4">
        <w:t>Integrated and coordinated approach to prioritise investment in high-value projects</w:t>
      </w:r>
    </w:p>
    <w:p w14:paraId="085BADF4" w14:textId="77777777" w:rsidR="00DF71F3" w:rsidRPr="00730DE4" w:rsidRDefault="00DF71F3" w:rsidP="00DF71F3">
      <w:pPr>
        <w:pStyle w:val="ListBullet"/>
      </w:pPr>
      <w:r w:rsidRPr="00730DE4">
        <w:t>Increase the use of rail freight along strategic corridors</w:t>
      </w:r>
    </w:p>
    <w:p w14:paraId="402D1D57" w14:textId="77777777" w:rsidR="00DF71F3" w:rsidRPr="00730DE4" w:rsidRDefault="00DF71F3" w:rsidP="00DF71F3">
      <w:pPr>
        <w:pStyle w:val="ListBullet"/>
      </w:pPr>
      <w:r w:rsidRPr="00730DE4">
        <w:t>Embrace smart planning and innovative financing</w:t>
      </w:r>
    </w:p>
    <w:p w14:paraId="1DCB792F" w14:textId="77777777" w:rsidR="00DF71F3" w:rsidRPr="00730DE4" w:rsidRDefault="00DF71F3" w:rsidP="00DF71F3">
      <w:pPr>
        <w:pStyle w:val="ListBullet"/>
      </w:pPr>
      <w:r w:rsidRPr="00730DE4">
        <w:t>Leverage digital opportunities to deliver innovative services</w:t>
      </w:r>
    </w:p>
    <w:p w14:paraId="277C9300" w14:textId="362FD499" w:rsidR="00EA1647" w:rsidRDefault="00DF71F3" w:rsidP="00DF71F3">
      <w:pPr>
        <w:pStyle w:val="ListBullet"/>
      </w:pPr>
      <w:r w:rsidRPr="00730DE4">
        <w:t>Streamline back-office services and management practices</w:t>
      </w:r>
      <w:r w:rsidR="00EA1647">
        <w:br w:type="page"/>
      </w:r>
    </w:p>
    <w:p w14:paraId="476D2DCB" w14:textId="149B5E47" w:rsidR="00DF71F3" w:rsidRPr="00730DE4" w:rsidRDefault="00DF71F3" w:rsidP="00DF71F3">
      <w:pPr>
        <w:pStyle w:val="Heading4"/>
      </w:pPr>
      <w:bookmarkStart w:id="140" w:name="_Toc180487276"/>
      <w:bookmarkStart w:id="141" w:name="_Toc180490482"/>
      <w:bookmarkStart w:id="142" w:name="_Toc180491515"/>
      <w:r w:rsidRPr="00730DE4">
        <w:lastRenderedPageBreak/>
        <w:t>Our contribution to the Queensland Government’s objectives for the community</w:t>
      </w:r>
      <w:bookmarkEnd w:id="140"/>
      <w:bookmarkEnd w:id="141"/>
      <w:bookmarkEnd w:id="142"/>
    </w:p>
    <w:p w14:paraId="4282AC4C" w14:textId="77777777" w:rsidR="00DF71F3" w:rsidRPr="00730DE4" w:rsidRDefault="00DF71F3" w:rsidP="00DF71F3">
      <w:pPr>
        <w:pStyle w:val="ListBullet"/>
      </w:pPr>
      <w:r w:rsidRPr="00730DE4">
        <w:t>Supporting jobs</w:t>
      </w:r>
    </w:p>
    <w:p w14:paraId="2A18BA80" w14:textId="77777777" w:rsidR="00DF71F3" w:rsidRPr="00730DE4" w:rsidRDefault="00DF71F3" w:rsidP="00DF71F3">
      <w:pPr>
        <w:pStyle w:val="ListBullet"/>
      </w:pPr>
      <w:r w:rsidRPr="00730DE4">
        <w:t>Backing small business</w:t>
      </w:r>
    </w:p>
    <w:p w14:paraId="11B780A4" w14:textId="77777777" w:rsidR="00DF71F3" w:rsidRPr="00730DE4" w:rsidRDefault="00DF71F3" w:rsidP="00DF71F3">
      <w:pPr>
        <w:pStyle w:val="ListBullet"/>
      </w:pPr>
      <w:r w:rsidRPr="00730DE4">
        <w:t>Connecting Queensland</w:t>
      </w:r>
    </w:p>
    <w:p w14:paraId="47CED9A3" w14:textId="77777777" w:rsidR="00DF71F3" w:rsidRPr="00730DE4" w:rsidRDefault="00DF71F3" w:rsidP="00DF71F3">
      <w:pPr>
        <w:pStyle w:val="ListBullet"/>
      </w:pPr>
      <w:r w:rsidRPr="00730DE4">
        <w:t>Growing our regions</w:t>
      </w:r>
    </w:p>
    <w:p w14:paraId="658015AF" w14:textId="77777777" w:rsidR="00DF71F3" w:rsidRPr="00730DE4" w:rsidRDefault="00DF71F3" w:rsidP="00DF71F3">
      <w:pPr>
        <w:pStyle w:val="ListBullet"/>
      </w:pPr>
      <w:r w:rsidRPr="00730DE4">
        <w:t>Building Queensland</w:t>
      </w:r>
    </w:p>
    <w:p w14:paraId="7DCCC1BF" w14:textId="77777777" w:rsidR="00DF71F3" w:rsidRPr="00730DE4" w:rsidRDefault="00DF71F3" w:rsidP="00DF71F3">
      <w:pPr>
        <w:pStyle w:val="Heading3"/>
      </w:pPr>
      <w:bookmarkStart w:id="143" w:name="_Toc180487277"/>
      <w:bookmarkStart w:id="144" w:name="_Toc180490483"/>
      <w:bookmarkStart w:id="145" w:name="_Toc180491516"/>
      <w:r w:rsidRPr="00730DE4">
        <w:rPr>
          <w:rStyle w:val="Strong"/>
        </w:rPr>
        <w:t>Principle:</w:t>
      </w:r>
      <w:r w:rsidRPr="00730DE4">
        <w:t xml:space="preserve"> Sustainable</w:t>
      </w:r>
      <w:bookmarkEnd w:id="143"/>
      <w:bookmarkEnd w:id="144"/>
      <w:bookmarkEnd w:id="145"/>
    </w:p>
    <w:p w14:paraId="3331C129" w14:textId="77777777" w:rsidR="00DF71F3" w:rsidRPr="00730DE4" w:rsidRDefault="00DF71F3" w:rsidP="00DF71F3">
      <w:pPr>
        <w:pStyle w:val="Heading4"/>
      </w:pPr>
      <w:bookmarkStart w:id="146" w:name="_Toc180487278"/>
      <w:bookmarkStart w:id="147" w:name="_Toc180490484"/>
      <w:bookmarkStart w:id="148" w:name="_Toc180491517"/>
      <w:r w:rsidRPr="00730DE4">
        <w:t>Objective</w:t>
      </w:r>
      <w:bookmarkEnd w:id="146"/>
      <w:bookmarkEnd w:id="147"/>
      <w:bookmarkEnd w:id="148"/>
    </w:p>
    <w:p w14:paraId="16CC16A4" w14:textId="77777777" w:rsidR="00DF71F3" w:rsidRPr="00730DE4" w:rsidRDefault="00DF71F3" w:rsidP="00DF71F3">
      <w:r w:rsidRPr="00730DE4">
        <w:t>A transport system that contributes to environmental, economic and social sustainability</w:t>
      </w:r>
    </w:p>
    <w:p w14:paraId="2E8D55C4" w14:textId="77777777" w:rsidR="00DF71F3" w:rsidRPr="00730DE4" w:rsidRDefault="00DF71F3" w:rsidP="00DF71F3">
      <w:pPr>
        <w:pStyle w:val="Heading4"/>
      </w:pPr>
      <w:bookmarkStart w:id="149" w:name="_Toc180487279"/>
      <w:bookmarkStart w:id="150" w:name="_Toc180490485"/>
      <w:bookmarkStart w:id="151" w:name="_Toc180491518"/>
      <w:r w:rsidRPr="00730DE4">
        <w:t>Success looks like</w:t>
      </w:r>
      <w:bookmarkEnd w:id="149"/>
      <w:bookmarkEnd w:id="150"/>
      <w:bookmarkEnd w:id="151"/>
    </w:p>
    <w:p w14:paraId="7F1FFEEA" w14:textId="77777777" w:rsidR="00DF71F3" w:rsidRPr="00730DE4" w:rsidRDefault="00DF71F3" w:rsidP="00DF71F3">
      <w:pPr>
        <w:pStyle w:val="ListBullet"/>
      </w:pPr>
      <w:r w:rsidRPr="00730DE4">
        <w:t>Recognised as a transport industry leader in sustainability</w:t>
      </w:r>
    </w:p>
    <w:p w14:paraId="0983587D" w14:textId="77777777" w:rsidR="00DF71F3" w:rsidRPr="00730DE4" w:rsidRDefault="00DF71F3" w:rsidP="00DF71F3">
      <w:pPr>
        <w:pStyle w:val="ListBullet"/>
      </w:pPr>
      <w:r w:rsidRPr="00730DE4">
        <w:t>Reduced whole-of-life greenhouse emissions and adverse impact on the natural environment</w:t>
      </w:r>
    </w:p>
    <w:p w14:paraId="0EE66218" w14:textId="77777777" w:rsidR="00DF71F3" w:rsidRPr="00730DE4" w:rsidRDefault="00DF71F3" w:rsidP="00DF71F3">
      <w:pPr>
        <w:pStyle w:val="ListBullet"/>
      </w:pPr>
      <w:r w:rsidRPr="00730DE4">
        <w:t>Increased fiscal sustainability of the transport system</w:t>
      </w:r>
    </w:p>
    <w:p w14:paraId="374DEC6A" w14:textId="77777777" w:rsidR="00DF71F3" w:rsidRPr="00730DE4" w:rsidRDefault="00DF71F3" w:rsidP="00DF71F3">
      <w:pPr>
        <w:pStyle w:val="ListBullet"/>
      </w:pPr>
      <w:r w:rsidRPr="00730DE4">
        <w:t>Increased uptake of active and shared transport modes to improve health benefits</w:t>
      </w:r>
    </w:p>
    <w:p w14:paraId="4373731A" w14:textId="77777777" w:rsidR="00DF71F3" w:rsidRPr="00730DE4" w:rsidRDefault="00DF71F3" w:rsidP="00DF71F3">
      <w:pPr>
        <w:pStyle w:val="Heading4"/>
      </w:pPr>
      <w:bookmarkStart w:id="152" w:name="_Toc180487280"/>
      <w:bookmarkStart w:id="153" w:name="_Toc180490486"/>
      <w:bookmarkStart w:id="154" w:name="_Toc180491519"/>
      <w:r w:rsidRPr="00730DE4">
        <w:t>Ways to get there</w:t>
      </w:r>
      <w:bookmarkEnd w:id="152"/>
      <w:bookmarkEnd w:id="153"/>
      <w:bookmarkEnd w:id="154"/>
    </w:p>
    <w:p w14:paraId="3F13890F" w14:textId="77777777" w:rsidR="00DF71F3" w:rsidRPr="00730DE4" w:rsidRDefault="00DF71F3" w:rsidP="00DF71F3">
      <w:pPr>
        <w:pStyle w:val="ListBullet"/>
      </w:pPr>
      <w:r w:rsidRPr="00730DE4">
        <w:t>Embed sustainability in whole-of-life and whole-of-system decision making</w:t>
      </w:r>
    </w:p>
    <w:p w14:paraId="6B7DCB67" w14:textId="77777777" w:rsidR="00DF71F3" w:rsidRPr="00730DE4" w:rsidRDefault="00DF71F3" w:rsidP="00DF71F3">
      <w:pPr>
        <w:pStyle w:val="ListBullet"/>
      </w:pPr>
      <w:r w:rsidRPr="00730DE4">
        <w:t>Commit to low and zero emissions transport technologies, modes and materials where possible</w:t>
      </w:r>
    </w:p>
    <w:p w14:paraId="53F12F25" w14:textId="77777777" w:rsidR="00DF71F3" w:rsidRPr="00730DE4" w:rsidRDefault="00DF71F3" w:rsidP="00DF71F3">
      <w:pPr>
        <w:pStyle w:val="ListBullet"/>
      </w:pPr>
      <w:r w:rsidRPr="00730DE4">
        <w:t>Integrate circular economy principles into transport network design and delivery</w:t>
      </w:r>
    </w:p>
    <w:p w14:paraId="66AA7AAD" w14:textId="77777777" w:rsidR="00DF71F3" w:rsidRPr="00730DE4" w:rsidRDefault="00DF71F3" w:rsidP="00DF71F3">
      <w:pPr>
        <w:pStyle w:val="ListBullet"/>
      </w:pPr>
      <w:r w:rsidRPr="00730DE4">
        <w:t>Implement programs to encourage changes in customers’ travel and freight patterns</w:t>
      </w:r>
    </w:p>
    <w:p w14:paraId="35312FB1" w14:textId="77777777" w:rsidR="00DF71F3" w:rsidRPr="00730DE4" w:rsidRDefault="00DF71F3" w:rsidP="00DF71F3">
      <w:pPr>
        <w:pStyle w:val="ListBullet"/>
      </w:pPr>
      <w:r w:rsidRPr="00730DE4">
        <w:t>Increase investment in active and sustainable transport modes</w:t>
      </w:r>
    </w:p>
    <w:p w14:paraId="3AFF61E8" w14:textId="77777777" w:rsidR="00DF71F3" w:rsidRPr="00730DE4" w:rsidRDefault="00DF71F3" w:rsidP="00DF71F3">
      <w:pPr>
        <w:pStyle w:val="Heading4"/>
      </w:pPr>
      <w:bookmarkStart w:id="155" w:name="_Toc180487281"/>
      <w:bookmarkStart w:id="156" w:name="_Toc180490487"/>
      <w:bookmarkStart w:id="157" w:name="_Toc180491520"/>
      <w:r w:rsidRPr="00730DE4">
        <w:t>Our contribution to the Queensland Government’s objectives for the community</w:t>
      </w:r>
      <w:bookmarkEnd w:id="155"/>
      <w:bookmarkEnd w:id="156"/>
      <w:bookmarkEnd w:id="157"/>
    </w:p>
    <w:p w14:paraId="725BDB7E" w14:textId="77777777" w:rsidR="00DF71F3" w:rsidRPr="00730DE4" w:rsidRDefault="00DF71F3" w:rsidP="00DF71F3">
      <w:pPr>
        <w:pStyle w:val="ListBullet"/>
      </w:pPr>
      <w:r w:rsidRPr="00730DE4">
        <w:t>Making it for Queensland</w:t>
      </w:r>
    </w:p>
    <w:p w14:paraId="49006549" w14:textId="77777777" w:rsidR="00DF71F3" w:rsidRPr="00730DE4" w:rsidRDefault="00DF71F3" w:rsidP="00DF71F3">
      <w:pPr>
        <w:pStyle w:val="ListBullet"/>
      </w:pPr>
      <w:r w:rsidRPr="00730DE4">
        <w:t>Growing our regions</w:t>
      </w:r>
    </w:p>
    <w:p w14:paraId="2F3A8CBE" w14:textId="77777777" w:rsidR="00DF71F3" w:rsidRPr="00730DE4" w:rsidRDefault="00DF71F3" w:rsidP="00DF71F3">
      <w:pPr>
        <w:pStyle w:val="ListBullet"/>
      </w:pPr>
      <w:r w:rsidRPr="00730DE4">
        <w:t>Protecting the environment</w:t>
      </w:r>
    </w:p>
    <w:p w14:paraId="74362C16" w14:textId="77777777" w:rsidR="00DF71F3" w:rsidRPr="00730DE4" w:rsidRDefault="00DF71F3" w:rsidP="00DF71F3">
      <w:pPr>
        <w:pStyle w:val="ListBullet"/>
      </w:pPr>
      <w:r w:rsidRPr="00730DE4">
        <w:t>Building Queensland</w:t>
      </w:r>
    </w:p>
    <w:p w14:paraId="5D464ABE" w14:textId="77777777" w:rsidR="00DF71F3" w:rsidRPr="00730DE4" w:rsidRDefault="00DF71F3" w:rsidP="00DF71F3">
      <w:pPr>
        <w:pStyle w:val="Heading3"/>
      </w:pPr>
      <w:bookmarkStart w:id="158" w:name="_Toc180487282"/>
      <w:bookmarkStart w:id="159" w:name="_Toc180490488"/>
      <w:bookmarkStart w:id="160" w:name="_Toc180491521"/>
      <w:r w:rsidRPr="00730DE4">
        <w:rPr>
          <w:rStyle w:val="Strong"/>
        </w:rPr>
        <w:lastRenderedPageBreak/>
        <w:t>Principle:</w:t>
      </w:r>
      <w:r w:rsidRPr="00730DE4">
        <w:t xml:space="preserve"> Digital economic contribution</w:t>
      </w:r>
      <w:bookmarkEnd w:id="158"/>
      <w:bookmarkEnd w:id="159"/>
      <w:bookmarkEnd w:id="160"/>
    </w:p>
    <w:p w14:paraId="6CAE3383" w14:textId="77777777" w:rsidR="00DF71F3" w:rsidRPr="00730DE4" w:rsidRDefault="00DF71F3" w:rsidP="00DF71F3">
      <w:pPr>
        <w:pStyle w:val="Heading4"/>
      </w:pPr>
      <w:bookmarkStart w:id="161" w:name="_Toc180487283"/>
      <w:bookmarkStart w:id="162" w:name="_Toc180490489"/>
      <w:bookmarkStart w:id="163" w:name="_Toc180491522"/>
      <w:r w:rsidRPr="00730DE4">
        <w:t>Objective</w:t>
      </w:r>
      <w:bookmarkEnd w:id="161"/>
      <w:bookmarkEnd w:id="162"/>
      <w:bookmarkEnd w:id="163"/>
    </w:p>
    <w:p w14:paraId="71FB1648" w14:textId="77777777" w:rsidR="00DF71F3" w:rsidRPr="00730DE4" w:rsidRDefault="00DF71F3" w:rsidP="00DF71F3">
      <w:r w:rsidRPr="00730DE4">
        <w:t>A thriving digital economy to benefit Queenslanders</w:t>
      </w:r>
    </w:p>
    <w:p w14:paraId="4892C55C" w14:textId="77777777" w:rsidR="00DF71F3" w:rsidRPr="00730DE4" w:rsidRDefault="00DF71F3" w:rsidP="00DF71F3">
      <w:pPr>
        <w:pStyle w:val="Heading4"/>
      </w:pPr>
      <w:bookmarkStart w:id="164" w:name="_Toc180487284"/>
      <w:bookmarkStart w:id="165" w:name="_Toc180490490"/>
      <w:bookmarkStart w:id="166" w:name="_Toc180491523"/>
      <w:r w:rsidRPr="00730DE4">
        <w:t>Success looks like</w:t>
      </w:r>
      <w:bookmarkEnd w:id="164"/>
      <w:bookmarkEnd w:id="165"/>
      <w:bookmarkEnd w:id="166"/>
    </w:p>
    <w:p w14:paraId="41AA4858" w14:textId="77777777" w:rsidR="00DF71F3" w:rsidRPr="00730DE4" w:rsidRDefault="00DF71F3" w:rsidP="00DF71F3">
      <w:pPr>
        <w:pStyle w:val="ListBullet"/>
      </w:pPr>
      <w:r w:rsidRPr="00730DE4">
        <w:t>Uplift in cross-government alignment, governance and collaboration</w:t>
      </w:r>
    </w:p>
    <w:p w14:paraId="3CA61D5A" w14:textId="77777777" w:rsidR="00DF71F3" w:rsidRPr="00730DE4" w:rsidRDefault="00DF71F3" w:rsidP="00DF71F3">
      <w:pPr>
        <w:pStyle w:val="ListBullet"/>
      </w:pPr>
      <w:r w:rsidRPr="00730DE4">
        <w:t>Improved whole-of-government data sharing and analytics</w:t>
      </w:r>
    </w:p>
    <w:p w14:paraId="4BC0E72D" w14:textId="77777777" w:rsidR="00DF71F3" w:rsidRPr="00730DE4" w:rsidRDefault="00DF71F3" w:rsidP="00DF71F3">
      <w:pPr>
        <w:pStyle w:val="ListBullet"/>
      </w:pPr>
      <w:r w:rsidRPr="00730DE4">
        <w:t>Strengthened and expanded cyber-security capabilities</w:t>
      </w:r>
    </w:p>
    <w:p w14:paraId="42718F40" w14:textId="77777777" w:rsidR="00DF71F3" w:rsidRPr="00730DE4" w:rsidRDefault="00DF71F3" w:rsidP="00DF71F3">
      <w:pPr>
        <w:pStyle w:val="ListBullet"/>
      </w:pPr>
      <w:r w:rsidRPr="00730DE4">
        <w:t>Increased digital inclusion, equity and skills development among Queenslanders</w:t>
      </w:r>
    </w:p>
    <w:p w14:paraId="1991654A" w14:textId="77777777" w:rsidR="00DF71F3" w:rsidRPr="00730DE4" w:rsidRDefault="00DF71F3" w:rsidP="00DF71F3">
      <w:pPr>
        <w:pStyle w:val="ListBullet"/>
      </w:pPr>
      <w:r w:rsidRPr="00730DE4">
        <w:t>Enhanced access to affordable, reliable digital connectivity, benefiting small businesses, marginalised groups, and First Nations communities</w:t>
      </w:r>
    </w:p>
    <w:p w14:paraId="79E795F4" w14:textId="77777777" w:rsidR="00DF71F3" w:rsidRPr="00730DE4" w:rsidRDefault="00DF71F3" w:rsidP="00DF71F3">
      <w:pPr>
        <w:pStyle w:val="Heading4"/>
      </w:pPr>
      <w:bookmarkStart w:id="167" w:name="_Toc180487285"/>
      <w:bookmarkStart w:id="168" w:name="_Toc180490491"/>
      <w:bookmarkStart w:id="169" w:name="_Toc180491524"/>
      <w:r w:rsidRPr="00730DE4">
        <w:t>Ways to get there</w:t>
      </w:r>
      <w:bookmarkEnd w:id="167"/>
      <w:bookmarkEnd w:id="168"/>
      <w:bookmarkEnd w:id="169"/>
    </w:p>
    <w:p w14:paraId="4470BC2F" w14:textId="77777777" w:rsidR="00DF71F3" w:rsidRPr="00730DE4" w:rsidRDefault="00DF71F3" w:rsidP="00DF71F3">
      <w:pPr>
        <w:pStyle w:val="ListBullet"/>
      </w:pPr>
      <w:r w:rsidRPr="00730DE4">
        <w:t>Improve digital engagement by fostering collaboration with government, community, suppliers and industry partners</w:t>
      </w:r>
    </w:p>
    <w:p w14:paraId="33F02B5F" w14:textId="77777777" w:rsidR="00DF71F3" w:rsidRPr="00730DE4" w:rsidRDefault="00DF71F3" w:rsidP="00DF71F3">
      <w:pPr>
        <w:pStyle w:val="ListBullet"/>
      </w:pPr>
      <w:r w:rsidRPr="00730DE4">
        <w:t>Enhance operating models, capabilities and platforms to support the delivery of omni-channel customer services</w:t>
      </w:r>
    </w:p>
    <w:p w14:paraId="1FBC9C41" w14:textId="77777777" w:rsidR="00DF71F3" w:rsidRPr="00730DE4" w:rsidRDefault="00DF71F3" w:rsidP="00DF71F3">
      <w:pPr>
        <w:pStyle w:val="ListBullet"/>
      </w:pPr>
      <w:r w:rsidRPr="00730DE4">
        <w:t>Enhance the collection, analysis and application of customer insights to drive service enhancements and deliver a data sharing policy</w:t>
      </w:r>
    </w:p>
    <w:p w14:paraId="21C31AB2" w14:textId="77777777" w:rsidR="00DF71F3" w:rsidRPr="00730DE4" w:rsidRDefault="00DF71F3" w:rsidP="00DF71F3">
      <w:pPr>
        <w:pStyle w:val="ListBullet"/>
      </w:pPr>
      <w:r w:rsidRPr="00730DE4">
        <w:t>Deliver the Cyber Secure Queensland Strategy and scale the cyber security skills accelerator program</w:t>
      </w:r>
    </w:p>
    <w:p w14:paraId="54E3D12A" w14:textId="77777777" w:rsidR="00DF71F3" w:rsidRPr="00730DE4" w:rsidRDefault="00DF71F3" w:rsidP="00DF71F3">
      <w:pPr>
        <w:pStyle w:val="ListBullet"/>
      </w:pPr>
      <w:r w:rsidRPr="00730DE4">
        <w:t>Support small businesses, promote digital equity, provide workforce development programs and deliver a digital infrastructure plan</w:t>
      </w:r>
    </w:p>
    <w:p w14:paraId="42DC226E" w14:textId="77777777" w:rsidR="00DF71F3" w:rsidRPr="00730DE4" w:rsidRDefault="00DF71F3" w:rsidP="00DF71F3">
      <w:pPr>
        <w:pStyle w:val="ListBullet"/>
      </w:pPr>
      <w:r w:rsidRPr="00730DE4">
        <w:t>Facilitate the establishment of digital business in First Nations communities</w:t>
      </w:r>
    </w:p>
    <w:p w14:paraId="1221BE90" w14:textId="77777777" w:rsidR="00DF71F3" w:rsidRPr="00730DE4" w:rsidRDefault="00DF71F3" w:rsidP="00DF71F3">
      <w:pPr>
        <w:pStyle w:val="Heading4"/>
      </w:pPr>
      <w:bookmarkStart w:id="170" w:name="_Toc180487286"/>
      <w:bookmarkStart w:id="171" w:name="_Toc180490492"/>
      <w:bookmarkStart w:id="172" w:name="_Toc180491525"/>
      <w:r w:rsidRPr="00730DE4">
        <w:t>Our contribution to the Queensland Government’s objectives for the community</w:t>
      </w:r>
      <w:bookmarkEnd w:id="170"/>
      <w:bookmarkEnd w:id="171"/>
      <w:bookmarkEnd w:id="172"/>
    </w:p>
    <w:p w14:paraId="339863AB" w14:textId="77777777" w:rsidR="00DF71F3" w:rsidRPr="00730DE4" w:rsidRDefault="00DF71F3" w:rsidP="00DF71F3">
      <w:pPr>
        <w:pStyle w:val="ListBullet"/>
      </w:pPr>
      <w:r w:rsidRPr="00730DE4">
        <w:t>Supporting jobs</w:t>
      </w:r>
    </w:p>
    <w:p w14:paraId="78346A4A" w14:textId="77777777" w:rsidR="00DF71F3" w:rsidRPr="00730DE4" w:rsidRDefault="00DF71F3" w:rsidP="00DF71F3">
      <w:pPr>
        <w:pStyle w:val="ListBullet"/>
      </w:pPr>
      <w:r w:rsidRPr="00730DE4">
        <w:t>Backing small business</w:t>
      </w:r>
    </w:p>
    <w:p w14:paraId="0DDE8A8D" w14:textId="77777777" w:rsidR="00DF71F3" w:rsidRPr="00730DE4" w:rsidRDefault="00DF71F3" w:rsidP="00DF71F3">
      <w:pPr>
        <w:pStyle w:val="ListBullet"/>
      </w:pPr>
      <w:r w:rsidRPr="00730DE4">
        <w:t>Investing in skills</w:t>
      </w:r>
    </w:p>
    <w:p w14:paraId="2D760BD4" w14:textId="77777777" w:rsidR="00DF71F3" w:rsidRPr="00730DE4" w:rsidRDefault="00DF71F3" w:rsidP="00DF71F3">
      <w:pPr>
        <w:pStyle w:val="ListBullet"/>
      </w:pPr>
      <w:r w:rsidRPr="00730DE4">
        <w:t>Backing our frontline services</w:t>
      </w:r>
    </w:p>
    <w:p w14:paraId="24B09E3B" w14:textId="77777777" w:rsidR="00DF71F3" w:rsidRPr="00730DE4" w:rsidRDefault="00DF71F3" w:rsidP="00DF71F3">
      <w:pPr>
        <w:pStyle w:val="ListBullet"/>
      </w:pPr>
      <w:r w:rsidRPr="00730DE4">
        <w:t>Connecting Queenslanders</w:t>
      </w:r>
    </w:p>
    <w:p w14:paraId="26B30B96" w14:textId="77777777" w:rsidR="00DF71F3" w:rsidRPr="00730DE4" w:rsidRDefault="00DF71F3" w:rsidP="00DF71F3">
      <w:pPr>
        <w:pStyle w:val="ListBullet"/>
      </w:pPr>
      <w:r w:rsidRPr="00730DE4">
        <w:t>Growing our regions</w:t>
      </w:r>
    </w:p>
    <w:p w14:paraId="3DD03E47" w14:textId="77777777" w:rsidR="00DF71F3" w:rsidRPr="00730DE4" w:rsidRDefault="00DF71F3" w:rsidP="00DF71F3">
      <w:pPr>
        <w:pStyle w:val="Heading3"/>
      </w:pPr>
      <w:bookmarkStart w:id="173" w:name="_Toc180487287"/>
      <w:bookmarkStart w:id="174" w:name="_Toc180490493"/>
      <w:bookmarkStart w:id="175" w:name="_Toc180491526"/>
      <w:r w:rsidRPr="00730DE4">
        <w:rPr>
          <w:rStyle w:val="Strong"/>
        </w:rPr>
        <w:lastRenderedPageBreak/>
        <w:t>Principle:</w:t>
      </w:r>
      <w:r w:rsidRPr="00730DE4">
        <w:t xml:space="preserve"> Capable, adaptable and aligned</w:t>
      </w:r>
      <w:bookmarkEnd w:id="173"/>
      <w:bookmarkEnd w:id="174"/>
      <w:bookmarkEnd w:id="175"/>
    </w:p>
    <w:p w14:paraId="78F1F9E3" w14:textId="77777777" w:rsidR="00DF71F3" w:rsidRPr="00730DE4" w:rsidRDefault="00DF71F3" w:rsidP="00DF71F3">
      <w:pPr>
        <w:pStyle w:val="Heading4"/>
      </w:pPr>
      <w:bookmarkStart w:id="176" w:name="_Toc180487288"/>
      <w:bookmarkStart w:id="177" w:name="_Toc180490494"/>
      <w:bookmarkStart w:id="178" w:name="_Toc180491527"/>
      <w:r w:rsidRPr="00730DE4">
        <w:t>Objective</w:t>
      </w:r>
      <w:bookmarkEnd w:id="176"/>
      <w:bookmarkEnd w:id="177"/>
      <w:bookmarkEnd w:id="178"/>
    </w:p>
    <w:p w14:paraId="760C8055" w14:textId="77777777" w:rsidR="00DF71F3" w:rsidRPr="00730DE4" w:rsidRDefault="00DF71F3" w:rsidP="00DF71F3">
      <w:r w:rsidRPr="00730DE4">
        <w:t>A workforce that is positive, purpose-driven, capable and mobile</w:t>
      </w:r>
    </w:p>
    <w:p w14:paraId="58A43B48" w14:textId="77777777" w:rsidR="00DF71F3" w:rsidRPr="00730DE4" w:rsidRDefault="00DF71F3" w:rsidP="00DF71F3">
      <w:pPr>
        <w:pStyle w:val="Heading4"/>
      </w:pPr>
      <w:bookmarkStart w:id="179" w:name="_Toc180487289"/>
      <w:bookmarkStart w:id="180" w:name="_Toc180490495"/>
      <w:bookmarkStart w:id="181" w:name="_Toc180491528"/>
      <w:r w:rsidRPr="00730DE4">
        <w:t>Success looks like</w:t>
      </w:r>
      <w:bookmarkEnd w:id="179"/>
      <w:bookmarkEnd w:id="180"/>
      <w:bookmarkEnd w:id="181"/>
    </w:p>
    <w:p w14:paraId="2F83237B" w14:textId="77777777" w:rsidR="00DF71F3" w:rsidRPr="00730DE4" w:rsidRDefault="00DF71F3" w:rsidP="00DF71F3">
      <w:pPr>
        <w:pStyle w:val="ListBullet"/>
      </w:pPr>
      <w:r w:rsidRPr="00730DE4">
        <w:t>A safe, healthy, inclusive and diverse workforce</w:t>
      </w:r>
    </w:p>
    <w:p w14:paraId="54F4F5DB" w14:textId="77777777" w:rsidR="00DF71F3" w:rsidRPr="00730DE4" w:rsidRDefault="00DF71F3" w:rsidP="00DF71F3">
      <w:pPr>
        <w:pStyle w:val="ListBullet"/>
      </w:pPr>
      <w:r w:rsidRPr="00730DE4">
        <w:t>Accessible and connected workplaces</w:t>
      </w:r>
    </w:p>
    <w:p w14:paraId="5488BA09" w14:textId="77777777" w:rsidR="00DF71F3" w:rsidRPr="00730DE4" w:rsidRDefault="00DF71F3" w:rsidP="00DF71F3">
      <w:pPr>
        <w:pStyle w:val="ListBullet"/>
      </w:pPr>
      <w:r w:rsidRPr="00730DE4">
        <w:t>A culture of lifelong learning aligned to our objectives</w:t>
      </w:r>
    </w:p>
    <w:p w14:paraId="1C55BF31" w14:textId="77777777" w:rsidR="00DF71F3" w:rsidRPr="00730DE4" w:rsidRDefault="00DF71F3" w:rsidP="00DF71F3">
      <w:pPr>
        <w:pStyle w:val="ListBullet"/>
      </w:pPr>
      <w:r w:rsidRPr="00730DE4">
        <w:t>Ongoing excellence in technical and professional competency</w:t>
      </w:r>
    </w:p>
    <w:p w14:paraId="20947F10" w14:textId="77777777" w:rsidR="00DF71F3" w:rsidRPr="00730DE4" w:rsidRDefault="00DF71F3" w:rsidP="00DF71F3">
      <w:pPr>
        <w:pStyle w:val="Heading4"/>
      </w:pPr>
      <w:bookmarkStart w:id="182" w:name="_Toc180487290"/>
      <w:bookmarkStart w:id="183" w:name="_Toc180490496"/>
      <w:bookmarkStart w:id="184" w:name="_Toc180491529"/>
      <w:r w:rsidRPr="00730DE4">
        <w:t>Ways to get there</w:t>
      </w:r>
      <w:bookmarkEnd w:id="182"/>
      <w:bookmarkEnd w:id="183"/>
      <w:bookmarkEnd w:id="184"/>
    </w:p>
    <w:p w14:paraId="7BDB4E7E" w14:textId="77777777" w:rsidR="00DF71F3" w:rsidRPr="00730DE4" w:rsidRDefault="00DF71F3" w:rsidP="00DF71F3">
      <w:pPr>
        <w:pStyle w:val="ListBullet"/>
      </w:pPr>
      <w:r w:rsidRPr="00730DE4">
        <w:t>Build on our culture to be a leader in safety, wellbeing, diversity and inclusion</w:t>
      </w:r>
    </w:p>
    <w:p w14:paraId="275F3521" w14:textId="77777777" w:rsidR="00DF71F3" w:rsidRPr="00730DE4" w:rsidRDefault="00DF71F3" w:rsidP="00DF71F3">
      <w:pPr>
        <w:pStyle w:val="ListBullet"/>
      </w:pPr>
      <w:r w:rsidRPr="00730DE4">
        <w:t>Invest in digitally connected workplaces</w:t>
      </w:r>
    </w:p>
    <w:p w14:paraId="0A86087C" w14:textId="77777777" w:rsidR="00DF71F3" w:rsidRPr="00730DE4" w:rsidRDefault="00DF71F3" w:rsidP="00DF71F3">
      <w:pPr>
        <w:pStyle w:val="ListBullet"/>
      </w:pPr>
      <w:r w:rsidRPr="00730DE4">
        <w:t>Continue to provide access to high-quality, future-focused development opportunities aligned to our priorities</w:t>
      </w:r>
    </w:p>
    <w:p w14:paraId="53003A30" w14:textId="77777777" w:rsidR="00DF71F3" w:rsidRPr="00730DE4" w:rsidRDefault="00DF71F3" w:rsidP="00DF71F3">
      <w:pPr>
        <w:pStyle w:val="ListBullet"/>
      </w:pPr>
      <w:r w:rsidRPr="00730DE4">
        <w:t>Continue to embed a positive performance culture</w:t>
      </w:r>
    </w:p>
    <w:p w14:paraId="4AC525AB" w14:textId="77777777" w:rsidR="00DF71F3" w:rsidRPr="00730DE4" w:rsidRDefault="00DF71F3" w:rsidP="00DF71F3">
      <w:pPr>
        <w:pStyle w:val="Heading4"/>
      </w:pPr>
      <w:bookmarkStart w:id="185" w:name="_Toc180487291"/>
      <w:bookmarkStart w:id="186" w:name="_Toc180490497"/>
      <w:bookmarkStart w:id="187" w:name="_Toc180491530"/>
      <w:r w:rsidRPr="00730DE4">
        <w:t>Our contribution to the Queensland Government’s objectives for the community</w:t>
      </w:r>
      <w:bookmarkEnd w:id="185"/>
      <w:bookmarkEnd w:id="186"/>
      <w:bookmarkEnd w:id="187"/>
    </w:p>
    <w:p w14:paraId="0842EFFC" w14:textId="77777777" w:rsidR="00DF71F3" w:rsidRPr="00730DE4" w:rsidRDefault="00DF71F3" w:rsidP="00DF71F3">
      <w:pPr>
        <w:pStyle w:val="ListBullet"/>
      </w:pPr>
      <w:r w:rsidRPr="00730DE4">
        <w:t>Supporting jobs</w:t>
      </w:r>
    </w:p>
    <w:p w14:paraId="0AFD4861" w14:textId="77777777" w:rsidR="00DF71F3" w:rsidRPr="00730DE4" w:rsidRDefault="00DF71F3" w:rsidP="00DF71F3">
      <w:pPr>
        <w:pStyle w:val="ListBullet"/>
      </w:pPr>
      <w:r w:rsidRPr="00730DE4">
        <w:t>Investing in skills</w:t>
      </w:r>
    </w:p>
    <w:p w14:paraId="31CE5CB3" w14:textId="77777777" w:rsidR="00DF71F3" w:rsidRPr="00730DE4" w:rsidRDefault="00DF71F3" w:rsidP="00DF71F3">
      <w:pPr>
        <w:pStyle w:val="ListBullet"/>
      </w:pPr>
      <w:r w:rsidRPr="00730DE4">
        <w:t>Growing our regions</w:t>
      </w:r>
    </w:p>
    <w:p w14:paraId="54C6FFFD" w14:textId="77777777" w:rsidR="00DF71F3" w:rsidRPr="00730DE4" w:rsidRDefault="00DF71F3" w:rsidP="00DF71F3">
      <w:pPr>
        <w:pStyle w:val="ListBullet"/>
      </w:pPr>
      <w:r w:rsidRPr="00730DE4">
        <w:t>Honouring and embracing our rich and ancient cultural history</w:t>
      </w:r>
    </w:p>
    <w:p w14:paraId="71577941" w14:textId="77777777" w:rsidR="00DF71F3" w:rsidRPr="00730DE4" w:rsidRDefault="00DF71F3" w:rsidP="00DF71F3">
      <w:pPr>
        <w:pStyle w:val="Heading3"/>
      </w:pPr>
      <w:bookmarkStart w:id="188" w:name="_Toc180487292"/>
      <w:bookmarkStart w:id="189" w:name="_Toc180490498"/>
      <w:bookmarkStart w:id="190" w:name="_Toc180491531"/>
      <w:r w:rsidRPr="00730DE4">
        <w:t>Our</w:t>
      </w:r>
      <w:r w:rsidRPr="00730DE4">
        <w:rPr>
          <w:spacing w:val="2"/>
        </w:rPr>
        <w:t xml:space="preserve"> </w:t>
      </w:r>
      <w:r w:rsidRPr="00730DE4">
        <w:t>risks:</w:t>
      </w:r>
      <w:bookmarkEnd w:id="188"/>
      <w:bookmarkEnd w:id="189"/>
      <w:bookmarkEnd w:id="190"/>
    </w:p>
    <w:p w14:paraId="43D3A57A" w14:textId="77777777" w:rsidR="00DF71F3" w:rsidRPr="00730DE4" w:rsidRDefault="00DF71F3" w:rsidP="00DF71F3">
      <w:pPr>
        <w:pStyle w:val="ListBullet"/>
      </w:pPr>
      <w:r w:rsidRPr="00730DE4">
        <w:t>Maintaining a safe transport system for our customers and community</w:t>
      </w:r>
    </w:p>
    <w:p w14:paraId="298024B2" w14:textId="77777777" w:rsidR="00DF71F3" w:rsidRPr="00730DE4" w:rsidRDefault="00DF71F3" w:rsidP="00DF71F3">
      <w:pPr>
        <w:pStyle w:val="ListBullet"/>
      </w:pPr>
      <w:r w:rsidRPr="00730DE4">
        <w:t>Providing an accessible and integrated transport system</w:t>
      </w:r>
    </w:p>
    <w:p w14:paraId="340C7F4E" w14:textId="77777777" w:rsidR="00DF71F3" w:rsidRPr="00730DE4" w:rsidRDefault="00DF71F3" w:rsidP="00DF71F3">
      <w:pPr>
        <w:pStyle w:val="ListBullet"/>
      </w:pPr>
      <w:r w:rsidRPr="00730DE4">
        <w:t>Developing workforce skills, capability and adaptability to meet future transport needs</w:t>
      </w:r>
    </w:p>
    <w:p w14:paraId="5E7CA77B" w14:textId="77777777" w:rsidR="00DF71F3" w:rsidRPr="00730DE4" w:rsidRDefault="00DF71F3" w:rsidP="00DF71F3">
      <w:pPr>
        <w:pStyle w:val="ListBullet"/>
      </w:pPr>
      <w:r w:rsidRPr="00730DE4">
        <w:t>Adapting to climate change, reducing emissions and maintaining an environmentally sustainable transport system</w:t>
      </w:r>
    </w:p>
    <w:p w14:paraId="6F31F2D9" w14:textId="77777777" w:rsidR="00DF71F3" w:rsidRPr="00730DE4" w:rsidRDefault="00DF71F3" w:rsidP="00DF71F3">
      <w:pPr>
        <w:pStyle w:val="ListBullet"/>
      </w:pPr>
      <w:r w:rsidRPr="00730DE4">
        <w:t>Reducing the impact of supply chain disruption and unavailability of skilled labour</w:t>
      </w:r>
    </w:p>
    <w:p w14:paraId="6A3E4E83" w14:textId="77777777" w:rsidR="00DF71F3" w:rsidRPr="00730DE4" w:rsidRDefault="00DF71F3" w:rsidP="00DF71F3">
      <w:pPr>
        <w:pStyle w:val="ListBullet"/>
      </w:pPr>
      <w:r w:rsidRPr="00730DE4">
        <w:t>Maintaining sustainable ICT systems and protecting against cyber threats</w:t>
      </w:r>
    </w:p>
    <w:p w14:paraId="7356F624" w14:textId="77777777" w:rsidR="00DF71F3" w:rsidRPr="00730DE4" w:rsidRDefault="00DF71F3" w:rsidP="00DF71F3">
      <w:pPr>
        <w:pStyle w:val="ListBullet"/>
      </w:pPr>
      <w:r w:rsidRPr="00730DE4">
        <w:t>Funding and sustaining essential transport services and infrastructure</w:t>
      </w:r>
    </w:p>
    <w:p w14:paraId="6A2DBB43" w14:textId="77777777" w:rsidR="00DF71F3" w:rsidRPr="00730DE4" w:rsidRDefault="00DF71F3" w:rsidP="00DF71F3">
      <w:pPr>
        <w:pStyle w:val="ListBullet"/>
      </w:pPr>
      <w:r w:rsidRPr="00730DE4">
        <w:t>Planning and responding to deliverability and affordability of critical projects and future major events</w:t>
      </w:r>
    </w:p>
    <w:p w14:paraId="7775E0AA" w14:textId="77777777" w:rsidR="00DF71F3" w:rsidRPr="00730DE4" w:rsidRDefault="00DF71F3" w:rsidP="00DF71F3">
      <w:pPr>
        <w:pStyle w:val="Heading3"/>
      </w:pPr>
      <w:bookmarkStart w:id="191" w:name="_Toc180487293"/>
      <w:bookmarkStart w:id="192" w:name="_Toc180490499"/>
      <w:bookmarkStart w:id="193" w:name="_Toc180491532"/>
      <w:r w:rsidRPr="00730DE4">
        <w:lastRenderedPageBreak/>
        <w:t>Our</w:t>
      </w:r>
      <w:r w:rsidRPr="00730DE4">
        <w:rPr>
          <w:spacing w:val="3"/>
        </w:rPr>
        <w:t xml:space="preserve"> </w:t>
      </w:r>
      <w:r w:rsidRPr="00730DE4">
        <w:t>opportunities:</w:t>
      </w:r>
      <w:bookmarkEnd w:id="191"/>
      <w:bookmarkEnd w:id="192"/>
      <w:bookmarkEnd w:id="193"/>
    </w:p>
    <w:p w14:paraId="0038C61C" w14:textId="77777777" w:rsidR="00DF71F3" w:rsidRPr="00730DE4" w:rsidRDefault="00DF71F3" w:rsidP="00DF71F3">
      <w:pPr>
        <w:pStyle w:val="ListBullet"/>
      </w:pPr>
      <w:r w:rsidRPr="00730DE4">
        <w:t>Maximising the value from data to improve planning and operational efficiency</w:t>
      </w:r>
    </w:p>
    <w:p w14:paraId="70D41A75" w14:textId="4A2B9867" w:rsidR="00464141" w:rsidRPr="00730DE4" w:rsidRDefault="00DF71F3" w:rsidP="00EA1647">
      <w:pPr>
        <w:pStyle w:val="ListBullet"/>
        <w:suppressAutoHyphens w:val="0"/>
        <w:spacing w:before="0" w:line="259" w:lineRule="auto"/>
      </w:pPr>
      <w:r w:rsidRPr="00730DE4">
        <w:t>Optimising our capacity and capability in multi-modal network and major event management</w:t>
      </w:r>
      <w:r w:rsidR="00464141" w:rsidRPr="00730DE4">
        <w:br w:type="page"/>
      </w:r>
    </w:p>
    <w:p w14:paraId="011F6394" w14:textId="46E0ACEA" w:rsidR="002514F8" w:rsidRPr="00730DE4" w:rsidRDefault="002514F8" w:rsidP="002B7001">
      <w:pPr>
        <w:pStyle w:val="Heading2"/>
      </w:pPr>
      <w:bookmarkStart w:id="194" w:name="_Toc180490500"/>
      <w:bookmarkStart w:id="195" w:name="_Toc180491533"/>
      <w:r w:rsidRPr="00730DE4">
        <w:lastRenderedPageBreak/>
        <w:t>Queensland Government's objectives for the community</w:t>
      </w:r>
      <w:bookmarkEnd w:id="194"/>
      <w:bookmarkEnd w:id="195"/>
      <w:r w:rsidRPr="00730DE4">
        <w:t xml:space="preserve"> </w:t>
      </w:r>
    </w:p>
    <w:p w14:paraId="2C3BDD1D" w14:textId="77777777" w:rsidR="002514F8" w:rsidRPr="00730DE4" w:rsidRDefault="002514F8" w:rsidP="002563B3">
      <w:r w:rsidRPr="00730DE4">
        <w:t xml:space="preserve">TMR's achievements in 2023–24 are noted under each government objective. </w:t>
      </w:r>
    </w:p>
    <w:p w14:paraId="0F9E6BCB" w14:textId="77777777" w:rsidR="002514F8" w:rsidRPr="00730DE4" w:rsidRDefault="002514F8" w:rsidP="002B7001">
      <w:pPr>
        <w:pStyle w:val="Heading3"/>
      </w:pPr>
      <w:bookmarkStart w:id="196" w:name="_Toc180487295"/>
      <w:bookmarkStart w:id="197" w:name="_Toc180490501"/>
      <w:bookmarkStart w:id="198" w:name="_Toc180491534"/>
      <w:r w:rsidRPr="00730DE4">
        <w:t>Good jobs</w:t>
      </w:r>
      <w:bookmarkEnd w:id="196"/>
      <w:bookmarkEnd w:id="197"/>
      <w:bookmarkEnd w:id="198"/>
      <w:r w:rsidRPr="00730DE4">
        <w:t xml:space="preserve"> </w:t>
      </w:r>
    </w:p>
    <w:p w14:paraId="4B9A09F3" w14:textId="77777777" w:rsidR="002514F8" w:rsidRPr="00730DE4" w:rsidRDefault="002514F8" w:rsidP="002B7001">
      <w:pPr>
        <w:pStyle w:val="Heading4"/>
      </w:pPr>
      <w:bookmarkStart w:id="199" w:name="_Toc180487296"/>
      <w:bookmarkStart w:id="200" w:name="_Toc180490502"/>
      <w:bookmarkStart w:id="201" w:name="_Toc180491535"/>
      <w:r w:rsidRPr="00730DE4">
        <w:t>Supporting jobs</w:t>
      </w:r>
      <w:bookmarkEnd w:id="199"/>
      <w:bookmarkEnd w:id="200"/>
      <w:bookmarkEnd w:id="201"/>
      <w:r w:rsidRPr="00730DE4">
        <w:t xml:space="preserve"> </w:t>
      </w:r>
    </w:p>
    <w:p w14:paraId="6F7C7E23" w14:textId="77777777" w:rsidR="002514F8" w:rsidRPr="00730DE4" w:rsidRDefault="002514F8" w:rsidP="00731A2C">
      <w:pPr>
        <w:pStyle w:val="ListBullet"/>
      </w:pPr>
      <w:r w:rsidRPr="00730DE4">
        <w:t>Released the $37.4 billion QTRIP 2024–25 to 2027–28 which outlines a steady and sustainable pipeline of road and transport infrastructure that will support an estimated average of 28,000 direct jobs over the next four years.</w:t>
      </w:r>
    </w:p>
    <w:p w14:paraId="15FFF88F" w14:textId="77777777" w:rsidR="002514F8" w:rsidRPr="00730DE4" w:rsidRDefault="002514F8" w:rsidP="00731A2C">
      <w:pPr>
        <w:pStyle w:val="ListBullet"/>
      </w:pPr>
      <w:r w:rsidRPr="00730DE4">
        <w:t xml:space="preserve">Supported over 15,000 Queenslanders with digital skilling and 520 with employment placements through the </w:t>
      </w:r>
      <w:r w:rsidRPr="00730DE4">
        <w:rPr>
          <w:rStyle w:val="Emphasis"/>
        </w:rPr>
        <w:t>Digital Professional Workforce Action Plan 2020–24</w:t>
      </w:r>
      <w:r w:rsidRPr="00730DE4">
        <w:t>.</w:t>
      </w:r>
    </w:p>
    <w:p w14:paraId="17EF3289" w14:textId="77777777" w:rsidR="002514F8" w:rsidRPr="00730DE4" w:rsidRDefault="002514F8" w:rsidP="00731A2C">
      <w:pPr>
        <w:pStyle w:val="ListBullet"/>
      </w:pPr>
      <w:r w:rsidRPr="00730DE4">
        <w:t xml:space="preserve">Increased employment opportunities for Queensland mariners through the $21 million Backing Queensland Maritime Jobs Initiative. </w:t>
      </w:r>
    </w:p>
    <w:p w14:paraId="4E72682B" w14:textId="77777777" w:rsidR="002514F8" w:rsidRPr="00730DE4" w:rsidRDefault="002514F8" w:rsidP="002563B3">
      <w:pPr>
        <w:pStyle w:val="ListBullet"/>
      </w:pPr>
      <w:r w:rsidRPr="00730DE4">
        <w:t xml:space="preserve">Delivering the </w:t>
      </w:r>
      <w:r w:rsidRPr="00730DE4">
        <w:rPr>
          <w:rStyle w:val="Emphasis"/>
        </w:rPr>
        <w:t>RoadTek Respect Action Plan</w:t>
      </w:r>
      <w:r w:rsidRPr="00730DE4">
        <w:t xml:space="preserve"> to promote a culture that supports a diverse and inclusive workforce. </w:t>
      </w:r>
    </w:p>
    <w:p w14:paraId="16130E85" w14:textId="77777777" w:rsidR="002514F8" w:rsidRPr="00730DE4" w:rsidRDefault="002514F8" w:rsidP="002B7001">
      <w:pPr>
        <w:pStyle w:val="Heading4"/>
      </w:pPr>
      <w:bookmarkStart w:id="202" w:name="_Toc180487297"/>
      <w:bookmarkStart w:id="203" w:name="_Toc180490503"/>
      <w:bookmarkStart w:id="204" w:name="_Toc180491536"/>
      <w:r w:rsidRPr="00730DE4">
        <w:t>Making it for Queensland</w:t>
      </w:r>
      <w:bookmarkEnd w:id="202"/>
      <w:bookmarkEnd w:id="203"/>
      <w:bookmarkEnd w:id="204"/>
    </w:p>
    <w:p w14:paraId="7420B012" w14:textId="77777777" w:rsidR="002514F8" w:rsidRPr="00730DE4" w:rsidRDefault="002514F8" w:rsidP="002563B3">
      <w:pPr>
        <w:pStyle w:val="ListBullet"/>
      </w:pPr>
      <w:r w:rsidRPr="00730DE4">
        <w:t xml:space="preserve">Delivering the QTMP to build 65 new six-car passenger trains at a purpose-built manufacturing facility at Torbanlea, in the Fraser Coast region, and a new rail facility at Ormeau, in the Gold Coast region. Construction has commenced at both sites which will boost local economies and support job creation with a total investment of $9.5 billion from the Queensland Government. </w:t>
      </w:r>
    </w:p>
    <w:p w14:paraId="250FA5BE" w14:textId="77777777" w:rsidR="002514F8" w:rsidRPr="00730DE4" w:rsidRDefault="002514F8" w:rsidP="002B7001">
      <w:pPr>
        <w:pStyle w:val="Heading4"/>
      </w:pPr>
      <w:bookmarkStart w:id="205" w:name="_Toc180487298"/>
      <w:bookmarkStart w:id="206" w:name="_Toc180490504"/>
      <w:bookmarkStart w:id="207" w:name="_Toc180491537"/>
      <w:r w:rsidRPr="00730DE4">
        <w:t>Investing in skills</w:t>
      </w:r>
      <w:bookmarkEnd w:id="205"/>
      <w:bookmarkEnd w:id="206"/>
      <w:bookmarkEnd w:id="207"/>
      <w:r w:rsidRPr="00730DE4">
        <w:t xml:space="preserve"> </w:t>
      </w:r>
    </w:p>
    <w:p w14:paraId="64561F98" w14:textId="77777777" w:rsidR="002514F8" w:rsidRPr="00730DE4" w:rsidRDefault="002514F8" w:rsidP="002563B3">
      <w:pPr>
        <w:pStyle w:val="ListBullet"/>
      </w:pPr>
      <w:r w:rsidRPr="00730DE4">
        <w:t>Supporting First Nations peoples with the Aboriginal and Torres Strait Islander People Entry Pathways program into the construction industry.</w:t>
      </w:r>
    </w:p>
    <w:p w14:paraId="5707058D" w14:textId="77777777" w:rsidR="002514F8" w:rsidRPr="00730DE4" w:rsidRDefault="002514F8" w:rsidP="00546A9D">
      <w:pPr>
        <w:pStyle w:val="ListBullet"/>
      </w:pPr>
      <w:r w:rsidRPr="00730DE4">
        <w:t>Partnering with Microsoft to deliver the First Nations Digital Careers Program which aims to empower Aboriginal and Torres Strait Islander Queenslanders of all age groups to move into a digital career.</w:t>
      </w:r>
    </w:p>
    <w:p w14:paraId="436CCB50" w14:textId="77777777" w:rsidR="002514F8" w:rsidRPr="00730DE4" w:rsidRDefault="002514F8" w:rsidP="002563B3">
      <w:pPr>
        <w:pStyle w:val="ListBullet"/>
      </w:pPr>
      <w:r w:rsidRPr="00730DE4">
        <w:t xml:space="preserve">Supporting women through the Women in Construction entry pathways program into the construction industry. The Ninth Women in Construction program commenced in March 2024 with 15 participants from across the state. </w:t>
      </w:r>
    </w:p>
    <w:p w14:paraId="3FC094C7" w14:textId="77777777" w:rsidR="002514F8" w:rsidRPr="00730DE4" w:rsidRDefault="002514F8" w:rsidP="002B7001">
      <w:pPr>
        <w:pStyle w:val="Heading3"/>
      </w:pPr>
      <w:bookmarkStart w:id="208" w:name="_Toc180487299"/>
      <w:bookmarkStart w:id="209" w:name="_Toc180490505"/>
      <w:bookmarkStart w:id="210" w:name="_Toc180491538"/>
      <w:r w:rsidRPr="00730DE4">
        <w:lastRenderedPageBreak/>
        <w:t>Better services</w:t>
      </w:r>
      <w:bookmarkEnd w:id="208"/>
      <w:bookmarkEnd w:id="209"/>
      <w:bookmarkEnd w:id="210"/>
      <w:r w:rsidRPr="00730DE4">
        <w:t xml:space="preserve"> </w:t>
      </w:r>
    </w:p>
    <w:p w14:paraId="5A187287" w14:textId="77777777" w:rsidR="002514F8" w:rsidRPr="00730DE4" w:rsidRDefault="002514F8" w:rsidP="002B7001">
      <w:pPr>
        <w:pStyle w:val="Heading4"/>
      </w:pPr>
      <w:bookmarkStart w:id="211" w:name="_Toc180487300"/>
      <w:bookmarkStart w:id="212" w:name="_Toc180490506"/>
      <w:bookmarkStart w:id="213" w:name="_Toc180491539"/>
      <w:r w:rsidRPr="00730DE4">
        <w:t>Backing our frontline services</w:t>
      </w:r>
      <w:bookmarkEnd w:id="211"/>
      <w:bookmarkEnd w:id="212"/>
      <w:bookmarkEnd w:id="213"/>
    </w:p>
    <w:p w14:paraId="76EE95E2" w14:textId="77777777" w:rsidR="002514F8" w:rsidRPr="00730DE4" w:rsidRDefault="002514F8" w:rsidP="002563B3">
      <w:pPr>
        <w:pStyle w:val="ListBullet"/>
      </w:pPr>
      <w:r w:rsidRPr="00730DE4">
        <w:t xml:space="preserve">Implemented a range of improved safety measures to keep our bus drivers safe, such as deploying additional Network Officers (NOs), installing driver barriers, and providing de-escalation training. </w:t>
      </w:r>
    </w:p>
    <w:p w14:paraId="39F8EE12" w14:textId="77777777" w:rsidR="002514F8" w:rsidRPr="00730DE4" w:rsidRDefault="002514F8" w:rsidP="002563B3">
      <w:pPr>
        <w:pStyle w:val="ListBullet"/>
      </w:pPr>
      <w:r w:rsidRPr="00730DE4">
        <w:t>Implemented modernised contact centre infrastructure to support service delivery through 13QGOV and across channels.</w:t>
      </w:r>
    </w:p>
    <w:p w14:paraId="1DD202D4" w14:textId="77777777" w:rsidR="002514F8" w:rsidRPr="00730DE4" w:rsidRDefault="002514F8" w:rsidP="007E04DA">
      <w:pPr>
        <w:pStyle w:val="ListBullet"/>
      </w:pPr>
      <w:r w:rsidRPr="00730DE4">
        <w:t>Implemented Hearing Augmentation Loops across the customer services network, enabling people with hearing loss to communicate effectively when engaging in TMR services.</w:t>
      </w:r>
    </w:p>
    <w:p w14:paraId="1CC35423" w14:textId="77777777" w:rsidR="002514F8" w:rsidRPr="00730DE4" w:rsidRDefault="002514F8" w:rsidP="007E04DA">
      <w:pPr>
        <w:pStyle w:val="ListBullet"/>
      </w:pPr>
      <w:r w:rsidRPr="00730DE4">
        <w:t>Partnered with Births, Deaths and Marriages Queensland to allow TMR to directly access records held by them creating a streamlined process for customers and removing the potential of multiple trips between organisations.</w:t>
      </w:r>
    </w:p>
    <w:p w14:paraId="0C7F8362" w14:textId="77777777" w:rsidR="002514F8" w:rsidRPr="00730DE4" w:rsidRDefault="002514F8" w:rsidP="007E04DA">
      <w:pPr>
        <w:pStyle w:val="ListBullet"/>
      </w:pPr>
      <w:r w:rsidRPr="00730DE4">
        <w:t>Implemented SMS learner logbook submissions and booking reminders resulting in 500 more tests able to be conducted per month.</w:t>
      </w:r>
    </w:p>
    <w:p w14:paraId="12DFF0B7" w14:textId="77777777" w:rsidR="002514F8" w:rsidRPr="00730DE4" w:rsidRDefault="002514F8" w:rsidP="002563B3">
      <w:pPr>
        <w:pStyle w:val="ListBullet"/>
      </w:pPr>
      <w:r w:rsidRPr="00730DE4">
        <w:t>Queensland Shared Services (QSS) and Corporate Administration Agency (CAA) supported Queensland Government service delivery through provision of shared corporate services, with each serving over 30 Queensland Government entities. This includes finance, human resource management, enterprise systems, and payroll for over 80,000 employees.</w:t>
      </w:r>
    </w:p>
    <w:p w14:paraId="3422531B" w14:textId="77777777" w:rsidR="002514F8" w:rsidRPr="00730DE4" w:rsidRDefault="002514F8" w:rsidP="002B7001">
      <w:pPr>
        <w:pStyle w:val="Heading4"/>
      </w:pPr>
      <w:bookmarkStart w:id="214" w:name="_Toc180487301"/>
      <w:bookmarkStart w:id="215" w:name="_Toc180490507"/>
      <w:bookmarkStart w:id="216" w:name="_Toc180491540"/>
      <w:r w:rsidRPr="00730DE4">
        <w:t>Keeping Queenslanders safe</w:t>
      </w:r>
      <w:bookmarkEnd w:id="214"/>
      <w:bookmarkEnd w:id="215"/>
      <w:bookmarkEnd w:id="216"/>
    </w:p>
    <w:p w14:paraId="23DAF63F" w14:textId="77777777" w:rsidR="002514F8" w:rsidRPr="00730DE4" w:rsidRDefault="002514F8" w:rsidP="002563B3">
      <w:pPr>
        <w:pStyle w:val="ListBullet"/>
      </w:pPr>
      <w:r w:rsidRPr="00730DE4">
        <w:t xml:space="preserve">Invested in cyber security protections and resiliency to decrease the likelihood of a cyber security breach to TMR-held information, whilst increasing TMR’s ability to respond should one occur. </w:t>
      </w:r>
    </w:p>
    <w:p w14:paraId="222594A6" w14:textId="77777777" w:rsidR="002514F8" w:rsidRPr="00730DE4" w:rsidRDefault="002514F8" w:rsidP="002563B3">
      <w:pPr>
        <w:pStyle w:val="ListBullet"/>
      </w:pPr>
      <w:r w:rsidRPr="00730DE4">
        <w:t xml:space="preserve">Commenced the development of a training and assessment program for the Approved Inspection Station Scheme to improve road safety. </w:t>
      </w:r>
    </w:p>
    <w:p w14:paraId="16C45BE8" w14:textId="77777777" w:rsidR="002514F8" w:rsidRPr="00730DE4" w:rsidRDefault="002514F8" w:rsidP="002563B3">
      <w:pPr>
        <w:pStyle w:val="ListBullet"/>
      </w:pPr>
      <w:r w:rsidRPr="00730DE4">
        <w:t xml:space="preserve">Developed reform options for the Queensland Written-off Vehicle Scheme to further limit the incidence and impacts of vehicle theft, and ensure vehicles are safely repaired and fit to return to Queensland roads. </w:t>
      </w:r>
    </w:p>
    <w:p w14:paraId="06067E38" w14:textId="77777777" w:rsidR="002514F8" w:rsidRPr="00730DE4" w:rsidRDefault="002514F8" w:rsidP="002563B3">
      <w:pPr>
        <w:pStyle w:val="ListBullet"/>
      </w:pPr>
      <w:r w:rsidRPr="00730DE4">
        <w:t>Deployed resources from the QPS Protective Services Group to provide a safety and security presence at key public transport locations.</w:t>
      </w:r>
    </w:p>
    <w:p w14:paraId="25A89E81" w14:textId="247199A7" w:rsidR="00EA1647" w:rsidRDefault="002514F8" w:rsidP="002B7001">
      <w:pPr>
        <w:pStyle w:val="ListBullet"/>
      </w:pPr>
      <w:r w:rsidRPr="00730DE4">
        <w:t>Continued to explore the harmonisation of temporary traffic management training to improve safety at roadworks sites.</w:t>
      </w:r>
      <w:r w:rsidR="00EA1647">
        <w:br w:type="page"/>
      </w:r>
    </w:p>
    <w:p w14:paraId="1BD46DA9" w14:textId="78B728E4" w:rsidR="002514F8" w:rsidRPr="00730DE4" w:rsidRDefault="002514F8" w:rsidP="002B7001">
      <w:pPr>
        <w:pStyle w:val="Heading4"/>
      </w:pPr>
      <w:bookmarkStart w:id="217" w:name="_Toc180487302"/>
      <w:bookmarkStart w:id="218" w:name="_Toc180490508"/>
      <w:bookmarkStart w:id="219" w:name="_Toc180491541"/>
      <w:r w:rsidRPr="00730DE4">
        <w:t>Connecting Queensland</w:t>
      </w:r>
      <w:bookmarkEnd w:id="217"/>
      <w:bookmarkEnd w:id="218"/>
      <w:bookmarkEnd w:id="219"/>
    </w:p>
    <w:p w14:paraId="3F7FB646" w14:textId="77777777" w:rsidR="002514F8" w:rsidRPr="00730DE4" w:rsidRDefault="002514F8" w:rsidP="002563B3">
      <w:pPr>
        <w:pStyle w:val="ListBullet"/>
      </w:pPr>
      <w:r w:rsidRPr="00730DE4">
        <w:t>Delivered enhanced regional connectivity through high-speed Low Earth Orbit (LEO) satellite systems allowing more government precincts to take advantage of digital capability, with a focus on local councils in discrete Aboriginal and Torres Strait Islander communities.</w:t>
      </w:r>
    </w:p>
    <w:p w14:paraId="21807904" w14:textId="77777777" w:rsidR="002514F8" w:rsidRPr="00730DE4" w:rsidRDefault="002514F8" w:rsidP="002563B3">
      <w:pPr>
        <w:pStyle w:val="ListBullet"/>
      </w:pPr>
      <w:r w:rsidRPr="00730DE4">
        <w:t xml:space="preserve">Passed the </w:t>
      </w:r>
      <w:r w:rsidRPr="00730DE4">
        <w:rPr>
          <w:rStyle w:val="Emphasis"/>
        </w:rPr>
        <w:t>Tow Truck Act 2023</w:t>
      </w:r>
      <w:r w:rsidRPr="00730DE4">
        <w:t xml:space="preserve"> to modernise Queensland's tow truck legislative framework, remove red tape, and continue strong consumer protections.  </w:t>
      </w:r>
    </w:p>
    <w:p w14:paraId="58AF6345" w14:textId="77777777" w:rsidR="002514F8" w:rsidRPr="00730DE4" w:rsidRDefault="002514F8" w:rsidP="002563B3">
      <w:pPr>
        <w:pStyle w:val="ListBullet"/>
      </w:pPr>
      <w:r w:rsidRPr="00730DE4">
        <w:t xml:space="preserve">Progressed the Heavy Vehicle National Law Reform by working with industry, other participating jurisdictions, and the National Transport Commission to deliver a modern, streamlined law that will enhance safety while delivering industry productivity and flexibility. </w:t>
      </w:r>
    </w:p>
    <w:p w14:paraId="5B803F95" w14:textId="77777777" w:rsidR="002514F8" w:rsidRPr="00730DE4" w:rsidRDefault="002514F8" w:rsidP="002563B3">
      <w:pPr>
        <w:pStyle w:val="ListBullet"/>
      </w:pPr>
      <w:r w:rsidRPr="00730DE4">
        <w:t xml:space="preserve">Continued to implement actions from </w:t>
      </w:r>
      <w:r w:rsidRPr="00730DE4">
        <w:rPr>
          <w:rStyle w:val="Emphasis"/>
        </w:rPr>
        <w:t>Creating Better Connections for Queenslanders</w:t>
      </w:r>
      <w:r w:rsidRPr="00730DE4">
        <w:t xml:space="preserve"> which details TMR's vision for the future of passenger transport and its commitment to deliver a transport network that meets the needs of our customers. </w:t>
      </w:r>
    </w:p>
    <w:p w14:paraId="62141816" w14:textId="77777777" w:rsidR="002514F8" w:rsidRPr="00730DE4" w:rsidRDefault="002514F8" w:rsidP="002563B3">
      <w:pPr>
        <w:pStyle w:val="ListBullet"/>
      </w:pPr>
      <w:r w:rsidRPr="00730DE4">
        <w:t>Formalised the Cost Sharing Agreement between TMR and local governments as the foundation for delivering a statewide transport network that supports economic development and resilient communities.</w:t>
      </w:r>
    </w:p>
    <w:p w14:paraId="37ECDF7B" w14:textId="77777777" w:rsidR="002514F8" w:rsidRPr="00730DE4" w:rsidRDefault="002514F8" w:rsidP="002B7001">
      <w:pPr>
        <w:pStyle w:val="Heading3"/>
      </w:pPr>
      <w:bookmarkStart w:id="220" w:name="_Toc180487303"/>
      <w:bookmarkStart w:id="221" w:name="_Toc180490509"/>
      <w:bookmarkStart w:id="222" w:name="_Toc180491542"/>
      <w:r w:rsidRPr="00730DE4">
        <w:t>Great lifestyle</w:t>
      </w:r>
      <w:bookmarkEnd w:id="220"/>
      <w:bookmarkEnd w:id="221"/>
      <w:bookmarkEnd w:id="222"/>
      <w:r w:rsidRPr="00730DE4">
        <w:t xml:space="preserve"> </w:t>
      </w:r>
    </w:p>
    <w:p w14:paraId="15464335" w14:textId="77777777" w:rsidR="002514F8" w:rsidRPr="00730DE4" w:rsidRDefault="002514F8" w:rsidP="002B7001">
      <w:pPr>
        <w:pStyle w:val="Heading4"/>
      </w:pPr>
      <w:bookmarkStart w:id="223" w:name="_Toc180487304"/>
      <w:bookmarkStart w:id="224" w:name="_Toc180490510"/>
      <w:bookmarkStart w:id="225" w:name="_Toc180491543"/>
      <w:r w:rsidRPr="00730DE4">
        <w:t>Protecting the environment</w:t>
      </w:r>
      <w:bookmarkEnd w:id="223"/>
      <w:bookmarkEnd w:id="224"/>
      <w:bookmarkEnd w:id="225"/>
      <w:r w:rsidRPr="00730DE4">
        <w:t xml:space="preserve"> </w:t>
      </w:r>
    </w:p>
    <w:p w14:paraId="438D13B5" w14:textId="77777777" w:rsidR="002514F8" w:rsidRPr="00730DE4" w:rsidRDefault="002514F8" w:rsidP="002563B3">
      <w:pPr>
        <w:pStyle w:val="ListBullet"/>
      </w:pPr>
      <w:r w:rsidRPr="00730DE4">
        <w:t xml:space="preserve">Embedding resilience to the impacts of climate change in road infrastructure design by incorporating natural hazard and climate change factors into key specification and policy documents, specifically: </w:t>
      </w:r>
    </w:p>
    <w:p w14:paraId="1639DD39" w14:textId="77777777" w:rsidR="002514F8" w:rsidRPr="00730DE4" w:rsidRDefault="002514F8" w:rsidP="002563B3">
      <w:pPr>
        <w:pStyle w:val="ListBullet2"/>
      </w:pPr>
      <w:r w:rsidRPr="00730DE4">
        <w:t>updated the Engineering Policy 170 Climate Change and Natural Hazards Risk Assessment and associated documents to include natural hazards</w:t>
      </w:r>
    </w:p>
    <w:p w14:paraId="44E89EB6" w14:textId="77777777" w:rsidR="002514F8" w:rsidRPr="00730DE4" w:rsidRDefault="002514F8" w:rsidP="002563B3">
      <w:pPr>
        <w:pStyle w:val="ListBullet2"/>
      </w:pPr>
      <w:r w:rsidRPr="00730DE4">
        <w:t>integrated Climate Change Risk Assessments into major infrastructure projects over $100 million to address climate and natural hazard risk</w:t>
      </w:r>
    </w:p>
    <w:p w14:paraId="2B1D7F24" w14:textId="77777777" w:rsidR="002514F8" w:rsidRPr="00730DE4" w:rsidRDefault="002514F8" w:rsidP="002563B3">
      <w:pPr>
        <w:pStyle w:val="ListBullet2"/>
      </w:pPr>
      <w:r w:rsidRPr="00730DE4">
        <w:t>harmonised Road Drainage Supplement with Austroads and latest climate change science in TMR road design.</w:t>
      </w:r>
    </w:p>
    <w:p w14:paraId="25A34572" w14:textId="77777777" w:rsidR="002514F8" w:rsidRPr="00730DE4" w:rsidRDefault="002514F8" w:rsidP="002563B3">
      <w:pPr>
        <w:pStyle w:val="ListBullet"/>
      </w:pPr>
      <w:r w:rsidRPr="00730DE4">
        <w:t>Through the National Asset Centre of Excellence program, explored new and innovative ways to use recycled products in road infrastructure including:</w:t>
      </w:r>
    </w:p>
    <w:p w14:paraId="03ABF731" w14:textId="77777777" w:rsidR="002514F8" w:rsidRPr="00730DE4" w:rsidRDefault="002514F8" w:rsidP="002563B3">
      <w:pPr>
        <w:pStyle w:val="ListBullet2"/>
      </w:pPr>
      <w:r w:rsidRPr="00730DE4">
        <w:t>extending the use of reclaimed asphalt pavement, recycled crushed concrete, and coal combustion product into stabilised pavements and backfill</w:t>
      </w:r>
    </w:p>
    <w:p w14:paraId="7736BEEE" w14:textId="77777777" w:rsidR="002514F8" w:rsidRPr="00730DE4" w:rsidRDefault="002514F8" w:rsidP="002563B3">
      <w:pPr>
        <w:pStyle w:val="ListBullet2"/>
      </w:pPr>
      <w:r w:rsidRPr="00730DE4">
        <w:t>increasing uses of recycled crumb rubber tyres into bitumen options for use in asphalt and sprayed bituminous seals applications</w:t>
      </w:r>
    </w:p>
    <w:p w14:paraId="0A47B024" w14:textId="77777777" w:rsidR="002514F8" w:rsidRPr="00730DE4" w:rsidRDefault="002514F8" w:rsidP="002563B3">
      <w:pPr>
        <w:pStyle w:val="ListBullet2"/>
      </w:pPr>
      <w:r w:rsidRPr="00730DE4">
        <w:t>explored options for recycling other materials including recycled paint wash water and rail ballast.</w:t>
      </w:r>
    </w:p>
    <w:p w14:paraId="7B3D1C55" w14:textId="77777777" w:rsidR="002514F8" w:rsidRPr="00730DE4" w:rsidRDefault="002514F8" w:rsidP="002563B3">
      <w:pPr>
        <w:pStyle w:val="ListBullet"/>
      </w:pPr>
      <w:r w:rsidRPr="00730DE4">
        <w:t xml:space="preserve">Under the </w:t>
      </w:r>
      <w:r w:rsidRPr="00730DE4">
        <w:rPr>
          <w:rStyle w:val="Emphasis"/>
        </w:rPr>
        <w:t xml:space="preserve">RoadTek Resource Efficiency Plan 2030 </w:t>
      </w:r>
      <w:r w:rsidRPr="00730DE4">
        <w:t xml:space="preserve">TMR: </w:t>
      </w:r>
    </w:p>
    <w:p w14:paraId="7274DF1D" w14:textId="77777777" w:rsidR="002514F8" w:rsidRPr="00730DE4" w:rsidRDefault="002514F8" w:rsidP="002563B3">
      <w:pPr>
        <w:pStyle w:val="ListBullet2"/>
      </w:pPr>
      <w:r w:rsidRPr="00730DE4">
        <w:t>delivered an additional 70kW solar PV at Gold Coast Depot</w:t>
      </w:r>
    </w:p>
    <w:p w14:paraId="08A04DA8" w14:textId="77777777" w:rsidR="002514F8" w:rsidRPr="00730DE4" w:rsidRDefault="002514F8" w:rsidP="002563B3">
      <w:pPr>
        <w:pStyle w:val="ListBullet2"/>
      </w:pPr>
      <w:r w:rsidRPr="00730DE4">
        <w:t>completed a depot LED upgrade at Winton Depot</w:t>
      </w:r>
    </w:p>
    <w:p w14:paraId="08CFCBB9" w14:textId="77777777" w:rsidR="002514F8" w:rsidRPr="00730DE4" w:rsidRDefault="002514F8" w:rsidP="002563B3">
      <w:pPr>
        <w:pStyle w:val="ListBullet2"/>
      </w:pPr>
      <w:r w:rsidRPr="00730DE4">
        <w:t>completed planning for Greening Depot program at Fiery Creek Depot in Mackay</w:t>
      </w:r>
    </w:p>
    <w:p w14:paraId="26C739B2" w14:textId="77777777" w:rsidR="002514F8" w:rsidRPr="00730DE4" w:rsidRDefault="002514F8" w:rsidP="002563B3">
      <w:pPr>
        <w:pStyle w:val="ListBullet2"/>
      </w:pPr>
      <w:r w:rsidRPr="00730DE4">
        <w:t>increased the number of QFleet EVs from two in 2022–23 to six in 2023–24</w:t>
      </w:r>
    </w:p>
    <w:p w14:paraId="43FD3210" w14:textId="77777777" w:rsidR="002514F8" w:rsidRPr="00730DE4" w:rsidRDefault="002514F8" w:rsidP="002563B3">
      <w:pPr>
        <w:pStyle w:val="ListBullet2"/>
      </w:pPr>
      <w:r w:rsidRPr="00730DE4">
        <w:t>developed and implemented the RoadTek Plant fleet transition to Euro VI/6 and Tier 4 vehicles</w:t>
      </w:r>
    </w:p>
    <w:p w14:paraId="637665D4" w14:textId="77777777" w:rsidR="002514F8" w:rsidRPr="00730DE4" w:rsidRDefault="002514F8" w:rsidP="002563B3">
      <w:pPr>
        <w:pStyle w:val="ListBullet2"/>
      </w:pPr>
      <w:r w:rsidRPr="00730DE4">
        <w:t>published RoadTek actions that align to the United Nations Sustainable Development Goals.</w:t>
      </w:r>
    </w:p>
    <w:p w14:paraId="502D63EF" w14:textId="77777777" w:rsidR="002514F8" w:rsidRPr="00730DE4" w:rsidRDefault="002514F8" w:rsidP="002563B3">
      <w:pPr>
        <w:pStyle w:val="ListBullet"/>
      </w:pPr>
      <w:r w:rsidRPr="00730DE4">
        <w:t xml:space="preserve">Encouraging and enabling Queenslanders to walk and ride bicycles for transport, recreation, and wellbeing by continuing to deliver initiatives through the </w:t>
      </w:r>
      <w:r w:rsidRPr="00730DE4">
        <w:rPr>
          <w:rStyle w:val="Emphasis"/>
        </w:rPr>
        <w:t>Queensland Cycling Strategy 2017–2027</w:t>
      </w:r>
      <w:r w:rsidRPr="00730DE4">
        <w:t xml:space="preserve"> and </w:t>
      </w:r>
      <w:r w:rsidRPr="00730DE4">
        <w:rPr>
          <w:rStyle w:val="Emphasis"/>
        </w:rPr>
        <w:t>Queensland Walking Strategy 2019–2029</w:t>
      </w:r>
      <w:r w:rsidRPr="00730DE4">
        <w:t xml:space="preserve"> and their supporting action plans. </w:t>
      </w:r>
    </w:p>
    <w:p w14:paraId="785FB391" w14:textId="77777777" w:rsidR="002514F8" w:rsidRPr="00730DE4" w:rsidRDefault="002514F8" w:rsidP="002B7001">
      <w:pPr>
        <w:pStyle w:val="Heading4"/>
      </w:pPr>
      <w:bookmarkStart w:id="226" w:name="_Toc180487305"/>
      <w:bookmarkStart w:id="227" w:name="_Toc180490511"/>
      <w:bookmarkStart w:id="228" w:name="_Toc180491544"/>
      <w:r w:rsidRPr="00730DE4">
        <w:t>Building Queensland</w:t>
      </w:r>
      <w:bookmarkEnd w:id="226"/>
      <w:bookmarkEnd w:id="227"/>
      <w:bookmarkEnd w:id="228"/>
    </w:p>
    <w:p w14:paraId="0A78C986" w14:textId="77777777" w:rsidR="002514F8" w:rsidRPr="00730DE4" w:rsidRDefault="002514F8" w:rsidP="00050791">
      <w:pPr>
        <w:pStyle w:val="ListBullet"/>
      </w:pPr>
      <w:r w:rsidRPr="00730DE4">
        <w:t>Continued to plan the delivery of sustainable transport infrastructure and services to support the Brisbane 2032 Olympic and Paralympic Games, including the safe, efficient, and inclusive access to competition venues to provide an ongoing legacy for the community.</w:t>
      </w:r>
    </w:p>
    <w:p w14:paraId="56D7D94B" w14:textId="77777777" w:rsidR="002514F8" w:rsidRPr="00730DE4" w:rsidRDefault="002514F8" w:rsidP="00050791">
      <w:pPr>
        <w:pStyle w:val="ListBullet"/>
      </w:pPr>
      <w:r w:rsidRPr="00730DE4">
        <w:t>Supported planning for the complementary and essential contributory functions of movement and place together to deliver multiple-value outcomes from our transport network through the development of a Movement and Place Policy and operational framework, which aims to positively contribute to the creation of more connected, liveable, and sustainable neighbourhoods, cities, and regions for all Queenslanders.</w:t>
      </w:r>
    </w:p>
    <w:p w14:paraId="31B7F441" w14:textId="77777777" w:rsidR="002514F8" w:rsidRPr="00730DE4" w:rsidRDefault="002514F8" w:rsidP="002B7001">
      <w:pPr>
        <w:pStyle w:val="Heading4"/>
      </w:pPr>
      <w:bookmarkStart w:id="229" w:name="_Toc180487306"/>
      <w:bookmarkStart w:id="230" w:name="_Toc180490512"/>
      <w:bookmarkStart w:id="231" w:name="_Toc180491545"/>
      <w:r w:rsidRPr="00730DE4">
        <w:t>Honouring and embracing our rich and ancient cultural history</w:t>
      </w:r>
      <w:bookmarkEnd w:id="229"/>
      <w:bookmarkEnd w:id="230"/>
      <w:bookmarkEnd w:id="231"/>
      <w:r w:rsidRPr="00730DE4">
        <w:t xml:space="preserve"> </w:t>
      </w:r>
    </w:p>
    <w:p w14:paraId="79222B90" w14:textId="77777777" w:rsidR="002514F8" w:rsidRPr="00730DE4" w:rsidRDefault="002514F8" w:rsidP="002563B3">
      <w:pPr>
        <w:pStyle w:val="ListBullet"/>
      </w:pPr>
      <w:r w:rsidRPr="00730DE4">
        <w:t>Improved digital opportunities for Aboriginal and Torres Strait Islander people across Queensland.</w:t>
      </w:r>
    </w:p>
    <w:p w14:paraId="2EEE3E3B" w14:textId="77777777" w:rsidR="002514F8" w:rsidRPr="00730DE4" w:rsidRDefault="002514F8" w:rsidP="00794B22">
      <w:pPr>
        <w:pStyle w:val="ListBullet2"/>
      </w:pPr>
      <w:r w:rsidRPr="00730DE4">
        <w:t>Rollout of 4000 refurbished devices to students in remote and rural Queensland with over 60 per cent of these going to First Nations communities to reduce device poverty.</w:t>
      </w:r>
    </w:p>
    <w:p w14:paraId="04D62E49" w14:textId="385D1881" w:rsidR="00EA1647" w:rsidRDefault="002514F8" w:rsidP="008B4168">
      <w:pPr>
        <w:pStyle w:val="ListBullet2"/>
      </w:pPr>
      <w:r w:rsidRPr="00730DE4">
        <w:t>Partnered with First Nations communities, industry, and other Queensland Government departments to establish and support Digital Service Centres at Cherbourg and Palm Island—these centres employ local community members.</w:t>
      </w:r>
      <w:r w:rsidR="00EA1647">
        <w:br w:type="page"/>
      </w:r>
    </w:p>
    <w:p w14:paraId="27BA599F" w14:textId="77777777" w:rsidR="002514F8" w:rsidRPr="00730DE4" w:rsidRDefault="002514F8" w:rsidP="002563B3">
      <w:pPr>
        <w:pStyle w:val="ListBullet"/>
      </w:pPr>
      <w:r w:rsidRPr="00730DE4">
        <w:t>Delivered improved telecommunications for Aboriginal and Torres Strait Islander communities.</w:t>
      </w:r>
    </w:p>
    <w:p w14:paraId="330CFDF5" w14:textId="77777777" w:rsidR="002514F8" w:rsidRPr="00730DE4" w:rsidRDefault="002514F8" w:rsidP="0074098D">
      <w:pPr>
        <w:pStyle w:val="ListBullet2"/>
      </w:pPr>
      <w:r w:rsidRPr="00730DE4">
        <w:t>Telecommunications activities across Queensland—Regional Connectivity Program Round Three, LEO implementation partnership with the Local Government Association of Queensland.</w:t>
      </w:r>
    </w:p>
    <w:p w14:paraId="147767A3" w14:textId="77777777" w:rsidR="002514F8" w:rsidRPr="00730DE4" w:rsidRDefault="002514F8" w:rsidP="0074098D">
      <w:pPr>
        <w:pStyle w:val="ListBullet2"/>
      </w:pPr>
      <w:r w:rsidRPr="00730DE4">
        <w:t>Proactively addressing digital exclusion in Queensland’s discrete First Nations communities through a satellite funding program that empowers councils through the deployment of LEO satellite technology.</w:t>
      </w:r>
    </w:p>
    <w:p w14:paraId="43CFA491" w14:textId="77777777" w:rsidR="002514F8" w:rsidRPr="00730DE4" w:rsidRDefault="002514F8" w:rsidP="0074098D">
      <w:pPr>
        <w:pStyle w:val="ListBullet2"/>
      </w:pPr>
      <w:r w:rsidRPr="00730DE4">
        <w:t>The program is a collaboration between the Queensland Government and the Local Government Association of Queensland.</w:t>
      </w:r>
    </w:p>
    <w:p w14:paraId="0FE92C0A" w14:textId="77777777" w:rsidR="002514F8" w:rsidRPr="00730DE4" w:rsidRDefault="002514F8" w:rsidP="0074098D">
      <w:pPr>
        <w:pStyle w:val="ListBullet2"/>
      </w:pPr>
      <w:r w:rsidRPr="00730DE4">
        <w:t>The Queensland Government is contributing $14.509 million (including GST) to deliver eight mobile and voice, fixed wireless, and mesh wi-fi projects to on- and off-shore First Nations communities.</w:t>
      </w:r>
    </w:p>
    <w:p w14:paraId="7F4B3B8B" w14:textId="77777777" w:rsidR="002514F8" w:rsidRPr="00730DE4" w:rsidRDefault="002514F8" w:rsidP="0074098D">
      <w:pPr>
        <w:pStyle w:val="ListBullet2"/>
      </w:pPr>
      <w:r w:rsidRPr="00730DE4">
        <w:t xml:space="preserve">This co-contribution is in response to the Australian Government’s </w:t>
      </w:r>
      <w:bookmarkStart w:id="232" w:name="_Hlk173847071"/>
      <w:r w:rsidRPr="00730DE4">
        <w:t xml:space="preserve">Regional Connectivity Program Round </w:t>
      </w:r>
      <w:bookmarkEnd w:id="232"/>
      <w:r w:rsidRPr="00730DE4">
        <w:t>Three and represents 92 per cent of the Queensland Government’s total contribution to the program.</w:t>
      </w:r>
    </w:p>
    <w:p w14:paraId="04384161" w14:textId="77777777" w:rsidR="002514F8" w:rsidRPr="00730DE4" w:rsidRDefault="002514F8" w:rsidP="00403AEF">
      <w:pPr>
        <w:pStyle w:val="ListBullet"/>
      </w:pPr>
      <w:r w:rsidRPr="00730DE4">
        <w:t xml:space="preserve">Continued implementation of various Aboriginal and Torres Strait Islander people entry and career pathway programs including the Peninsula Developmental Road Scholarship Program and the First Nations Digital Careers Program, which continues to provide program support to 36 active First Nation Information Technology trainees. </w:t>
      </w:r>
    </w:p>
    <w:p w14:paraId="7D30DFB4" w14:textId="77777777" w:rsidR="002514F8" w:rsidRPr="00730DE4" w:rsidRDefault="002514F8" w:rsidP="00403AEF">
      <w:pPr>
        <w:pStyle w:val="ListBullet"/>
      </w:pPr>
      <w:r w:rsidRPr="00730DE4">
        <w:t>Supported commitment to prioritising a reframed relationship with Aboriginal and Torres Strait Islander people through implementation of TMR’s Indigenous Strategy Roadmap and Action Plan 2023–24.</w:t>
      </w:r>
    </w:p>
    <w:p w14:paraId="570308CE" w14:textId="77777777" w:rsidR="002514F8" w:rsidRPr="00730DE4" w:rsidRDefault="002514F8" w:rsidP="00403AEF">
      <w:pPr>
        <w:pStyle w:val="ListBullet"/>
      </w:pPr>
      <w:r w:rsidRPr="00730DE4">
        <w:t>Increased investment in better understanding and supporting both current and future Aboriginal and Torres Strait Islander employees with research projects, field-work career days, more Identified roles, and a First Nations specific mentoring program.</w:t>
      </w:r>
    </w:p>
    <w:p w14:paraId="2A75AFF6" w14:textId="77777777" w:rsidR="002514F8" w:rsidRPr="00730DE4" w:rsidRDefault="002514F8" w:rsidP="00403AEF">
      <w:pPr>
        <w:pStyle w:val="ListBullet"/>
      </w:pPr>
      <w:r w:rsidRPr="00730DE4">
        <w:t>Invested in preparedness for TMR’s role in Queensland’s Truth Telling and Healing Inquiry.</w:t>
      </w:r>
    </w:p>
    <w:p w14:paraId="7FEC4422" w14:textId="77777777" w:rsidR="002514F8" w:rsidRPr="00730DE4" w:rsidRDefault="002514F8" w:rsidP="00403AEF">
      <w:pPr>
        <w:pStyle w:val="ListBullet"/>
      </w:pPr>
      <w:r w:rsidRPr="00730DE4">
        <w:t>Significantly increased in participation in Aboriginal and Torres Strait Islander cultural awareness training, activities, and experiences.</w:t>
      </w:r>
    </w:p>
    <w:p w14:paraId="25FECF67" w14:textId="77777777" w:rsidR="002514F8" w:rsidRPr="00730DE4" w:rsidRDefault="002514F8" w:rsidP="00403AEF">
      <w:pPr>
        <w:pStyle w:val="ListBullet"/>
      </w:pPr>
      <w:r w:rsidRPr="00730DE4">
        <w:t>Developed of a procurement short course mandated for all procurement delegates which focuses on engaging Aboriginal and Torres Strait Islander businesses</w:t>
      </w:r>
    </w:p>
    <w:p w14:paraId="3B67706B" w14:textId="77777777" w:rsidR="002514F8" w:rsidRPr="00730DE4" w:rsidRDefault="002514F8" w:rsidP="00403AEF">
      <w:pPr>
        <w:pStyle w:val="ListBullet"/>
      </w:pPr>
      <w:r w:rsidRPr="00730DE4">
        <w:t>Increased recognition of Aboriginal and Torres Strait Islander artwork on uniforms and buildings.</w:t>
      </w:r>
    </w:p>
    <w:p w14:paraId="19B86B27" w14:textId="3F8D6221" w:rsidR="00151D00" w:rsidRPr="00730DE4" w:rsidRDefault="002514F8" w:rsidP="00F23ED3">
      <w:pPr>
        <w:pStyle w:val="ListBullet"/>
      </w:pPr>
      <w:r w:rsidRPr="00730DE4">
        <w:t>Increased involvement in NAIDOC week activities.</w:t>
      </w:r>
    </w:p>
    <w:p w14:paraId="06AF3BF2" w14:textId="77777777" w:rsidR="002D6779" w:rsidRPr="00730DE4" w:rsidRDefault="002D6779" w:rsidP="002B7001">
      <w:pPr>
        <w:pStyle w:val="Heading2"/>
        <w:rPr>
          <w:lang w:val="en-US"/>
        </w:rPr>
        <w:sectPr w:rsidR="002D6779" w:rsidRPr="00730DE4" w:rsidSect="007345BF">
          <w:pgSz w:w="11906" w:h="16838" w:code="9"/>
          <w:pgMar w:top="1134" w:right="1418" w:bottom="1418" w:left="1418" w:header="454" w:footer="454" w:gutter="0"/>
          <w:pgNumType w:start="1"/>
          <w:cols w:space="708"/>
          <w:docGrid w:linePitch="360"/>
        </w:sectPr>
      </w:pPr>
    </w:p>
    <w:p w14:paraId="68E8D629" w14:textId="5431E8AF" w:rsidR="002514F8" w:rsidRPr="00730DE4" w:rsidRDefault="002514F8" w:rsidP="002B7001">
      <w:pPr>
        <w:pStyle w:val="Heading2"/>
        <w:rPr>
          <w:lang w:val="en-US"/>
        </w:rPr>
      </w:pPr>
      <w:bookmarkStart w:id="233" w:name="_Toc180490513"/>
      <w:bookmarkStart w:id="234" w:name="_Toc180491546"/>
      <w:r w:rsidRPr="00730DE4">
        <w:rPr>
          <w:lang w:val="en-US"/>
        </w:rPr>
        <w:t>Key priorities and outcomes</w:t>
      </w:r>
      <w:bookmarkEnd w:id="233"/>
      <w:bookmarkEnd w:id="234"/>
    </w:p>
    <w:p w14:paraId="476CDE3A" w14:textId="77777777" w:rsidR="002514F8" w:rsidRPr="00730DE4" w:rsidRDefault="002514F8" w:rsidP="00F23ED3">
      <w:pPr>
        <w:rPr>
          <w:lang w:val="en-US"/>
        </w:rPr>
      </w:pPr>
      <w:r w:rsidRPr="00730DE4">
        <w:rPr>
          <w:lang w:val="en-US"/>
        </w:rPr>
        <w:t xml:space="preserve">Below is a summary of how TMR delivered on its strategic objectives during 2023–24 contributing to the Queensland Government's objectives for the community. </w:t>
      </w:r>
    </w:p>
    <w:p w14:paraId="36963029" w14:textId="77777777" w:rsidR="002514F8" w:rsidRPr="00730DE4" w:rsidRDefault="002514F8" w:rsidP="002B7001">
      <w:pPr>
        <w:pStyle w:val="Heading3"/>
        <w:rPr>
          <w:lang w:val="en-US"/>
        </w:rPr>
      </w:pPr>
      <w:bookmarkStart w:id="235" w:name="_Toc180487308"/>
      <w:bookmarkStart w:id="236" w:name="_Toc180490514"/>
      <w:bookmarkStart w:id="237" w:name="_Toc180491547"/>
      <w:r w:rsidRPr="00730DE4">
        <w:rPr>
          <w:lang w:val="en-US"/>
        </w:rPr>
        <w:t>Accessible and integrated</w:t>
      </w:r>
      <w:bookmarkEnd w:id="235"/>
      <w:bookmarkEnd w:id="236"/>
      <w:bookmarkEnd w:id="237"/>
      <w:r w:rsidRPr="00730DE4">
        <w:rPr>
          <w:lang w:val="en-US"/>
        </w:rPr>
        <w:t xml:space="preserve"> </w:t>
      </w:r>
    </w:p>
    <w:p w14:paraId="3AC26D9C" w14:textId="77777777" w:rsidR="002514F8" w:rsidRPr="00730DE4" w:rsidRDefault="002514F8" w:rsidP="00F23ED3">
      <w:pPr>
        <w:rPr>
          <w:lang w:val="en-US"/>
        </w:rPr>
      </w:pPr>
      <w:r w:rsidRPr="00730DE4">
        <w:rPr>
          <w:lang w:val="en-US"/>
        </w:rPr>
        <w:t>A transport system that is accessible and connects customers and communities.</w:t>
      </w:r>
    </w:p>
    <w:p w14:paraId="4FF3D5E8" w14:textId="77777777" w:rsidR="002514F8" w:rsidRPr="00730DE4" w:rsidRDefault="002514F8" w:rsidP="001D287A">
      <w:pPr>
        <w:pStyle w:val="FigureCaption"/>
        <w:rPr>
          <w:lang w:val="en-US"/>
        </w:rPr>
      </w:pPr>
      <w:r w:rsidRPr="00730DE4">
        <w:rPr>
          <w:lang w:val="en-US"/>
        </w:rPr>
        <w:t>Table 3: Key priorities and outcomes: Accessible and integrated</w:t>
      </w:r>
    </w:p>
    <w:tbl>
      <w:tblPr>
        <w:tblStyle w:val="TMRDefault"/>
        <w:tblW w:w="5000" w:type="pct"/>
        <w:tblLook w:val="0020" w:firstRow="1" w:lastRow="0" w:firstColumn="0" w:lastColumn="0" w:noHBand="0" w:noVBand="0"/>
      </w:tblPr>
      <w:tblGrid>
        <w:gridCol w:w="9187"/>
        <w:gridCol w:w="3109"/>
        <w:gridCol w:w="1696"/>
      </w:tblGrid>
      <w:tr w:rsidR="002514F8" w:rsidRPr="00730DE4" w14:paraId="4E789D74" w14:textId="77777777" w:rsidTr="00C5487B">
        <w:trPr>
          <w:cnfStyle w:val="100000000000" w:firstRow="1" w:lastRow="0" w:firstColumn="0" w:lastColumn="0" w:oddVBand="0" w:evenVBand="0" w:oddHBand="0" w:evenHBand="0" w:firstRowFirstColumn="0" w:firstRowLastColumn="0" w:lastRowFirstColumn="0" w:lastRowLastColumn="0"/>
          <w:trHeight w:val="1020"/>
          <w:tblHeader/>
        </w:trPr>
        <w:tc>
          <w:tcPr>
            <w:tcW w:w="3283" w:type="pct"/>
          </w:tcPr>
          <w:p w14:paraId="5862161F" w14:textId="77777777" w:rsidR="002514F8" w:rsidRPr="00730DE4" w:rsidRDefault="002514F8" w:rsidP="00F23ED3">
            <w:pPr>
              <w:pStyle w:val="NoSpacing"/>
              <w:rPr>
                <w:color w:val="FFFFFF" w:themeColor="background1"/>
              </w:rPr>
            </w:pPr>
            <w:r w:rsidRPr="00730DE4">
              <w:rPr>
                <w:color w:val="FFFFFF" w:themeColor="background1"/>
              </w:rPr>
              <w:t xml:space="preserve">Key priorities and outcomes </w:t>
            </w:r>
          </w:p>
        </w:tc>
        <w:tc>
          <w:tcPr>
            <w:tcW w:w="1111" w:type="pct"/>
          </w:tcPr>
          <w:p w14:paraId="45F7923B" w14:textId="77777777" w:rsidR="002514F8" w:rsidRPr="00730DE4" w:rsidRDefault="002514F8" w:rsidP="00F23ED3">
            <w:pPr>
              <w:pStyle w:val="NoSpacing"/>
              <w:rPr>
                <w:color w:val="FFFFFF" w:themeColor="background1"/>
              </w:rPr>
            </w:pPr>
            <w:r w:rsidRPr="00730DE4">
              <w:rPr>
                <w:color w:val="FFFFFF" w:themeColor="background1"/>
              </w:rPr>
              <w:t xml:space="preserve">Alignment to Queensland Government's objectives for the community </w:t>
            </w:r>
          </w:p>
        </w:tc>
        <w:tc>
          <w:tcPr>
            <w:tcW w:w="606" w:type="pct"/>
          </w:tcPr>
          <w:p w14:paraId="45B1BBA6" w14:textId="77777777" w:rsidR="002514F8" w:rsidRPr="00730DE4" w:rsidRDefault="002514F8" w:rsidP="00F23ED3">
            <w:pPr>
              <w:pStyle w:val="NoSpacing"/>
              <w:rPr>
                <w:color w:val="FFFFFF" w:themeColor="background1"/>
              </w:rPr>
            </w:pPr>
            <w:r w:rsidRPr="00730DE4">
              <w:rPr>
                <w:color w:val="FFFFFF" w:themeColor="background1"/>
              </w:rPr>
              <w:t>Status</w:t>
            </w:r>
          </w:p>
        </w:tc>
      </w:tr>
      <w:tr w:rsidR="002514F8" w:rsidRPr="00730DE4" w14:paraId="62010B57" w14:textId="77777777" w:rsidTr="00C5487B">
        <w:trPr>
          <w:cnfStyle w:val="000000100000" w:firstRow="0" w:lastRow="0" w:firstColumn="0" w:lastColumn="0" w:oddVBand="0" w:evenVBand="0" w:oddHBand="1" w:evenHBand="0" w:firstRowFirstColumn="0" w:firstRowLastColumn="0" w:lastRowFirstColumn="0" w:lastRowLastColumn="0"/>
          <w:trHeight w:val="19"/>
        </w:trPr>
        <w:tc>
          <w:tcPr>
            <w:tcW w:w="3283" w:type="pct"/>
          </w:tcPr>
          <w:p w14:paraId="043D564B" w14:textId="77777777" w:rsidR="002514F8" w:rsidRPr="00730DE4" w:rsidRDefault="002514F8" w:rsidP="00F23ED3">
            <w:pPr>
              <w:pStyle w:val="NoSpacing"/>
            </w:pPr>
            <w:r w:rsidRPr="00730DE4">
              <w:t xml:space="preserve">Continued delivering the $335.7 million New Generation Rollingstock (NGR) accessibility upgrades on 75 Trains at Maryborough in the Fraser Coast Region. </w:t>
            </w:r>
          </w:p>
        </w:tc>
        <w:tc>
          <w:tcPr>
            <w:tcW w:w="1111" w:type="pct"/>
          </w:tcPr>
          <w:p w14:paraId="402424FB" w14:textId="77777777" w:rsidR="002514F8" w:rsidRPr="00730DE4" w:rsidRDefault="002514F8" w:rsidP="00F23ED3">
            <w:pPr>
              <w:pStyle w:val="NoSpacing"/>
            </w:pPr>
            <w:r w:rsidRPr="00730DE4">
              <w:t xml:space="preserve">Growing our regions </w:t>
            </w:r>
          </w:p>
        </w:tc>
        <w:tc>
          <w:tcPr>
            <w:tcW w:w="606" w:type="pct"/>
          </w:tcPr>
          <w:p w14:paraId="45AB91B1" w14:textId="77777777" w:rsidR="002514F8" w:rsidRPr="00730DE4" w:rsidRDefault="002514F8" w:rsidP="00F23ED3">
            <w:pPr>
              <w:pStyle w:val="NoSpacing"/>
            </w:pPr>
            <w:r w:rsidRPr="00730DE4">
              <w:t xml:space="preserve">Ongoing </w:t>
            </w:r>
          </w:p>
        </w:tc>
      </w:tr>
      <w:tr w:rsidR="002514F8" w:rsidRPr="00730DE4" w14:paraId="06E5543D" w14:textId="77777777" w:rsidTr="00C5487B">
        <w:trPr>
          <w:trHeight w:val="19"/>
        </w:trPr>
        <w:tc>
          <w:tcPr>
            <w:tcW w:w="3283" w:type="pct"/>
          </w:tcPr>
          <w:p w14:paraId="5D1CF2DA" w14:textId="77777777" w:rsidR="002514F8" w:rsidRPr="00730DE4" w:rsidRDefault="002514F8" w:rsidP="00F23ED3">
            <w:pPr>
              <w:pStyle w:val="NoSpacing"/>
            </w:pPr>
            <w:bookmarkStart w:id="238" w:name="_Hlk161313359"/>
            <w:r w:rsidRPr="00730DE4">
              <w:t>Commenced the multi-modal Bribie Island and Surrounds Transport and Mobility Study and undertook community consultation to identify community priorities for its future transport network.</w:t>
            </w:r>
            <w:bookmarkEnd w:id="238"/>
          </w:p>
        </w:tc>
        <w:tc>
          <w:tcPr>
            <w:tcW w:w="1111" w:type="pct"/>
          </w:tcPr>
          <w:p w14:paraId="3A9D84C4" w14:textId="77777777" w:rsidR="002514F8" w:rsidRPr="00730DE4" w:rsidRDefault="002514F8" w:rsidP="00F23ED3">
            <w:pPr>
              <w:pStyle w:val="NoSpacing"/>
            </w:pPr>
            <w:r w:rsidRPr="00730DE4">
              <w:t>Connecting Queensland</w:t>
            </w:r>
          </w:p>
        </w:tc>
        <w:tc>
          <w:tcPr>
            <w:tcW w:w="606" w:type="pct"/>
          </w:tcPr>
          <w:p w14:paraId="47FB1870" w14:textId="77777777" w:rsidR="002514F8" w:rsidRPr="00730DE4" w:rsidRDefault="002514F8" w:rsidP="00F23ED3">
            <w:pPr>
              <w:pStyle w:val="NoSpacing"/>
            </w:pPr>
            <w:r w:rsidRPr="00730DE4">
              <w:t>In progress</w:t>
            </w:r>
          </w:p>
        </w:tc>
      </w:tr>
      <w:tr w:rsidR="002514F8" w:rsidRPr="00730DE4" w14:paraId="1898DCEB" w14:textId="77777777" w:rsidTr="00C5487B">
        <w:trPr>
          <w:cnfStyle w:val="000000100000" w:firstRow="0" w:lastRow="0" w:firstColumn="0" w:lastColumn="0" w:oddVBand="0" w:evenVBand="0" w:oddHBand="1" w:evenHBand="0" w:firstRowFirstColumn="0" w:firstRowLastColumn="0" w:lastRowFirstColumn="0" w:lastRowLastColumn="0"/>
          <w:trHeight w:val="19"/>
        </w:trPr>
        <w:tc>
          <w:tcPr>
            <w:tcW w:w="3283" w:type="pct"/>
          </w:tcPr>
          <w:p w14:paraId="26DD4994" w14:textId="77777777" w:rsidR="002514F8" w:rsidRPr="00730DE4" w:rsidRDefault="002514F8" w:rsidP="00F23ED3">
            <w:pPr>
              <w:pStyle w:val="NoSpacing"/>
            </w:pPr>
            <w:r w:rsidRPr="00730DE4">
              <w:t>Published more than 30 Walking Network Plans, developed in partnership with local government, to guide walkability improvements around key destinations such as town centres, schools, health facilities, and public transport stops.</w:t>
            </w:r>
          </w:p>
        </w:tc>
        <w:tc>
          <w:tcPr>
            <w:tcW w:w="1111" w:type="pct"/>
          </w:tcPr>
          <w:p w14:paraId="125C8D0F" w14:textId="77777777" w:rsidR="002514F8" w:rsidRPr="00730DE4" w:rsidRDefault="002514F8" w:rsidP="00F23ED3">
            <w:pPr>
              <w:pStyle w:val="NoSpacing"/>
            </w:pPr>
            <w:r w:rsidRPr="00730DE4">
              <w:t xml:space="preserve">Connecting Queensland </w:t>
            </w:r>
          </w:p>
        </w:tc>
        <w:tc>
          <w:tcPr>
            <w:tcW w:w="606" w:type="pct"/>
          </w:tcPr>
          <w:p w14:paraId="039C2735" w14:textId="77777777" w:rsidR="002514F8" w:rsidRPr="00730DE4" w:rsidRDefault="002514F8" w:rsidP="00F23ED3">
            <w:pPr>
              <w:pStyle w:val="NoSpacing"/>
            </w:pPr>
            <w:r w:rsidRPr="00730DE4">
              <w:t>Completed</w:t>
            </w:r>
          </w:p>
        </w:tc>
      </w:tr>
    </w:tbl>
    <w:p w14:paraId="124EC808" w14:textId="77777777" w:rsidR="00EA1647" w:rsidRDefault="00EA1647" w:rsidP="002B7001">
      <w:pPr>
        <w:pStyle w:val="Heading3"/>
        <w:rPr>
          <w:lang w:val="en-US"/>
        </w:rPr>
      </w:pPr>
      <w:r>
        <w:rPr>
          <w:lang w:val="en-US"/>
        </w:rPr>
        <w:br w:type="page"/>
      </w:r>
    </w:p>
    <w:p w14:paraId="6B1A8274" w14:textId="10D68F94" w:rsidR="002514F8" w:rsidRPr="00730DE4" w:rsidRDefault="002514F8" w:rsidP="002B7001">
      <w:pPr>
        <w:pStyle w:val="Heading3"/>
        <w:rPr>
          <w:lang w:val="en-US"/>
        </w:rPr>
      </w:pPr>
      <w:bookmarkStart w:id="239" w:name="_Toc180487309"/>
      <w:bookmarkStart w:id="240" w:name="_Toc180490515"/>
      <w:bookmarkStart w:id="241" w:name="_Toc180491548"/>
      <w:r w:rsidRPr="00730DE4">
        <w:rPr>
          <w:lang w:val="en-US"/>
        </w:rPr>
        <w:t>Safe and secure</w:t>
      </w:r>
      <w:bookmarkEnd w:id="239"/>
      <w:bookmarkEnd w:id="240"/>
      <w:bookmarkEnd w:id="241"/>
    </w:p>
    <w:p w14:paraId="730B85F0" w14:textId="77777777" w:rsidR="002514F8" w:rsidRPr="00730DE4" w:rsidRDefault="002514F8" w:rsidP="00F23ED3">
      <w:pPr>
        <w:rPr>
          <w:lang w:val="en-US"/>
        </w:rPr>
      </w:pPr>
      <w:r w:rsidRPr="00730DE4">
        <w:rPr>
          <w:lang w:val="en-US"/>
        </w:rPr>
        <w:t>A transport system that is safe and secure for customers and goods.</w:t>
      </w:r>
    </w:p>
    <w:p w14:paraId="1C1E3450" w14:textId="77777777" w:rsidR="002514F8" w:rsidRPr="00730DE4" w:rsidRDefault="002514F8" w:rsidP="001D287A">
      <w:pPr>
        <w:pStyle w:val="FigureCaption"/>
        <w:rPr>
          <w:lang w:val="en-US"/>
        </w:rPr>
      </w:pPr>
      <w:r w:rsidRPr="00730DE4">
        <w:rPr>
          <w:lang w:val="en-US"/>
        </w:rPr>
        <w:t>Table 4: Key priorities and outcomes: Safe and secure</w:t>
      </w:r>
    </w:p>
    <w:tbl>
      <w:tblPr>
        <w:tblStyle w:val="TMRDefault"/>
        <w:tblW w:w="5000" w:type="pct"/>
        <w:tblLook w:val="0020" w:firstRow="1" w:lastRow="0" w:firstColumn="0" w:lastColumn="0" w:noHBand="0" w:noVBand="0"/>
      </w:tblPr>
      <w:tblGrid>
        <w:gridCol w:w="9187"/>
        <w:gridCol w:w="3109"/>
        <w:gridCol w:w="1696"/>
      </w:tblGrid>
      <w:tr w:rsidR="002514F8" w:rsidRPr="00730DE4" w14:paraId="75987DA6" w14:textId="77777777" w:rsidTr="00C5487B">
        <w:trPr>
          <w:cnfStyle w:val="100000000000" w:firstRow="1" w:lastRow="0" w:firstColumn="0" w:lastColumn="0" w:oddVBand="0" w:evenVBand="0" w:oddHBand="0" w:evenHBand="0" w:firstRowFirstColumn="0" w:firstRowLastColumn="0" w:lastRowFirstColumn="0" w:lastRowLastColumn="0"/>
          <w:trHeight w:val="29"/>
          <w:tblHeader/>
        </w:trPr>
        <w:tc>
          <w:tcPr>
            <w:tcW w:w="3283" w:type="pct"/>
          </w:tcPr>
          <w:p w14:paraId="4DC998BC" w14:textId="77777777" w:rsidR="002514F8" w:rsidRPr="00730DE4" w:rsidRDefault="002514F8" w:rsidP="00F23ED3">
            <w:pPr>
              <w:pStyle w:val="NoSpacing"/>
              <w:rPr>
                <w:color w:val="FFFFFF" w:themeColor="background1"/>
                <w:lang w:val="en-US"/>
              </w:rPr>
            </w:pPr>
            <w:r w:rsidRPr="00730DE4">
              <w:rPr>
                <w:color w:val="FFFFFF" w:themeColor="background1"/>
                <w:lang w:val="en-US"/>
              </w:rPr>
              <w:t xml:space="preserve">Key priorities and outcomes </w:t>
            </w:r>
          </w:p>
        </w:tc>
        <w:tc>
          <w:tcPr>
            <w:tcW w:w="1111" w:type="pct"/>
          </w:tcPr>
          <w:p w14:paraId="49F53C90" w14:textId="77777777" w:rsidR="002514F8" w:rsidRPr="00730DE4" w:rsidRDefault="002514F8" w:rsidP="00F23ED3">
            <w:pPr>
              <w:pStyle w:val="NoSpacing"/>
              <w:rPr>
                <w:color w:val="FFFFFF" w:themeColor="background1"/>
                <w:lang w:val="en-US"/>
              </w:rPr>
            </w:pPr>
            <w:r w:rsidRPr="00730DE4">
              <w:rPr>
                <w:color w:val="FFFFFF" w:themeColor="background1"/>
                <w:lang w:val="en-US"/>
              </w:rPr>
              <w:t xml:space="preserve">Alignment to Queensland Government's objectives for the community </w:t>
            </w:r>
          </w:p>
        </w:tc>
        <w:tc>
          <w:tcPr>
            <w:tcW w:w="606" w:type="pct"/>
          </w:tcPr>
          <w:p w14:paraId="6021391A" w14:textId="77777777" w:rsidR="002514F8" w:rsidRPr="00730DE4" w:rsidRDefault="002514F8" w:rsidP="00F23ED3">
            <w:pPr>
              <w:pStyle w:val="NoSpacing"/>
              <w:rPr>
                <w:color w:val="FFFFFF" w:themeColor="background1"/>
                <w:lang w:val="en-US"/>
              </w:rPr>
            </w:pPr>
            <w:r w:rsidRPr="00730DE4">
              <w:rPr>
                <w:color w:val="FFFFFF" w:themeColor="background1"/>
                <w:lang w:val="en-US"/>
              </w:rPr>
              <w:t>Status</w:t>
            </w:r>
          </w:p>
        </w:tc>
      </w:tr>
      <w:tr w:rsidR="000A65A9" w:rsidRPr="00730DE4" w14:paraId="2907102F" w14:textId="77777777" w:rsidTr="00C5487B">
        <w:trPr>
          <w:cnfStyle w:val="000000100000" w:firstRow="0" w:lastRow="0" w:firstColumn="0" w:lastColumn="0" w:oddVBand="0" w:evenVBand="0" w:oddHBand="1" w:evenHBand="0" w:firstRowFirstColumn="0" w:firstRowLastColumn="0" w:lastRowFirstColumn="0" w:lastRowLastColumn="0"/>
          <w:trHeight w:val="110"/>
        </w:trPr>
        <w:tc>
          <w:tcPr>
            <w:tcW w:w="3283" w:type="pct"/>
          </w:tcPr>
          <w:p w14:paraId="76193606" w14:textId="77777777" w:rsidR="002514F8" w:rsidRPr="00730DE4" w:rsidRDefault="002514F8" w:rsidP="00F23ED3">
            <w:pPr>
              <w:pStyle w:val="NoSpacing"/>
              <w:rPr>
                <w:lang w:val="en-US"/>
              </w:rPr>
            </w:pPr>
            <w:r w:rsidRPr="00730DE4">
              <w:rPr>
                <w:lang w:val="en-US"/>
              </w:rPr>
              <w:t>Continued implementation of the ETCS as part of the CRR project and planning for its development more broadly on the Queensland Rail network which will increase both safety and network capacity by providing greater oversight and control of trains as they are in operation.</w:t>
            </w:r>
          </w:p>
        </w:tc>
        <w:tc>
          <w:tcPr>
            <w:tcW w:w="1111" w:type="pct"/>
          </w:tcPr>
          <w:p w14:paraId="403A7399" w14:textId="77777777" w:rsidR="002514F8" w:rsidRPr="00730DE4" w:rsidRDefault="002514F8" w:rsidP="00F23ED3">
            <w:pPr>
              <w:pStyle w:val="NoSpacing"/>
              <w:rPr>
                <w:lang w:val="en-US"/>
              </w:rPr>
            </w:pPr>
            <w:r w:rsidRPr="00730DE4">
              <w:rPr>
                <w:lang w:val="en-US"/>
              </w:rPr>
              <w:t xml:space="preserve">Keeping Queenslanders safe </w:t>
            </w:r>
          </w:p>
        </w:tc>
        <w:tc>
          <w:tcPr>
            <w:tcW w:w="606" w:type="pct"/>
          </w:tcPr>
          <w:p w14:paraId="1D719252" w14:textId="77777777" w:rsidR="002514F8" w:rsidRPr="00730DE4" w:rsidRDefault="002514F8" w:rsidP="00F23ED3">
            <w:pPr>
              <w:pStyle w:val="NoSpacing"/>
              <w:rPr>
                <w:lang w:val="en-US"/>
              </w:rPr>
            </w:pPr>
            <w:r w:rsidRPr="00730DE4">
              <w:rPr>
                <w:lang w:val="en-US"/>
              </w:rPr>
              <w:t xml:space="preserve">Ongoing </w:t>
            </w:r>
          </w:p>
        </w:tc>
      </w:tr>
      <w:tr w:rsidR="002514F8" w:rsidRPr="00730DE4" w14:paraId="7241B61F" w14:textId="77777777" w:rsidTr="00C5487B">
        <w:trPr>
          <w:trHeight w:val="19"/>
        </w:trPr>
        <w:tc>
          <w:tcPr>
            <w:tcW w:w="3283" w:type="pct"/>
          </w:tcPr>
          <w:p w14:paraId="0F049DFD" w14:textId="77777777" w:rsidR="002514F8" w:rsidRPr="00730DE4" w:rsidRDefault="002514F8" w:rsidP="00F23ED3">
            <w:pPr>
              <w:pStyle w:val="NoSpacing"/>
              <w:rPr>
                <w:lang w:val="en-US"/>
              </w:rPr>
            </w:pPr>
            <w:r w:rsidRPr="00730DE4">
              <w:rPr>
                <w:lang w:val="en-US"/>
              </w:rPr>
              <w:t xml:space="preserve">Continued delivering the Targeted Road Safety Program to reduce the frequency and severity of road-related trauma and commenced plans to transition the Camera Detected Offence Program to TMR. </w:t>
            </w:r>
          </w:p>
        </w:tc>
        <w:tc>
          <w:tcPr>
            <w:tcW w:w="1111" w:type="pct"/>
          </w:tcPr>
          <w:p w14:paraId="3F2DAE41" w14:textId="77777777" w:rsidR="002514F8" w:rsidRPr="00730DE4" w:rsidRDefault="002514F8" w:rsidP="00F23ED3">
            <w:pPr>
              <w:pStyle w:val="NoSpacing"/>
              <w:rPr>
                <w:lang w:val="en-US"/>
              </w:rPr>
            </w:pPr>
            <w:r w:rsidRPr="00730DE4">
              <w:rPr>
                <w:lang w:val="en-US"/>
              </w:rPr>
              <w:t>Keeping Queenslanders safe</w:t>
            </w:r>
          </w:p>
        </w:tc>
        <w:tc>
          <w:tcPr>
            <w:tcW w:w="606" w:type="pct"/>
          </w:tcPr>
          <w:p w14:paraId="5682C80E" w14:textId="77777777" w:rsidR="002514F8" w:rsidRPr="00730DE4" w:rsidRDefault="002514F8" w:rsidP="00F23ED3">
            <w:pPr>
              <w:pStyle w:val="NoSpacing"/>
              <w:rPr>
                <w:lang w:val="en-US"/>
              </w:rPr>
            </w:pPr>
            <w:r w:rsidRPr="00730DE4">
              <w:rPr>
                <w:lang w:val="en-US"/>
              </w:rPr>
              <w:t>Ongoing</w:t>
            </w:r>
          </w:p>
        </w:tc>
      </w:tr>
      <w:tr w:rsidR="000A65A9" w:rsidRPr="00730DE4" w14:paraId="2DB0F206" w14:textId="77777777" w:rsidTr="00C5487B">
        <w:trPr>
          <w:cnfStyle w:val="000000100000" w:firstRow="0" w:lastRow="0" w:firstColumn="0" w:lastColumn="0" w:oddVBand="0" w:evenVBand="0" w:oddHBand="1" w:evenHBand="0" w:firstRowFirstColumn="0" w:firstRowLastColumn="0" w:lastRowFirstColumn="0" w:lastRowLastColumn="0"/>
          <w:trHeight w:val="19"/>
        </w:trPr>
        <w:tc>
          <w:tcPr>
            <w:tcW w:w="3283" w:type="pct"/>
          </w:tcPr>
          <w:p w14:paraId="5DF4B8D3" w14:textId="77777777" w:rsidR="002514F8" w:rsidRPr="00730DE4" w:rsidRDefault="002514F8" w:rsidP="00F23ED3">
            <w:pPr>
              <w:pStyle w:val="NoSpacing"/>
              <w:rPr>
                <w:lang w:val="en-US"/>
              </w:rPr>
            </w:pPr>
            <w:r w:rsidRPr="00730DE4">
              <w:rPr>
                <w:lang w:val="en-US"/>
              </w:rPr>
              <w:t>The MET continued to undertake compliance education activities on Queensland's waterways.</w:t>
            </w:r>
          </w:p>
        </w:tc>
        <w:tc>
          <w:tcPr>
            <w:tcW w:w="1111" w:type="pct"/>
          </w:tcPr>
          <w:p w14:paraId="10635058" w14:textId="77777777" w:rsidR="002514F8" w:rsidRPr="00730DE4" w:rsidRDefault="002514F8" w:rsidP="00F23ED3">
            <w:pPr>
              <w:pStyle w:val="NoSpacing"/>
              <w:rPr>
                <w:lang w:val="en-US"/>
              </w:rPr>
            </w:pPr>
            <w:r w:rsidRPr="00730DE4">
              <w:rPr>
                <w:lang w:val="en-US"/>
              </w:rPr>
              <w:t>Keeping Queenslanders safe</w:t>
            </w:r>
          </w:p>
        </w:tc>
        <w:tc>
          <w:tcPr>
            <w:tcW w:w="606" w:type="pct"/>
          </w:tcPr>
          <w:p w14:paraId="4D0E03B4" w14:textId="77777777" w:rsidR="002514F8" w:rsidRPr="00730DE4" w:rsidRDefault="002514F8" w:rsidP="00F23ED3">
            <w:pPr>
              <w:pStyle w:val="NoSpacing"/>
              <w:rPr>
                <w:lang w:val="en-US"/>
              </w:rPr>
            </w:pPr>
            <w:r w:rsidRPr="00730DE4">
              <w:rPr>
                <w:lang w:val="en-US"/>
              </w:rPr>
              <w:t>Ongoing</w:t>
            </w:r>
          </w:p>
        </w:tc>
      </w:tr>
      <w:tr w:rsidR="002514F8" w:rsidRPr="00730DE4" w14:paraId="3A3BA41D" w14:textId="77777777" w:rsidTr="00C5487B">
        <w:trPr>
          <w:trHeight w:val="19"/>
        </w:trPr>
        <w:tc>
          <w:tcPr>
            <w:tcW w:w="3283" w:type="pct"/>
          </w:tcPr>
          <w:p w14:paraId="78419DA7" w14:textId="77777777" w:rsidR="002514F8" w:rsidRPr="00730DE4" w:rsidRDefault="002514F8" w:rsidP="00F23ED3">
            <w:pPr>
              <w:pStyle w:val="NoSpacing"/>
              <w:rPr>
                <w:lang w:val="en-US"/>
              </w:rPr>
            </w:pPr>
            <w:r w:rsidRPr="00730DE4">
              <w:rPr>
                <w:lang w:val="en-US"/>
              </w:rPr>
              <w:t xml:space="preserve">Upgraded the public boating facilities within Rosslyn Bay Boat Harbour to improve safety, usability, and queuing. </w:t>
            </w:r>
          </w:p>
        </w:tc>
        <w:tc>
          <w:tcPr>
            <w:tcW w:w="1111" w:type="pct"/>
          </w:tcPr>
          <w:p w14:paraId="084A08D5" w14:textId="77777777" w:rsidR="002514F8" w:rsidRPr="00730DE4" w:rsidRDefault="002514F8" w:rsidP="00F23ED3">
            <w:pPr>
              <w:pStyle w:val="NoSpacing"/>
              <w:rPr>
                <w:lang w:val="en-US"/>
              </w:rPr>
            </w:pPr>
            <w:r w:rsidRPr="00730DE4">
              <w:rPr>
                <w:lang w:val="en-US"/>
              </w:rPr>
              <w:t xml:space="preserve">Connecting Queensland </w:t>
            </w:r>
          </w:p>
        </w:tc>
        <w:tc>
          <w:tcPr>
            <w:tcW w:w="606" w:type="pct"/>
          </w:tcPr>
          <w:p w14:paraId="1B417BEB" w14:textId="77777777" w:rsidR="002514F8" w:rsidRPr="00730DE4" w:rsidRDefault="002514F8" w:rsidP="00F23ED3">
            <w:pPr>
              <w:pStyle w:val="NoSpacing"/>
              <w:rPr>
                <w:lang w:val="en-US"/>
              </w:rPr>
            </w:pPr>
            <w:r w:rsidRPr="00730DE4">
              <w:rPr>
                <w:lang w:val="en-US"/>
              </w:rPr>
              <w:t>Completed</w:t>
            </w:r>
          </w:p>
        </w:tc>
      </w:tr>
      <w:tr w:rsidR="000A65A9" w:rsidRPr="00730DE4" w14:paraId="31967969" w14:textId="77777777" w:rsidTr="00C5487B">
        <w:trPr>
          <w:cnfStyle w:val="000000100000" w:firstRow="0" w:lastRow="0" w:firstColumn="0" w:lastColumn="0" w:oddVBand="0" w:evenVBand="0" w:oddHBand="1" w:evenHBand="0" w:firstRowFirstColumn="0" w:firstRowLastColumn="0" w:lastRowFirstColumn="0" w:lastRowLastColumn="0"/>
          <w:trHeight w:val="19"/>
        </w:trPr>
        <w:tc>
          <w:tcPr>
            <w:tcW w:w="3283" w:type="pct"/>
          </w:tcPr>
          <w:p w14:paraId="1D13B9CA" w14:textId="77777777" w:rsidR="002514F8" w:rsidRPr="00730DE4" w:rsidRDefault="002514F8" w:rsidP="00F23ED3">
            <w:pPr>
              <w:pStyle w:val="NoSpacing"/>
              <w:rPr>
                <w:lang w:val="en-US"/>
              </w:rPr>
            </w:pPr>
            <w:r w:rsidRPr="00730DE4">
              <w:rPr>
                <w:lang w:val="en-US"/>
              </w:rPr>
              <w:t xml:space="preserve">Continued refining the reference design and undertaking pre-procurement activities for the LGC project to deliver improved rail capacity between Brisbane, Logan, and the Gold Coast. </w:t>
            </w:r>
          </w:p>
        </w:tc>
        <w:tc>
          <w:tcPr>
            <w:tcW w:w="1111" w:type="pct"/>
          </w:tcPr>
          <w:p w14:paraId="18CB3847" w14:textId="77777777" w:rsidR="002514F8" w:rsidRPr="00730DE4" w:rsidRDefault="002514F8" w:rsidP="00F23ED3">
            <w:pPr>
              <w:pStyle w:val="NoSpacing"/>
              <w:rPr>
                <w:lang w:val="en-US"/>
              </w:rPr>
            </w:pPr>
            <w:r w:rsidRPr="00730DE4">
              <w:rPr>
                <w:lang w:val="en-US"/>
              </w:rPr>
              <w:t>Connecting Queensland</w:t>
            </w:r>
          </w:p>
        </w:tc>
        <w:tc>
          <w:tcPr>
            <w:tcW w:w="606" w:type="pct"/>
          </w:tcPr>
          <w:p w14:paraId="473AB09E" w14:textId="77777777" w:rsidR="002514F8" w:rsidRPr="00730DE4" w:rsidRDefault="002514F8" w:rsidP="00F23ED3">
            <w:pPr>
              <w:pStyle w:val="NoSpacing"/>
              <w:rPr>
                <w:lang w:val="en-US"/>
              </w:rPr>
            </w:pPr>
            <w:r w:rsidRPr="00730DE4">
              <w:rPr>
                <w:lang w:val="en-US"/>
              </w:rPr>
              <w:t>In progress</w:t>
            </w:r>
          </w:p>
        </w:tc>
      </w:tr>
      <w:tr w:rsidR="002514F8" w:rsidRPr="00730DE4" w14:paraId="248357F2" w14:textId="77777777" w:rsidTr="00C5487B">
        <w:trPr>
          <w:trHeight w:val="19"/>
        </w:trPr>
        <w:tc>
          <w:tcPr>
            <w:tcW w:w="3283" w:type="pct"/>
          </w:tcPr>
          <w:p w14:paraId="74BC8D14" w14:textId="77777777" w:rsidR="002514F8" w:rsidRPr="00730DE4" w:rsidRDefault="002514F8" w:rsidP="00922309">
            <w:pPr>
              <w:pStyle w:val="NoSpacing"/>
              <w:rPr>
                <w:lang w:val="en-US"/>
              </w:rPr>
            </w:pPr>
            <w:r w:rsidRPr="00730DE4">
              <w:t>Conducted psychosocial risk assessments across TMR and continued to build awareness and capability to manage employee physical and psychological health and safety at work.</w:t>
            </w:r>
          </w:p>
        </w:tc>
        <w:tc>
          <w:tcPr>
            <w:tcW w:w="1111" w:type="pct"/>
          </w:tcPr>
          <w:p w14:paraId="007D339A" w14:textId="77777777" w:rsidR="002514F8" w:rsidRPr="00730DE4" w:rsidRDefault="002514F8" w:rsidP="00922309">
            <w:pPr>
              <w:pStyle w:val="NoSpacing"/>
              <w:rPr>
                <w:lang w:val="en-US"/>
              </w:rPr>
            </w:pPr>
            <w:r w:rsidRPr="00730DE4">
              <w:t xml:space="preserve">Supporting jobs </w:t>
            </w:r>
          </w:p>
        </w:tc>
        <w:tc>
          <w:tcPr>
            <w:tcW w:w="606" w:type="pct"/>
          </w:tcPr>
          <w:p w14:paraId="5E314DD2" w14:textId="77777777" w:rsidR="002514F8" w:rsidRPr="00730DE4" w:rsidRDefault="002514F8" w:rsidP="00922309">
            <w:pPr>
              <w:pStyle w:val="NoSpacing"/>
              <w:rPr>
                <w:lang w:val="en-US"/>
              </w:rPr>
            </w:pPr>
            <w:r w:rsidRPr="00730DE4">
              <w:t>In progress</w:t>
            </w:r>
          </w:p>
        </w:tc>
      </w:tr>
    </w:tbl>
    <w:p w14:paraId="050ABFEA" w14:textId="77777777" w:rsidR="00EA1647" w:rsidRDefault="00EA1647" w:rsidP="002B7001">
      <w:pPr>
        <w:pStyle w:val="Heading3"/>
        <w:rPr>
          <w:lang w:val="en-US"/>
        </w:rPr>
      </w:pPr>
      <w:r>
        <w:rPr>
          <w:lang w:val="en-US"/>
        </w:rPr>
        <w:br w:type="page"/>
      </w:r>
    </w:p>
    <w:p w14:paraId="4CC16E4D" w14:textId="41D78B60" w:rsidR="002514F8" w:rsidRPr="00730DE4" w:rsidRDefault="002514F8" w:rsidP="002B7001">
      <w:pPr>
        <w:pStyle w:val="Heading3"/>
        <w:rPr>
          <w:lang w:val="en-US"/>
        </w:rPr>
      </w:pPr>
      <w:bookmarkStart w:id="242" w:name="_Toc180487310"/>
      <w:bookmarkStart w:id="243" w:name="_Toc180490516"/>
      <w:bookmarkStart w:id="244" w:name="_Toc180491549"/>
      <w:r w:rsidRPr="00730DE4">
        <w:rPr>
          <w:lang w:val="en-US"/>
        </w:rPr>
        <w:t>Responsive</w:t>
      </w:r>
      <w:bookmarkEnd w:id="242"/>
      <w:bookmarkEnd w:id="243"/>
      <w:bookmarkEnd w:id="244"/>
      <w:r w:rsidRPr="00730DE4">
        <w:rPr>
          <w:lang w:val="en-US"/>
        </w:rPr>
        <w:t xml:space="preserve"> </w:t>
      </w:r>
    </w:p>
    <w:p w14:paraId="33B15731" w14:textId="77777777" w:rsidR="002514F8" w:rsidRPr="00730DE4" w:rsidRDefault="002514F8" w:rsidP="00F23ED3">
      <w:pPr>
        <w:rPr>
          <w:lang w:val="en-US"/>
        </w:rPr>
      </w:pPr>
      <w:r w:rsidRPr="00730DE4">
        <w:rPr>
          <w:lang w:val="en-US"/>
        </w:rPr>
        <w:t>A transport system that is responsive and resilient to the changing environment.</w:t>
      </w:r>
    </w:p>
    <w:p w14:paraId="356AB6C3" w14:textId="77777777" w:rsidR="002514F8" w:rsidRPr="00730DE4" w:rsidRDefault="002514F8" w:rsidP="001D287A">
      <w:pPr>
        <w:pStyle w:val="FigureCaption"/>
        <w:rPr>
          <w:lang w:val="en-US"/>
        </w:rPr>
      </w:pPr>
      <w:r w:rsidRPr="00730DE4">
        <w:rPr>
          <w:lang w:val="en-US"/>
        </w:rPr>
        <w:t>Table 5: Key priorities and outcomes: Responsive</w:t>
      </w:r>
    </w:p>
    <w:tbl>
      <w:tblPr>
        <w:tblStyle w:val="TMRDefault"/>
        <w:tblW w:w="5000" w:type="pct"/>
        <w:tblLook w:val="0020" w:firstRow="1" w:lastRow="0" w:firstColumn="0" w:lastColumn="0" w:noHBand="0" w:noVBand="0"/>
      </w:tblPr>
      <w:tblGrid>
        <w:gridCol w:w="9187"/>
        <w:gridCol w:w="3109"/>
        <w:gridCol w:w="1696"/>
      </w:tblGrid>
      <w:tr w:rsidR="002514F8" w:rsidRPr="00730DE4" w14:paraId="6BE5B4D7" w14:textId="77777777" w:rsidTr="00C5487B">
        <w:trPr>
          <w:cnfStyle w:val="100000000000" w:firstRow="1" w:lastRow="0" w:firstColumn="0" w:lastColumn="0" w:oddVBand="0" w:evenVBand="0" w:oddHBand="0" w:evenHBand="0" w:firstRowFirstColumn="0" w:firstRowLastColumn="0" w:lastRowFirstColumn="0" w:lastRowLastColumn="0"/>
          <w:cantSplit/>
          <w:tblHeader/>
        </w:trPr>
        <w:tc>
          <w:tcPr>
            <w:tcW w:w="3283" w:type="pct"/>
          </w:tcPr>
          <w:p w14:paraId="59F22703" w14:textId="77777777" w:rsidR="002514F8" w:rsidRPr="00730DE4" w:rsidRDefault="002514F8" w:rsidP="00F23ED3">
            <w:pPr>
              <w:pStyle w:val="NoSpacing"/>
              <w:rPr>
                <w:color w:val="FFFFFF" w:themeColor="background1"/>
                <w:lang w:val="en-US"/>
              </w:rPr>
            </w:pPr>
            <w:r w:rsidRPr="00730DE4">
              <w:rPr>
                <w:color w:val="FFFFFF" w:themeColor="background1"/>
                <w:lang w:val="en-US"/>
              </w:rPr>
              <w:t xml:space="preserve">Key priorities and outcomes </w:t>
            </w:r>
          </w:p>
        </w:tc>
        <w:tc>
          <w:tcPr>
            <w:tcW w:w="1111" w:type="pct"/>
          </w:tcPr>
          <w:p w14:paraId="39CF8591" w14:textId="77777777" w:rsidR="002514F8" w:rsidRPr="00730DE4" w:rsidRDefault="002514F8" w:rsidP="00F23ED3">
            <w:pPr>
              <w:pStyle w:val="NoSpacing"/>
              <w:rPr>
                <w:color w:val="FFFFFF" w:themeColor="background1"/>
                <w:lang w:val="en-US"/>
              </w:rPr>
            </w:pPr>
            <w:r w:rsidRPr="00730DE4">
              <w:rPr>
                <w:color w:val="FFFFFF" w:themeColor="background1"/>
                <w:lang w:val="en-US"/>
              </w:rPr>
              <w:t xml:space="preserve">Alignment to Queensland Government's objectives for the community </w:t>
            </w:r>
          </w:p>
        </w:tc>
        <w:tc>
          <w:tcPr>
            <w:tcW w:w="606" w:type="pct"/>
          </w:tcPr>
          <w:p w14:paraId="6943DF98" w14:textId="77777777" w:rsidR="002514F8" w:rsidRPr="00730DE4" w:rsidRDefault="002514F8" w:rsidP="00F23ED3">
            <w:pPr>
              <w:pStyle w:val="NoSpacing"/>
              <w:rPr>
                <w:color w:val="FFFFFF" w:themeColor="background1"/>
                <w:lang w:val="en-US"/>
              </w:rPr>
            </w:pPr>
            <w:r w:rsidRPr="00730DE4">
              <w:rPr>
                <w:color w:val="FFFFFF" w:themeColor="background1"/>
                <w:lang w:val="en-US"/>
              </w:rPr>
              <w:t>Status</w:t>
            </w:r>
          </w:p>
        </w:tc>
      </w:tr>
      <w:tr w:rsidR="002514F8" w:rsidRPr="00730DE4" w14:paraId="367A8E62" w14:textId="77777777" w:rsidTr="00C5487B">
        <w:trPr>
          <w:cnfStyle w:val="000000100000" w:firstRow="0" w:lastRow="0" w:firstColumn="0" w:lastColumn="0" w:oddVBand="0" w:evenVBand="0" w:oddHBand="1" w:evenHBand="0" w:firstRowFirstColumn="0" w:firstRowLastColumn="0" w:lastRowFirstColumn="0" w:lastRowLastColumn="0"/>
          <w:cantSplit/>
        </w:trPr>
        <w:tc>
          <w:tcPr>
            <w:tcW w:w="3283" w:type="pct"/>
          </w:tcPr>
          <w:p w14:paraId="66578826" w14:textId="77777777" w:rsidR="002514F8" w:rsidRPr="00730DE4" w:rsidRDefault="002514F8" w:rsidP="00F23ED3">
            <w:pPr>
              <w:pStyle w:val="NoSpacing"/>
              <w:rPr>
                <w:lang w:val="en-US"/>
              </w:rPr>
            </w:pPr>
            <w:r w:rsidRPr="00730DE4">
              <w:rPr>
                <w:lang w:val="en-US"/>
              </w:rPr>
              <w:t>Continued planning for the introduction and safe use of connected and automated vehicle technologies on the transport network.</w:t>
            </w:r>
          </w:p>
        </w:tc>
        <w:tc>
          <w:tcPr>
            <w:tcW w:w="1111" w:type="pct"/>
          </w:tcPr>
          <w:p w14:paraId="470F174F" w14:textId="77777777" w:rsidR="002514F8" w:rsidRPr="00730DE4" w:rsidRDefault="002514F8" w:rsidP="00F23ED3">
            <w:pPr>
              <w:pStyle w:val="NoSpacing"/>
              <w:rPr>
                <w:lang w:val="en-US"/>
              </w:rPr>
            </w:pPr>
            <w:r w:rsidRPr="00730DE4">
              <w:rPr>
                <w:lang w:val="en-US"/>
              </w:rPr>
              <w:t>Connecting Queensland</w:t>
            </w:r>
          </w:p>
        </w:tc>
        <w:tc>
          <w:tcPr>
            <w:tcW w:w="606" w:type="pct"/>
          </w:tcPr>
          <w:p w14:paraId="28FE150E" w14:textId="77777777" w:rsidR="002514F8" w:rsidRPr="00730DE4" w:rsidRDefault="002514F8" w:rsidP="00F23ED3">
            <w:pPr>
              <w:pStyle w:val="NoSpacing"/>
              <w:rPr>
                <w:lang w:val="en-US"/>
              </w:rPr>
            </w:pPr>
            <w:r w:rsidRPr="00730DE4">
              <w:rPr>
                <w:lang w:val="en-US"/>
              </w:rPr>
              <w:t xml:space="preserve">Ongoing </w:t>
            </w:r>
          </w:p>
        </w:tc>
      </w:tr>
      <w:tr w:rsidR="002514F8" w:rsidRPr="00730DE4" w14:paraId="2D8D2CE2" w14:textId="77777777" w:rsidTr="00C5487B">
        <w:trPr>
          <w:cantSplit/>
        </w:trPr>
        <w:tc>
          <w:tcPr>
            <w:tcW w:w="3283" w:type="pct"/>
          </w:tcPr>
          <w:p w14:paraId="16B50658" w14:textId="77777777" w:rsidR="002514F8" w:rsidRPr="00730DE4" w:rsidRDefault="002514F8" w:rsidP="00F23ED3">
            <w:pPr>
              <w:pStyle w:val="NoSpacing"/>
              <w:rPr>
                <w:lang w:val="en-US"/>
              </w:rPr>
            </w:pPr>
            <w:r w:rsidRPr="00730DE4">
              <w:rPr>
                <w:lang w:val="en-US"/>
              </w:rPr>
              <w:t>Continued to progress the optimisation of safe and sustainable access to TMR’s road and bridge network for Class 1 Heavy Vehicles through the revised Class 1 Heavy Vehicle Access Program.</w:t>
            </w:r>
          </w:p>
        </w:tc>
        <w:tc>
          <w:tcPr>
            <w:tcW w:w="1111" w:type="pct"/>
          </w:tcPr>
          <w:p w14:paraId="39C10F0C" w14:textId="77777777" w:rsidR="002514F8" w:rsidRPr="00730DE4" w:rsidRDefault="002514F8" w:rsidP="00F23ED3">
            <w:pPr>
              <w:pStyle w:val="NoSpacing"/>
              <w:rPr>
                <w:lang w:val="en-US"/>
              </w:rPr>
            </w:pPr>
            <w:r w:rsidRPr="00730DE4">
              <w:rPr>
                <w:lang w:val="en-US"/>
              </w:rPr>
              <w:t xml:space="preserve">Supporting jobs </w:t>
            </w:r>
          </w:p>
        </w:tc>
        <w:tc>
          <w:tcPr>
            <w:tcW w:w="606" w:type="pct"/>
          </w:tcPr>
          <w:p w14:paraId="3E6B183A" w14:textId="77777777" w:rsidR="002514F8" w:rsidRPr="00730DE4" w:rsidRDefault="002514F8" w:rsidP="00F23ED3">
            <w:pPr>
              <w:pStyle w:val="NoSpacing"/>
              <w:rPr>
                <w:lang w:val="en-US"/>
              </w:rPr>
            </w:pPr>
            <w:r w:rsidRPr="00730DE4">
              <w:rPr>
                <w:lang w:val="en-US"/>
              </w:rPr>
              <w:t>Ongoing</w:t>
            </w:r>
          </w:p>
        </w:tc>
      </w:tr>
      <w:tr w:rsidR="002514F8" w:rsidRPr="00730DE4" w14:paraId="337C5770" w14:textId="77777777" w:rsidTr="00C5487B">
        <w:trPr>
          <w:cnfStyle w:val="000000100000" w:firstRow="0" w:lastRow="0" w:firstColumn="0" w:lastColumn="0" w:oddVBand="0" w:evenVBand="0" w:oddHBand="1" w:evenHBand="0" w:firstRowFirstColumn="0" w:firstRowLastColumn="0" w:lastRowFirstColumn="0" w:lastRowLastColumn="0"/>
          <w:cantSplit/>
        </w:trPr>
        <w:tc>
          <w:tcPr>
            <w:tcW w:w="3283" w:type="pct"/>
          </w:tcPr>
          <w:p w14:paraId="1BFF9C57" w14:textId="77777777" w:rsidR="002514F8" w:rsidRPr="00730DE4" w:rsidRDefault="002514F8" w:rsidP="00F23ED3">
            <w:pPr>
              <w:pStyle w:val="NoSpacing"/>
              <w:rPr>
                <w:lang w:val="en-US"/>
              </w:rPr>
            </w:pPr>
            <w:r w:rsidRPr="00730DE4">
              <w:rPr>
                <w:lang w:val="en-US"/>
              </w:rPr>
              <w:t xml:space="preserve">Continuing to restore parts of the state road network damaged by natural disasters through the Natural Disaster Program. </w:t>
            </w:r>
          </w:p>
        </w:tc>
        <w:tc>
          <w:tcPr>
            <w:tcW w:w="1111" w:type="pct"/>
          </w:tcPr>
          <w:p w14:paraId="381D7EF6" w14:textId="77777777" w:rsidR="002514F8" w:rsidRPr="00730DE4" w:rsidRDefault="002514F8" w:rsidP="00F23ED3">
            <w:pPr>
              <w:pStyle w:val="NoSpacing"/>
              <w:rPr>
                <w:lang w:val="en-US"/>
              </w:rPr>
            </w:pPr>
            <w:r w:rsidRPr="00730DE4">
              <w:rPr>
                <w:lang w:val="en-US"/>
              </w:rPr>
              <w:t>Connecting Queenslanders</w:t>
            </w:r>
          </w:p>
        </w:tc>
        <w:tc>
          <w:tcPr>
            <w:tcW w:w="606" w:type="pct"/>
          </w:tcPr>
          <w:p w14:paraId="5E9C7689" w14:textId="77777777" w:rsidR="002514F8" w:rsidRPr="00730DE4" w:rsidRDefault="002514F8" w:rsidP="00F23ED3">
            <w:pPr>
              <w:pStyle w:val="NoSpacing"/>
              <w:rPr>
                <w:lang w:val="en-US"/>
              </w:rPr>
            </w:pPr>
            <w:r w:rsidRPr="00730DE4">
              <w:rPr>
                <w:lang w:val="en-US"/>
              </w:rPr>
              <w:t>Ongoing</w:t>
            </w:r>
          </w:p>
        </w:tc>
      </w:tr>
      <w:tr w:rsidR="002514F8" w:rsidRPr="00730DE4" w14:paraId="43A7888C" w14:textId="77777777" w:rsidTr="00C5487B">
        <w:trPr>
          <w:cantSplit/>
        </w:trPr>
        <w:tc>
          <w:tcPr>
            <w:tcW w:w="3283" w:type="pct"/>
          </w:tcPr>
          <w:p w14:paraId="44332C38" w14:textId="77777777" w:rsidR="002514F8" w:rsidRPr="00730DE4" w:rsidRDefault="002514F8" w:rsidP="00F23ED3">
            <w:pPr>
              <w:pStyle w:val="NoSpacing"/>
              <w:rPr>
                <w:lang w:val="en-US"/>
              </w:rPr>
            </w:pPr>
            <w:r w:rsidRPr="00730DE4">
              <w:rPr>
                <w:lang w:val="en-US"/>
              </w:rPr>
              <w:t xml:space="preserve">Commenced delivery of the Coomera Connector Stage One to reduce pressure on the M1 by providing an alternative route for the growing communities and commercial hubs of Helensvale and Coomera. </w:t>
            </w:r>
          </w:p>
        </w:tc>
        <w:tc>
          <w:tcPr>
            <w:tcW w:w="1111" w:type="pct"/>
          </w:tcPr>
          <w:p w14:paraId="7A343396" w14:textId="77777777" w:rsidR="002514F8" w:rsidRPr="00730DE4" w:rsidRDefault="002514F8" w:rsidP="00F23ED3">
            <w:pPr>
              <w:pStyle w:val="NoSpacing"/>
              <w:rPr>
                <w:lang w:val="en-US"/>
              </w:rPr>
            </w:pPr>
            <w:r w:rsidRPr="00730DE4">
              <w:rPr>
                <w:lang w:val="en-US"/>
              </w:rPr>
              <w:t>Making it for Queensland</w:t>
            </w:r>
          </w:p>
        </w:tc>
        <w:tc>
          <w:tcPr>
            <w:tcW w:w="606" w:type="pct"/>
          </w:tcPr>
          <w:p w14:paraId="3FABFA21" w14:textId="77777777" w:rsidR="002514F8" w:rsidRPr="00730DE4" w:rsidRDefault="002514F8" w:rsidP="00F23ED3">
            <w:pPr>
              <w:pStyle w:val="NoSpacing"/>
              <w:rPr>
                <w:lang w:val="en-US"/>
              </w:rPr>
            </w:pPr>
            <w:r w:rsidRPr="00730DE4">
              <w:rPr>
                <w:lang w:val="en-US"/>
              </w:rPr>
              <w:t>Ongoing</w:t>
            </w:r>
          </w:p>
        </w:tc>
      </w:tr>
      <w:tr w:rsidR="002514F8" w:rsidRPr="00730DE4" w14:paraId="76BD87FA" w14:textId="77777777" w:rsidTr="00C5487B">
        <w:trPr>
          <w:cnfStyle w:val="000000100000" w:firstRow="0" w:lastRow="0" w:firstColumn="0" w:lastColumn="0" w:oddVBand="0" w:evenVBand="0" w:oddHBand="1" w:evenHBand="0" w:firstRowFirstColumn="0" w:firstRowLastColumn="0" w:lastRowFirstColumn="0" w:lastRowLastColumn="0"/>
          <w:cantSplit/>
        </w:trPr>
        <w:tc>
          <w:tcPr>
            <w:tcW w:w="3283" w:type="pct"/>
          </w:tcPr>
          <w:p w14:paraId="0D2E446B" w14:textId="77777777" w:rsidR="002514F8" w:rsidRPr="00730DE4" w:rsidRDefault="002514F8" w:rsidP="00F23ED3">
            <w:pPr>
              <w:pStyle w:val="NoSpacing"/>
              <w:rPr>
                <w:lang w:val="en-US"/>
              </w:rPr>
            </w:pPr>
            <w:r w:rsidRPr="00730DE4">
              <w:rPr>
                <w:lang w:val="en-US"/>
              </w:rPr>
              <w:t>Commenced implementation of a waterway management plan for the Noosa River.</w:t>
            </w:r>
          </w:p>
        </w:tc>
        <w:tc>
          <w:tcPr>
            <w:tcW w:w="1111" w:type="pct"/>
          </w:tcPr>
          <w:p w14:paraId="43038361" w14:textId="77777777" w:rsidR="002514F8" w:rsidRPr="00730DE4" w:rsidRDefault="002514F8" w:rsidP="00F23ED3">
            <w:pPr>
              <w:pStyle w:val="NoSpacing"/>
              <w:rPr>
                <w:lang w:val="en-US"/>
              </w:rPr>
            </w:pPr>
            <w:r w:rsidRPr="00730DE4">
              <w:rPr>
                <w:lang w:val="en-US"/>
              </w:rPr>
              <w:t>Growing our regions</w:t>
            </w:r>
          </w:p>
        </w:tc>
        <w:tc>
          <w:tcPr>
            <w:tcW w:w="606" w:type="pct"/>
          </w:tcPr>
          <w:p w14:paraId="78D3F727" w14:textId="77777777" w:rsidR="002514F8" w:rsidRPr="00730DE4" w:rsidRDefault="002514F8" w:rsidP="00F23ED3">
            <w:pPr>
              <w:pStyle w:val="NoSpacing"/>
              <w:rPr>
                <w:lang w:val="en-US"/>
              </w:rPr>
            </w:pPr>
            <w:r w:rsidRPr="00730DE4">
              <w:rPr>
                <w:lang w:val="en-US"/>
              </w:rPr>
              <w:t>Ongoing</w:t>
            </w:r>
          </w:p>
        </w:tc>
      </w:tr>
      <w:tr w:rsidR="002514F8" w:rsidRPr="00730DE4" w14:paraId="5CD7B243" w14:textId="77777777" w:rsidTr="00C5487B">
        <w:trPr>
          <w:cantSplit/>
        </w:trPr>
        <w:tc>
          <w:tcPr>
            <w:tcW w:w="3283" w:type="pct"/>
          </w:tcPr>
          <w:p w14:paraId="601688EA" w14:textId="77777777" w:rsidR="002514F8" w:rsidRPr="00730DE4" w:rsidRDefault="002514F8" w:rsidP="00F23ED3">
            <w:pPr>
              <w:pStyle w:val="NoSpacing"/>
              <w:rPr>
                <w:lang w:val="en-US"/>
              </w:rPr>
            </w:pPr>
            <w:bookmarkStart w:id="245" w:name="_Hlk161313285"/>
            <w:r w:rsidRPr="00730DE4">
              <w:rPr>
                <w:lang w:val="en-US"/>
              </w:rPr>
              <w:t>Continued to deliver actions outlined in the statewide Regional Transport Plans (RTP) which prioritise and manage the transport system so that it effectively supports regional communities growth and productivity over a 15-year horizon</w:t>
            </w:r>
            <w:bookmarkEnd w:id="245"/>
            <w:r w:rsidRPr="00730DE4">
              <w:rPr>
                <w:lang w:val="en-US"/>
              </w:rPr>
              <w:t xml:space="preserve">. </w:t>
            </w:r>
          </w:p>
        </w:tc>
        <w:tc>
          <w:tcPr>
            <w:tcW w:w="1111" w:type="pct"/>
          </w:tcPr>
          <w:p w14:paraId="5B8F6607" w14:textId="77777777" w:rsidR="002514F8" w:rsidRPr="00730DE4" w:rsidRDefault="002514F8" w:rsidP="00F23ED3">
            <w:pPr>
              <w:pStyle w:val="NoSpacing"/>
              <w:rPr>
                <w:lang w:val="en-US"/>
              </w:rPr>
            </w:pPr>
            <w:r w:rsidRPr="00730DE4">
              <w:rPr>
                <w:lang w:val="en-US"/>
              </w:rPr>
              <w:t>Growing our regions</w:t>
            </w:r>
          </w:p>
        </w:tc>
        <w:tc>
          <w:tcPr>
            <w:tcW w:w="606" w:type="pct"/>
          </w:tcPr>
          <w:p w14:paraId="2749FF66" w14:textId="77777777" w:rsidR="002514F8" w:rsidRPr="00730DE4" w:rsidRDefault="002514F8" w:rsidP="00F23ED3">
            <w:pPr>
              <w:pStyle w:val="NoSpacing"/>
              <w:rPr>
                <w:lang w:val="en-US"/>
              </w:rPr>
            </w:pPr>
            <w:r w:rsidRPr="00730DE4">
              <w:rPr>
                <w:lang w:val="en-US"/>
              </w:rPr>
              <w:t>Ongoing</w:t>
            </w:r>
          </w:p>
        </w:tc>
      </w:tr>
      <w:tr w:rsidR="002514F8" w:rsidRPr="00730DE4" w14:paraId="1B9F96FB" w14:textId="77777777" w:rsidTr="00C5487B">
        <w:trPr>
          <w:cnfStyle w:val="000000100000" w:firstRow="0" w:lastRow="0" w:firstColumn="0" w:lastColumn="0" w:oddVBand="0" w:evenVBand="0" w:oddHBand="1" w:evenHBand="0" w:firstRowFirstColumn="0" w:firstRowLastColumn="0" w:lastRowFirstColumn="0" w:lastRowLastColumn="0"/>
          <w:cantSplit/>
        </w:trPr>
        <w:tc>
          <w:tcPr>
            <w:tcW w:w="3283" w:type="pct"/>
          </w:tcPr>
          <w:p w14:paraId="59DE95BF" w14:textId="77777777" w:rsidR="002514F8" w:rsidRPr="00730DE4" w:rsidRDefault="002514F8" w:rsidP="00331B90">
            <w:pPr>
              <w:pStyle w:val="NoSpacing"/>
              <w:rPr>
                <w:lang w:val="en-US"/>
              </w:rPr>
            </w:pPr>
            <w:r w:rsidRPr="00730DE4">
              <w:t xml:space="preserve">Continued delivering </w:t>
            </w:r>
            <w:r w:rsidRPr="00730DE4">
              <w:rPr>
                <w:rStyle w:val="Emphasis"/>
              </w:rPr>
              <w:t>SEQ Rail Connect</w:t>
            </w:r>
            <w:r w:rsidRPr="00730DE4">
              <w:t xml:space="preserve">, getting the network ready for the opening of CRR, building new and upgraded stations and park ‘n’ rides, laying new tracks, implementing new ticketing and signalling equipment, and manufacturing new trains in Queensland. </w:t>
            </w:r>
          </w:p>
        </w:tc>
        <w:tc>
          <w:tcPr>
            <w:tcW w:w="1111" w:type="pct"/>
          </w:tcPr>
          <w:p w14:paraId="4B239F52" w14:textId="77777777" w:rsidR="002514F8" w:rsidRPr="00730DE4" w:rsidRDefault="002514F8" w:rsidP="00331B90">
            <w:pPr>
              <w:pStyle w:val="NoSpacing"/>
              <w:rPr>
                <w:lang w:val="en-US"/>
              </w:rPr>
            </w:pPr>
            <w:r w:rsidRPr="00730DE4">
              <w:t>Making it for Queensland</w:t>
            </w:r>
          </w:p>
        </w:tc>
        <w:tc>
          <w:tcPr>
            <w:tcW w:w="606" w:type="pct"/>
          </w:tcPr>
          <w:p w14:paraId="30A3EBF3" w14:textId="77777777" w:rsidR="002514F8" w:rsidRPr="00730DE4" w:rsidRDefault="002514F8" w:rsidP="00331B90">
            <w:pPr>
              <w:pStyle w:val="NoSpacing"/>
              <w:rPr>
                <w:lang w:val="en-US"/>
              </w:rPr>
            </w:pPr>
            <w:r w:rsidRPr="00730DE4">
              <w:t>In progress</w:t>
            </w:r>
          </w:p>
        </w:tc>
      </w:tr>
      <w:tr w:rsidR="002514F8" w:rsidRPr="00730DE4" w14:paraId="79414269" w14:textId="77777777" w:rsidTr="00C5487B">
        <w:trPr>
          <w:cantSplit/>
        </w:trPr>
        <w:tc>
          <w:tcPr>
            <w:tcW w:w="3283" w:type="pct"/>
          </w:tcPr>
          <w:p w14:paraId="546FDC85" w14:textId="77777777" w:rsidR="002514F8" w:rsidRPr="00730DE4" w:rsidRDefault="002514F8" w:rsidP="00F23ED3">
            <w:pPr>
              <w:pStyle w:val="NoSpacing"/>
              <w:rPr>
                <w:lang w:val="en-US"/>
              </w:rPr>
            </w:pPr>
            <w:r w:rsidRPr="00730DE4">
              <w:rPr>
                <w:lang w:val="en-US"/>
              </w:rPr>
              <w:t>Continued the construction of $1.004 billon Beerburrum to Nambour Rail Upgrade (Stage One) which will increase capacity, improve reliability, and reduce travel times for passenger and freight services in the growing Sunshine Coast region.</w:t>
            </w:r>
          </w:p>
        </w:tc>
        <w:tc>
          <w:tcPr>
            <w:tcW w:w="1111" w:type="pct"/>
          </w:tcPr>
          <w:p w14:paraId="626BC324" w14:textId="77777777" w:rsidR="002514F8" w:rsidRPr="00730DE4" w:rsidRDefault="002514F8" w:rsidP="00F23ED3">
            <w:pPr>
              <w:pStyle w:val="NoSpacing"/>
              <w:rPr>
                <w:lang w:val="en-US"/>
              </w:rPr>
            </w:pPr>
            <w:r w:rsidRPr="00730DE4">
              <w:rPr>
                <w:lang w:val="en-US"/>
              </w:rPr>
              <w:t>Supporting jobs</w:t>
            </w:r>
          </w:p>
        </w:tc>
        <w:tc>
          <w:tcPr>
            <w:tcW w:w="606" w:type="pct"/>
          </w:tcPr>
          <w:p w14:paraId="5B2A1A56" w14:textId="77777777" w:rsidR="002514F8" w:rsidRPr="00730DE4" w:rsidRDefault="002514F8" w:rsidP="00F23ED3">
            <w:pPr>
              <w:pStyle w:val="NoSpacing"/>
              <w:rPr>
                <w:lang w:val="en-US"/>
              </w:rPr>
            </w:pPr>
            <w:r w:rsidRPr="00730DE4">
              <w:rPr>
                <w:lang w:val="en-US"/>
              </w:rPr>
              <w:t>In progress</w:t>
            </w:r>
          </w:p>
        </w:tc>
      </w:tr>
      <w:tr w:rsidR="002514F8" w:rsidRPr="00730DE4" w14:paraId="6BB63F0A" w14:textId="77777777" w:rsidTr="00C5487B">
        <w:trPr>
          <w:cnfStyle w:val="000000100000" w:firstRow="0" w:lastRow="0" w:firstColumn="0" w:lastColumn="0" w:oddVBand="0" w:evenVBand="0" w:oddHBand="1" w:evenHBand="0" w:firstRowFirstColumn="0" w:firstRowLastColumn="0" w:lastRowFirstColumn="0" w:lastRowLastColumn="0"/>
          <w:cantSplit/>
        </w:trPr>
        <w:tc>
          <w:tcPr>
            <w:tcW w:w="3283" w:type="pct"/>
          </w:tcPr>
          <w:p w14:paraId="579DA8EF" w14:textId="77777777" w:rsidR="002514F8" w:rsidRPr="00730DE4" w:rsidRDefault="002514F8" w:rsidP="00922309">
            <w:pPr>
              <w:pStyle w:val="NoSpacing"/>
              <w:rPr>
                <w:lang w:val="en-US"/>
              </w:rPr>
            </w:pPr>
            <w:r w:rsidRPr="00730DE4">
              <w:rPr>
                <w:lang w:val="en-US"/>
              </w:rPr>
              <w:t>Preparation of a business case investigating replacement of the rollingstock fleet servicing western Queensland's Inlander, Westlander, and Spirit of the Outback long-distance passenger services is progressing.</w:t>
            </w:r>
          </w:p>
        </w:tc>
        <w:tc>
          <w:tcPr>
            <w:tcW w:w="1111" w:type="pct"/>
          </w:tcPr>
          <w:p w14:paraId="5666BD27" w14:textId="77777777" w:rsidR="002514F8" w:rsidRPr="00730DE4" w:rsidRDefault="002514F8" w:rsidP="00922309">
            <w:pPr>
              <w:pStyle w:val="NoSpacing"/>
              <w:rPr>
                <w:lang w:val="en-US"/>
              </w:rPr>
            </w:pPr>
            <w:r w:rsidRPr="00730DE4">
              <w:rPr>
                <w:lang w:val="en-US"/>
              </w:rPr>
              <w:t xml:space="preserve">Connecting Queensland </w:t>
            </w:r>
          </w:p>
        </w:tc>
        <w:tc>
          <w:tcPr>
            <w:tcW w:w="606" w:type="pct"/>
          </w:tcPr>
          <w:p w14:paraId="3E736353" w14:textId="77777777" w:rsidR="002514F8" w:rsidRPr="00730DE4" w:rsidRDefault="002514F8" w:rsidP="00922309">
            <w:pPr>
              <w:pStyle w:val="NoSpacing"/>
              <w:rPr>
                <w:lang w:val="en-US"/>
              </w:rPr>
            </w:pPr>
            <w:r w:rsidRPr="00730DE4">
              <w:rPr>
                <w:lang w:val="en-US"/>
              </w:rPr>
              <w:t>In progress</w:t>
            </w:r>
          </w:p>
        </w:tc>
      </w:tr>
      <w:tr w:rsidR="002514F8" w:rsidRPr="00730DE4" w14:paraId="26AFB079" w14:textId="77777777" w:rsidTr="00C5487B">
        <w:trPr>
          <w:cantSplit/>
        </w:trPr>
        <w:tc>
          <w:tcPr>
            <w:tcW w:w="3283" w:type="pct"/>
          </w:tcPr>
          <w:p w14:paraId="499D654F" w14:textId="77777777" w:rsidR="002514F8" w:rsidRPr="00730DE4" w:rsidRDefault="002514F8" w:rsidP="0077129B">
            <w:pPr>
              <w:pStyle w:val="NoSpacing"/>
              <w:rPr>
                <w:lang w:val="en-US"/>
              </w:rPr>
            </w:pPr>
            <w:r w:rsidRPr="00730DE4">
              <w:rPr>
                <w:lang w:val="en-US"/>
              </w:rPr>
              <w:t>More than 258 employees completed further face-to-face Motivating Action Through Empowerment (MATE) Bystander training.</w:t>
            </w:r>
          </w:p>
        </w:tc>
        <w:tc>
          <w:tcPr>
            <w:tcW w:w="1111" w:type="pct"/>
          </w:tcPr>
          <w:p w14:paraId="36445926" w14:textId="77777777" w:rsidR="002514F8" w:rsidRPr="00730DE4" w:rsidRDefault="002514F8" w:rsidP="0077129B">
            <w:pPr>
              <w:pStyle w:val="NoSpacing"/>
              <w:rPr>
                <w:lang w:val="en-US"/>
              </w:rPr>
            </w:pPr>
            <w:r w:rsidRPr="00730DE4">
              <w:rPr>
                <w:lang w:val="en-US"/>
              </w:rPr>
              <w:t>Backing our frontline services</w:t>
            </w:r>
          </w:p>
        </w:tc>
        <w:tc>
          <w:tcPr>
            <w:tcW w:w="606" w:type="pct"/>
          </w:tcPr>
          <w:p w14:paraId="771CCB49" w14:textId="77777777" w:rsidR="002514F8" w:rsidRPr="00730DE4" w:rsidRDefault="002514F8" w:rsidP="0077129B">
            <w:pPr>
              <w:pStyle w:val="NoSpacing"/>
              <w:rPr>
                <w:lang w:val="en-US"/>
              </w:rPr>
            </w:pPr>
            <w:r w:rsidRPr="00730DE4">
              <w:rPr>
                <w:lang w:val="en-US"/>
              </w:rPr>
              <w:t>In progress</w:t>
            </w:r>
          </w:p>
        </w:tc>
      </w:tr>
    </w:tbl>
    <w:p w14:paraId="714B1CE7" w14:textId="77777777" w:rsidR="002514F8" w:rsidRPr="00730DE4" w:rsidRDefault="002514F8" w:rsidP="002B7001">
      <w:pPr>
        <w:pStyle w:val="Heading3"/>
        <w:rPr>
          <w:lang w:val="en-US"/>
        </w:rPr>
      </w:pPr>
      <w:bookmarkStart w:id="246" w:name="_Toc180487311"/>
      <w:bookmarkStart w:id="247" w:name="_Toc180490517"/>
      <w:bookmarkStart w:id="248" w:name="_Toc180491550"/>
      <w:r w:rsidRPr="00730DE4">
        <w:rPr>
          <w:lang w:val="en-US"/>
        </w:rPr>
        <w:t>Efficient and productive</w:t>
      </w:r>
      <w:bookmarkEnd w:id="246"/>
      <w:bookmarkEnd w:id="247"/>
      <w:bookmarkEnd w:id="248"/>
      <w:r w:rsidRPr="00730DE4">
        <w:rPr>
          <w:lang w:val="en-US"/>
        </w:rPr>
        <w:t xml:space="preserve"> </w:t>
      </w:r>
    </w:p>
    <w:p w14:paraId="69A0BE21" w14:textId="77777777" w:rsidR="002514F8" w:rsidRPr="00730DE4" w:rsidRDefault="002514F8" w:rsidP="00F23ED3">
      <w:pPr>
        <w:rPr>
          <w:lang w:val="en-US"/>
        </w:rPr>
      </w:pPr>
      <w:r w:rsidRPr="00730DE4">
        <w:rPr>
          <w:lang w:val="en-US"/>
        </w:rPr>
        <w:t>A transport system that is a key enabler of economic activity.</w:t>
      </w:r>
    </w:p>
    <w:p w14:paraId="56AAEDB3" w14:textId="77777777" w:rsidR="002514F8" w:rsidRPr="00730DE4" w:rsidRDefault="002514F8" w:rsidP="001D287A">
      <w:pPr>
        <w:pStyle w:val="FigureCaption"/>
        <w:rPr>
          <w:lang w:val="en-US"/>
        </w:rPr>
      </w:pPr>
      <w:r w:rsidRPr="00730DE4">
        <w:rPr>
          <w:lang w:val="en-US"/>
        </w:rPr>
        <w:t>Table 6: Key priorities and outcomes: Efficient and productive</w:t>
      </w:r>
    </w:p>
    <w:tbl>
      <w:tblPr>
        <w:tblStyle w:val="TMRDefault"/>
        <w:tblW w:w="5000" w:type="pct"/>
        <w:tblLook w:val="0020" w:firstRow="1" w:lastRow="0" w:firstColumn="0" w:lastColumn="0" w:noHBand="0" w:noVBand="0"/>
      </w:tblPr>
      <w:tblGrid>
        <w:gridCol w:w="9187"/>
        <w:gridCol w:w="3109"/>
        <w:gridCol w:w="1696"/>
      </w:tblGrid>
      <w:tr w:rsidR="002514F8" w:rsidRPr="00730DE4" w14:paraId="4271BDFD" w14:textId="77777777" w:rsidTr="00C5487B">
        <w:trPr>
          <w:cnfStyle w:val="100000000000" w:firstRow="1" w:lastRow="0" w:firstColumn="0" w:lastColumn="0" w:oddVBand="0" w:evenVBand="0" w:oddHBand="0" w:evenHBand="0" w:firstRowFirstColumn="0" w:firstRowLastColumn="0" w:lastRowFirstColumn="0" w:lastRowLastColumn="0"/>
          <w:cantSplit/>
          <w:tblHeader/>
        </w:trPr>
        <w:tc>
          <w:tcPr>
            <w:tcW w:w="3283" w:type="pct"/>
          </w:tcPr>
          <w:p w14:paraId="766DD393" w14:textId="77777777" w:rsidR="002514F8" w:rsidRPr="00730DE4" w:rsidRDefault="002514F8" w:rsidP="00F23ED3">
            <w:pPr>
              <w:pStyle w:val="NoSpacing"/>
              <w:rPr>
                <w:color w:val="FFFFFF" w:themeColor="background1"/>
                <w:lang w:val="en-US"/>
              </w:rPr>
            </w:pPr>
            <w:r w:rsidRPr="00730DE4">
              <w:rPr>
                <w:color w:val="FFFFFF" w:themeColor="background1"/>
                <w:lang w:val="en-US"/>
              </w:rPr>
              <w:t xml:space="preserve">Key priorities and outcomes </w:t>
            </w:r>
          </w:p>
        </w:tc>
        <w:tc>
          <w:tcPr>
            <w:tcW w:w="1111" w:type="pct"/>
          </w:tcPr>
          <w:p w14:paraId="6E5AAFA7" w14:textId="77777777" w:rsidR="002514F8" w:rsidRPr="00730DE4" w:rsidRDefault="002514F8" w:rsidP="00F23ED3">
            <w:pPr>
              <w:pStyle w:val="NoSpacing"/>
              <w:rPr>
                <w:color w:val="FFFFFF" w:themeColor="background1"/>
                <w:lang w:val="en-US"/>
              </w:rPr>
            </w:pPr>
            <w:r w:rsidRPr="00730DE4">
              <w:rPr>
                <w:color w:val="FFFFFF" w:themeColor="background1"/>
                <w:lang w:val="en-US"/>
              </w:rPr>
              <w:t xml:space="preserve">Alignment to Queensland Government's objectives for the community </w:t>
            </w:r>
          </w:p>
        </w:tc>
        <w:tc>
          <w:tcPr>
            <w:tcW w:w="606" w:type="pct"/>
          </w:tcPr>
          <w:p w14:paraId="2811803F" w14:textId="77777777" w:rsidR="002514F8" w:rsidRPr="00730DE4" w:rsidRDefault="002514F8" w:rsidP="00F23ED3">
            <w:pPr>
              <w:pStyle w:val="NoSpacing"/>
              <w:rPr>
                <w:color w:val="FFFFFF" w:themeColor="background1"/>
                <w:lang w:val="en-US"/>
              </w:rPr>
            </w:pPr>
            <w:r w:rsidRPr="00730DE4">
              <w:rPr>
                <w:color w:val="FFFFFF" w:themeColor="background1"/>
                <w:lang w:val="en-US"/>
              </w:rPr>
              <w:t>Status</w:t>
            </w:r>
          </w:p>
        </w:tc>
      </w:tr>
      <w:tr w:rsidR="000A65A9" w:rsidRPr="00730DE4" w14:paraId="653CA1D1" w14:textId="77777777" w:rsidTr="00C5487B">
        <w:trPr>
          <w:cnfStyle w:val="000000100000" w:firstRow="0" w:lastRow="0" w:firstColumn="0" w:lastColumn="0" w:oddVBand="0" w:evenVBand="0" w:oddHBand="1" w:evenHBand="0" w:firstRowFirstColumn="0" w:firstRowLastColumn="0" w:lastRowFirstColumn="0" w:lastRowLastColumn="0"/>
          <w:cantSplit/>
        </w:trPr>
        <w:tc>
          <w:tcPr>
            <w:tcW w:w="3283" w:type="pct"/>
          </w:tcPr>
          <w:p w14:paraId="2092693B" w14:textId="77777777" w:rsidR="002514F8" w:rsidRPr="00730DE4" w:rsidRDefault="002514F8" w:rsidP="00F23ED3">
            <w:pPr>
              <w:pStyle w:val="NoSpacing"/>
              <w:rPr>
                <w:lang w:val="en-US"/>
              </w:rPr>
            </w:pPr>
            <w:r w:rsidRPr="00730DE4">
              <w:rPr>
                <w:lang w:val="en-US"/>
              </w:rPr>
              <w:t xml:space="preserve">Completed the master plans for the priority ports of Hay Point/Mackay and Abbot Point, in accordance with the </w:t>
            </w:r>
            <w:r w:rsidRPr="00730DE4">
              <w:rPr>
                <w:rStyle w:val="Emphasis"/>
              </w:rPr>
              <w:t>Sustainable Ports Development Act 2015</w:t>
            </w:r>
            <w:r w:rsidRPr="00730DE4">
              <w:rPr>
                <w:lang w:val="en-US"/>
              </w:rPr>
              <w:t xml:space="preserve"> and the </w:t>
            </w:r>
            <w:r w:rsidRPr="00730DE4">
              <w:rPr>
                <w:rStyle w:val="Emphasis"/>
              </w:rPr>
              <w:t>Reef 2050 Long-Term Sustainability Plan</w:t>
            </w:r>
            <w:r w:rsidRPr="00730DE4">
              <w:rPr>
                <w:lang w:val="en-US"/>
              </w:rPr>
              <w:t xml:space="preserve">. </w:t>
            </w:r>
          </w:p>
        </w:tc>
        <w:tc>
          <w:tcPr>
            <w:tcW w:w="1111" w:type="pct"/>
          </w:tcPr>
          <w:p w14:paraId="2BDBB980" w14:textId="77777777" w:rsidR="002514F8" w:rsidRPr="00730DE4" w:rsidRDefault="002514F8" w:rsidP="00F23ED3">
            <w:pPr>
              <w:pStyle w:val="NoSpacing"/>
              <w:rPr>
                <w:lang w:val="en-US"/>
              </w:rPr>
            </w:pPr>
            <w:r w:rsidRPr="00730DE4">
              <w:rPr>
                <w:lang w:val="en-US"/>
              </w:rPr>
              <w:t>Growing our regions</w:t>
            </w:r>
          </w:p>
        </w:tc>
        <w:tc>
          <w:tcPr>
            <w:tcW w:w="606" w:type="pct"/>
          </w:tcPr>
          <w:p w14:paraId="27683EC4" w14:textId="77777777" w:rsidR="002514F8" w:rsidRPr="00730DE4" w:rsidRDefault="002514F8" w:rsidP="00F23ED3">
            <w:pPr>
              <w:pStyle w:val="NoSpacing"/>
              <w:rPr>
                <w:lang w:val="en-US"/>
              </w:rPr>
            </w:pPr>
            <w:r w:rsidRPr="00730DE4">
              <w:rPr>
                <w:lang w:val="en-US"/>
              </w:rPr>
              <w:t>Completed</w:t>
            </w:r>
          </w:p>
        </w:tc>
      </w:tr>
      <w:tr w:rsidR="002514F8" w:rsidRPr="00730DE4" w14:paraId="0DA199EC" w14:textId="77777777" w:rsidTr="00C5487B">
        <w:trPr>
          <w:cantSplit/>
        </w:trPr>
        <w:tc>
          <w:tcPr>
            <w:tcW w:w="3283" w:type="pct"/>
          </w:tcPr>
          <w:p w14:paraId="6218CD1A" w14:textId="77777777" w:rsidR="002514F8" w:rsidRPr="00730DE4" w:rsidRDefault="002514F8" w:rsidP="00F23ED3">
            <w:pPr>
              <w:pStyle w:val="NoSpacing"/>
              <w:rPr>
                <w:lang w:val="en-US"/>
              </w:rPr>
            </w:pPr>
            <w:r w:rsidRPr="00730DE4">
              <w:rPr>
                <w:lang w:val="en-US"/>
              </w:rPr>
              <w:t>Delivering the Transport Infrastructure Development Scheme (TIDs) to enable local governments to fund transport infrastructure that is a priority for their communities.</w:t>
            </w:r>
          </w:p>
        </w:tc>
        <w:tc>
          <w:tcPr>
            <w:tcW w:w="1111" w:type="pct"/>
          </w:tcPr>
          <w:p w14:paraId="6C815A26" w14:textId="77777777" w:rsidR="002514F8" w:rsidRPr="00730DE4" w:rsidRDefault="002514F8" w:rsidP="00F23ED3">
            <w:pPr>
              <w:pStyle w:val="NoSpacing"/>
              <w:rPr>
                <w:lang w:val="en-US"/>
              </w:rPr>
            </w:pPr>
            <w:r w:rsidRPr="00730DE4">
              <w:rPr>
                <w:lang w:val="en-US"/>
              </w:rPr>
              <w:t>Supporting jobs</w:t>
            </w:r>
          </w:p>
        </w:tc>
        <w:tc>
          <w:tcPr>
            <w:tcW w:w="606" w:type="pct"/>
          </w:tcPr>
          <w:p w14:paraId="396C5FBD" w14:textId="77777777" w:rsidR="002514F8" w:rsidRPr="00730DE4" w:rsidRDefault="002514F8" w:rsidP="00F23ED3">
            <w:pPr>
              <w:pStyle w:val="NoSpacing"/>
              <w:rPr>
                <w:lang w:val="en-US"/>
              </w:rPr>
            </w:pPr>
            <w:r w:rsidRPr="00730DE4">
              <w:rPr>
                <w:lang w:val="en-US"/>
              </w:rPr>
              <w:t>Ongoing</w:t>
            </w:r>
          </w:p>
        </w:tc>
      </w:tr>
      <w:tr w:rsidR="000A65A9" w:rsidRPr="00730DE4" w14:paraId="09FECBEE" w14:textId="77777777" w:rsidTr="00C5487B">
        <w:trPr>
          <w:cnfStyle w:val="000000100000" w:firstRow="0" w:lastRow="0" w:firstColumn="0" w:lastColumn="0" w:oddVBand="0" w:evenVBand="0" w:oddHBand="1" w:evenHBand="0" w:firstRowFirstColumn="0" w:firstRowLastColumn="0" w:lastRowFirstColumn="0" w:lastRowLastColumn="0"/>
          <w:cantSplit/>
        </w:trPr>
        <w:tc>
          <w:tcPr>
            <w:tcW w:w="3283" w:type="pct"/>
          </w:tcPr>
          <w:p w14:paraId="0B9AB86C" w14:textId="77777777" w:rsidR="002514F8" w:rsidRPr="00730DE4" w:rsidRDefault="002514F8" w:rsidP="00F23ED3">
            <w:pPr>
              <w:pStyle w:val="NoSpacing"/>
              <w:rPr>
                <w:lang w:val="en-US"/>
              </w:rPr>
            </w:pPr>
            <w:r w:rsidRPr="00730DE4">
              <w:rPr>
                <w:lang w:val="en-US"/>
              </w:rPr>
              <w:t>Queensland Government has commenced a $107.1 million Inland Freight Route Early Works Package as part of the $1 billion funding commitment, jointly-funded with the Australian Government, for the Inland Freight Route (Charters Towers to Mungindi) initiative.</w:t>
            </w:r>
          </w:p>
        </w:tc>
        <w:tc>
          <w:tcPr>
            <w:tcW w:w="1111" w:type="pct"/>
          </w:tcPr>
          <w:p w14:paraId="49A1B7DD" w14:textId="77777777" w:rsidR="002514F8" w:rsidRPr="00730DE4" w:rsidRDefault="002514F8" w:rsidP="00F23ED3">
            <w:pPr>
              <w:pStyle w:val="NoSpacing"/>
              <w:rPr>
                <w:lang w:val="en-US"/>
              </w:rPr>
            </w:pPr>
            <w:r w:rsidRPr="00730DE4">
              <w:rPr>
                <w:lang w:val="en-US"/>
              </w:rPr>
              <w:t>Connecting Queensland</w:t>
            </w:r>
          </w:p>
        </w:tc>
        <w:tc>
          <w:tcPr>
            <w:tcW w:w="606" w:type="pct"/>
          </w:tcPr>
          <w:p w14:paraId="5C176EB4" w14:textId="77777777" w:rsidR="002514F8" w:rsidRPr="00730DE4" w:rsidRDefault="002514F8" w:rsidP="00F23ED3">
            <w:pPr>
              <w:pStyle w:val="NoSpacing"/>
              <w:rPr>
                <w:lang w:val="en-US"/>
              </w:rPr>
            </w:pPr>
            <w:r w:rsidRPr="00730DE4">
              <w:rPr>
                <w:lang w:val="en-US"/>
              </w:rPr>
              <w:t>Ongoing</w:t>
            </w:r>
          </w:p>
        </w:tc>
      </w:tr>
      <w:tr w:rsidR="002514F8" w:rsidRPr="00730DE4" w14:paraId="07CB9E27" w14:textId="77777777" w:rsidTr="00C5487B">
        <w:trPr>
          <w:cantSplit/>
        </w:trPr>
        <w:tc>
          <w:tcPr>
            <w:tcW w:w="3283" w:type="pct"/>
          </w:tcPr>
          <w:p w14:paraId="0EE22974" w14:textId="77777777" w:rsidR="002514F8" w:rsidRPr="00730DE4" w:rsidRDefault="002514F8" w:rsidP="00F23ED3">
            <w:pPr>
              <w:pStyle w:val="NoSpacing"/>
              <w:rPr>
                <w:lang w:val="en-US"/>
              </w:rPr>
            </w:pPr>
            <w:r w:rsidRPr="00730DE4">
              <w:rPr>
                <w:lang w:val="en-US"/>
              </w:rPr>
              <w:t>Continued to progress sustainable infrastructure solutions, including use of more sustainable materials, recycling, and production methods, through the National Asset Centre of Excellence Research program, a joint initiative by TMR and the National Transport Research Organisation.</w:t>
            </w:r>
          </w:p>
        </w:tc>
        <w:tc>
          <w:tcPr>
            <w:tcW w:w="1111" w:type="pct"/>
          </w:tcPr>
          <w:p w14:paraId="155CFF44" w14:textId="77777777" w:rsidR="002514F8" w:rsidRPr="00730DE4" w:rsidRDefault="002514F8" w:rsidP="00F23ED3">
            <w:pPr>
              <w:pStyle w:val="NoSpacing"/>
              <w:rPr>
                <w:lang w:val="en-US"/>
              </w:rPr>
            </w:pPr>
            <w:r w:rsidRPr="00730DE4">
              <w:rPr>
                <w:lang w:val="en-US"/>
              </w:rPr>
              <w:t>Protecting the environment</w:t>
            </w:r>
          </w:p>
        </w:tc>
        <w:tc>
          <w:tcPr>
            <w:tcW w:w="606" w:type="pct"/>
          </w:tcPr>
          <w:p w14:paraId="2BB9890E" w14:textId="77777777" w:rsidR="002514F8" w:rsidRPr="00730DE4" w:rsidRDefault="002514F8" w:rsidP="00F23ED3">
            <w:pPr>
              <w:pStyle w:val="NoSpacing"/>
              <w:rPr>
                <w:lang w:val="en-US"/>
              </w:rPr>
            </w:pPr>
            <w:r w:rsidRPr="00730DE4">
              <w:rPr>
                <w:lang w:val="en-US"/>
              </w:rPr>
              <w:t xml:space="preserve">Ongoing </w:t>
            </w:r>
          </w:p>
        </w:tc>
      </w:tr>
      <w:tr w:rsidR="000A65A9" w:rsidRPr="00730DE4" w14:paraId="38A46B41" w14:textId="77777777" w:rsidTr="00C5487B">
        <w:trPr>
          <w:cnfStyle w:val="000000100000" w:firstRow="0" w:lastRow="0" w:firstColumn="0" w:lastColumn="0" w:oddVBand="0" w:evenVBand="0" w:oddHBand="1" w:evenHBand="0" w:firstRowFirstColumn="0" w:firstRowLastColumn="0" w:lastRowFirstColumn="0" w:lastRowLastColumn="0"/>
          <w:cantSplit/>
        </w:trPr>
        <w:tc>
          <w:tcPr>
            <w:tcW w:w="3283" w:type="pct"/>
          </w:tcPr>
          <w:p w14:paraId="297EFD42" w14:textId="77777777" w:rsidR="002514F8" w:rsidRPr="00730DE4" w:rsidRDefault="002514F8" w:rsidP="00F23ED3">
            <w:pPr>
              <w:pStyle w:val="NoSpacing"/>
              <w:rPr>
                <w:lang w:val="en-US"/>
              </w:rPr>
            </w:pPr>
            <w:r w:rsidRPr="00730DE4">
              <w:rPr>
                <w:lang w:val="en-US"/>
              </w:rPr>
              <w:t>Completed online training module 'Tackling Climate Change in Projects', allowing project managers and designers to be able to better address adaptation, resilience, and decarbonisation requirements in TMR infrastructure projects.</w:t>
            </w:r>
          </w:p>
        </w:tc>
        <w:tc>
          <w:tcPr>
            <w:tcW w:w="1111" w:type="pct"/>
          </w:tcPr>
          <w:p w14:paraId="07C6A492" w14:textId="77777777" w:rsidR="002514F8" w:rsidRPr="00730DE4" w:rsidRDefault="002514F8" w:rsidP="00F23ED3">
            <w:pPr>
              <w:pStyle w:val="NoSpacing"/>
              <w:rPr>
                <w:lang w:val="en-US"/>
              </w:rPr>
            </w:pPr>
            <w:r w:rsidRPr="00730DE4">
              <w:rPr>
                <w:lang w:val="en-US"/>
              </w:rPr>
              <w:t>Protecting the environment</w:t>
            </w:r>
          </w:p>
        </w:tc>
        <w:tc>
          <w:tcPr>
            <w:tcW w:w="606" w:type="pct"/>
          </w:tcPr>
          <w:p w14:paraId="6AA4357A" w14:textId="77777777" w:rsidR="002514F8" w:rsidRPr="00730DE4" w:rsidRDefault="002514F8" w:rsidP="00F23ED3">
            <w:pPr>
              <w:pStyle w:val="NoSpacing"/>
              <w:rPr>
                <w:lang w:val="en-US"/>
              </w:rPr>
            </w:pPr>
            <w:r w:rsidRPr="00730DE4">
              <w:rPr>
                <w:lang w:val="en-US"/>
              </w:rPr>
              <w:t>Completed</w:t>
            </w:r>
          </w:p>
        </w:tc>
      </w:tr>
      <w:tr w:rsidR="002514F8" w:rsidRPr="00730DE4" w14:paraId="1FE99E06" w14:textId="77777777" w:rsidTr="00C5487B">
        <w:trPr>
          <w:cantSplit/>
        </w:trPr>
        <w:tc>
          <w:tcPr>
            <w:tcW w:w="3283" w:type="pct"/>
          </w:tcPr>
          <w:p w14:paraId="16B35F9A" w14:textId="77777777" w:rsidR="002514F8" w:rsidRPr="00730DE4" w:rsidRDefault="002514F8" w:rsidP="00331B90">
            <w:pPr>
              <w:pStyle w:val="NoSpacing"/>
              <w:rPr>
                <w:lang w:val="en-US"/>
              </w:rPr>
            </w:pPr>
            <w:r w:rsidRPr="00730DE4">
              <w:rPr>
                <w:lang w:val="en-US"/>
              </w:rPr>
              <w:t xml:space="preserve">Continued the staged rollout of the Smart Ticketing Program across all public transport modes to improve ticketing efficiency and ease of use for our customers. </w:t>
            </w:r>
          </w:p>
        </w:tc>
        <w:tc>
          <w:tcPr>
            <w:tcW w:w="1111" w:type="pct"/>
          </w:tcPr>
          <w:p w14:paraId="7A675941" w14:textId="77777777" w:rsidR="002514F8" w:rsidRPr="00730DE4" w:rsidRDefault="002514F8" w:rsidP="00331B90">
            <w:pPr>
              <w:pStyle w:val="NoSpacing"/>
              <w:rPr>
                <w:lang w:val="en-US"/>
              </w:rPr>
            </w:pPr>
            <w:r w:rsidRPr="00730DE4">
              <w:rPr>
                <w:lang w:val="en-US"/>
              </w:rPr>
              <w:t>Connecting Queenslanders</w:t>
            </w:r>
          </w:p>
        </w:tc>
        <w:tc>
          <w:tcPr>
            <w:tcW w:w="606" w:type="pct"/>
          </w:tcPr>
          <w:p w14:paraId="69D8094C" w14:textId="77777777" w:rsidR="002514F8" w:rsidRPr="00730DE4" w:rsidRDefault="002514F8" w:rsidP="00331B90">
            <w:pPr>
              <w:pStyle w:val="NoSpacing"/>
              <w:rPr>
                <w:lang w:val="en-US"/>
              </w:rPr>
            </w:pPr>
            <w:r w:rsidRPr="00730DE4">
              <w:rPr>
                <w:lang w:val="en-US"/>
              </w:rPr>
              <w:t>In progress</w:t>
            </w:r>
          </w:p>
        </w:tc>
      </w:tr>
      <w:tr w:rsidR="000A65A9" w:rsidRPr="00730DE4" w14:paraId="7889AB5F" w14:textId="77777777" w:rsidTr="00C5487B">
        <w:trPr>
          <w:cnfStyle w:val="000000100000" w:firstRow="0" w:lastRow="0" w:firstColumn="0" w:lastColumn="0" w:oddVBand="0" w:evenVBand="0" w:oddHBand="1" w:evenHBand="0" w:firstRowFirstColumn="0" w:firstRowLastColumn="0" w:lastRowFirstColumn="0" w:lastRowLastColumn="0"/>
          <w:cantSplit/>
        </w:trPr>
        <w:tc>
          <w:tcPr>
            <w:tcW w:w="3283" w:type="pct"/>
          </w:tcPr>
          <w:p w14:paraId="606017DB" w14:textId="77777777" w:rsidR="002514F8" w:rsidRPr="00730DE4" w:rsidRDefault="002514F8" w:rsidP="00331B90">
            <w:pPr>
              <w:pStyle w:val="NoSpacing"/>
              <w:rPr>
                <w:lang w:val="en-US"/>
              </w:rPr>
            </w:pPr>
            <w:r w:rsidRPr="00730DE4">
              <w:rPr>
                <w:lang w:val="en-US"/>
              </w:rPr>
              <w:t xml:space="preserve">Continued to align TMR transport infrastructure specifications with the Austroads Technical Specifications to improve productivity of the transport sector. </w:t>
            </w:r>
          </w:p>
        </w:tc>
        <w:tc>
          <w:tcPr>
            <w:tcW w:w="1111" w:type="pct"/>
          </w:tcPr>
          <w:p w14:paraId="618017EE" w14:textId="77777777" w:rsidR="002514F8" w:rsidRPr="00730DE4" w:rsidRDefault="002514F8" w:rsidP="00331B90">
            <w:pPr>
              <w:pStyle w:val="NoSpacing"/>
              <w:rPr>
                <w:lang w:val="en-US"/>
              </w:rPr>
            </w:pPr>
            <w:r w:rsidRPr="00730DE4">
              <w:rPr>
                <w:lang w:val="en-US"/>
              </w:rPr>
              <w:t>Building Queensland</w:t>
            </w:r>
          </w:p>
        </w:tc>
        <w:tc>
          <w:tcPr>
            <w:tcW w:w="606" w:type="pct"/>
          </w:tcPr>
          <w:p w14:paraId="0A22EA78" w14:textId="77777777" w:rsidR="002514F8" w:rsidRPr="00730DE4" w:rsidRDefault="002514F8" w:rsidP="00331B90">
            <w:pPr>
              <w:pStyle w:val="NoSpacing"/>
              <w:rPr>
                <w:lang w:val="en-US"/>
              </w:rPr>
            </w:pPr>
            <w:r w:rsidRPr="00730DE4">
              <w:rPr>
                <w:lang w:val="en-US"/>
              </w:rPr>
              <w:t>Ongoing</w:t>
            </w:r>
          </w:p>
        </w:tc>
      </w:tr>
      <w:tr w:rsidR="002514F8" w:rsidRPr="00730DE4" w14:paraId="2F090022" w14:textId="77777777" w:rsidTr="00C5487B">
        <w:trPr>
          <w:cantSplit/>
        </w:trPr>
        <w:tc>
          <w:tcPr>
            <w:tcW w:w="3283" w:type="pct"/>
          </w:tcPr>
          <w:p w14:paraId="54805B0A" w14:textId="77777777" w:rsidR="002514F8" w:rsidRPr="00730DE4" w:rsidRDefault="002514F8" w:rsidP="00331B90">
            <w:pPr>
              <w:pStyle w:val="NoSpacing"/>
              <w:rPr>
                <w:lang w:val="en-US"/>
              </w:rPr>
            </w:pPr>
            <w:r w:rsidRPr="00730DE4">
              <w:rPr>
                <w:lang w:val="en-US"/>
              </w:rPr>
              <w:t>Continued delivery of the M1 Program of works funded by the Australian and Queensland governments to improve the safety, capacity, and traffic flow of this important freight route from the New South Wales (NSW) border to Brisbane.</w:t>
            </w:r>
          </w:p>
        </w:tc>
        <w:tc>
          <w:tcPr>
            <w:tcW w:w="1111" w:type="pct"/>
          </w:tcPr>
          <w:p w14:paraId="5B316E77" w14:textId="77777777" w:rsidR="002514F8" w:rsidRPr="00730DE4" w:rsidRDefault="002514F8" w:rsidP="00331B90">
            <w:pPr>
              <w:pStyle w:val="NoSpacing"/>
              <w:rPr>
                <w:lang w:val="en-US"/>
              </w:rPr>
            </w:pPr>
            <w:r w:rsidRPr="00730DE4">
              <w:rPr>
                <w:lang w:val="en-US"/>
              </w:rPr>
              <w:t xml:space="preserve">Connecting Queensland </w:t>
            </w:r>
          </w:p>
        </w:tc>
        <w:tc>
          <w:tcPr>
            <w:tcW w:w="606" w:type="pct"/>
          </w:tcPr>
          <w:p w14:paraId="1267B149" w14:textId="77777777" w:rsidR="002514F8" w:rsidRPr="00730DE4" w:rsidRDefault="002514F8" w:rsidP="00331B90">
            <w:pPr>
              <w:pStyle w:val="NoSpacing"/>
              <w:rPr>
                <w:lang w:val="en-US"/>
              </w:rPr>
            </w:pPr>
            <w:r w:rsidRPr="00730DE4">
              <w:rPr>
                <w:lang w:val="en-US"/>
              </w:rPr>
              <w:t xml:space="preserve">Ongoing </w:t>
            </w:r>
          </w:p>
        </w:tc>
      </w:tr>
    </w:tbl>
    <w:p w14:paraId="56906987" w14:textId="77777777" w:rsidR="00EA1647" w:rsidRDefault="00EA1647" w:rsidP="002B7001">
      <w:pPr>
        <w:pStyle w:val="Heading3"/>
        <w:rPr>
          <w:lang w:val="en-US"/>
        </w:rPr>
      </w:pPr>
      <w:r>
        <w:rPr>
          <w:lang w:val="en-US"/>
        </w:rPr>
        <w:br w:type="page"/>
      </w:r>
    </w:p>
    <w:p w14:paraId="2A969601" w14:textId="77C8346E" w:rsidR="002514F8" w:rsidRPr="00730DE4" w:rsidRDefault="002514F8" w:rsidP="002B7001">
      <w:pPr>
        <w:pStyle w:val="Heading3"/>
        <w:rPr>
          <w:lang w:val="en-US"/>
        </w:rPr>
      </w:pPr>
      <w:bookmarkStart w:id="249" w:name="_Toc180487312"/>
      <w:bookmarkStart w:id="250" w:name="_Toc180490518"/>
      <w:bookmarkStart w:id="251" w:name="_Toc180491551"/>
      <w:r w:rsidRPr="00730DE4">
        <w:rPr>
          <w:lang w:val="en-US"/>
        </w:rPr>
        <w:t>Sustainable</w:t>
      </w:r>
      <w:bookmarkEnd w:id="249"/>
      <w:bookmarkEnd w:id="250"/>
      <w:bookmarkEnd w:id="251"/>
    </w:p>
    <w:p w14:paraId="6E057189" w14:textId="77777777" w:rsidR="002514F8" w:rsidRPr="00730DE4" w:rsidRDefault="002514F8" w:rsidP="00F23ED3">
      <w:pPr>
        <w:rPr>
          <w:lang w:val="en-US"/>
        </w:rPr>
      </w:pPr>
      <w:r w:rsidRPr="00730DE4">
        <w:rPr>
          <w:lang w:val="en-US"/>
        </w:rPr>
        <w:t>A transport system that contributes to environmental, economic, and social sustainability.</w:t>
      </w:r>
    </w:p>
    <w:p w14:paraId="61E1986B" w14:textId="77777777" w:rsidR="002514F8" w:rsidRPr="00730DE4" w:rsidRDefault="002514F8" w:rsidP="001D287A">
      <w:pPr>
        <w:pStyle w:val="FigureCaption"/>
        <w:rPr>
          <w:lang w:val="en-US"/>
        </w:rPr>
      </w:pPr>
      <w:r w:rsidRPr="00730DE4">
        <w:rPr>
          <w:lang w:val="en-US"/>
        </w:rPr>
        <w:t>Table 7: Key priorities and outcomes: Sustainable</w:t>
      </w:r>
    </w:p>
    <w:tbl>
      <w:tblPr>
        <w:tblStyle w:val="TMRDefault"/>
        <w:tblW w:w="5000" w:type="pct"/>
        <w:tblLook w:val="0020" w:firstRow="1" w:lastRow="0" w:firstColumn="0" w:lastColumn="0" w:noHBand="0" w:noVBand="0"/>
      </w:tblPr>
      <w:tblGrid>
        <w:gridCol w:w="9187"/>
        <w:gridCol w:w="3109"/>
        <w:gridCol w:w="1696"/>
      </w:tblGrid>
      <w:tr w:rsidR="002514F8" w:rsidRPr="00730DE4" w14:paraId="74422028" w14:textId="77777777" w:rsidTr="00C5487B">
        <w:trPr>
          <w:cnfStyle w:val="100000000000" w:firstRow="1" w:lastRow="0" w:firstColumn="0" w:lastColumn="0" w:oddVBand="0" w:evenVBand="0" w:oddHBand="0" w:evenHBand="0" w:firstRowFirstColumn="0" w:firstRowLastColumn="0" w:lastRowFirstColumn="0" w:lastRowLastColumn="0"/>
          <w:cantSplit/>
          <w:tblHeader/>
        </w:trPr>
        <w:tc>
          <w:tcPr>
            <w:tcW w:w="3283" w:type="pct"/>
          </w:tcPr>
          <w:p w14:paraId="26A12042" w14:textId="77777777" w:rsidR="002514F8" w:rsidRPr="00730DE4" w:rsidRDefault="002514F8" w:rsidP="00F23ED3">
            <w:pPr>
              <w:pStyle w:val="NoSpacing"/>
              <w:rPr>
                <w:color w:val="FFFFFF" w:themeColor="background1"/>
                <w:lang w:val="en-US"/>
              </w:rPr>
            </w:pPr>
            <w:r w:rsidRPr="00730DE4">
              <w:rPr>
                <w:color w:val="FFFFFF" w:themeColor="background1"/>
                <w:lang w:val="en-US"/>
              </w:rPr>
              <w:t xml:space="preserve">Key priorities and outcomes </w:t>
            </w:r>
          </w:p>
        </w:tc>
        <w:tc>
          <w:tcPr>
            <w:tcW w:w="1111" w:type="pct"/>
          </w:tcPr>
          <w:p w14:paraId="0E5F4039" w14:textId="77777777" w:rsidR="002514F8" w:rsidRPr="00730DE4" w:rsidRDefault="002514F8" w:rsidP="00F23ED3">
            <w:pPr>
              <w:pStyle w:val="NoSpacing"/>
              <w:rPr>
                <w:color w:val="FFFFFF" w:themeColor="background1"/>
                <w:lang w:val="en-US"/>
              </w:rPr>
            </w:pPr>
            <w:r w:rsidRPr="00730DE4">
              <w:rPr>
                <w:color w:val="FFFFFF" w:themeColor="background1"/>
                <w:lang w:val="en-US"/>
              </w:rPr>
              <w:t xml:space="preserve">Alignment to Queensland Government's objectives for the community </w:t>
            </w:r>
          </w:p>
        </w:tc>
        <w:tc>
          <w:tcPr>
            <w:tcW w:w="606" w:type="pct"/>
          </w:tcPr>
          <w:p w14:paraId="772F7FAE" w14:textId="77777777" w:rsidR="002514F8" w:rsidRPr="00730DE4" w:rsidRDefault="002514F8" w:rsidP="00F23ED3">
            <w:pPr>
              <w:pStyle w:val="NoSpacing"/>
              <w:rPr>
                <w:color w:val="FFFFFF" w:themeColor="background1"/>
                <w:lang w:val="en-US"/>
              </w:rPr>
            </w:pPr>
            <w:r w:rsidRPr="00730DE4">
              <w:rPr>
                <w:color w:val="FFFFFF" w:themeColor="background1"/>
                <w:lang w:val="en-US"/>
              </w:rPr>
              <w:t>Status</w:t>
            </w:r>
          </w:p>
        </w:tc>
      </w:tr>
      <w:tr w:rsidR="002514F8" w:rsidRPr="00730DE4" w14:paraId="64CC8EF0" w14:textId="77777777" w:rsidTr="00C5487B">
        <w:trPr>
          <w:cnfStyle w:val="000000100000" w:firstRow="0" w:lastRow="0" w:firstColumn="0" w:lastColumn="0" w:oddVBand="0" w:evenVBand="0" w:oddHBand="1" w:evenHBand="0" w:firstRowFirstColumn="0" w:firstRowLastColumn="0" w:lastRowFirstColumn="0" w:lastRowLastColumn="0"/>
          <w:cantSplit/>
        </w:trPr>
        <w:tc>
          <w:tcPr>
            <w:tcW w:w="3283" w:type="pct"/>
          </w:tcPr>
          <w:p w14:paraId="27D898BE" w14:textId="77777777" w:rsidR="002514F8" w:rsidRPr="00730DE4" w:rsidRDefault="002514F8" w:rsidP="00F23ED3">
            <w:pPr>
              <w:pStyle w:val="NoSpacing"/>
              <w:rPr>
                <w:lang w:val="en-US"/>
              </w:rPr>
            </w:pPr>
            <w:r w:rsidRPr="00730DE4">
              <w:rPr>
                <w:lang w:val="en-US"/>
              </w:rPr>
              <w:t xml:space="preserve">Developed a new </w:t>
            </w:r>
            <w:r w:rsidRPr="00730DE4">
              <w:rPr>
                <w:rStyle w:val="Emphasis"/>
              </w:rPr>
              <w:t>Queensland Cycling Action Plan</w:t>
            </w:r>
            <w:r w:rsidRPr="00730DE4">
              <w:rPr>
                <w:lang w:val="en-US"/>
              </w:rPr>
              <w:t xml:space="preserve"> to get more people riding bicycles, more often, to support better health, economic, and environmental outcomes. </w:t>
            </w:r>
          </w:p>
        </w:tc>
        <w:tc>
          <w:tcPr>
            <w:tcW w:w="1111" w:type="pct"/>
          </w:tcPr>
          <w:p w14:paraId="3B686E64" w14:textId="77777777" w:rsidR="002514F8" w:rsidRPr="00730DE4" w:rsidRDefault="002514F8" w:rsidP="00F23ED3">
            <w:pPr>
              <w:pStyle w:val="NoSpacing"/>
              <w:rPr>
                <w:lang w:val="en-US"/>
              </w:rPr>
            </w:pPr>
            <w:r w:rsidRPr="00730DE4">
              <w:rPr>
                <w:lang w:val="en-US"/>
              </w:rPr>
              <w:t>Protecting the environment</w:t>
            </w:r>
          </w:p>
        </w:tc>
        <w:tc>
          <w:tcPr>
            <w:tcW w:w="606" w:type="pct"/>
          </w:tcPr>
          <w:p w14:paraId="305FC31A" w14:textId="77777777" w:rsidR="002514F8" w:rsidRPr="00730DE4" w:rsidRDefault="002514F8" w:rsidP="00F23ED3">
            <w:pPr>
              <w:pStyle w:val="NoSpacing"/>
              <w:rPr>
                <w:lang w:val="en-US"/>
              </w:rPr>
            </w:pPr>
            <w:r w:rsidRPr="00730DE4">
              <w:rPr>
                <w:lang w:val="en-US"/>
              </w:rPr>
              <w:t>Completed</w:t>
            </w:r>
          </w:p>
        </w:tc>
      </w:tr>
      <w:tr w:rsidR="002514F8" w:rsidRPr="00730DE4" w14:paraId="77DFED21" w14:textId="77777777" w:rsidTr="00C5487B">
        <w:trPr>
          <w:cantSplit/>
        </w:trPr>
        <w:tc>
          <w:tcPr>
            <w:tcW w:w="3283" w:type="pct"/>
          </w:tcPr>
          <w:p w14:paraId="16948CDE" w14:textId="77777777" w:rsidR="002514F8" w:rsidRPr="00730DE4" w:rsidRDefault="002514F8" w:rsidP="00F23ED3">
            <w:pPr>
              <w:pStyle w:val="NoSpacing"/>
              <w:rPr>
                <w:lang w:val="en-US"/>
              </w:rPr>
            </w:pPr>
            <w:r w:rsidRPr="00730DE4">
              <w:rPr>
                <w:lang w:val="en-US"/>
              </w:rPr>
              <w:t xml:space="preserve">Continued implementation of the </w:t>
            </w:r>
            <w:r w:rsidRPr="00730DE4">
              <w:rPr>
                <w:rStyle w:val="Emphasis"/>
              </w:rPr>
              <w:t>Queensland’s Zero Emission Vehicle</w:t>
            </w:r>
            <w:r w:rsidRPr="00730DE4">
              <w:rPr>
                <w:lang w:val="en-US"/>
              </w:rPr>
              <w:t xml:space="preserve"> </w:t>
            </w:r>
            <w:r w:rsidRPr="00730DE4">
              <w:rPr>
                <w:rStyle w:val="Emphasis"/>
              </w:rPr>
              <w:t>Strategy 2022–2032</w:t>
            </w:r>
            <w:r w:rsidRPr="00730DE4">
              <w:rPr>
                <w:lang w:val="en-US"/>
              </w:rPr>
              <w:t xml:space="preserve"> for a cleaner, greener transport system including delivery of more Electric Vehicle (EV) charging infrastructure across the state and providing purchase incentives to encourage EV uptake. </w:t>
            </w:r>
          </w:p>
        </w:tc>
        <w:tc>
          <w:tcPr>
            <w:tcW w:w="1111" w:type="pct"/>
          </w:tcPr>
          <w:p w14:paraId="5BECE7E7" w14:textId="77777777" w:rsidR="002514F8" w:rsidRPr="00730DE4" w:rsidRDefault="002514F8" w:rsidP="00F23ED3">
            <w:pPr>
              <w:pStyle w:val="NoSpacing"/>
              <w:rPr>
                <w:lang w:val="en-US"/>
              </w:rPr>
            </w:pPr>
            <w:r w:rsidRPr="00730DE4">
              <w:rPr>
                <w:lang w:val="en-US"/>
              </w:rPr>
              <w:t>Protecting the environment</w:t>
            </w:r>
          </w:p>
        </w:tc>
        <w:tc>
          <w:tcPr>
            <w:tcW w:w="606" w:type="pct"/>
          </w:tcPr>
          <w:p w14:paraId="2A897F28" w14:textId="77777777" w:rsidR="002514F8" w:rsidRPr="00730DE4" w:rsidRDefault="002514F8" w:rsidP="00F23ED3">
            <w:pPr>
              <w:pStyle w:val="NoSpacing"/>
              <w:rPr>
                <w:lang w:val="en-US"/>
              </w:rPr>
            </w:pPr>
            <w:r w:rsidRPr="00730DE4">
              <w:rPr>
                <w:lang w:val="en-US"/>
              </w:rPr>
              <w:t>Ongoing</w:t>
            </w:r>
          </w:p>
        </w:tc>
      </w:tr>
      <w:tr w:rsidR="002514F8" w:rsidRPr="00730DE4" w14:paraId="3453E826" w14:textId="77777777" w:rsidTr="00C5487B">
        <w:trPr>
          <w:cnfStyle w:val="000000100000" w:firstRow="0" w:lastRow="0" w:firstColumn="0" w:lastColumn="0" w:oddVBand="0" w:evenVBand="0" w:oddHBand="1" w:evenHBand="0" w:firstRowFirstColumn="0" w:firstRowLastColumn="0" w:lastRowFirstColumn="0" w:lastRowLastColumn="0"/>
          <w:cantSplit/>
        </w:trPr>
        <w:tc>
          <w:tcPr>
            <w:tcW w:w="3283" w:type="pct"/>
          </w:tcPr>
          <w:p w14:paraId="649915C1" w14:textId="77777777" w:rsidR="002514F8" w:rsidRPr="00730DE4" w:rsidRDefault="002514F8" w:rsidP="00F23ED3">
            <w:pPr>
              <w:pStyle w:val="NoSpacing"/>
              <w:rPr>
                <w:lang w:val="en-US"/>
              </w:rPr>
            </w:pPr>
            <w:r w:rsidRPr="00730DE4">
              <w:rPr>
                <w:lang w:val="en-US"/>
              </w:rPr>
              <w:t xml:space="preserve">Continued delivery of </w:t>
            </w:r>
            <w:r w:rsidRPr="00730DE4">
              <w:rPr>
                <w:rStyle w:val="Emphasis"/>
              </w:rPr>
              <w:t>Queensland’s Zero Emission Vehicle Strategy - Action Plan (2022–2024),</w:t>
            </w:r>
            <w:r w:rsidRPr="00730DE4">
              <w:rPr>
                <w:lang w:val="en-US"/>
              </w:rPr>
              <w:t xml:space="preserve"> with learnings utilised to inform the development of future approaches to enable the transition to zero emission vehicles in Queensland.</w:t>
            </w:r>
          </w:p>
        </w:tc>
        <w:tc>
          <w:tcPr>
            <w:tcW w:w="1111" w:type="pct"/>
          </w:tcPr>
          <w:p w14:paraId="5FE4763C" w14:textId="77777777" w:rsidR="002514F8" w:rsidRPr="00730DE4" w:rsidRDefault="002514F8" w:rsidP="00F23ED3">
            <w:pPr>
              <w:pStyle w:val="NoSpacing"/>
              <w:rPr>
                <w:lang w:val="en-US"/>
              </w:rPr>
            </w:pPr>
            <w:r w:rsidRPr="00730DE4">
              <w:rPr>
                <w:lang w:val="en-US"/>
              </w:rPr>
              <w:t xml:space="preserve">Protecting the environment </w:t>
            </w:r>
          </w:p>
        </w:tc>
        <w:tc>
          <w:tcPr>
            <w:tcW w:w="606" w:type="pct"/>
          </w:tcPr>
          <w:p w14:paraId="5A98D5EE" w14:textId="77777777" w:rsidR="002514F8" w:rsidRPr="00730DE4" w:rsidRDefault="002514F8" w:rsidP="00F23ED3">
            <w:pPr>
              <w:pStyle w:val="NoSpacing"/>
              <w:rPr>
                <w:lang w:val="en-US"/>
              </w:rPr>
            </w:pPr>
            <w:r w:rsidRPr="00730DE4">
              <w:rPr>
                <w:lang w:val="en-US"/>
              </w:rPr>
              <w:t>In progress</w:t>
            </w:r>
          </w:p>
        </w:tc>
      </w:tr>
      <w:tr w:rsidR="002514F8" w:rsidRPr="00730DE4" w14:paraId="1E147596" w14:textId="77777777" w:rsidTr="00C5487B">
        <w:trPr>
          <w:cantSplit/>
        </w:trPr>
        <w:tc>
          <w:tcPr>
            <w:tcW w:w="3283" w:type="pct"/>
          </w:tcPr>
          <w:p w14:paraId="11FDC7BC" w14:textId="77777777" w:rsidR="002514F8" w:rsidRPr="00730DE4" w:rsidRDefault="002514F8" w:rsidP="007670C3">
            <w:pPr>
              <w:pStyle w:val="NoSpacing"/>
              <w:rPr>
                <w:lang w:val="en-US"/>
              </w:rPr>
            </w:pPr>
            <w:r w:rsidRPr="00730DE4">
              <w:t xml:space="preserve">Continued development of a Climate Change Strategy and Action Plan to embed climate change risk considerations in all decisions. </w:t>
            </w:r>
          </w:p>
        </w:tc>
        <w:tc>
          <w:tcPr>
            <w:tcW w:w="1111" w:type="pct"/>
          </w:tcPr>
          <w:p w14:paraId="4FE4272D" w14:textId="77777777" w:rsidR="002514F8" w:rsidRPr="00730DE4" w:rsidRDefault="002514F8" w:rsidP="007670C3">
            <w:pPr>
              <w:pStyle w:val="NoSpacing"/>
              <w:rPr>
                <w:lang w:val="en-US"/>
              </w:rPr>
            </w:pPr>
            <w:r w:rsidRPr="00730DE4">
              <w:t>Protecting the environment</w:t>
            </w:r>
          </w:p>
        </w:tc>
        <w:tc>
          <w:tcPr>
            <w:tcW w:w="606" w:type="pct"/>
          </w:tcPr>
          <w:p w14:paraId="7EBFC5CE" w14:textId="77777777" w:rsidR="002514F8" w:rsidRPr="00730DE4" w:rsidRDefault="002514F8" w:rsidP="007670C3">
            <w:pPr>
              <w:pStyle w:val="NoSpacing"/>
              <w:rPr>
                <w:lang w:val="en-US"/>
              </w:rPr>
            </w:pPr>
            <w:r w:rsidRPr="00730DE4">
              <w:t>In progress</w:t>
            </w:r>
          </w:p>
        </w:tc>
      </w:tr>
      <w:tr w:rsidR="002514F8" w:rsidRPr="00730DE4" w14:paraId="4C225E5F" w14:textId="77777777" w:rsidTr="00C5487B">
        <w:trPr>
          <w:cnfStyle w:val="000000100000" w:firstRow="0" w:lastRow="0" w:firstColumn="0" w:lastColumn="0" w:oddVBand="0" w:evenVBand="0" w:oddHBand="1" w:evenHBand="0" w:firstRowFirstColumn="0" w:firstRowLastColumn="0" w:lastRowFirstColumn="0" w:lastRowLastColumn="0"/>
          <w:cantSplit/>
        </w:trPr>
        <w:tc>
          <w:tcPr>
            <w:tcW w:w="3283" w:type="pct"/>
          </w:tcPr>
          <w:p w14:paraId="11EFB7D0" w14:textId="77777777" w:rsidR="002514F8" w:rsidRPr="00730DE4" w:rsidRDefault="002514F8" w:rsidP="00F23ED3">
            <w:pPr>
              <w:pStyle w:val="NoSpacing"/>
              <w:rPr>
                <w:lang w:val="en-US"/>
              </w:rPr>
            </w:pPr>
            <w:r w:rsidRPr="00730DE4">
              <w:rPr>
                <w:lang w:val="en-US"/>
              </w:rPr>
              <w:t xml:space="preserve">Continued development of the draft Net Zero Emissions for Transport Roadmap to transition Queensland’s transport sector to transition to a net zero emissions future. </w:t>
            </w:r>
          </w:p>
        </w:tc>
        <w:tc>
          <w:tcPr>
            <w:tcW w:w="1111" w:type="pct"/>
          </w:tcPr>
          <w:p w14:paraId="346B6282" w14:textId="77777777" w:rsidR="002514F8" w:rsidRPr="00730DE4" w:rsidRDefault="002514F8" w:rsidP="00F23ED3">
            <w:pPr>
              <w:pStyle w:val="NoSpacing"/>
              <w:rPr>
                <w:lang w:val="en-US"/>
              </w:rPr>
            </w:pPr>
            <w:r w:rsidRPr="00730DE4">
              <w:rPr>
                <w:lang w:val="en-US"/>
              </w:rPr>
              <w:t xml:space="preserve">Protecting the environment </w:t>
            </w:r>
          </w:p>
        </w:tc>
        <w:tc>
          <w:tcPr>
            <w:tcW w:w="606" w:type="pct"/>
          </w:tcPr>
          <w:p w14:paraId="16AED4B2" w14:textId="77777777" w:rsidR="002514F8" w:rsidRPr="00730DE4" w:rsidRDefault="002514F8" w:rsidP="00F23ED3">
            <w:pPr>
              <w:pStyle w:val="NoSpacing"/>
              <w:rPr>
                <w:lang w:val="en-US"/>
              </w:rPr>
            </w:pPr>
            <w:r w:rsidRPr="00730DE4">
              <w:rPr>
                <w:lang w:val="en-US"/>
              </w:rPr>
              <w:t>In progress</w:t>
            </w:r>
          </w:p>
        </w:tc>
      </w:tr>
      <w:tr w:rsidR="002514F8" w:rsidRPr="00730DE4" w14:paraId="16D1C4AE" w14:textId="77777777" w:rsidTr="00C5487B">
        <w:trPr>
          <w:cantSplit/>
        </w:trPr>
        <w:tc>
          <w:tcPr>
            <w:tcW w:w="3283" w:type="pct"/>
          </w:tcPr>
          <w:p w14:paraId="5D8B34B5" w14:textId="77777777" w:rsidR="002514F8" w:rsidRPr="00730DE4" w:rsidRDefault="002514F8" w:rsidP="0077129B">
            <w:pPr>
              <w:pStyle w:val="NoSpacing"/>
              <w:rPr>
                <w:lang w:val="en-US"/>
              </w:rPr>
            </w:pPr>
            <w:r w:rsidRPr="00730DE4">
              <w:rPr>
                <w:lang w:val="en-US"/>
              </w:rPr>
              <w:t xml:space="preserve">Continued the War on Wrecks program to work with partner agencies, vessel owners, and other parties to remove unseaworthy and/or abandoned vessel from Queensland waterways and promote responsible boat ownership. </w:t>
            </w:r>
          </w:p>
        </w:tc>
        <w:tc>
          <w:tcPr>
            <w:tcW w:w="1111" w:type="pct"/>
          </w:tcPr>
          <w:p w14:paraId="4071E78F" w14:textId="77777777" w:rsidR="002514F8" w:rsidRPr="00730DE4" w:rsidRDefault="002514F8" w:rsidP="0077129B">
            <w:pPr>
              <w:pStyle w:val="NoSpacing"/>
              <w:rPr>
                <w:lang w:val="en-US"/>
              </w:rPr>
            </w:pPr>
            <w:r w:rsidRPr="00730DE4">
              <w:rPr>
                <w:lang w:val="en-US"/>
              </w:rPr>
              <w:t>Protecting the environment</w:t>
            </w:r>
          </w:p>
        </w:tc>
        <w:tc>
          <w:tcPr>
            <w:tcW w:w="606" w:type="pct"/>
          </w:tcPr>
          <w:p w14:paraId="6CCD30B0" w14:textId="77777777" w:rsidR="002514F8" w:rsidRPr="00730DE4" w:rsidRDefault="002514F8" w:rsidP="0077129B">
            <w:pPr>
              <w:pStyle w:val="NoSpacing"/>
              <w:rPr>
                <w:lang w:val="en-US"/>
              </w:rPr>
            </w:pPr>
            <w:r w:rsidRPr="00730DE4">
              <w:rPr>
                <w:lang w:val="en-US"/>
              </w:rPr>
              <w:t>Ongoing</w:t>
            </w:r>
          </w:p>
        </w:tc>
      </w:tr>
    </w:tbl>
    <w:p w14:paraId="290115EB" w14:textId="77777777" w:rsidR="00EA1647" w:rsidRDefault="00EA1647" w:rsidP="002B7001">
      <w:pPr>
        <w:pStyle w:val="Heading3"/>
        <w:rPr>
          <w:lang w:val="en-US"/>
        </w:rPr>
      </w:pPr>
      <w:r>
        <w:rPr>
          <w:lang w:val="en-US"/>
        </w:rPr>
        <w:br w:type="page"/>
      </w:r>
    </w:p>
    <w:p w14:paraId="3E08039C" w14:textId="4DE6C42F" w:rsidR="002514F8" w:rsidRPr="00730DE4" w:rsidRDefault="002514F8" w:rsidP="002B7001">
      <w:pPr>
        <w:pStyle w:val="Heading3"/>
        <w:rPr>
          <w:lang w:val="en-US"/>
        </w:rPr>
      </w:pPr>
      <w:bookmarkStart w:id="252" w:name="_Toc180487313"/>
      <w:bookmarkStart w:id="253" w:name="_Toc180490519"/>
      <w:bookmarkStart w:id="254" w:name="_Toc180491552"/>
      <w:r w:rsidRPr="00730DE4">
        <w:rPr>
          <w:lang w:val="en-US"/>
        </w:rPr>
        <w:t>Digital economic contribution</w:t>
      </w:r>
      <w:bookmarkEnd w:id="252"/>
      <w:bookmarkEnd w:id="253"/>
      <w:bookmarkEnd w:id="254"/>
    </w:p>
    <w:p w14:paraId="547F510F" w14:textId="77777777" w:rsidR="002514F8" w:rsidRPr="00730DE4" w:rsidRDefault="002514F8" w:rsidP="00F23ED3">
      <w:pPr>
        <w:rPr>
          <w:lang w:val="en-US"/>
        </w:rPr>
      </w:pPr>
      <w:r w:rsidRPr="00730DE4">
        <w:rPr>
          <w:lang w:val="en-US"/>
        </w:rPr>
        <w:t>A thriving digital economy to benefit Queenslanders.</w:t>
      </w:r>
    </w:p>
    <w:p w14:paraId="3355A10A" w14:textId="77777777" w:rsidR="002514F8" w:rsidRPr="00730DE4" w:rsidRDefault="002514F8" w:rsidP="001D287A">
      <w:pPr>
        <w:pStyle w:val="FigureCaption"/>
        <w:rPr>
          <w:lang w:val="en-US"/>
        </w:rPr>
      </w:pPr>
      <w:r w:rsidRPr="00730DE4">
        <w:rPr>
          <w:lang w:val="en-US"/>
        </w:rPr>
        <w:t>Table 8: Key priorities and outcomes: Digital economic contribution</w:t>
      </w:r>
    </w:p>
    <w:tbl>
      <w:tblPr>
        <w:tblStyle w:val="TMRDefault"/>
        <w:tblW w:w="5000" w:type="pct"/>
        <w:tblLook w:val="0020" w:firstRow="1" w:lastRow="0" w:firstColumn="0" w:lastColumn="0" w:noHBand="0" w:noVBand="0"/>
      </w:tblPr>
      <w:tblGrid>
        <w:gridCol w:w="8419"/>
        <w:gridCol w:w="4287"/>
        <w:gridCol w:w="1286"/>
      </w:tblGrid>
      <w:tr w:rsidR="002514F8" w:rsidRPr="00730DE4" w14:paraId="0EC0CD97" w14:textId="77777777" w:rsidTr="00C5487B">
        <w:trPr>
          <w:cnfStyle w:val="100000000000" w:firstRow="1" w:lastRow="0" w:firstColumn="0" w:lastColumn="0" w:oddVBand="0" w:evenVBand="0" w:oddHBand="0" w:evenHBand="0" w:firstRowFirstColumn="0" w:firstRowLastColumn="0" w:lastRowFirstColumn="0" w:lastRowLastColumn="0"/>
          <w:cantSplit/>
          <w:tblHeader/>
        </w:trPr>
        <w:tc>
          <w:tcPr>
            <w:tcW w:w="3090" w:type="pct"/>
          </w:tcPr>
          <w:p w14:paraId="770FC862" w14:textId="77777777" w:rsidR="002514F8" w:rsidRPr="00730DE4" w:rsidRDefault="002514F8" w:rsidP="00F23ED3">
            <w:pPr>
              <w:pStyle w:val="NoSpacing"/>
              <w:rPr>
                <w:color w:val="FFFFFF" w:themeColor="background1"/>
              </w:rPr>
            </w:pPr>
            <w:r w:rsidRPr="00730DE4">
              <w:rPr>
                <w:color w:val="FFFFFF" w:themeColor="background1"/>
              </w:rPr>
              <w:t xml:space="preserve">Key priorities and outcomes </w:t>
            </w:r>
          </w:p>
        </w:tc>
        <w:tc>
          <w:tcPr>
            <w:tcW w:w="1613" w:type="pct"/>
          </w:tcPr>
          <w:p w14:paraId="338749F1" w14:textId="77777777" w:rsidR="002514F8" w:rsidRPr="00730DE4" w:rsidRDefault="002514F8" w:rsidP="00F23ED3">
            <w:pPr>
              <w:pStyle w:val="NoSpacing"/>
              <w:rPr>
                <w:color w:val="FFFFFF" w:themeColor="background1"/>
              </w:rPr>
            </w:pPr>
            <w:r w:rsidRPr="00730DE4">
              <w:rPr>
                <w:color w:val="FFFFFF" w:themeColor="background1"/>
              </w:rPr>
              <w:t xml:space="preserve">Alignment to Queensland Government's objectives for the community </w:t>
            </w:r>
          </w:p>
        </w:tc>
        <w:tc>
          <w:tcPr>
            <w:tcW w:w="297" w:type="pct"/>
          </w:tcPr>
          <w:p w14:paraId="682C8395" w14:textId="77777777" w:rsidR="002514F8" w:rsidRPr="00730DE4" w:rsidRDefault="002514F8" w:rsidP="00F23ED3">
            <w:pPr>
              <w:pStyle w:val="NoSpacing"/>
              <w:rPr>
                <w:color w:val="FFFFFF" w:themeColor="background1"/>
              </w:rPr>
            </w:pPr>
            <w:r w:rsidRPr="00730DE4">
              <w:rPr>
                <w:color w:val="FFFFFF" w:themeColor="background1"/>
              </w:rPr>
              <w:t>Status</w:t>
            </w:r>
          </w:p>
        </w:tc>
      </w:tr>
      <w:tr w:rsidR="000A65A9" w:rsidRPr="00730DE4" w14:paraId="1035A49B" w14:textId="77777777" w:rsidTr="00C5487B">
        <w:trPr>
          <w:cnfStyle w:val="000000100000" w:firstRow="0" w:lastRow="0" w:firstColumn="0" w:lastColumn="0" w:oddVBand="0" w:evenVBand="0" w:oddHBand="1" w:evenHBand="0" w:firstRowFirstColumn="0" w:firstRowLastColumn="0" w:lastRowFirstColumn="0" w:lastRowLastColumn="0"/>
          <w:cantSplit/>
        </w:trPr>
        <w:tc>
          <w:tcPr>
            <w:tcW w:w="3090" w:type="pct"/>
          </w:tcPr>
          <w:p w14:paraId="159BC0E5" w14:textId="77777777" w:rsidR="002514F8" w:rsidRPr="00730DE4" w:rsidRDefault="002514F8" w:rsidP="00F23ED3">
            <w:pPr>
              <w:pStyle w:val="NoSpacing"/>
              <w:rPr>
                <w:lang w:val="en-US"/>
              </w:rPr>
            </w:pPr>
            <w:r w:rsidRPr="00730DE4">
              <w:rPr>
                <w:lang w:val="en-US"/>
              </w:rPr>
              <w:t xml:space="preserve">Completed delivery of the Tell Us Once program to improve the joined-up customer experience for the delivery of digital services to Queenslanders. </w:t>
            </w:r>
          </w:p>
        </w:tc>
        <w:tc>
          <w:tcPr>
            <w:tcW w:w="1613" w:type="pct"/>
          </w:tcPr>
          <w:p w14:paraId="1343DD06" w14:textId="77777777" w:rsidR="002514F8" w:rsidRPr="00730DE4" w:rsidRDefault="002514F8" w:rsidP="00F23ED3">
            <w:pPr>
              <w:pStyle w:val="NoSpacing"/>
              <w:rPr>
                <w:lang w:val="en-US"/>
              </w:rPr>
            </w:pPr>
            <w:r w:rsidRPr="00730DE4">
              <w:rPr>
                <w:lang w:val="en-US"/>
              </w:rPr>
              <w:t>Connecting Queenslanders</w:t>
            </w:r>
          </w:p>
        </w:tc>
        <w:tc>
          <w:tcPr>
            <w:tcW w:w="297" w:type="pct"/>
          </w:tcPr>
          <w:p w14:paraId="2D82DBC3" w14:textId="77777777" w:rsidR="002514F8" w:rsidRPr="00730DE4" w:rsidRDefault="002514F8" w:rsidP="00F23ED3">
            <w:pPr>
              <w:pStyle w:val="NoSpacing"/>
              <w:rPr>
                <w:lang w:val="en-US"/>
              </w:rPr>
            </w:pPr>
            <w:r w:rsidRPr="00730DE4">
              <w:rPr>
                <w:lang w:val="en-US"/>
              </w:rPr>
              <w:t>Completed</w:t>
            </w:r>
          </w:p>
        </w:tc>
      </w:tr>
      <w:tr w:rsidR="002514F8" w:rsidRPr="00730DE4" w14:paraId="4F6B1F38" w14:textId="77777777" w:rsidTr="00C5487B">
        <w:trPr>
          <w:cantSplit/>
        </w:trPr>
        <w:tc>
          <w:tcPr>
            <w:tcW w:w="3090" w:type="pct"/>
          </w:tcPr>
          <w:p w14:paraId="74F87CD6" w14:textId="77777777" w:rsidR="002514F8" w:rsidRPr="00730DE4" w:rsidRDefault="002514F8" w:rsidP="00F23ED3">
            <w:pPr>
              <w:pStyle w:val="NoSpacing"/>
              <w:rPr>
                <w:lang w:val="en-US"/>
              </w:rPr>
            </w:pPr>
            <w:r w:rsidRPr="00730DE4">
              <w:rPr>
                <w:lang w:val="en-US"/>
              </w:rPr>
              <w:t>Implemented a Queensland Government data sharing framework.</w:t>
            </w:r>
          </w:p>
        </w:tc>
        <w:tc>
          <w:tcPr>
            <w:tcW w:w="1613" w:type="pct"/>
          </w:tcPr>
          <w:p w14:paraId="7BDA1639" w14:textId="77777777" w:rsidR="002514F8" w:rsidRPr="00730DE4" w:rsidRDefault="002514F8" w:rsidP="00F23ED3">
            <w:pPr>
              <w:pStyle w:val="NoSpacing"/>
              <w:rPr>
                <w:lang w:val="en-US"/>
              </w:rPr>
            </w:pPr>
            <w:r w:rsidRPr="00730DE4">
              <w:rPr>
                <w:lang w:val="en-US"/>
              </w:rPr>
              <w:t>Making it for Queensland</w:t>
            </w:r>
          </w:p>
        </w:tc>
        <w:tc>
          <w:tcPr>
            <w:tcW w:w="297" w:type="pct"/>
          </w:tcPr>
          <w:p w14:paraId="78938BE7" w14:textId="77777777" w:rsidR="002514F8" w:rsidRPr="00730DE4" w:rsidRDefault="002514F8" w:rsidP="00F23ED3">
            <w:pPr>
              <w:pStyle w:val="NoSpacing"/>
              <w:rPr>
                <w:lang w:val="en-US"/>
              </w:rPr>
            </w:pPr>
            <w:r w:rsidRPr="00730DE4">
              <w:rPr>
                <w:lang w:val="en-US"/>
              </w:rPr>
              <w:t>Completed</w:t>
            </w:r>
          </w:p>
        </w:tc>
      </w:tr>
      <w:tr w:rsidR="000A65A9" w:rsidRPr="00730DE4" w14:paraId="67C26C8A" w14:textId="77777777" w:rsidTr="00C5487B">
        <w:trPr>
          <w:cnfStyle w:val="000000100000" w:firstRow="0" w:lastRow="0" w:firstColumn="0" w:lastColumn="0" w:oddVBand="0" w:evenVBand="0" w:oddHBand="1" w:evenHBand="0" w:firstRowFirstColumn="0" w:firstRowLastColumn="0" w:lastRowFirstColumn="0" w:lastRowLastColumn="0"/>
          <w:cantSplit/>
        </w:trPr>
        <w:tc>
          <w:tcPr>
            <w:tcW w:w="3090" w:type="pct"/>
          </w:tcPr>
          <w:p w14:paraId="5B997C63" w14:textId="77777777" w:rsidR="002514F8" w:rsidRPr="00730DE4" w:rsidRDefault="002514F8" w:rsidP="00F23ED3">
            <w:pPr>
              <w:pStyle w:val="NoSpacing"/>
              <w:rPr>
                <w:lang w:val="en-US"/>
              </w:rPr>
            </w:pPr>
            <w:r w:rsidRPr="00730DE4">
              <w:rPr>
                <w:lang w:val="en-US"/>
              </w:rPr>
              <w:t>Developed a Queensland Government Artificial Intelligence (AI) tool.</w:t>
            </w:r>
          </w:p>
        </w:tc>
        <w:tc>
          <w:tcPr>
            <w:tcW w:w="1613" w:type="pct"/>
          </w:tcPr>
          <w:p w14:paraId="2A45C206" w14:textId="77777777" w:rsidR="002514F8" w:rsidRPr="00730DE4" w:rsidRDefault="002514F8" w:rsidP="00F23ED3">
            <w:pPr>
              <w:pStyle w:val="NoSpacing"/>
              <w:rPr>
                <w:lang w:val="en-US"/>
              </w:rPr>
            </w:pPr>
            <w:r w:rsidRPr="00730DE4">
              <w:rPr>
                <w:lang w:val="en-US"/>
              </w:rPr>
              <w:t>Making it for Queensland</w:t>
            </w:r>
          </w:p>
        </w:tc>
        <w:tc>
          <w:tcPr>
            <w:tcW w:w="297" w:type="pct"/>
          </w:tcPr>
          <w:p w14:paraId="513134C6" w14:textId="77777777" w:rsidR="002514F8" w:rsidRPr="00730DE4" w:rsidRDefault="002514F8" w:rsidP="00F23ED3">
            <w:pPr>
              <w:pStyle w:val="NoSpacing"/>
              <w:rPr>
                <w:lang w:val="en-US"/>
              </w:rPr>
            </w:pPr>
            <w:r w:rsidRPr="00730DE4">
              <w:rPr>
                <w:lang w:val="en-US"/>
              </w:rPr>
              <w:t>Completed</w:t>
            </w:r>
          </w:p>
        </w:tc>
      </w:tr>
      <w:tr w:rsidR="002514F8" w:rsidRPr="00730DE4" w14:paraId="16FA0C2F" w14:textId="77777777" w:rsidTr="00C5487B">
        <w:trPr>
          <w:cantSplit/>
        </w:trPr>
        <w:tc>
          <w:tcPr>
            <w:tcW w:w="3090" w:type="pct"/>
          </w:tcPr>
          <w:p w14:paraId="28CAD774" w14:textId="77777777" w:rsidR="002514F8" w:rsidRPr="00730DE4" w:rsidRDefault="002514F8" w:rsidP="00F23ED3">
            <w:pPr>
              <w:pStyle w:val="NoSpacing"/>
              <w:rPr>
                <w:lang w:val="en-US"/>
              </w:rPr>
            </w:pPr>
            <w:r w:rsidRPr="00730DE4">
              <w:rPr>
                <w:lang w:val="en-US"/>
              </w:rPr>
              <w:t>Implemented the Digital Investment Governance Framework for Queensland Government.</w:t>
            </w:r>
          </w:p>
        </w:tc>
        <w:tc>
          <w:tcPr>
            <w:tcW w:w="1613" w:type="pct"/>
          </w:tcPr>
          <w:p w14:paraId="08B85782" w14:textId="77777777" w:rsidR="002514F8" w:rsidRPr="00730DE4" w:rsidRDefault="002514F8" w:rsidP="00F23ED3">
            <w:pPr>
              <w:pStyle w:val="NoSpacing"/>
              <w:rPr>
                <w:lang w:val="en-US"/>
              </w:rPr>
            </w:pPr>
            <w:r w:rsidRPr="00730DE4">
              <w:rPr>
                <w:lang w:val="en-US"/>
              </w:rPr>
              <w:t>Investing in skills</w:t>
            </w:r>
          </w:p>
        </w:tc>
        <w:tc>
          <w:tcPr>
            <w:tcW w:w="297" w:type="pct"/>
          </w:tcPr>
          <w:p w14:paraId="2301CBF4" w14:textId="77777777" w:rsidR="002514F8" w:rsidRPr="00730DE4" w:rsidRDefault="002514F8" w:rsidP="00F23ED3">
            <w:pPr>
              <w:pStyle w:val="NoSpacing"/>
              <w:rPr>
                <w:lang w:val="en-US"/>
              </w:rPr>
            </w:pPr>
            <w:r w:rsidRPr="00730DE4">
              <w:rPr>
                <w:lang w:val="en-US"/>
              </w:rPr>
              <w:t>Completed</w:t>
            </w:r>
          </w:p>
        </w:tc>
      </w:tr>
      <w:tr w:rsidR="000A65A9" w:rsidRPr="00730DE4" w14:paraId="5E77B7E9" w14:textId="77777777" w:rsidTr="00C5487B">
        <w:trPr>
          <w:cnfStyle w:val="000000100000" w:firstRow="0" w:lastRow="0" w:firstColumn="0" w:lastColumn="0" w:oddVBand="0" w:evenVBand="0" w:oddHBand="1" w:evenHBand="0" w:firstRowFirstColumn="0" w:firstRowLastColumn="0" w:lastRowFirstColumn="0" w:lastRowLastColumn="0"/>
          <w:cantSplit/>
        </w:trPr>
        <w:tc>
          <w:tcPr>
            <w:tcW w:w="3090" w:type="pct"/>
          </w:tcPr>
          <w:p w14:paraId="11B237ED" w14:textId="77777777" w:rsidR="002514F8" w:rsidRPr="00730DE4" w:rsidRDefault="002514F8" w:rsidP="00F23ED3">
            <w:pPr>
              <w:pStyle w:val="NoSpacing"/>
              <w:rPr>
                <w:lang w:val="en-US"/>
              </w:rPr>
            </w:pPr>
            <w:r w:rsidRPr="00730DE4">
              <w:rPr>
                <w:lang w:val="en-US"/>
              </w:rPr>
              <w:t xml:space="preserve">Continued implementation of Our </w:t>
            </w:r>
            <w:r w:rsidRPr="00730DE4">
              <w:rPr>
                <w:rStyle w:val="Emphasis"/>
              </w:rPr>
              <w:t>Thriving Digital Future: Queensland’s Digital Economy Strategy</w:t>
            </w:r>
            <w:r w:rsidRPr="00730DE4">
              <w:rPr>
                <w:lang w:val="en-US"/>
              </w:rPr>
              <w:t xml:space="preserve"> and 2023–2026 Action Plan.</w:t>
            </w:r>
          </w:p>
        </w:tc>
        <w:tc>
          <w:tcPr>
            <w:tcW w:w="1613" w:type="pct"/>
          </w:tcPr>
          <w:p w14:paraId="7D183232" w14:textId="77777777" w:rsidR="002514F8" w:rsidRPr="00730DE4" w:rsidRDefault="002514F8" w:rsidP="00F23ED3">
            <w:pPr>
              <w:pStyle w:val="NoSpacing"/>
              <w:rPr>
                <w:lang w:val="en-US"/>
              </w:rPr>
            </w:pPr>
            <w:r w:rsidRPr="00730DE4">
              <w:rPr>
                <w:lang w:val="en-US"/>
              </w:rPr>
              <w:t>Backing our frontline services</w:t>
            </w:r>
          </w:p>
        </w:tc>
        <w:tc>
          <w:tcPr>
            <w:tcW w:w="297" w:type="pct"/>
          </w:tcPr>
          <w:p w14:paraId="244AA3B9" w14:textId="77777777" w:rsidR="002514F8" w:rsidRPr="00730DE4" w:rsidRDefault="002514F8" w:rsidP="00F23ED3">
            <w:pPr>
              <w:pStyle w:val="NoSpacing"/>
              <w:rPr>
                <w:lang w:val="en-US"/>
              </w:rPr>
            </w:pPr>
            <w:r w:rsidRPr="00730DE4">
              <w:rPr>
                <w:lang w:val="en-US"/>
              </w:rPr>
              <w:t>Ongoing</w:t>
            </w:r>
          </w:p>
        </w:tc>
      </w:tr>
      <w:tr w:rsidR="002514F8" w:rsidRPr="00730DE4" w14:paraId="15DF7F33" w14:textId="77777777" w:rsidTr="00C5487B">
        <w:trPr>
          <w:cantSplit/>
        </w:trPr>
        <w:tc>
          <w:tcPr>
            <w:tcW w:w="3090" w:type="pct"/>
          </w:tcPr>
          <w:p w14:paraId="31D75F54" w14:textId="77777777" w:rsidR="002514F8" w:rsidRPr="00730DE4" w:rsidRDefault="002514F8" w:rsidP="00F23ED3">
            <w:pPr>
              <w:pStyle w:val="NoSpacing"/>
              <w:rPr>
                <w:lang w:val="en-US"/>
              </w:rPr>
            </w:pPr>
            <w:r w:rsidRPr="00730DE4">
              <w:rPr>
                <w:lang w:val="en-US"/>
              </w:rPr>
              <w:t>Recruited and welcomed 83 graduates to the 2024 Queensland Government Digital Graduate Program.</w:t>
            </w:r>
          </w:p>
        </w:tc>
        <w:tc>
          <w:tcPr>
            <w:tcW w:w="1613" w:type="pct"/>
          </w:tcPr>
          <w:p w14:paraId="2E70F2C2" w14:textId="77777777" w:rsidR="002514F8" w:rsidRPr="00730DE4" w:rsidRDefault="002514F8" w:rsidP="00F23ED3">
            <w:pPr>
              <w:pStyle w:val="NoSpacing"/>
              <w:rPr>
                <w:lang w:val="en-US"/>
              </w:rPr>
            </w:pPr>
            <w:r w:rsidRPr="00730DE4">
              <w:rPr>
                <w:lang w:val="en-US"/>
              </w:rPr>
              <w:t>Investing in skills</w:t>
            </w:r>
          </w:p>
        </w:tc>
        <w:tc>
          <w:tcPr>
            <w:tcW w:w="297" w:type="pct"/>
          </w:tcPr>
          <w:p w14:paraId="3E1DBCC4" w14:textId="77777777" w:rsidR="002514F8" w:rsidRPr="00730DE4" w:rsidRDefault="002514F8" w:rsidP="00F23ED3">
            <w:pPr>
              <w:pStyle w:val="NoSpacing"/>
              <w:rPr>
                <w:lang w:val="en-US"/>
              </w:rPr>
            </w:pPr>
            <w:r w:rsidRPr="00730DE4">
              <w:rPr>
                <w:lang w:val="en-US"/>
              </w:rPr>
              <w:t>Ongoing</w:t>
            </w:r>
          </w:p>
        </w:tc>
      </w:tr>
      <w:tr w:rsidR="000A65A9" w:rsidRPr="00730DE4" w14:paraId="1435BAE6" w14:textId="77777777" w:rsidTr="00C5487B">
        <w:trPr>
          <w:cnfStyle w:val="000000100000" w:firstRow="0" w:lastRow="0" w:firstColumn="0" w:lastColumn="0" w:oddVBand="0" w:evenVBand="0" w:oddHBand="1" w:evenHBand="0" w:firstRowFirstColumn="0" w:firstRowLastColumn="0" w:lastRowFirstColumn="0" w:lastRowLastColumn="0"/>
          <w:cantSplit/>
        </w:trPr>
        <w:tc>
          <w:tcPr>
            <w:tcW w:w="3090" w:type="pct"/>
          </w:tcPr>
          <w:p w14:paraId="3A1F92C2" w14:textId="77777777" w:rsidR="002514F8" w:rsidRPr="00730DE4" w:rsidRDefault="002514F8" w:rsidP="00F23ED3">
            <w:pPr>
              <w:pStyle w:val="NoSpacing"/>
              <w:rPr>
                <w:lang w:val="en-US"/>
              </w:rPr>
            </w:pPr>
            <w:r w:rsidRPr="00730DE4">
              <w:rPr>
                <w:lang w:val="en-US"/>
              </w:rPr>
              <w:t>Extended the current Queensland Government Regional Network connectivity services across the state to improve the delivery of frontline services.</w:t>
            </w:r>
          </w:p>
        </w:tc>
        <w:tc>
          <w:tcPr>
            <w:tcW w:w="1613" w:type="pct"/>
          </w:tcPr>
          <w:p w14:paraId="684DDE09" w14:textId="77777777" w:rsidR="002514F8" w:rsidRPr="00730DE4" w:rsidRDefault="002514F8" w:rsidP="00F23ED3">
            <w:pPr>
              <w:pStyle w:val="NoSpacing"/>
              <w:rPr>
                <w:lang w:val="en-US"/>
              </w:rPr>
            </w:pPr>
            <w:r w:rsidRPr="00730DE4">
              <w:rPr>
                <w:lang w:val="en-US"/>
              </w:rPr>
              <w:t>Growing our regions</w:t>
            </w:r>
          </w:p>
        </w:tc>
        <w:tc>
          <w:tcPr>
            <w:tcW w:w="297" w:type="pct"/>
          </w:tcPr>
          <w:p w14:paraId="0E4BFD01" w14:textId="77777777" w:rsidR="002514F8" w:rsidRPr="00730DE4" w:rsidRDefault="002514F8" w:rsidP="00F23ED3">
            <w:pPr>
              <w:pStyle w:val="NoSpacing"/>
              <w:rPr>
                <w:lang w:val="en-US"/>
              </w:rPr>
            </w:pPr>
            <w:r w:rsidRPr="00730DE4">
              <w:rPr>
                <w:lang w:val="en-US"/>
              </w:rPr>
              <w:t>Ongoing</w:t>
            </w:r>
          </w:p>
        </w:tc>
      </w:tr>
      <w:tr w:rsidR="002514F8" w:rsidRPr="00730DE4" w14:paraId="716693FB" w14:textId="77777777" w:rsidTr="00C5487B">
        <w:trPr>
          <w:cantSplit/>
        </w:trPr>
        <w:tc>
          <w:tcPr>
            <w:tcW w:w="3090" w:type="pct"/>
          </w:tcPr>
          <w:p w14:paraId="6C4FD17C" w14:textId="77777777" w:rsidR="002514F8" w:rsidRPr="00730DE4" w:rsidRDefault="002514F8" w:rsidP="0077129B">
            <w:pPr>
              <w:pStyle w:val="NoSpacing"/>
              <w:rPr>
                <w:lang w:val="en-US"/>
              </w:rPr>
            </w:pPr>
            <w:r w:rsidRPr="00730DE4">
              <w:t>Delivering improved telecommunications services to rural and remote communities across Queensland.</w:t>
            </w:r>
          </w:p>
        </w:tc>
        <w:tc>
          <w:tcPr>
            <w:tcW w:w="1613" w:type="pct"/>
          </w:tcPr>
          <w:p w14:paraId="4D246A46" w14:textId="77777777" w:rsidR="002514F8" w:rsidRPr="00730DE4" w:rsidRDefault="002514F8" w:rsidP="0077129B">
            <w:pPr>
              <w:pStyle w:val="NoSpacing"/>
              <w:rPr>
                <w:lang w:val="en-US"/>
              </w:rPr>
            </w:pPr>
            <w:r w:rsidRPr="00730DE4">
              <w:t>Growing our regions</w:t>
            </w:r>
          </w:p>
        </w:tc>
        <w:tc>
          <w:tcPr>
            <w:tcW w:w="297" w:type="pct"/>
          </w:tcPr>
          <w:p w14:paraId="090DCC62" w14:textId="77777777" w:rsidR="002514F8" w:rsidRPr="00730DE4" w:rsidRDefault="002514F8" w:rsidP="0077129B">
            <w:pPr>
              <w:pStyle w:val="NoSpacing"/>
              <w:rPr>
                <w:lang w:val="en-US"/>
              </w:rPr>
            </w:pPr>
            <w:r w:rsidRPr="00730DE4">
              <w:t>Ongoing</w:t>
            </w:r>
          </w:p>
        </w:tc>
      </w:tr>
      <w:tr w:rsidR="000A65A9" w:rsidRPr="00730DE4" w14:paraId="66343BDD" w14:textId="77777777" w:rsidTr="00C5487B">
        <w:trPr>
          <w:cnfStyle w:val="000000100000" w:firstRow="0" w:lastRow="0" w:firstColumn="0" w:lastColumn="0" w:oddVBand="0" w:evenVBand="0" w:oddHBand="1" w:evenHBand="0" w:firstRowFirstColumn="0" w:firstRowLastColumn="0" w:lastRowFirstColumn="0" w:lastRowLastColumn="0"/>
          <w:cantSplit/>
        </w:trPr>
        <w:tc>
          <w:tcPr>
            <w:tcW w:w="3090" w:type="pct"/>
          </w:tcPr>
          <w:p w14:paraId="0747EFDC" w14:textId="77777777" w:rsidR="002514F8" w:rsidRPr="00730DE4" w:rsidRDefault="002514F8" w:rsidP="0077129B">
            <w:pPr>
              <w:pStyle w:val="NoSpacing"/>
              <w:rPr>
                <w:lang w:val="en-US"/>
              </w:rPr>
            </w:pPr>
            <w:r w:rsidRPr="00730DE4">
              <w:t>Supported delivery of 4000 refurbished digital devices for digitally disadvantaged rural and regional students.</w:t>
            </w:r>
          </w:p>
        </w:tc>
        <w:tc>
          <w:tcPr>
            <w:tcW w:w="1613" w:type="pct"/>
          </w:tcPr>
          <w:p w14:paraId="6DC97F25" w14:textId="77777777" w:rsidR="002514F8" w:rsidRPr="00730DE4" w:rsidRDefault="002514F8" w:rsidP="0077129B">
            <w:pPr>
              <w:pStyle w:val="NoSpacing"/>
              <w:rPr>
                <w:lang w:val="en-US"/>
              </w:rPr>
            </w:pPr>
            <w:r w:rsidRPr="00730DE4">
              <w:t>Investing in skills</w:t>
            </w:r>
          </w:p>
        </w:tc>
        <w:tc>
          <w:tcPr>
            <w:tcW w:w="297" w:type="pct"/>
          </w:tcPr>
          <w:p w14:paraId="661F9F6E" w14:textId="77777777" w:rsidR="002514F8" w:rsidRPr="00730DE4" w:rsidRDefault="002514F8" w:rsidP="0077129B">
            <w:pPr>
              <w:pStyle w:val="NoSpacing"/>
              <w:rPr>
                <w:lang w:val="en-US"/>
              </w:rPr>
            </w:pPr>
            <w:r w:rsidRPr="00730DE4">
              <w:t>Completed</w:t>
            </w:r>
          </w:p>
        </w:tc>
      </w:tr>
      <w:tr w:rsidR="002514F8" w:rsidRPr="00730DE4" w14:paraId="5D03A19F" w14:textId="77777777" w:rsidTr="00C5487B">
        <w:trPr>
          <w:cantSplit/>
        </w:trPr>
        <w:tc>
          <w:tcPr>
            <w:tcW w:w="3090" w:type="pct"/>
          </w:tcPr>
          <w:p w14:paraId="7CE9859E" w14:textId="77777777" w:rsidR="002514F8" w:rsidRPr="00730DE4" w:rsidRDefault="002514F8" w:rsidP="0077129B">
            <w:pPr>
              <w:pStyle w:val="NoSpacing"/>
              <w:rPr>
                <w:lang w:val="en-US"/>
              </w:rPr>
            </w:pPr>
            <w:r w:rsidRPr="00730DE4">
              <w:t xml:space="preserve">Completed implementation of the </w:t>
            </w:r>
            <w:r w:rsidRPr="00730DE4">
              <w:rPr>
                <w:rStyle w:val="Emphasis"/>
              </w:rPr>
              <w:t>Digital Professional Workforce Action Plan 2020–24</w:t>
            </w:r>
            <w:r w:rsidRPr="00730DE4">
              <w:t xml:space="preserve">. </w:t>
            </w:r>
          </w:p>
        </w:tc>
        <w:tc>
          <w:tcPr>
            <w:tcW w:w="1613" w:type="pct"/>
          </w:tcPr>
          <w:p w14:paraId="25B7F3AA" w14:textId="77777777" w:rsidR="002514F8" w:rsidRPr="00730DE4" w:rsidRDefault="002514F8" w:rsidP="0077129B">
            <w:pPr>
              <w:pStyle w:val="NoSpacing"/>
              <w:rPr>
                <w:lang w:val="en-US"/>
              </w:rPr>
            </w:pPr>
            <w:r w:rsidRPr="00730DE4">
              <w:t>Investing in skills</w:t>
            </w:r>
          </w:p>
        </w:tc>
        <w:tc>
          <w:tcPr>
            <w:tcW w:w="297" w:type="pct"/>
          </w:tcPr>
          <w:p w14:paraId="1D0B7E93" w14:textId="77777777" w:rsidR="002514F8" w:rsidRPr="00730DE4" w:rsidRDefault="002514F8" w:rsidP="0077129B">
            <w:pPr>
              <w:pStyle w:val="NoSpacing"/>
              <w:rPr>
                <w:lang w:val="en-US"/>
              </w:rPr>
            </w:pPr>
            <w:r w:rsidRPr="00730DE4">
              <w:t>Completed</w:t>
            </w:r>
          </w:p>
        </w:tc>
      </w:tr>
      <w:tr w:rsidR="000A65A9" w:rsidRPr="00730DE4" w14:paraId="6E407161" w14:textId="77777777" w:rsidTr="00C5487B">
        <w:trPr>
          <w:cnfStyle w:val="000000100000" w:firstRow="0" w:lastRow="0" w:firstColumn="0" w:lastColumn="0" w:oddVBand="0" w:evenVBand="0" w:oddHBand="1" w:evenHBand="0" w:firstRowFirstColumn="0" w:firstRowLastColumn="0" w:lastRowFirstColumn="0" w:lastRowLastColumn="0"/>
          <w:cantSplit/>
        </w:trPr>
        <w:tc>
          <w:tcPr>
            <w:tcW w:w="3090" w:type="pct"/>
          </w:tcPr>
          <w:p w14:paraId="6F5C30E4" w14:textId="77777777" w:rsidR="002514F8" w:rsidRPr="00730DE4" w:rsidRDefault="002514F8" w:rsidP="0077129B">
            <w:pPr>
              <w:pStyle w:val="NoSpacing"/>
              <w:rPr>
                <w:lang w:val="en-US"/>
              </w:rPr>
            </w:pPr>
            <w:r w:rsidRPr="00730DE4">
              <w:t>Implementing the government’s agenda for digital technology in government services and digital inclusion of disadvantaged Queenslanders.</w:t>
            </w:r>
          </w:p>
        </w:tc>
        <w:tc>
          <w:tcPr>
            <w:tcW w:w="1613" w:type="pct"/>
          </w:tcPr>
          <w:p w14:paraId="3ECC9CC1" w14:textId="77777777" w:rsidR="002514F8" w:rsidRPr="00730DE4" w:rsidRDefault="002514F8" w:rsidP="0077129B">
            <w:pPr>
              <w:pStyle w:val="NoSpacing"/>
              <w:rPr>
                <w:lang w:val="en-US"/>
              </w:rPr>
            </w:pPr>
            <w:r w:rsidRPr="00730DE4">
              <w:t>Investing in skills</w:t>
            </w:r>
          </w:p>
        </w:tc>
        <w:tc>
          <w:tcPr>
            <w:tcW w:w="297" w:type="pct"/>
          </w:tcPr>
          <w:p w14:paraId="4AA670C1" w14:textId="77777777" w:rsidR="002514F8" w:rsidRPr="00730DE4" w:rsidRDefault="002514F8" w:rsidP="0077129B">
            <w:pPr>
              <w:pStyle w:val="NoSpacing"/>
              <w:rPr>
                <w:lang w:val="en-US"/>
              </w:rPr>
            </w:pPr>
            <w:r w:rsidRPr="00730DE4">
              <w:t>Ongoing</w:t>
            </w:r>
          </w:p>
        </w:tc>
      </w:tr>
      <w:tr w:rsidR="002514F8" w:rsidRPr="00730DE4" w14:paraId="04DCDF49" w14:textId="77777777" w:rsidTr="00C5487B">
        <w:trPr>
          <w:cantSplit/>
        </w:trPr>
        <w:tc>
          <w:tcPr>
            <w:tcW w:w="3090" w:type="pct"/>
          </w:tcPr>
          <w:p w14:paraId="394A8B34" w14:textId="77777777" w:rsidR="002514F8" w:rsidRPr="00730DE4" w:rsidRDefault="002514F8" w:rsidP="0077129B">
            <w:pPr>
              <w:pStyle w:val="NoSpacing"/>
              <w:rPr>
                <w:lang w:val="en-US"/>
              </w:rPr>
            </w:pPr>
            <w:r w:rsidRPr="00730DE4">
              <w:t>Supported the maturity, operational performance, and viability of the Cherbourg Digital Service Centre pilot.</w:t>
            </w:r>
          </w:p>
        </w:tc>
        <w:tc>
          <w:tcPr>
            <w:tcW w:w="1613" w:type="pct"/>
          </w:tcPr>
          <w:p w14:paraId="7BCB1231" w14:textId="77777777" w:rsidR="002514F8" w:rsidRPr="00730DE4" w:rsidRDefault="002514F8" w:rsidP="0077129B">
            <w:pPr>
              <w:pStyle w:val="NoSpacing"/>
              <w:rPr>
                <w:lang w:val="en-US"/>
              </w:rPr>
            </w:pPr>
            <w:r w:rsidRPr="00730DE4">
              <w:t>Supporting jobs</w:t>
            </w:r>
          </w:p>
        </w:tc>
        <w:tc>
          <w:tcPr>
            <w:tcW w:w="297" w:type="pct"/>
          </w:tcPr>
          <w:p w14:paraId="3885ECDE" w14:textId="77777777" w:rsidR="002514F8" w:rsidRPr="00730DE4" w:rsidRDefault="002514F8" w:rsidP="0077129B">
            <w:pPr>
              <w:pStyle w:val="NoSpacing"/>
              <w:rPr>
                <w:lang w:val="en-US"/>
              </w:rPr>
            </w:pPr>
            <w:r w:rsidRPr="00730DE4">
              <w:t>Ongoing</w:t>
            </w:r>
          </w:p>
        </w:tc>
      </w:tr>
      <w:tr w:rsidR="000A65A9" w:rsidRPr="00730DE4" w14:paraId="62E0D15D" w14:textId="77777777" w:rsidTr="00C5487B">
        <w:trPr>
          <w:cnfStyle w:val="000000100000" w:firstRow="0" w:lastRow="0" w:firstColumn="0" w:lastColumn="0" w:oddVBand="0" w:evenVBand="0" w:oddHBand="1" w:evenHBand="0" w:firstRowFirstColumn="0" w:firstRowLastColumn="0" w:lastRowFirstColumn="0" w:lastRowLastColumn="0"/>
          <w:cantSplit/>
        </w:trPr>
        <w:tc>
          <w:tcPr>
            <w:tcW w:w="3090" w:type="pct"/>
          </w:tcPr>
          <w:p w14:paraId="286EB6CF" w14:textId="77777777" w:rsidR="002514F8" w:rsidRPr="00730DE4" w:rsidRDefault="002514F8" w:rsidP="0077129B">
            <w:pPr>
              <w:pStyle w:val="NoSpacing"/>
              <w:rPr>
                <w:lang w:val="en-US"/>
              </w:rPr>
            </w:pPr>
            <w:r w:rsidRPr="00730DE4">
              <w:t>Supported the establishment of the Palm Island Digital Service Centre.</w:t>
            </w:r>
          </w:p>
        </w:tc>
        <w:tc>
          <w:tcPr>
            <w:tcW w:w="1613" w:type="pct"/>
          </w:tcPr>
          <w:p w14:paraId="3A67DB05" w14:textId="77777777" w:rsidR="002514F8" w:rsidRPr="00730DE4" w:rsidRDefault="002514F8" w:rsidP="0077129B">
            <w:pPr>
              <w:pStyle w:val="NoSpacing"/>
              <w:rPr>
                <w:lang w:val="en-US"/>
              </w:rPr>
            </w:pPr>
            <w:r w:rsidRPr="00730DE4">
              <w:t>Supporting jobs</w:t>
            </w:r>
          </w:p>
        </w:tc>
        <w:tc>
          <w:tcPr>
            <w:tcW w:w="297" w:type="pct"/>
          </w:tcPr>
          <w:p w14:paraId="3D4A3505" w14:textId="77777777" w:rsidR="002514F8" w:rsidRPr="00730DE4" w:rsidRDefault="002514F8" w:rsidP="0077129B">
            <w:pPr>
              <w:pStyle w:val="NoSpacing"/>
              <w:rPr>
                <w:lang w:val="en-US"/>
              </w:rPr>
            </w:pPr>
            <w:r w:rsidRPr="00730DE4">
              <w:t>Completed</w:t>
            </w:r>
          </w:p>
        </w:tc>
      </w:tr>
    </w:tbl>
    <w:p w14:paraId="7B0AF856" w14:textId="77777777" w:rsidR="002514F8" w:rsidRPr="00730DE4" w:rsidRDefault="002514F8" w:rsidP="002B7001">
      <w:pPr>
        <w:pStyle w:val="Heading3"/>
        <w:rPr>
          <w:lang w:val="en-US"/>
        </w:rPr>
      </w:pPr>
      <w:bookmarkStart w:id="255" w:name="_Toc180487314"/>
      <w:bookmarkStart w:id="256" w:name="_Toc180490520"/>
      <w:bookmarkStart w:id="257" w:name="_Toc180491553"/>
      <w:r w:rsidRPr="00730DE4">
        <w:rPr>
          <w:lang w:val="en-US"/>
        </w:rPr>
        <w:t>Capable, adaptable, and aligned</w:t>
      </w:r>
      <w:bookmarkEnd w:id="255"/>
      <w:bookmarkEnd w:id="256"/>
      <w:bookmarkEnd w:id="257"/>
    </w:p>
    <w:p w14:paraId="6EE5E7BC" w14:textId="77777777" w:rsidR="002514F8" w:rsidRPr="00730DE4" w:rsidRDefault="002514F8" w:rsidP="00F23ED3">
      <w:pPr>
        <w:rPr>
          <w:lang w:val="en-US"/>
        </w:rPr>
      </w:pPr>
      <w:r w:rsidRPr="00730DE4">
        <w:rPr>
          <w:lang w:val="en-US"/>
        </w:rPr>
        <w:t>A workforce that is purpose-driven, capable, and mobile.</w:t>
      </w:r>
    </w:p>
    <w:p w14:paraId="04F8181A" w14:textId="77777777" w:rsidR="002514F8" w:rsidRPr="00730DE4" w:rsidRDefault="002514F8" w:rsidP="001D287A">
      <w:pPr>
        <w:pStyle w:val="FigureCaption"/>
        <w:rPr>
          <w:lang w:val="en-US"/>
        </w:rPr>
      </w:pPr>
      <w:r w:rsidRPr="00730DE4">
        <w:rPr>
          <w:lang w:val="en-US"/>
        </w:rPr>
        <w:t>Table 9: Key priorities and outcomes: Capable, adaptable, and aligned</w:t>
      </w:r>
    </w:p>
    <w:tbl>
      <w:tblPr>
        <w:tblStyle w:val="TMRDefault"/>
        <w:tblW w:w="5000" w:type="pct"/>
        <w:tblLook w:val="0020" w:firstRow="1" w:lastRow="0" w:firstColumn="0" w:lastColumn="0" w:noHBand="0" w:noVBand="0"/>
      </w:tblPr>
      <w:tblGrid>
        <w:gridCol w:w="9187"/>
        <w:gridCol w:w="3109"/>
        <w:gridCol w:w="1696"/>
      </w:tblGrid>
      <w:tr w:rsidR="002514F8" w:rsidRPr="00730DE4" w14:paraId="68A7095A" w14:textId="77777777" w:rsidTr="00C5487B">
        <w:trPr>
          <w:cnfStyle w:val="100000000000" w:firstRow="1" w:lastRow="0" w:firstColumn="0" w:lastColumn="0" w:oddVBand="0" w:evenVBand="0" w:oddHBand="0" w:evenHBand="0" w:firstRowFirstColumn="0" w:firstRowLastColumn="0" w:lastRowFirstColumn="0" w:lastRowLastColumn="0"/>
          <w:cantSplit/>
          <w:tblHeader/>
        </w:trPr>
        <w:tc>
          <w:tcPr>
            <w:tcW w:w="3283" w:type="pct"/>
          </w:tcPr>
          <w:p w14:paraId="3CC15A36" w14:textId="77777777" w:rsidR="002514F8" w:rsidRPr="00730DE4" w:rsidRDefault="002514F8" w:rsidP="00F23ED3">
            <w:pPr>
              <w:pStyle w:val="NoSpacing"/>
              <w:rPr>
                <w:color w:val="FFFFFF" w:themeColor="background1"/>
                <w:lang w:val="en-US"/>
              </w:rPr>
            </w:pPr>
            <w:r w:rsidRPr="00730DE4">
              <w:rPr>
                <w:color w:val="FFFFFF" w:themeColor="background1"/>
                <w:lang w:val="en-US"/>
              </w:rPr>
              <w:t xml:space="preserve">Key priorities and outcomes </w:t>
            </w:r>
          </w:p>
        </w:tc>
        <w:tc>
          <w:tcPr>
            <w:tcW w:w="1111" w:type="pct"/>
          </w:tcPr>
          <w:p w14:paraId="60AEAF5E" w14:textId="77777777" w:rsidR="002514F8" w:rsidRPr="00730DE4" w:rsidRDefault="002514F8" w:rsidP="00F23ED3">
            <w:pPr>
              <w:pStyle w:val="NoSpacing"/>
              <w:rPr>
                <w:color w:val="FFFFFF" w:themeColor="background1"/>
                <w:lang w:val="en-US"/>
              </w:rPr>
            </w:pPr>
            <w:r w:rsidRPr="00730DE4">
              <w:rPr>
                <w:color w:val="FFFFFF" w:themeColor="background1"/>
                <w:lang w:val="en-US"/>
              </w:rPr>
              <w:t xml:space="preserve">Alignment to Queensland Government's objectives for the community </w:t>
            </w:r>
          </w:p>
        </w:tc>
        <w:tc>
          <w:tcPr>
            <w:tcW w:w="606" w:type="pct"/>
          </w:tcPr>
          <w:p w14:paraId="288A9C9D" w14:textId="77777777" w:rsidR="002514F8" w:rsidRPr="00730DE4" w:rsidRDefault="002514F8" w:rsidP="00F23ED3">
            <w:pPr>
              <w:pStyle w:val="NoSpacing"/>
              <w:rPr>
                <w:color w:val="FFFFFF" w:themeColor="background1"/>
                <w:lang w:val="en-US"/>
              </w:rPr>
            </w:pPr>
            <w:r w:rsidRPr="00730DE4">
              <w:rPr>
                <w:color w:val="FFFFFF" w:themeColor="background1"/>
                <w:lang w:val="en-US"/>
              </w:rPr>
              <w:t>Status</w:t>
            </w:r>
          </w:p>
        </w:tc>
      </w:tr>
      <w:tr w:rsidR="000A65A9" w:rsidRPr="00730DE4" w14:paraId="1B6226F9" w14:textId="77777777" w:rsidTr="00C5487B">
        <w:trPr>
          <w:cnfStyle w:val="000000100000" w:firstRow="0" w:lastRow="0" w:firstColumn="0" w:lastColumn="0" w:oddVBand="0" w:evenVBand="0" w:oddHBand="1" w:evenHBand="0" w:firstRowFirstColumn="0" w:firstRowLastColumn="0" w:lastRowFirstColumn="0" w:lastRowLastColumn="0"/>
          <w:cantSplit/>
        </w:trPr>
        <w:tc>
          <w:tcPr>
            <w:tcW w:w="3283" w:type="pct"/>
          </w:tcPr>
          <w:p w14:paraId="6B1EA51F" w14:textId="77777777" w:rsidR="002514F8" w:rsidRPr="00730DE4" w:rsidRDefault="002514F8" w:rsidP="0077129B">
            <w:pPr>
              <w:pStyle w:val="NoSpacing"/>
              <w:rPr>
                <w:lang w:val="en-US"/>
              </w:rPr>
            </w:pPr>
            <w:r w:rsidRPr="00730DE4">
              <w:rPr>
                <w:lang w:val="en-US"/>
              </w:rPr>
              <w:t>Commenced the Leadership Ladder progression program for TMR women, supporting TMR’s commitment to increasing women in senior leadership positions.</w:t>
            </w:r>
          </w:p>
        </w:tc>
        <w:tc>
          <w:tcPr>
            <w:tcW w:w="1111" w:type="pct"/>
          </w:tcPr>
          <w:p w14:paraId="11B197E4" w14:textId="77777777" w:rsidR="002514F8" w:rsidRPr="00730DE4" w:rsidRDefault="002514F8" w:rsidP="0077129B">
            <w:pPr>
              <w:pStyle w:val="NoSpacing"/>
              <w:rPr>
                <w:lang w:val="en-US"/>
              </w:rPr>
            </w:pPr>
            <w:r w:rsidRPr="00730DE4">
              <w:rPr>
                <w:lang w:val="en-US"/>
              </w:rPr>
              <w:t>Investing in skills</w:t>
            </w:r>
          </w:p>
        </w:tc>
        <w:tc>
          <w:tcPr>
            <w:tcW w:w="606" w:type="pct"/>
          </w:tcPr>
          <w:p w14:paraId="651CC298" w14:textId="77777777" w:rsidR="002514F8" w:rsidRPr="00730DE4" w:rsidRDefault="002514F8" w:rsidP="0077129B">
            <w:pPr>
              <w:pStyle w:val="NoSpacing"/>
              <w:rPr>
                <w:lang w:val="en-US"/>
              </w:rPr>
            </w:pPr>
            <w:r w:rsidRPr="00730DE4">
              <w:rPr>
                <w:lang w:val="en-US"/>
              </w:rPr>
              <w:t>In progress</w:t>
            </w:r>
          </w:p>
        </w:tc>
      </w:tr>
      <w:tr w:rsidR="002514F8" w:rsidRPr="00730DE4" w14:paraId="6395329D" w14:textId="77777777" w:rsidTr="00C5487B">
        <w:trPr>
          <w:cantSplit/>
        </w:trPr>
        <w:tc>
          <w:tcPr>
            <w:tcW w:w="3283" w:type="pct"/>
          </w:tcPr>
          <w:p w14:paraId="1F7DEB90" w14:textId="77777777" w:rsidR="002514F8" w:rsidRPr="00730DE4" w:rsidRDefault="002514F8" w:rsidP="0077129B">
            <w:pPr>
              <w:pStyle w:val="NoSpacing"/>
              <w:rPr>
                <w:lang w:val="en-US"/>
              </w:rPr>
            </w:pPr>
            <w:r w:rsidRPr="00730DE4">
              <w:rPr>
                <w:lang w:val="en-US"/>
              </w:rPr>
              <w:t>Welcomed a new cohort of 45 graduates as part of the 2024 TMR Graduate Program.</w:t>
            </w:r>
          </w:p>
        </w:tc>
        <w:tc>
          <w:tcPr>
            <w:tcW w:w="1111" w:type="pct"/>
          </w:tcPr>
          <w:p w14:paraId="3CC2A344" w14:textId="77777777" w:rsidR="002514F8" w:rsidRPr="00730DE4" w:rsidRDefault="002514F8" w:rsidP="0077129B">
            <w:pPr>
              <w:pStyle w:val="NoSpacing"/>
              <w:rPr>
                <w:lang w:val="en-US"/>
              </w:rPr>
            </w:pPr>
            <w:r w:rsidRPr="00730DE4">
              <w:rPr>
                <w:lang w:val="en-US"/>
              </w:rPr>
              <w:t>Investing in skills</w:t>
            </w:r>
          </w:p>
        </w:tc>
        <w:tc>
          <w:tcPr>
            <w:tcW w:w="606" w:type="pct"/>
          </w:tcPr>
          <w:p w14:paraId="11FE4B23" w14:textId="77777777" w:rsidR="002514F8" w:rsidRPr="00730DE4" w:rsidRDefault="002514F8" w:rsidP="0077129B">
            <w:pPr>
              <w:pStyle w:val="NoSpacing"/>
              <w:rPr>
                <w:lang w:val="en-US"/>
              </w:rPr>
            </w:pPr>
            <w:r w:rsidRPr="00730DE4">
              <w:rPr>
                <w:lang w:val="en-US"/>
              </w:rPr>
              <w:t>Completed</w:t>
            </w:r>
          </w:p>
        </w:tc>
      </w:tr>
      <w:tr w:rsidR="000A65A9" w:rsidRPr="00730DE4" w14:paraId="487C2AB7" w14:textId="77777777" w:rsidTr="00C5487B">
        <w:trPr>
          <w:cnfStyle w:val="000000100000" w:firstRow="0" w:lastRow="0" w:firstColumn="0" w:lastColumn="0" w:oddVBand="0" w:evenVBand="0" w:oddHBand="1" w:evenHBand="0" w:firstRowFirstColumn="0" w:firstRowLastColumn="0" w:lastRowFirstColumn="0" w:lastRowLastColumn="0"/>
          <w:cantSplit/>
        </w:trPr>
        <w:tc>
          <w:tcPr>
            <w:tcW w:w="3283" w:type="pct"/>
          </w:tcPr>
          <w:p w14:paraId="6DC39403" w14:textId="77777777" w:rsidR="002514F8" w:rsidRPr="00730DE4" w:rsidRDefault="002514F8" w:rsidP="0077129B">
            <w:pPr>
              <w:pStyle w:val="NoSpacing"/>
              <w:rPr>
                <w:lang w:val="en-US"/>
              </w:rPr>
            </w:pPr>
            <w:r w:rsidRPr="00730DE4">
              <w:rPr>
                <w:lang w:val="en-US"/>
              </w:rPr>
              <w:t>Supported opportunities to participate in the Aboriginal and Torres Strait Islander traineeship program and welcomed 11 trainees.</w:t>
            </w:r>
          </w:p>
        </w:tc>
        <w:tc>
          <w:tcPr>
            <w:tcW w:w="1111" w:type="pct"/>
          </w:tcPr>
          <w:p w14:paraId="03123546" w14:textId="77777777" w:rsidR="002514F8" w:rsidRPr="00730DE4" w:rsidRDefault="002514F8" w:rsidP="0077129B">
            <w:pPr>
              <w:pStyle w:val="NoSpacing"/>
              <w:rPr>
                <w:lang w:val="en-US"/>
              </w:rPr>
            </w:pPr>
            <w:r w:rsidRPr="00730DE4">
              <w:rPr>
                <w:lang w:val="en-US"/>
              </w:rPr>
              <w:t>Honouring and embracing our rich and ancient cultural history</w:t>
            </w:r>
          </w:p>
        </w:tc>
        <w:tc>
          <w:tcPr>
            <w:tcW w:w="606" w:type="pct"/>
          </w:tcPr>
          <w:p w14:paraId="6C926D68" w14:textId="77777777" w:rsidR="002514F8" w:rsidRPr="00730DE4" w:rsidRDefault="002514F8" w:rsidP="0077129B">
            <w:pPr>
              <w:pStyle w:val="NoSpacing"/>
              <w:rPr>
                <w:lang w:val="en-US"/>
              </w:rPr>
            </w:pPr>
            <w:r w:rsidRPr="00730DE4">
              <w:rPr>
                <w:lang w:val="en-US"/>
              </w:rPr>
              <w:t>Completed</w:t>
            </w:r>
          </w:p>
        </w:tc>
      </w:tr>
      <w:tr w:rsidR="002514F8" w:rsidRPr="00730DE4" w14:paraId="401E98DA" w14:textId="77777777" w:rsidTr="00C5487B">
        <w:trPr>
          <w:cantSplit/>
        </w:trPr>
        <w:tc>
          <w:tcPr>
            <w:tcW w:w="3283" w:type="pct"/>
          </w:tcPr>
          <w:p w14:paraId="5E7F89AB" w14:textId="77777777" w:rsidR="002514F8" w:rsidRPr="00730DE4" w:rsidRDefault="002514F8" w:rsidP="0077129B">
            <w:pPr>
              <w:pStyle w:val="NoSpacing"/>
              <w:rPr>
                <w:lang w:val="en-US"/>
              </w:rPr>
            </w:pPr>
            <w:r w:rsidRPr="00730DE4">
              <w:rPr>
                <w:lang w:val="en-US"/>
              </w:rPr>
              <w:t>Continued partnerships with Disability Employment Service providers to establish entry pathways with support resources around inclusive recruitment.</w:t>
            </w:r>
          </w:p>
        </w:tc>
        <w:tc>
          <w:tcPr>
            <w:tcW w:w="1111" w:type="pct"/>
          </w:tcPr>
          <w:p w14:paraId="5DD14122" w14:textId="77777777" w:rsidR="002514F8" w:rsidRPr="00730DE4" w:rsidRDefault="002514F8" w:rsidP="0077129B">
            <w:pPr>
              <w:pStyle w:val="NoSpacing"/>
              <w:rPr>
                <w:lang w:val="en-US"/>
              </w:rPr>
            </w:pPr>
            <w:r w:rsidRPr="00730DE4">
              <w:rPr>
                <w:lang w:val="en-US"/>
              </w:rPr>
              <w:t>Supporting jobs</w:t>
            </w:r>
          </w:p>
        </w:tc>
        <w:tc>
          <w:tcPr>
            <w:tcW w:w="606" w:type="pct"/>
          </w:tcPr>
          <w:p w14:paraId="3FBC914A" w14:textId="77777777" w:rsidR="002514F8" w:rsidRPr="00730DE4" w:rsidRDefault="002514F8" w:rsidP="0077129B">
            <w:pPr>
              <w:pStyle w:val="NoSpacing"/>
              <w:rPr>
                <w:lang w:val="en-US"/>
              </w:rPr>
            </w:pPr>
            <w:r w:rsidRPr="00730DE4">
              <w:rPr>
                <w:lang w:val="en-US"/>
              </w:rPr>
              <w:t>In progress</w:t>
            </w:r>
          </w:p>
        </w:tc>
      </w:tr>
      <w:tr w:rsidR="000A65A9" w:rsidRPr="00730DE4" w14:paraId="0791D2C1" w14:textId="77777777" w:rsidTr="00C5487B">
        <w:trPr>
          <w:cnfStyle w:val="000000100000" w:firstRow="0" w:lastRow="0" w:firstColumn="0" w:lastColumn="0" w:oddVBand="0" w:evenVBand="0" w:oddHBand="1" w:evenHBand="0" w:firstRowFirstColumn="0" w:firstRowLastColumn="0" w:lastRowFirstColumn="0" w:lastRowLastColumn="0"/>
          <w:cantSplit/>
        </w:trPr>
        <w:tc>
          <w:tcPr>
            <w:tcW w:w="3283" w:type="pct"/>
          </w:tcPr>
          <w:p w14:paraId="70DABC48" w14:textId="77777777" w:rsidR="002514F8" w:rsidRPr="00730DE4" w:rsidRDefault="002514F8" w:rsidP="0077129B">
            <w:pPr>
              <w:pStyle w:val="NoSpacing"/>
              <w:rPr>
                <w:lang w:val="en-US"/>
              </w:rPr>
            </w:pPr>
            <w:r w:rsidRPr="00730DE4">
              <w:rPr>
                <w:lang w:val="en-US"/>
              </w:rPr>
              <w:t xml:space="preserve">Delivered four enterprise bargaining processes resulting in four new certified agreements. </w:t>
            </w:r>
          </w:p>
        </w:tc>
        <w:tc>
          <w:tcPr>
            <w:tcW w:w="1111" w:type="pct"/>
          </w:tcPr>
          <w:p w14:paraId="1276153D" w14:textId="77777777" w:rsidR="002514F8" w:rsidRPr="00730DE4" w:rsidRDefault="002514F8" w:rsidP="0077129B">
            <w:pPr>
              <w:pStyle w:val="NoSpacing"/>
              <w:rPr>
                <w:lang w:val="en-US"/>
              </w:rPr>
            </w:pPr>
            <w:r w:rsidRPr="00730DE4">
              <w:rPr>
                <w:lang w:val="en-US"/>
              </w:rPr>
              <w:t>Supporting jobs</w:t>
            </w:r>
          </w:p>
        </w:tc>
        <w:tc>
          <w:tcPr>
            <w:tcW w:w="606" w:type="pct"/>
          </w:tcPr>
          <w:p w14:paraId="57197B08" w14:textId="77777777" w:rsidR="002514F8" w:rsidRPr="00730DE4" w:rsidRDefault="002514F8" w:rsidP="0077129B">
            <w:pPr>
              <w:pStyle w:val="NoSpacing"/>
              <w:rPr>
                <w:lang w:val="en-US"/>
              </w:rPr>
            </w:pPr>
            <w:r w:rsidRPr="00730DE4">
              <w:rPr>
                <w:lang w:val="en-US"/>
              </w:rPr>
              <w:t>Completed</w:t>
            </w:r>
          </w:p>
        </w:tc>
      </w:tr>
      <w:tr w:rsidR="002514F8" w:rsidRPr="00730DE4" w14:paraId="231AC360" w14:textId="77777777" w:rsidTr="00C5487B">
        <w:trPr>
          <w:cantSplit/>
        </w:trPr>
        <w:tc>
          <w:tcPr>
            <w:tcW w:w="3283" w:type="pct"/>
          </w:tcPr>
          <w:p w14:paraId="004ED85C" w14:textId="77777777" w:rsidR="002514F8" w:rsidRPr="00730DE4" w:rsidRDefault="002514F8" w:rsidP="0077129B">
            <w:pPr>
              <w:pStyle w:val="NoSpacing"/>
              <w:rPr>
                <w:lang w:val="en-US"/>
              </w:rPr>
            </w:pPr>
            <w:r w:rsidRPr="00730DE4">
              <w:rPr>
                <w:lang w:val="en-US"/>
              </w:rPr>
              <w:t>Continued delivering the Building Information Modelling (BIM) implementation to improve the use of data in the efficient delivery of infrastructure projects.</w:t>
            </w:r>
          </w:p>
        </w:tc>
        <w:tc>
          <w:tcPr>
            <w:tcW w:w="1111" w:type="pct"/>
          </w:tcPr>
          <w:p w14:paraId="6BCEF545" w14:textId="77777777" w:rsidR="002514F8" w:rsidRPr="00730DE4" w:rsidRDefault="002514F8" w:rsidP="0077129B">
            <w:pPr>
              <w:pStyle w:val="NoSpacing"/>
              <w:rPr>
                <w:lang w:val="en-US"/>
              </w:rPr>
            </w:pPr>
            <w:r w:rsidRPr="00730DE4">
              <w:rPr>
                <w:lang w:val="en-US"/>
              </w:rPr>
              <w:t>Investing in skills</w:t>
            </w:r>
          </w:p>
        </w:tc>
        <w:tc>
          <w:tcPr>
            <w:tcW w:w="606" w:type="pct"/>
          </w:tcPr>
          <w:p w14:paraId="7DA44C94" w14:textId="77777777" w:rsidR="002514F8" w:rsidRPr="00730DE4" w:rsidRDefault="002514F8" w:rsidP="0077129B">
            <w:pPr>
              <w:pStyle w:val="NoSpacing"/>
              <w:rPr>
                <w:lang w:val="en-US"/>
              </w:rPr>
            </w:pPr>
            <w:r w:rsidRPr="00730DE4">
              <w:rPr>
                <w:lang w:val="en-US"/>
              </w:rPr>
              <w:t>Ongoing</w:t>
            </w:r>
          </w:p>
        </w:tc>
      </w:tr>
      <w:tr w:rsidR="000A65A9" w:rsidRPr="00730DE4" w14:paraId="477841E6" w14:textId="77777777" w:rsidTr="00C5487B">
        <w:trPr>
          <w:cnfStyle w:val="000000100000" w:firstRow="0" w:lastRow="0" w:firstColumn="0" w:lastColumn="0" w:oddVBand="0" w:evenVBand="0" w:oddHBand="1" w:evenHBand="0" w:firstRowFirstColumn="0" w:firstRowLastColumn="0" w:lastRowFirstColumn="0" w:lastRowLastColumn="0"/>
          <w:cantSplit/>
        </w:trPr>
        <w:tc>
          <w:tcPr>
            <w:tcW w:w="3283" w:type="pct"/>
          </w:tcPr>
          <w:p w14:paraId="54C60C38" w14:textId="77777777" w:rsidR="002514F8" w:rsidRPr="00730DE4" w:rsidRDefault="002514F8" w:rsidP="0077129B">
            <w:pPr>
              <w:pStyle w:val="NoSpacing"/>
              <w:rPr>
                <w:lang w:val="en-US"/>
              </w:rPr>
            </w:pPr>
            <w:r w:rsidRPr="00730DE4">
              <w:rPr>
                <w:lang w:val="en-US"/>
              </w:rPr>
              <w:t>A further 1747 employees undertook the Recognise, Respond, Refer domestic and family violence training.</w:t>
            </w:r>
          </w:p>
        </w:tc>
        <w:tc>
          <w:tcPr>
            <w:tcW w:w="1111" w:type="pct"/>
          </w:tcPr>
          <w:p w14:paraId="4CCFB216" w14:textId="77777777" w:rsidR="002514F8" w:rsidRPr="00730DE4" w:rsidRDefault="002514F8" w:rsidP="0077129B">
            <w:pPr>
              <w:pStyle w:val="NoSpacing"/>
              <w:rPr>
                <w:lang w:val="en-US"/>
              </w:rPr>
            </w:pPr>
            <w:r w:rsidRPr="00730DE4">
              <w:rPr>
                <w:lang w:val="en-US"/>
              </w:rPr>
              <w:t>Backing our frontline services</w:t>
            </w:r>
          </w:p>
        </w:tc>
        <w:tc>
          <w:tcPr>
            <w:tcW w:w="606" w:type="pct"/>
          </w:tcPr>
          <w:p w14:paraId="56EFC57D" w14:textId="77777777" w:rsidR="002514F8" w:rsidRPr="00730DE4" w:rsidRDefault="002514F8" w:rsidP="0077129B">
            <w:pPr>
              <w:pStyle w:val="NoSpacing"/>
              <w:rPr>
                <w:lang w:val="en-US"/>
              </w:rPr>
            </w:pPr>
            <w:r w:rsidRPr="00730DE4">
              <w:rPr>
                <w:lang w:val="en-US"/>
              </w:rPr>
              <w:t xml:space="preserve">In progress </w:t>
            </w:r>
          </w:p>
        </w:tc>
      </w:tr>
    </w:tbl>
    <w:p w14:paraId="2923E5E8" w14:textId="77777777" w:rsidR="00464141" w:rsidRPr="00730DE4" w:rsidRDefault="00464141">
      <w:pPr>
        <w:suppressAutoHyphens w:val="0"/>
        <w:spacing w:before="0" w:line="259" w:lineRule="auto"/>
        <w:rPr>
          <w:rFonts w:eastAsiaTheme="majorEastAsia" w:cstheme="majorBidi"/>
          <w:color w:val="080C0F" w:themeColor="text1"/>
          <w:sz w:val="60"/>
          <w:szCs w:val="32"/>
          <w:lang w:val="en-US"/>
        </w:rPr>
      </w:pPr>
      <w:r w:rsidRPr="00730DE4">
        <w:rPr>
          <w:lang w:val="en-US"/>
        </w:rPr>
        <w:br w:type="page"/>
      </w:r>
    </w:p>
    <w:p w14:paraId="07B856DE" w14:textId="231CC2EA" w:rsidR="002514F8" w:rsidRPr="00730DE4" w:rsidRDefault="002514F8" w:rsidP="002B7001">
      <w:pPr>
        <w:pStyle w:val="Heading2"/>
        <w:rPr>
          <w:lang w:val="en-US"/>
        </w:rPr>
      </w:pPr>
      <w:bookmarkStart w:id="258" w:name="_Toc180490521"/>
      <w:bookmarkStart w:id="259" w:name="_Toc180491554"/>
      <w:r w:rsidRPr="00730DE4">
        <w:rPr>
          <w:lang w:val="en-US"/>
        </w:rPr>
        <w:t>Performance statements 2023–24</w:t>
      </w:r>
      <w:bookmarkEnd w:id="258"/>
      <w:bookmarkEnd w:id="259"/>
    </w:p>
    <w:p w14:paraId="45E9476F" w14:textId="77777777" w:rsidR="002514F8" w:rsidRPr="00730DE4" w:rsidRDefault="002514F8" w:rsidP="00583174">
      <w:pPr>
        <w:rPr>
          <w:lang w:val="en-US"/>
        </w:rPr>
      </w:pPr>
      <w:r w:rsidRPr="00730DE4">
        <w:rPr>
          <w:lang w:val="en-US"/>
        </w:rPr>
        <w:t>Performance reporting arrangements in TMR are established in accordance with the Department of the Premier and Cabinet’s Queensland Government Performance Management Framework. The framework ensures that government and departmental activities remain focused on delivering outcomes that are consistent with the government's strategic objectives and delivers transparency in performance against these objectives.</w:t>
      </w:r>
    </w:p>
    <w:p w14:paraId="21663D6D" w14:textId="77777777" w:rsidR="002514F8" w:rsidRPr="00730DE4" w:rsidRDefault="002514F8" w:rsidP="00583174">
      <w:pPr>
        <w:rPr>
          <w:lang w:val="en-US"/>
        </w:rPr>
      </w:pPr>
      <w:r w:rsidRPr="00730DE4">
        <w:rPr>
          <w:lang w:val="en-US"/>
        </w:rPr>
        <w:t xml:space="preserve">Performance is tracked through a range of service standards, as published in the TMR Service Delivery Statements: </w:t>
      </w:r>
      <w:hyperlink r:id="rId19" w:history="1">
        <w:r w:rsidRPr="00730DE4">
          <w:rPr>
            <w:rStyle w:val="Hyperlink"/>
            <w:lang w:val="en-US"/>
          </w:rPr>
          <w:t>https://s3.treasury.qld.gov.au/files/Budget_2023-24_SDS_Department_of_Transport_and_Main_Roads.pdf</w:t>
        </w:r>
      </w:hyperlink>
      <w:r w:rsidRPr="00730DE4">
        <w:rPr>
          <w:lang w:val="en-US"/>
        </w:rPr>
        <w:t>.</w:t>
      </w:r>
    </w:p>
    <w:p w14:paraId="6A4F38BD" w14:textId="77777777" w:rsidR="002514F8" w:rsidRPr="00730DE4" w:rsidRDefault="002514F8" w:rsidP="00583174">
      <w:pPr>
        <w:rPr>
          <w:lang w:val="en-US"/>
        </w:rPr>
      </w:pPr>
      <w:r w:rsidRPr="00730DE4">
        <w:rPr>
          <w:lang w:val="en-US"/>
        </w:rPr>
        <w:t xml:space="preserve">The below service areas contribute to the Queensland Government’s objectives for the community—Good jobs, Better services, and Great lifestyle—by delivering reliable, resilient, and responsive transport networks and digital services that are safe and accessible for everyone. </w:t>
      </w:r>
    </w:p>
    <w:p w14:paraId="7C40A910" w14:textId="77777777" w:rsidR="002514F8" w:rsidRPr="00730DE4" w:rsidRDefault="002514F8" w:rsidP="00583174">
      <w:pPr>
        <w:pStyle w:val="Caption"/>
        <w:rPr>
          <w:i/>
          <w:iCs/>
          <w:lang w:val="en-US"/>
        </w:rPr>
      </w:pPr>
      <w:r w:rsidRPr="00730DE4">
        <w:rPr>
          <w:i/>
          <w:iCs/>
        </w:rPr>
        <w:t>Note: In the tables below, data for previous financial years is as published in the previous Annual Reports. 'N/A' indicates that the service standard was not reported in that financial year.</w:t>
      </w:r>
    </w:p>
    <w:p w14:paraId="7B9B000E" w14:textId="77777777" w:rsidR="00EA1647" w:rsidRDefault="00EA1647" w:rsidP="002B7001">
      <w:pPr>
        <w:pStyle w:val="Heading3"/>
        <w:rPr>
          <w:lang w:val="en-US"/>
        </w:rPr>
      </w:pPr>
      <w:r>
        <w:rPr>
          <w:lang w:val="en-US"/>
        </w:rPr>
        <w:br w:type="page"/>
      </w:r>
    </w:p>
    <w:p w14:paraId="57A2B50F" w14:textId="44AB52F9" w:rsidR="002514F8" w:rsidRPr="00730DE4" w:rsidRDefault="002514F8" w:rsidP="002B7001">
      <w:pPr>
        <w:pStyle w:val="Heading3"/>
        <w:rPr>
          <w:lang w:val="en-US"/>
        </w:rPr>
      </w:pPr>
      <w:bookmarkStart w:id="260" w:name="_Toc180487316"/>
      <w:bookmarkStart w:id="261" w:name="_Toc180490522"/>
      <w:bookmarkStart w:id="262" w:name="_Toc180491555"/>
      <w:r w:rsidRPr="00730DE4">
        <w:rPr>
          <w:lang w:val="en-US"/>
        </w:rPr>
        <w:t>Service area: Transport System Investment Planning and Programming</w:t>
      </w:r>
      <w:bookmarkEnd w:id="260"/>
      <w:bookmarkEnd w:id="261"/>
      <w:bookmarkEnd w:id="262"/>
    </w:p>
    <w:p w14:paraId="1808F02C" w14:textId="77777777" w:rsidR="002514F8" w:rsidRPr="00730DE4" w:rsidRDefault="002514F8" w:rsidP="000831CB">
      <w:pPr>
        <w:rPr>
          <w:lang w:val="en-US"/>
        </w:rPr>
      </w:pPr>
      <w:r w:rsidRPr="00730DE4">
        <w:rPr>
          <w:rStyle w:val="Strong"/>
        </w:rPr>
        <w:t>Service area objective:</w:t>
      </w:r>
      <w:r w:rsidRPr="00730DE4">
        <w:rPr>
          <w:lang w:val="en-US"/>
        </w:rPr>
        <w:t xml:space="preserve"> To develop and prioritise transport policy and investment to support economic and regional development and meet Queensland's long-term transport needs.</w:t>
      </w:r>
    </w:p>
    <w:p w14:paraId="29F274CB" w14:textId="77777777" w:rsidR="002514F8" w:rsidRPr="00730DE4" w:rsidRDefault="002514F8" w:rsidP="00583174">
      <w:pPr>
        <w:pStyle w:val="FigureCaption"/>
        <w:rPr>
          <w:lang w:val="en-US"/>
        </w:rPr>
      </w:pPr>
      <w:r w:rsidRPr="00730DE4">
        <w:rPr>
          <w:lang w:val="en-US"/>
        </w:rPr>
        <w:t>Table 10: Transport System Investment Planning and Programming effectiveness measure</w:t>
      </w:r>
    </w:p>
    <w:tbl>
      <w:tblPr>
        <w:tblStyle w:val="TMRDefault"/>
        <w:tblW w:w="5000" w:type="pct"/>
        <w:tblLook w:val="04A0" w:firstRow="1" w:lastRow="0" w:firstColumn="1" w:lastColumn="0" w:noHBand="0" w:noVBand="1"/>
      </w:tblPr>
      <w:tblGrid>
        <w:gridCol w:w="5542"/>
        <w:gridCol w:w="1224"/>
        <w:gridCol w:w="1223"/>
        <w:gridCol w:w="1223"/>
        <w:gridCol w:w="1223"/>
        <w:gridCol w:w="1226"/>
        <w:gridCol w:w="1226"/>
        <w:gridCol w:w="1105"/>
      </w:tblGrid>
      <w:tr w:rsidR="000A65A9" w:rsidRPr="00730DE4" w14:paraId="57FA96FB" w14:textId="77777777" w:rsidTr="001613BC">
        <w:trPr>
          <w:cnfStyle w:val="100000000000" w:firstRow="1" w:lastRow="0" w:firstColumn="0" w:lastColumn="0" w:oddVBand="0" w:evenVBand="0" w:oddHBand="0" w:evenHBand="0" w:firstRowFirstColumn="0" w:firstRowLastColumn="0" w:lastRowFirstColumn="0" w:lastRowLastColumn="0"/>
          <w:cantSplit/>
          <w:tblHeader/>
        </w:trPr>
        <w:tc>
          <w:tcPr>
            <w:tcW w:w="1980" w:type="pct"/>
          </w:tcPr>
          <w:p w14:paraId="55775B0C" w14:textId="77777777" w:rsidR="002514F8" w:rsidRPr="00730DE4" w:rsidRDefault="002514F8" w:rsidP="000B0ED0">
            <w:pPr>
              <w:pStyle w:val="NoSpacing"/>
              <w:rPr>
                <w:color w:val="FFFFFF" w:themeColor="background1"/>
              </w:rPr>
            </w:pPr>
            <w:r w:rsidRPr="00730DE4">
              <w:rPr>
                <w:color w:val="FFFFFF" w:themeColor="background1"/>
              </w:rPr>
              <w:t>Service standards</w:t>
            </w:r>
          </w:p>
        </w:tc>
        <w:tc>
          <w:tcPr>
            <w:tcW w:w="437" w:type="pct"/>
          </w:tcPr>
          <w:p w14:paraId="5EECCA40" w14:textId="77777777" w:rsidR="002514F8" w:rsidRPr="00730DE4" w:rsidRDefault="002514F8" w:rsidP="00BE710F">
            <w:pPr>
              <w:pStyle w:val="NoSpacing"/>
              <w:jc w:val="right"/>
              <w:rPr>
                <w:color w:val="FFFFFF" w:themeColor="background1"/>
              </w:rPr>
            </w:pPr>
            <w:r w:rsidRPr="00730DE4">
              <w:rPr>
                <w:color w:val="FFFFFF" w:themeColor="background1"/>
              </w:rPr>
              <w:t>2019–20 Actual</w:t>
            </w:r>
          </w:p>
        </w:tc>
        <w:tc>
          <w:tcPr>
            <w:tcW w:w="437" w:type="pct"/>
          </w:tcPr>
          <w:p w14:paraId="3D17F2DC" w14:textId="77777777" w:rsidR="002514F8" w:rsidRPr="00730DE4" w:rsidRDefault="002514F8" w:rsidP="00BE710F">
            <w:pPr>
              <w:pStyle w:val="NoSpacing"/>
              <w:jc w:val="right"/>
              <w:rPr>
                <w:color w:val="FFFFFF" w:themeColor="background1"/>
              </w:rPr>
            </w:pPr>
            <w:r w:rsidRPr="00730DE4">
              <w:rPr>
                <w:color w:val="FFFFFF" w:themeColor="background1"/>
              </w:rPr>
              <w:t>2020–21 Actual</w:t>
            </w:r>
          </w:p>
        </w:tc>
        <w:tc>
          <w:tcPr>
            <w:tcW w:w="437" w:type="pct"/>
          </w:tcPr>
          <w:p w14:paraId="5ACCB431" w14:textId="77777777" w:rsidR="002514F8" w:rsidRPr="00730DE4" w:rsidRDefault="002514F8" w:rsidP="00BE710F">
            <w:pPr>
              <w:pStyle w:val="NoSpacing"/>
              <w:jc w:val="right"/>
              <w:rPr>
                <w:color w:val="FFFFFF" w:themeColor="background1"/>
              </w:rPr>
            </w:pPr>
            <w:r w:rsidRPr="00730DE4">
              <w:rPr>
                <w:color w:val="FFFFFF" w:themeColor="background1"/>
              </w:rPr>
              <w:t>2021–22 Actual</w:t>
            </w:r>
          </w:p>
        </w:tc>
        <w:tc>
          <w:tcPr>
            <w:tcW w:w="437" w:type="pct"/>
          </w:tcPr>
          <w:p w14:paraId="7A29A692" w14:textId="77777777" w:rsidR="002514F8" w:rsidRPr="00730DE4" w:rsidRDefault="002514F8" w:rsidP="00BE710F">
            <w:pPr>
              <w:pStyle w:val="NoSpacing"/>
              <w:jc w:val="right"/>
              <w:rPr>
                <w:color w:val="FFFFFF" w:themeColor="background1"/>
              </w:rPr>
            </w:pPr>
            <w:r w:rsidRPr="00730DE4">
              <w:rPr>
                <w:color w:val="FFFFFF" w:themeColor="background1"/>
              </w:rPr>
              <w:t>2022–23 Actual</w:t>
            </w:r>
          </w:p>
        </w:tc>
        <w:tc>
          <w:tcPr>
            <w:tcW w:w="438" w:type="pct"/>
          </w:tcPr>
          <w:p w14:paraId="2AE82906" w14:textId="77777777" w:rsidR="002514F8" w:rsidRPr="00730DE4" w:rsidRDefault="002514F8" w:rsidP="00BE710F">
            <w:pPr>
              <w:pStyle w:val="NoSpacing"/>
              <w:jc w:val="right"/>
              <w:rPr>
                <w:color w:val="FFFFFF" w:themeColor="background1"/>
              </w:rPr>
            </w:pPr>
            <w:r w:rsidRPr="00730DE4">
              <w:rPr>
                <w:color w:val="FFFFFF" w:themeColor="background1"/>
              </w:rPr>
              <w:t>2023–24 Target / Estimate</w:t>
            </w:r>
          </w:p>
        </w:tc>
        <w:tc>
          <w:tcPr>
            <w:tcW w:w="438" w:type="pct"/>
          </w:tcPr>
          <w:p w14:paraId="277A99EE" w14:textId="77777777" w:rsidR="002514F8" w:rsidRPr="00730DE4" w:rsidRDefault="002514F8" w:rsidP="000B0ED0">
            <w:pPr>
              <w:pStyle w:val="NoSpacing"/>
              <w:jc w:val="right"/>
              <w:rPr>
                <w:color w:val="FFFFFF" w:themeColor="background1"/>
              </w:rPr>
            </w:pPr>
            <w:r w:rsidRPr="00730DE4">
              <w:rPr>
                <w:color w:val="FFFFFF" w:themeColor="background1"/>
              </w:rPr>
              <w:t>2023–24 Actual</w:t>
            </w:r>
          </w:p>
        </w:tc>
        <w:tc>
          <w:tcPr>
            <w:tcW w:w="395" w:type="pct"/>
          </w:tcPr>
          <w:p w14:paraId="257015A1" w14:textId="77777777" w:rsidR="002514F8" w:rsidRPr="00730DE4" w:rsidRDefault="002514F8" w:rsidP="000831CB">
            <w:pPr>
              <w:pStyle w:val="NoSpacing"/>
              <w:jc w:val="center"/>
              <w:rPr>
                <w:color w:val="FFFFFF" w:themeColor="background1"/>
              </w:rPr>
            </w:pPr>
            <w:r w:rsidRPr="00730DE4">
              <w:rPr>
                <w:color w:val="FFFFFF" w:themeColor="background1"/>
              </w:rPr>
              <w:t>Notes</w:t>
            </w:r>
          </w:p>
        </w:tc>
      </w:tr>
      <w:tr w:rsidR="000A65A9" w:rsidRPr="00730DE4" w14:paraId="40523EEE" w14:textId="77777777" w:rsidTr="001613BC">
        <w:trPr>
          <w:cnfStyle w:val="000000100000" w:firstRow="0" w:lastRow="0" w:firstColumn="0" w:lastColumn="0" w:oddVBand="0" w:evenVBand="0" w:oddHBand="1" w:evenHBand="0" w:firstRowFirstColumn="0" w:firstRowLastColumn="0" w:lastRowFirstColumn="0" w:lastRowLastColumn="0"/>
          <w:cantSplit/>
        </w:trPr>
        <w:tc>
          <w:tcPr>
            <w:tcW w:w="1980" w:type="pct"/>
          </w:tcPr>
          <w:p w14:paraId="437EFEB0" w14:textId="77777777" w:rsidR="002514F8" w:rsidRPr="00730DE4" w:rsidRDefault="002514F8" w:rsidP="000B0ED0">
            <w:pPr>
              <w:pStyle w:val="NoSpacing"/>
            </w:pPr>
            <w:r w:rsidRPr="00730DE4">
              <w:t>Urban road system condition—the percentage of urban state-controlled roads with condition better than the specified benchmark</w:t>
            </w:r>
          </w:p>
        </w:tc>
        <w:tc>
          <w:tcPr>
            <w:tcW w:w="437" w:type="pct"/>
          </w:tcPr>
          <w:p w14:paraId="79FD882A" w14:textId="77777777" w:rsidR="002514F8" w:rsidRPr="00730DE4" w:rsidRDefault="002514F8" w:rsidP="00BE710F">
            <w:pPr>
              <w:pStyle w:val="NoSpacing"/>
              <w:jc w:val="right"/>
            </w:pPr>
            <w:r w:rsidRPr="00730DE4">
              <w:t>98.26%</w:t>
            </w:r>
          </w:p>
        </w:tc>
        <w:tc>
          <w:tcPr>
            <w:tcW w:w="437" w:type="pct"/>
          </w:tcPr>
          <w:p w14:paraId="0E5DB87C" w14:textId="77777777" w:rsidR="002514F8" w:rsidRPr="00730DE4" w:rsidRDefault="002514F8" w:rsidP="00BE710F">
            <w:pPr>
              <w:pStyle w:val="NoSpacing"/>
              <w:jc w:val="right"/>
            </w:pPr>
            <w:r w:rsidRPr="00730DE4">
              <w:t>98.50%</w:t>
            </w:r>
          </w:p>
        </w:tc>
        <w:tc>
          <w:tcPr>
            <w:tcW w:w="437" w:type="pct"/>
          </w:tcPr>
          <w:p w14:paraId="3C7B1F06" w14:textId="77777777" w:rsidR="002514F8" w:rsidRPr="00730DE4" w:rsidRDefault="002514F8" w:rsidP="00BE710F">
            <w:pPr>
              <w:pStyle w:val="NoSpacing"/>
              <w:jc w:val="right"/>
            </w:pPr>
            <w:r w:rsidRPr="00730DE4">
              <w:t>98.66%</w:t>
            </w:r>
          </w:p>
        </w:tc>
        <w:tc>
          <w:tcPr>
            <w:tcW w:w="437" w:type="pct"/>
          </w:tcPr>
          <w:p w14:paraId="5A6208F0" w14:textId="77777777" w:rsidR="002514F8" w:rsidRPr="00730DE4" w:rsidRDefault="002514F8" w:rsidP="00BE710F">
            <w:pPr>
              <w:pStyle w:val="NoSpacing"/>
              <w:jc w:val="right"/>
            </w:pPr>
            <w:r w:rsidRPr="00730DE4">
              <w:t>98.66%</w:t>
            </w:r>
          </w:p>
        </w:tc>
        <w:tc>
          <w:tcPr>
            <w:tcW w:w="438" w:type="pct"/>
          </w:tcPr>
          <w:p w14:paraId="7DFDBE45" w14:textId="77777777" w:rsidR="002514F8" w:rsidRPr="00730DE4" w:rsidRDefault="002514F8" w:rsidP="00BE710F">
            <w:pPr>
              <w:pStyle w:val="NoSpacing"/>
              <w:jc w:val="right"/>
            </w:pPr>
            <w:r w:rsidRPr="00730DE4">
              <w:t>97–99%</w:t>
            </w:r>
          </w:p>
        </w:tc>
        <w:tc>
          <w:tcPr>
            <w:tcW w:w="438" w:type="pct"/>
          </w:tcPr>
          <w:p w14:paraId="0A794A2A" w14:textId="77777777" w:rsidR="002514F8" w:rsidRPr="00730DE4" w:rsidRDefault="002514F8" w:rsidP="000B0ED0">
            <w:pPr>
              <w:pStyle w:val="NoSpacing"/>
              <w:jc w:val="right"/>
            </w:pPr>
            <w:r w:rsidRPr="00730DE4">
              <w:t>98.80%</w:t>
            </w:r>
          </w:p>
        </w:tc>
        <w:tc>
          <w:tcPr>
            <w:tcW w:w="395" w:type="pct"/>
          </w:tcPr>
          <w:p w14:paraId="6A1EF2B7" w14:textId="77777777" w:rsidR="002514F8" w:rsidRPr="00730DE4" w:rsidRDefault="002514F8" w:rsidP="000831CB">
            <w:pPr>
              <w:pStyle w:val="NoSpacing"/>
              <w:jc w:val="center"/>
            </w:pPr>
          </w:p>
        </w:tc>
      </w:tr>
      <w:tr w:rsidR="001613BC" w:rsidRPr="00730DE4" w14:paraId="53A7EC07" w14:textId="77777777" w:rsidTr="001613BC">
        <w:trPr>
          <w:cantSplit/>
        </w:trPr>
        <w:tc>
          <w:tcPr>
            <w:tcW w:w="1980" w:type="pct"/>
          </w:tcPr>
          <w:p w14:paraId="2E45123E" w14:textId="77777777" w:rsidR="002514F8" w:rsidRPr="00730DE4" w:rsidRDefault="002514F8" w:rsidP="000B0ED0">
            <w:pPr>
              <w:pStyle w:val="NoSpacing"/>
            </w:pPr>
            <w:r w:rsidRPr="00730DE4">
              <w:t>Rural road system condition—the percentage of urban state-controlled roads with condition better than the specified benchmark</w:t>
            </w:r>
          </w:p>
        </w:tc>
        <w:tc>
          <w:tcPr>
            <w:tcW w:w="437" w:type="pct"/>
          </w:tcPr>
          <w:p w14:paraId="2AD9AFF0" w14:textId="77777777" w:rsidR="002514F8" w:rsidRPr="00730DE4" w:rsidRDefault="002514F8" w:rsidP="00BE710F">
            <w:pPr>
              <w:pStyle w:val="NoSpacing"/>
              <w:jc w:val="right"/>
            </w:pPr>
            <w:r w:rsidRPr="00730DE4">
              <w:t>96.13%</w:t>
            </w:r>
          </w:p>
        </w:tc>
        <w:tc>
          <w:tcPr>
            <w:tcW w:w="437" w:type="pct"/>
          </w:tcPr>
          <w:p w14:paraId="7C3F54BD" w14:textId="77777777" w:rsidR="002514F8" w:rsidRPr="00730DE4" w:rsidRDefault="002514F8" w:rsidP="00BE710F">
            <w:pPr>
              <w:pStyle w:val="NoSpacing"/>
              <w:jc w:val="right"/>
            </w:pPr>
            <w:r w:rsidRPr="00730DE4">
              <w:t>96.20%</w:t>
            </w:r>
          </w:p>
        </w:tc>
        <w:tc>
          <w:tcPr>
            <w:tcW w:w="437" w:type="pct"/>
          </w:tcPr>
          <w:p w14:paraId="24A2CC99" w14:textId="77777777" w:rsidR="002514F8" w:rsidRPr="00730DE4" w:rsidRDefault="002514F8" w:rsidP="00BE710F">
            <w:pPr>
              <w:pStyle w:val="NoSpacing"/>
              <w:jc w:val="right"/>
            </w:pPr>
            <w:r w:rsidRPr="00730DE4">
              <w:t>96.46%</w:t>
            </w:r>
          </w:p>
        </w:tc>
        <w:tc>
          <w:tcPr>
            <w:tcW w:w="437" w:type="pct"/>
          </w:tcPr>
          <w:p w14:paraId="148FDFD4" w14:textId="77777777" w:rsidR="002514F8" w:rsidRPr="00730DE4" w:rsidRDefault="002514F8" w:rsidP="00BE710F">
            <w:pPr>
              <w:pStyle w:val="NoSpacing"/>
              <w:jc w:val="right"/>
            </w:pPr>
            <w:r w:rsidRPr="00730DE4">
              <w:t>96.40%</w:t>
            </w:r>
          </w:p>
        </w:tc>
        <w:tc>
          <w:tcPr>
            <w:tcW w:w="438" w:type="pct"/>
          </w:tcPr>
          <w:p w14:paraId="6E8A7E1D" w14:textId="77777777" w:rsidR="002514F8" w:rsidRPr="00730DE4" w:rsidRDefault="002514F8" w:rsidP="00BE710F">
            <w:pPr>
              <w:pStyle w:val="NoSpacing"/>
              <w:jc w:val="right"/>
            </w:pPr>
            <w:r w:rsidRPr="00730DE4">
              <w:t>95–97%</w:t>
            </w:r>
          </w:p>
        </w:tc>
        <w:tc>
          <w:tcPr>
            <w:tcW w:w="438" w:type="pct"/>
          </w:tcPr>
          <w:p w14:paraId="5214FDEB" w14:textId="77777777" w:rsidR="002514F8" w:rsidRPr="00730DE4" w:rsidRDefault="002514F8" w:rsidP="000B0ED0">
            <w:pPr>
              <w:pStyle w:val="NoSpacing"/>
              <w:jc w:val="right"/>
            </w:pPr>
            <w:r w:rsidRPr="00730DE4">
              <w:t>96.39%</w:t>
            </w:r>
          </w:p>
        </w:tc>
        <w:tc>
          <w:tcPr>
            <w:tcW w:w="395" w:type="pct"/>
          </w:tcPr>
          <w:p w14:paraId="0A5E030E" w14:textId="77777777" w:rsidR="002514F8" w:rsidRPr="00730DE4" w:rsidRDefault="002514F8" w:rsidP="000831CB">
            <w:pPr>
              <w:pStyle w:val="NoSpacing"/>
              <w:jc w:val="center"/>
            </w:pPr>
          </w:p>
        </w:tc>
      </w:tr>
      <w:tr w:rsidR="000A65A9" w:rsidRPr="00730DE4" w14:paraId="0394B406" w14:textId="77777777" w:rsidTr="001613BC">
        <w:trPr>
          <w:cnfStyle w:val="000000100000" w:firstRow="0" w:lastRow="0" w:firstColumn="0" w:lastColumn="0" w:oddVBand="0" w:evenVBand="0" w:oddHBand="1" w:evenHBand="0" w:firstRowFirstColumn="0" w:firstRowLastColumn="0" w:lastRowFirstColumn="0" w:lastRowLastColumn="0"/>
          <w:cantSplit/>
        </w:trPr>
        <w:tc>
          <w:tcPr>
            <w:tcW w:w="1980" w:type="pct"/>
          </w:tcPr>
          <w:p w14:paraId="6C16AE5E" w14:textId="77777777" w:rsidR="002514F8" w:rsidRPr="00730DE4" w:rsidRDefault="002514F8" w:rsidP="000B0ED0">
            <w:pPr>
              <w:pStyle w:val="NoSpacing"/>
            </w:pPr>
            <w:r w:rsidRPr="00730DE4">
              <w:t>Road ride quality—Traffic weighted roughness—percentage of the network in very poor/poor condition</w:t>
            </w:r>
          </w:p>
        </w:tc>
        <w:tc>
          <w:tcPr>
            <w:tcW w:w="437" w:type="pct"/>
          </w:tcPr>
          <w:p w14:paraId="3D2C4695" w14:textId="77777777" w:rsidR="002514F8" w:rsidRPr="00730DE4" w:rsidRDefault="002514F8" w:rsidP="00BE710F">
            <w:pPr>
              <w:pStyle w:val="NoSpacing"/>
              <w:jc w:val="right"/>
            </w:pPr>
            <w:r w:rsidRPr="00730DE4">
              <w:t>11.40%</w:t>
            </w:r>
          </w:p>
        </w:tc>
        <w:tc>
          <w:tcPr>
            <w:tcW w:w="437" w:type="pct"/>
          </w:tcPr>
          <w:p w14:paraId="669C9479" w14:textId="77777777" w:rsidR="002514F8" w:rsidRPr="00730DE4" w:rsidRDefault="002514F8" w:rsidP="00BE710F">
            <w:pPr>
              <w:pStyle w:val="NoSpacing"/>
              <w:jc w:val="right"/>
            </w:pPr>
            <w:r w:rsidRPr="00730DE4">
              <w:t>11.20%</w:t>
            </w:r>
          </w:p>
        </w:tc>
        <w:tc>
          <w:tcPr>
            <w:tcW w:w="437" w:type="pct"/>
          </w:tcPr>
          <w:p w14:paraId="1FF8D7B3" w14:textId="77777777" w:rsidR="002514F8" w:rsidRPr="00730DE4" w:rsidRDefault="002514F8" w:rsidP="00BE710F">
            <w:pPr>
              <w:pStyle w:val="NoSpacing"/>
              <w:jc w:val="right"/>
            </w:pPr>
            <w:r w:rsidRPr="00730DE4">
              <w:t>10.74%</w:t>
            </w:r>
          </w:p>
        </w:tc>
        <w:tc>
          <w:tcPr>
            <w:tcW w:w="437" w:type="pct"/>
          </w:tcPr>
          <w:p w14:paraId="2877BD87" w14:textId="77777777" w:rsidR="002514F8" w:rsidRPr="00730DE4" w:rsidRDefault="002514F8" w:rsidP="00BE710F">
            <w:pPr>
              <w:pStyle w:val="NoSpacing"/>
              <w:jc w:val="right"/>
            </w:pPr>
            <w:r w:rsidRPr="00730DE4">
              <w:t>11.01%</w:t>
            </w:r>
          </w:p>
        </w:tc>
        <w:tc>
          <w:tcPr>
            <w:tcW w:w="438" w:type="pct"/>
          </w:tcPr>
          <w:p w14:paraId="14AEB32C" w14:textId="77777777" w:rsidR="002514F8" w:rsidRPr="00730DE4" w:rsidRDefault="002514F8" w:rsidP="00BE710F">
            <w:pPr>
              <w:pStyle w:val="NoSpacing"/>
              <w:jc w:val="right"/>
            </w:pPr>
            <w:r w:rsidRPr="00730DE4">
              <w:t>11.0–12.0%</w:t>
            </w:r>
          </w:p>
        </w:tc>
        <w:tc>
          <w:tcPr>
            <w:tcW w:w="438" w:type="pct"/>
          </w:tcPr>
          <w:p w14:paraId="0D1C4B45" w14:textId="77777777" w:rsidR="002514F8" w:rsidRPr="00730DE4" w:rsidRDefault="002514F8" w:rsidP="000B0ED0">
            <w:pPr>
              <w:pStyle w:val="NoSpacing"/>
              <w:jc w:val="right"/>
            </w:pPr>
            <w:r w:rsidRPr="00730DE4">
              <w:t>11.23%</w:t>
            </w:r>
          </w:p>
        </w:tc>
        <w:tc>
          <w:tcPr>
            <w:tcW w:w="395" w:type="pct"/>
          </w:tcPr>
          <w:p w14:paraId="118056F5" w14:textId="77777777" w:rsidR="002514F8" w:rsidRPr="00730DE4" w:rsidRDefault="002514F8" w:rsidP="000831CB">
            <w:pPr>
              <w:pStyle w:val="NoSpacing"/>
              <w:jc w:val="center"/>
            </w:pPr>
          </w:p>
        </w:tc>
      </w:tr>
    </w:tbl>
    <w:p w14:paraId="5710579C" w14:textId="77777777" w:rsidR="002514F8" w:rsidRPr="00730DE4" w:rsidRDefault="002514F8" w:rsidP="00583174">
      <w:pPr>
        <w:pStyle w:val="FigureCaption"/>
        <w:rPr>
          <w:lang w:val="en-US"/>
        </w:rPr>
      </w:pPr>
      <w:r w:rsidRPr="00730DE4">
        <w:rPr>
          <w:lang w:val="en-US"/>
        </w:rPr>
        <w:t>Table 11: Transport System Investment Planning and Programming efficiency measure</w:t>
      </w:r>
    </w:p>
    <w:tbl>
      <w:tblPr>
        <w:tblStyle w:val="TMRDefault"/>
        <w:tblW w:w="5000" w:type="pct"/>
        <w:tblLook w:val="04A0" w:firstRow="1" w:lastRow="0" w:firstColumn="1" w:lastColumn="0" w:noHBand="0" w:noVBand="1"/>
      </w:tblPr>
      <w:tblGrid>
        <w:gridCol w:w="5545"/>
        <w:gridCol w:w="1224"/>
        <w:gridCol w:w="1223"/>
        <w:gridCol w:w="1223"/>
        <w:gridCol w:w="1223"/>
        <w:gridCol w:w="1223"/>
        <w:gridCol w:w="1226"/>
        <w:gridCol w:w="1105"/>
      </w:tblGrid>
      <w:tr w:rsidR="000A65A9" w:rsidRPr="00730DE4" w14:paraId="5F1CEEC9" w14:textId="77777777" w:rsidTr="001613BC">
        <w:trPr>
          <w:cnfStyle w:val="100000000000" w:firstRow="1" w:lastRow="0" w:firstColumn="0" w:lastColumn="0" w:oddVBand="0" w:evenVBand="0" w:oddHBand="0" w:evenHBand="0" w:firstRowFirstColumn="0" w:firstRowLastColumn="0" w:lastRowFirstColumn="0" w:lastRowLastColumn="0"/>
          <w:trHeight w:val="21"/>
          <w:tblHeader/>
        </w:trPr>
        <w:tc>
          <w:tcPr>
            <w:tcW w:w="1981" w:type="pct"/>
          </w:tcPr>
          <w:p w14:paraId="28FDDD4E" w14:textId="77777777" w:rsidR="002514F8" w:rsidRPr="00730DE4" w:rsidRDefault="002514F8" w:rsidP="000B0ED0">
            <w:pPr>
              <w:pStyle w:val="NoSpacing"/>
              <w:rPr>
                <w:color w:val="FFFFFF" w:themeColor="background1"/>
              </w:rPr>
            </w:pPr>
            <w:r w:rsidRPr="00730DE4">
              <w:rPr>
                <w:color w:val="FFFFFF" w:themeColor="background1"/>
              </w:rPr>
              <w:t>Service standard</w:t>
            </w:r>
          </w:p>
        </w:tc>
        <w:tc>
          <w:tcPr>
            <w:tcW w:w="437" w:type="pct"/>
          </w:tcPr>
          <w:p w14:paraId="2E1FC6D0" w14:textId="77777777" w:rsidR="002514F8" w:rsidRPr="00730DE4" w:rsidRDefault="002514F8" w:rsidP="00BE710F">
            <w:pPr>
              <w:pStyle w:val="NoSpacing"/>
              <w:jc w:val="right"/>
              <w:rPr>
                <w:color w:val="FFFFFF" w:themeColor="background1"/>
              </w:rPr>
            </w:pPr>
            <w:r w:rsidRPr="00730DE4">
              <w:rPr>
                <w:color w:val="FFFFFF" w:themeColor="background1"/>
              </w:rPr>
              <w:t>2019–20 Actual</w:t>
            </w:r>
          </w:p>
        </w:tc>
        <w:tc>
          <w:tcPr>
            <w:tcW w:w="437" w:type="pct"/>
          </w:tcPr>
          <w:p w14:paraId="141AEC5C" w14:textId="77777777" w:rsidR="002514F8" w:rsidRPr="00730DE4" w:rsidRDefault="002514F8" w:rsidP="00BE710F">
            <w:pPr>
              <w:pStyle w:val="NoSpacing"/>
              <w:jc w:val="right"/>
              <w:rPr>
                <w:color w:val="FFFFFF" w:themeColor="background1"/>
              </w:rPr>
            </w:pPr>
            <w:r w:rsidRPr="00730DE4">
              <w:rPr>
                <w:color w:val="FFFFFF" w:themeColor="background1"/>
              </w:rPr>
              <w:t>2020–21 Actual</w:t>
            </w:r>
          </w:p>
        </w:tc>
        <w:tc>
          <w:tcPr>
            <w:tcW w:w="437" w:type="pct"/>
          </w:tcPr>
          <w:p w14:paraId="67EA543F" w14:textId="77777777" w:rsidR="002514F8" w:rsidRPr="00730DE4" w:rsidRDefault="002514F8" w:rsidP="00BE710F">
            <w:pPr>
              <w:pStyle w:val="NoSpacing"/>
              <w:jc w:val="right"/>
              <w:rPr>
                <w:color w:val="FFFFFF" w:themeColor="background1"/>
              </w:rPr>
            </w:pPr>
            <w:r w:rsidRPr="00730DE4">
              <w:rPr>
                <w:color w:val="FFFFFF" w:themeColor="background1"/>
              </w:rPr>
              <w:t>2021–22 Actual</w:t>
            </w:r>
          </w:p>
        </w:tc>
        <w:tc>
          <w:tcPr>
            <w:tcW w:w="437" w:type="pct"/>
          </w:tcPr>
          <w:p w14:paraId="23AED206" w14:textId="77777777" w:rsidR="002514F8" w:rsidRPr="00730DE4" w:rsidRDefault="002514F8" w:rsidP="00BE710F">
            <w:pPr>
              <w:pStyle w:val="NoSpacing"/>
              <w:jc w:val="right"/>
              <w:rPr>
                <w:color w:val="FFFFFF" w:themeColor="background1"/>
              </w:rPr>
            </w:pPr>
            <w:r w:rsidRPr="00730DE4">
              <w:rPr>
                <w:color w:val="FFFFFF" w:themeColor="background1"/>
              </w:rPr>
              <w:t>2022–23 Actual</w:t>
            </w:r>
          </w:p>
        </w:tc>
        <w:tc>
          <w:tcPr>
            <w:tcW w:w="437" w:type="pct"/>
          </w:tcPr>
          <w:p w14:paraId="04BC018E" w14:textId="77777777" w:rsidR="002514F8" w:rsidRPr="00730DE4" w:rsidRDefault="002514F8" w:rsidP="00BE710F">
            <w:pPr>
              <w:pStyle w:val="NoSpacing"/>
              <w:jc w:val="right"/>
              <w:rPr>
                <w:color w:val="FFFFFF" w:themeColor="background1"/>
              </w:rPr>
            </w:pPr>
            <w:r w:rsidRPr="00730DE4">
              <w:rPr>
                <w:color w:val="FFFFFF" w:themeColor="background1"/>
              </w:rPr>
              <w:t>2023–24 Target / Estimate</w:t>
            </w:r>
          </w:p>
        </w:tc>
        <w:tc>
          <w:tcPr>
            <w:tcW w:w="438" w:type="pct"/>
          </w:tcPr>
          <w:p w14:paraId="3B94621A" w14:textId="77777777" w:rsidR="002514F8" w:rsidRPr="00730DE4" w:rsidRDefault="002514F8" w:rsidP="00BE710F">
            <w:pPr>
              <w:pStyle w:val="NoSpacing"/>
              <w:jc w:val="right"/>
              <w:rPr>
                <w:color w:val="FFFFFF" w:themeColor="background1"/>
              </w:rPr>
            </w:pPr>
            <w:r w:rsidRPr="00730DE4">
              <w:rPr>
                <w:color w:val="FFFFFF" w:themeColor="background1"/>
              </w:rPr>
              <w:t>2023–24 Actual</w:t>
            </w:r>
          </w:p>
        </w:tc>
        <w:tc>
          <w:tcPr>
            <w:tcW w:w="395" w:type="pct"/>
          </w:tcPr>
          <w:p w14:paraId="46845E28" w14:textId="77777777" w:rsidR="002514F8" w:rsidRPr="00730DE4" w:rsidRDefault="002514F8" w:rsidP="000831CB">
            <w:pPr>
              <w:pStyle w:val="NoSpacing"/>
              <w:jc w:val="center"/>
              <w:rPr>
                <w:color w:val="FFFFFF" w:themeColor="background1"/>
              </w:rPr>
            </w:pPr>
            <w:r w:rsidRPr="00730DE4">
              <w:rPr>
                <w:color w:val="FFFFFF" w:themeColor="background1"/>
              </w:rPr>
              <w:t>Notes</w:t>
            </w:r>
          </w:p>
        </w:tc>
      </w:tr>
      <w:tr w:rsidR="000A65A9" w:rsidRPr="00730DE4" w14:paraId="5388D13D" w14:textId="77777777" w:rsidTr="001613BC">
        <w:trPr>
          <w:cnfStyle w:val="000000100000" w:firstRow="0" w:lastRow="0" w:firstColumn="0" w:lastColumn="0" w:oddVBand="0" w:evenVBand="0" w:oddHBand="1" w:evenHBand="0" w:firstRowFirstColumn="0" w:firstRowLastColumn="0" w:lastRowFirstColumn="0" w:lastRowLastColumn="0"/>
          <w:trHeight w:val="21"/>
        </w:trPr>
        <w:tc>
          <w:tcPr>
            <w:tcW w:w="1981" w:type="pct"/>
          </w:tcPr>
          <w:p w14:paraId="74016F15" w14:textId="77777777" w:rsidR="002514F8" w:rsidRPr="00730DE4" w:rsidRDefault="002514F8" w:rsidP="000B0ED0">
            <w:pPr>
              <w:pStyle w:val="NoSpacing"/>
            </w:pPr>
            <w:r w:rsidRPr="00730DE4">
              <w:t>Administrative cost to plan and develop the Queensland Transport and Roads Investment Program (QTRIP) per $1000 of the overall value of the program</w:t>
            </w:r>
          </w:p>
        </w:tc>
        <w:tc>
          <w:tcPr>
            <w:tcW w:w="437" w:type="pct"/>
          </w:tcPr>
          <w:p w14:paraId="760F5F34" w14:textId="77777777" w:rsidR="002514F8" w:rsidRPr="00730DE4" w:rsidRDefault="002514F8" w:rsidP="00BE710F">
            <w:pPr>
              <w:pStyle w:val="NoSpacing"/>
              <w:jc w:val="right"/>
            </w:pPr>
            <w:r w:rsidRPr="00730DE4">
              <w:t>N/A</w:t>
            </w:r>
          </w:p>
        </w:tc>
        <w:tc>
          <w:tcPr>
            <w:tcW w:w="437" w:type="pct"/>
          </w:tcPr>
          <w:p w14:paraId="46C4415B" w14:textId="77777777" w:rsidR="002514F8" w:rsidRPr="00730DE4" w:rsidRDefault="002514F8" w:rsidP="00BE710F">
            <w:pPr>
              <w:pStyle w:val="NoSpacing"/>
              <w:jc w:val="right"/>
            </w:pPr>
            <w:r w:rsidRPr="00730DE4">
              <w:t>N/A</w:t>
            </w:r>
          </w:p>
        </w:tc>
        <w:tc>
          <w:tcPr>
            <w:tcW w:w="437" w:type="pct"/>
          </w:tcPr>
          <w:p w14:paraId="720C1673" w14:textId="77777777" w:rsidR="002514F8" w:rsidRPr="00730DE4" w:rsidRDefault="002514F8" w:rsidP="00BE710F">
            <w:pPr>
              <w:pStyle w:val="NoSpacing"/>
              <w:jc w:val="right"/>
            </w:pPr>
            <w:r w:rsidRPr="00730DE4">
              <w:t>N/A</w:t>
            </w:r>
          </w:p>
        </w:tc>
        <w:tc>
          <w:tcPr>
            <w:tcW w:w="437" w:type="pct"/>
          </w:tcPr>
          <w:p w14:paraId="54C6242D" w14:textId="77777777" w:rsidR="002514F8" w:rsidRPr="00730DE4" w:rsidRDefault="002514F8" w:rsidP="00BE710F">
            <w:pPr>
              <w:pStyle w:val="NoSpacing"/>
              <w:jc w:val="right"/>
            </w:pPr>
            <w:r w:rsidRPr="00730DE4">
              <w:t>N/A</w:t>
            </w:r>
          </w:p>
        </w:tc>
        <w:tc>
          <w:tcPr>
            <w:tcW w:w="437" w:type="pct"/>
          </w:tcPr>
          <w:p w14:paraId="5066A97D" w14:textId="77777777" w:rsidR="002514F8" w:rsidRPr="00730DE4" w:rsidRDefault="002514F8" w:rsidP="00BE710F">
            <w:pPr>
              <w:pStyle w:val="NoSpacing"/>
              <w:jc w:val="right"/>
            </w:pPr>
            <w:r w:rsidRPr="00730DE4">
              <w:t>&lt;$10</w:t>
            </w:r>
          </w:p>
        </w:tc>
        <w:tc>
          <w:tcPr>
            <w:tcW w:w="438" w:type="pct"/>
          </w:tcPr>
          <w:p w14:paraId="0D8103C5" w14:textId="77777777" w:rsidR="002514F8" w:rsidRPr="00730DE4" w:rsidRDefault="002514F8" w:rsidP="00BE710F">
            <w:pPr>
              <w:pStyle w:val="NoSpacing"/>
              <w:jc w:val="right"/>
            </w:pPr>
            <w:r w:rsidRPr="00730DE4">
              <w:t>$3.39</w:t>
            </w:r>
          </w:p>
        </w:tc>
        <w:tc>
          <w:tcPr>
            <w:tcW w:w="395" w:type="pct"/>
          </w:tcPr>
          <w:p w14:paraId="297A4A80" w14:textId="77777777" w:rsidR="002514F8" w:rsidRPr="00730DE4" w:rsidRDefault="002514F8" w:rsidP="000831CB">
            <w:pPr>
              <w:pStyle w:val="NoSpacing"/>
              <w:jc w:val="center"/>
            </w:pPr>
            <w:r w:rsidRPr="00730DE4">
              <w:t>1</w:t>
            </w:r>
          </w:p>
        </w:tc>
      </w:tr>
    </w:tbl>
    <w:p w14:paraId="57C5D35F" w14:textId="180017DB" w:rsidR="002514F8" w:rsidRPr="00730DE4" w:rsidRDefault="002514F8" w:rsidP="00583174">
      <w:pPr>
        <w:pStyle w:val="Caption"/>
        <w:rPr>
          <w:lang w:val="en-US"/>
        </w:rPr>
      </w:pPr>
      <w:r w:rsidRPr="00730DE4">
        <w:rPr>
          <w:lang w:val="en-US"/>
        </w:rPr>
        <w:t>Notes:</w:t>
      </w:r>
      <w:r w:rsidR="00EA1647">
        <w:rPr>
          <w:lang w:val="en-US"/>
        </w:rPr>
        <w:br/>
      </w:r>
      <w:r w:rsidRPr="00730DE4">
        <w:rPr>
          <w:lang w:val="en-US"/>
        </w:rPr>
        <w:t>1. The variance between the 2023–24 Target/Estimate and 2023–24 Actual has been achieved by managing administration costs through efficiencies and savings.</w:t>
      </w:r>
    </w:p>
    <w:p w14:paraId="5B4ACC1C" w14:textId="77777777" w:rsidR="002514F8" w:rsidRPr="00730DE4" w:rsidRDefault="002514F8" w:rsidP="002B7001">
      <w:pPr>
        <w:pStyle w:val="Heading3"/>
        <w:rPr>
          <w:lang w:val="en-US"/>
        </w:rPr>
      </w:pPr>
      <w:bookmarkStart w:id="263" w:name="_Toc180487317"/>
      <w:bookmarkStart w:id="264" w:name="_Toc180490523"/>
      <w:bookmarkStart w:id="265" w:name="_Toc180491556"/>
      <w:r w:rsidRPr="00730DE4">
        <w:rPr>
          <w:lang w:val="en-US"/>
        </w:rPr>
        <w:t>Service area: Transport Infrastructure Management and Delivery</w:t>
      </w:r>
      <w:bookmarkEnd w:id="263"/>
      <w:bookmarkEnd w:id="264"/>
      <w:bookmarkEnd w:id="265"/>
    </w:p>
    <w:p w14:paraId="5F853DE3" w14:textId="77777777" w:rsidR="002514F8" w:rsidRPr="00730DE4" w:rsidRDefault="002514F8" w:rsidP="00583174">
      <w:pPr>
        <w:rPr>
          <w:lang w:val="en-US"/>
        </w:rPr>
      </w:pPr>
      <w:r w:rsidRPr="00730DE4">
        <w:rPr>
          <w:rStyle w:val="Strong"/>
        </w:rPr>
        <w:t>Service area objective:</w:t>
      </w:r>
      <w:r w:rsidRPr="00730DE4">
        <w:rPr>
          <w:lang w:val="en-US"/>
        </w:rPr>
        <w:t xml:space="preserve"> To maintain and operate an integrated transport network accessible to all.</w:t>
      </w:r>
    </w:p>
    <w:p w14:paraId="15A42700" w14:textId="77777777" w:rsidR="002514F8" w:rsidRPr="00730DE4" w:rsidRDefault="002514F8" w:rsidP="002B7001">
      <w:pPr>
        <w:pStyle w:val="Heading4"/>
        <w:rPr>
          <w:lang w:val="en-US"/>
        </w:rPr>
      </w:pPr>
      <w:bookmarkStart w:id="266" w:name="_Toc180487318"/>
      <w:bookmarkStart w:id="267" w:name="_Toc180490524"/>
      <w:bookmarkStart w:id="268" w:name="_Toc180491557"/>
      <w:r w:rsidRPr="00730DE4">
        <w:rPr>
          <w:lang w:val="en-US"/>
        </w:rPr>
        <w:t>Service: Transport Infrastructure Management</w:t>
      </w:r>
      <w:bookmarkEnd w:id="266"/>
      <w:bookmarkEnd w:id="267"/>
      <w:bookmarkEnd w:id="268"/>
      <w:r w:rsidRPr="00730DE4">
        <w:rPr>
          <w:lang w:val="en-US"/>
        </w:rPr>
        <w:t xml:space="preserve"> </w:t>
      </w:r>
    </w:p>
    <w:p w14:paraId="5578F64D" w14:textId="77777777" w:rsidR="002514F8" w:rsidRPr="00730DE4" w:rsidRDefault="002514F8" w:rsidP="00583174">
      <w:pPr>
        <w:pStyle w:val="FigureCaption"/>
        <w:rPr>
          <w:lang w:val="en-US"/>
        </w:rPr>
      </w:pPr>
      <w:r w:rsidRPr="00730DE4">
        <w:rPr>
          <w:lang w:val="en-US"/>
        </w:rPr>
        <w:t>Table 12: Transport Infrastructure Management effectiveness measures</w:t>
      </w:r>
    </w:p>
    <w:tbl>
      <w:tblPr>
        <w:tblStyle w:val="TMRDefault"/>
        <w:tblW w:w="5000" w:type="pct"/>
        <w:tblLook w:val="04A0" w:firstRow="1" w:lastRow="0" w:firstColumn="1" w:lastColumn="0" w:noHBand="0" w:noVBand="1"/>
      </w:tblPr>
      <w:tblGrid>
        <w:gridCol w:w="5551"/>
        <w:gridCol w:w="1223"/>
        <w:gridCol w:w="1223"/>
        <w:gridCol w:w="1223"/>
        <w:gridCol w:w="1223"/>
        <w:gridCol w:w="1223"/>
        <w:gridCol w:w="1223"/>
        <w:gridCol w:w="1103"/>
      </w:tblGrid>
      <w:tr w:rsidR="000A65A9" w:rsidRPr="00730DE4" w14:paraId="4E01656D" w14:textId="77777777" w:rsidTr="00C5487B">
        <w:trPr>
          <w:cnfStyle w:val="100000000000" w:firstRow="1" w:lastRow="0" w:firstColumn="0" w:lastColumn="0" w:oddVBand="0" w:evenVBand="0" w:oddHBand="0" w:evenHBand="0" w:firstRowFirstColumn="0" w:firstRowLastColumn="0" w:lastRowFirstColumn="0" w:lastRowLastColumn="0"/>
          <w:trHeight w:val="27"/>
          <w:tblHeader/>
        </w:trPr>
        <w:tc>
          <w:tcPr>
            <w:tcW w:w="1984" w:type="pct"/>
          </w:tcPr>
          <w:p w14:paraId="1C8DD6DE" w14:textId="77777777" w:rsidR="002514F8" w:rsidRPr="00730DE4" w:rsidRDefault="002514F8" w:rsidP="000B0ED0">
            <w:pPr>
              <w:pStyle w:val="NoSpacing"/>
              <w:rPr>
                <w:color w:val="FFFFFF" w:themeColor="background1"/>
              </w:rPr>
            </w:pPr>
            <w:r w:rsidRPr="00730DE4">
              <w:rPr>
                <w:color w:val="FFFFFF" w:themeColor="background1"/>
              </w:rPr>
              <w:t>Service standards</w:t>
            </w:r>
          </w:p>
        </w:tc>
        <w:tc>
          <w:tcPr>
            <w:tcW w:w="437" w:type="pct"/>
          </w:tcPr>
          <w:p w14:paraId="0878D5E6" w14:textId="77777777" w:rsidR="002514F8" w:rsidRPr="00730DE4" w:rsidRDefault="002514F8" w:rsidP="00BE710F">
            <w:pPr>
              <w:pStyle w:val="NoSpacing"/>
              <w:jc w:val="right"/>
              <w:rPr>
                <w:color w:val="FFFFFF" w:themeColor="background1"/>
              </w:rPr>
            </w:pPr>
            <w:r w:rsidRPr="00730DE4">
              <w:rPr>
                <w:color w:val="FFFFFF" w:themeColor="background1"/>
              </w:rPr>
              <w:t>2019–20 Actual</w:t>
            </w:r>
          </w:p>
        </w:tc>
        <w:tc>
          <w:tcPr>
            <w:tcW w:w="437" w:type="pct"/>
          </w:tcPr>
          <w:p w14:paraId="1EB28477" w14:textId="77777777" w:rsidR="002514F8" w:rsidRPr="00730DE4" w:rsidRDefault="002514F8" w:rsidP="00BE710F">
            <w:pPr>
              <w:pStyle w:val="NoSpacing"/>
              <w:jc w:val="right"/>
              <w:rPr>
                <w:color w:val="FFFFFF" w:themeColor="background1"/>
              </w:rPr>
            </w:pPr>
            <w:r w:rsidRPr="00730DE4">
              <w:rPr>
                <w:color w:val="FFFFFF" w:themeColor="background1"/>
              </w:rPr>
              <w:t>2020–21 Actual</w:t>
            </w:r>
          </w:p>
        </w:tc>
        <w:tc>
          <w:tcPr>
            <w:tcW w:w="437" w:type="pct"/>
          </w:tcPr>
          <w:p w14:paraId="41908DA4" w14:textId="77777777" w:rsidR="002514F8" w:rsidRPr="00730DE4" w:rsidRDefault="002514F8" w:rsidP="00BE710F">
            <w:pPr>
              <w:pStyle w:val="NoSpacing"/>
              <w:jc w:val="right"/>
              <w:rPr>
                <w:color w:val="FFFFFF" w:themeColor="background1"/>
              </w:rPr>
            </w:pPr>
            <w:r w:rsidRPr="00730DE4">
              <w:rPr>
                <w:color w:val="FFFFFF" w:themeColor="background1"/>
              </w:rPr>
              <w:t>2021–22 Actual</w:t>
            </w:r>
          </w:p>
        </w:tc>
        <w:tc>
          <w:tcPr>
            <w:tcW w:w="437" w:type="pct"/>
          </w:tcPr>
          <w:p w14:paraId="6196A032" w14:textId="77777777" w:rsidR="002514F8" w:rsidRPr="00730DE4" w:rsidRDefault="002514F8" w:rsidP="00BE710F">
            <w:pPr>
              <w:pStyle w:val="NoSpacing"/>
              <w:jc w:val="right"/>
              <w:rPr>
                <w:color w:val="FFFFFF" w:themeColor="background1"/>
              </w:rPr>
            </w:pPr>
            <w:r w:rsidRPr="00730DE4">
              <w:rPr>
                <w:color w:val="FFFFFF" w:themeColor="background1"/>
              </w:rPr>
              <w:t>2022–23 Actual</w:t>
            </w:r>
          </w:p>
        </w:tc>
        <w:tc>
          <w:tcPr>
            <w:tcW w:w="437" w:type="pct"/>
          </w:tcPr>
          <w:p w14:paraId="6A8C9346" w14:textId="77777777" w:rsidR="002514F8" w:rsidRPr="00730DE4" w:rsidRDefault="002514F8" w:rsidP="00BE710F">
            <w:pPr>
              <w:pStyle w:val="NoSpacing"/>
              <w:jc w:val="right"/>
              <w:rPr>
                <w:color w:val="FFFFFF" w:themeColor="background1"/>
              </w:rPr>
            </w:pPr>
            <w:r w:rsidRPr="00730DE4">
              <w:rPr>
                <w:color w:val="FFFFFF" w:themeColor="background1"/>
              </w:rPr>
              <w:t>2023–24 Target / Estimate</w:t>
            </w:r>
          </w:p>
        </w:tc>
        <w:tc>
          <w:tcPr>
            <w:tcW w:w="437" w:type="pct"/>
          </w:tcPr>
          <w:p w14:paraId="2DFAE0F6" w14:textId="77777777" w:rsidR="002514F8" w:rsidRPr="00730DE4" w:rsidRDefault="002514F8" w:rsidP="00BE710F">
            <w:pPr>
              <w:pStyle w:val="NoSpacing"/>
              <w:jc w:val="right"/>
              <w:rPr>
                <w:color w:val="FFFFFF" w:themeColor="background1"/>
              </w:rPr>
            </w:pPr>
            <w:r w:rsidRPr="00730DE4">
              <w:rPr>
                <w:color w:val="FFFFFF" w:themeColor="background1"/>
              </w:rPr>
              <w:t>2023–24 Actual</w:t>
            </w:r>
          </w:p>
        </w:tc>
        <w:tc>
          <w:tcPr>
            <w:tcW w:w="394" w:type="pct"/>
          </w:tcPr>
          <w:p w14:paraId="0C9512DD" w14:textId="77777777" w:rsidR="002514F8" w:rsidRPr="00730DE4" w:rsidRDefault="002514F8" w:rsidP="000831CB">
            <w:pPr>
              <w:pStyle w:val="NoSpacing"/>
              <w:jc w:val="center"/>
              <w:rPr>
                <w:color w:val="FFFFFF" w:themeColor="background1"/>
              </w:rPr>
            </w:pPr>
            <w:r w:rsidRPr="00730DE4">
              <w:rPr>
                <w:color w:val="FFFFFF" w:themeColor="background1"/>
              </w:rPr>
              <w:t>Notes</w:t>
            </w:r>
          </w:p>
        </w:tc>
      </w:tr>
      <w:tr w:rsidR="000A65A9" w:rsidRPr="00730DE4" w14:paraId="0A53A105" w14:textId="77777777" w:rsidTr="00C5487B">
        <w:trPr>
          <w:cnfStyle w:val="000000100000" w:firstRow="0" w:lastRow="0" w:firstColumn="0" w:lastColumn="0" w:oddVBand="0" w:evenVBand="0" w:oddHBand="1" w:evenHBand="0" w:firstRowFirstColumn="0" w:firstRowLastColumn="0" w:lastRowFirstColumn="0" w:lastRowLastColumn="0"/>
          <w:trHeight w:val="17"/>
        </w:trPr>
        <w:tc>
          <w:tcPr>
            <w:tcW w:w="1984" w:type="pct"/>
          </w:tcPr>
          <w:p w14:paraId="269CE8D5" w14:textId="77777777" w:rsidR="002514F8" w:rsidRPr="00730DE4" w:rsidRDefault="002514F8" w:rsidP="000B0ED0">
            <w:pPr>
              <w:pStyle w:val="NoSpacing"/>
            </w:pPr>
            <w:r w:rsidRPr="00730DE4">
              <w:t>South East Queensland road network efficiency—Average travel time (minutes) per 10 kilometres—AM peak</w:t>
            </w:r>
          </w:p>
        </w:tc>
        <w:tc>
          <w:tcPr>
            <w:tcW w:w="437" w:type="pct"/>
          </w:tcPr>
          <w:p w14:paraId="6C9CEBDF" w14:textId="77777777" w:rsidR="002514F8" w:rsidRPr="00730DE4" w:rsidRDefault="002514F8" w:rsidP="00BE710F">
            <w:pPr>
              <w:pStyle w:val="NoSpacing"/>
              <w:jc w:val="right"/>
            </w:pPr>
            <w:r w:rsidRPr="00730DE4">
              <w:t>11.0 min</w:t>
            </w:r>
          </w:p>
        </w:tc>
        <w:tc>
          <w:tcPr>
            <w:tcW w:w="437" w:type="pct"/>
          </w:tcPr>
          <w:p w14:paraId="5B11C890" w14:textId="77777777" w:rsidR="002514F8" w:rsidRPr="00730DE4" w:rsidRDefault="002514F8" w:rsidP="00BE710F">
            <w:pPr>
              <w:pStyle w:val="NoSpacing"/>
              <w:jc w:val="right"/>
            </w:pPr>
            <w:r w:rsidRPr="00730DE4">
              <w:t>9.1 min</w:t>
            </w:r>
          </w:p>
        </w:tc>
        <w:tc>
          <w:tcPr>
            <w:tcW w:w="437" w:type="pct"/>
          </w:tcPr>
          <w:p w14:paraId="54483492" w14:textId="77777777" w:rsidR="002514F8" w:rsidRPr="00730DE4" w:rsidRDefault="002514F8" w:rsidP="00BE710F">
            <w:pPr>
              <w:pStyle w:val="NoSpacing"/>
              <w:jc w:val="right"/>
            </w:pPr>
            <w:r w:rsidRPr="00730DE4">
              <w:t>9.2 min</w:t>
            </w:r>
          </w:p>
        </w:tc>
        <w:tc>
          <w:tcPr>
            <w:tcW w:w="437" w:type="pct"/>
          </w:tcPr>
          <w:p w14:paraId="7115B355" w14:textId="77777777" w:rsidR="002514F8" w:rsidRPr="00730DE4" w:rsidRDefault="002514F8" w:rsidP="00BE710F">
            <w:pPr>
              <w:pStyle w:val="NoSpacing"/>
              <w:jc w:val="right"/>
            </w:pPr>
            <w:r w:rsidRPr="00730DE4">
              <w:t>9.6 min</w:t>
            </w:r>
          </w:p>
        </w:tc>
        <w:tc>
          <w:tcPr>
            <w:tcW w:w="437" w:type="pct"/>
          </w:tcPr>
          <w:p w14:paraId="688DAC1A" w14:textId="77777777" w:rsidR="002514F8" w:rsidRPr="00730DE4" w:rsidRDefault="002514F8" w:rsidP="00BE710F">
            <w:pPr>
              <w:pStyle w:val="NoSpacing"/>
              <w:jc w:val="right"/>
            </w:pPr>
            <w:r w:rsidRPr="00730DE4">
              <w:t>9.5 min</w:t>
            </w:r>
          </w:p>
        </w:tc>
        <w:tc>
          <w:tcPr>
            <w:tcW w:w="437" w:type="pct"/>
          </w:tcPr>
          <w:p w14:paraId="1E1054C3" w14:textId="77777777" w:rsidR="002514F8" w:rsidRPr="00730DE4" w:rsidRDefault="002514F8" w:rsidP="00BE710F">
            <w:pPr>
              <w:pStyle w:val="NoSpacing"/>
              <w:jc w:val="right"/>
            </w:pPr>
            <w:r w:rsidRPr="00730DE4">
              <w:t>9.8 min</w:t>
            </w:r>
          </w:p>
        </w:tc>
        <w:tc>
          <w:tcPr>
            <w:tcW w:w="394" w:type="pct"/>
          </w:tcPr>
          <w:p w14:paraId="73908538" w14:textId="77777777" w:rsidR="002514F8" w:rsidRPr="00730DE4" w:rsidRDefault="002514F8" w:rsidP="000831CB">
            <w:pPr>
              <w:pStyle w:val="NoSpacing"/>
              <w:jc w:val="center"/>
            </w:pPr>
            <w:r w:rsidRPr="00730DE4">
              <w:t>1</w:t>
            </w:r>
          </w:p>
        </w:tc>
      </w:tr>
      <w:tr w:rsidR="00151D00" w:rsidRPr="00730DE4" w14:paraId="45E92592" w14:textId="77777777" w:rsidTr="00C5487B">
        <w:trPr>
          <w:trHeight w:val="21"/>
        </w:trPr>
        <w:tc>
          <w:tcPr>
            <w:tcW w:w="1984" w:type="pct"/>
          </w:tcPr>
          <w:p w14:paraId="4554F10B" w14:textId="77777777" w:rsidR="002514F8" w:rsidRPr="00730DE4" w:rsidRDefault="002514F8" w:rsidP="000B0ED0">
            <w:pPr>
              <w:pStyle w:val="NoSpacing"/>
            </w:pPr>
            <w:r w:rsidRPr="00730DE4">
              <w:t>South East Queensland road network efficiency—Average travel time (minutes) per 10 kilometres—Off peak</w:t>
            </w:r>
          </w:p>
        </w:tc>
        <w:tc>
          <w:tcPr>
            <w:tcW w:w="437" w:type="pct"/>
          </w:tcPr>
          <w:p w14:paraId="66AFFD9F" w14:textId="77777777" w:rsidR="002514F8" w:rsidRPr="00730DE4" w:rsidRDefault="002514F8" w:rsidP="00BE710F">
            <w:pPr>
              <w:pStyle w:val="NoSpacing"/>
              <w:jc w:val="right"/>
            </w:pPr>
            <w:r w:rsidRPr="00730DE4">
              <w:t>10.3 min</w:t>
            </w:r>
          </w:p>
        </w:tc>
        <w:tc>
          <w:tcPr>
            <w:tcW w:w="437" w:type="pct"/>
          </w:tcPr>
          <w:p w14:paraId="08A1B9AC" w14:textId="77777777" w:rsidR="002514F8" w:rsidRPr="00730DE4" w:rsidRDefault="002514F8" w:rsidP="00BE710F">
            <w:pPr>
              <w:pStyle w:val="NoSpacing"/>
              <w:jc w:val="right"/>
            </w:pPr>
            <w:r w:rsidRPr="00730DE4">
              <w:t>9.1 min</w:t>
            </w:r>
          </w:p>
        </w:tc>
        <w:tc>
          <w:tcPr>
            <w:tcW w:w="437" w:type="pct"/>
          </w:tcPr>
          <w:p w14:paraId="3F5CA718" w14:textId="77777777" w:rsidR="002514F8" w:rsidRPr="00730DE4" w:rsidRDefault="002514F8" w:rsidP="00BE710F">
            <w:pPr>
              <w:pStyle w:val="NoSpacing"/>
              <w:jc w:val="right"/>
            </w:pPr>
            <w:r w:rsidRPr="00730DE4">
              <w:t>9.1 min</w:t>
            </w:r>
          </w:p>
        </w:tc>
        <w:tc>
          <w:tcPr>
            <w:tcW w:w="437" w:type="pct"/>
          </w:tcPr>
          <w:p w14:paraId="6083129E" w14:textId="77777777" w:rsidR="002514F8" w:rsidRPr="00730DE4" w:rsidRDefault="002514F8" w:rsidP="00BE710F">
            <w:pPr>
              <w:pStyle w:val="NoSpacing"/>
              <w:jc w:val="right"/>
            </w:pPr>
            <w:r w:rsidRPr="00730DE4">
              <w:t>9.3 min</w:t>
            </w:r>
          </w:p>
        </w:tc>
        <w:tc>
          <w:tcPr>
            <w:tcW w:w="437" w:type="pct"/>
          </w:tcPr>
          <w:p w14:paraId="1F6E1B81" w14:textId="77777777" w:rsidR="002514F8" w:rsidRPr="00730DE4" w:rsidRDefault="002514F8" w:rsidP="00BE710F">
            <w:pPr>
              <w:pStyle w:val="NoSpacing"/>
              <w:jc w:val="right"/>
            </w:pPr>
            <w:r w:rsidRPr="00730DE4">
              <w:t>9.2 min</w:t>
            </w:r>
          </w:p>
        </w:tc>
        <w:tc>
          <w:tcPr>
            <w:tcW w:w="437" w:type="pct"/>
          </w:tcPr>
          <w:p w14:paraId="5E21F11D" w14:textId="77777777" w:rsidR="002514F8" w:rsidRPr="00730DE4" w:rsidRDefault="002514F8" w:rsidP="00BE710F">
            <w:pPr>
              <w:pStyle w:val="NoSpacing"/>
              <w:jc w:val="right"/>
            </w:pPr>
            <w:r w:rsidRPr="00730DE4">
              <w:t>9.5 min</w:t>
            </w:r>
          </w:p>
        </w:tc>
        <w:tc>
          <w:tcPr>
            <w:tcW w:w="394" w:type="pct"/>
          </w:tcPr>
          <w:p w14:paraId="572BC9CA" w14:textId="77777777" w:rsidR="002514F8" w:rsidRPr="00730DE4" w:rsidRDefault="002514F8" w:rsidP="000831CB">
            <w:pPr>
              <w:pStyle w:val="NoSpacing"/>
              <w:jc w:val="center"/>
            </w:pPr>
            <w:r w:rsidRPr="00730DE4">
              <w:t>1</w:t>
            </w:r>
          </w:p>
        </w:tc>
      </w:tr>
      <w:tr w:rsidR="000A65A9" w:rsidRPr="00730DE4" w14:paraId="1C64A6F5" w14:textId="77777777" w:rsidTr="00C5487B">
        <w:trPr>
          <w:cnfStyle w:val="000000100000" w:firstRow="0" w:lastRow="0" w:firstColumn="0" w:lastColumn="0" w:oddVBand="0" w:evenVBand="0" w:oddHBand="1" w:evenHBand="0" w:firstRowFirstColumn="0" w:firstRowLastColumn="0" w:lastRowFirstColumn="0" w:lastRowLastColumn="0"/>
          <w:trHeight w:val="21"/>
        </w:trPr>
        <w:tc>
          <w:tcPr>
            <w:tcW w:w="1984" w:type="pct"/>
          </w:tcPr>
          <w:p w14:paraId="1C532E0E" w14:textId="77777777" w:rsidR="002514F8" w:rsidRPr="00730DE4" w:rsidRDefault="002514F8" w:rsidP="000B0ED0">
            <w:pPr>
              <w:pStyle w:val="NoSpacing"/>
            </w:pPr>
            <w:r w:rsidRPr="00730DE4">
              <w:t>South East Queensland road network efficiency—Average travel time (minutes) per 10 kilometres—PM peak</w:t>
            </w:r>
          </w:p>
        </w:tc>
        <w:tc>
          <w:tcPr>
            <w:tcW w:w="437" w:type="pct"/>
          </w:tcPr>
          <w:p w14:paraId="3E1A84A9" w14:textId="77777777" w:rsidR="002514F8" w:rsidRPr="00730DE4" w:rsidRDefault="002514F8" w:rsidP="00BE710F">
            <w:pPr>
              <w:pStyle w:val="NoSpacing"/>
              <w:jc w:val="right"/>
            </w:pPr>
            <w:r w:rsidRPr="00730DE4">
              <w:t>11.6 min</w:t>
            </w:r>
          </w:p>
        </w:tc>
        <w:tc>
          <w:tcPr>
            <w:tcW w:w="437" w:type="pct"/>
          </w:tcPr>
          <w:p w14:paraId="1A601C5E" w14:textId="77777777" w:rsidR="002514F8" w:rsidRPr="00730DE4" w:rsidRDefault="002514F8" w:rsidP="00BE710F">
            <w:pPr>
              <w:pStyle w:val="NoSpacing"/>
              <w:jc w:val="right"/>
            </w:pPr>
            <w:r w:rsidRPr="00730DE4">
              <w:t>10.1 min</w:t>
            </w:r>
          </w:p>
        </w:tc>
        <w:tc>
          <w:tcPr>
            <w:tcW w:w="437" w:type="pct"/>
          </w:tcPr>
          <w:p w14:paraId="742CF4DF" w14:textId="77777777" w:rsidR="002514F8" w:rsidRPr="00730DE4" w:rsidRDefault="002514F8" w:rsidP="00BE710F">
            <w:pPr>
              <w:pStyle w:val="NoSpacing"/>
              <w:jc w:val="right"/>
            </w:pPr>
            <w:r w:rsidRPr="00730DE4">
              <w:t>10.1 min</w:t>
            </w:r>
          </w:p>
        </w:tc>
        <w:tc>
          <w:tcPr>
            <w:tcW w:w="437" w:type="pct"/>
          </w:tcPr>
          <w:p w14:paraId="7BBB0E16" w14:textId="77777777" w:rsidR="002514F8" w:rsidRPr="00730DE4" w:rsidRDefault="002514F8" w:rsidP="00BE710F">
            <w:pPr>
              <w:pStyle w:val="NoSpacing"/>
              <w:jc w:val="right"/>
            </w:pPr>
            <w:r w:rsidRPr="00730DE4">
              <w:t>10.6 min</w:t>
            </w:r>
          </w:p>
        </w:tc>
        <w:tc>
          <w:tcPr>
            <w:tcW w:w="437" w:type="pct"/>
          </w:tcPr>
          <w:p w14:paraId="52186497" w14:textId="77777777" w:rsidR="002514F8" w:rsidRPr="00730DE4" w:rsidRDefault="002514F8" w:rsidP="00BE710F">
            <w:pPr>
              <w:pStyle w:val="NoSpacing"/>
              <w:jc w:val="right"/>
            </w:pPr>
            <w:r w:rsidRPr="00730DE4">
              <w:t>10.0 min</w:t>
            </w:r>
          </w:p>
        </w:tc>
        <w:tc>
          <w:tcPr>
            <w:tcW w:w="437" w:type="pct"/>
          </w:tcPr>
          <w:p w14:paraId="0CD7E5C7" w14:textId="77777777" w:rsidR="002514F8" w:rsidRPr="00730DE4" w:rsidRDefault="002514F8" w:rsidP="00BE710F">
            <w:pPr>
              <w:pStyle w:val="NoSpacing"/>
              <w:jc w:val="right"/>
            </w:pPr>
            <w:r w:rsidRPr="00730DE4">
              <w:t>10.9 min</w:t>
            </w:r>
          </w:p>
        </w:tc>
        <w:tc>
          <w:tcPr>
            <w:tcW w:w="394" w:type="pct"/>
          </w:tcPr>
          <w:p w14:paraId="5196AC81" w14:textId="77777777" w:rsidR="002514F8" w:rsidRPr="00730DE4" w:rsidRDefault="002514F8" w:rsidP="000831CB">
            <w:pPr>
              <w:pStyle w:val="NoSpacing"/>
              <w:jc w:val="center"/>
            </w:pPr>
            <w:r w:rsidRPr="00730DE4">
              <w:t>1</w:t>
            </w:r>
          </w:p>
        </w:tc>
      </w:tr>
      <w:tr w:rsidR="00151D00" w:rsidRPr="00730DE4" w14:paraId="406E9ECC" w14:textId="77777777" w:rsidTr="00C5487B">
        <w:trPr>
          <w:trHeight w:val="21"/>
        </w:trPr>
        <w:tc>
          <w:tcPr>
            <w:tcW w:w="1984" w:type="pct"/>
          </w:tcPr>
          <w:p w14:paraId="5C65D387" w14:textId="77777777" w:rsidR="002514F8" w:rsidRPr="00730DE4" w:rsidRDefault="002514F8" w:rsidP="006545E5">
            <w:pPr>
              <w:pStyle w:val="NoSpacing"/>
            </w:pPr>
            <w:r w:rsidRPr="00730DE4">
              <w:rPr>
                <w:lang w:val="en-US"/>
              </w:rPr>
              <w:t>South East Queensland road network reliability—Percentage of the road network with reliable travel times—AM peak</w:t>
            </w:r>
          </w:p>
        </w:tc>
        <w:tc>
          <w:tcPr>
            <w:tcW w:w="437" w:type="pct"/>
          </w:tcPr>
          <w:p w14:paraId="4970C9AB" w14:textId="77777777" w:rsidR="002514F8" w:rsidRPr="00730DE4" w:rsidRDefault="002514F8" w:rsidP="006545E5">
            <w:pPr>
              <w:pStyle w:val="NoSpacing"/>
              <w:jc w:val="right"/>
            </w:pPr>
            <w:r w:rsidRPr="00730DE4">
              <w:t>82%</w:t>
            </w:r>
          </w:p>
        </w:tc>
        <w:tc>
          <w:tcPr>
            <w:tcW w:w="437" w:type="pct"/>
          </w:tcPr>
          <w:p w14:paraId="06F586FB" w14:textId="77777777" w:rsidR="002514F8" w:rsidRPr="00730DE4" w:rsidRDefault="002514F8" w:rsidP="006545E5">
            <w:pPr>
              <w:pStyle w:val="NoSpacing"/>
              <w:jc w:val="right"/>
            </w:pPr>
            <w:r w:rsidRPr="00730DE4">
              <w:t>86%</w:t>
            </w:r>
          </w:p>
        </w:tc>
        <w:tc>
          <w:tcPr>
            <w:tcW w:w="437" w:type="pct"/>
          </w:tcPr>
          <w:p w14:paraId="14480734" w14:textId="77777777" w:rsidR="002514F8" w:rsidRPr="00730DE4" w:rsidRDefault="002514F8" w:rsidP="006545E5">
            <w:pPr>
              <w:pStyle w:val="NoSpacing"/>
              <w:jc w:val="right"/>
            </w:pPr>
            <w:r w:rsidRPr="00730DE4">
              <w:t>84%</w:t>
            </w:r>
          </w:p>
        </w:tc>
        <w:tc>
          <w:tcPr>
            <w:tcW w:w="437" w:type="pct"/>
          </w:tcPr>
          <w:p w14:paraId="2A491C53" w14:textId="77777777" w:rsidR="002514F8" w:rsidRPr="00730DE4" w:rsidRDefault="002514F8" w:rsidP="006545E5">
            <w:pPr>
              <w:pStyle w:val="NoSpacing"/>
              <w:jc w:val="right"/>
            </w:pPr>
            <w:r w:rsidRPr="00730DE4">
              <w:t>86%</w:t>
            </w:r>
          </w:p>
        </w:tc>
        <w:tc>
          <w:tcPr>
            <w:tcW w:w="437" w:type="pct"/>
          </w:tcPr>
          <w:p w14:paraId="51D06C1A" w14:textId="77777777" w:rsidR="002514F8" w:rsidRPr="00730DE4" w:rsidRDefault="002514F8" w:rsidP="006545E5">
            <w:pPr>
              <w:pStyle w:val="NoSpacing"/>
              <w:jc w:val="right"/>
            </w:pPr>
            <w:r w:rsidRPr="00730DE4">
              <w:t>86%</w:t>
            </w:r>
          </w:p>
        </w:tc>
        <w:tc>
          <w:tcPr>
            <w:tcW w:w="437" w:type="pct"/>
          </w:tcPr>
          <w:p w14:paraId="43CFF404" w14:textId="77777777" w:rsidR="002514F8" w:rsidRPr="00730DE4" w:rsidRDefault="002514F8" w:rsidP="006545E5">
            <w:pPr>
              <w:pStyle w:val="NoSpacing"/>
              <w:jc w:val="right"/>
            </w:pPr>
            <w:r w:rsidRPr="00730DE4">
              <w:t>84%</w:t>
            </w:r>
          </w:p>
        </w:tc>
        <w:tc>
          <w:tcPr>
            <w:tcW w:w="394" w:type="pct"/>
          </w:tcPr>
          <w:p w14:paraId="1BD11DBD" w14:textId="77777777" w:rsidR="002514F8" w:rsidRPr="00730DE4" w:rsidRDefault="002514F8" w:rsidP="006545E5">
            <w:pPr>
              <w:pStyle w:val="NoSpacing"/>
              <w:jc w:val="center"/>
            </w:pPr>
          </w:p>
        </w:tc>
      </w:tr>
      <w:tr w:rsidR="000A65A9" w:rsidRPr="00730DE4" w14:paraId="5173706F" w14:textId="77777777" w:rsidTr="00C5487B">
        <w:trPr>
          <w:cnfStyle w:val="000000100000" w:firstRow="0" w:lastRow="0" w:firstColumn="0" w:lastColumn="0" w:oddVBand="0" w:evenVBand="0" w:oddHBand="1" w:evenHBand="0" w:firstRowFirstColumn="0" w:firstRowLastColumn="0" w:lastRowFirstColumn="0" w:lastRowLastColumn="0"/>
          <w:trHeight w:val="21"/>
        </w:trPr>
        <w:tc>
          <w:tcPr>
            <w:tcW w:w="1984" w:type="pct"/>
          </w:tcPr>
          <w:p w14:paraId="6ECEC85B" w14:textId="77777777" w:rsidR="002514F8" w:rsidRPr="00730DE4" w:rsidRDefault="002514F8" w:rsidP="006545E5">
            <w:pPr>
              <w:pStyle w:val="NoSpacing"/>
              <w:rPr>
                <w:lang w:val="en-US"/>
              </w:rPr>
            </w:pPr>
            <w:r w:rsidRPr="00730DE4">
              <w:rPr>
                <w:lang w:val="en-US"/>
              </w:rPr>
              <w:t>South East Queensland road network reliability—Percentage of the road network with reliable travel times—Off peak</w:t>
            </w:r>
          </w:p>
        </w:tc>
        <w:tc>
          <w:tcPr>
            <w:tcW w:w="437" w:type="pct"/>
          </w:tcPr>
          <w:p w14:paraId="0DE93982" w14:textId="77777777" w:rsidR="002514F8" w:rsidRPr="00730DE4" w:rsidRDefault="002514F8" w:rsidP="006545E5">
            <w:pPr>
              <w:pStyle w:val="NoSpacing"/>
              <w:jc w:val="right"/>
            </w:pPr>
            <w:r w:rsidRPr="00730DE4">
              <w:t>90%</w:t>
            </w:r>
          </w:p>
        </w:tc>
        <w:tc>
          <w:tcPr>
            <w:tcW w:w="437" w:type="pct"/>
          </w:tcPr>
          <w:p w14:paraId="474FD9D0" w14:textId="77777777" w:rsidR="002514F8" w:rsidRPr="00730DE4" w:rsidRDefault="002514F8" w:rsidP="006545E5">
            <w:pPr>
              <w:pStyle w:val="NoSpacing"/>
              <w:jc w:val="right"/>
            </w:pPr>
            <w:r w:rsidRPr="00730DE4">
              <w:t>88%</w:t>
            </w:r>
          </w:p>
        </w:tc>
        <w:tc>
          <w:tcPr>
            <w:tcW w:w="437" w:type="pct"/>
          </w:tcPr>
          <w:p w14:paraId="5D63D322" w14:textId="77777777" w:rsidR="002514F8" w:rsidRPr="00730DE4" w:rsidRDefault="002514F8" w:rsidP="006545E5">
            <w:pPr>
              <w:pStyle w:val="NoSpacing"/>
              <w:jc w:val="right"/>
            </w:pPr>
            <w:r w:rsidRPr="00730DE4">
              <w:t>89%</w:t>
            </w:r>
          </w:p>
        </w:tc>
        <w:tc>
          <w:tcPr>
            <w:tcW w:w="437" w:type="pct"/>
          </w:tcPr>
          <w:p w14:paraId="59A79FA2" w14:textId="77777777" w:rsidR="002514F8" w:rsidRPr="00730DE4" w:rsidRDefault="002514F8" w:rsidP="006545E5">
            <w:pPr>
              <w:pStyle w:val="NoSpacing"/>
              <w:jc w:val="right"/>
            </w:pPr>
            <w:r w:rsidRPr="00730DE4">
              <w:t>89%</w:t>
            </w:r>
          </w:p>
        </w:tc>
        <w:tc>
          <w:tcPr>
            <w:tcW w:w="437" w:type="pct"/>
          </w:tcPr>
          <w:p w14:paraId="0EA3F35B" w14:textId="77777777" w:rsidR="002514F8" w:rsidRPr="00730DE4" w:rsidRDefault="002514F8" w:rsidP="006545E5">
            <w:pPr>
              <w:pStyle w:val="NoSpacing"/>
              <w:jc w:val="right"/>
            </w:pPr>
            <w:r w:rsidRPr="00730DE4">
              <w:t>90%</w:t>
            </w:r>
          </w:p>
        </w:tc>
        <w:tc>
          <w:tcPr>
            <w:tcW w:w="437" w:type="pct"/>
          </w:tcPr>
          <w:p w14:paraId="42BB93F2" w14:textId="77777777" w:rsidR="002514F8" w:rsidRPr="00730DE4" w:rsidRDefault="002514F8" w:rsidP="006545E5">
            <w:pPr>
              <w:pStyle w:val="NoSpacing"/>
              <w:jc w:val="right"/>
            </w:pPr>
            <w:r w:rsidRPr="00730DE4">
              <w:t>87%</w:t>
            </w:r>
          </w:p>
        </w:tc>
        <w:tc>
          <w:tcPr>
            <w:tcW w:w="394" w:type="pct"/>
          </w:tcPr>
          <w:p w14:paraId="312772FF" w14:textId="77777777" w:rsidR="002514F8" w:rsidRPr="00730DE4" w:rsidRDefault="002514F8" w:rsidP="006545E5">
            <w:pPr>
              <w:pStyle w:val="NoSpacing"/>
              <w:jc w:val="center"/>
            </w:pPr>
          </w:p>
        </w:tc>
      </w:tr>
      <w:tr w:rsidR="00151D00" w:rsidRPr="00730DE4" w14:paraId="07EA8A8B" w14:textId="77777777" w:rsidTr="00C5487B">
        <w:trPr>
          <w:trHeight w:val="21"/>
        </w:trPr>
        <w:tc>
          <w:tcPr>
            <w:tcW w:w="1984" w:type="pct"/>
          </w:tcPr>
          <w:p w14:paraId="54AD3D52" w14:textId="77777777" w:rsidR="002514F8" w:rsidRPr="00730DE4" w:rsidRDefault="002514F8" w:rsidP="006545E5">
            <w:pPr>
              <w:pStyle w:val="NoSpacing"/>
              <w:rPr>
                <w:lang w:val="en-US"/>
              </w:rPr>
            </w:pPr>
            <w:r w:rsidRPr="00730DE4">
              <w:rPr>
                <w:lang w:val="en-US"/>
              </w:rPr>
              <w:t>South East Queensland road network reliability—Percentage of the road network with reliable travel times—PM peak</w:t>
            </w:r>
          </w:p>
        </w:tc>
        <w:tc>
          <w:tcPr>
            <w:tcW w:w="437" w:type="pct"/>
          </w:tcPr>
          <w:p w14:paraId="15165B51" w14:textId="77777777" w:rsidR="002514F8" w:rsidRPr="00730DE4" w:rsidRDefault="002514F8" w:rsidP="006545E5">
            <w:pPr>
              <w:pStyle w:val="NoSpacing"/>
              <w:jc w:val="right"/>
            </w:pPr>
            <w:r w:rsidRPr="00730DE4">
              <w:t>75%</w:t>
            </w:r>
          </w:p>
        </w:tc>
        <w:tc>
          <w:tcPr>
            <w:tcW w:w="437" w:type="pct"/>
          </w:tcPr>
          <w:p w14:paraId="15B9F4D1" w14:textId="77777777" w:rsidR="002514F8" w:rsidRPr="00730DE4" w:rsidRDefault="002514F8" w:rsidP="006545E5">
            <w:pPr>
              <w:pStyle w:val="NoSpacing"/>
              <w:jc w:val="right"/>
            </w:pPr>
            <w:r w:rsidRPr="00730DE4">
              <w:t>76%</w:t>
            </w:r>
          </w:p>
        </w:tc>
        <w:tc>
          <w:tcPr>
            <w:tcW w:w="437" w:type="pct"/>
          </w:tcPr>
          <w:p w14:paraId="19F1A6DB" w14:textId="77777777" w:rsidR="002514F8" w:rsidRPr="00730DE4" w:rsidRDefault="002514F8" w:rsidP="006545E5">
            <w:pPr>
              <w:pStyle w:val="NoSpacing"/>
              <w:jc w:val="right"/>
            </w:pPr>
            <w:r w:rsidRPr="00730DE4">
              <w:t>76%</w:t>
            </w:r>
          </w:p>
        </w:tc>
        <w:tc>
          <w:tcPr>
            <w:tcW w:w="437" w:type="pct"/>
          </w:tcPr>
          <w:p w14:paraId="669AEA7C" w14:textId="77777777" w:rsidR="002514F8" w:rsidRPr="00730DE4" w:rsidRDefault="002514F8" w:rsidP="006545E5">
            <w:pPr>
              <w:pStyle w:val="NoSpacing"/>
              <w:jc w:val="right"/>
            </w:pPr>
            <w:r w:rsidRPr="00730DE4">
              <w:t>77%</w:t>
            </w:r>
          </w:p>
        </w:tc>
        <w:tc>
          <w:tcPr>
            <w:tcW w:w="437" w:type="pct"/>
          </w:tcPr>
          <w:p w14:paraId="60228976" w14:textId="77777777" w:rsidR="002514F8" w:rsidRPr="00730DE4" w:rsidRDefault="002514F8" w:rsidP="006545E5">
            <w:pPr>
              <w:pStyle w:val="NoSpacing"/>
              <w:jc w:val="right"/>
            </w:pPr>
            <w:r w:rsidRPr="00730DE4">
              <w:t>79%</w:t>
            </w:r>
          </w:p>
        </w:tc>
        <w:tc>
          <w:tcPr>
            <w:tcW w:w="437" w:type="pct"/>
          </w:tcPr>
          <w:p w14:paraId="28005BB8" w14:textId="77777777" w:rsidR="002514F8" w:rsidRPr="00730DE4" w:rsidRDefault="002514F8" w:rsidP="006545E5">
            <w:pPr>
              <w:pStyle w:val="NoSpacing"/>
              <w:jc w:val="right"/>
            </w:pPr>
            <w:r w:rsidRPr="00730DE4">
              <w:t>77%</w:t>
            </w:r>
          </w:p>
        </w:tc>
        <w:tc>
          <w:tcPr>
            <w:tcW w:w="394" w:type="pct"/>
          </w:tcPr>
          <w:p w14:paraId="30CB723E" w14:textId="77777777" w:rsidR="002514F8" w:rsidRPr="00730DE4" w:rsidRDefault="002514F8" w:rsidP="006545E5">
            <w:pPr>
              <w:pStyle w:val="NoSpacing"/>
              <w:jc w:val="center"/>
            </w:pPr>
          </w:p>
        </w:tc>
      </w:tr>
      <w:tr w:rsidR="000A65A9" w:rsidRPr="00730DE4" w14:paraId="442253D7" w14:textId="77777777" w:rsidTr="00C5487B">
        <w:trPr>
          <w:cnfStyle w:val="000000100000" w:firstRow="0" w:lastRow="0" w:firstColumn="0" w:lastColumn="0" w:oddVBand="0" w:evenVBand="0" w:oddHBand="1" w:evenHBand="0" w:firstRowFirstColumn="0" w:firstRowLastColumn="0" w:lastRowFirstColumn="0" w:lastRowLastColumn="0"/>
          <w:trHeight w:val="21"/>
        </w:trPr>
        <w:tc>
          <w:tcPr>
            <w:tcW w:w="1984" w:type="pct"/>
          </w:tcPr>
          <w:p w14:paraId="4BD1BE0D" w14:textId="77777777" w:rsidR="002514F8" w:rsidRPr="00730DE4" w:rsidRDefault="002514F8" w:rsidP="006545E5">
            <w:pPr>
              <w:pStyle w:val="NoSpacing"/>
              <w:rPr>
                <w:lang w:val="en-US"/>
              </w:rPr>
            </w:pPr>
            <w:r w:rsidRPr="00730DE4">
              <w:rPr>
                <w:lang w:val="en-US"/>
              </w:rPr>
              <w:t>South East Queensland road network productivity—Percentage of the road network with good productivity—AM peak</w:t>
            </w:r>
          </w:p>
        </w:tc>
        <w:tc>
          <w:tcPr>
            <w:tcW w:w="437" w:type="pct"/>
          </w:tcPr>
          <w:p w14:paraId="4874E478" w14:textId="77777777" w:rsidR="002514F8" w:rsidRPr="00730DE4" w:rsidRDefault="002514F8" w:rsidP="006545E5">
            <w:pPr>
              <w:pStyle w:val="NoSpacing"/>
              <w:jc w:val="right"/>
            </w:pPr>
            <w:r w:rsidRPr="00730DE4">
              <w:t>71%</w:t>
            </w:r>
          </w:p>
        </w:tc>
        <w:tc>
          <w:tcPr>
            <w:tcW w:w="437" w:type="pct"/>
          </w:tcPr>
          <w:p w14:paraId="476DB113" w14:textId="77777777" w:rsidR="002514F8" w:rsidRPr="00730DE4" w:rsidRDefault="002514F8" w:rsidP="006545E5">
            <w:pPr>
              <w:pStyle w:val="NoSpacing"/>
              <w:jc w:val="right"/>
            </w:pPr>
            <w:r w:rsidRPr="00730DE4">
              <w:t>76%</w:t>
            </w:r>
          </w:p>
        </w:tc>
        <w:tc>
          <w:tcPr>
            <w:tcW w:w="437" w:type="pct"/>
          </w:tcPr>
          <w:p w14:paraId="562F0BCE" w14:textId="77777777" w:rsidR="002514F8" w:rsidRPr="00730DE4" w:rsidRDefault="002514F8" w:rsidP="006545E5">
            <w:pPr>
              <w:pStyle w:val="NoSpacing"/>
              <w:jc w:val="right"/>
            </w:pPr>
            <w:r w:rsidRPr="00730DE4">
              <w:t>75%</w:t>
            </w:r>
          </w:p>
        </w:tc>
        <w:tc>
          <w:tcPr>
            <w:tcW w:w="437" w:type="pct"/>
          </w:tcPr>
          <w:p w14:paraId="65E4B8DF" w14:textId="77777777" w:rsidR="002514F8" w:rsidRPr="00730DE4" w:rsidRDefault="002514F8" w:rsidP="006545E5">
            <w:pPr>
              <w:pStyle w:val="NoSpacing"/>
              <w:jc w:val="right"/>
            </w:pPr>
            <w:r w:rsidRPr="00730DE4">
              <w:t>72%</w:t>
            </w:r>
          </w:p>
        </w:tc>
        <w:tc>
          <w:tcPr>
            <w:tcW w:w="437" w:type="pct"/>
          </w:tcPr>
          <w:p w14:paraId="12953774" w14:textId="77777777" w:rsidR="002514F8" w:rsidRPr="00730DE4" w:rsidRDefault="002514F8" w:rsidP="006545E5">
            <w:pPr>
              <w:pStyle w:val="NoSpacing"/>
              <w:jc w:val="right"/>
            </w:pPr>
            <w:r w:rsidRPr="00730DE4">
              <w:t>75%</w:t>
            </w:r>
          </w:p>
        </w:tc>
        <w:tc>
          <w:tcPr>
            <w:tcW w:w="437" w:type="pct"/>
          </w:tcPr>
          <w:p w14:paraId="017D1AF6" w14:textId="77777777" w:rsidR="002514F8" w:rsidRPr="00730DE4" w:rsidRDefault="002514F8" w:rsidP="006545E5">
            <w:pPr>
              <w:pStyle w:val="NoSpacing"/>
              <w:jc w:val="right"/>
            </w:pPr>
            <w:r w:rsidRPr="00730DE4">
              <w:t>71%</w:t>
            </w:r>
          </w:p>
        </w:tc>
        <w:tc>
          <w:tcPr>
            <w:tcW w:w="394" w:type="pct"/>
          </w:tcPr>
          <w:p w14:paraId="377FFD39" w14:textId="77777777" w:rsidR="002514F8" w:rsidRPr="00730DE4" w:rsidRDefault="002514F8" w:rsidP="006545E5">
            <w:pPr>
              <w:pStyle w:val="NoSpacing"/>
              <w:jc w:val="center"/>
            </w:pPr>
            <w:r w:rsidRPr="00730DE4">
              <w:t>1</w:t>
            </w:r>
          </w:p>
        </w:tc>
      </w:tr>
      <w:tr w:rsidR="00151D00" w:rsidRPr="00730DE4" w14:paraId="704F2F67" w14:textId="77777777" w:rsidTr="00C5487B">
        <w:trPr>
          <w:trHeight w:val="21"/>
        </w:trPr>
        <w:tc>
          <w:tcPr>
            <w:tcW w:w="1984" w:type="pct"/>
          </w:tcPr>
          <w:p w14:paraId="73F74621" w14:textId="77777777" w:rsidR="002514F8" w:rsidRPr="00730DE4" w:rsidRDefault="002514F8" w:rsidP="006545E5">
            <w:pPr>
              <w:pStyle w:val="NoSpacing"/>
              <w:rPr>
                <w:lang w:val="en-US"/>
              </w:rPr>
            </w:pPr>
            <w:r w:rsidRPr="00730DE4">
              <w:rPr>
                <w:lang w:val="en-US"/>
              </w:rPr>
              <w:t>South East Queensland road network productivity—Percentage of the road network with good productivity—Off peak</w:t>
            </w:r>
          </w:p>
        </w:tc>
        <w:tc>
          <w:tcPr>
            <w:tcW w:w="437" w:type="pct"/>
          </w:tcPr>
          <w:p w14:paraId="704A56D2" w14:textId="77777777" w:rsidR="002514F8" w:rsidRPr="00730DE4" w:rsidRDefault="002514F8" w:rsidP="006545E5">
            <w:pPr>
              <w:pStyle w:val="NoSpacing"/>
              <w:jc w:val="right"/>
            </w:pPr>
            <w:r w:rsidRPr="00730DE4">
              <w:t>72%</w:t>
            </w:r>
          </w:p>
        </w:tc>
        <w:tc>
          <w:tcPr>
            <w:tcW w:w="437" w:type="pct"/>
          </w:tcPr>
          <w:p w14:paraId="6EF1B9C9" w14:textId="77777777" w:rsidR="002514F8" w:rsidRPr="00730DE4" w:rsidRDefault="002514F8" w:rsidP="006545E5">
            <w:pPr>
              <w:pStyle w:val="NoSpacing"/>
              <w:jc w:val="right"/>
            </w:pPr>
            <w:r w:rsidRPr="00730DE4">
              <w:t>75%</w:t>
            </w:r>
          </w:p>
        </w:tc>
        <w:tc>
          <w:tcPr>
            <w:tcW w:w="437" w:type="pct"/>
          </w:tcPr>
          <w:p w14:paraId="4A714BD4" w14:textId="77777777" w:rsidR="002514F8" w:rsidRPr="00730DE4" w:rsidRDefault="002514F8" w:rsidP="006545E5">
            <w:pPr>
              <w:pStyle w:val="NoSpacing"/>
              <w:jc w:val="right"/>
            </w:pPr>
            <w:r w:rsidRPr="00730DE4">
              <w:t>75%</w:t>
            </w:r>
          </w:p>
        </w:tc>
        <w:tc>
          <w:tcPr>
            <w:tcW w:w="437" w:type="pct"/>
          </w:tcPr>
          <w:p w14:paraId="7776EEEF" w14:textId="77777777" w:rsidR="002514F8" w:rsidRPr="00730DE4" w:rsidRDefault="002514F8" w:rsidP="006545E5">
            <w:pPr>
              <w:pStyle w:val="NoSpacing"/>
              <w:jc w:val="right"/>
            </w:pPr>
            <w:r w:rsidRPr="00730DE4">
              <w:t>73%</w:t>
            </w:r>
          </w:p>
        </w:tc>
        <w:tc>
          <w:tcPr>
            <w:tcW w:w="437" w:type="pct"/>
          </w:tcPr>
          <w:p w14:paraId="28B94EBF" w14:textId="77777777" w:rsidR="002514F8" w:rsidRPr="00730DE4" w:rsidRDefault="002514F8" w:rsidP="006545E5">
            <w:pPr>
              <w:pStyle w:val="NoSpacing"/>
              <w:jc w:val="right"/>
            </w:pPr>
            <w:r w:rsidRPr="00730DE4">
              <w:t>75%</w:t>
            </w:r>
          </w:p>
        </w:tc>
        <w:tc>
          <w:tcPr>
            <w:tcW w:w="437" w:type="pct"/>
          </w:tcPr>
          <w:p w14:paraId="680EBC0B" w14:textId="77777777" w:rsidR="002514F8" w:rsidRPr="00730DE4" w:rsidRDefault="002514F8" w:rsidP="006545E5">
            <w:pPr>
              <w:pStyle w:val="NoSpacing"/>
              <w:jc w:val="right"/>
            </w:pPr>
            <w:r w:rsidRPr="00730DE4">
              <w:t>72%</w:t>
            </w:r>
          </w:p>
        </w:tc>
        <w:tc>
          <w:tcPr>
            <w:tcW w:w="394" w:type="pct"/>
          </w:tcPr>
          <w:p w14:paraId="1850D6DA" w14:textId="77777777" w:rsidR="002514F8" w:rsidRPr="00730DE4" w:rsidRDefault="002514F8" w:rsidP="006545E5">
            <w:pPr>
              <w:pStyle w:val="NoSpacing"/>
              <w:jc w:val="center"/>
            </w:pPr>
            <w:r w:rsidRPr="00730DE4">
              <w:t>1</w:t>
            </w:r>
          </w:p>
        </w:tc>
      </w:tr>
      <w:tr w:rsidR="000A65A9" w:rsidRPr="00730DE4" w14:paraId="0ACF2384" w14:textId="77777777" w:rsidTr="00C5487B">
        <w:trPr>
          <w:cnfStyle w:val="000000100000" w:firstRow="0" w:lastRow="0" w:firstColumn="0" w:lastColumn="0" w:oddVBand="0" w:evenVBand="0" w:oddHBand="1" w:evenHBand="0" w:firstRowFirstColumn="0" w:firstRowLastColumn="0" w:lastRowFirstColumn="0" w:lastRowLastColumn="0"/>
          <w:trHeight w:val="21"/>
        </w:trPr>
        <w:tc>
          <w:tcPr>
            <w:tcW w:w="1984" w:type="pct"/>
          </w:tcPr>
          <w:p w14:paraId="28DA63D4" w14:textId="77777777" w:rsidR="002514F8" w:rsidRPr="00730DE4" w:rsidRDefault="002514F8" w:rsidP="006545E5">
            <w:pPr>
              <w:pStyle w:val="NoSpacing"/>
              <w:rPr>
                <w:lang w:val="en-US"/>
              </w:rPr>
            </w:pPr>
            <w:r w:rsidRPr="00730DE4">
              <w:rPr>
                <w:lang w:val="en-US"/>
              </w:rPr>
              <w:t>South East Queensland road network productivity—Percentage of the road network with good productivity—PM peak</w:t>
            </w:r>
          </w:p>
        </w:tc>
        <w:tc>
          <w:tcPr>
            <w:tcW w:w="437" w:type="pct"/>
          </w:tcPr>
          <w:p w14:paraId="5D347496" w14:textId="77777777" w:rsidR="002514F8" w:rsidRPr="00730DE4" w:rsidRDefault="002514F8" w:rsidP="006545E5">
            <w:pPr>
              <w:pStyle w:val="NoSpacing"/>
              <w:jc w:val="right"/>
            </w:pPr>
            <w:r w:rsidRPr="00730DE4">
              <w:t>67%</w:t>
            </w:r>
          </w:p>
        </w:tc>
        <w:tc>
          <w:tcPr>
            <w:tcW w:w="437" w:type="pct"/>
          </w:tcPr>
          <w:p w14:paraId="40697DA7" w14:textId="77777777" w:rsidR="002514F8" w:rsidRPr="00730DE4" w:rsidRDefault="002514F8" w:rsidP="006545E5">
            <w:pPr>
              <w:pStyle w:val="NoSpacing"/>
              <w:jc w:val="right"/>
            </w:pPr>
            <w:r w:rsidRPr="00730DE4">
              <w:t>71%</w:t>
            </w:r>
          </w:p>
        </w:tc>
        <w:tc>
          <w:tcPr>
            <w:tcW w:w="437" w:type="pct"/>
          </w:tcPr>
          <w:p w14:paraId="2A063D5F" w14:textId="77777777" w:rsidR="002514F8" w:rsidRPr="00730DE4" w:rsidRDefault="002514F8" w:rsidP="006545E5">
            <w:pPr>
              <w:pStyle w:val="NoSpacing"/>
              <w:jc w:val="right"/>
            </w:pPr>
            <w:r w:rsidRPr="00730DE4">
              <w:t>70%</w:t>
            </w:r>
          </w:p>
        </w:tc>
        <w:tc>
          <w:tcPr>
            <w:tcW w:w="437" w:type="pct"/>
          </w:tcPr>
          <w:p w14:paraId="4C6D26D9" w14:textId="77777777" w:rsidR="002514F8" w:rsidRPr="00730DE4" w:rsidRDefault="002514F8" w:rsidP="006545E5">
            <w:pPr>
              <w:pStyle w:val="NoSpacing"/>
              <w:jc w:val="right"/>
            </w:pPr>
            <w:r w:rsidRPr="00730DE4">
              <w:t>67%</w:t>
            </w:r>
          </w:p>
        </w:tc>
        <w:tc>
          <w:tcPr>
            <w:tcW w:w="437" w:type="pct"/>
          </w:tcPr>
          <w:p w14:paraId="12783BA9" w14:textId="77777777" w:rsidR="002514F8" w:rsidRPr="00730DE4" w:rsidRDefault="002514F8" w:rsidP="006545E5">
            <w:pPr>
              <w:pStyle w:val="NoSpacing"/>
              <w:jc w:val="right"/>
            </w:pPr>
            <w:r w:rsidRPr="00730DE4">
              <w:t>71%</w:t>
            </w:r>
          </w:p>
        </w:tc>
        <w:tc>
          <w:tcPr>
            <w:tcW w:w="437" w:type="pct"/>
          </w:tcPr>
          <w:p w14:paraId="29957A4B" w14:textId="77777777" w:rsidR="002514F8" w:rsidRPr="00730DE4" w:rsidRDefault="002514F8" w:rsidP="006545E5">
            <w:pPr>
              <w:pStyle w:val="NoSpacing"/>
              <w:jc w:val="right"/>
            </w:pPr>
            <w:r w:rsidRPr="00730DE4">
              <w:t>66%</w:t>
            </w:r>
          </w:p>
        </w:tc>
        <w:tc>
          <w:tcPr>
            <w:tcW w:w="394" w:type="pct"/>
          </w:tcPr>
          <w:p w14:paraId="6681560D" w14:textId="77777777" w:rsidR="002514F8" w:rsidRPr="00730DE4" w:rsidRDefault="002514F8" w:rsidP="006545E5">
            <w:pPr>
              <w:pStyle w:val="NoSpacing"/>
              <w:jc w:val="center"/>
            </w:pPr>
            <w:r w:rsidRPr="00730DE4">
              <w:t>1</w:t>
            </w:r>
          </w:p>
        </w:tc>
      </w:tr>
      <w:tr w:rsidR="00151D00" w:rsidRPr="00730DE4" w14:paraId="7BE14780" w14:textId="77777777" w:rsidTr="00C5487B">
        <w:trPr>
          <w:trHeight w:val="21"/>
        </w:trPr>
        <w:tc>
          <w:tcPr>
            <w:tcW w:w="1984" w:type="pct"/>
          </w:tcPr>
          <w:p w14:paraId="47923CEB" w14:textId="77777777" w:rsidR="002514F8" w:rsidRPr="00730DE4" w:rsidRDefault="002514F8" w:rsidP="006545E5">
            <w:pPr>
              <w:pStyle w:val="NoSpacing"/>
              <w:rPr>
                <w:lang w:val="en-US"/>
              </w:rPr>
            </w:pPr>
            <w:r w:rsidRPr="00730DE4">
              <w:rPr>
                <w:lang w:val="en-US"/>
              </w:rPr>
              <w:t>South East Queensland arterial intersection performance—Percentage of intersections congested less than 20 minutes per hour—AM peak</w:t>
            </w:r>
          </w:p>
        </w:tc>
        <w:tc>
          <w:tcPr>
            <w:tcW w:w="437" w:type="pct"/>
          </w:tcPr>
          <w:p w14:paraId="5037E587" w14:textId="77777777" w:rsidR="002514F8" w:rsidRPr="00730DE4" w:rsidRDefault="002514F8" w:rsidP="006545E5">
            <w:pPr>
              <w:pStyle w:val="NoSpacing"/>
              <w:jc w:val="right"/>
            </w:pPr>
            <w:r w:rsidRPr="00730DE4">
              <w:t>87%</w:t>
            </w:r>
          </w:p>
        </w:tc>
        <w:tc>
          <w:tcPr>
            <w:tcW w:w="437" w:type="pct"/>
          </w:tcPr>
          <w:p w14:paraId="0B6D43F0" w14:textId="77777777" w:rsidR="002514F8" w:rsidRPr="00730DE4" w:rsidRDefault="002514F8" w:rsidP="006545E5">
            <w:pPr>
              <w:pStyle w:val="NoSpacing"/>
              <w:jc w:val="right"/>
            </w:pPr>
            <w:r w:rsidRPr="00730DE4">
              <w:t>89%</w:t>
            </w:r>
          </w:p>
        </w:tc>
        <w:tc>
          <w:tcPr>
            <w:tcW w:w="437" w:type="pct"/>
          </w:tcPr>
          <w:p w14:paraId="79D40422" w14:textId="77777777" w:rsidR="002514F8" w:rsidRPr="00730DE4" w:rsidRDefault="002514F8" w:rsidP="006545E5">
            <w:pPr>
              <w:pStyle w:val="NoSpacing"/>
              <w:jc w:val="right"/>
            </w:pPr>
            <w:r w:rsidRPr="00730DE4">
              <w:t>89%</w:t>
            </w:r>
          </w:p>
        </w:tc>
        <w:tc>
          <w:tcPr>
            <w:tcW w:w="437" w:type="pct"/>
          </w:tcPr>
          <w:p w14:paraId="55AF8429" w14:textId="77777777" w:rsidR="002514F8" w:rsidRPr="00730DE4" w:rsidRDefault="002514F8" w:rsidP="006545E5">
            <w:pPr>
              <w:pStyle w:val="NoSpacing"/>
              <w:jc w:val="right"/>
            </w:pPr>
            <w:r w:rsidRPr="00730DE4">
              <w:t>87%</w:t>
            </w:r>
          </w:p>
        </w:tc>
        <w:tc>
          <w:tcPr>
            <w:tcW w:w="437" w:type="pct"/>
          </w:tcPr>
          <w:p w14:paraId="496E03D1" w14:textId="77777777" w:rsidR="002514F8" w:rsidRPr="00730DE4" w:rsidRDefault="002514F8" w:rsidP="006545E5">
            <w:pPr>
              <w:pStyle w:val="NoSpacing"/>
              <w:jc w:val="right"/>
            </w:pPr>
            <w:r w:rsidRPr="00730DE4">
              <w:t>87%</w:t>
            </w:r>
          </w:p>
        </w:tc>
        <w:tc>
          <w:tcPr>
            <w:tcW w:w="437" w:type="pct"/>
          </w:tcPr>
          <w:p w14:paraId="1C954A7C" w14:textId="77777777" w:rsidR="002514F8" w:rsidRPr="00730DE4" w:rsidRDefault="002514F8" w:rsidP="006545E5">
            <w:pPr>
              <w:pStyle w:val="NoSpacing"/>
              <w:jc w:val="right"/>
            </w:pPr>
            <w:r w:rsidRPr="00730DE4">
              <w:t>86%</w:t>
            </w:r>
          </w:p>
        </w:tc>
        <w:tc>
          <w:tcPr>
            <w:tcW w:w="394" w:type="pct"/>
          </w:tcPr>
          <w:p w14:paraId="26573D8E" w14:textId="77777777" w:rsidR="002514F8" w:rsidRPr="00730DE4" w:rsidRDefault="002514F8" w:rsidP="006545E5">
            <w:pPr>
              <w:pStyle w:val="NoSpacing"/>
              <w:jc w:val="center"/>
            </w:pPr>
            <w:r w:rsidRPr="00730DE4">
              <w:t>1</w:t>
            </w:r>
          </w:p>
        </w:tc>
      </w:tr>
      <w:tr w:rsidR="000A65A9" w:rsidRPr="00730DE4" w14:paraId="0D52EA49" w14:textId="77777777" w:rsidTr="00C5487B">
        <w:trPr>
          <w:cnfStyle w:val="000000100000" w:firstRow="0" w:lastRow="0" w:firstColumn="0" w:lastColumn="0" w:oddVBand="0" w:evenVBand="0" w:oddHBand="1" w:evenHBand="0" w:firstRowFirstColumn="0" w:firstRowLastColumn="0" w:lastRowFirstColumn="0" w:lastRowLastColumn="0"/>
          <w:trHeight w:val="21"/>
        </w:trPr>
        <w:tc>
          <w:tcPr>
            <w:tcW w:w="1984" w:type="pct"/>
          </w:tcPr>
          <w:p w14:paraId="0C80EE51" w14:textId="77777777" w:rsidR="002514F8" w:rsidRPr="00730DE4" w:rsidRDefault="002514F8" w:rsidP="006545E5">
            <w:pPr>
              <w:pStyle w:val="NoSpacing"/>
              <w:rPr>
                <w:lang w:val="en-US"/>
              </w:rPr>
            </w:pPr>
            <w:r w:rsidRPr="00730DE4">
              <w:rPr>
                <w:lang w:val="en-US"/>
              </w:rPr>
              <w:t>South East Queensland arterial intersection performance—Percentage of intersections congested less than 20 minutes per hour—Off peak</w:t>
            </w:r>
          </w:p>
        </w:tc>
        <w:tc>
          <w:tcPr>
            <w:tcW w:w="437" w:type="pct"/>
          </w:tcPr>
          <w:p w14:paraId="494353CB" w14:textId="77777777" w:rsidR="002514F8" w:rsidRPr="00730DE4" w:rsidRDefault="002514F8" w:rsidP="006545E5">
            <w:pPr>
              <w:pStyle w:val="NoSpacing"/>
              <w:jc w:val="right"/>
            </w:pPr>
            <w:r w:rsidRPr="00730DE4">
              <w:t>92%</w:t>
            </w:r>
          </w:p>
        </w:tc>
        <w:tc>
          <w:tcPr>
            <w:tcW w:w="437" w:type="pct"/>
          </w:tcPr>
          <w:p w14:paraId="36F27FB1" w14:textId="77777777" w:rsidR="002514F8" w:rsidRPr="00730DE4" w:rsidRDefault="002514F8" w:rsidP="006545E5">
            <w:pPr>
              <w:pStyle w:val="NoSpacing"/>
              <w:jc w:val="right"/>
            </w:pPr>
            <w:r w:rsidRPr="00730DE4">
              <w:t>91%</w:t>
            </w:r>
          </w:p>
        </w:tc>
        <w:tc>
          <w:tcPr>
            <w:tcW w:w="437" w:type="pct"/>
          </w:tcPr>
          <w:p w14:paraId="10198730" w14:textId="77777777" w:rsidR="002514F8" w:rsidRPr="00730DE4" w:rsidRDefault="002514F8" w:rsidP="006545E5">
            <w:pPr>
              <w:pStyle w:val="NoSpacing"/>
              <w:jc w:val="right"/>
            </w:pPr>
            <w:r w:rsidRPr="00730DE4">
              <w:t>91%</w:t>
            </w:r>
          </w:p>
        </w:tc>
        <w:tc>
          <w:tcPr>
            <w:tcW w:w="437" w:type="pct"/>
          </w:tcPr>
          <w:p w14:paraId="3E6406C4" w14:textId="77777777" w:rsidR="002514F8" w:rsidRPr="00730DE4" w:rsidRDefault="002514F8" w:rsidP="006545E5">
            <w:pPr>
              <w:pStyle w:val="NoSpacing"/>
              <w:jc w:val="right"/>
            </w:pPr>
            <w:r w:rsidRPr="00730DE4">
              <w:t>90%</w:t>
            </w:r>
          </w:p>
        </w:tc>
        <w:tc>
          <w:tcPr>
            <w:tcW w:w="437" w:type="pct"/>
          </w:tcPr>
          <w:p w14:paraId="1E646E3D" w14:textId="77777777" w:rsidR="002514F8" w:rsidRPr="00730DE4" w:rsidRDefault="002514F8" w:rsidP="006545E5">
            <w:pPr>
              <w:pStyle w:val="NoSpacing"/>
              <w:jc w:val="right"/>
            </w:pPr>
            <w:r w:rsidRPr="00730DE4">
              <w:t>91%</w:t>
            </w:r>
          </w:p>
        </w:tc>
        <w:tc>
          <w:tcPr>
            <w:tcW w:w="437" w:type="pct"/>
          </w:tcPr>
          <w:p w14:paraId="0DE5D642" w14:textId="77777777" w:rsidR="002514F8" w:rsidRPr="00730DE4" w:rsidRDefault="002514F8" w:rsidP="006545E5">
            <w:pPr>
              <w:pStyle w:val="NoSpacing"/>
              <w:jc w:val="right"/>
            </w:pPr>
            <w:r w:rsidRPr="00730DE4">
              <w:t>88%</w:t>
            </w:r>
          </w:p>
        </w:tc>
        <w:tc>
          <w:tcPr>
            <w:tcW w:w="394" w:type="pct"/>
          </w:tcPr>
          <w:p w14:paraId="45594904" w14:textId="77777777" w:rsidR="002514F8" w:rsidRPr="00730DE4" w:rsidRDefault="002514F8" w:rsidP="006545E5">
            <w:pPr>
              <w:pStyle w:val="NoSpacing"/>
              <w:jc w:val="center"/>
            </w:pPr>
            <w:r w:rsidRPr="00730DE4">
              <w:t>1</w:t>
            </w:r>
          </w:p>
        </w:tc>
      </w:tr>
      <w:tr w:rsidR="00151D00" w:rsidRPr="00730DE4" w14:paraId="57F8BC65" w14:textId="77777777" w:rsidTr="00C5487B">
        <w:trPr>
          <w:trHeight w:val="21"/>
        </w:trPr>
        <w:tc>
          <w:tcPr>
            <w:tcW w:w="1984" w:type="pct"/>
          </w:tcPr>
          <w:p w14:paraId="40F29F1A" w14:textId="77777777" w:rsidR="002514F8" w:rsidRPr="00730DE4" w:rsidRDefault="002514F8" w:rsidP="006545E5">
            <w:pPr>
              <w:pStyle w:val="NoSpacing"/>
              <w:rPr>
                <w:lang w:val="en-US"/>
              </w:rPr>
            </w:pPr>
            <w:r w:rsidRPr="00730DE4">
              <w:rPr>
                <w:lang w:val="en-US"/>
              </w:rPr>
              <w:t>South East Queensland arterial intersection performance—Percentage of intersections congested less than 20 minutes per hour—PM peak</w:t>
            </w:r>
          </w:p>
        </w:tc>
        <w:tc>
          <w:tcPr>
            <w:tcW w:w="437" w:type="pct"/>
          </w:tcPr>
          <w:p w14:paraId="36CE8535" w14:textId="77777777" w:rsidR="002514F8" w:rsidRPr="00730DE4" w:rsidRDefault="002514F8" w:rsidP="006545E5">
            <w:pPr>
              <w:pStyle w:val="NoSpacing"/>
              <w:jc w:val="right"/>
            </w:pPr>
            <w:r w:rsidRPr="00730DE4">
              <w:t>81%</w:t>
            </w:r>
          </w:p>
        </w:tc>
        <w:tc>
          <w:tcPr>
            <w:tcW w:w="437" w:type="pct"/>
          </w:tcPr>
          <w:p w14:paraId="2BD91726" w14:textId="77777777" w:rsidR="002514F8" w:rsidRPr="00730DE4" w:rsidRDefault="002514F8" w:rsidP="006545E5">
            <w:pPr>
              <w:pStyle w:val="NoSpacing"/>
              <w:jc w:val="right"/>
            </w:pPr>
            <w:r w:rsidRPr="00730DE4">
              <w:t>82%</w:t>
            </w:r>
          </w:p>
        </w:tc>
        <w:tc>
          <w:tcPr>
            <w:tcW w:w="437" w:type="pct"/>
          </w:tcPr>
          <w:p w14:paraId="4259DEED" w14:textId="77777777" w:rsidR="002514F8" w:rsidRPr="00730DE4" w:rsidRDefault="002514F8" w:rsidP="006545E5">
            <w:pPr>
              <w:pStyle w:val="NoSpacing"/>
              <w:jc w:val="right"/>
            </w:pPr>
            <w:r w:rsidRPr="00730DE4">
              <w:t>83%</w:t>
            </w:r>
          </w:p>
        </w:tc>
        <w:tc>
          <w:tcPr>
            <w:tcW w:w="437" w:type="pct"/>
          </w:tcPr>
          <w:p w14:paraId="0CCA06F0" w14:textId="77777777" w:rsidR="002514F8" w:rsidRPr="00730DE4" w:rsidRDefault="002514F8" w:rsidP="006545E5">
            <w:pPr>
              <w:pStyle w:val="NoSpacing"/>
              <w:jc w:val="right"/>
            </w:pPr>
            <w:r w:rsidRPr="00730DE4">
              <w:t>80%</w:t>
            </w:r>
          </w:p>
        </w:tc>
        <w:tc>
          <w:tcPr>
            <w:tcW w:w="437" w:type="pct"/>
          </w:tcPr>
          <w:p w14:paraId="3D78DAB0" w14:textId="77777777" w:rsidR="002514F8" w:rsidRPr="00730DE4" w:rsidRDefault="002514F8" w:rsidP="006545E5">
            <w:pPr>
              <w:pStyle w:val="NoSpacing"/>
              <w:jc w:val="right"/>
            </w:pPr>
            <w:r w:rsidRPr="00730DE4">
              <w:t>81%</w:t>
            </w:r>
          </w:p>
        </w:tc>
        <w:tc>
          <w:tcPr>
            <w:tcW w:w="437" w:type="pct"/>
          </w:tcPr>
          <w:p w14:paraId="606A5FF0" w14:textId="77777777" w:rsidR="002514F8" w:rsidRPr="00730DE4" w:rsidRDefault="002514F8" w:rsidP="006545E5">
            <w:pPr>
              <w:pStyle w:val="NoSpacing"/>
              <w:jc w:val="right"/>
            </w:pPr>
            <w:r w:rsidRPr="00730DE4">
              <w:t>79%</w:t>
            </w:r>
          </w:p>
        </w:tc>
        <w:tc>
          <w:tcPr>
            <w:tcW w:w="394" w:type="pct"/>
          </w:tcPr>
          <w:p w14:paraId="6BEF5765" w14:textId="77777777" w:rsidR="002514F8" w:rsidRPr="00730DE4" w:rsidRDefault="002514F8" w:rsidP="006545E5">
            <w:pPr>
              <w:pStyle w:val="NoSpacing"/>
              <w:jc w:val="center"/>
            </w:pPr>
            <w:r w:rsidRPr="00730DE4">
              <w:t>1</w:t>
            </w:r>
          </w:p>
        </w:tc>
      </w:tr>
    </w:tbl>
    <w:p w14:paraId="15B150BC" w14:textId="77777777" w:rsidR="002514F8" w:rsidRPr="00730DE4" w:rsidRDefault="002514F8" w:rsidP="00583174">
      <w:pPr>
        <w:pStyle w:val="FigureCaption"/>
        <w:rPr>
          <w:lang w:val="en-US"/>
        </w:rPr>
      </w:pPr>
      <w:r w:rsidRPr="00730DE4">
        <w:rPr>
          <w:lang w:val="en-US"/>
        </w:rPr>
        <w:t>Table 13: Transport Infrastructure Management efficiency measure</w:t>
      </w:r>
    </w:p>
    <w:tbl>
      <w:tblPr>
        <w:tblStyle w:val="TMRDefault"/>
        <w:tblW w:w="5000" w:type="pct"/>
        <w:tblLook w:val="04A0" w:firstRow="1" w:lastRow="0" w:firstColumn="1" w:lastColumn="0" w:noHBand="0" w:noVBand="1"/>
      </w:tblPr>
      <w:tblGrid>
        <w:gridCol w:w="5465"/>
        <w:gridCol w:w="930"/>
        <w:gridCol w:w="1220"/>
        <w:gridCol w:w="1220"/>
        <w:gridCol w:w="1220"/>
        <w:gridCol w:w="1839"/>
        <w:gridCol w:w="1224"/>
        <w:gridCol w:w="874"/>
      </w:tblGrid>
      <w:tr w:rsidR="000A65A9" w:rsidRPr="00730DE4" w14:paraId="7E7FBEB4" w14:textId="77777777" w:rsidTr="007D1DCD">
        <w:trPr>
          <w:cnfStyle w:val="100000000000" w:firstRow="1" w:lastRow="0" w:firstColumn="0" w:lastColumn="0" w:oddVBand="0" w:evenVBand="0" w:oddHBand="0" w:evenHBand="0" w:firstRowFirstColumn="0" w:firstRowLastColumn="0" w:lastRowFirstColumn="0" w:lastRowLastColumn="0"/>
          <w:trHeight w:val="21"/>
          <w:tblHeader/>
        </w:trPr>
        <w:tc>
          <w:tcPr>
            <w:tcW w:w="1957" w:type="pct"/>
          </w:tcPr>
          <w:p w14:paraId="4E72FF0F" w14:textId="77777777" w:rsidR="002514F8" w:rsidRPr="00730DE4" w:rsidRDefault="002514F8" w:rsidP="000B0ED0">
            <w:pPr>
              <w:pStyle w:val="NoSpacing"/>
              <w:rPr>
                <w:color w:val="FFFFFF" w:themeColor="background1"/>
              </w:rPr>
            </w:pPr>
            <w:r w:rsidRPr="00730DE4">
              <w:rPr>
                <w:color w:val="FFFFFF" w:themeColor="background1"/>
              </w:rPr>
              <w:t>Service standard</w:t>
            </w:r>
          </w:p>
        </w:tc>
        <w:tc>
          <w:tcPr>
            <w:tcW w:w="320" w:type="pct"/>
          </w:tcPr>
          <w:p w14:paraId="2CAFB638" w14:textId="77777777" w:rsidR="002514F8" w:rsidRPr="00730DE4" w:rsidRDefault="002514F8" w:rsidP="000B0ED0">
            <w:pPr>
              <w:pStyle w:val="NoSpacing"/>
              <w:jc w:val="right"/>
              <w:rPr>
                <w:color w:val="FFFFFF" w:themeColor="background1"/>
              </w:rPr>
            </w:pPr>
            <w:r w:rsidRPr="00730DE4">
              <w:rPr>
                <w:color w:val="FFFFFF" w:themeColor="background1"/>
              </w:rPr>
              <w:t>2019–20 Actual</w:t>
            </w:r>
          </w:p>
        </w:tc>
        <w:tc>
          <w:tcPr>
            <w:tcW w:w="440" w:type="pct"/>
          </w:tcPr>
          <w:p w14:paraId="6BEE5F07" w14:textId="77777777" w:rsidR="002514F8" w:rsidRPr="00730DE4" w:rsidRDefault="002514F8" w:rsidP="000B0ED0">
            <w:pPr>
              <w:pStyle w:val="NoSpacing"/>
              <w:jc w:val="right"/>
              <w:rPr>
                <w:color w:val="FFFFFF" w:themeColor="background1"/>
              </w:rPr>
            </w:pPr>
            <w:r w:rsidRPr="00730DE4">
              <w:rPr>
                <w:color w:val="FFFFFF" w:themeColor="background1"/>
              </w:rPr>
              <w:t>2020–21 Actual</w:t>
            </w:r>
          </w:p>
        </w:tc>
        <w:tc>
          <w:tcPr>
            <w:tcW w:w="440" w:type="pct"/>
          </w:tcPr>
          <w:p w14:paraId="32C083D5" w14:textId="77777777" w:rsidR="002514F8" w:rsidRPr="00730DE4" w:rsidRDefault="002514F8" w:rsidP="000B0ED0">
            <w:pPr>
              <w:pStyle w:val="NoSpacing"/>
              <w:jc w:val="right"/>
              <w:rPr>
                <w:color w:val="FFFFFF" w:themeColor="background1"/>
              </w:rPr>
            </w:pPr>
            <w:r w:rsidRPr="00730DE4">
              <w:rPr>
                <w:color w:val="FFFFFF" w:themeColor="background1"/>
              </w:rPr>
              <w:t>2021–22 Actual</w:t>
            </w:r>
          </w:p>
        </w:tc>
        <w:tc>
          <w:tcPr>
            <w:tcW w:w="440" w:type="pct"/>
          </w:tcPr>
          <w:p w14:paraId="1E8E58A0" w14:textId="77777777" w:rsidR="002514F8" w:rsidRPr="00730DE4" w:rsidRDefault="002514F8" w:rsidP="000B0ED0">
            <w:pPr>
              <w:pStyle w:val="NoSpacing"/>
              <w:jc w:val="right"/>
              <w:rPr>
                <w:color w:val="FFFFFF" w:themeColor="background1"/>
              </w:rPr>
            </w:pPr>
            <w:r w:rsidRPr="00730DE4">
              <w:rPr>
                <w:color w:val="FFFFFF" w:themeColor="background1"/>
              </w:rPr>
              <w:t>2022–23 Actual</w:t>
            </w:r>
          </w:p>
        </w:tc>
        <w:tc>
          <w:tcPr>
            <w:tcW w:w="661" w:type="pct"/>
          </w:tcPr>
          <w:p w14:paraId="55EAA839" w14:textId="77777777" w:rsidR="002514F8" w:rsidRPr="00730DE4" w:rsidRDefault="002514F8" w:rsidP="000B0ED0">
            <w:pPr>
              <w:pStyle w:val="NoSpacing"/>
              <w:jc w:val="right"/>
              <w:rPr>
                <w:color w:val="FFFFFF" w:themeColor="background1"/>
              </w:rPr>
            </w:pPr>
            <w:r w:rsidRPr="00730DE4">
              <w:rPr>
                <w:color w:val="FFFFFF" w:themeColor="background1"/>
              </w:rPr>
              <w:t>2023–24 Target / Estimate</w:t>
            </w:r>
          </w:p>
        </w:tc>
        <w:tc>
          <w:tcPr>
            <w:tcW w:w="441" w:type="pct"/>
          </w:tcPr>
          <w:p w14:paraId="26447218" w14:textId="77777777" w:rsidR="002514F8" w:rsidRPr="00730DE4" w:rsidRDefault="002514F8" w:rsidP="000B0ED0">
            <w:pPr>
              <w:pStyle w:val="NoSpacing"/>
              <w:jc w:val="right"/>
              <w:rPr>
                <w:color w:val="FFFFFF" w:themeColor="background1"/>
              </w:rPr>
            </w:pPr>
            <w:r w:rsidRPr="00730DE4">
              <w:rPr>
                <w:color w:val="FFFFFF" w:themeColor="background1"/>
              </w:rPr>
              <w:t>2023–24 Actual</w:t>
            </w:r>
          </w:p>
        </w:tc>
        <w:tc>
          <w:tcPr>
            <w:tcW w:w="301" w:type="pct"/>
          </w:tcPr>
          <w:p w14:paraId="2AD9BEF6" w14:textId="77777777" w:rsidR="002514F8" w:rsidRPr="00730DE4" w:rsidRDefault="002514F8" w:rsidP="000831CB">
            <w:pPr>
              <w:pStyle w:val="NoSpacing"/>
              <w:jc w:val="center"/>
              <w:rPr>
                <w:color w:val="FFFFFF" w:themeColor="background1"/>
              </w:rPr>
            </w:pPr>
            <w:r w:rsidRPr="00730DE4">
              <w:rPr>
                <w:color w:val="FFFFFF" w:themeColor="background1"/>
              </w:rPr>
              <w:t>Notes</w:t>
            </w:r>
          </w:p>
        </w:tc>
      </w:tr>
      <w:tr w:rsidR="000A65A9" w:rsidRPr="00730DE4" w14:paraId="042782EA" w14:textId="77777777" w:rsidTr="007D1DCD">
        <w:trPr>
          <w:cnfStyle w:val="000000100000" w:firstRow="0" w:lastRow="0" w:firstColumn="0" w:lastColumn="0" w:oddVBand="0" w:evenVBand="0" w:oddHBand="1" w:evenHBand="0" w:firstRowFirstColumn="0" w:firstRowLastColumn="0" w:lastRowFirstColumn="0" w:lastRowLastColumn="0"/>
          <w:trHeight w:val="21"/>
        </w:trPr>
        <w:tc>
          <w:tcPr>
            <w:tcW w:w="1957" w:type="pct"/>
          </w:tcPr>
          <w:p w14:paraId="05C3E958" w14:textId="77777777" w:rsidR="002514F8" w:rsidRPr="00730DE4" w:rsidRDefault="002514F8" w:rsidP="000B0ED0">
            <w:pPr>
              <w:pStyle w:val="NoSpacing"/>
            </w:pPr>
            <w:r w:rsidRPr="00730DE4">
              <w:rPr>
                <w:lang w:val="en-US"/>
              </w:rPr>
              <w:t>Average cost per 100 vehicle kilometres travelled to operate state-controlled roads</w:t>
            </w:r>
          </w:p>
        </w:tc>
        <w:tc>
          <w:tcPr>
            <w:tcW w:w="320" w:type="pct"/>
          </w:tcPr>
          <w:p w14:paraId="47DB8273" w14:textId="77777777" w:rsidR="002514F8" w:rsidRPr="00730DE4" w:rsidRDefault="002514F8" w:rsidP="000B0ED0">
            <w:pPr>
              <w:pStyle w:val="NoSpacing"/>
              <w:jc w:val="right"/>
            </w:pPr>
            <w:r w:rsidRPr="00730DE4">
              <w:t>N/A</w:t>
            </w:r>
          </w:p>
        </w:tc>
        <w:tc>
          <w:tcPr>
            <w:tcW w:w="440" w:type="pct"/>
          </w:tcPr>
          <w:p w14:paraId="4B28596E" w14:textId="77777777" w:rsidR="002514F8" w:rsidRPr="00730DE4" w:rsidRDefault="002514F8" w:rsidP="000B0ED0">
            <w:pPr>
              <w:pStyle w:val="NoSpacing"/>
              <w:jc w:val="right"/>
            </w:pPr>
            <w:r w:rsidRPr="00730DE4">
              <w:t>N/A</w:t>
            </w:r>
          </w:p>
        </w:tc>
        <w:tc>
          <w:tcPr>
            <w:tcW w:w="440" w:type="pct"/>
          </w:tcPr>
          <w:p w14:paraId="65FBC120" w14:textId="77777777" w:rsidR="002514F8" w:rsidRPr="00730DE4" w:rsidRDefault="002514F8" w:rsidP="000B0ED0">
            <w:pPr>
              <w:pStyle w:val="NoSpacing"/>
              <w:jc w:val="right"/>
            </w:pPr>
            <w:r w:rsidRPr="00730DE4">
              <w:t>N/A</w:t>
            </w:r>
          </w:p>
        </w:tc>
        <w:tc>
          <w:tcPr>
            <w:tcW w:w="440" w:type="pct"/>
          </w:tcPr>
          <w:p w14:paraId="062CE59C" w14:textId="77777777" w:rsidR="002514F8" w:rsidRPr="00730DE4" w:rsidRDefault="002514F8" w:rsidP="000B0ED0">
            <w:pPr>
              <w:pStyle w:val="NoSpacing"/>
              <w:jc w:val="right"/>
            </w:pPr>
            <w:r w:rsidRPr="00730DE4">
              <w:rPr>
                <w:lang w:val="en-US"/>
              </w:rPr>
              <w:t>$0.09</w:t>
            </w:r>
          </w:p>
        </w:tc>
        <w:tc>
          <w:tcPr>
            <w:tcW w:w="661" w:type="pct"/>
          </w:tcPr>
          <w:p w14:paraId="03714441" w14:textId="77777777" w:rsidR="002514F8" w:rsidRPr="00730DE4" w:rsidRDefault="002514F8" w:rsidP="000B0ED0">
            <w:pPr>
              <w:pStyle w:val="NoSpacing"/>
              <w:jc w:val="right"/>
            </w:pPr>
            <w:r w:rsidRPr="00730DE4">
              <w:rPr>
                <w:lang w:val="en-US"/>
              </w:rPr>
              <w:t>$0.09</w:t>
            </w:r>
          </w:p>
        </w:tc>
        <w:tc>
          <w:tcPr>
            <w:tcW w:w="441" w:type="pct"/>
          </w:tcPr>
          <w:p w14:paraId="2B541608" w14:textId="77777777" w:rsidR="002514F8" w:rsidRPr="00730DE4" w:rsidRDefault="002514F8" w:rsidP="000B0ED0">
            <w:pPr>
              <w:pStyle w:val="NoSpacing"/>
              <w:jc w:val="right"/>
            </w:pPr>
            <w:r w:rsidRPr="00730DE4">
              <w:rPr>
                <w:lang w:val="en-US"/>
              </w:rPr>
              <w:t>$0.09</w:t>
            </w:r>
          </w:p>
        </w:tc>
        <w:tc>
          <w:tcPr>
            <w:tcW w:w="301" w:type="pct"/>
          </w:tcPr>
          <w:p w14:paraId="53DDEF05" w14:textId="77777777" w:rsidR="002514F8" w:rsidRPr="00730DE4" w:rsidRDefault="002514F8" w:rsidP="000831CB">
            <w:pPr>
              <w:pStyle w:val="NoSpacing"/>
              <w:jc w:val="center"/>
              <w:rPr>
                <w:lang w:val="en-US"/>
              </w:rPr>
            </w:pPr>
          </w:p>
        </w:tc>
      </w:tr>
    </w:tbl>
    <w:p w14:paraId="7D09BE4E" w14:textId="77777777" w:rsidR="002514F8" w:rsidRPr="00730DE4" w:rsidRDefault="002514F8" w:rsidP="002B7001">
      <w:pPr>
        <w:pStyle w:val="Heading4"/>
        <w:rPr>
          <w:lang w:val="en-US"/>
        </w:rPr>
      </w:pPr>
      <w:bookmarkStart w:id="269" w:name="_Toc180487319"/>
      <w:bookmarkStart w:id="270" w:name="_Toc180490525"/>
      <w:bookmarkStart w:id="271" w:name="_Toc180491558"/>
      <w:r w:rsidRPr="00730DE4">
        <w:rPr>
          <w:lang w:val="en-US"/>
        </w:rPr>
        <w:t>Service: Transport Infrastructure Delivery</w:t>
      </w:r>
      <w:bookmarkEnd w:id="269"/>
      <w:bookmarkEnd w:id="270"/>
      <w:bookmarkEnd w:id="271"/>
      <w:r w:rsidRPr="00730DE4">
        <w:rPr>
          <w:lang w:val="en-US"/>
        </w:rPr>
        <w:t xml:space="preserve"> </w:t>
      </w:r>
    </w:p>
    <w:p w14:paraId="79D6A740" w14:textId="77777777" w:rsidR="002514F8" w:rsidRPr="00730DE4" w:rsidRDefault="002514F8" w:rsidP="00583174">
      <w:pPr>
        <w:pStyle w:val="FigureCaption"/>
        <w:rPr>
          <w:lang w:val="en-US"/>
        </w:rPr>
      </w:pPr>
      <w:r w:rsidRPr="00730DE4">
        <w:rPr>
          <w:lang w:val="en-US"/>
        </w:rPr>
        <w:t xml:space="preserve">Table 14: Transport Infrastructure Delivery effectiveness measure </w:t>
      </w:r>
    </w:p>
    <w:tbl>
      <w:tblPr>
        <w:tblStyle w:val="TMRDefault"/>
        <w:tblW w:w="5000" w:type="pct"/>
        <w:tblLook w:val="04A0" w:firstRow="1" w:lastRow="0" w:firstColumn="1" w:lastColumn="0" w:noHBand="0" w:noVBand="1"/>
      </w:tblPr>
      <w:tblGrid>
        <w:gridCol w:w="5526"/>
        <w:gridCol w:w="1186"/>
        <w:gridCol w:w="1186"/>
        <w:gridCol w:w="1186"/>
        <w:gridCol w:w="1186"/>
        <w:gridCol w:w="1662"/>
        <w:gridCol w:w="1186"/>
        <w:gridCol w:w="874"/>
      </w:tblGrid>
      <w:tr w:rsidR="000A65A9" w:rsidRPr="00730DE4" w14:paraId="720B07DE" w14:textId="77777777" w:rsidTr="007D1DCD">
        <w:trPr>
          <w:cnfStyle w:val="100000000000" w:firstRow="1" w:lastRow="0" w:firstColumn="0" w:lastColumn="0" w:oddVBand="0" w:evenVBand="0" w:oddHBand="0" w:evenHBand="0" w:firstRowFirstColumn="0" w:firstRowLastColumn="0" w:lastRowFirstColumn="0" w:lastRowLastColumn="0"/>
          <w:trHeight w:val="21"/>
          <w:tblHeader/>
        </w:trPr>
        <w:tc>
          <w:tcPr>
            <w:tcW w:w="1976" w:type="pct"/>
          </w:tcPr>
          <w:p w14:paraId="3ADB3843" w14:textId="77777777" w:rsidR="002514F8" w:rsidRPr="00730DE4" w:rsidRDefault="002514F8" w:rsidP="000B0ED0">
            <w:pPr>
              <w:pStyle w:val="NoSpacing"/>
              <w:rPr>
                <w:color w:val="FFFFFF" w:themeColor="background1"/>
              </w:rPr>
            </w:pPr>
            <w:r w:rsidRPr="00730DE4">
              <w:rPr>
                <w:color w:val="FFFFFF" w:themeColor="background1"/>
              </w:rPr>
              <w:t>Service standard</w:t>
            </w:r>
          </w:p>
        </w:tc>
        <w:tc>
          <w:tcPr>
            <w:tcW w:w="425" w:type="pct"/>
          </w:tcPr>
          <w:p w14:paraId="070A3F7B" w14:textId="77777777" w:rsidR="002514F8" w:rsidRPr="00730DE4" w:rsidRDefault="002514F8" w:rsidP="000B0ED0">
            <w:pPr>
              <w:pStyle w:val="NoSpacing"/>
              <w:jc w:val="right"/>
              <w:rPr>
                <w:color w:val="FFFFFF" w:themeColor="background1"/>
              </w:rPr>
            </w:pPr>
            <w:r w:rsidRPr="00730DE4">
              <w:rPr>
                <w:color w:val="FFFFFF" w:themeColor="background1"/>
              </w:rPr>
              <w:t>2019–20 Actual</w:t>
            </w:r>
          </w:p>
        </w:tc>
        <w:tc>
          <w:tcPr>
            <w:tcW w:w="425" w:type="pct"/>
          </w:tcPr>
          <w:p w14:paraId="2F31FCB2" w14:textId="77777777" w:rsidR="002514F8" w:rsidRPr="00730DE4" w:rsidRDefault="002514F8" w:rsidP="000B0ED0">
            <w:pPr>
              <w:pStyle w:val="NoSpacing"/>
              <w:jc w:val="right"/>
              <w:rPr>
                <w:color w:val="FFFFFF" w:themeColor="background1"/>
              </w:rPr>
            </w:pPr>
            <w:r w:rsidRPr="00730DE4">
              <w:rPr>
                <w:color w:val="FFFFFF" w:themeColor="background1"/>
              </w:rPr>
              <w:t>2020–21 Actual</w:t>
            </w:r>
          </w:p>
        </w:tc>
        <w:tc>
          <w:tcPr>
            <w:tcW w:w="425" w:type="pct"/>
          </w:tcPr>
          <w:p w14:paraId="2BB7F62F" w14:textId="77777777" w:rsidR="002514F8" w:rsidRPr="00730DE4" w:rsidRDefault="002514F8" w:rsidP="000B0ED0">
            <w:pPr>
              <w:pStyle w:val="NoSpacing"/>
              <w:jc w:val="right"/>
              <w:rPr>
                <w:color w:val="FFFFFF" w:themeColor="background1"/>
              </w:rPr>
            </w:pPr>
            <w:r w:rsidRPr="00730DE4">
              <w:rPr>
                <w:color w:val="FFFFFF" w:themeColor="background1"/>
              </w:rPr>
              <w:t>2021–22 Actual</w:t>
            </w:r>
          </w:p>
        </w:tc>
        <w:tc>
          <w:tcPr>
            <w:tcW w:w="425" w:type="pct"/>
          </w:tcPr>
          <w:p w14:paraId="4B6C216C" w14:textId="77777777" w:rsidR="002514F8" w:rsidRPr="00730DE4" w:rsidRDefault="002514F8" w:rsidP="000B0ED0">
            <w:pPr>
              <w:pStyle w:val="NoSpacing"/>
              <w:jc w:val="right"/>
              <w:rPr>
                <w:color w:val="FFFFFF" w:themeColor="background1"/>
              </w:rPr>
            </w:pPr>
            <w:r w:rsidRPr="00730DE4">
              <w:rPr>
                <w:color w:val="FFFFFF" w:themeColor="background1"/>
              </w:rPr>
              <w:t>2022–23 Actual</w:t>
            </w:r>
          </w:p>
        </w:tc>
        <w:tc>
          <w:tcPr>
            <w:tcW w:w="595" w:type="pct"/>
          </w:tcPr>
          <w:p w14:paraId="0E4AF67E" w14:textId="77777777" w:rsidR="002514F8" w:rsidRPr="00730DE4" w:rsidRDefault="002514F8" w:rsidP="000B0ED0">
            <w:pPr>
              <w:pStyle w:val="NoSpacing"/>
              <w:jc w:val="right"/>
              <w:rPr>
                <w:color w:val="FFFFFF" w:themeColor="background1"/>
              </w:rPr>
            </w:pPr>
            <w:r w:rsidRPr="00730DE4">
              <w:rPr>
                <w:color w:val="FFFFFF" w:themeColor="background1"/>
              </w:rPr>
              <w:t>2023–24 Target / Estimate</w:t>
            </w:r>
          </w:p>
        </w:tc>
        <w:tc>
          <w:tcPr>
            <w:tcW w:w="425" w:type="pct"/>
          </w:tcPr>
          <w:p w14:paraId="6CDEF379" w14:textId="77777777" w:rsidR="002514F8" w:rsidRPr="00730DE4" w:rsidRDefault="002514F8" w:rsidP="000B0ED0">
            <w:pPr>
              <w:pStyle w:val="NoSpacing"/>
              <w:jc w:val="right"/>
              <w:rPr>
                <w:color w:val="FFFFFF" w:themeColor="background1"/>
              </w:rPr>
            </w:pPr>
            <w:r w:rsidRPr="00730DE4">
              <w:rPr>
                <w:color w:val="FFFFFF" w:themeColor="background1"/>
              </w:rPr>
              <w:t>2023–24 Actual</w:t>
            </w:r>
          </w:p>
        </w:tc>
        <w:tc>
          <w:tcPr>
            <w:tcW w:w="306" w:type="pct"/>
          </w:tcPr>
          <w:p w14:paraId="402F4F89" w14:textId="77777777" w:rsidR="002514F8" w:rsidRPr="00730DE4" w:rsidRDefault="002514F8" w:rsidP="000831CB">
            <w:pPr>
              <w:pStyle w:val="NoSpacing"/>
              <w:jc w:val="center"/>
              <w:rPr>
                <w:color w:val="FFFFFF" w:themeColor="background1"/>
              </w:rPr>
            </w:pPr>
            <w:r w:rsidRPr="00730DE4">
              <w:rPr>
                <w:color w:val="FFFFFF" w:themeColor="background1"/>
              </w:rPr>
              <w:t>Notes</w:t>
            </w:r>
          </w:p>
        </w:tc>
      </w:tr>
      <w:tr w:rsidR="000A65A9" w:rsidRPr="00730DE4" w14:paraId="35823C07" w14:textId="77777777" w:rsidTr="007D1DCD">
        <w:trPr>
          <w:cnfStyle w:val="000000100000" w:firstRow="0" w:lastRow="0" w:firstColumn="0" w:lastColumn="0" w:oddVBand="0" w:evenVBand="0" w:oddHBand="1" w:evenHBand="0" w:firstRowFirstColumn="0" w:firstRowLastColumn="0" w:lastRowFirstColumn="0" w:lastRowLastColumn="0"/>
          <w:trHeight w:val="21"/>
        </w:trPr>
        <w:tc>
          <w:tcPr>
            <w:tcW w:w="1976" w:type="pct"/>
          </w:tcPr>
          <w:p w14:paraId="2C39CC55" w14:textId="77777777" w:rsidR="002514F8" w:rsidRPr="00730DE4" w:rsidRDefault="002514F8" w:rsidP="000B0ED0">
            <w:pPr>
              <w:pStyle w:val="NoSpacing"/>
            </w:pPr>
            <w:r w:rsidRPr="00730DE4">
              <w:rPr>
                <w:lang w:val="en-US"/>
              </w:rPr>
              <w:t>Number of fatal crashes on state-controlled roads per 100 million vehicle kilometres travelled where the road condition was likely to be a contributing factor</w:t>
            </w:r>
          </w:p>
        </w:tc>
        <w:tc>
          <w:tcPr>
            <w:tcW w:w="425" w:type="pct"/>
          </w:tcPr>
          <w:p w14:paraId="406095F2" w14:textId="77777777" w:rsidR="002514F8" w:rsidRPr="00730DE4" w:rsidRDefault="002514F8" w:rsidP="000B0ED0">
            <w:pPr>
              <w:pStyle w:val="NoSpacing"/>
              <w:jc w:val="right"/>
            </w:pPr>
            <w:r w:rsidRPr="00730DE4">
              <w:t>0.04</w:t>
            </w:r>
          </w:p>
        </w:tc>
        <w:tc>
          <w:tcPr>
            <w:tcW w:w="425" w:type="pct"/>
          </w:tcPr>
          <w:p w14:paraId="5465402D" w14:textId="77777777" w:rsidR="002514F8" w:rsidRPr="00730DE4" w:rsidRDefault="002514F8" w:rsidP="000B0ED0">
            <w:pPr>
              <w:pStyle w:val="NoSpacing"/>
              <w:jc w:val="right"/>
            </w:pPr>
            <w:r w:rsidRPr="00730DE4">
              <w:t>0.05</w:t>
            </w:r>
          </w:p>
        </w:tc>
        <w:tc>
          <w:tcPr>
            <w:tcW w:w="425" w:type="pct"/>
          </w:tcPr>
          <w:p w14:paraId="4B5BE154" w14:textId="77777777" w:rsidR="002514F8" w:rsidRPr="00730DE4" w:rsidRDefault="002514F8" w:rsidP="000B0ED0">
            <w:pPr>
              <w:pStyle w:val="NoSpacing"/>
              <w:jc w:val="right"/>
            </w:pPr>
            <w:r w:rsidRPr="00730DE4">
              <w:t>0.08</w:t>
            </w:r>
          </w:p>
        </w:tc>
        <w:tc>
          <w:tcPr>
            <w:tcW w:w="425" w:type="pct"/>
          </w:tcPr>
          <w:p w14:paraId="1EE02B55" w14:textId="77777777" w:rsidR="002514F8" w:rsidRPr="00730DE4" w:rsidRDefault="002514F8" w:rsidP="000B0ED0">
            <w:pPr>
              <w:pStyle w:val="NoSpacing"/>
              <w:jc w:val="right"/>
            </w:pPr>
            <w:r w:rsidRPr="00730DE4">
              <w:rPr>
                <w:lang w:val="en-US"/>
              </w:rPr>
              <w:t>0.05</w:t>
            </w:r>
          </w:p>
        </w:tc>
        <w:tc>
          <w:tcPr>
            <w:tcW w:w="595" w:type="pct"/>
          </w:tcPr>
          <w:p w14:paraId="18EB313A" w14:textId="77777777" w:rsidR="002514F8" w:rsidRPr="00730DE4" w:rsidRDefault="002514F8" w:rsidP="000B0ED0">
            <w:pPr>
              <w:pStyle w:val="NoSpacing"/>
              <w:jc w:val="right"/>
            </w:pPr>
            <w:r w:rsidRPr="00730DE4">
              <w:rPr>
                <w:lang w:val="en-US"/>
              </w:rPr>
              <w:t>0.05</w:t>
            </w:r>
          </w:p>
        </w:tc>
        <w:tc>
          <w:tcPr>
            <w:tcW w:w="425" w:type="pct"/>
          </w:tcPr>
          <w:p w14:paraId="11CC2D47" w14:textId="77777777" w:rsidR="002514F8" w:rsidRPr="00730DE4" w:rsidRDefault="002514F8" w:rsidP="000B0ED0">
            <w:pPr>
              <w:pStyle w:val="NoSpacing"/>
              <w:jc w:val="right"/>
            </w:pPr>
            <w:r w:rsidRPr="00730DE4">
              <w:rPr>
                <w:lang w:val="en-US"/>
              </w:rPr>
              <w:t>0.05</w:t>
            </w:r>
          </w:p>
        </w:tc>
        <w:tc>
          <w:tcPr>
            <w:tcW w:w="306" w:type="pct"/>
          </w:tcPr>
          <w:p w14:paraId="60F1C0E7" w14:textId="77777777" w:rsidR="002514F8" w:rsidRPr="00730DE4" w:rsidRDefault="002514F8" w:rsidP="000831CB">
            <w:pPr>
              <w:pStyle w:val="NoSpacing"/>
              <w:jc w:val="center"/>
              <w:rPr>
                <w:lang w:val="en-US"/>
              </w:rPr>
            </w:pPr>
          </w:p>
        </w:tc>
      </w:tr>
    </w:tbl>
    <w:p w14:paraId="6DA821F6" w14:textId="77777777" w:rsidR="002514F8" w:rsidRPr="00730DE4" w:rsidRDefault="002514F8" w:rsidP="00583174">
      <w:pPr>
        <w:pStyle w:val="FigureCaption"/>
        <w:rPr>
          <w:lang w:val="en-US"/>
        </w:rPr>
      </w:pPr>
      <w:r w:rsidRPr="00730DE4">
        <w:rPr>
          <w:lang w:val="en-US"/>
        </w:rPr>
        <w:t>Table 15: Transport Infrastructure Delivery efficiency measure</w:t>
      </w:r>
    </w:p>
    <w:tbl>
      <w:tblPr>
        <w:tblStyle w:val="TMRDefault"/>
        <w:tblW w:w="5000" w:type="pct"/>
        <w:tblLook w:val="04A0" w:firstRow="1" w:lastRow="0" w:firstColumn="1" w:lastColumn="0" w:noHBand="0" w:noVBand="1"/>
      </w:tblPr>
      <w:tblGrid>
        <w:gridCol w:w="5434"/>
        <w:gridCol w:w="1195"/>
        <w:gridCol w:w="1195"/>
        <w:gridCol w:w="1195"/>
        <w:gridCol w:w="1195"/>
        <w:gridCol w:w="1676"/>
        <w:gridCol w:w="1195"/>
        <w:gridCol w:w="907"/>
      </w:tblGrid>
      <w:tr w:rsidR="000A65A9" w:rsidRPr="00730DE4" w14:paraId="4B3D3066" w14:textId="77777777" w:rsidTr="007D1DCD">
        <w:trPr>
          <w:cnfStyle w:val="100000000000" w:firstRow="1" w:lastRow="0" w:firstColumn="0" w:lastColumn="0" w:oddVBand="0" w:evenVBand="0" w:oddHBand="0" w:evenHBand="0" w:firstRowFirstColumn="0" w:firstRowLastColumn="0" w:lastRowFirstColumn="0" w:lastRowLastColumn="0"/>
          <w:trHeight w:val="21"/>
          <w:tblHeader/>
        </w:trPr>
        <w:tc>
          <w:tcPr>
            <w:tcW w:w="1942" w:type="pct"/>
          </w:tcPr>
          <w:p w14:paraId="662BBDF2" w14:textId="77777777" w:rsidR="002514F8" w:rsidRPr="00730DE4" w:rsidRDefault="002514F8" w:rsidP="000B0ED0">
            <w:pPr>
              <w:pStyle w:val="NoSpacing"/>
              <w:rPr>
                <w:color w:val="FFFFFF" w:themeColor="background1"/>
              </w:rPr>
            </w:pPr>
            <w:r w:rsidRPr="00730DE4">
              <w:rPr>
                <w:color w:val="FFFFFF" w:themeColor="background1"/>
              </w:rPr>
              <w:t>Service standard</w:t>
            </w:r>
          </w:p>
        </w:tc>
        <w:tc>
          <w:tcPr>
            <w:tcW w:w="427" w:type="pct"/>
          </w:tcPr>
          <w:p w14:paraId="3722D630" w14:textId="77777777" w:rsidR="002514F8" w:rsidRPr="00730DE4" w:rsidRDefault="002514F8" w:rsidP="000B0ED0">
            <w:pPr>
              <w:pStyle w:val="NoSpacing"/>
              <w:jc w:val="right"/>
              <w:rPr>
                <w:color w:val="FFFFFF" w:themeColor="background1"/>
              </w:rPr>
            </w:pPr>
            <w:r w:rsidRPr="00730DE4">
              <w:rPr>
                <w:color w:val="FFFFFF" w:themeColor="background1"/>
              </w:rPr>
              <w:t>2019–20 Actual</w:t>
            </w:r>
          </w:p>
        </w:tc>
        <w:tc>
          <w:tcPr>
            <w:tcW w:w="427" w:type="pct"/>
          </w:tcPr>
          <w:p w14:paraId="4E7FD125" w14:textId="77777777" w:rsidR="002514F8" w:rsidRPr="00730DE4" w:rsidRDefault="002514F8" w:rsidP="000B0ED0">
            <w:pPr>
              <w:pStyle w:val="NoSpacing"/>
              <w:jc w:val="right"/>
              <w:rPr>
                <w:color w:val="FFFFFF" w:themeColor="background1"/>
              </w:rPr>
            </w:pPr>
            <w:r w:rsidRPr="00730DE4">
              <w:rPr>
                <w:color w:val="FFFFFF" w:themeColor="background1"/>
              </w:rPr>
              <w:t>2020–21 Actual</w:t>
            </w:r>
          </w:p>
        </w:tc>
        <w:tc>
          <w:tcPr>
            <w:tcW w:w="427" w:type="pct"/>
          </w:tcPr>
          <w:p w14:paraId="18874CE3" w14:textId="77777777" w:rsidR="002514F8" w:rsidRPr="00730DE4" w:rsidRDefault="002514F8" w:rsidP="000B0ED0">
            <w:pPr>
              <w:pStyle w:val="NoSpacing"/>
              <w:jc w:val="right"/>
              <w:rPr>
                <w:color w:val="FFFFFF" w:themeColor="background1"/>
              </w:rPr>
            </w:pPr>
            <w:r w:rsidRPr="00730DE4">
              <w:rPr>
                <w:color w:val="FFFFFF" w:themeColor="background1"/>
              </w:rPr>
              <w:t>2021–22 Actual</w:t>
            </w:r>
          </w:p>
        </w:tc>
        <w:tc>
          <w:tcPr>
            <w:tcW w:w="427" w:type="pct"/>
          </w:tcPr>
          <w:p w14:paraId="199D6F24" w14:textId="77777777" w:rsidR="002514F8" w:rsidRPr="00730DE4" w:rsidRDefault="002514F8" w:rsidP="000B0ED0">
            <w:pPr>
              <w:pStyle w:val="NoSpacing"/>
              <w:jc w:val="right"/>
              <w:rPr>
                <w:color w:val="FFFFFF" w:themeColor="background1"/>
              </w:rPr>
            </w:pPr>
            <w:r w:rsidRPr="00730DE4">
              <w:rPr>
                <w:color w:val="FFFFFF" w:themeColor="background1"/>
              </w:rPr>
              <w:t>2022–23 Actual</w:t>
            </w:r>
          </w:p>
        </w:tc>
        <w:tc>
          <w:tcPr>
            <w:tcW w:w="599" w:type="pct"/>
          </w:tcPr>
          <w:p w14:paraId="47BD8747" w14:textId="77777777" w:rsidR="002514F8" w:rsidRPr="00730DE4" w:rsidRDefault="002514F8" w:rsidP="000B0ED0">
            <w:pPr>
              <w:pStyle w:val="NoSpacing"/>
              <w:jc w:val="right"/>
              <w:rPr>
                <w:color w:val="FFFFFF" w:themeColor="background1"/>
              </w:rPr>
            </w:pPr>
            <w:r w:rsidRPr="00730DE4">
              <w:rPr>
                <w:color w:val="FFFFFF" w:themeColor="background1"/>
              </w:rPr>
              <w:t>2023–24 Target / Estimate</w:t>
            </w:r>
          </w:p>
        </w:tc>
        <w:tc>
          <w:tcPr>
            <w:tcW w:w="427" w:type="pct"/>
          </w:tcPr>
          <w:p w14:paraId="4CFB8868" w14:textId="77777777" w:rsidR="002514F8" w:rsidRPr="00730DE4" w:rsidRDefault="002514F8" w:rsidP="000B0ED0">
            <w:pPr>
              <w:pStyle w:val="NoSpacing"/>
              <w:jc w:val="right"/>
              <w:rPr>
                <w:color w:val="FFFFFF" w:themeColor="background1"/>
              </w:rPr>
            </w:pPr>
            <w:r w:rsidRPr="00730DE4">
              <w:rPr>
                <w:color w:val="FFFFFF" w:themeColor="background1"/>
              </w:rPr>
              <w:t>2023–24 Actual</w:t>
            </w:r>
          </w:p>
        </w:tc>
        <w:tc>
          <w:tcPr>
            <w:tcW w:w="325" w:type="pct"/>
          </w:tcPr>
          <w:p w14:paraId="68ACE0E9" w14:textId="77777777" w:rsidR="002514F8" w:rsidRPr="00730DE4" w:rsidRDefault="002514F8" w:rsidP="000831CB">
            <w:pPr>
              <w:pStyle w:val="NoSpacing"/>
              <w:jc w:val="center"/>
              <w:rPr>
                <w:color w:val="FFFFFF" w:themeColor="background1"/>
              </w:rPr>
            </w:pPr>
            <w:r w:rsidRPr="00730DE4">
              <w:rPr>
                <w:color w:val="FFFFFF" w:themeColor="background1"/>
              </w:rPr>
              <w:t>Notes</w:t>
            </w:r>
          </w:p>
        </w:tc>
      </w:tr>
      <w:tr w:rsidR="000A65A9" w:rsidRPr="00730DE4" w14:paraId="42BE4BE0" w14:textId="77777777" w:rsidTr="007D1DCD">
        <w:trPr>
          <w:cnfStyle w:val="000000100000" w:firstRow="0" w:lastRow="0" w:firstColumn="0" w:lastColumn="0" w:oddVBand="0" w:evenVBand="0" w:oddHBand="1" w:evenHBand="0" w:firstRowFirstColumn="0" w:firstRowLastColumn="0" w:lastRowFirstColumn="0" w:lastRowLastColumn="0"/>
          <w:trHeight w:val="21"/>
        </w:trPr>
        <w:tc>
          <w:tcPr>
            <w:tcW w:w="1942" w:type="pct"/>
          </w:tcPr>
          <w:p w14:paraId="05768629" w14:textId="77777777" w:rsidR="002514F8" w:rsidRPr="00730DE4" w:rsidRDefault="002514F8" w:rsidP="000B0ED0">
            <w:pPr>
              <w:pStyle w:val="NoSpacing"/>
            </w:pPr>
            <w:r w:rsidRPr="00730DE4">
              <w:rPr>
                <w:lang w:val="en-US"/>
              </w:rPr>
              <w:t>Administrative cost of delivering the Queensland Transport and Roads Investment Program (QTRIP) per $1000 of the QTRIP published budget</w:t>
            </w:r>
          </w:p>
        </w:tc>
        <w:tc>
          <w:tcPr>
            <w:tcW w:w="427" w:type="pct"/>
          </w:tcPr>
          <w:p w14:paraId="2F0582DA" w14:textId="77777777" w:rsidR="002514F8" w:rsidRPr="00730DE4" w:rsidRDefault="002514F8" w:rsidP="000B0ED0">
            <w:pPr>
              <w:pStyle w:val="NoSpacing"/>
              <w:jc w:val="right"/>
            </w:pPr>
            <w:r w:rsidRPr="00730DE4">
              <w:t>N/A</w:t>
            </w:r>
          </w:p>
        </w:tc>
        <w:tc>
          <w:tcPr>
            <w:tcW w:w="427" w:type="pct"/>
          </w:tcPr>
          <w:p w14:paraId="0179A244" w14:textId="77777777" w:rsidR="002514F8" w:rsidRPr="00730DE4" w:rsidRDefault="002514F8" w:rsidP="000B0ED0">
            <w:pPr>
              <w:pStyle w:val="NoSpacing"/>
              <w:jc w:val="right"/>
            </w:pPr>
            <w:r w:rsidRPr="00730DE4">
              <w:t>N/A</w:t>
            </w:r>
          </w:p>
        </w:tc>
        <w:tc>
          <w:tcPr>
            <w:tcW w:w="427" w:type="pct"/>
          </w:tcPr>
          <w:p w14:paraId="3252BF9B" w14:textId="77777777" w:rsidR="002514F8" w:rsidRPr="00730DE4" w:rsidRDefault="002514F8" w:rsidP="000B0ED0">
            <w:pPr>
              <w:pStyle w:val="NoSpacing"/>
              <w:jc w:val="right"/>
            </w:pPr>
            <w:r w:rsidRPr="00730DE4">
              <w:t>N/A</w:t>
            </w:r>
          </w:p>
        </w:tc>
        <w:tc>
          <w:tcPr>
            <w:tcW w:w="427" w:type="pct"/>
          </w:tcPr>
          <w:p w14:paraId="2B8D59EE" w14:textId="77777777" w:rsidR="002514F8" w:rsidRPr="00730DE4" w:rsidRDefault="002514F8" w:rsidP="000B0ED0">
            <w:pPr>
              <w:pStyle w:val="NoSpacing"/>
              <w:jc w:val="right"/>
            </w:pPr>
            <w:r w:rsidRPr="00730DE4">
              <w:t>N/A</w:t>
            </w:r>
          </w:p>
        </w:tc>
        <w:tc>
          <w:tcPr>
            <w:tcW w:w="599" w:type="pct"/>
          </w:tcPr>
          <w:p w14:paraId="68BFBC6A" w14:textId="77777777" w:rsidR="002514F8" w:rsidRPr="00730DE4" w:rsidRDefault="002514F8" w:rsidP="000B0ED0">
            <w:pPr>
              <w:pStyle w:val="NoSpacing"/>
              <w:jc w:val="right"/>
            </w:pPr>
            <w:r w:rsidRPr="00730DE4">
              <w:rPr>
                <w:lang w:val="en-US"/>
              </w:rPr>
              <w:t>&lt;$51</w:t>
            </w:r>
          </w:p>
        </w:tc>
        <w:tc>
          <w:tcPr>
            <w:tcW w:w="427" w:type="pct"/>
          </w:tcPr>
          <w:p w14:paraId="1EAC1281" w14:textId="77777777" w:rsidR="002514F8" w:rsidRPr="00730DE4" w:rsidRDefault="002514F8" w:rsidP="000B0ED0">
            <w:pPr>
              <w:pStyle w:val="NoSpacing"/>
              <w:jc w:val="right"/>
            </w:pPr>
            <w:r w:rsidRPr="00730DE4">
              <w:rPr>
                <w:lang w:val="en-US"/>
              </w:rPr>
              <w:t>$21.12</w:t>
            </w:r>
          </w:p>
        </w:tc>
        <w:tc>
          <w:tcPr>
            <w:tcW w:w="325" w:type="pct"/>
          </w:tcPr>
          <w:p w14:paraId="4A4E8E84" w14:textId="77777777" w:rsidR="002514F8" w:rsidRPr="00730DE4" w:rsidRDefault="002514F8" w:rsidP="000831CB">
            <w:pPr>
              <w:pStyle w:val="NoSpacing"/>
              <w:jc w:val="center"/>
              <w:rPr>
                <w:lang w:val="en-US"/>
              </w:rPr>
            </w:pPr>
            <w:r w:rsidRPr="00730DE4">
              <w:rPr>
                <w:lang w:val="en-US"/>
              </w:rPr>
              <w:t>2</w:t>
            </w:r>
          </w:p>
        </w:tc>
      </w:tr>
    </w:tbl>
    <w:p w14:paraId="358B14F6" w14:textId="77777777" w:rsidR="002514F8" w:rsidRPr="00730DE4" w:rsidRDefault="002514F8" w:rsidP="00583174">
      <w:pPr>
        <w:pStyle w:val="Caption"/>
        <w:rPr>
          <w:lang w:val="en-US"/>
        </w:rPr>
      </w:pPr>
      <w:r w:rsidRPr="00730DE4">
        <w:rPr>
          <w:lang w:val="en-US"/>
        </w:rPr>
        <w:t>Notes:</w:t>
      </w:r>
    </w:p>
    <w:p w14:paraId="33AFE0E8" w14:textId="77777777" w:rsidR="002514F8" w:rsidRPr="00730DE4" w:rsidRDefault="002514F8" w:rsidP="00583174">
      <w:pPr>
        <w:pStyle w:val="Caption"/>
        <w:rPr>
          <w:lang w:val="en-US"/>
        </w:rPr>
      </w:pPr>
      <w:r w:rsidRPr="00730DE4">
        <w:rPr>
          <w:lang w:val="en-US"/>
        </w:rPr>
        <w:t>1. The variance between the 2023–24 Target/Estimate and 2023–24 Actual can be attributed to significant population growth of 3 per cent in 2022–23 in South East Queensland driving growth in network demand, and major projects impacting network performance including the Northern Transitway and upgrades on the Pacific Motorway, Bruce Highway, Ipswich Motorway, and Centenary Motorway.</w:t>
      </w:r>
    </w:p>
    <w:p w14:paraId="7D53FF51" w14:textId="77777777" w:rsidR="002514F8" w:rsidRPr="00730DE4" w:rsidRDefault="002514F8" w:rsidP="00583174">
      <w:pPr>
        <w:pStyle w:val="Caption"/>
        <w:rPr>
          <w:lang w:val="en-US"/>
        </w:rPr>
      </w:pPr>
      <w:r w:rsidRPr="00730DE4">
        <w:rPr>
          <w:lang w:val="en-US"/>
        </w:rPr>
        <w:t>2. The variance between the 2023–24 Target/Estimate and 2023–24 Actual is due to relatively stable administrative costs being maintained.</w:t>
      </w:r>
    </w:p>
    <w:p w14:paraId="5E439A07" w14:textId="77777777" w:rsidR="00EA1647" w:rsidRDefault="00EA1647" w:rsidP="002B7001">
      <w:pPr>
        <w:pStyle w:val="Heading3"/>
        <w:rPr>
          <w:lang w:val="en-US"/>
        </w:rPr>
      </w:pPr>
      <w:r>
        <w:rPr>
          <w:lang w:val="en-US"/>
        </w:rPr>
        <w:br w:type="page"/>
      </w:r>
    </w:p>
    <w:p w14:paraId="1A76BADE" w14:textId="51C3C403" w:rsidR="002514F8" w:rsidRPr="00730DE4" w:rsidRDefault="002514F8" w:rsidP="002B7001">
      <w:pPr>
        <w:pStyle w:val="Heading3"/>
        <w:rPr>
          <w:lang w:val="en-US"/>
        </w:rPr>
      </w:pPr>
      <w:bookmarkStart w:id="272" w:name="_Toc180487320"/>
      <w:bookmarkStart w:id="273" w:name="_Toc180490526"/>
      <w:bookmarkStart w:id="274" w:name="_Toc180491559"/>
      <w:r w:rsidRPr="00730DE4">
        <w:rPr>
          <w:lang w:val="en-US"/>
        </w:rPr>
        <w:t>Service area: Transport Safety and Regulation</w:t>
      </w:r>
      <w:bookmarkEnd w:id="272"/>
      <w:bookmarkEnd w:id="273"/>
      <w:bookmarkEnd w:id="274"/>
    </w:p>
    <w:p w14:paraId="57EB949D" w14:textId="77777777" w:rsidR="002514F8" w:rsidRPr="00730DE4" w:rsidRDefault="002514F8" w:rsidP="00583174">
      <w:pPr>
        <w:rPr>
          <w:lang w:val="en-US"/>
        </w:rPr>
      </w:pPr>
      <w:r w:rsidRPr="00730DE4">
        <w:rPr>
          <w:rStyle w:val="Strong"/>
        </w:rPr>
        <w:t xml:space="preserve">Service area objective: </w:t>
      </w:r>
      <w:r w:rsidRPr="00730DE4">
        <w:t>To enhance the safety of the transport system through quality regulation, road, and maritime safety programs.</w:t>
      </w:r>
    </w:p>
    <w:p w14:paraId="03B12D32" w14:textId="77777777" w:rsidR="002514F8" w:rsidRPr="00730DE4" w:rsidRDefault="002514F8" w:rsidP="00583174">
      <w:pPr>
        <w:pStyle w:val="FigureCaption"/>
        <w:rPr>
          <w:lang w:val="en-US"/>
        </w:rPr>
      </w:pPr>
      <w:r w:rsidRPr="00730DE4">
        <w:rPr>
          <w:lang w:val="en-US"/>
        </w:rPr>
        <w:t>Table 16: Transport Safety and Regulation effectiveness measures</w:t>
      </w:r>
    </w:p>
    <w:tbl>
      <w:tblPr>
        <w:tblStyle w:val="TMRDefault"/>
        <w:tblW w:w="5000" w:type="pct"/>
        <w:tblLook w:val="04A0" w:firstRow="1" w:lastRow="0" w:firstColumn="1" w:lastColumn="0" w:noHBand="0" w:noVBand="1"/>
      </w:tblPr>
      <w:tblGrid>
        <w:gridCol w:w="4312"/>
        <w:gridCol w:w="1360"/>
        <w:gridCol w:w="1360"/>
        <w:gridCol w:w="1360"/>
        <w:gridCol w:w="1360"/>
        <w:gridCol w:w="2006"/>
        <w:gridCol w:w="1360"/>
        <w:gridCol w:w="874"/>
      </w:tblGrid>
      <w:tr w:rsidR="000A65A9" w:rsidRPr="00730DE4" w14:paraId="5372DEB1" w14:textId="77777777" w:rsidTr="006545E5">
        <w:trPr>
          <w:cnfStyle w:val="100000000000" w:firstRow="1" w:lastRow="0" w:firstColumn="0" w:lastColumn="0" w:oddVBand="0" w:evenVBand="0" w:oddHBand="0" w:evenHBand="0" w:firstRowFirstColumn="0" w:firstRowLastColumn="0" w:lastRowFirstColumn="0" w:lastRowLastColumn="0"/>
          <w:trHeight w:val="21"/>
          <w:tblHeader/>
        </w:trPr>
        <w:tc>
          <w:tcPr>
            <w:tcW w:w="1541" w:type="pct"/>
          </w:tcPr>
          <w:p w14:paraId="3F1F88B1" w14:textId="77777777" w:rsidR="002514F8" w:rsidRPr="00730DE4" w:rsidRDefault="002514F8" w:rsidP="000B0ED0">
            <w:pPr>
              <w:pStyle w:val="NoSpacing"/>
              <w:rPr>
                <w:color w:val="FFFFFF" w:themeColor="background1"/>
              </w:rPr>
            </w:pPr>
            <w:r w:rsidRPr="00730DE4">
              <w:rPr>
                <w:color w:val="FFFFFF" w:themeColor="background1"/>
              </w:rPr>
              <w:t>Service standards</w:t>
            </w:r>
          </w:p>
        </w:tc>
        <w:tc>
          <w:tcPr>
            <w:tcW w:w="486" w:type="pct"/>
          </w:tcPr>
          <w:p w14:paraId="37CBCA9D" w14:textId="77777777" w:rsidR="002514F8" w:rsidRPr="00730DE4" w:rsidRDefault="002514F8" w:rsidP="00BE710F">
            <w:pPr>
              <w:pStyle w:val="NoSpacing"/>
              <w:jc w:val="right"/>
              <w:rPr>
                <w:color w:val="FFFFFF" w:themeColor="background1"/>
              </w:rPr>
            </w:pPr>
            <w:r w:rsidRPr="00730DE4">
              <w:rPr>
                <w:color w:val="FFFFFF" w:themeColor="background1"/>
              </w:rPr>
              <w:t>2019–20 Actual</w:t>
            </w:r>
          </w:p>
        </w:tc>
        <w:tc>
          <w:tcPr>
            <w:tcW w:w="486" w:type="pct"/>
          </w:tcPr>
          <w:p w14:paraId="2028BA7C" w14:textId="77777777" w:rsidR="002514F8" w:rsidRPr="00730DE4" w:rsidRDefault="002514F8" w:rsidP="00BE710F">
            <w:pPr>
              <w:pStyle w:val="NoSpacing"/>
              <w:jc w:val="right"/>
              <w:rPr>
                <w:color w:val="FFFFFF" w:themeColor="background1"/>
              </w:rPr>
            </w:pPr>
            <w:r w:rsidRPr="00730DE4">
              <w:rPr>
                <w:color w:val="FFFFFF" w:themeColor="background1"/>
              </w:rPr>
              <w:t>2020–21 Actual</w:t>
            </w:r>
          </w:p>
        </w:tc>
        <w:tc>
          <w:tcPr>
            <w:tcW w:w="486" w:type="pct"/>
          </w:tcPr>
          <w:p w14:paraId="5586EB88" w14:textId="77777777" w:rsidR="002514F8" w:rsidRPr="00730DE4" w:rsidRDefault="002514F8" w:rsidP="00BE710F">
            <w:pPr>
              <w:pStyle w:val="NoSpacing"/>
              <w:jc w:val="right"/>
              <w:rPr>
                <w:color w:val="FFFFFF" w:themeColor="background1"/>
              </w:rPr>
            </w:pPr>
            <w:r w:rsidRPr="00730DE4">
              <w:rPr>
                <w:color w:val="FFFFFF" w:themeColor="background1"/>
              </w:rPr>
              <w:t>2021–22 Actual</w:t>
            </w:r>
          </w:p>
        </w:tc>
        <w:tc>
          <w:tcPr>
            <w:tcW w:w="486" w:type="pct"/>
          </w:tcPr>
          <w:p w14:paraId="34069AFF" w14:textId="77777777" w:rsidR="002514F8" w:rsidRPr="00730DE4" w:rsidRDefault="002514F8" w:rsidP="00BE710F">
            <w:pPr>
              <w:pStyle w:val="NoSpacing"/>
              <w:jc w:val="right"/>
              <w:rPr>
                <w:color w:val="FFFFFF" w:themeColor="background1"/>
              </w:rPr>
            </w:pPr>
            <w:r w:rsidRPr="00730DE4">
              <w:rPr>
                <w:color w:val="FFFFFF" w:themeColor="background1"/>
              </w:rPr>
              <w:t>2022–23 Actual</w:t>
            </w:r>
          </w:p>
        </w:tc>
        <w:tc>
          <w:tcPr>
            <w:tcW w:w="717" w:type="pct"/>
          </w:tcPr>
          <w:p w14:paraId="7C74F343" w14:textId="77777777" w:rsidR="002514F8" w:rsidRPr="00730DE4" w:rsidRDefault="002514F8" w:rsidP="00BE710F">
            <w:pPr>
              <w:pStyle w:val="NoSpacing"/>
              <w:jc w:val="right"/>
              <w:rPr>
                <w:color w:val="FFFFFF" w:themeColor="background1"/>
              </w:rPr>
            </w:pPr>
            <w:r w:rsidRPr="00730DE4">
              <w:rPr>
                <w:color w:val="FFFFFF" w:themeColor="background1"/>
              </w:rPr>
              <w:t>2023–24 Target / Estimate</w:t>
            </w:r>
          </w:p>
        </w:tc>
        <w:tc>
          <w:tcPr>
            <w:tcW w:w="486" w:type="pct"/>
          </w:tcPr>
          <w:p w14:paraId="2DA54E3F" w14:textId="77777777" w:rsidR="002514F8" w:rsidRPr="00730DE4" w:rsidRDefault="002514F8" w:rsidP="00BE710F">
            <w:pPr>
              <w:pStyle w:val="NoSpacing"/>
              <w:jc w:val="right"/>
              <w:rPr>
                <w:color w:val="FFFFFF" w:themeColor="background1"/>
              </w:rPr>
            </w:pPr>
            <w:r w:rsidRPr="00730DE4">
              <w:rPr>
                <w:color w:val="FFFFFF" w:themeColor="background1"/>
              </w:rPr>
              <w:t>2023–24 Actual</w:t>
            </w:r>
          </w:p>
        </w:tc>
        <w:tc>
          <w:tcPr>
            <w:tcW w:w="312" w:type="pct"/>
          </w:tcPr>
          <w:p w14:paraId="39B798EF" w14:textId="77777777" w:rsidR="002514F8" w:rsidRPr="00730DE4" w:rsidRDefault="002514F8" w:rsidP="000831CB">
            <w:pPr>
              <w:pStyle w:val="NoSpacing"/>
              <w:jc w:val="center"/>
              <w:rPr>
                <w:color w:val="FFFFFF" w:themeColor="background1"/>
              </w:rPr>
            </w:pPr>
            <w:r w:rsidRPr="00730DE4">
              <w:rPr>
                <w:color w:val="FFFFFF" w:themeColor="background1"/>
              </w:rPr>
              <w:t>Notes</w:t>
            </w:r>
          </w:p>
        </w:tc>
      </w:tr>
      <w:tr w:rsidR="000A65A9" w:rsidRPr="00730DE4" w14:paraId="4E189C7D" w14:textId="77777777" w:rsidTr="006545E5">
        <w:trPr>
          <w:cnfStyle w:val="000000100000" w:firstRow="0" w:lastRow="0" w:firstColumn="0" w:lastColumn="0" w:oddVBand="0" w:evenVBand="0" w:oddHBand="1" w:evenHBand="0" w:firstRowFirstColumn="0" w:firstRowLastColumn="0" w:lastRowFirstColumn="0" w:lastRowLastColumn="0"/>
          <w:trHeight w:val="21"/>
        </w:trPr>
        <w:tc>
          <w:tcPr>
            <w:tcW w:w="1541" w:type="pct"/>
          </w:tcPr>
          <w:p w14:paraId="78D60C48" w14:textId="77777777" w:rsidR="002514F8" w:rsidRPr="00730DE4" w:rsidRDefault="002514F8" w:rsidP="000B0ED0">
            <w:pPr>
              <w:pStyle w:val="NoSpacing"/>
            </w:pPr>
            <w:r w:rsidRPr="00730DE4">
              <w:t>Fatalities per 100,000 population on state-controlled roads</w:t>
            </w:r>
          </w:p>
        </w:tc>
        <w:tc>
          <w:tcPr>
            <w:tcW w:w="486" w:type="pct"/>
          </w:tcPr>
          <w:p w14:paraId="46A21A25" w14:textId="77777777" w:rsidR="002514F8" w:rsidRPr="00730DE4" w:rsidRDefault="002514F8" w:rsidP="00BE710F">
            <w:pPr>
              <w:pStyle w:val="NoSpacing"/>
              <w:jc w:val="right"/>
            </w:pPr>
            <w:r w:rsidRPr="00730DE4">
              <w:t>2.98</w:t>
            </w:r>
          </w:p>
        </w:tc>
        <w:tc>
          <w:tcPr>
            <w:tcW w:w="486" w:type="pct"/>
          </w:tcPr>
          <w:p w14:paraId="53D1DE2C" w14:textId="77777777" w:rsidR="002514F8" w:rsidRPr="00730DE4" w:rsidRDefault="002514F8" w:rsidP="00BE710F">
            <w:pPr>
              <w:pStyle w:val="NoSpacing"/>
              <w:jc w:val="right"/>
            </w:pPr>
            <w:r w:rsidRPr="00730DE4">
              <w:t>3.70</w:t>
            </w:r>
          </w:p>
        </w:tc>
        <w:tc>
          <w:tcPr>
            <w:tcW w:w="486" w:type="pct"/>
          </w:tcPr>
          <w:p w14:paraId="35452AEE" w14:textId="77777777" w:rsidR="002514F8" w:rsidRPr="00730DE4" w:rsidRDefault="002514F8" w:rsidP="00BE710F">
            <w:pPr>
              <w:pStyle w:val="NoSpacing"/>
              <w:jc w:val="right"/>
            </w:pPr>
            <w:r w:rsidRPr="00730DE4">
              <w:t>3.27</w:t>
            </w:r>
          </w:p>
        </w:tc>
        <w:tc>
          <w:tcPr>
            <w:tcW w:w="486" w:type="pct"/>
          </w:tcPr>
          <w:p w14:paraId="398CCA59" w14:textId="77777777" w:rsidR="002514F8" w:rsidRPr="00730DE4" w:rsidRDefault="002514F8" w:rsidP="00BE710F">
            <w:pPr>
              <w:pStyle w:val="NoSpacing"/>
              <w:jc w:val="right"/>
            </w:pPr>
            <w:r w:rsidRPr="00730DE4">
              <w:t>2.88</w:t>
            </w:r>
          </w:p>
        </w:tc>
        <w:tc>
          <w:tcPr>
            <w:tcW w:w="717" w:type="pct"/>
          </w:tcPr>
          <w:p w14:paraId="693B82A9" w14:textId="77777777" w:rsidR="002514F8" w:rsidRPr="00730DE4" w:rsidRDefault="002514F8" w:rsidP="00BE710F">
            <w:pPr>
              <w:pStyle w:val="NoSpacing"/>
              <w:jc w:val="right"/>
            </w:pPr>
            <w:r w:rsidRPr="00730DE4">
              <w:t>2.59</w:t>
            </w:r>
          </w:p>
        </w:tc>
        <w:tc>
          <w:tcPr>
            <w:tcW w:w="486" w:type="pct"/>
          </w:tcPr>
          <w:p w14:paraId="2B106E6E" w14:textId="77777777" w:rsidR="002514F8" w:rsidRPr="00730DE4" w:rsidRDefault="002514F8" w:rsidP="00BE710F">
            <w:pPr>
              <w:pStyle w:val="NoSpacing"/>
              <w:jc w:val="right"/>
            </w:pPr>
            <w:r w:rsidRPr="00730DE4">
              <w:t>3.20</w:t>
            </w:r>
          </w:p>
        </w:tc>
        <w:tc>
          <w:tcPr>
            <w:tcW w:w="312" w:type="pct"/>
          </w:tcPr>
          <w:p w14:paraId="30692E0E" w14:textId="77777777" w:rsidR="002514F8" w:rsidRPr="00730DE4" w:rsidRDefault="002514F8" w:rsidP="000831CB">
            <w:pPr>
              <w:pStyle w:val="NoSpacing"/>
              <w:jc w:val="center"/>
            </w:pPr>
            <w:r w:rsidRPr="00730DE4">
              <w:t>1</w:t>
            </w:r>
          </w:p>
        </w:tc>
      </w:tr>
      <w:tr w:rsidR="002514F8" w:rsidRPr="00730DE4" w14:paraId="6CDDF17A" w14:textId="77777777" w:rsidTr="006545E5">
        <w:trPr>
          <w:trHeight w:val="21"/>
        </w:trPr>
        <w:tc>
          <w:tcPr>
            <w:tcW w:w="1541" w:type="pct"/>
          </w:tcPr>
          <w:p w14:paraId="2138333D" w14:textId="77777777" w:rsidR="002514F8" w:rsidRPr="00730DE4" w:rsidRDefault="002514F8" w:rsidP="000B0ED0">
            <w:pPr>
              <w:pStyle w:val="NoSpacing"/>
            </w:pPr>
            <w:r w:rsidRPr="00730DE4">
              <w:t>Road fatalities per 100,000 population</w:t>
            </w:r>
          </w:p>
        </w:tc>
        <w:tc>
          <w:tcPr>
            <w:tcW w:w="486" w:type="pct"/>
          </w:tcPr>
          <w:p w14:paraId="04127E1C" w14:textId="77777777" w:rsidR="002514F8" w:rsidRPr="00730DE4" w:rsidRDefault="002514F8" w:rsidP="00BE710F">
            <w:pPr>
              <w:pStyle w:val="NoSpacing"/>
              <w:jc w:val="right"/>
            </w:pPr>
            <w:r w:rsidRPr="00730DE4">
              <w:t>4.64</w:t>
            </w:r>
          </w:p>
        </w:tc>
        <w:tc>
          <w:tcPr>
            <w:tcW w:w="486" w:type="pct"/>
          </w:tcPr>
          <w:p w14:paraId="547CAE92" w14:textId="77777777" w:rsidR="002514F8" w:rsidRPr="00730DE4" w:rsidRDefault="002514F8" w:rsidP="00BE710F">
            <w:pPr>
              <w:pStyle w:val="NoSpacing"/>
              <w:jc w:val="right"/>
            </w:pPr>
            <w:r w:rsidRPr="00730DE4">
              <w:t>5.66</w:t>
            </w:r>
          </w:p>
        </w:tc>
        <w:tc>
          <w:tcPr>
            <w:tcW w:w="486" w:type="pct"/>
          </w:tcPr>
          <w:p w14:paraId="4E41EBEF" w14:textId="77777777" w:rsidR="002514F8" w:rsidRPr="00730DE4" w:rsidRDefault="002514F8" w:rsidP="00BE710F">
            <w:pPr>
              <w:pStyle w:val="NoSpacing"/>
              <w:jc w:val="right"/>
            </w:pPr>
            <w:r w:rsidRPr="00730DE4">
              <w:t>5.57</w:t>
            </w:r>
          </w:p>
        </w:tc>
        <w:tc>
          <w:tcPr>
            <w:tcW w:w="486" w:type="pct"/>
          </w:tcPr>
          <w:p w14:paraId="520501F2" w14:textId="77777777" w:rsidR="002514F8" w:rsidRPr="00730DE4" w:rsidRDefault="002514F8" w:rsidP="00BE710F">
            <w:pPr>
              <w:pStyle w:val="NoSpacing"/>
              <w:jc w:val="right"/>
            </w:pPr>
            <w:r w:rsidRPr="00730DE4">
              <w:t>5.10</w:t>
            </w:r>
          </w:p>
        </w:tc>
        <w:tc>
          <w:tcPr>
            <w:tcW w:w="717" w:type="pct"/>
          </w:tcPr>
          <w:p w14:paraId="25287DC1" w14:textId="77777777" w:rsidR="002514F8" w:rsidRPr="00730DE4" w:rsidRDefault="002514F8" w:rsidP="00BE710F">
            <w:pPr>
              <w:pStyle w:val="NoSpacing"/>
              <w:jc w:val="right"/>
            </w:pPr>
            <w:r w:rsidRPr="00730DE4">
              <w:t>4.28</w:t>
            </w:r>
          </w:p>
        </w:tc>
        <w:tc>
          <w:tcPr>
            <w:tcW w:w="486" w:type="pct"/>
          </w:tcPr>
          <w:p w14:paraId="1D6D0A9D" w14:textId="77777777" w:rsidR="002514F8" w:rsidRPr="00730DE4" w:rsidRDefault="002514F8" w:rsidP="00BE710F">
            <w:pPr>
              <w:pStyle w:val="NoSpacing"/>
              <w:jc w:val="right"/>
            </w:pPr>
            <w:r w:rsidRPr="00730DE4">
              <w:t>5.35</w:t>
            </w:r>
          </w:p>
        </w:tc>
        <w:tc>
          <w:tcPr>
            <w:tcW w:w="312" w:type="pct"/>
          </w:tcPr>
          <w:p w14:paraId="7B3CF708" w14:textId="77777777" w:rsidR="002514F8" w:rsidRPr="00730DE4" w:rsidRDefault="002514F8" w:rsidP="000831CB">
            <w:pPr>
              <w:pStyle w:val="NoSpacing"/>
              <w:jc w:val="center"/>
            </w:pPr>
            <w:r w:rsidRPr="00730DE4">
              <w:t>1</w:t>
            </w:r>
          </w:p>
        </w:tc>
      </w:tr>
      <w:tr w:rsidR="000A65A9" w:rsidRPr="00730DE4" w14:paraId="4763AE08" w14:textId="77777777" w:rsidTr="006545E5">
        <w:trPr>
          <w:cnfStyle w:val="000000100000" w:firstRow="0" w:lastRow="0" w:firstColumn="0" w:lastColumn="0" w:oddVBand="0" w:evenVBand="0" w:oddHBand="1" w:evenHBand="0" w:firstRowFirstColumn="0" w:firstRowLastColumn="0" w:lastRowFirstColumn="0" w:lastRowLastColumn="0"/>
          <w:trHeight w:val="21"/>
        </w:trPr>
        <w:tc>
          <w:tcPr>
            <w:tcW w:w="1541" w:type="pct"/>
          </w:tcPr>
          <w:p w14:paraId="1985D407" w14:textId="77777777" w:rsidR="002514F8" w:rsidRPr="00730DE4" w:rsidRDefault="002514F8" w:rsidP="000B0ED0">
            <w:pPr>
              <w:pStyle w:val="NoSpacing"/>
            </w:pPr>
            <w:r w:rsidRPr="00730DE4">
              <w:t>Hospitalised road casualties per 100,000 population</w:t>
            </w:r>
          </w:p>
        </w:tc>
        <w:tc>
          <w:tcPr>
            <w:tcW w:w="486" w:type="pct"/>
          </w:tcPr>
          <w:p w14:paraId="3E23CA03" w14:textId="77777777" w:rsidR="002514F8" w:rsidRPr="00730DE4" w:rsidRDefault="002514F8" w:rsidP="00BE710F">
            <w:pPr>
              <w:pStyle w:val="NoSpacing"/>
              <w:jc w:val="right"/>
            </w:pPr>
            <w:r w:rsidRPr="00730DE4">
              <w:t>136.26</w:t>
            </w:r>
          </w:p>
        </w:tc>
        <w:tc>
          <w:tcPr>
            <w:tcW w:w="486" w:type="pct"/>
          </w:tcPr>
          <w:p w14:paraId="7E09BB24" w14:textId="77777777" w:rsidR="002514F8" w:rsidRPr="00730DE4" w:rsidRDefault="002514F8" w:rsidP="00BE710F">
            <w:pPr>
              <w:pStyle w:val="NoSpacing"/>
              <w:jc w:val="right"/>
            </w:pPr>
            <w:r w:rsidRPr="00730DE4">
              <w:t>134.16</w:t>
            </w:r>
          </w:p>
        </w:tc>
        <w:tc>
          <w:tcPr>
            <w:tcW w:w="486" w:type="pct"/>
          </w:tcPr>
          <w:p w14:paraId="565D3D0D" w14:textId="77777777" w:rsidR="002514F8" w:rsidRPr="00730DE4" w:rsidRDefault="002514F8" w:rsidP="00BE710F">
            <w:pPr>
              <w:pStyle w:val="NoSpacing"/>
              <w:jc w:val="right"/>
            </w:pPr>
            <w:r w:rsidRPr="00730DE4">
              <w:t>150.09</w:t>
            </w:r>
          </w:p>
        </w:tc>
        <w:tc>
          <w:tcPr>
            <w:tcW w:w="486" w:type="pct"/>
          </w:tcPr>
          <w:p w14:paraId="51FC07FE" w14:textId="77777777" w:rsidR="002514F8" w:rsidRPr="00730DE4" w:rsidRDefault="002514F8" w:rsidP="00BE710F">
            <w:pPr>
              <w:pStyle w:val="NoSpacing"/>
              <w:jc w:val="right"/>
            </w:pPr>
            <w:r w:rsidRPr="00730DE4">
              <w:t>140.07</w:t>
            </w:r>
          </w:p>
        </w:tc>
        <w:tc>
          <w:tcPr>
            <w:tcW w:w="717" w:type="pct"/>
          </w:tcPr>
          <w:p w14:paraId="4CCB872B" w14:textId="77777777" w:rsidR="002514F8" w:rsidRPr="00730DE4" w:rsidRDefault="002514F8" w:rsidP="00BE710F">
            <w:pPr>
              <w:pStyle w:val="NoSpacing"/>
              <w:jc w:val="right"/>
            </w:pPr>
            <w:r w:rsidRPr="00730DE4">
              <w:t>110</w:t>
            </w:r>
          </w:p>
        </w:tc>
        <w:tc>
          <w:tcPr>
            <w:tcW w:w="486" w:type="pct"/>
          </w:tcPr>
          <w:p w14:paraId="370D6C0A" w14:textId="77777777" w:rsidR="002514F8" w:rsidRPr="00730DE4" w:rsidRDefault="002514F8" w:rsidP="00BE710F">
            <w:pPr>
              <w:pStyle w:val="NoSpacing"/>
              <w:jc w:val="right"/>
            </w:pPr>
            <w:r w:rsidRPr="00730DE4">
              <w:t>153.70</w:t>
            </w:r>
          </w:p>
        </w:tc>
        <w:tc>
          <w:tcPr>
            <w:tcW w:w="312" w:type="pct"/>
          </w:tcPr>
          <w:p w14:paraId="18F6994C" w14:textId="77777777" w:rsidR="002514F8" w:rsidRPr="00730DE4" w:rsidRDefault="002514F8" w:rsidP="000831CB">
            <w:pPr>
              <w:pStyle w:val="NoSpacing"/>
              <w:jc w:val="center"/>
            </w:pPr>
            <w:r w:rsidRPr="00730DE4">
              <w:t>1, 2</w:t>
            </w:r>
          </w:p>
        </w:tc>
      </w:tr>
      <w:tr w:rsidR="002514F8" w:rsidRPr="00730DE4" w14:paraId="4887B597" w14:textId="77777777" w:rsidTr="006545E5">
        <w:trPr>
          <w:trHeight w:val="21"/>
        </w:trPr>
        <w:tc>
          <w:tcPr>
            <w:tcW w:w="1541" w:type="pct"/>
          </w:tcPr>
          <w:p w14:paraId="5618564D" w14:textId="77777777" w:rsidR="002514F8" w:rsidRPr="00730DE4" w:rsidRDefault="002514F8" w:rsidP="000B0ED0">
            <w:pPr>
              <w:pStyle w:val="NoSpacing"/>
            </w:pPr>
            <w:r w:rsidRPr="00730DE4">
              <w:t>Marine fatalities per 100,000 registered vessels regulated in Queensland</w:t>
            </w:r>
          </w:p>
        </w:tc>
        <w:tc>
          <w:tcPr>
            <w:tcW w:w="486" w:type="pct"/>
          </w:tcPr>
          <w:p w14:paraId="7EB3A94D" w14:textId="77777777" w:rsidR="002514F8" w:rsidRPr="00730DE4" w:rsidRDefault="002514F8" w:rsidP="00BE710F">
            <w:pPr>
              <w:pStyle w:val="NoSpacing"/>
              <w:jc w:val="right"/>
            </w:pPr>
            <w:r w:rsidRPr="00730DE4">
              <w:t>6.81</w:t>
            </w:r>
          </w:p>
        </w:tc>
        <w:tc>
          <w:tcPr>
            <w:tcW w:w="486" w:type="pct"/>
          </w:tcPr>
          <w:p w14:paraId="4D72ED4D" w14:textId="77777777" w:rsidR="002514F8" w:rsidRPr="00730DE4" w:rsidRDefault="002514F8" w:rsidP="00BE710F">
            <w:pPr>
              <w:pStyle w:val="NoSpacing"/>
              <w:jc w:val="right"/>
            </w:pPr>
            <w:r w:rsidRPr="00730DE4">
              <w:t>6.63</w:t>
            </w:r>
          </w:p>
        </w:tc>
        <w:tc>
          <w:tcPr>
            <w:tcW w:w="486" w:type="pct"/>
          </w:tcPr>
          <w:p w14:paraId="4D068667" w14:textId="77777777" w:rsidR="002514F8" w:rsidRPr="00730DE4" w:rsidRDefault="002514F8" w:rsidP="00BE710F">
            <w:pPr>
              <w:pStyle w:val="NoSpacing"/>
              <w:jc w:val="right"/>
            </w:pPr>
            <w:r w:rsidRPr="00730DE4">
              <w:t>4.47</w:t>
            </w:r>
          </w:p>
        </w:tc>
        <w:tc>
          <w:tcPr>
            <w:tcW w:w="486" w:type="pct"/>
          </w:tcPr>
          <w:p w14:paraId="0E5EF8AF" w14:textId="77777777" w:rsidR="002514F8" w:rsidRPr="00730DE4" w:rsidRDefault="002514F8" w:rsidP="00BE710F">
            <w:pPr>
              <w:pStyle w:val="NoSpacing"/>
              <w:jc w:val="right"/>
            </w:pPr>
            <w:r w:rsidRPr="00730DE4">
              <w:t>6.52</w:t>
            </w:r>
          </w:p>
        </w:tc>
        <w:tc>
          <w:tcPr>
            <w:tcW w:w="717" w:type="pct"/>
          </w:tcPr>
          <w:p w14:paraId="6C770E30" w14:textId="77777777" w:rsidR="002514F8" w:rsidRPr="00730DE4" w:rsidRDefault="002514F8" w:rsidP="00BE710F">
            <w:pPr>
              <w:pStyle w:val="NoSpacing"/>
              <w:jc w:val="right"/>
            </w:pPr>
            <w:r w:rsidRPr="00730DE4">
              <w:t>4.70</w:t>
            </w:r>
          </w:p>
        </w:tc>
        <w:tc>
          <w:tcPr>
            <w:tcW w:w="486" w:type="pct"/>
          </w:tcPr>
          <w:p w14:paraId="2E68459E" w14:textId="77777777" w:rsidR="002514F8" w:rsidRPr="00730DE4" w:rsidRDefault="002514F8" w:rsidP="00BE710F">
            <w:pPr>
              <w:pStyle w:val="NoSpacing"/>
              <w:jc w:val="right"/>
            </w:pPr>
            <w:r w:rsidRPr="00730DE4">
              <w:t>2.88</w:t>
            </w:r>
          </w:p>
        </w:tc>
        <w:tc>
          <w:tcPr>
            <w:tcW w:w="312" w:type="pct"/>
          </w:tcPr>
          <w:p w14:paraId="714393BD" w14:textId="77777777" w:rsidR="002514F8" w:rsidRPr="00730DE4" w:rsidRDefault="002514F8" w:rsidP="000831CB">
            <w:pPr>
              <w:pStyle w:val="NoSpacing"/>
              <w:jc w:val="center"/>
            </w:pPr>
          </w:p>
        </w:tc>
      </w:tr>
      <w:tr w:rsidR="000A65A9" w:rsidRPr="00730DE4" w14:paraId="49CEAC5C" w14:textId="77777777" w:rsidTr="006545E5">
        <w:trPr>
          <w:cnfStyle w:val="000000100000" w:firstRow="0" w:lastRow="0" w:firstColumn="0" w:lastColumn="0" w:oddVBand="0" w:evenVBand="0" w:oddHBand="1" w:evenHBand="0" w:firstRowFirstColumn="0" w:firstRowLastColumn="0" w:lastRowFirstColumn="0" w:lastRowLastColumn="0"/>
          <w:trHeight w:val="21"/>
        </w:trPr>
        <w:tc>
          <w:tcPr>
            <w:tcW w:w="1541" w:type="pct"/>
          </w:tcPr>
          <w:p w14:paraId="194E4C7B" w14:textId="77777777" w:rsidR="002514F8" w:rsidRPr="00730DE4" w:rsidRDefault="002514F8" w:rsidP="006545E5">
            <w:pPr>
              <w:pStyle w:val="NoSpacing"/>
            </w:pPr>
            <w:r w:rsidRPr="00730DE4">
              <w:t>Percentage of vessel movements without serious incidents—Pilotage areas</w:t>
            </w:r>
          </w:p>
        </w:tc>
        <w:tc>
          <w:tcPr>
            <w:tcW w:w="486" w:type="pct"/>
          </w:tcPr>
          <w:p w14:paraId="6BD8D05D" w14:textId="77777777" w:rsidR="002514F8" w:rsidRPr="00730DE4" w:rsidRDefault="002514F8" w:rsidP="006545E5">
            <w:pPr>
              <w:pStyle w:val="NoSpacing"/>
              <w:jc w:val="right"/>
            </w:pPr>
            <w:r w:rsidRPr="00730DE4">
              <w:t>100%</w:t>
            </w:r>
          </w:p>
        </w:tc>
        <w:tc>
          <w:tcPr>
            <w:tcW w:w="486" w:type="pct"/>
          </w:tcPr>
          <w:p w14:paraId="77BE7D23" w14:textId="77777777" w:rsidR="002514F8" w:rsidRPr="00730DE4" w:rsidRDefault="002514F8" w:rsidP="006545E5">
            <w:pPr>
              <w:pStyle w:val="NoSpacing"/>
              <w:jc w:val="right"/>
            </w:pPr>
            <w:r w:rsidRPr="00730DE4">
              <w:t>100%</w:t>
            </w:r>
          </w:p>
        </w:tc>
        <w:tc>
          <w:tcPr>
            <w:tcW w:w="486" w:type="pct"/>
          </w:tcPr>
          <w:p w14:paraId="61D3A392" w14:textId="77777777" w:rsidR="002514F8" w:rsidRPr="00730DE4" w:rsidRDefault="002514F8" w:rsidP="006545E5">
            <w:pPr>
              <w:pStyle w:val="NoSpacing"/>
              <w:jc w:val="right"/>
            </w:pPr>
            <w:r w:rsidRPr="00730DE4">
              <w:t>100%</w:t>
            </w:r>
          </w:p>
        </w:tc>
        <w:tc>
          <w:tcPr>
            <w:tcW w:w="486" w:type="pct"/>
          </w:tcPr>
          <w:p w14:paraId="0F36FB9F" w14:textId="77777777" w:rsidR="002514F8" w:rsidRPr="00730DE4" w:rsidRDefault="002514F8" w:rsidP="006545E5">
            <w:pPr>
              <w:pStyle w:val="NoSpacing"/>
              <w:jc w:val="right"/>
            </w:pPr>
            <w:r w:rsidRPr="00730DE4">
              <w:t>100%</w:t>
            </w:r>
          </w:p>
        </w:tc>
        <w:tc>
          <w:tcPr>
            <w:tcW w:w="717" w:type="pct"/>
          </w:tcPr>
          <w:p w14:paraId="4B5FC599" w14:textId="77777777" w:rsidR="002514F8" w:rsidRPr="00730DE4" w:rsidRDefault="002514F8" w:rsidP="006545E5">
            <w:pPr>
              <w:pStyle w:val="NoSpacing"/>
              <w:jc w:val="right"/>
            </w:pPr>
            <w:r w:rsidRPr="00730DE4">
              <w:t>100%</w:t>
            </w:r>
          </w:p>
        </w:tc>
        <w:tc>
          <w:tcPr>
            <w:tcW w:w="486" w:type="pct"/>
          </w:tcPr>
          <w:p w14:paraId="342C5952" w14:textId="77777777" w:rsidR="002514F8" w:rsidRPr="00730DE4" w:rsidRDefault="002514F8" w:rsidP="006545E5">
            <w:pPr>
              <w:pStyle w:val="NoSpacing"/>
              <w:jc w:val="right"/>
            </w:pPr>
            <w:r w:rsidRPr="00730DE4">
              <w:t>100%</w:t>
            </w:r>
          </w:p>
        </w:tc>
        <w:tc>
          <w:tcPr>
            <w:tcW w:w="312" w:type="pct"/>
          </w:tcPr>
          <w:p w14:paraId="246B775B" w14:textId="77777777" w:rsidR="002514F8" w:rsidRPr="00730DE4" w:rsidRDefault="002514F8" w:rsidP="006545E5">
            <w:pPr>
              <w:pStyle w:val="NoSpacing"/>
              <w:jc w:val="center"/>
            </w:pPr>
          </w:p>
        </w:tc>
      </w:tr>
      <w:tr w:rsidR="002514F8" w:rsidRPr="00730DE4" w14:paraId="6C67AEC4" w14:textId="77777777" w:rsidTr="006545E5">
        <w:trPr>
          <w:trHeight w:val="21"/>
        </w:trPr>
        <w:tc>
          <w:tcPr>
            <w:tcW w:w="1541" w:type="pct"/>
          </w:tcPr>
          <w:p w14:paraId="18B71825" w14:textId="77777777" w:rsidR="002514F8" w:rsidRPr="00730DE4" w:rsidRDefault="002514F8" w:rsidP="006545E5">
            <w:pPr>
              <w:pStyle w:val="NoSpacing"/>
            </w:pPr>
            <w:r w:rsidRPr="00730DE4">
              <w:t>Percentage of vessel movements without serious incidents—ReefVTS area</w:t>
            </w:r>
          </w:p>
        </w:tc>
        <w:tc>
          <w:tcPr>
            <w:tcW w:w="486" w:type="pct"/>
          </w:tcPr>
          <w:p w14:paraId="43260B4C" w14:textId="77777777" w:rsidR="002514F8" w:rsidRPr="00730DE4" w:rsidRDefault="002514F8" w:rsidP="006545E5">
            <w:pPr>
              <w:pStyle w:val="NoSpacing"/>
              <w:jc w:val="right"/>
            </w:pPr>
            <w:r w:rsidRPr="00730DE4">
              <w:t>100%</w:t>
            </w:r>
          </w:p>
        </w:tc>
        <w:tc>
          <w:tcPr>
            <w:tcW w:w="486" w:type="pct"/>
          </w:tcPr>
          <w:p w14:paraId="258C43DE" w14:textId="77777777" w:rsidR="002514F8" w:rsidRPr="00730DE4" w:rsidRDefault="002514F8" w:rsidP="006545E5">
            <w:pPr>
              <w:pStyle w:val="NoSpacing"/>
              <w:jc w:val="right"/>
            </w:pPr>
            <w:r w:rsidRPr="00730DE4">
              <w:t>100%</w:t>
            </w:r>
          </w:p>
        </w:tc>
        <w:tc>
          <w:tcPr>
            <w:tcW w:w="486" w:type="pct"/>
          </w:tcPr>
          <w:p w14:paraId="11146CA6" w14:textId="77777777" w:rsidR="002514F8" w:rsidRPr="00730DE4" w:rsidRDefault="002514F8" w:rsidP="006545E5">
            <w:pPr>
              <w:pStyle w:val="NoSpacing"/>
              <w:jc w:val="right"/>
            </w:pPr>
            <w:r w:rsidRPr="00730DE4">
              <w:t>100%</w:t>
            </w:r>
          </w:p>
        </w:tc>
        <w:tc>
          <w:tcPr>
            <w:tcW w:w="486" w:type="pct"/>
          </w:tcPr>
          <w:p w14:paraId="5798DD57" w14:textId="77777777" w:rsidR="002514F8" w:rsidRPr="00730DE4" w:rsidRDefault="002514F8" w:rsidP="006545E5">
            <w:pPr>
              <w:pStyle w:val="NoSpacing"/>
              <w:jc w:val="right"/>
            </w:pPr>
            <w:r w:rsidRPr="00730DE4">
              <w:t>100%</w:t>
            </w:r>
          </w:p>
        </w:tc>
        <w:tc>
          <w:tcPr>
            <w:tcW w:w="717" w:type="pct"/>
          </w:tcPr>
          <w:p w14:paraId="1E7045EC" w14:textId="77777777" w:rsidR="002514F8" w:rsidRPr="00730DE4" w:rsidRDefault="002514F8" w:rsidP="006545E5">
            <w:pPr>
              <w:pStyle w:val="NoSpacing"/>
              <w:jc w:val="right"/>
            </w:pPr>
            <w:r w:rsidRPr="00730DE4">
              <w:t>100%</w:t>
            </w:r>
          </w:p>
        </w:tc>
        <w:tc>
          <w:tcPr>
            <w:tcW w:w="486" w:type="pct"/>
          </w:tcPr>
          <w:p w14:paraId="5437371D" w14:textId="77777777" w:rsidR="002514F8" w:rsidRPr="00730DE4" w:rsidRDefault="002514F8" w:rsidP="006545E5">
            <w:pPr>
              <w:pStyle w:val="NoSpacing"/>
              <w:jc w:val="right"/>
            </w:pPr>
            <w:r w:rsidRPr="00730DE4">
              <w:t>100%</w:t>
            </w:r>
          </w:p>
        </w:tc>
        <w:tc>
          <w:tcPr>
            <w:tcW w:w="312" w:type="pct"/>
          </w:tcPr>
          <w:p w14:paraId="654A3F35" w14:textId="77777777" w:rsidR="002514F8" w:rsidRPr="00730DE4" w:rsidRDefault="002514F8" w:rsidP="006545E5">
            <w:pPr>
              <w:pStyle w:val="NoSpacing"/>
              <w:jc w:val="center"/>
            </w:pPr>
          </w:p>
        </w:tc>
      </w:tr>
    </w:tbl>
    <w:p w14:paraId="273FA42D" w14:textId="77777777" w:rsidR="00EA1647" w:rsidRDefault="00EA1647" w:rsidP="00583174">
      <w:pPr>
        <w:pStyle w:val="FigureCaption"/>
        <w:rPr>
          <w:lang w:val="en-US"/>
        </w:rPr>
      </w:pPr>
      <w:r>
        <w:rPr>
          <w:lang w:val="en-US"/>
        </w:rPr>
        <w:br w:type="page"/>
      </w:r>
    </w:p>
    <w:p w14:paraId="3B25AECF" w14:textId="54BB0F1D" w:rsidR="002514F8" w:rsidRPr="00730DE4" w:rsidRDefault="002514F8" w:rsidP="00583174">
      <w:pPr>
        <w:pStyle w:val="FigureCaption"/>
        <w:rPr>
          <w:lang w:val="en-US"/>
        </w:rPr>
      </w:pPr>
      <w:r w:rsidRPr="00730DE4">
        <w:rPr>
          <w:lang w:val="en-US"/>
        </w:rPr>
        <w:t>Table 17: Transport Safety and Regulation efficiency measure</w:t>
      </w:r>
    </w:p>
    <w:tbl>
      <w:tblPr>
        <w:tblStyle w:val="TMRDefault"/>
        <w:tblW w:w="5000" w:type="pct"/>
        <w:tblLook w:val="04A0" w:firstRow="1" w:lastRow="0" w:firstColumn="1" w:lastColumn="0" w:noHBand="0" w:noVBand="1"/>
      </w:tblPr>
      <w:tblGrid>
        <w:gridCol w:w="4333"/>
        <w:gridCol w:w="1531"/>
        <w:gridCol w:w="1320"/>
        <w:gridCol w:w="1320"/>
        <w:gridCol w:w="1320"/>
        <w:gridCol w:w="1924"/>
        <w:gridCol w:w="1370"/>
        <w:gridCol w:w="874"/>
      </w:tblGrid>
      <w:tr w:rsidR="000A65A9" w:rsidRPr="00730DE4" w14:paraId="6C6FCD8E" w14:textId="77777777" w:rsidTr="007D1DCD">
        <w:trPr>
          <w:cnfStyle w:val="100000000000" w:firstRow="1" w:lastRow="0" w:firstColumn="0" w:lastColumn="0" w:oddVBand="0" w:evenVBand="0" w:oddHBand="0" w:evenHBand="0" w:firstRowFirstColumn="0" w:firstRowLastColumn="0" w:lastRowFirstColumn="0" w:lastRowLastColumn="0"/>
          <w:trHeight w:val="21"/>
          <w:tblHeader/>
        </w:trPr>
        <w:tc>
          <w:tcPr>
            <w:tcW w:w="1550" w:type="pct"/>
          </w:tcPr>
          <w:p w14:paraId="2FB013C4" w14:textId="77777777" w:rsidR="002514F8" w:rsidRPr="00730DE4" w:rsidRDefault="002514F8" w:rsidP="000B0ED0">
            <w:pPr>
              <w:pStyle w:val="NoSpacing"/>
              <w:rPr>
                <w:color w:val="FFFFFF" w:themeColor="background1"/>
              </w:rPr>
            </w:pPr>
            <w:r w:rsidRPr="00730DE4">
              <w:rPr>
                <w:color w:val="FFFFFF" w:themeColor="background1"/>
              </w:rPr>
              <w:t>Service standard</w:t>
            </w:r>
          </w:p>
        </w:tc>
        <w:tc>
          <w:tcPr>
            <w:tcW w:w="549" w:type="pct"/>
          </w:tcPr>
          <w:p w14:paraId="10F31482" w14:textId="77777777" w:rsidR="002514F8" w:rsidRPr="00730DE4" w:rsidRDefault="002514F8" w:rsidP="00BE710F">
            <w:pPr>
              <w:pStyle w:val="NoSpacing"/>
              <w:jc w:val="right"/>
              <w:rPr>
                <w:color w:val="FFFFFF" w:themeColor="background1"/>
              </w:rPr>
            </w:pPr>
            <w:r w:rsidRPr="00730DE4">
              <w:rPr>
                <w:color w:val="FFFFFF" w:themeColor="background1"/>
              </w:rPr>
              <w:t>2019–20 Actual</w:t>
            </w:r>
          </w:p>
        </w:tc>
        <w:tc>
          <w:tcPr>
            <w:tcW w:w="473" w:type="pct"/>
          </w:tcPr>
          <w:p w14:paraId="58666B95" w14:textId="77777777" w:rsidR="002514F8" w:rsidRPr="00730DE4" w:rsidRDefault="002514F8" w:rsidP="00BE710F">
            <w:pPr>
              <w:pStyle w:val="NoSpacing"/>
              <w:jc w:val="right"/>
              <w:rPr>
                <w:color w:val="FFFFFF" w:themeColor="background1"/>
              </w:rPr>
            </w:pPr>
            <w:r w:rsidRPr="00730DE4">
              <w:rPr>
                <w:color w:val="FFFFFF" w:themeColor="background1"/>
              </w:rPr>
              <w:t>2020–21 Actual</w:t>
            </w:r>
          </w:p>
        </w:tc>
        <w:tc>
          <w:tcPr>
            <w:tcW w:w="473" w:type="pct"/>
          </w:tcPr>
          <w:p w14:paraId="6C3A2159" w14:textId="77777777" w:rsidR="002514F8" w:rsidRPr="00730DE4" w:rsidRDefault="002514F8" w:rsidP="00BE710F">
            <w:pPr>
              <w:pStyle w:val="NoSpacing"/>
              <w:jc w:val="right"/>
              <w:rPr>
                <w:color w:val="FFFFFF" w:themeColor="background1"/>
              </w:rPr>
            </w:pPr>
            <w:r w:rsidRPr="00730DE4">
              <w:rPr>
                <w:color w:val="FFFFFF" w:themeColor="background1"/>
              </w:rPr>
              <w:t>2021–22 Actual</w:t>
            </w:r>
          </w:p>
        </w:tc>
        <w:tc>
          <w:tcPr>
            <w:tcW w:w="473" w:type="pct"/>
          </w:tcPr>
          <w:p w14:paraId="0D1E3498" w14:textId="77777777" w:rsidR="002514F8" w:rsidRPr="00730DE4" w:rsidRDefault="002514F8" w:rsidP="00BE710F">
            <w:pPr>
              <w:pStyle w:val="NoSpacing"/>
              <w:jc w:val="right"/>
              <w:rPr>
                <w:color w:val="FFFFFF" w:themeColor="background1"/>
              </w:rPr>
            </w:pPr>
            <w:r w:rsidRPr="00730DE4">
              <w:rPr>
                <w:color w:val="FFFFFF" w:themeColor="background1"/>
              </w:rPr>
              <w:t>2022–23 Actual</w:t>
            </w:r>
          </w:p>
        </w:tc>
        <w:tc>
          <w:tcPr>
            <w:tcW w:w="689" w:type="pct"/>
          </w:tcPr>
          <w:p w14:paraId="5AD45600" w14:textId="77777777" w:rsidR="002514F8" w:rsidRPr="00730DE4" w:rsidRDefault="002514F8" w:rsidP="00BE710F">
            <w:pPr>
              <w:pStyle w:val="NoSpacing"/>
              <w:jc w:val="right"/>
              <w:rPr>
                <w:color w:val="FFFFFF" w:themeColor="background1"/>
              </w:rPr>
            </w:pPr>
            <w:r w:rsidRPr="00730DE4">
              <w:rPr>
                <w:color w:val="FFFFFF" w:themeColor="background1"/>
              </w:rPr>
              <w:t>2023–24 Target / Estimate</w:t>
            </w:r>
          </w:p>
        </w:tc>
        <w:tc>
          <w:tcPr>
            <w:tcW w:w="491" w:type="pct"/>
          </w:tcPr>
          <w:p w14:paraId="1EF43357" w14:textId="77777777" w:rsidR="002514F8" w:rsidRPr="00730DE4" w:rsidRDefault="002514F8" w:rsidP="00BE710F">
            <w:pPr>
              <w:pStyle w:val="NoSpacing"/>
              <w:jc w:val="right"/>
              <w:rPr>
                <w:color w:val="FFFFFF" w:themeColor="background1"/>
              </w:rPr>
            </w:pPr>
            <w:r w:rsidRPr="00730DE4">
              <w:rPr>
                <w:color w:val="FFFFFF" w:themeColor="background1"/>
              </w:rPr>
              <w:t>2023–24 Actual</w:t>
            </w:r>
          </w:p>
        </w:tc>
        <w:tc>
          <w:tcPr>
            <w:tcW w:w="304" w:type="pct"/>
          </w:tcPr>
          <w:p w14:paraId="19625551" w14:textId="77777777" w:rsidR="002514F8" w:rsidRPr="00730DE4" w:rsidRDefault="002514F8" w:rsidP="000831CB">
            <w:pPr>
              <w:pStyle w:val="NoSpacing"/>
              <w:jc w:val="center"/>
              <w:rPr>
                <w:color w:val="FFFFFF" w:themeColor="background1"/>
              </w:rPr>
            </w:pPr>
            <w:r w:rsidRPr="00730DE4">
              <w:rPr>
                <w:color w:val="FFFFFF" w:themeColor="background1"/>
              </w:rPr>
              <w:t>Notes</w:t>
            </w:r>
          </w:p>
        </w:tc>
      </w:tr>
      <w:tr w:rsidR="000A65A9" w:rsidRPr="00730DE4" w14:paraId="7F3ACAC8" w14:textId="77777777" w:rsidTr="007D1DCD">
        <w:trPr>
          <w:cnfStyle w:val="000000100000" w:firstRow="0" w:lastRow="0" w:firstColumn="0" w:lastColumn="0" w:oddVBand="0" w:evenVBand="0" w:oddHBand="1" w:evenHBand="0" w:firstRowFirstColumn="0" w:firstRowLastColumn="0" w:lastRowFirstColumn="0" w:lastRowLastColumn="0"/>
          <w:trHeight w:val="21"/>
        </w:trPr>
        <w:tc>
          <w:tcPr>
            <w:tcW w:w="1550" w:type="pct"/>
          </w:tcPr>
          <w:p w14:paraId="182DA538" w14:textId="77777777" w:rsidR="002514F8" w:rsidRPr="00730DE4" w:rsidRDefault="002514F8" w:rsidP="000B0ED0">
            <w:pPr>
              <w:pStyle w:val="NoSpacing"/>
            </w:pPr>
            <w:r w:rsidRPr="00730DE4">
              <w:t>Direct operational cost of Vessel Traffic Services per monitored vessel movement</w:t>
            </w:r>
            <w:r w:rsidRPr="00730DE4">
              <w:tab/>
            </w:r>
          </w:p>
        </w:tc>
        <w:tc>
          <w:tcPr>
            <w:tcW w:w="549" w:type="pct"/>
          </w:tcPr>
          <w:p w14:paraId="2A2806B9" w14:textId="77777777" w:rsidR="002514F8" w:rsidRPr="00730DE4" w:rsidRDefault="002514F8" w:rsidP="00BE710F">
            <w:pPr>
              <w:pStyle w:val="NoSpacing"/>
              <w:jc w:val="right"/>
            </w:pPr>
            <w:r w:rsidRPr="00730DE4">
              <w:t>$513</w:t>
            </w:r>
          </w:p>
        </w:tc>
        <w:tc>
          <w:tcPr>
            <w:tcW w:w="473" w:type="pct"/>
          </w:tcPr>
          <w:p w14:paraId="5C96B595" w14:textId="77777777" w:rsidR="002514F8" w:rsidRPr="00730DE4" w:rsidRDefault="002514F8" w:rsidP="00BE710F">
            <w:pPr>
              <w:pStyle w:val="NoSpacing"/>
              <w:jc w:val="right"/>
            </w:pPr>
            <w:r w:rsidRPr="00730DE4">
              <w:t>$596</w:t>
            </w:r>
          </w:p>
        </w:tc>
        <w:tc>
          <w:tcPr>
            <w:tcW w:w="473" w:type="pct"/>
          </w:tcPr>
          <w:p w14:paraId="1CC0EED2" w14:textId="77777777" w:rsidR="002514F8" w:rsidRPr="00730DE4" w:rsidRDefault="002514F8" w:rsidP="00BE710F">
            <w:pPr>
              <w:pStyle w:val="NoSpacing"/>
              <w:jc w:val="right"/>
            </w:pPr>
            <w:r w:rsidRPr="00730DE4">
              <w:t>$604</w:t>
            </w:r>
          </w:p>
        </w:tc>
        <w:tc>
          <w:tcPr>
            <w:tcW w:w="473" w:type="pct"/>
          </w:tcPr>
          <w:p w14:paraId="3096B207" w14:textId="77777777" w:rsidR="002514F8" w:rsidRPr="00730DE4" w:rsidRDefault="002514F8" w:rsidP="00BE710F">
            <w:pPr>
              <w:pStyle w:val="NoSpacing"/>
              <w:jc w:val="right"/>
            </w:pPr>
            <w:r w:rsidRPr="00730DE4">
              <w:t>$551</w:t>
            </w:r>
          </w:p>
        </w:tc>
        <w:tc>
          <w:tcPr>
            <w:tcW w:w="689" w:type="pct"/>
          </w:tcPr>
          <w:p w14:paraId="203871D0" w14:textId="77777777" w:rsidR="002514F8" w:rsidRPr="00730DE4" w:rsidRDefault="002514F8" w:rsidP="00BE710F">
            <w:pPr>
              <w:pStyle w:val="NoSpacing"/>
              <w:jc w:val="right"/>
            </w:pPr>
            <w:r w:rsidRPr="00730DE4">
              <w:t>$551</w:t>
            </w:r>
          </w:p>
        </w:tc>
        <w:tc>
          <w:tcPr>
            <w:tcW w:w="491" w:type="pct"/>
          </w:tcPr>
          <w:p w14:paraId="3073060A" w14:textId="77777777" w:rsidR="002514F8" w:rsidRPr="00730DE4" w:rsidRDefault="002514F8" w:rsidP="00BE710F">
            <w:pPr>
              <w:pStyle w:val="NoSpacing"/>
              <w:jc w:val="right"/>
            </w:pPr>
            <w:r w:rsidRPr="00730DE4">
              <w:t>$679.54</w:t>
            </w:r>
          </w:p>
        </w:tc>
        <w:tc>
          <w:tcPr>
            <w:tcW w:w="304" w:type="pct"/>
          </w:tcPr>
          <w:p w14:paraId="47BB806E" w14:textId="77777777" w:rsidR="002514F8" w:rsidRPr="00730DE4" w:rsidRDefault="002514F8" w:rsidP="000831CB">
            <w:pPr>
              <w:pStyle w:val="NoSpacing"/>
              <w:jc w:val="center"/>
            </w:pPr>
            <w:r w:rsidRPr="00730DE4">
              <w:t>3</w:t>
            </w:r>
          </w:p>
        </w:tc>
      </w:tr>
    </w:tbl>
    <w:p w14:paraId="5D62F5FA" w14:textId="77777777" w:rsidR="002514F8" w:rsidRPr="00730DE4" w:rsidRDefault="002514F8" w:rsidP="00583174">
      <w:pPr>
        <w:pStyle w:val="Caption"/>
        <w:rPr>
          <w:lang w:val="en-US"/>
        </w:rPr>
      </w:pPr>
      <w:r w:rsidRPr="00730DE4">
        <w:rPr>
          <w:lang w:val="en-US"/>
        </w:rPr>
        <w:t>Notes:</w:t>
      </w:r>
    </w:p>
    <w:p w14:paraId="388362AB" w14:textId="77777777" w:rsidR="002514F8" w:rsidRPr="00730DE4" w:rsidRDefault="002514F8" w:rsidP="00583174">
      <w:pPr>
        <w:pStyle w:val="Caption"/>
        <w:rPr>
          <w:lang w:val="en-US"/>
        </w:rPr>
      </w:pPr>
      <w:r w:rsidRPr="00730DE4">
        <w:rPr>
          <w:lang w:val="en-US"/>
        </w:rPr>
        <w:t>1. The variance between the 2023–24 Target/Estimate and 2023–24 Actual is based on a number of societal influences that can vary throughout the year resulting in changes in numbers of road crashes.</w:t>
      </w:r>
    </w:p>
    <w:p w14:paraId="236D14B6" w14:textId="77777777" w:rsidR="002514F8" w:rsidRPr="00730DE4" w:rsidRDefault="002514F8" w:rsidP="00583174">
      <w:pPr>
        <w:pStyle w:val="Caption"/>
        <w:rPr>
          <w:lang w:val="en-US"/>
        </w:rPr>
      </w:pPr>
      <w:r w:rsidRPr="00730DE4">
        <w:rPr>
          <w:lang w:val="en-US"/>
        </w:rPr>
        <w:t>2. The 2023–24 Actual is not available due to delays in receiving data sets from other agencies. This has resulted in TMR being unable to calculate and publish an Actual result for the 12-month period ending 31 December 2023. The most recent data received is for the 12-month period ending 30 September 2023, where the preliminary number of hospitalised road casualties is 8340 which equates to a rate of 153.70 hospitalised casualties per 100,000 population.</w:t>
      </w:r>
    </w:p>
    <w:p w14:paraId="2AC054BF" w14:textId="77777777" w:rsidR="002514F8" w:rsidRPr="00730DE4" w:rsidRDefault="002514F8" w:rsidP="00583174">
      <w:pPr>
        <w:pStyle w:val="Caption"/>
        <w:rPr>
          <w:lang w:val="en-US"/>
        </w:rPr>
      </w:pPr>
      <w:r w:rsidRPr="00730DE4">
        <w:rPr>
          <w:lang w:val="en-US"/>
        </w:rPr>
        <w:t>3. The variance between the 2023–24 Target/Estimate and 2023–24 Actual is due to increased labour and salary costs, as well as costs to upgrade radio communication equipment partially offset by increased vessel movements.</w:t>
      </w:r>
    </w:p>
    <w:p w14:paraId="2F7FF9EE" w14:textId="77777777" w:rsidR="002514F8" w:rsidRPr="00730DE4" w:rsidRDefault="002514F8" w:rsidP="002B7001">
      <w:pPr>
        <w:pStyle w:val="Heading3"/>
        <w:rPr>
          <w:lang w:val="en-US"/>
        </w:rPr>
      </w:pPr>
      <w:bookmarkStart w:id="275" w:name="_Toc180487321"/>
      <w:bookmarkStart w:id="276" w:name="_Toc180490527"/>
      <w:bookmarkStart w:id="277" w:name="_Toc180491560"/>
      <w:r w:rsidRPr="00730DE4">
        <w:rPr>
          <w:lang w:val="en-US"/>
        </w:rPr>
        <w:t>Service area: Customer Experience</w:t>
      </w:r>
      <w:bookmarkEnd w:id="275"/>
      <w:bookmarkEnd w:id="276"/>
      <w:bookmarkEnd w:id="277"/>
    </w:p>
    <w:p w14:paraId="5BA3F16E" w14:textId="77777777" w:rsidR="002514F8" w:rsidRPr="00730DE4" w:rsidRDefault="002514F8" w:rsidP="00583174">
      <w:pPr>
        <w:rPr>
          <w:lang w:val="en-US"/>
        </w:rPr>
      </w:pPr>
      <w:r w:rsidRPr="00730DE4">
        <w:rPr>
          <w:rStyle w:val="Strong"/>
        </w:rPr>
        <w:t xml:space="preserve">Service area objective: </w:t>
      </w:r>
      <w:r w:rsidRPr="00730DE4">
        <w:t>To understand evolving customer needs and expectations, to improve customer experiences and reduce complaints.</w:t>
      </w:r>
    </w:p>
    <w:p w14:paraId="3B71FE39" w14:textId="77777777" w:rsidR="002514F8" w:rsidRPr="00730DE4" w:rsidRDefault="002514F8" w:rsidP="00583174">
      <w:pPr>
        <w:pStyle w:val="FigureCaption"/>
        <w:rPr>
          <w:lang w:val="en-US"/>
        </w:rPr>
      </w:pPr>
      <w:r w:rsidRPr="00730DE4">
        <w:rPr>
          <w:lang w:val="en-US"/>
        </w:rPr>
        <w:t>Table 18: Customer Experience effectiveness measures</w:t>
      </w:r>
    </w:p>
    <w:tbl>
      <w:tblPr>
        <w:tblStyle w:val="TMRDefault"/>
        <w:tblW w:w="5000" w:type="pct"/>
        <w:tblLook w:val="04A0" w:firstRow="1" w:lastRow="0" w:firstColumn="1" w:lastColumn="0" w:noHBand="0" w:noVBand="1"/>
      </w:tblPr>
      <w:tblGrid>
        <w:gridCol w:w="4460"/>
        <w:gridCol w:w="1334"/>
        <w:gridCol w:w="1340"/>
        <w:gridCol w:w="1340"/>
        <w:gridCol w:w="1340"/>
        <w:gridCol w:w="1964"/>
        <w:gridCol w:w="1340"/>
        <w:gridCol w:w="874"/>
      </w:tblGrid>
      <w:tr w:rsidR="000A65A9" w:rsidRPr="00730DE4" w14:paraId="2C964712" w14:textId="77777777" w:rsidTr="006545E5">
        <w:trPr>
          <w:cnfStyle w:val="100000000000" w:firstRow="1" w:lastRow="0" w:firstColumn="0" w:lastColumn="0" w:oddVBand="0" w:evenVBand="0" w:oddHBand="0" w:evenHBand="0" w:firstRowFirstColumn="0" w:firstRowLastColumn="0" w:lastRowFirstColumn="0" w:lastRowLastColumn="0"/>
          <w:trHeight w:val="21"/>
          <w:tblHeader/>
        </w:trPr>
        <w:tc>
          <w:tcPr>
            <w:tcW w:w="1594" w:type="pct"/>
          </w:tcPr>
          <w:p w14:paraId="1F32B4D0" w14:textId="77777777" w:rsidR="002514F8" w:rsidRPr="00730DE4" w:rsidRDefault="002514F8" w:rsidP="000B0ED0">
            <w:pPr>
              <w:pStyle w:val="NoSpacing"/>
              <w:rPr>
                <w:color w:val="FFFFFF" w:themeColor="background1"/>
              </w:rPr>
            </w:pPr>
            <w:r w:rsidRPr="00730DE4">
              <w:rPr>
                <w:color w:val="FFFFFF" w:themeColor="background1"/>
              </w:rPr>
              <w:t>Service standards</w:t>
            </w:r>
          </w:p>
        </w:tc>
        <w:tc>
          <w:tcPr>
            <w:tcW w:w="477" w:type="pct"/>
          </w:tcPr>
          <w:p w14:paraId="774F5CCF" w14:textId="77777777" w:rsidR="002514F8" w:rsidRPr="00730DE4" w:rsidRDefault="002514F8" w:rsidP="00BE710F">
            <w:pPr>
              <w:pStyle w:val="NoSpacing"/>
              <w:jc w:val="right"/>
              <w:rPr>
                <w:color w:val="FFFFFF" w:themeColor="background1"/>
              </w:rPr>
            </w:pPr>
            <w:r w:rsidRPr="00730DE4">
              <w:rPr>
                <w:color w:val="FFFFFF" w:themeColor="background1"/>
              </w:rPr>
              <w:t>2019–20 Actual</w:t>
            </w:r>
          </w:p>
        </w:tc>
        <w:tc>
          <w:tcPr>
            <w:tcW w:w="479" w:type="pct"/>
          </w:tcPr>
          <w:p w14:paraId="3AA87BD1" w14:textId="77777777" w:rsidR="002514F8" w:rsidRPr="00730DE4" w:rsidRDefault="002514F8" w:rsidP="00BE710F">
            <w:pPr>
              <w:pStyle w:val="NoSpacing"/>
              <w:jc w:val="right"/>
              <w:rPr>
                <w:color w:val="FFFFFF" w:themeColor="background1"/>
              </w:rPr>
            </w:pPr>
            <w:r w:rsidRPr="00730DE4">
              <w:rPr>
                <w:color w:val="FFFFFF" w:themeColor="background1"/>
              </w:rPr>
              <w:t>2020–21 Actual</w:t>
            </w:r>
          </w:p>
        </w:tc>
        <w:tc>
          <w:tcPr>
            <w:tcW w:w="479" w:type="pct"/>
          </w:tcPr>
          <w:p w14:paraId="6CA2DC43" w14:textId="77777777" w:rsidR="002514F8" w:rsidRPr="00730DE4" w:rsidRDefault="002514F8" w:rsidP="00BE710F">
            <w:pPr>
              <w:pStyle w:val="NoSpacing"/>
              <w:jc w:val="right"/>
              <w:rPr>
                <w:color w:val="FFFFFF" w:themeColor="background1"/>
              </w:rPr>
            </w:pPr>
            <w:r w:rsidRPr="00730DE4">
              <w:rPr>
                <w:color w:val="FFFFFF" w:themeColor="background1"/>
              </w:rPr>
              <w:t>2021–22 Actual</w:t>
            </w:r>
          </w:p>
        </w:tc>
        <w:tc>
          <w:tcPr>
            <w:tcW w:w="479" w:type="pct"/>
          </w:tcPr>
          <w:p w14:paraId="3EE8E04A" w14:textId="77777777" w:rsidR="002514F8" w:rsidRPr="00730DE4" w:rsidRDefault="002514F8" w:rsidP="00BE710F">
            <w:pPr>
              <w:pStyle w:val="NoSpacing"/>
              <w:jc w:val="right"/>
              <w:rPr>
                <w:color w:val="FFFFFF" w:themeColor="background1"/>
              </w:rPr>
            </w:pPr>
            <w:r w:rsidRPr="00730DE4">
              <w:rPr>
                <w:color w:val="FFFFFF" w:themeColor="background1"/>
              </w:rPr>
              <w:t>2022–23 Actual</w:t>
            </w:r>
          </w:p>
        </w:tc>
        <w:tc>
          <w:tcPr>
            <w:tcW w:w="702" w:type="pct"/>
          </w:tcPr>
          <w:p w14:paraId="06F14ABB" w14:textId="77777777" w:rsidR="002514F8" w:rsidRPr="00730DE4" w:rsidRDefault="002514F8" w:rsidP="00BE710F">
            <w:pPr>
              <w:pStyle w:val="NoSpacing"/>
              <w:jc w:val="right"/>
              <w:rPr>
                <w:color w:val="FFFFFF" w:themeColor="background1"/>
              </w:rPr>
            </w:pPr>
            <w:r w:rsidRPr="00730DE4">
              <w:rPr>
                <w:color w:val="FFFFFF" w:themeColor="background1"/>
              </w:rPr>
              <w:t>2023–24 Target / Estimate</w:t>
            </w:r>
          </w:p>
        </w:tc>
        <w:tc>
          <w:tcPr>
            <w:tcW w:w="479" w:type="pct"/>
          </w:tcPr>
          <w:p w14:paraId="71CCA539" w14:textId="77777777" w:rsidR="002514F8" w:rsidRPr="00730DE4" w:rsidRDefault="002514F8" w:rsidP="00BE710F">
            <w:pPr>
              <w:pStyle w:val="NoSpacing"/>
              <w:jc w:val="right"/>
              <w:rPr>
                <w:color w:val="FFFFFF" w:themeColor="background1"/>
              </w:rPr>
            </w:pPr>
            <w:r w:rsidRPr="00730DE4">
              <w:rPr>
                <w:color w:val="FFFFFF" w:themeColor="background1"/>
              </w:rPr>
              <w:t>2023–24 Actual</w:t>
            </w:r>
          </w:p>
        </w:tc>
        <w:tc>
          <w:tcPr>
            <w:tcW w:w="312" w:type="pct"/>
          </w:tcPr>
          <w:p w14:paraId="52EB6BE0" w14:textId="77777777" w:rsidR="002514F8" w:rsidRPr="00730DE4" w:rsidRDefault="002514F8" w:rsidP="000831CB">
            <w:pPr>
              <w:pStyle w:val="NoSpacing"/>
              <w:jc w:val="center"/>
              <w:rPr>
                <w:color w:val="FFFFFF" w:themeColor="background1"/>
              </w:rPr>
            </w:pPr>
            <w:r w:rsidRPr="00730DE4">
              <w:rPr>
                <w:color w:val="FFFFFF" w:themeColor="background1"/>
              </w:rPr>
              <w:t>Notes</w:t>
            </w:r>
          </w:p>
        </w:tc>
      </w:tr>
      <w:tr w:rsidR="000A65A9" w:rsidRPr="00730DE4" w14:paraId="661EADA3" w14:textId="77777777" w:rsidTr="006545E5">
        <w:trPr>
          <w:cnfStyle w:val="000000100000" w:firstRow="0" w:lastRow="0" w:firstColumn="0" w:lastColumn="0" w:oddVBand="0" w:evenVBand="0" w:oddHBand="1" w:evenHBand="0" w:firstRowFirstColumn="0" w:firstRowLastColumn="0" w:lastRowFirstColumn="0" w:lastRowLastColumn="0"/>
          <w:trHeight w:val="21"/>
        </w:trPr>
        <w:tc>
          <w:tcPr>
            <w:tcW w:w="1594" w:type="pct"/>
          </w:tcPr>
          <w:p w14:paraId="1C313716" w14:textId="77777777" w:rsidR="002514F8" w:rsidRPr="00730DE4" w:rsidRDefault="002514F8" w:rsidP="000B0ED0">
            <w:pPr>
              <w:pStyle w:val="NoSpacing"/>
            </w:pPr>
            <w:r w:rsidRPr="00730DE4">
              <w:t>Overall customer satisfaction with transactional services (on a scale of 1 to 10)</w:t>
            </w:r>
          </w:p>
        </w:tc>
        <w:tc>
          <w:tcPr>
            <w:tcW w:w="477" w:type="pct"/>
          </w:tcPr>
          <w:p w14:paraId="271B0DA7" w14:textId="77777777" w:rsidR="002514F8" w:rsidRPr="00730DE4" w:rsidRDefault="002514F8" w:rsidP="00BE710F">
            <w:pPr>
              <w:pStyle w:val="NoSpacing"/>
              <w:jc w:val="right"/>
            </w:pPr>
            <w:r w:rsidRPr="00730DE4">
              <w:t>8.4</w:t>
            </w:r>
          </w:p>
        </w:tc>
        <w:tc>
          <w:tcPr>
            <w:tcW w:w="479" w:type="pct"/>
          </w:tcPr>
          <w:p w14:paraId="53E77E28" w14:textId="77777777" w:rsidR="002514F8" w:rsidRPr="00730DE4" w:rsidRDefault="002514F8" w:rsidP="00BE710F">
            <w:pPr>
              <w:pStyle w:val="NoSpacing"/>
              <w:jc w:val="right"/>
            </w:pPr>
            <w:r w:rsidRPr="00730DE4">
              <w:t>8.5</w:t>
            </w:r>
          </w:p>
        </w:tc>
        <w:tc>
          <w:tcPr>
            <w:tcW w:w="479" w:type="pct"/>
          </w:tcPr>
          <w:p w14:paraId="72DFB119" w14:textId="77777777" w:rsidR="002514F8" w:rsidRPr="00730DE4" w:rsidRDefault="002514F8" w:rsidP="00BE710F">
            <w:pPr>
              <w:pStyle w:val="NoSpacing"/>
              <w:jc w:val="right"/>
            </w:pPr>
            <w:r w:rsidRPr="00730DE4">
              <w:t>8.4</w:t>
            </w:r>
          </w:p>
        </w:tc>
        <w:tc>
          <w:tcPr>
            <w:tcW w:w="479" w:type="pct"/>
          </w:tcPr>
          <w:p w14:paraId="0A9A13DB" w14:textId="77777777" w:rsidR="002514F8" w:rsidRPr="00730DE4" w:rsidRDefault="002514F8" w:rsidP="00BE710F">
            <w:pPr>
              <w:pStyle w:val="NoSpacing"/>
              <w:jc w:val="right"/>
            </w:pPr>
            <w:r w:rsidRPr="00730DE4">
              <w:t>8.2</w:t>
            </w:r>
          </w:p>
        </w:tc>
        <w:tc>
          <w:tcPr>
            <w:tcW w:w="702" w:type="pct"/>
          </w:tcPr>
          <w:p w14:paraId="53F87121" w14:textId="77777777" w:rsidR="002514F8" w:rsidRPr="00730DE4" w:rsidRDefault="002514F8" w:rsidP="00BE710F">
            <w:pPr>
              <w:pStyle w:val="NoSpacing"/>
              <w:jc w:val="right"/>
            </w:pPr>
            <w:r w:rsidRPr="00730DE4">
              <w:t>8.0</w:t>
            </w:r>
          </w:p>
        </w:tc>
        <w:tc>
          <w:tcPr>
            <w:tcW w:w="479" w:type="pct"/>
          </w:tcPr>
          <w:p w14:paraId="7D18DE25" w14:textId="77777777" w:rsidR="002514F8" w:rsidRPr="00730DE4" w:rsidRDefault="002514F8" w:rsidP="00BE710F">
            <w:pPr>
              <w:pStyle w:val="NoSpacing"/>
              <w:jc w:val="right"/>
            </w:pPr>
            <w:r w:rsidRPr="00730DE4">
              <w:t>8.2</w:t>
            </w:r>
          </w:p>
        </w:tc>
        <w:tc>
          <w:tcPr>
            <w:tcW w:w="312" w:type="pct"/>
          </w:tcPr>
          <w:p w14:paraId="3E0F2581" w14:textId="77777777" w:rsidR="002514F8" w:rsidRPr="00730DE4" w:rsidRDefault="002514F8" w:rsidP="000831CB">
            <w:pPr>
              <w:pStyle w:val="NoSpacing"/>
              <w:jc w:val="center"/>
            </w:pPr>
          </w:p>
        </w:tc>
      </w:tr>
      <w:tr w:rsidR="002514F8" w:rsidRPr="00730DE4" w14:paraId="7F53BFFD" w14:textId="77777777" w:rsidTr="006545E5">
        <w:trPr>
          <w:trHeight w:val="21"/>
        </w:trPr>
        <w:tc>
          <w:tcPr>
            <w:tcW w:w="1594" w:type="pct"/>
          </w:tcPr>
          <w:p w14:paraId="41F83602" w14:textId="77777777" w:rsidR="002514F8" w:rsidRPr="00730DE4" w:rsidRDefault="002514F8" w:rsidP="000B0ED0">
            <w:pPr>
              <w:pStyle w:val="NoSpacing"/>
            </w:pPr>
            <w:r w:rsidRPr="00730DE4">
              <w:t>Customer service complaints in South East Queensland per 10,000 trips</w:t>
            </w:r>
          </w:p>
        </w:tc>
        <w:tc>
          <w:tcPr>
            <w:tcW w:w="477" w:type="pct"/>
          </w:tcPr>
          <w:p w14:paraId="6A3CC4DD" w14:textId="77777777" w:rsidR="002514F8" w:rsidRPr="00730DE4" w:rsidRDefault="002514F8" w:rsidP="00BE710F">
            <w:pPr>
              <w:pStyle w:val="NoSpacing"/>
              <w:jc w:val="right"/>
            </w:pPr>
            <w:r w:rsidRPr="00730DE4">
              <w:t>2.1</w:t>
            </w:r>
          </w:p>
        </w:tc>
        <w:tc>
          <w:tcPr>
            <w:tcW w:w="479" w:type="pct"/>
          </w:tcPr>
          <w:p w14:paraId="38593FD5" w14:textId="77777777" w:rsidR="002514F8" w:rsidRPr="00730DE4" w:rsidRDefault="002514F8" w:rsidP="00BE710F">
            <w:pPr>
              <w:pStyle w:val="NoSpacing"/>
              <w:jc w:val="right"/>
            </w:pPr>
            <w:r w:rsidRPr="00730DE4">
              <w:t>1.9</w:t>
            </w:r>
          </w:p>
        </w:tc>
        <w:tc>
          <w:tcPr>
            <w:tcW w:w="479" w:type="pct"/>
          </w:tcPr>
          <w:p w14:paraId="52F29749" w14:textId="77777777" w:rsidR="002514F8" w:rsidRPr="00730DE4" w:rsidRDefault="002514F8" w:rsidP="00BE710F">
            <w:pPr>
              <w:pStyle w:val="NoSpacing"/>
              <w:jc w:val="right"/>
            </w:pPr>
            <w:r w:rsidRPr="00730DE4">
              <w:t>2.2</w:t>
            </w:r>
          </w:p>
        </w:tc>
        <w:tc>
          <w:tcPr>
            <w:tcW w:w="479" w:type="pct"/>
          </w:tcPr>
          <w:p w14:paraId="3FA29B3E" w14:textId="77777777" w:rsidR="002514F8" w:rsidRPr="00730DE4" w:rsidRDefault="002514F8" w:rsidP="00BE710F">
            <w:pPr>
              <w:pStyle w:val="NoSpacing"/>
              <w:jc w:val="right"/>
            </w:pPr>
            <w:r w:rsidRPr="00730DE4">
              <w:t>2.3</w:t>
            </w:r>
          </w:p>
        </w:tc>
        <w:tc>
          <w:tcPr>
            <w:tcW w:w="702" w:type="pct"/>
          </w:tcPr>
          <w:p w14:paraId="5C2A7D8D" w14:textId="77777777" w:rsidR="002514F8" w:rsidRPr="00730DE4" w:rsidRDefault="002514F8" w:rsidP="00BE710F">
            <w:pPr>
              <w:pStyle w:val="NoSpacing"/>
              <w:jc w:val="right"/>
            </w:pPr>
            <w:r w:rsidRPr="00730DE4">
              <w:t>&lt;3.0</w:t>
            </w:r>
          </w:p>
        </w:tc>
        <w:tc>
          <w:tcPr>
            <w:tcW w:w="479" w:type="pct"/>
          </w:tcPr>
          <w:p w14:paraId="651F76DE" w14:textId="77777777" w:rsidR="002514F8" w:rsidRPr="00730DE4" w:rsidRDefault="002514F8" w:rsidP="00BE710F">
            <w:pPr>
              <w:pStyle w:val="NoSpacing"/>
              <w:jc w:val="right"/>
            </w:pPr>
            <w:r w:rsidRPr="00730DE4">
              <w:t>2.1</w:t>
            </w:r>
          </w:p>
        </w:tc>
        <w:tc>
          <w:tcPr>
            <w:tcW w:w="312" w:type="pct"/>
          </w:tcPr>
          <w:p w14:paraId="03200B07" w14:textId="77777777" w:rsidR="002514F8" w:rsidRPr="00730DE4" w:rsidRDefault="002514F8" w:rsidP="000831CB">
            <w:pPr>
              <w:pStyle w:val="NoSpacing"/>
              <w:jc w:val="center"/>
            </w:pPr>
          </w:p>
        </w:tc>
      </w:tr>
      <w:tr w:rsidR="000A65A9" w:rsidRPr="00730DE4" w14:paraId="6DA0BD94" w14:textId="77777777" w:rsidTr="006545E5">
        <w:trPr>
          <w:cnfStyle w:val="000000100000" w:firstRow="0" w:lastRow="0" w:firstColumn="0" w:lastColumn="0" w:oddVBand="0" w:evenVBand="0" w:oddHBand="1" w:evenHBand="0" w:firstRowFirstColumn="0" w:firstRowLastColumn="0" w:lastRowFirstColumn="0" w:lastRowLastColumn="0"/>
          <w:trHeight w:val="21"/>
        </w:trPr>
        <w:tc>
          <w:tcPr>
            <w:tcW w:w="1594" w:type="pct"/>
          </w:tcPr>
          <w:p w14:paraId="4AF952CF" w14:textId="77777777" w:rsidR="002514F8" w:rsidRPr="00730DE4" w:rsidRDefault="002514F8" w:rsidP="006545E5">
            <w:pPr>
              <w:pStyle w:val="NoSpacing"/>
            </w:pPr>
            <w:r w:rsidRPr="00730DE4">
              <w:t>Customer experience ratings of passenger transport service by type (on a scale of 1 to 5)—South East Queensland bus</w:t>
            </w:r>
          </w:p>
        </w:tc>
        <w:tc>
          <w:tcPr>
            <w:tcW w:w="477" w:type="pct"/>
          </w:tcPr>
          <w:p w14:paraId="59EAB061" w14:textId="77777777" w:rsidR="002514F8" w:rsidRPr="00730DE4" w:rsidRDefault="002514F8" w:rsidP="006545E5">
            <w:pPr>
              <w:pStyle w:val="NoSpacing"/>
              <w:jc w:val="right"/>
            </w:pPr>
            <w:r w:rsidRPr="00730DE4">
              <w:t>4.2</w:t>
            </w:r>
          </w:p>
        </w:tc>
        <w:tc>
          <w:tcPr>
            <w:tcW w:w="479" w:type="pct"/>
          </w:tcPr>
          <w:p w14:paraId="1B7D69A2" w14:textId="77777777" w:rsidR="002514F8" w:rsidRPr="00730DE4" w:rsidRDefault="002514F8" w:rsidP="006545E5">
            <w:pPr>
              <w:pStyle w:val="NoSpacing"/>
              <w:jc w:val="right"/>
            </w:pPr>
            <w:r w:rsidRPr="00730DE4">
              <w:t>4.2</w:t>
            </w:r>
          </w:p>
        </w:tc>
        <w:tc>
          <w:tcPr>
            <w:tcW w:w="479" w:type="pct"/>
          </w:tcPr>
          <w:p w14:paraId="354A3103" w14:textId="77777777" w:rsidR="002514F8" w:rsidRPr="00730DE4" w:rsidRDefault="002514F8" w:rsidP="006545E5">
            <w:pPr>
              <w:pStyle w:val="NoSpacing"/>
              <w:jc w:val="right"/>
            </w:pPr>
            <w:r w:rsidRPr="00730DE4">
              <w:t>4.2</w:t>
            </w:r>
          </w:p>
        </w:tc>
        <w:tc>
          <w:tcPr>
            <w:tcW w:w="479" w:type="pct"/>
          </w:tcPr>
          <w:p w14:paraId="7A470CAA" w14:textId="77777777" w:rsidR="002514F8" w:rsidRPr="00730DE4" w:rsidRDefault="002514F8" w:rsidP="006545E5">
            <w:pPr>
              <w:pStyle w:val="NoSpacing"/>
              <w:jc w:val="right"/>
            </w:pPr>
            <w:r w:rsidRPr="00730DE4">
              <w:t>4.1</w:t>
            </w:r>
          </w:p>
        </w:tc>
        <w:tc>
          <w:tcPr>
            <w:tcW w:w="702" w:type="pct"/>
          </w:tcPr>
          <w:p w14:paraId="12BDC807" w14:textId="77777777" w:rsidR="002514F8" w:rsidRPr="00730DE4" w:rsidRDefault="002514F8" w:rsidP="006545E5">
            <w:pPr>
              <w:pStyle w:val="NoSpacing"/>
              <w:jc w:val="right"/>
            </w:pPr>
            <w:r w:rsidRPr="00730DE4">
              <w:t>≥3.5</w:t>
            </w:r>
          </w:p>
        </w:tc>
        <w:tc>
          <w:tcPr>
            <w:tcW w:w="479" w:type="pct"/>
          </w:tcPr>
          <w:p w14:paraId="15AF682C" w14:textId="77777777" w:rsidR="002514F8" w:rsidRPr="00730DE4" w:rsidRDefault="002514F8" w:rsidP="006545E5">
            <w:pPr>
              <w:pStyle w:val="NoSpacing"/>
              <w:jc w:val="right"/>
            </w:pPr>
            <w:r w:rsidRPr="00730DE4">
              <w:t>4.0</w:t>
            </w:r>
          </w:p>
        </w:tc>
        <w:tc>
          <w:tcPr>
            <w:tcW w:w="312" w:type="pct"/>
          </w:tcPr>
          <w:p w14:paraId="053C193C" w14:textId="77777777" w:rsidR="002514F8" w:rsidRPr="00730DE4" w:rsidRDefault="002514F8" w:rsidP="006545E5">
            <w:pPr>
              <w:pStyle w:val="NoSpacing"/>
              <w:jc w:val="center"/>
            </w:pPr>
          </w:p>
        </w:tc>
      </w:tr>
      <w:tr w:rsidR="002514F8" w:rsidRPr="00730DE4" w14:paraId="622DED5D" w14:textId="77777777" w:rsidTr="006545E5">
        <w:trPr>
          <w:trHeight w:val="21"/>
        </w:trPr>
        <w:tc>
          <w:tcPr>
            <w:tcW w:w="1594" w:type="pct"/>
          </w:tcPr>
          <w:p w14:paraId="4A95CC1A" w14:textId="77777777" w:rsidR="002514F8" w:rsidRPr="00730DE4" w:rsidRDefault="002514F8" w:rsidP="006545E5">
            <w:pPr>
              <w:pStyle w:val="NoSpacing"/>
            </w:pPr>
            <w:r w:rsidRPr="00730DE4">
              <w:t>Customer experience ratings of passenger transport service by type (on a scale of 1 to 5)—South East Queensland rail</w:t>
            </w:r>
          </w:p>
        </w:tc>
        <w:tc>
          <w:tcPr>
            <w:tcW w:w="477" w:type="pct"/>
          </w:tcPr>
          <w:p w14:paraId="6FC3ECAA" w14:textId="77777777" w:rsidR="002514F8" w:rsidRPr="00730DE4" w:rsidRDefault="002514F8" w:rsidP="006545E5">
            <w:pPr>
              <w:pStyle w:val="NoSpacing"/>
              <w:jc w:val="right"/>
            </w:pPr>
            <w:r w:rsidRPr="00730DE4">
              <w:t>4.1</w:t>
            </w:r>
          </w:p>
        </w:tc>
        <w:tc>
          <w:tcPr>
            <w:tcW w:w="479" w:type="pct"/>
          </w:tcPr>
          <w:p w14:paraId="4A5B3330" w14:textId="77777777" w:rsidR="002514F8" w:rsidRPr="00730DE4" w:rsidRDefault="002514F8" w:rsidP="006545E5">
            <w:pPr>
              <w:pStyle w:val="NoSpacing"/>
              <w:jc w:val="right"/>
            </w:pPr>
            <w:r w:rsidRPr="00730DE4">
              <w:t>4.2</w:t>
            </w:r>
          </w:p>
        </w:tc>
        <w:tc>
          <w:tcPr>
            <w:tcW w:w="479" w:type="pct"/>
          </w:tcPr>
          <w:p w14:paraId="27C794FA" w14:textId="77777777" w:rsidR="002514F8" w:rsidRPr="00730DE4" w:rsidRDefault="002514F8" w:rsidP="006545E5">
            <w:pPr>
              <w:pStyle w:val="NoSpacing"/>
              <w:jc w:val="right"/>
            </w:pPr>
            <w:r w:rsidRPr="00730DE4">
              <w:t>4.1</w:t>
            </w:r>
          </w:p>
        </w:tc>
        <w:tc>
          <w:tcPr>
            <w:tcW w:w="479" w:type="pct"/>
          </w:tcPr>
          <w:p w14:paraId="2EAAFACF" w14:textId="77777777" w:rsidR="002514F8" w:rsidRPr="00730DE4" w:rsidRDefault="002514F8" w:rsidP="006545E5">
            <w:pPr>
              <w:pStyle w:val="NoSpacing"/>
              <w:jc w:val="right"/>
            </w:pPr>
            <w:r w:rsidRPr="00730DE4">
              <w:t>3.9</w:t>
            </w:r>
          </w:p>
        </w:tc>
        <w:tc>
          <w:tcPr>
            <w:tcW w:w="702" w:type="pct"/>
          </w:tcPr>
          <w:p w14:paraId="7064B5AE" w14:textId="77777777" w:rsidR="002514F8" w:rsidRPr="00730DE4" w:rsidRDefault="002514F8" w:rsidP="006545E5">
            <w:pPr>
              <w:pStyle w:val="NoSpacing"/>
              <w:jc w:val="right"/>
            </w:pPr>
            <w:r w:rsidRPr="00730DE4">
              <w:t>≥3.5</w:t>
            </w:r>
          </w:p>
        </w:tc>
        <w:tc>
          <w:tcPr>
            <w:tcW w:w="479" w:type="pct"/>
          </w:tcPr>
          <w:p w14:paraId="629AD649" w14:textId="77777777" w:rsidR="002514F8" w:rsidRPr="00730DE4" w:rsidRDefault="002514F8" w:rsidP="006545E5">
            <w:pPr>
              <w:pStyle w:val="NoSpacing"/>
              <w:jc w:val="right"/>
            </w:pPr>
            <w:r w:rsidRPr="00730DE4">
              <w:t>3.9</w:t>
            </w:r>
          </w:p>
        </w:tc>
        <w:tc>
          <w:tcPr>
            <w:tcW w:w="312" w:type="pct"/>
          </w:tcPr>
          <w:p w14:paraId="691B94F2" w14:textId="77777777" w:rsidR="002514F8" w:rsidRPr="00730DE4" w:rsidRDefault="002514F8" w:rsidP="006545E5">
            <w:pPr>
              <w:pStyle w:val="NoSpacing"/>
              <w:jc w:val="center"/>
            </w:pPr>
          </w:p>
        </w:tc>
      </w:tr>
      <w:tr w:rsidR="000A65A9" w:rsidRPr="00730DE4" w14:paraId="12FC45CF" w14:textId="77777777" w:rsidTr="006545E5">
        <w:trPr>
          <w:cnfStyle w:val="000000100000" w:firstRow="0" w:lastRow="0" w:firstColumn="0" w:lastColumn="0" w:oddVBand="0" w:evenVBand="0" w:oddHBand="1" w:evenHBand="0" w:firstRowFirstColumn="0" w:firstRowLastColumn="0" w:lastRowFirstColumn="0" w:lastRowLastColumn="0"/>
          <w:trHeight w:val="21"/>
        </w:trPr>
        <w:tc>
          <w:tcPr>
            <w:tcW w:w="1594" w:type="pct"/>
          </w:tcPr>
          <w:p w14:paraId="16F806BE" w14:textId="77777777" w:rsidR="002514F8" w:rsidRPr="00730DE4" w:rsidRDefault="002514F8" w:rsidP="006545E5">
            <w:pPr>
              <w:pStyle w:val="NoSpacing"/>
            </w:pPr>
            <w:r w:rsidRPr="00730DE4">
              <w:t>Customer experience ratings of passenger transport service by type (on a scale of 1 to 5)—South East Queensland ferry</w:t>
            </w:r>
          </w:p>
        </w:tc>
        <w:tc>
          <w:tcPr>
            <w:tcW w:w="477" w:type="pct"/>
          </w:tcPr>
          <w:p w14:paraId="44276776" w14:textId="77777777" w:rsidR="002514F8" w:rsidRPr="00730DE4" w:rsidRDefault="002514F8" w:rsidP="006545E5">
            <w:pPr>
              <w:pStyle w:val="NoSpacing"/>
              <w:jc w:val="right"/>
            </w:pPr>
            <w:r w:rsidRPr="00730DE4">
              <w:t>4.5</w:t>
            </w:r>
          </w:p>
        </w:tc>
        <w:tc>
          <w:tcPr>
            <w:tcW w:w="479" w:type="pct"/>
          </w:tcPr>
          <w:p w14:paraId="36B8FBCD" w14:textId="77777777" w:rsidR="002514F8" w:rsidRPr="00730DE4" w:rsidRDefault="002514F8" w:rsidP="006545E5">
            <w:pPr>
              <w:pStyle w:val="NoSpacing"/>
              <w:jc w:val="right"/>
            </w:pPr>
            <w:r w:rsidRPr="00730DE4">
              <w:t>4.5</w:t>
            </w:r>
          </w:p>
        </w:tc>
        <w:tc>
          <w:tcPr>
            <w:tcW w:w="479" w:type="pct"/>
          </w:tcPr>
          <w:p w14:paraId="71A0AA75" w14:textId="77777777" w:rsidR="002514F8" w:rsidRPr="00730DE4" w:rsidRDefault="002514F8" w:rsidP="006545E5">
            <w:pPr>
              <w:pStyle w:val="NoSpacing"/>
              <w:jc w:val="right"/>
            </w:pPr>
            <w:r w:rsidRPr="00730DE4">
              <w:t>4.4</w:t>
            </w:r>
          </w:p>
        </w:tc>
        <w:tc>
          <w:tcPr>
            <w:tcW w:w="479" w:type="pct"/>
          </w:tcPr>
          <w:p w14:paraId="3BB8332E" w14:textId="77777777" w:rsidR="002514F8" w:rsidRPr="00730DE4" w:rsidRDefault="002514F8" w:rsidP="006545E5">
            <w:pPr>
              <w:pStyle w:val="NoSpacing"/>
              <w:jc w:val="right"/>
            </w:pPr>
            <w:r w:rsidRPr="00730DE4">
              <w:t>4.5</w:t>
            </w:r>
          </w:p>
        </w:tc>
        <w:tc>
          <w:tcPr>
            <w:tcW w:w="702" w:type="pct"/>
          </w:tcPr>
          <w:p w14:paraId="24903C1C" w14:textId="77777777" w:rsidR="002514F8" w:rsidRPr="00730DE4" w:rsidRDefault="002514F8" w:rsidP="006545E5">
            <w:pPr>
              <w:pStyle w:val="NoSpacing"/>
              <w:jc w:val="right"/>
            </w:pPr>
            <w:r w:rsidRPr="00730DE4">
              <w:t>≥3.5</w:t>
            </w:r>
          </w:p>
        </w:tc>
        <w:tc>
          <w:tcPr>
            <w:tcW w:w="479" w:type="pct"/>
          </w:tcPr>
          <w:p w14:paraId="4C5ED430" w14:textId="77777777" w:rsidR="002514F8" w:rsidRPr="00730DE4" w:rsidRDefault="002514F8" w:rsidP="006545E5">
            <w:pPr>
              <w:pStyle w:val="NoSpacing"/>
              <w:jc w:val="right"/>
            </w:pPr>
            <w:r w:rsidRPr="00730DE4">
              <w:t>4.5</w:t>
            </w:r>
          </w:p>
        </w:tc>
        <w:tc>
          <w:tcPr>
            <w:tcW w:w="312" w:type="pct"/>
          </w:tcPr>
          <w:p w14:paraId="6CFF235B" w14:textId="77777777" w:rsidR="002514F8" w:rsidRPr="00730DE4" w:rsidRDefault="002514F8" w:rsidP="006545E5">
            <w:pPr>
              <w:pStyle w:val="NoSpacing"/>
              <w:jc w:val="center"/>
            </w:pPr>
          </w:p>
        </w:tc>
      </w:tr>
      <w:tr w:rsidR="002514F8" w:rsidRPr="00730DE4" w14:paraId="308D6D82" w14:textId="77777777" w:rsidTr="006545E5">
        <w:trPr>
          <w:trHeight w:val="21"/>
        </w:trPr>
        <w:tc>
          <w:tcPr>
            <w:tcW w:w="1594" w:type="pct"/>
          </w:tcPr>
          <w:p w14:paraId="730ED177" w14:textId="77777777" w:rsidR="002514F8" w:rsidRPr="00730DE4" w:rsidRDefault="002514F8" w:rsidP="006545E5">
            <w:pPr>
              <w:pStyle w:val="NoSpacing"/>
            </w:pPr>
            <w:r w:rsidRPr="00730DE4">
              <w:t>Customer experience ratings of passenger transport service by type (on a scale of 1 to 5)—South East Queensland tram</w:t>
            </w:r>
          </w:p>
        </w:tc>
        <w:tc>
          <w:tcPr>
            <w:tcW w:w="477" w:type="pct"/>
          </w:tcPr>
          <w:p w14:paraId="1A86B612" w14:textId="77777777" w:rsidR="002514F8" w:rsidRPr="00730DE4" w:rsidRDefault="002514F8" w:rsidP="006545E5">
            <w:pPr>
              <w:pStyle w:val="NoSpacing"/>
              <w:jc w:val="right"/>
            </w:pPr>
            <w:r w:rsidRPr="00730DE4">
              <w:t>4.4</w:t>
            </w:r>
          </w:p>
        </w:tc>
        <w:tc>
          <w:tcPr>
            <w:tcW w:w="479" w:type="pct"/>
          </w:tcPr>
          <w:p w14:paraId="3D03A37C" w14:textId="77777777" w:rsidR="002514F8" w:rsidRPr="00730DE4" w:rsidRDefault="002514F8" w:rsidP="006545E5">
            <w:pPr>
              <w:pStyle w:val="NoSpacing"/>
              <w:jc w:val="right"/>
            </w:pPr>
            <w:r w:rsidRPr="00730DE4">
              <w:t>4.5</w:t>
            </w:r>
          </w:p>
        </w:tc>
        <w:tc>
          <w:tcPr>
            <w:tcW w:w="479" w:type="pct"/>
          </w:tcPr>
          <w:p w14:paraId="4FA3A8CF" w14:textId="77777777" w:rsidR="002514F8" w:rsidRPr="00730DE4" w:rsidRDefault="002514F8" w:rsidP="006545E5">
            <w:pPr>
              <w:pStyle w:val="NoSpacing"/>
              <w:jc w:val="right"/>
            </w:pPr>
            <w:r w:rsidRPr="00730DE4">
              <w:t>4.2</w:t>
            </w:r>
          </w:p>
        </w:tc>
        <w:tc>
          <w:tcPr>
            <w:tcW w:w="479" w:type="pct"/>
          </w:tcPr>
          <w:p w14:paraId="548FE218" w14:textId="77777777" w:rsidR="002514F8" w:rsidRPr="00730DE4" w:rsidRDefault="002514F8" w:rsidP="006545E5">
            <w:pPr>
              <w:pStyle w:val="NoSpacing"/>
              <w:jc w:val="right"/>
            </w:pPr>
            <w:r w:rsidRPr="00730DE4">
              <w:t>4.3</w:t>
            </w:r>
          </w:p>
        </w:tc>
        <w:tc>
          <w:tcPr>
            <w:tcW w:w="702" w:type="pct"/>
          </w:tcPr>
          <w:p w14:paraId="2EE184D7" w14:textId="77777777" w:rsidR="002514F8" w:rsidRPr="00730DE4" w:rsidRDefault="002514F8" w:rsidP="006545E5">
            <w:pPr>
              <w:pStyle w:val="NoSpacing"/>
              <w:jc w:val="right"/>
            </w:pPr>
            <w:r w:rsidRPr="00730DE4">
              <w:t>≥3.5</w:t>
            </w:r>
          </w:p>
        </w:tc>
        <w:tc>
          <w:tcPr>
            <w:tcW w:w="479" w:type="pct"/>
          </w:tcPr>
          <w:p w14:paraId="1CB208F2" w14:textId="77777777" w:rsidR="002514F8" w:rsidRPr="00730DE4" w:rsidRDefault="002514F8" w:rsidP="006545E5">
            <w:pPr>
              <w:pStyle w:val="NoSpacing"/>
              <w:jc w:val="right"/>
            </w:pPr>
            <w:r w:rsidRPr="00730DE4">
              <w:t>4.3</w:t>
            </w:r>
          </w:p>
        </w:tc>
        <w:tc>
          <w:tcPr>
            <w:tcW w:w="312" w:type="pct"/>
          </w:tcPr>
          <w:p w14:paraId="750DE169" w14:textId="77777777" w:rsidR="002514F8" w:rsidRPr="00730DE4" w:rsidRDefault="002514F8" w:rsidP="006545E5">
            <w:pPr>
              <w:pStyle w:val="NoSpacing"/>
              <w:jc w:val="center"/>
            </w:pPr>
          </w:p>
        </w:tc>
      </w:tr>
      <w:tr w:rsidR="000A65A9" w:rsidRPr="00730DE4" w14:paraId="64871FD0" w14:textId="77777777" w:rsidTr="006545E5">
        <w:trPr>
          <w:cnfStyle w:val="000000100000" w:firstRow="0" w:lastRow="0" w:firstColumn="0" w:lastColumn="0" w:oddVBand="0" w:evenVBand="0" w:oddHBand="1" w:evenHBand="0" w:firstRowFirstColumn="0" w:firstRowLastColumn="0" w:lastRowFirstColumn="0" w:lastRowLastColumn="0"/>
          <w:trHeight w:val="21"/>
        </w:trPr>
        <w:tc>
          <w:tcPr>
            <w:tcW w:w="1594" w:type="pct"/>
          </w:tcPr>
          <w:p w14:paraId="3CAEF183" w14:textId="77777777" w:rsidR="002514F8" w:rsidRPr="00730DE4" w:rsidRDefault="002514F8" w:rsidP="006545E5">
            <w:pPr>
              <w:pStyle w:val="NoSpacing"/>
            </w:pPr>
            <w:r w:rsidRPr="00730DE4">
              <w:t>Customer experience ratings of passenger transport service by type (on a scale of 1 to 5)—Regional urban bus</w:t>
            </w:r>
          </w:p>
        </w:tc>
        <w:tc>
          <w:tcPr>
            <w:tcW w:w="477" w:type="pct"/>
          </w:tcPr>
          <w:p w14:paraId="1E740DE7" w14:textId="77777777" w:rsidR="002514F8" w:rsidRPr="00730DE4" w:rsidRDefault="002514F8" w:rsidP="006545E5">
            <w:pPr>
              <w:pStyle w:val="NoSpacing"/>
              <w:jc w:val="right"/>
            </w:pPr>
            <w:r w:rsidRPr="00730DE4">
              <w:t>4.2</w:t>
            </w:r>
          </w:p>
        </w:tc>
        <w:tc>
          <w:tcPr>
            <w:tcW w:w="479" w:type="pct"/>
          </w:tcPr>
          <w:p w14:paraId="65460C31" w14:textId="77777777" w:rsidR="002514F8" w:rsidRPr="00730DE4" w:rsidRDefault="002514F8" w:rsidP="006545E5">
            <w:pPr>
              <w:pStyle w:val="NoSpacing"/>
              <w:jc w:val="right"/>
            </w:pPr>
            <w:r w:rsidRPr="00730DE4">
              <w:t>4.2</w:t>
            </w:r>
          </w:p>
        </w:tc>
        <w:tc>
          <w:tcPr>
            <w:tcW w:w="479" w:type="pct"/>
          </w:tcPr>
          <w:p w14:paraId="4B4E9342" w14:textId="77777777" w:rsidR="002514F8" w:rsidRPr="00730DE4" w:rsidRDefault="002514F8" w:rsidP="006545E5">
            <w:pPr>
              <w:pStyle w:val="NoSpacing"/>
              <w:jc w:val="right"/>
            </w:pPr>
            <w:r w:rsidRPr="00730DE4">
              <w:t>4.3</w:t>
            </w:r>
          </w:p>
        </w:tc>
        <w:tc>
          <w:tcPr>
            <w:tcW w:w="479" w:type="pct"/>
          </w:tcPr>
          <w:p w14:paraId="2074348E" w14:textId="77777777" w:rsidR="002514F8" w:rsidRPr="00730DE4" w:rsidRDefault="002514F8" w:rsidP="006545E5">
            <w:pPr>
              <w:pStyle w:val="NoSpacing"/>
              <w:jc w:val="right"/>
            </w:pPr>
            <w:r w:rsidRPr="00730DE4">
              <w:t>4.2</w:t>
            </w:r>
          </w:p>
        </w:tc>
        <w:tc>
          <w:tcPr>
            <w:tcW w:w="702" w:type="pct"/>
          </w:tcPr>
          <w:p w14:paraId="2510DC71" w14:textId="77777777" w:rsidR="002514F8" w:rsidRPr="00730DE4" w:rsidRDefault="002514F8" w:rsidP="006545E5">
            <w:pPr>
              <w:pStyle w:val="NoSpacing"/>
              <w:jc w:val="right"/>
            </w:pPr>
            <w:r w:rsidRPr="00730DE4">
              <w:t>≥3.5</w:t>
            </w:r>
          </w:p>
        </w:tc>
        <w:tc>
          <w:tcPr>
            <w:tcW w:w="479" w:type="pct"/>
          </w:tcPr>
          <w:p w14:paraId="12E59F04" w14:textId="77777777" w:rsidR="002514F8" w:rsidRPr="00730DE4" w:rsidRDefault="002514F8" w:rsidP="006545E5">
            <w:pPr>
              <w:pStyle w:val="NoSpacing"/>
              <w:jc w:val="right"/>
            </w:pPr>
            <w:r w:rsidRPr="00730DE4">
              <w:t>4.2</w:t>
            </w:r>
          </w:p>
        </w:tc>
        <w:tc>
          <w:tcPr>
            <w:tcW w:w="312" w:type="pct"/>
          </w:tcPr>
          <w:p w14:paraId="0E120644" w14:textId="77777777" w:rsidR="002514F8" w:rsidRPr="00730DE4" w:rsidRDefault="002514F8" w:rsidP="006545E5">
            <w:pPr>
              <w:pStyle w:val="NoSpacing"/>
              <w:jc w:val="center"/>
            </w:pPr>
          </w:p>
        </w:tc>
      </w:tr>
    </w:tbl>
    <w:p w14:paraId="6CF9733A" w14:textId="77777777" w:rsidR="00EA1647" w:rsidRDefault="00EA1647" w:rsidP="00583174">
      <w:pPr>
        <w:pStyle w:val="FigureCaption"/>
        <w:rPr>
          <w:lang w:val="en-US"/>
        </w:rPr>
      </w:pPr>
      <w:r>
        <w:rPr>
          <w:lang w:val="en-US"/>
        </w:rPr>
        <w:br w:type="page"/>
      </w:r>
    </w:p>
    <w:p w14:paraId="58AF1117" w14:textId="021EA701" w:rsidR="002514F8" w:rsidRPr="00730DE4" w:rsidRDefault="002514F8" w:rsidP="00583174">
      <w:pPr>
        <w:pStyle w:val="FigureCaption"/>
        <w:rPr>
          <w:lang w:val="en-US"/>
        </w:rPr>
      </w:pPr>
      <w:r w:rsidRPr="00730DE4">
        <w:rPr>
          <w:lang w:val="en-US"/>
        </w:rPr>
        <w:t>Table 19: Customer Experience efficiency measures</w:t>
      </w:r>
    </w:p>
    <w:tbl>
      <w:tblPr>
        <w:tblStyle w:val="TMRDefault"/>
        <w:tblW w:w="5000" w:type="pct"/>
        <w:tblLook w:val="04A0" w:firstRow="1" w:lastRow="0" w:firstColumn="1" w:lastColumn="0" w:noHBand="0" w:noVBand="1"/>
      </w:tblPr>
      <w:tblGrid>
        <w:gridCol w:w="4458"/>
        <w:gridCol w:w="1964"/>
        <w:gridCol w:w="1234"/>
        <w:gridCol w:w="1234"/>
        <w:gridCol w:w="1234"/>
        <w:gridCol w:w="1760"/>
        <w:gridCol w:w="1234"/>
        <w:gridCol w:w="874"/>
      </w:tblGrid>
      <w:tr w:rsidR="000A65A9" w:rsidRPr="00730DE4" w14:paraId="19B84DBF" w14:textId="77777777" w:rsidTr="007D1DCD">
        <w:trPr>
          <w:cnfStyle w:val="100000000000" w:firstRow="1" w:lastRow="0" w:firstColumn="0" w:lastColumn="0" w:oddVBand="0" w:evenVBand="0" w:oddHBand="0" w:evenHBand="0" w:firstRowFirstColumn="0" w:firstRowLastColumn="0" w:lastRowFirstColumn="0" w:lastRowLastColumn="0"/>
          <w:trHeight w:val="21"/>
          <w:tblHeader/>
        </w:trPr>
        <w:tc>
          <w:tcPr>
            <w:tcW w:w="1594" w:type="pct"/>
          </w:tcPr>
          <w:p w14:paraId="4F2F8B67" w14:textId="77777777" w:rsidR="002514F8" w:rsidRPr="00730DE4" w:rsidRDefault="002514F8" w:rsidP="000B0ED0">
            <w:pPr>
              <w:pStyle w:val="NoSpacing"/>
              <w:rPr>
                <w:color w:val="FFFFFF" w:themeColor="background1"/>
              </w:rPr>
            </w:pPr>
            <w:r w:rsidRPr="00730DE4">
              <w:rPr>
                <w:color w:val="FFFFFF" w:themeColor="background1"/>
              </w:rPr>
              <w:t>Service standards</w:t>
            </w:r>
          </w:p>
        </w:tc>
        <w:tc>
          <w:tcPr>
            <w:tcW w:w="703" w:type="pct"/>
          </w:tcPr>
          <w:p w14:paraId="6E03C568" w14:textId="77777777" w:rsidR="002514F8" w:rsidRPr="00730DE4" w:rsidRDefault="002514F8" w:rsidP="00BE710F">
            <w:pPr>
              <w:pStyle w:val="NoSpacing"/>
              <w:jc w:val="right"/>
              <w:rPr>
                <w:color w:val="FFFFFF" w:themeColor="background1"/>
              </w:rPr>
            </w:pPr>
            <w:r w:rsidRPr="00730DE4">
              <w:rPr>
                <w:color w:val="FFFFFF" w:themeColor="background1"/>
              </w:rPr>
              <w:t>2019–20 Actual</w:t>
            </w:r>
          </w:p>
        </w:tc>
        <w:tc>
          <w:tcPr>
            <w:tcW w:w="442" w:type="pct"/>
          </w:tcPr>
          <w:p w14:paraId="21B92291" w14:textId="77777777" w:rsidR="002514F8" w:rsidRPr="00730DE4" w:rsidRDefault="002514F8" w:rsidP="00BE710F">
            <w:pPr>
              <w:pStyle w:val="NoSpacing"/>
              <w:jc w:val="right"/>
              <w:rPr>
                <w:color w:val="FFFFFF" w:themeColor="background1"/>
              </w:rPr>
            </w:pPr>
            <w:r w:rsidRPr="00730DE4">
              <w:rPr>
                <w:color w:val="FFFFFF" w:themeColor="background1"/>
              </w:rPr>
              <w:t>2020–21 Actual</w:t>
            </w:r>
          </w:p>
        </w:tc>
        <w:tc>
          <w:tcPr>
            <w:tcW w:w="442" w:type="pct"/>
          </w:tcPr>
          <w:p w14:paraId="566FCAD9" w14:textId="77777777" w:rsidR="002514F8" w:rsidRPr="00730DE4" w:rsidRDefault="002514F8" w:rsidP="00BE710F">
            <w:pPr>
              <w:pStyle w:val="NoSpacing"/>
              <w:jc w:val="right"/>
              <w:rPr>
                <w:color w:val="FFFFFF" w:themeColor="background1"/>
              </w:rPr>
            </w:pPr>
            <w:r w:rsidRPr="00730DE4">
              <w:rPr>
                <w:color w:val="FFFFFF" w:themeColor="background1"/>
              </w:rPr>
              <w:t>2021–22 Actual</w:t>
            </w:r>
          </w:p>
        </w:tc>
        <w:tc>
          <w:tcPr>
            <w:tcW w:w="442" w:type="pct"/>
          </w:tcPr>
          <w:p w14:paraId="19C5CD30" w14:textId="77777777" w:rsidR="002514F8" w:rsidRPr="00730DE4" w:rsidRDefault="002514F8" w:rsidP="00BE710F">
            <w:pPr>
              <w:pStyle w:val="NoSpacing"/>
              <w:jc w:val="right"/>
              <w:rPr>
                <w:color w:val="FFFFFF" w:themeColor="background1"/>
              </w:rPr>
            </w:pPr>
            <w:r w:rsidRPr="00730DE4">
              <w:rPr>
                <w:color w:val="FFFFFF" w:themeColor="background1"/>
              </w:rPr>
              <w:t>2022–23 Actual</w:t>
            </w:r>
          </w:p>
        </w:tc>
        <w:tc>
          <w:tcPr>
            <w:tcW w:w="630" w:type="pct"/>
          </w:tcPr>
          <w:p w14:paraId="545D628F" w14:textId="77777777" w:rsidR="002514F8" w:rsidRPr="00730DE4" w:rsidRDefault="002514F8" w:rsidP="00BE710F">
            <w:pPr>
              <w:pStyle w:val="NoSpacing"/>
              <w:jc w:val="right"/>
              <w:rPr>
                <w:color w:val="FFFFFF" w:themeColor="background1"/>
              </w:rPr>
            </w:pPr>
            <w:r w:rsidRPr="00730DE4">
              <w:rPr>
                <w:color w:val="FFFFFF" w:themeColor="background1"/>
              </w:rPr>
              <w:t>2023–24 Target / Estimate</w:t>
            </w:r>
          </w:p>
        </w:tc>
        <w:tc>
          <w:tcPr>
            <w:tcW w:w="442" w:type="pct"/>
          </w:tcPr>
          <w:p w14:paraId="1D9AE3AA" w14:textId="77777777" w:rsidR="002514F8" w:rsidRPr="00730DE4" w:rsidRDefault="002514F8" w:rsidP="00BE710F">
            <w:pPr>
              <w:pStyle w:val="NoSpacing"/>
              <w:jc w:val="right"/>
              <w:rPr>
                <w:color w:val="FFFFFF" w:themeColor="background1"/>
              </w:rPr>
            </w:pPr>
            <w:r w:rsidRPr="00730DE4">
              <w:rPr>
                <w:color w:val="FFFFFF" w:themeColor="background1"/>
              </w:rPr>
              <w:t>2023–24 Actual</w:t>
            </w:r>
          </w:p>
        </w:tc>
        <w:tc>
          <w:tcPr>
            <w:tcW w:w="304" w:type="pct"/>
          </w:tcPr>
          <w:p w14:paraId="5A1CB0D2" w14:textId="77777777" w:rsidR="002514F8" w:rsidRPr="00730DE4" w:rsidRDefault="002514F8" w:rsidP="000831CB">
            <w:pPr>
              <w:pStyle w:val="NoSpacing"/>
              <w:jc w:val="center"/>
              <w:rPr>
                <w:color w:val="FFFFFF" w:themeColor="background1"/>
              </w:rPr>
            </w:pPr>
            <w:r w:rsidRPr="00730DE4">
              <w:rPr>
                <w:color w:val="FFFFFF" w:themeColor="background1"/>
              </w:rPr>
              <w:t>Notes</w:t>
            </w:r>
          </w:p>
        </w:tc>
      </w:tr>
      <w:tr w:rsidR="000A65A9" w:rsidRPr="00730DE4" w14:paraId="239A047B" w14:textId="77777777" w:rsidTr="007D1DCD">
        <w:trPr>
          <w:cnfStyle w:val="000000100000" w:firstRow="0" w:lastRow="0" w:firstColumn="0" w:lastColumn="0" w:oddVBand="0" w:evenVBand="0" w:oddHBand="1" w:evenHBand="0" w:firstRowFirstColumn="0" w:firstRowLastColumn="0" w:lastRowFirstColumn="0" w:lastRowLastColumn="0"/>
          <w:trHeight w:val="21"/>
        </w:trPr>
        <w:tc>
          <w:tcPr>
            <w:tcW w:w="1594" w:type="pct"/>
          </w:tcPr>
          <w:p w14:paraId="4E8B499D" w14:textId="77777777" w:rsidR="002514F8" w:rsidRPr="00730DE4" w:rsidRDefault="002514F8" w:rsidP="000B0ED0">
            <w:pPr>
              <w:pStyle w:val="NoSpacing"/>
            </w:pPr>
            <w:r w:rsidRPr="00730DE4">
              <w:t>Average unit cost per transaction in a Customer Service Centre</w:t>
            </w:r>
          </w:p>
        </w:tc>
        <w:tc>
          <w:tcPr>
            <w:tcW w:w="703" w:type="pct"/>
          </w:tcPr>
          <w:p w14:paraId="5093F2D6" w14:textId="77777777" w:rsidR="002514F8" w:rsidRPr="00730DE4" w:rsidRDefault="002514F8" w:rsidP="00BE710F">
            <w:pPr>
              <w:pStyle w:val="NoSpacing"/>
              <w:jc w:val="right"/>
            </w:pPr>
            <w:r w:rsidRPr="00730DE4">
              <w:t>$21.17</w:t>
            </w:r>
          </w:p>
        </w:tc>
        <w:tc>
          <w:tcPr>
            <w:tcW w:w="442" w:type="pct"/>
          </w:tcPr>
          <w:p w14:paraId="56D7DDAC" w14:textId="77777777" w:rsidR="002514F8" w:rsidRPr="00730DE4" w:rsidRDefault="002514F8" w:rsidP="00BE710F">
            <w:pPr>
              <w:pStyle w:val="NoSpacing"/>
              <w:jc w:val="right"/>
            </w:pPr>
            <w:r w:rsidRPr="00730DE4">
              <w:t>$21.70</w:t>
            </w:r>
          </w:p>
        </w:tc>
        <w:tc>
          <w:tcPr>
            <w:tcW w:w="442" w:type="pct"/>
          </w:tcPr>
          <w:p w14:paraId="325FF8D6" w14:textId="77777777" w:rsidR="002514F8" w:rsidRPr="00730DE4" w:rsidRDefault="002514F8" w:rsidP="00BE710F">
            <w:pPr>
              <w:pStyle w:val="NoSpacing"/>
              <w:jc w:val="right"/>
            </w:pPr>
            <w:r w:rsidRPr="00730DE4">
              <w:t>$22.24</w:t>
            </w:r>
          </w:p>
        </w:tc>
        <w:tc>
          <w:tcPr>
            <w:tcW w:w="442" w:type="pct"/>
          </w:tcPr>
          <w:p w14:paraId="26D9EC0E" w14:textId="77777777" w:rsidR="002514F8" w:rsidRPr="00730DE4" w:rsidRDefault="002514F8" w:rsidP="00BE710F">
            <w:pPr>
              <w:pStyle w:val="NoSpacing"/>
              <w:jc w:val="right"/>
            </w:pPr>
            <w:r w:rsidRPr="00730DE4">
              <w:t>$21.68</w:t>
            </w:r>
          </w:p>
        </w:tc>
        <w:tc>
          <w:tcPr>
            <w:tcW w:w="630" w:type="pct"/>
          </w:tcPr>
          <w:p w14:paraId="1141A56A" w14:textId="77777777" w:rsidR="002514F8" w:rsidRPr="00730DE4" w:rsidRDefault="002514F8" w:rsidP="00BE710F">
            <w:pPr>
              <w:pStyle w:val="NoSpacing"/>
              <w:jc w:val="right"/>
            </w:pPr>
            <w:r w:rsidRPr="00730DE4">
              <w:t>$22.55</w:t>
            </w:r>
          </w:p>
        </w:tc>
        <w:tc>
          <w:tcPr>
            <w:tcW w:w="442" w:type="pct"/>
          </w:tcPr>
          <w:p w14:paraId="1E737C32" w14:textId="77777777" w:rsidR="002514F8" w:rsidRPr="00730DE4" w:rsidRDefault="002514F8" w:rsidP="00BE710F">
            <w:pPr>
              <w:pStyle w:val="NoSpacing"/>
              <w:jc w:val="right"/>
            </w:pPr>
            <w:r w:rsidRPr="00730DE4">
              <w:t>$20.31</w:t>
            </w:r>
          </w:p>
        </w:tc>
        <w:tc>
          <w:tcPr>
            <w:tcW w:w="304" w:type="pct"/>
          </w:tcPr>
          <w:p w14:paraId="4F7055D7" w14:textId="77777777" w:rsidR="002514F8" w:rsidRPr="00730DE4" w:rsidRDefault="002514F8" w:rsidP="000831CB">
            <w:pPr>
              <w:pStyle w:val="NoSpacing"/>
              <w:jc w:val="center"/>
            </w:pPr>
          </w:p>
        </w:tc>
      </w:tr>
      <w:tr w:rsidR="002514F8" w:rsidRPr="00730DE4" w14:paraId="47588C16" w14:textId="77777777" w:rsidTr="007D1DCD">
        <w:trPr>
          <w:trHeight w:val="21"/>
        </w:trPr>
        <w:tc>
          <w:tcPr>
            <w:tcW w:w="1594" w:type="pct"/>
          </w:tcPr>
          <w:p w14:paraId="66AAA152" w14:textId="77777777" w:rsidR="002514F8" w:rsidRPr="00730DE4" w:rsidRDefault="002514F8" w:rsidP="000B0ED0">
            <w:pPr>
              <w:pStyle w:val="NoSpacing"/>
            </w:pPr>
            <w:r w:rsidRPr="00730DE4">
              <w:t>Average cost per customer call enquiry—Translink Contact Centre</w:t>
            </w:r>
          </w:p>
        </w:tc>
        <w:tc>
          <w:tcPr>
            <w:tcW w:w="703" w:type="pct"/>
          </w:tcPr>
          <w:p w14:paraId="3AFBC14C" w14:textId="77777777" w:rsidR="002514F8" w:rsidRPr="00730DE4" w:rsidRDefault="002514F8" w:rsidP="00BE710F">
            <w:pPr>
              <w:pStyle w:val="NoSpacing"/>
              <w:jc w:val="right"/>
            </w:pPr>
            <w:r w:rsidRPr="00730DE4">
              <w:t>$5.50</w:t>
            </w:r>
          </w:p>
        </w:tc>
        <w:tc>
          <w:tcPr>
            <w:tcW w:w="442" w:type="pct"/>
          </w:tcPr>
          <w:p w14:paraId="673359C6" w14:textId="77777777" w:rsidR="002514F8" w:rsidRPr="00730DE4" w:rsidRDefault="002514F8" w:rsidP="00BE710F">
            <w:pPr>
              <w:pStyle w:val="NoSpacing"/>
              <w:jc w:val="right"/>
            </w:pPr>
            <w:r w:rsidRPr="00730DE4">
              <w:t>$7.02</w:t>
            </w:r>
          </w:p>
        </w:tc>
        <w:tc>
          <w:tcPr>
            <w:tcW w:w="442" w:type="pct"/>
          </w:tcPr>
          <w:p w14:paraId="3807E09D" w14:textId="77777777" w:rsidR="002514F8" w:rsidRPr="00730DE4" w:rsidRDefault="002514F8" w:rsidP="00BE710F">
            <w:pPr>
              <w:pStyle w:val="NoSpacing"/>
              <w:jc w:val="right"/>
            </w:pPr>
            <w:r w:rsidRPr="00730DE4">
              <w:t>$6.71</w:t>
            </w:r>
          </w:p>
        </w:tc>
        <w:tc>
          <w:tcPr>
            <w:tcW w:w="442" w:type="pct"/>
          </w:tcPr>
          <w:p w14:paraId="2140BF27" w14:textId="77777777" w:rsidR="002514F8" w:rsidRPr="00730DE4" w:rsidRDefault="002514F8" w:rsidP="00BE710F">
            <w:pPr>
              <w:pStyle w:val="NoSpacing"/>
              <w:jc w:val="right"/>
            </w:pPr>
            <w:r w:rsidRPr="00730DE4">
              <w:t>$6.53</w:t>
            </w:r>
          </w:p>
        </w:tc>
        <w:tc>
          <w:tcPr>
            <w:tcW w:w="630" w:type="pct"/>
          </w:tcPr>
          <w:p w14:paraId="4BF20605" w14:textId="77777777" w:rsidR="002514F8" w:rsidRPr="00730DE4" w:rsidRDefault="002514F8" w:rsidP="00BE710F">
            <w:pPr>
              <w:pStyle w:val="NoSpacing"/>
              <w:jc w:val="right"/>
            </w:pPr>
            <w:r w:rsidRPr="00730DE4">
              <w:t>$6.50</w:t>
            </w:r>
          </w:p>
        </w:tc>
        <w:tc>
          <w:tcPr>
            <w:tcW w:w="442" w:type="pct"/>
          </w:tcPr>
          <w:p w14:paraId="1EDDD944" w14:textId="77777777" w:rsidR="002514F8" w:rsidRPr="00730DE4" w:rsidRDefault="002514F8" w:rsidP="00BE710F">
            <w:pPr>
              <w:pStyle w:val="NoSpacing"/>
              <w:jc w:val="right"/>
            </w:pPr>
            <w:r w:rsidRPr="00730DE4">
              <w:t>$7.90</w:t>
            </w:r>
          </w:p>
        </w:tc>
        <w:tc>
          <w:tcPr>
            <w:tcW w:w="304" w:type="pct"/>
          </w:tcPr>
          <w:p w14:paraId="3FE4CB50" w14:textId="77777777" w:rsidR="002514F8" w:rsidRPr="00730DE4" w:rsidRDefault="002514F8" w:rsidP="000831CB">
            <w:pPr>
              <w:pStyle w:val="NoSpacing"/>
              <w:jc w:val="center"/>
            </w:pPr>
            <w:r w:rsidRPr="00730DE4">
              <w:t>1, 2</w:t>
            </w:r>
          </w:p>
        </w:tc>
      </w:tr>
    </w:tbl>
    <w:p w14:paraId="2D5E9A92" w14:textId="77777777" w:rsidR="002514F8" w:rsidRPr="00730DE4" w:rsidRDefault="002514F8" w:rsidP="00583174">
      <w:pPr>
        <w:pStyle w:val="Caption"/>
        <w:rPr>
          <w:lang w:val="en-US"/>
        </w:rPr>
      </w:pPr>
      <w:r w:rsidRPr="00730DE4">
        <w:rPr>
          <w:lang w:val="en-US"/>
        </w:rPr>
        <w:t>Notes:</w:t>
      </w:r>
    </w:p>
    <w:p w14:paraId="215C968D" w14:textId="77777777" w:rsidR="002514F8" w:rsidRPr="00730DE4" w:rsidRDefault="002514F8" w:rsidP="00583174">
      <w:pPr>
        <w:pStyle w:val="Caption"/>
        <w:rPr>
          <w:lang w:val="en-US"/>
        </w:rPr>
      </w:pPr>
      <w:r w:rsidRPr="00730DE4">
        <w:rPr>
          <w:lang w:val="en-US"/>
        </w:rPr>
        <w:t>1. This service standard has been discontinued for the 2024–25 Service Delivery Statements and has been replaced by ‘Average cost per customer interaction—Translink Contact Centre’.</w:t>
      </w:r>
    </w:p>
    <w:p w14:paraId="78086BF2" w14:textId="77777777" w:rsidR="002514F8" w:rsidRPr="00730DE4" w:rsidRDefault="002514F8" w:rsidP="00583174">
      <w:pPr>
        <w:pStyle w:val="Caption"/>
        <w:rPr>
          <w:lang w:val="en-US"/>
        </w:rPr>
      </w:pPr>
      <w:r w:rsidRPr="00730DE4">
        <w:rPr>
          <w:lang w:val="en-US"/>
        </w:rPr>
        <w:t>2. The variance between the 2023–24 Target/Estimate and 2023–24 Actual is due to higher-than-expected CPI contract adjustments effective from 1 July 2023 and lower call volumes than originally forecast.</w:t>
      </w:r>
    </w:p>
    <w:p w14:paraId="7622231D" w14:textId="77777777" w:rsidR="002514F8" w:rsidRPr="00730DE4" w:rsidRDefault="002514F8" w:rsidP="002B7001">
      <w:pPr>
        <w:pStyle w:val="Heading3"/>
        <w:rPr>
          <w:lang w:val="en-US"/>
        </w:rPr>
      </w:pPr>
      <w:bookmarkStart w:id="278" w:name="_Toc180487322"/>
      <w:bookmarkStart w:id="279" w:name="_Toc180490528"/>
      <w:bookmarkStart w:id="280" w:name="_Toc180491561"/>
      <w:r w:rsidRPr="00730DE4">
        <w:rPr>
          <w:lang w:val="en-US"/>
        </w:rPr>
        <w:t>Service area: Passenger Transport Services</w:t>
      </w:r>
      <w:bookmarkEnd w:id="278"/>
      <w:bookmarkEnd w:id="279"/>
      <w:bookmarkEnd w:id="280"/>
    </w:p>
    <w:p w14:paraId="16AA07A6" w14:textId="77777777" w:rsidR="002514F8" w:rsidRPr="00730DE4" w:rsidRDefault="002514F8" w:rsidP="00583174">
      <w:pPr>
        <w:rPr>
          <w:lang w:val="en-US"/>
        </w:rPr>
      </w:pPr>
      <w:r w:rsidRPr="00730DE4">
        <w:rPr>
          <w:rStyle w:val="Strong"/>
        </w:rPr>
        <w:t xml:space="preserve">Service area objective: </w:t>
      </w:r>
      <w:r w:rsidRPr="00730DE4">
        <w:t>To connect Queensland through reliable and accessible passenger transport services.</w:t>
      </w:r>
    </w:p>
    <w:p w14:paraId="13F42561" w14:textId="77777777" w:rsidR="002514F8" w:rsidRPr="00730DE4" w:rsidRDefault="002514F8" w:rsidP="00583174">
      <w:pPr>
        <w:pStyle w:val="FigureCaption"/>
        <w:rPr>
          <w:lang w:val="en-US"/>
        </w:rPr>
      </w:pPr>
      <w:r w:rsidRPr="00730DE4">
        <w:rPr>
          <w:lang w:val="en-US"/>
        </w:rPr>
        <w:t>Table 20: Passenger Transport Services effectiveness measures</w:t>
      </w:r>
    </w:p>
    <w:tbl>
      <w:tblPr>
        <w:tblStyle w:val="TMRDefault"/>
        <w:tblW w:w="5000" w:type="pct"/>
        <w:tblLook w:val="04A0" w:firstRow="1" w:lastRow="0" w:firstColumn="1" w:lastColumn="0" w:noHBand="0" w:noVBand="1"/>
      </w:tblPr>
      <w:tblGrid>
        <w:gridCol w:w="4725"/>
        <w:gridCol w:w="1300"/>
        <w:gridCol w:w="1301"/>
        <w:gridCol w:w="1301"/>
        <w:gridCol w:w="1301"/>
        <w:gridCol w:w="1889"/>
        <w:gridCol w:w="1301"/>
        <w:gridCol w:w="874"/>
      </w:tblGrid>
      <w:tr w:rsidR="000A65A9" w:rsidRPr="00730DE4" w14:paraId="15A0AC74" w14:textId="77777777" w:rsidTr="006545E5">
        <w:trPr>
          <w:cnfStyle w:val="100000000000" w:firstRow="1" w:lastRow="0" w:firstColumn="0" w:lastColumn="0" w:oddVBand="0" w:evenVBand="0" w:oddHBand="0" w:evenHBand="0" w:firstRowFirstColumn="0" w:firstRowLastColumn="0" w:lastRowFirstColumn="0" w:lastRowLastColumn="0"/>
          <w:trHeight w:val="21"/>
          <w:tblHeader/>
        </w:trPr>
        <w:tc>
          <w:tcPr>
            <w:tcW w:w="1689" w:type="pct"/>
          </w:tcPr>
          <w:p w14:paraId="184AA4F3" w14:textId="77777777" w:rsidR="002514F8" w:rsidRPr="00730DE4" w:rsidRDefault="002514F8" w:rsidP="000B0ED0">
            <w:pPr>
              <w:pStyle w:val="NoSpacing"/>
              <w:rPr>
                <w:color w:val="FFFFFF" w:themeColor="background1"/>
              </w:rPr>
            </w:pPr>
            <w:r w:rsidRPr="00730DE4">
              <w:rPr>
                <w:color w:val="FFFFFF" w:themeColor="background1"/>
              </w:rPr>
              <w:t>Service standards</w:t>
            </w:r>
          </w:p>
        </w:tc>
        <w:tc>
          <w:tcPr>
            <w:tcW w:w="465" w:type="pct"/>
          </w:tcPr>
          <w:p w14:paraId="02A6C64A" w14:textId="77777777" w:rsidR="002514F8" w:rsidRPr="00730DE4" w:rsidRDefault="002514F8" w:rsidP="00BE710F">
            <w:pPr>
              <w:pStyle w:val="NoSpacing"/>
              <w:jc w:val="right"/>
              <w:rPr>
                <w:color w:val="FFFFFF" w:themeColor="background1"/>
              </w:rPr>
            </w:pPr>
            <w:r w:rsidRPr="00730DE4">
              <w:rPr>
                <w:color w:val="FFFFFF" w:themeColor="background1"/>
              </w:rPr>
              <w:t>2019–20 Actual</w:t>
            </w:r>
          </w:p>
        </w:tc>
        <w:tc>
          <w:tcPr>
            <w:tcW w:w="465" w:type="pct"/>
          </w:tcPr>
          <w:p w14:paraId="5311A759" w14:textId="77777777" w:rsidR="002514F8" w:rsidRPr="00730DE4" w:rsidRDefault="002514F8" w:rsidP="00BE710F">
            <w:pPr>
              <w:pStyle w:val="NoSpacing"/>
              <w:jc w:val="right"/>
              <w:rPr>
                <w:color w:val="FFFFFF" w:themeColor="background1"/>
              </w:rPr>
            </w:pPr>
            <w:r w:rsidRPr="00730DE4">
              <w:rPr>
                <w:color w:val="FFFFFF" w:themeColor="background1"/>
              </w:rPr>
              <w:t>2020–21 Actual</w:t>
            </w:r>
          </w:p>
        </w:tc>
        <w:tc>
          <w:tcPr>
            <w:tcW w:w="465" w:type="pct"/>
          </w:tcPr>
          <w:p w14:paraId="674DF073" w14:textId="77777777" w:rsidR="002514F8" w:rsidRPr="00730DE4" w:rsidRDefault="002514F8" w:rsidP="00BE710F">
            <w:pPr>
              <w:pStyle w:val="NoSpacing"/>
              <w:jc w:val="right"/>
              <w:rPr>
                <w:color w:val="FFFFFF" w:themeColor="background1"/>
              </w:rPr>
            </w:pPr>
            <w:r w:rsidRPr="00730DE4">
              <w:rPr>
                <w:color w:val="FFFFFF" w:themeColor="background1"/>
              </w:rPr>
              <w:t>2021–22 Actual</w:t>
            </w:r>
          </w:p>
        </w:tc>
        <w:tc>
          <w:tcPr>
            <w:tcW w:w="465" w:type="pct"/>
          </w:tcPr>
          <w:p w14:paraId="340E6AEF" w14:textId="77777777" w:rsidR="002514F8" w:rsidRPr="00730DE4" w:rsidRDefault="002514F8" w:rsidP="00BE710F">
            <w:pPr>
              <w:pStyle w:val="NoSpacing"/>
              <w:jc w:val="right"/>
              <w:rPr>
                <w:color w:val="FFFFFF" w:themeColor="background1"/>
              </w:rPr>
            </w:pPr>
            <w:r w:rsidRPr="00730DE4">
              <w:rPr>
                <w:color w:val="FFFFFF" w:themeColor="background1"/>
              </w:rPr>
              <w:t>2022–23 Actual</w:t>
            </w:r>
          </w:p>
        </w:tc>
        <w:tc>
          <w:tcPr>
            <w:tcW w:w="675" w:type="pct"/>
          </w:tcPr>
          <w:p w14:paraId="28290FAB" w14:textId="77777777" w:rsidR="002514F8" w:rsidRPr="00730DE4" w:rsidRDefault="002514F8" w:rsidP="00BE710F">
            <w:pPr>
              <w:pStyle w:val="NoSpacing"/>
              <w:jc w:val="right"/>
              <w:rPr>
                <w:color w:val="FFFFFF" w:themeColor="background1"/>
              </w:rPr>
            </w:pPr>
            <w:r w:rsidRPr="00730DE4">
              <w:rPr>
                <w:color w:val="FFFFFF" w:themeColor="background1"/>
              </w:rPr>
              <w:t>2023–24 Target / Estimate</w:t>
            </w:r>
          </w:p>
        </w:tc>
        <w:tc>
          <w:tcPr>
            <w:tcW w:w="465" w:type="pct"/>
          </w:tcPr>
          <w:p w14:paraId="4A4AD97A" w14:textId="77777777" w:rsidR="002514F8" w:rsidRPr="00730DE4" w:rsidRDefault="002514F8" w:rsidP="00BE710F">
            <w:pPr>
              <w:pStyle w:val="NoSpacing"/>
              <w:jc w:val="right"/>
              <w:rPr>
                <w:color w:val="FFFFFF" w:themeColor="background1"/>
              </w:rPr>
            </w:pPr>
            <w:r w:rsidRPr="00730DE4">
              <w:rPr>
                <w:color w:val="FFFFFF" w:themeColor="background1"/>
              </w:rPr>
              <w:t>2023–24 Actual</w:t>
            </w:r>
          </w:p>
        </w:tc>
        <w:tc>
          <w:tcPr>
            <w:tcW w:w="312" w:type="pct"/>
          </w:tcPr>
          <w:p w14:paraId="34860CAA" w14:textId="77777777" w:rsidR="002514F8" w:rsidRPr="00730DE4" w:rsidRDefault="002514F8" w:rsidP="000831CB">
            <w:pPr>
              <w:pStyle w:val="NoSpacing"/>
              <w:jc w:val="center"/>
              <w:rPr>
                <w:color w:val="FFFFFF" w:themeColor="background1"/>
              </w:rPr>
            </w:pPr>
            <w:r w:rsidRPr="00730DE4">
              <w:rPr>
                <w:color w:val="FFFFFF" w:themeColor="background1"/>
              </w:rPr>
              <w:t>Notes</w:t>
            </w:r>
          </w:p>
        </w:tc>
      </w:tr>
      <w:tr w:rsidR="000A65A9" w:rsidRPr="00730DE4" w14:paraId="131A5E6B" w14:textId="77777777" w:rsidTr="006545E5">
        <w:trPr>
          <w:cnfStyle w:val="000000100000" w:firstRow="0" w:lastRow="0" w:firstColumn="0" w:lastColumn="0" w:oddVBand="0" w:evenVBand="0" w:oddHBand="1" w:evenHBand="0" w:firstRowFirstColumn="0" w:firstRowLastColumn="0" w:lastRowFirstColumn="0" w:lastRowLastColumn="0"/>
          <w:trHeight w:val="21"/>
        </w:trPr>
        <w:tc>
          <w:tcPr>
            <w:tcW w:w="1689" w:type="pct"/>
          </w:tcPr>
          <w:p w14:paraId="500497AF" w14:textId="77777777" w:rsidR="002514F8" w:rsidRPr="00730DE4" w:rsidRDefault="002514F8" w:rsidP="000B0ED0">
            <w:pPr>
              <w:pStyle w:val="NoSpacing"/>
            </w:pPr>
            <w:r w:rsidRPr="00730DE4">
              <w:t>Patronage on government contracted services (millions)—South East Queensland—Bus</w:t>
            </w:r>
          </w:p>
        </w:tc>
        <w:tc>
          <w:tcPr>
            <w:tcW w:w="465" w:type="pct"/>
          </w:tcPr>
          <w:p w14:paraId="5B3C0198" w14:textId="77777777" w:rsidR="002514F8" w:rsidRPr="00730DE4" w:rsidRDefault="002514F8" w:rsidP="00BE710F">
            <w:pPr>
              <w:pStyle w:val="NoSpacing"/>
              <w:jc w:val="right"/>
            </w:pPr>
            <w:r w:rsidRPr="00730DE4">
              <w:t>95.21</w:t>
            </w:r>
          </w:p>
        </w:tc>
        <w:tc>
          <w:tcPr>
            <w:tcW w:w="465" w:type="pct"/>
          </w:tcPr>
          <w:p w14:paraId="28160913" w14:textId="77777777" w:rsidR="002514F8" w:rsidRPr="00730DE4" w:rsidRDefault="002514F8" w:rsidP="00BE710F">
            <w:pPr>
              <w:pStyle w:val="NoSpacing"/>
              <w:jc w:val="right"/>
            </w:pPr>
            <w:r w:rsidRPr="00730DE4">
              <w:t>76.35</w:t>
            </w:r>
          </w:p>
        </w:tc>
        <w:tc>
          <w:tcPr>
            <w:tcW w:w="465" w:type="pct"/>
          </w:tcPr>
          <w:p w14:paraId="7066E41C" w14:textId="77777777" w:rsidR="002514F8" w:rsidRPr="00730DE4" w:rsidRDefault="002514F8" w:rsidP="00BE710F">
            <w:pPr>
              <w:pStyle w:val="NoSpacing"/>
              <w:jc w:val="right"/>
            </w:pPr>
            <w:r w:rsidRPr="00730DE4">
              <w:t>72.70</w:t>
            </w:r>
          </w:p>
        </w:tc>
        <w:tc>
          <w:tcPr>
            <w:tcW w:w="465" w:type="pct"/>
          </w:tcPr>
          <w:p w14:paraId="3649E794" w14:textId="77777777" w:rsidR="002514F8" w:rsidRPr="00730DE4" w:rsidRDefault="002514F8" w:rsidP="00BE710F">
            <w:pPr>
              <w:pStyle w:val="NoSpacing"/>
              <w:jc w:val="right"/>
            </w:pPr>
            <w:r w:rsidRPr="00730DE4">
              <w:t>97.18</w:t>
            </w:r>
          </w:p>
        </w:tc>
        <w:tc>
          <w:tcPr>
            <w:tcW w:w="675" w:type="pct"/>
          </w:tcPr>
          <w:p w14:paraId="4C45F7B3" w14:textId="77777777" w:rsidR="002514F8" w:rsidRPr="00730DE4" w:rsidRDefault="002514F8" w:rsidP="00BE710F">
            <w:pPr>
              <w:pStyle w:val="NoSpacing"/>
              <w:jc w:val="right"/>
            </w:pPr>
            <w:r w:rsidRPr="00730DE4">
              <w:t>106.23</w:t>
            </w:r>
          </w:p>
        </w:tc>
        <w:tc>
          <w:tcPr>
            <w:tcW w:w="465" w:type="pct"/>
          </w:tcPr>
          <w:p w14:paraId="333C6D30" w14:textId="77777777" w:rsidR="002514F8" w:rsidRPr="00730DE4" w:rsidRDefault="002514F8" w:rsidP="00BE710F">
            <w:pPr>
              <w:pStyle w:val="NoSpacing"/>
              <w:jc w:val="right"/>
            </w:pPr>
            <w:r w:rsidRPr="00730DE4">
              <w:t>105.77</w:t>
            </w:r>
          </w:p>
        </w:tc>
        <w:tc>
          <w:tcPr>
            <w:tcW w:w="312" w:type="pct"/>
          </w:tcPr>
          <w:p w14:paraId="30359824" w14:textId="77777777" w:rsidR="002514F8" w:rsidRPr="00730DE4" w:rsidRDefault="002514F8" w:rsidP="000831CB">
            <w:pPr>
              <w:pStyle w:val="NoSpacing"/>
              <w:jc w:val="center"/>
            </w:pPr>
          </w:p>
        </w:tc>
      </w:tr>
      <w:tr w:rsidR="002514F8" w:rsidRPr="00730DE4" w14:paraId="00663E47" w14:textId="77777777" w:rsidTr="006545E5">
        <w:trPr>
          <w:trHeight w:val="21"/>
        </w:trPr>
        <w:tc>
          <w:tcPr>
            <w:tcW w:w="1689" w:type="pct"/>
          </w:tcPr>
          <w:p w14:paraId="75A4F154" w14:textId="77777777" w:rsidR="002514F8" w:rsidRPr="00730DE4" w:rsidRDefault="002514F8" w:rsidP="000B0ED0">
            <w:pPr>
              <w:pStyle w:val="NoSpacing"/>
            </w:pPr>
            <w:r w:rsidRPr="00730DE4">
              <w:t>Patronage on government contracted services (millions)—South East Queensland—Rail</w:t>
            </w:r>
          </w:p>
        </w:tc>
        <w:tc>
          <w:tcPr>
            <w:tcW w:w="465" w:type="pct"/>
          </w:tcPr>
          <w:p w14:paraId="53CB2823" w14:textId="77777777" w:rsidR="002514F8" w:rsidRPr="00730DE4" w:rsidRDefault="002514F8" w:rsidP="00BE710F">
            <w:pPr>
              <w:pStyle w:val="NoSpacing"/>
              <w:jc w:val="right"/>
            </w:pPr>
            <w:r w:rsidRPr="00730DE4">
              <w:t>43.69</w:t>
            </w:r>
          </w:p>
        </w:tc>
        <w:tc>
          <w:tcPr>
            <w:tcW w:w="465" w:type="pct"/>
          </w:tcPr>
          <w:p w14:paraId="33CFB409" w14:textId="77777777" w:rsidR="002514F8" w:rsidRPr="00730DE4" w:rsidRDefault="002514F8" w:rsidP="00BE710F">
            <w:pPr>
              <w:pStyle w:val="NoSpacing"/>
              <w:jc w:val="right"/>
            </w:pPr>
            <w:r w:rsidRPr="00730DE4">
              <w:t>32.65</w:t>
            </w:r>
          </w:p>
        </w:tc>
        <w:tc>
          <w:tcPr>
            <w:tcW w:w="465" w:type="pct"/>
          </w:tcPr>
          <w:p w14:paraId="423A97A2" w14:textId="77777777" w:rsidR="002514F8" w:rsidRPr="00730DE4" w:rsidRDefault="002514F8" w:rsidP="00BE710F">
            <w:pPr>
              <w:pStyle w:val="NoSpacing"/>
              <w:jc w:val="right"/>
            </w:pPr>
            <w:r w:rsidRPr="00730DE4">
              <w:t>31.23</w:t>
            </w:r>
          </w:p>
        </w:tc>
        <w:tc>
          <w:tcPr>
            <w:tcW w:w="465" w:type="pct"/>
          </w:tcPr>
          <w:p w14:paraId="5CD7FDF0" w14:textId="77777777" w:rsidR="002514F8" w:rsidRPr="00730DE4" w:rsidRDefault="002514F8" w:rsidP="00BE710F">
            <w:pPr>
              <w:pStyle w:val="NoSpacing"/>
              <w:jc w:val="right"/>
            </w:pPr>
            <w:r w:rsidRPr="00730DE4">
              <w:t>41.45</w:t>
            </w:r>
          </w:p>
        </w:tc>
        <w:tc>
          <w:tcPr>
            <w:tcW w:w="675" w:type="pct"/>
          </w:tcPr>
          <w:p w14:paraId="6535C317" w14:textId="77777777" w:rsidR="002514F8" w:rsidRPr="00730DE4" w:rsidRDefault="002514F8" w:rsidP="00BE710F">
            <w:pPr>
              <w:pStyle w:val="NoSpacing"/>
              <w:jc w:val="right"/>
            </w:pPr>
            <w:r w:rsidRPr="00730DE4">
              <w:t>48.45</w:t>
            </w:r>
          </w:p>
        </w:tc>
        <w:tc>
          <w:tcPr>
            <w:tcW w:w="465" w:type="pct"/>
          </w:tcPr>
          <w:p w14:paraId="5A8A4091" w14:textId="77777777" w:rsidR="002514F8" w:rsidRPr="00730DE4" w:rsidRDefault="002514F8" w:rsidP="00BE710F">
            <w:pPr>
              <w:pStyle w:val="NoSpacing"/>
              <w:jc w:val="right"/>
            </w:pPr>
            <w:r w:rsidRPr="00730DE4">
              <w:t>45.20</w:t>
            </w:r>
          </w:p>
        </w:tc>
        <w:tc>
          <w:tcPr>
            <w:tcW w:w="312" w:type="pct"/>
          </w:tcPr>
          <w:p w14:paraId="04DBD425" w14:textId="77777777" w:rsidR="002514F8" w:rsidRPr="00730DE4" w:rsidRDefault="002514F8" w:rsidP="000831CB">
            <w:pPr>
              <w:pStyle w:val="NoSpacing"/>
              <w:jc w:val="center"/>
            </w:pPr>
            <w:r w:rsidRPr="00730DE4">
              <w:t>1</w:t>
            </w:r>
          </w:p>
        </w:tc>
      </w:tr>
      <w:tr w:rsidR="000A65A9" w:rsidRPr="00730DE4" w14:paraId="5EF124A9" w14:textId="77777777" w:rsidTr="006545E5">
        <w:trPr>
          <w:cnfStyle w:val="000000100000" w:firstRow="0" w:lastRow="0" w:firstColumn="0" w:lastColumn="0" w:oddVBand="0" w:evenVBand="0" w:oddHBand="1" w:evenHBand="0" w:firstRowFirstColumn="0" w:firstRowLastColumn="0" w:lastRowFirstColumn="0" w:lastRowLastColumn="0"/>
          <w:trHeight w:val="21"/>
        </w:trPr>
        <w:tc>
          <w:tcPr>
            <w:tcW w:w="1689" w:type="pct"/>
          </w:tcPr>
          <w:p w14:paraId="6D6FCB0F" w14:textId="77777777" w:rsidR="002514F8" w:rsidRPr="00730DE4" w:rsidRDefault="002514F8" w:rsidP="000B0ED0">
            <w:pPr>
              <w:pStyle w:val="NoSpacing"/>
            </w:pPr>
            <w:r w:rsidRPr="00730DE4">
              <w:t>Patronage on government contracted services (millions)—South East Queensland—Tram</w:t>
            </w:r>
          </w:p>
        </w:tc>
        <w:tc>
          <w:tcPr>
            <w:tcW w:w="465" w:type="pct"/>
          </w:tcPr>
          <w:p w14:paraId="74CDF12A" w14:textId="77777777" w:rsidR="002514F8" w:rsidRPr="00730DE4" w:rsidRDefault="002514F8" w:rsidP="00BE710F">
            <w:pPr>
              <w:pStyle w:val="NoSpacing"/>
              <w:jc w:val="right"/>
            </w:pPr>
            <w:r w:rsidRPr="00730DE4">
              <w:t>8.46</w:t>
            </w:r>
          </w:p>
        </w:tc>
        <w:tc>
          <w:tcPr>
            <w:tcW w:w="465" w:type="pct"/>
          </w:tcPr>
          <w:p w14:paraId="1BA9C415" w14:textId="77777777" w:rsidR="002514F8" w:rsidRPr="00730DE4" w:rsidRDefault="002514F8" w:rsidP="00BE710F">
            <w:pPr>
              <w:pStyle w:val="NoSpacing"/>
              <w:jc w:val="right"/>
            </w:pPr>
            <w:r w:rsidRPr="00730DE4">
              <w:t>6.12</w:t>
            </w:r>
          </w:p>
        </w:tc>
        <w:tc>
          <w:tcPr>
            <w:tcW w:w="465" w:type="pct"/>
          </w:tcPr>
          <w:p w14:paraId="5AD41BCA" w14:textId="77777777" w:rsidR="002514F8" w:rsidRPr="00730DE4" w:rsidRDefault="002514F8" w:rsidP="00BE710F">
            <w:pPr>
              <w:pStyle w:val="NoSpacing"/>
              <w:jc w:val="right"/>
            </w:pPr>
            <w:r w:rsidRPr="00730DE4">
              <w:t>6.34</w:t>
            </w:r>
          </w:p>
        </w:tc>
        <w:tc>
          <w:tcPr>
            <w:tcW w:w="465" w:type="pct"/>
          </w:tcPr>
          <w:p w14:paraId="163AFD23" w14:textId="77777777" w:rsidR="002514F8" w:rsidRPr="00730DE4" w:rsidRDefault="002514F8" w:rsidP="00BE710F">
            <w:pPr>
              <w:pStyle w:val="NoSpacing"/>
              <w:jc w:val="right"/>
            </w:pPr>
            <w:r w:rsidRPr="00730DE4">
              <w:t>10.39</w:t>
            </w:r>
          </w:p>
        </w:tc>
        <w:tc>
          <w:tcPr>
            <w:tcW w:w="675" w:type="pct"/>
          </w:tcPr>
          <w:p w14:paraId="700DD8A4" w14:textId="77777777" w:rsidR="002514F8" w:rsidRPr="00730DE4" w:rsidRDefault="002514F8" w:rsidP="00BE710F">
            <w:pPr>
              <w:pStyle w:val="NoSpacing"/>
              <w:jc w:val="right"/>
            </w:pPr>
            <w:r w:rsidRPr="00730DE4">
              <w:t>10.77</w:t>
            </w:r>
          </w:p>
        </w:tc>
        <w:tc>
          <w:tcPr>
            <w:tcW w:w="465" w:type="pct"/>
          </w:tcPr>
          <w:p w14:paraId="5E3CFCDE" w14:textId="77777777" w:rsidR="002514F8" w:rsidRPr="00730DE4" w:rsidRDefault="002514F8" w:rsidP="00BE710F">
            <w:pPr>
              <w:pStyle w:val="NoSpacing"/>
              <w:jc w:val="right"/>
            </w:pPr>
            <w:r w:rsidRPr="00730DE4">
              <w:t>11.21</w:t>
            </w:r>
          </w:p>
        </w:tc>
        <w:tc>
          <w:tcPr>
            <w:tcW w:w="312" w:type="pct"/>
          </w:tcPr>
          <w:p w14:paraId="64BDC310" w14:textId="77777777" w:rsidR="002514F8" w:rsidRPr="00730DE4" w:rsidRDefault="002514F8" w:rsidP="000831CB">
            <w:pPr>
              <w:pStyle w:val="NoSpacing"/>
              <w:jc w:val="center"/>
            </w:pPr>
          </w:p>
        </w:tc>
      </w:tr>
      <w:tr w:rsidR="002514F8" w:rsidRPr="00730DE4" w14:paraId="70136BA3" w14:textId="77777777" w:rsidTr="006545E5">
        <w:trPr>
          <w:trHeight w:val="21"/>
        </w:trPr>
        <w:tc>
          <w:tcPr>
            <w:tcW w:w="1689" w:type="pct"/>
          </w:tcPr>
          <w:p w14:paraId="64185E27" w14:textId="77777777" w:rsidR="002514F8" w:rsidRPr="00730DE4" w:rsidRDefault="002514F8" w:rsidP="000B0ED0">
            <w:pPr>
              <w:pStyle w:val="NoSpacing"/>
            </w:pPr>
            <w:r w:rsidRPr="00730DE4">
              <w:t>Patronage on government contracted services (millions)—South East Queensland—Ferry</w:t>
            </w:r>
          </w:p>
        </w:tc>
        <w:tc>
          <w:tcPr>
            <w:tcW w:w="465" w:type="pct"/>
          </w:tcPr>
          <w:p w14:paraId="15E0FA8D" w14:textId="77777777" w:rsidR="002514F8" w:rsidRPr="00730DE4" w:rsidRDefault="002514F8" w:rsidP="00BE710F">
            <w:pPr>
              <w:pStyle w:val="NoSpacing"/>
              <w:jc w:val="right"/>
            </w:pPr>
            <w:r w:rsidRPr="00730DE4">
              <w:t>5.23</w:t>
            </w:r>
          </w:p>
        </w:tc>
        <w:tc>
          <w:tcPr>
            <w:tcW w:w="465" w:type="pct"/>
          </w:tcPr>
          <w:p w14:paraId="72F8BAC7" w14:textId="77777777" w:rsidR="002514F8" w:rsidRPr="00730DE4" w:rsidRDefault="002514F8" w:rsidP="00BE710F">
            <w:pPr>
              <w:pStyle w:val="NoSpacing"/>
              <w:jc w:val="right"/>
            </w:pPr>
            <w:r w:rsidRPr="00730DE4">
              <w:t>3.94</w:t>
            </w:r>
          </w:p>
        </w:tc>
        <w:tc>
          <w:tcPr>
            <w:tcW w:w="465" w:type="pct"/>
          </w:tcPr>
          <w:p w14:paraId="4B22500A" w14:textId="77777777" w:rsidR="002514F8" w:rsidRPr="00730DE4" w:rsidRDefault="002514F8" w:rsidP="00BE710F">
            <w:pPr>
              <w:pStyle w:val="NoSpacing"/>
              <w:jc w:val="right"/>
            </w:pPr>
            <w:r w:rsidRPr="00730DE4">
              <w:t>3.15</w:t>
            </w:r>
          </w:p>
        </w:tc>
        <w:tc>
          <w:tcPr>
            <w:tcW w:w="465" w:type="pct"/>
          </w:tcPr>
          <w:p w14:paraId="7E657143" w14:textId="77777777" w:rsidR="002514F8" w:rsidRPr="00730DE4" w:rsidRDefault="002514F8" w:rsidP="00BE710F">
            <w:pPr>
              <w:pStyle w:val="NoSpacing"/>
              <w:jc w:val="right"/>
            </w:pPr>
            <w:r w:rsidRPr="00730DE4">
              <w:t>4.23</w:t>
            </w:r>
          </w:p>
        </w:tc>
        <w:tc>
          <w:tcPr>
            <w:tcW w:w="675" w:type="pct"/>
          </w:tcPr>
          <w:p w14:paraId="14B70B2F" w14:textId="77777777" w:rsidR="002514F8" w:rsidRPr="00730DE4" w:rsidRDefault="002514F8" w:rsidP="00BE710F">
            <w:pPr>
              <w:pStyle w:val="NoSpacing"/>
              <w:jc w:val="right"/>
            </w:pPr>
            <w:r w:rsidRPr="00730DE4">
              <w:t>5.09</w:t>
            </w:r>
          </w:p>
        </w:tc>
        <w:tc>
          <w:tcPr>
            <w:tcW w:w="465" w:type="pct"/>
          </w:tcPr>
          <w:p w14:paraId="4D34B6A8" w14:textId="77777777" w:rsidR="002514F8" w:rsidRPr="00730DE4" w:rsidRDefault="002514F8" w:rsidP="00BE710F">
            <w:pPr>
              <w:pStyle w:val="NoSpacing"/>
              <w:jc w:val="right"/>
            </w:pPr>
            <w:r w:rsidRPr="00730DE4">
              <w:t>5.60</w:t>
            </w:r>
          </w:p>
        </w:tc>
        <w:tc>
          <w:tcPr>
            <w:tcW w:w="312" w:type="pct"/>
          </w:tcPr>
          <w:p w14:paraId="7A5027CA" w14:textId="77777777" w:rsidR="002514F8" w:rsidRPr="00730DE4" w:rsidRDefault="002514F8" w:rsidP="000831CB">
            <w:pPr>
              <w:pStyle w:val="NoSpacing"/>
              <w:jc w:val="center"/>
            </w:pPr>
            <w:r w:rsidRPr="00730DE4">
              <w:t>2</w:t>
            </w:r>
          </w:p>
        </w:tc>
      </w:tr>
      <w:tr w:rsidR="000A65A9" w:rsidRPr="00730DE4" w14:paraId="44295044" w14:textId="77777777" w:rsidTr="006545E5">
        <w:trPr>
          <w:cnfStyle w:val="000000100000" w:firstRow="0" w:lastRow="0" w:firstColumn="0" w:lastColumn="0" w:oddVBand="0" w:evenVBand="0" w:oddHBand="1" w:evenHBand="0" w:firstRowFirstColumn="0" w:firstRowLastColumn="0" w:lastRowFirstColumn="0" w:lastRowLastColumn="0"/>
          <w:trHeight w:val="21"/>
        </w:trPr>
        <w:tc>
          <w:tcPr>
            <w:tcW w:w="1689" w:type="pct"/>
          </w:tcPr>
          <w:p w14:paraId="341544C7" w14:textId="77777777" w:rsidR="002514F8" w:rsidRPr="00730DE4" w:rsidRDefault="002514F8" w:rsidP="000B0ED0">
            <w:pPr>
              <w:pStyle w:val="NoSpacing"/>
            </w:pPr>
            <w:r w:rsidRPr="00730DE4">
              <w:t>Patronage on government contracted services (millions)—South East Queensland—Total</w:t>
            </w:r>
          </w:p>
        </w:tc>
        <w:tc>
          <w:tcPr>
            <w:tcW w:w="465" w:type="pct"/>
          </w:tcPr>
          <w:p w14:paraId="2EFC43CF" w14:textId="77777777" w:rsidR="002514F8" w:rsidRPr="00730DE4" w:rsidRDefault="002514F8" w:rsidP="00BE710F">
            <w:pPr>
              <w:pStyle w:val="NoSpacing"/>
              <w:jc w:val="right"/>
            </w:pPr>
            <w:r w:rsidRPr="00730DE4">
              <w:t>152.59</w:t>
            </w:r>
          </w:p>
        </w:tc>
        <w:tc>
          <w:tcPr>
            <w:tcW w:w="465" w:type="pct"/>
          </w:tcPr>
          <w:p w14:paraId="1EC23AE9" w14:textId="77777777" w:rsidR="002514F8" w:rsidRPr="00730DE4" w:rsidRDefault="002514F8" w:rsidP="00BE710F">
            <w:pPr>
              <w:pStyle w:val="NoSpacing"/>
              <w:jc w:val="right"/>
            </w:pPr>
            <w:r w:rsidRPr="00730DE4">
              <w:t>119.06</w:t>
            </w:r>
          </w:p>
        </w:tc>
        <w:tc>
          <w:tcPr>
            <w:tcW w:w="465" w:type="pct"/>
          </w:tcPr>
          <w:p w14:paraId="1C5AC6E7" w14:textId="77777777" w:rsidR="002514F8" w:rsidRPr="00730DE4" w:rsidRDefault="002514F8" w:rsidP="00BE710F">
            <w:pPr>
              <w:pStyle w:val="NoSpacing"/>
              <w:jc w:val="right"/>
            </w:pPr>
            <w:r w:rsidRPr="00730DE4">
              <w:t>113.42</w:t>
            </w:r>
          </w:p>
        </w:tc>
        <w:tc>
          <w:tcPr>
            <w:tcW w:w="465" w:type="pct"/>
          </w:tcPr>
          <w:p w14:paraId="618D3F9E" w14:textId="77777777" w:rsidR="002514F8" w:rsidRPr="00730DE4" w:rsidRDefault="002514F8" w:rsidP="00BE710F">
            <w:pPr>
              <w:pStyle w:val="NoSpacing"/>
              <w:jc w:val="right"/>
            </w:pPr>
            <w:r w:rsidRPr="00730DE4">
              <w:t>153.25</w:t>
            </w:r>
          </w:p>
        </w:tc>
        <w:tc>
          <w:tcPr>
            <w:tcW w:w="675" w:type="pct"/>
          </w:tcPr>
          <w:p w14:paraId="02CE76FB" w14:textId="77777777" w:rsidR="002514F8" w:rsidRPr="00730DE4" w:rsidRDefault="002514F8" w:rsidP="00BE710F">
            <w:pPr>
              <w:pStyle w:val="NoSpacing"/>
              <w:jc w:val="right"/>
            </w:pPr>
            <w:r w:rsidRPr="00730DE4">
              <w:t>170.54</w:t>
            </w:r>
          </w:p>
        </w:tc>
        <w:tc>
          <w:tcPr>
            <w:tcW w:w="465" w:type="pct"/>
          </w:tcPr>
          <w:p w14:paraId="45B721D9" w14:textId="77777777" w:rsidR="002514F8" w:rsidRPr="00730DE4" w:rsidRDefault="002514F8" w:rsidP="00BE710F">
            <w:pPr>
              <w:pStyle w:val="NoSpacing"/>
              <w:jc w:val="right"/>
            </w:pPr>
            <w:r w:rsidRPr="00730DE4">
              <w:t>167.78</w:t>
            </w:r>
          </w:p>
        </w:tc>
        <w:tc>
          <w:tcPr>
            <w:tcW w:w="312" w:type="pct"/>
          </w:tcPr>
          <w:p w14:paraId="1D9A5130" w14:textId="77777777" w:rsidR="002514F8" w:rsidRPr="00730DE4" w:rsidRDefault="002514F8" w:rsidP="000831CB">
            <w:pPr>
              <w:pStyle w:val="NoSpacing"/>
              <w:jc w:val="center"/>
            </w:pPr>
          </w:p>
        </w:tc>
      </w:tr>
      <w:tr w:rsidR="002514F8" w:rsidRPr="00730DE4" w14:paraId="76F9C1D4" w14:textId="77777777" w:rsidTr="006545E5">
        <w:trPr>
          <w:trHeight w:val="21"/>
        </w:trPr>
        <w:tc>
          <w:tcPr>
            <w:tcW w:w="1689" w:type="pct"/>
          </w:tcPr>
          <w:p w14:paraId="7FF91285" w14:textId="77777777" w:rsidR="002514F8" w:rsidRPr="00730DE4" w:rsidRDefault="002514F8" w:rsidP="006545E5">
            <w:pPr>
              <w:pStyle w:val="NoSpacing"/>
            </w:pPr>
            <w:r w:rsidRPr="00730DE4">
              <w:t>Patronage on government contracted services (millions)—Rest of Queensland—Regional air</w:t>
            </w:r>
          </w:p>
        </w:tc>
        <w:tc>
          <w:tcPr>
            <w:tcW w:w="465" w:type="pct"/>
          </w:tcPr>
          <w:p w14:paraId="11488602" w14:textId="77777777" w:rsidR="002514F8" w:rsidRPr="00730DE4" w:rsidRDefault="002514F8" w:rsidP="006545E5">
            <w:pPr>
              <w:pStyle w:val="NoSpacing"/>
              <w:jc w:val="right"/>
            </w:pPr>
            <w:r w:rsidRPr="00730DE4">
              <w:t>0.14</w:t>
            </w:r>
          </w:p>
        </w:tc>
        <w:tc>
          <w:tcPr>
            <w:tcW w:w="465" w:type="pct"/>
          </w:tcPr>
          <w:p w14:paraId="2649C0C9" w14:textId="77777777" w:rsidR="002514F8" w:rsidRPr="00730DE4" w:rsidRDefault="002514F8" w:rsidP="006545E5">
            <w:pPr>
              <w:pStyle w:val="NoSpacing"/>
              <w:jc w:val="right"/>
            </w:pPr>
            <w:r w:rsidRPr="00730DE4">
              <w:t>0.11</w:t>
            </w:r>
          </w:p>
        </w:tc>
        <w:tc>
          <w:tcPr>
            <w:tcW w:w="465" w:type="pct"/>
          </w:tcPr>
          <w:p w14:paraId="7675B27D" w14:textId="77777777" w:rsidR="002514F8" w:rsidRPr="00730DE4" w:rsidRDefault="002514F8" w:rsidP="006545E5">
            <w:pPr>
              <w:pStyle w:val="NoSpacing"/>
              <w:jc w:val="right"/>
            </w:pPr>
            <w:r w:rsidRPr="00730DE4">
              <w:t>0.12</w:t>
            </w:r>
          </w:p>
        </w:tc>
        <w:tc>
          <w:tcPr>
            <w:tcW w:w="465" w:type="pct"/>
          </w:tcPr>
          <w:p w14:paraId="1C4D4C97" w14:textId="77777777" w:rsidR="002514F8" w:rsidRPr="00730DE4" w:rsidRDefault="002514F8" w:rsidP="006545E5">
            <w:pPr>
              <w:pStyle w:val="NoSpacing"/>
              <w:jc w:val="right"/>
            </w:pPr>
            <w:r w:rsidRPr="00730DE4">
              <w:t>0.15</w:t>
            </w:r>
          </w:p>
        </w:tc>
        <w:tc>
          <w:tcPr>
            <w:tcW w:w="675" w:type="pct"/>
          </w:tcPr>
          <w:p w14:paraId="5C7FF4FA" w14:textId="77777777" w:rsidR="002514F8" w:rsidRPr="00730DE4" w:rsidRDefault="002514F8" w:rsidP="006545E5">
            <w:pPr>
              <w:pStyle w:val="NoSpacing"/>
              <w:jc w:val="right"/>
            </w:pPr>
            <w:r w:rsidRPr="00730DE4">
              <w:t>0.16</w:t>
            </w:r>
          </w:p>
        </w:tc>
        <w:tc>
          <w:tcPr>
            <w:tcW w:w="465" w:type="pct"/>
          </w:tcPr>
          <w:p w14:paraId="33E5F689" w14:textId="77777777" w:rsidR="002514F8" w:rsidRPr="00730DE4" w:rsidRDefault="002514F8" w:rsidP="006545E5">
            <w:pPr>
              <w:pStyle w:val="NoSpacing"/>
              <w:jc w:val="right"/>
            </w:pPr>
            <w:r w:rsidRPr="00730DE4">
              <w:t>0.15</w:t>
            </w:r>
          </w:p>
        </w:tc>
        <w:tc>
          <w:tcPr>
            <w:tcW w:w="312" w:type="pct"/>
          </w:tcPr>
          <w:p w14:paraId="182FA5D6" w14:textId="77777777" w:rsidR="002514F8" w:rsidRPr="00730DE4" w:rsidRDefault="002514F8" w:rsidP="006545E5">
            <w:pPr>
              <w:pStyle w:val="NoSpacing"/>
              <w:jc w:val="center"/>
            </w:pPr>
          </w:p>
        </w:tc>
      </w:tr>
      <w:tr w:rsidR="000A65A9" w:rsidRPr="00730DE4" w14:paraId="01CA08B6" w14:textId="77777777" w:rsidTr="006545E5">
        <w:trPr>
          <w:cnfStyle w:val="000000100000" w:firstRow="0" w:lastRow="0" w:firstColumn="0" w:lastColumn="0" w:oddVBand="0" w:evenVBand="0" w:oddHBand="1" w:evenHBand="0" w:firstRowFirstColumn="0" w:firstRowLastColumn="0" w:lastRowFirstColumn="0" w:lastRowLastColumn="0"/>
          <w:trHeight w:val="21"/>
        </w:trPr>
        <w:tc>
          <w:tcPr>
            <w:tcW w:w="1689" w:type="pct"/>
          </w:tcPr>
          <w:p w14:paraId="668DDFF8" w14:textId="77777777" w:rsidR="002514F8" w:rsidRPr="00730DE4" w:rsidRDefault="002514F8" w:rsidP="006545E5">
            <w:pPr>
              <w:pStyle w:val="NoSpacing"/>
            </w:pPr>
            <w:r w:rsidRPr="00730DE4">
              <w:t>Patronage on government contracted services (millions)—Rest of Queensland—Long distance bus</w:t>
            </w:r>
          </w:p>
        </w:tc>
        <w:tc>
          <w:tcPr>
            <w:tcW w:w="465" w:type="pct"/>
          </w:tcPr>
          <w:p w14:paraId="6BD613F8" w14:textId="77777777" w:rsidR="002514F8" w:rsidRPr="00730DE4" w:rsidRDefault="002514F8" w:rsidP="006545E5">
            <w:pPr>
              <w:pStyle w:val="NoSpacing"/>
              <w:jc w:val="right"/>
            </w:pPr>
            <w:r w:rsidRPr="00730DE4">
              <w:t>0.06</w:t>
            </w:r>
          </w:p>
        </w:tc>
        <w:tc>
          <w:tcPr>
            <w:tcW w:w="465" w:type="pct"/>
          </w:tcPr>
          <w:p w14:paraId="0EC8F9FF" w14:textId="77777777" w:rsidR="002514F8" w:rsidRPr="00730DE4" w:rsidRDefault="002514F8" w:rsidP="006545E5">
            <w:pPr>
              <w:pStyle w:val="NoSpacing"/>
              <w:jc w:val="right"/>
            </w:pPr>
            <w:r w:rsidRPr="00730DE4">
              <w:t>0.06</w:t>
            </w:r>
          </w:p>
        </w:tc>
        <w:tc>
          <w:tcPr>
            <w:tcW w:w="465" w:type="pct"/>
          </w:tcPr>
          <w:p w14:paraId="4F2B6A80" w14:textId="77777777" w:rsidR="002514F8" w:rsidRPr="00730DE4" w:rsidRDefault="002514F8" w:rsidP="006545E5">
            <w:pPr>
              <w:pStyle w:val="NoSpacing"/>
              <w:jc w:val="right"/>
            </w:pPr>
            <w:r w:rsidRPr="00730DE4">
              <w:t>0.06</w:t>
            </w:r>
          </w:p>
        </w:tc>
        <w:tc>
          <w:tcPr>
            <w:tcW w:w="465" w:type="pct"/>
          </w:tcPr>
          <w:p w14:paraId="4FA1998D" w14:textId="77777777" w:rsidR="002514F8" w:rsidRPr="00730DE4" w:rsidRDefault="002514F8" w:rsidP="006545E5">
            <w:pPr>
              <w:pStyle w:val="NoSpacing"/>
              <w:jc w:val="right"/>
            </w:pPr>
            <w:r w:rsidRPr="00730DE4">
              <w:t>0.08</w:t>
            </w:r>
          </w:p>
        </w:tc>
        <w:tc>
          <w:tcPr>
            <w:tcW w:w="675" w:type="pct"/>
          </w:tcPr>
          <w:p w14:paraId="058C8307" w14:textId="77777777" w:rsidR="002514F8" w:rsidRPr="00730DE4" w:rsidRDefault="002514F8" w:rsidP="006545E5">
            <w:pPr>
              <w:pStyle w:val="NoSpacing"/>
              <w:jc w:val="right"/>
            </w:pPr>
            <w:r w:rsidRPr="00730DE4">
              <w:t>0.06</w:t>
            </w:r>
          </w:p>
        </w:tc>
        <w:tc>
          <w:tcPr>
            <w:tcW w:w="465" w:type="pct"/>
          </w:tcPr>
          <w:p w14:paraId="7A8B5DFC" w14:textId="77777777" w:rsidR="002514F8" w:rsidRPr="00730DE4" w:rsidRDefault="002514F8" w:rsidP="006545E5">
            <w:pPr>
              <w:pStyle w:val="NoSpacing"/>
              <w:jc w:val="right"/>
            </w:pPr>
            <w:r w:rsidRPr="00730DE4">
              <w:t>0.08</w:t>
            </w:r>
          </w:p>
        </w:tc>
        <w:tc>
          <w:tcPr>
            <w:tcW w:w="312" w:type="pct"/>
          </w:tcPr>
          <w:p w14:paraId="4FA18076" w14:textId="77777777" w:rsidR="002514F8" w:rsidRPr="00730DE4" w:rsidRDefault="002514F8" w:rsidP="006545E5">
            <w:pPr>
              <w:pStyle w:val="NoSpacing"/>
              <w:jc w:val="center"/>
            </w:pPr>
            <w:r w:rsidRPr="00730DE4">
              <w:t>3</w:t>
            </w:r>
          </w:p>
        </w:tc>
      </w:tr>
      <w:tr w:rsidR="002514F8" w:rsidRPr="00730DE4" w14:paraId="1D3237AE" w14:textId="77777777" w:rsidTr="006545E5">
        <w:trPr>
          <w:trHeight w:val="21"/>
        </w:trPr>
        <w:tc>
          <w:tcPr>
            <w:tcW w:w="1689" w:type="pct"/>
          </w:tcPr>
          <w:p w14:paraId="3EBCD96D" w14:textId="77777777" w:rsidR="002514F8" w:rsidRPr="00730DE4" w:rsidRDefault="002514F8" w:rsidP="006545E5">
            <w:pPr>
              <w:pStyle w:val="NoSpacing"/>
            </w:pPr>
            <w:r w:rsidRPr="00730DE4">
              <w:t>Patronage on government contracted services (millions)—Rest of Queensland—Regional urban bus</w:t>
            </w:r>
          </w:p>
        </w:tc>
        <w:tc>
          <w:tcPr>
            <w:tcW w:w="465" w:type="pct"/>
          </w:tcPr>
          <w:p w14:paraId="6DEE03FD" w14:textId="77777777" w:rsidR="002514F8" w:rsidRPr="00730DE4" w:rsidRDefault="002514F8" w:rsidP="006545E5">
            <w:pPr>
              <w:pStyle w:val="NoSpacing"/>
              <w:jc w:val="right"/>
            </w:pPr>
            <w:r w:rsidRPr="00730DE4">
              <w:t>9.46</w:t>
            </w:r>
          </w:p>
        </w:tc>
        <w:tc>
          <w:tcPr>
            <w:tcW w:w="465" w:type="pct"/>
          </w:tcPr>
          <w:p w14:paraId="5F1BE623" w14:textId="77777777" w:rsidR="002514F8" w:rsidRPr="00730DE4" w:rsidRDefault="002514F8" w:rsidP="006545E5">
            <w:pPr>
              <w:pStyle w:val="NoSpacing"/>
              <w:jc w:val="right"/>
            </w:pPr>
            <w:r w:rsidRPr="00730DE4">
              <w:t>8.76</w:t>
            </w:r>
          </w:p>
        </w:tc>
        <w:tc>
          <w:tcPr>
            <w:tcW w:w="465" w:type="pct"/>
          </w:tcPr>
          <w:p w14:paraId="4C58B5D7" w14:textId="77777777" w:rsidR="002514F8" w:rsidRPr="00730DE4" w:rsidRDefault="002514F8" w:rsidP="006545E5">
            <w:pPr>
              <w:pStyle w:val="NoSpacing"/>
              <w:jc w:val="right"/>
            </w:pPr>
            <w:r w:rsidRPr="00730DE4">
              <w:t>8.18</w:t>
            </w:r>
          </w:p>
        </w:tc>
        <w:tc>
          <w:tcPr>
            <w:tcW w:w="465" w:type="pct"/>
          </w:tcPr>
          <w:p w14:paraId="0244CCE1" w14:textId="77777777" w:rsidR="002514F8" w:rsidRPr="00730DE4" w:rsidRDefault="002514F8" w:rsidP="006545E5">
            <w:pPr>
              <w:pStyle w:val="NoSpacing"/>
              <w:jc w:val="right"/>
            </w:pPr>
            <w:r w:rsidRPr="00730DE4">
              <w:t>9.18</w:t>
            </w:r>
          </w:p>
        </w:tc>
        <w:tc>
          <w:tcPr>
            <w:tcW w:w="675" w:type="pct"/>
          </w:tcPr>
          <w:p w14:paraId="24748A10" w14:textId="77777777" w:rsidR="002514F8" w:rsidRPr="00730DE4" w:rsidRDefault="002514F8" w:rsidP="006545E5">
            <w:pPr>
              <w:pStyle w:val="NoSpacing"/>
              <w:jc w:val="right"/>
            </w:pPr>
            <w:r w:rsidRPr="00730DE4">
              <w:t>8.50</w:t>
            </w:r>
          </w:p>
        </w:tc>
        <w:tc>
          <w:tcPr>
            <w:tcW w:w="465" w:type="pct"/>
          </w:tcPr>
          <w:p w14:paraId="25E155BE" w14:textId="77777777" w:rsidR="002514F8" w:rsidRPr="00730DE4" w:rsidRDefault="002514F8" w:rsidP="006545E5">
            <w:pPr>
              <w:pStyle w:val="NoSpacing"/>
              <w:jc w:val="right"/>
            </w:pPr>
            <w:r w:rsidRPr="00730DE4">
              <w:t>8.71</w:t>
            </w:r>
          </w:p>
        </w:tc>
        <w:tc>
          <w:tcPr>
            <w:tcW w:w="312" w:type="pct"/>
          </w:tcPr>
          <w:p w14:paraId="50A320E8" w14:textId="77777777" w:rsidR="002514F8" w:rsidRPr="00730DE4" w:rsidRDefault="002514F8" w:rsidP="006545E5">
            <w:pPr>
              <w:pStyle w:val="NoSpacing"/>
              <w:jc w:val="center"/>
            </w:pPr>
          </w:p>
        </w:tc>
      </w:tr>
      <w:tr w:rsidR="000A65A9" w:rsidRPr="00730DE4" w14:paraId="624D20AB" w14:textId="77777777" w:rsidTr="006545E5">
        <w:trPr>
          <w:cnfStyle w:val="000000100000" w:firstRow="0" w:lastRow="0" w:firstColumn="0" w:lastColumn="0" w:oddVBand="0" w:evenVBand="0" w:oddHBand="1" w:evenHBand="0" w:firstRowFirstColumn="0" w:firstRowLastColumn="0" w:lastRowFirstColumn="0" w:lastRowLastColumn="0"/>
          <w:trHeight w:val="21"/>
        </w:trPr>
        <w:tc>
          <w:tcPr>
            <w:tcW w:w="1689" w:type="pct"/>
          </w:tcPr>
          <w:p w14:paraId="2A8EC80F" w14:textId="77777777" w:rsidR="002514F8" w:rsidRPr="00730DE4" w:rsidRDefault="002514F8" w:rsidP="006545E5">
            <w:pPr>
              <w:pStyle w:val="NoSpacing"/>
            </w:pPr>
            <w:r w:rsidRPr="00730DE4">
              <w:t>Patronage on government contracted services (millions)—Rest of Queensland—Traveltrain</w:t>
            </w:r>
          </w:p>
        </w:tc>
        <w:tc>
          <w:tcPr>
            <w:tcW w:w="465" w:type="pct"/>
          </w:tcPr>
          <w:p w14:paraId="429DA39E" w14:textId="77777777" w:rsidR="002514F8" w:rsidRPr="00730DE4" w:rsidRDefault="002514F8" w:rsidP="006545E5">
            <w:pPr>
              <w:pStyle w:val="NoSpacing"/>
              <w:jc w:val="right"/>
            </w:pPr>
            <w:r w:rsidRPr="00730DE4">
              <w:t>0.28</w:t>
            </w:r>
          </w:p>
        </w:tc>
        <w:tc>
          <w:tcPr>
            <w:tcW w:w="465" w:type="pct"/>
          </w:tcPr>
          <w:p w14:paraId="349AB8C5" w14:textId="77777777" w:rsidR="002514F8" w:rsidRPr="00730DE4" w:rsidRDefault="002514F8" w:rsidP="006545E5">
            <w:pPr>
              <w:pStyle w:val="NoSpacing"/>
              <w:jc w:val="right"/>
            </w:pPr>
            <w:r w:rsidRPr="00730DE4">
              <w:t>0.20</w:t>
            </w:r>
          </w:p>
        </w:tc>
        <w:tc>
          <w:tcPr>
            <w:tcW w:w="465" w:type="pct"/>
          </w:tcPr>
          <w:p w14:paraId="2EAF2546" w14:textId="77777777" w:rsidR="002514F8" w:rsidRPr="00730DE4" w:rsidRDefault="002514F8" w:rsidP="006545E5">
            <w:pPr>
              <w:pStyle w:val="NoSpacing"/>
              <w:jc w:val="right"/>
            </w:pPr>
            <w:r w:rsidRPr="00730DE4">
              <w:t>0.24</w:t>
            </w:r>
          </w:p>
        </w:tc>
        <w:tc>
          <w:tcPr>
            <w:tcW w:w="465" w:type="pct"/>
          </w:tcPr>
          <w:p w14:paraId="1035C1C1" w14:textId="77777777" w:rsidR="002514F8" w:rsidRPr="00730DE4" w:rsidRDefault="002514F8" w:rsidP="006545E5">
            <w:pPr>
              <w:pStyle w:val="NoSpacing"/>
              <w:jc w:val="right"/>
            </w:pPr>
            <w:r w:rsidRPr="00730DE4">
              <w:t>0.34</w:t>
            </w:r>
          </w:p>
        </w:tc>
        <w:tc>
          <w:tcPr>
            <w:tcW w:w="675" w:type="pct"/>
          </w:tcPr>
          <w:p w14:paraId="7956BBFD" w14:textId="77777777" w:rsidR="002514F8" w:rsidRPr="00730DE4" w:rsidRDefault="002514F8" w:rsidP="006545E5">
            <w:pPr>
              <w:pStyle w:val="NoSpacing"/>
              <w:jc w:val="right"/>
            </w:pPr>
            <w:r w:rsidRPr="00730DE4">
              <w:t>0.33</w:t>
            </w:r>
          </w:p>
        </w:tc>
        <w:tc>
          <w:tcPr>
            <w:tcW w:w="465" w:type="pct"/>
          </w:tcPr>
          <w:p w14:paraId="0F76BF91" w14:textId="77777777" w:rsidR="002514F8" w:rsidRPr="00730DE4" w:rsidRDefault="002514F8" w:rsidP="006545E5">
            <w:pPr>
              <w:pStyle w:val="NoSpacing"/>
              <w:jc w:val="right"/>
            </w:pPr>
            <w:r w:rsidRPr="00730DE4">
              <w:t>0.29</w:t>
            </w:r>
          </w:p>
        </w:tc>
        <w:tc>
          <w:tcPr>
            <w:tcW w:w="312" w:type="pct"/>
          </w:tcPr>
          <w:p w14:paraId="599FCB75" w14:textId="77777777" w:rsidR="002514F8" w:rsidRPr="00730DE4" w:rsidRDefault="002514F8" w:rsidP="006545E5">
            <w:pPr>
              <w:pStyle w:val="NoSpacing"/>
              <w:jc w:val="center"/>
            </w:pPr>
            <w:r w:rsidRPr="00730DE4">
              <w:t>4</w:t>
            </w:r>
          </w:p>
        </w:tc>
      </w:tr>
      <w:tr w:rsidR="002514F8" w:rsidRPr="00730DE4" w14:paraId="26840548" w14:textId="77777777" w:rsidTr="006545E5">
        <w:trPr>
          <w:trHeight w:val="21"/>
        </w:trPr>
        <w:tc>
          <w:tcPr>
            <w:tcW w:w="1689" w:type="pct"/>
          </w:tcPr>
          <w:p w14:paraId="43EB1FCE" w14:textId="77777777" w:rsidR="002514F8" w:rsidRPr="00730DE4" w:rsidRDefault="002514F8" w:rsidP="006545E5">
            <w:pPr>
              <w:pStyle w:val="NoSpacing"/>
            </w:pPr>
            <w:r w:rsidRPr="00730DE4">
              <w:t>Patronage on government contracted services (millions)—Rest of Queensland—Regional ferry</w:t>
            </w:r>
          </w:p>
        </w:tc>
        <w:tc>
          <w:tcPr>
            <w:tcW w:w="465" w:type="pct"/>
          </w:tcPr>
          <w:p w14:paraId="2E2FF9F4" w14:textId="77777777" w:rsidR="002514F8" w:rsidRPr="00730DE4" w:rsidRDefault="002514F8" w:rsidP="006545E5">
            <w:pPr>
              <w:pStyle w:val="NoSpacing"/>
              <w:jc w:val="right"/>
            </w:pPr>
            <w:r w:rsidRPr="00730DE4">
              <w:t>1.98</w:t>
            </w:r>
          </w:p>
        </w:tc>
        <w:tc>
          <w:tcPr>
            <w:tcW w:w="465" w:type="pct"/>
          </w:tcPr>
          <w:p w14:paraId="0194D080" w14:textId="77777777" w:rsidR="002514F8" w:rsidRPr="00730DE4" w:rsidRDefault="002514F8" w:rsidP="006545E5">
            <w:pPr>
              <w:pStyle w:val="NoSpacing"/>
              <w:jc w:val="right"/>
            </w:pPr>
            <w:r w:rsidRPr="00730DE4">
              <w:t>1.82</w:t>
            </w:r>
          </w:p>
        </w:tc>
        <w:tc>
          <w:tcPr>
            <w:tcW w:w="465" w:type="pct"/>
          </w:tcPr>
          <w:p w14:paraId="450F5D38" w14:textId="77777777" w:rsidR="002514F8" w:rsidRPr="00730DE4" w:rsidRDefault="002514F8" w:rsidP="006545E5">
            <w:pPr>
              <w:pStyle w:val="NoSpacing"/>
              <w:jc w:val="right"/>
            </w:pPr>
            <w:r w:rsidRPr="00730DE4">
              <w:t>2.01</w:t>
            </w:r>
          </w:p>
        </w:tc>
        <w:tc>
          <w:tcPr>
            <w:tcW w:w="465" w:type="pct"/>
          </w:tcPr>
          <w:p w14:paraId="79781950" w14:textId="77777777" w:rsidR="002514F8" w:rsidRPr="00730DE4" w:rsidRDefault="002514F8" w:rsidP="006545E5">
            <w:pPr>
              <w:pStyle w:val="NoSpacing"/>
              <w:jc w:val="right"/>
            </w:pPr>
            <w:r w:rsidRPr="00730DE4">
              <w:t>2.31</w:t>
            </w:r>
          </w:p>
        </w:tc>
        <w:tc>
          <w:tcPr>
            <w:tcW w:w="675" w:type="pct"/>
          </w:tcPr>
          <w:p w14:paraId="0F7013EB" w14:textId="77777777" w:rsidR="002514F8" w:rsidRPr="00730DE4" w:rsidRDefault="002514F8" w:rsidP="006545E5">
            <w:pPr>
              <w:pStyle w:val="NoSpacing"/>
              <w:jc w:val="right"/>
            </w:pPr>
            <w:r w:rsidRPr="00730DE4">
              <w:t>2.40</w:t>
            </w:r>
          </w:p>
        </w:tc>
        <w:tc>
          <w:tcPr>
            <w:tcW w:w="465" w:type="pct"/>
          </w:tcPr>
          <w:p w14:paraId="59B8C99A" w14:textId="77777777" w:rsidR="002514F8" w:rsidRPr="00730DE4" w:rsidRDefault="002514F8" w:rsidP="006545E5">
            <w:pPr>
              <w:pStyle w:val="NoSpacing"/>
              <w:jc w:val="right"/>
            </w:pPr>
            <w:r w:rsidRPr="00730DE4">
              <w:t>2.28</w:t>
            </w:r>
          </w:p>
        </w:tc>
        <w:tc>
          <w:tcPr>
            <w:tcW w:w="312" w:type="pct"/>
          </w:tcPr>
          <w:p w14:paraId="211B11BB" w14:textId="77777777" w:rsidR="002514F8" w:rsidRPr="00730DE4" w:rsidRDefault="002514F8" w:rsidP="006545E5">
            <w:pPr>
              <w:pStyle w:val="NoSpacing"/>
              <w:jc w:val="center"/>
            </w:pPr>
            <w:r w:rsidRPr="00730DE4">
              <w:t>5</w:t>
            </w:r>
          </w:p>
        </w:tc>
      </w:tr>
      <w:tr w:rsidR="000A65A9" w:rsidRPr="00730DE4" w14:paraId="195441D1" w14:textId="77777777" w:rsidTr="006545E5">
        <w:trPr>
          <w:cnfStyle w:val="000000100000" w:firstRow="0" w:lastRow="0" w:firstColumn="0" w:lastColumn="0" w:oddVBand="0" w:evenVBand="0" w:oddHBand="1" w:evenHBand="0" w:firstRowFirstColumn="0" w:firstRowLastColumn="0" w:lastRowFirstColumn="0" w:lastRowLastColumn="0"/>
          <w:trHeight w:val="21"/>
        </w:trPr>
        <w:tc>
          <w:tcPr>
            <w:tcW w:w="1689" w:type="pct"/>
          </w:tcPr>
          <w:p w14:paraId="31CB6689" w14:textId="77777777" w:rsidR="002514F8" w:rsidRPr="00730DE4" w:rsidRDefault="002514F8" w:rsidP="006545E5">
            <w:pPr>
              <w:pStyle w:val="NoSpacing"/>
            </w:pPr>
            <w:r w:rsidRPr="00730DE4">
              <w:t>Patronage on government contracted services (millions)—Rest of Queensland—Total</w:t>
            </w:r>
          </w:p>
        </w:tc>
        <w:tc>
          <w:tcPr>
            <w:tcW w:w="465" w:type="pct"/>
          </w:tcPr>
          <w:p w14:paraId="63296544" w14:textId="77777777" w:rsidR="002514F8" w:rsidRPr="00730DE4" w:rsidRDefault="002514F8" w:rsidP="006545E5">
            <w:pPr>
              <w:pStyle w:val="NoSpacing"/>
              <w:jc w:val="right"/>
            </w:pPr>
            <w:r w:rsidRPr="00730DE4">
              <w:t>11.92</w:t>
            </w:r>
          </w:p>
        </w:tc>
        <w:tc>
          <w:tcPr>
            <w:tcW w:w="465" w:type="pct"/>
          </w:tcPr>
          <w:p w14:paraId="461ED731" w14:textId="77777777" w:rsidR="002514F8" w:rsidRPr="00730DE4" w:rsidRDefault="002514F8" w:rsidP="006545E5">
            <w:pPr>
              <w:pStyle w:val="NoSpacing"/>
              <w:jc w:val="right"/>
            </w:pPr>
            <w:r w:rsidRPr="00730DE4">
              <w:t>10.95</w:t>
            </w:r>
          </w:p>
        </w:tc>
        <w:tc>
          <w:tcPr>
            <w:tcW w:w="465" w:type="pct"/>
          </w:tcPr>
          <w:p w14:paraId="28324573" w14:textId="77777777" w:rsidR="002514F8" w:rsidRPr="00730DE4" w:rsidRDefault="002514F8" w:rsidP="006545E5">
            <w:pPr>
              <w:pStyle w:val="NoSpacing"/>
              <w:jc w:val="right"/>
            </w:pPr>
            <w:r w:rsidRPr="00730DE4">
              <w:t>10.61</w:t>
            </w:r>
          </w:p>
        </w:tc>
        <w:tc>
          <w:tcPr>
            <w:tcW w:w="465" w:type="pct"/>
          </w:tcPr>
          <w:p w14:paraId="2B9F0DAB" w14:textId="77777777" w:rsidR="002514F8" w:rsidRPr="00730DE4" w:rsidRDefault="002514F8" w:rsidP="006545E5">
            <w:pPr>
              <w:pStyle w:val="NoSpacing"/>
              <w:jc w:val="right"/>
            </w:pPr>
            <w:r w:rsidRPr="00730DE4">
              <w:t>12.06</w:t>
            </w:r>
          </w:p>
        </w:tc>
        <w:tc>
          <w:tcPr>
            <w:tcW w:w="675" w:type="pct"/>
          </w:tcPr>
          <w:p w14:paraId="0FDC1824" w14:textId="77777777" w:rsidR="002514F8" w:rsidRPr="00730DE4" w:rsidRDefault="002514F8" w:rsidP="006545E5">
            <w:pPr>
              <w:pStyle w:val="NoSpacing"/>
              <w:jc w:val="right"/>
            </w:pPr>
            <w:r w:rsidRPr="00730DE4">
              <w:t>11.45</w:t>
            </w:r>
          </w:p>
        </w:tc>
        <w:tc>
          <w:tcPr>
            <w:tcW w:w="465" w:type="pct"/>
          </w:tcPr>
          <w:p w14:paraId="0996C757" w14:textId="77777777" w:rsidR="002514F8" w:rsidRPr="00730DE4" w:rsidRDefault="002514F8" w:rsidP="006545E5">
            <w:pPr>
              <w:pStyle w:val="NoSpacing"/>
              <w:jc w:val="right"/>
            </w:pPr>
            <w:r w:rsidRPr="00730DE4">
              <w:t>11.51</w:t>
            </w:r>
          </w:p>
        </w:tc>
        <w:tc>
          <w:tcPr>
            <w:tcW w:w="312" w:type="pct"/>
          </w:tcPr>
          <w:p w14:paraId="786A1929" w14:textId="77777777" w:rsidR="002514F8" w:rsidRPr="00730DE4" w:rsidRDefault="002514F8" w:rsidP="006545E5">
            <w:pPr>
              <w:pStyle w:val="NoSpacing"/>
              <w:jc w:val="center"/>
            </w:pPr>
          </w:p>
        </w:tc>
      </w:tr>
      <w:tr w:rsidR="002514F8" w:rsidRPr="00730DE4" w14:paraId="4FB99B72" w14:textId="77777777" w:rsidTr="006545E5">
        <w:trPr>
          <w:trHeight w:val="21"/>
        </w:trPr>
        <w:tc>
          <w:tcPr>
            <w:tcW w:w="1689" w:type="pct"/>
          </w:tcPr>
          <w:p w14:paraId="506DB595" w14:textId="77777777" w:rsidR="002514F8" w:rsidRPr="00730DE4" w:rsidRDefault="002514F8" w:rsidP="006545E5">
            <w:pPr>
              <w:pStyle w:val="NoSpacing"/>
            </w:pPr>
            <w:r w:rsidRPr="00730DE4">
              <w:t>Average on-time running performance in peak times—Citytrain</w:t>
            </w:r>
          </w:p>
        </w:tc>
        <w:tc>
          <w:tcPr>
            <w:tcW w:w="465" w:type="pct"/>
          </w:tcPr>
          <w:p w14:paraId="1BDBF9FC" w14:textId="77777777" w:rsidR="002514F8" w:rsidRPr="00730DE4" w:rsidRDefault="002514F8" w:rsidP="006545E5">
            <w:pPr>
              <w:pStyle w:val="NoSpacing"/>
              <w:jc w:val="right"/>
            </w:pPr>
            <w:r w:rsidRPr="00730DE4">
              <w:t>95.27%</w:t>
            </w:r>
          </w:p>
        </w:tc>
        <w:tc>
          <w:tcPr>
            <w:tcW w:w="465" w:type="pct"/>
          </w:tcPr>
          <w:p w14:paraId="6111FEC1" w14:textId="77777777" w:rsidR="002514F8" w:rsidRPr="00730DE4" w:rsidRDefault="002514F8" w:rsidP="006545E5">
            <w:pPr>
              <w:pStyle w:val="NoSpacing"/>
              <w:jc w:val="right"/>
            </w:pPr>
            <w:r w:rsidRPr="00730DE4">
              <w:t>96.51%</w:t>
            </w:r>
          </w:p>
        </w:tc>
        <w:tc>
          <w:tcPr>
            <w:tcW w:w="465" w:type="pct"/>
          </w:tcPr>
          <w:p w14:paraId="0A671386" w14:textId="77777777" w:rsidR="002514F8" w:rsidRPr="00730DE4" w:rsidRDefault="002514F8" w:rsidP="006545E5">
            <w:pPr>
              <w:pStyle w:val="NoSpacing"/>
              <w:jc w:val="right"/>
            </w:pPr>
            <w:r w:rsidRPr="00730DE4">
              <w:t>94.73%</w:t>
            </w:r>
          </w:p>
        </w:tc>
        <w:tc>
          <w:tcPr>
            <w:tcW w:w="465" w:type="pct"/>
          </w:tcPr>
          <w:p w14:paraId="2F64B440" w14:textId="77777777" w:rsidR="002514F8" w:rsidRPr="00730DE4" w:rsidRDefault="002514F8" w:rsidP="006545E5">
            <w:pPr>
              <w:pStyle w:val="NoSpacing"/>
              <w:jc w:val="right"/>
            </w:pPr>
            <w:r w:rsidRPr="00730DE4">
              <w:t>91.65%</w:t>
            </w:r>
          </w:p>
        </w:tc>
        <w:tc>
          <w:tcPr>
            <w:tcW w:w="675" w:type="pct"/>
          </w:tcPr>
          <w:p w14:paraId="4563DA69" w14:textId="77777777" w:rsidR="002514F8" w:rsidRPr="00730DE4" w:rsidRDefault="002514F8" w:rsidP="006545E5">
            <w:pPr>
              <w:pStyle w:val="NoSpacing"/>
              <w:jc w:val="right"/>
            </w:pPr>
            <w:r w:rsidRPr="00730DE4">
              <w:t>95.0%</w:t>
            </w:r>
          </w:p>
        </w:tc>
        <w:tc>
          <w:tcPr>
            <w:tcW w:w="465" w:type="pct"/>
          </w:tcPr>
          <w:p w14:paraId="22BEBBD9" w14:textId="77777777" w:rsidR="002514F8" w:rsidRPr="00730DE4" w:rsidRDefault="002514F8" w:rsidP="006545E5">
            <w:pPr>
              <w:pStyle w:val="NoSpacing"/>
              <w:jc w:val="right"/>
            </w:pPr>
            <w:r w:rsidRPr="00730DE4">
              <w:t>92.8%</w:t>
            </w:r>
          </w:p>
        </w:tc>
        <w:tc>
          <w:tcPr>
            <w:tcW w:w="312" w:type="pct"/>
          </w:tcPr>
          <w:p w14:paraId="0A39352C" w14:textId="77777777" w:rsidR="002514F8" w:rsidRPr="00730DE4" w:rsidRDefault="002514F8" w:rsidP="006545E5">
            <w:pPr>
              <w:pStyle w:val="NoSpacing"/>
              <w:jc w:val="center"/>
            </w:pPr>
            <w:r w:rsidRPr="00730DE4">
              <w:t>6, 7</w:t>
            </w:r>
          </w:p>
        </w:tc>
      </w:tr>
      <w:tr w:rsidR="000A65A9" w:rsidRPr="00730DE4" w14:paraId="60AE2344" w14:textId="77777777" w:rsidTr="006545E5">
        <w:trPr>
          <w:cnfStyle w:val="000000100000" w:firstRow="0" w:lastRow="0" w:firstColumn="0" w:lastColumn="0" w:oddVBand="0" w:evenVBand="0" w:oddHBand="1" w:evenHBand="0" w:firstRowFirstColumn="0" w:firstRowLastColumn="0" w:lastRowFirstColumn="0" w:lastRowLastColumn="0"/>
          <w:trHeight w:val="21"/>
        </w:trPr>
        <w:tc>
          <w:tcPr>
            <w:tcW w:w="1689" w:type="pct"/>
          </w:tcPr>
          <w:p w14:paraId="1E8D42AD" w14:textId="77777777" w:rsidR="002514F8" w:rsidRPr="00730DE4" w:rsidRDefault="002514F8" w:rsidP="006545E5">
            <w:pPr>
              <w:pStyle w:val="NoSpacing"/>
            </w:pPr>
            <w:r w:rsidRPr="00730DE4">
              <w:t>Scheduled services delivered—Citytrain</w:t>
            </w:r>
          </w:p>
        </w:tc>
        <w:tc>
          <w:tcPr>
            <w:tcW w:w="465" w:type="pct"/>
          </w:tcPr>
          <w:p w14:paraId="2C43ADA8" w14:textId="77777777" w:rsidR="002514F8" w:rsidRPr="00730DE4" w:rsidRDefault="002514F8" w:rsidP="006545E5">
            <w:pPr>
              <w:pStyle w:val="NoSpacing"/>
              <w:jc w:val="right"/>
            </w:pPr>
            <w:r w:rsidRPr="00730DE4">
              <w:t>99.70%</w:t>
            </w:r>
          </w:p>
        </w:tc>
        <w:tc>
          <w:tcPr>
            <w:tcW w:w="465" w:type="pct"/>
          </w:tcPr>
          <w:p w14:paraId="3B69D275" w14:textId="77777777" w:rsidR="002514F8" w:rsidRPr="00730DE4" w:rsidRDefault="002514F8" w:rsidP="006545E5">
            <w:pPr>
              <w:pStyle w:val="NoSpacing"/>
              <w:jc w:val="right"/>
            </w:pPr>
            <w:r w:rsidRPr="00730DE4">
              <w:t>99.78%</w:t>
            </w:r>
          </w:p>
        </w:tc>
        <w:tc>
          <w:tcPr>
            <w:tcW w:w="465" w:type="pct"/>
          </w:tcPr>
          <w:p w14:paraId="65BBB6D5" w14:textId="77777777" w:rsidR="002514F8" w:rsidRPr="00730DE4" w:rsidRDefault="002514F8" w:rsidP="006545E5">
            <w:pPr>
              <w:pStyle w:val="NoSpacing"/>
              <w:jc w:val="right"/>
            </w:pPr>
            <w:r w:rsidRPr="00730DE4">
              <w:t>99.64%</w:t>
            </w:r>
          </w:p>
        </w:tc>
        <w:tc>
          <w:tcPr>
            <w:tcW w:w="465" w:type="pct"/>
          </w:tcPr>
          <w:p w14:paraId="6D61EB88" w14:textId="77777777" w:rsidR="002514F8" w:rsidRPr="00730DE4" w:rsidRDefault="002514F8" w:rsidP="006545E5">
            <w:pPr>
              <w:pStyle w:val="NoSpacing"/>
              <w:jc w:val="right"/>
            </w:pPr>
            <w:r w:rsidRPr="00730DE4">
              <w:t>99.24%</w:t>
            </w:r>
          </w:p>
        </w:tc>
        <w:tc>
          <w:tcPr>
            <w:tcW w:w="675" w:type="pct"/>
          </w:tcPr>
          <w:p w14:paraId="6095BEA9" w14:textId="77777777" w:rsidR="002514F8" w:rsidRPr="00730DE4" w:rsidRDefault="002514F8" w:rsidP="006545E5">
            <w:pPr>
              <w:pStyle w:val="NoSpacing"/>
              <w:jc w:val="right"/>
            </w:pPr>
            <w:r w:rsidRPr="00730DE4">
              <w:t>99.5%</w:t>
            </w:r>
          </w:p>
        </w:tc>
        <w:tc>
          <w:tcPr>
            <w:tcW w:w="465" w:type="pct"/>
          </w:tcPr>
          <w:p w14:paraId="6BC035C7" w14:textId="77777777" w:rsidR="002514F8" w:rsidRPr="00730DE4" w:rsidRDefault="002514F8" w:rsidP="006545E5">
            <w:pPr>
              <w:pStyle w:val="NoSpacing"/>
              <w:jc w:val="right"/>
            </w:pPr>
            <w:r w:rsidRPr="00730DE4">
              <w:t>99.3%</w:t>
            </w:r>
          </w:p>
        </w:tc>
        <w:tc>
          <w:tcPr>
            <w:tcW w:w="312" w:type="pct"/>
          </w:tcPr>
          <w:p w14:paraId="47DC1212" w14:textId="77777777" w:rsidR="002514F8" w:rsidRPr="00730DE4" w:rsidRDefault="002514F8" w:rsidP="006545E5">
            <w:pPr>
              <w:pStyle w:val="NoSpacing"/>
              <w:jc w:val="center"/>
            </w:pPr>
            <w:r w:rsidRPr="00730DE4">
              <w:t>8</w:t>
            </w:r>
          </w:p>
        </w:tc>
      </w:tr>
    </w:tbl>
    <w:p w14:paraId="73B7E13A" w14:textId="77777777" w:rsidR="002514F8" w:rsidRPr="00730DE4" w:rsidRDefault="002514F8" w:rsidP="00583174">
      <w:pPr>
        <w:pStyle w:val="FigureCaption"/>
        <w:rPr>
          <w:lang w:val="en-US"/>
        </w:rPr>
      </w:pPr>
      <w:r w:rsidRPr="00730DE4">
        <w:rPr>
          <w:lang w:val="en-US"/>
        </w:rPr>
        <w:t>Table 21: Passenger Transport Services efficiency measure</w:t>
      </w:r>
    </w:p>
    <w:tbl>
      <w:tblPr>
        <w:tblStyle w:val="TMRDefault"/>
        <w:tblW w:w="5000" w:type="pct"/>
        <w:tblLook w:val="04A0" w:firstRow="1" w:lastRow="0" w:firstColumn="1" w:lastColumn="0" w:noHBand="0" w:noVBand="1"/>
      </w:tblPr>
      <w:tblGrid>
        <w:gridCol w:w="4876"/>
        <w:gridCol w:w="1279"/>
        <w:gridCol w:w="1279"/>
        <w:gridCol w:w="1279"/>
        <w:gridCol w:w="1279"/>
        <w:gridCol w:w="1847"/>
        <w:gridCol w:w="1279"/>
        <w:gridCol w:w="874"/>
      </w:tblGrid>
      <w:tr w:rsidR="000A65A9" w:rsidRPr="00730DE4" w14:paraId="184B9519" w14:textId="77777777" w:rsidTr="007D1DCD">
        <w:trPr>
          <w:cnfStyle w:val="100000000000" w:firstRow="1" w:lastRow="0" w:firstColumn="0" w:lastColumn="0" w:oddVBand="0" w:evenVBand="0" w:oddHBand="0" w:evenHBand="0" w:firstRowFirstColumn="0" w:firstRowLastColumn="0" w:lastRowFirstColumn="0" w:lastRowLastColumn="0"/>
          <w:trHeight w:val="21"/>
          <w:tblHeader/>
        </w:trPr>
        <w:tc>
          <w:tcPr>
            <w:tcW w:w="1744" w:type="pct"/>
          </w:tcPr>
          <w:p w14:paraId="7048565E" w14:textId="77777777" w:rsidR="002514F8" w:rsidRPr="00730DE4" w:rsidRDefault="002514F8" w:rsidP="000B0ED0">
            <w:pPr>
              <w:pStyle w:val="NoSpacing"/>
              <w:rPr>
                <w:color w:val="FFFFFF" w:themeColor="background1"/>
              </w:rPr>
            </w:pPr>
            <w:r w:rsidRPr="00730DE4">
              <w:rPr>
                <w:color w:val="FFFFFF" w:themeColor="background1"/>
              </w:rPr>
              <w:t>Service standard</w:t>
            </w:r>
          </w:p>
        </w:tc>
        <w:tc>
          <w:tcPr>
            <w:tcW w:w="458" w:type="pct"/>
          </w:tcPr>
          <w:p w14:paraId="22264E5C" w14:textId="77777777" w:rsidR="002514F8" w:rsidRPr="00730DE4" w:rsidRDefault="002514F8" w:rsidP="00BE710F">
            <w:pPr>
              <w:pStyle w:val="NoSpacing"/>
              <w:jc w:val="right"/>
              <w:rPr>
                <w:color w:val="FFFFFF" w:themeColor="background1"/>
              </w:rPr>
            </w:pPr>
            <w:r w:rsidRPr="00730DE4">
              <w:rPr>
                <w:color w:val="FFFFFF" w:themeColor="background1"/>
              </w:rPr>
              <w:t>2019–20 Actual</w:t>
            </w:r>
          </w:p>
        </w:tc>
        <w:tc>
          <w:tcPr>
            <w:tcW w:w="458" w:type="pct"/>
          </w:tcPr>
          <w:p w14:paraId="3298DCCA" w14:textId="77777777" w:rsidR="002514F8" w:rsidRPr="00730DE4" w:rsidRDefault="002514F8" w:rsidP="00BE710F">
            <w:pPr>
              <w:pStyle w:val="NoSpacing"/>
              <w:jc w:val="right"/>
              <w:rPr>
                <w:color w:val="FFFFFF" w:themeColor="background1"/>
              </w:rPr>
            </w:pPr>
            <w:r w:rsidRPr="00730DE4">
              <w:rPr>
                <w:color w:val="FFFFFF" w:themeColor="background1"/>
              </w:rPr>
              <w:t>2020–21 Actual</w:t>
            </w:r>
          </w:p>
        </w:tc>
        <w:tc>
          <w:tcPr>
            <w:tcW w:w="458" w:type="pct"/>
          </w:tcPr>
          <w:p w14:paraId="2D5B0228" w14:textId="77777777" w:rsidR="002514F8" w:rsidRPr="00730DE4" w:rsidRDefault="002514F8" w:rsidP="00BE710F">
            <w:pPr>
              <w:pStyle w:val="NoSpacing"/>
              <w:jc w:val="right"/>
              <w:rPr>
                <w:color w:val="FFFFFF" w:themeColor="background1"/>
              </w:rPr>
            </w:pPr>
            <w:r w:rsidRPr="00730DE4">
              <w:rPr>
                <w:color w:val="FFFFFF" w:themeColor="background1"/>
              </w:rPr>
              <w:t>2021–22 Actual</w:t>
            </w:r>
          </w:p>
        </w:tc>
        <w:tc>
          <w:tcPr>
            <w:tcW w:w="458" w:type="pct"/>
          </w:tcPr>
          <w:p w14:paraId="176E8B08" w14:textId="77777777" w:rsidR="002514F8" w:rsidRPr="00730DE4" w:rsidRDefault="002514F8" w:rsidP="00BE710F">
            <w:pPr>
              <w:pStyle w:val="NoSpacing"/>
              <w:jc w:val="right"/>
              <w:rPr>
                <w:color w:val="FFFFFF" w:themeColor="background1"/>
              </w:rPr>
            </w:pPr>
            <w:r w:rsidRPr="00730DE4">
              <w:rPr>
                <w:color w:val="FFFFFF" w:themeColor="background1"/>
              </w:rPr>
              <w:t>2022–23 Actual</w:t>
            </w:r>
          </w:p>
        </w:tc>
        <w:tc>
          <w:tcPr>
            <w:tcW w:w="661" w:type="pct"/>
          </w:tcPr>
          <w:p w14:paraId="06D864DC" w14:textId="77777777" w:rsidR="002514F8" w:rsidRPr="00730DE4" w:rsidRDefault="002514F8" w:rsidP="00BE710F">
            <w:pPr>
              <w:pStyle w:val="NoSpacing"/>
              <w:jc w:val="right"/>
              <w:rPr>
                <w:color w:val="FFFFFF" w:themeColor="background1"/>
              </w:rPr>
            </w:pPr>
            <w:r w:rsidRPr="00730DE4">
              <w:rPr>
                <w:color w:val="FFFFFF" w:themeColor="background1"/>
              </w:rPr>
              <w:t>2023–24 Target / Estimate</w:t>
            </w:r>
          </w:p>
        </w:tc>
        <w:tc>
          <w:tcPr>
            <w:tcW w:w="458" w:type="pct"/>
          </w:tcPr>
          <w:p w14:paraId="36A2132E" w14:textId="77777777" w:rsidR="002514F8" w:rsidRPr="00730DE4" w:rsidRDefault="002514F8" w:rsidP="00BE710F">
            <w:pPr>
              <w:pStyle w:val="NoSpacing"/>
              <w:jc w:val="right"/>
              <w:rPr>
                <w:color w:val="FFFFFF" w:themeColor="background1"/>
              </w:rPr>
            </w:pPr>
            <w:r w:rsidRPr="00730DE4">
              <w:rPr>
                <w:color w:val="FFFFFF" w:themeColor="background1"/>
              </w:rPr>
              <w:t>2023–24 Actual</w:t>
            </w:r>
          </w:p>
        </w:tc>
        <w:tc>
          <w:tcPr>
            <w:tcW w:w="304" w:type="pct"/>
          </w:tcPr>
          <w:p w14:paraId="02C69B97" w14:textId="77777777" w:rsidR="002514F8" w:rsidRPr="00730DE4" w:rsidRDefault="002514F8" w:rsidP="000831CB">
            <w:pPr>
              <w:pStyle w:val="NoSpacing"/>
              <w:jc w:val="center"/>
              <w:rPr>
                <w:color w:val="FFFFFF" w:themeColor="background1"/>
              </w:rPr>
            </w:pPr>
            <w:r w:rsidRPr="00730DE4">
              <w:rPr>
                <w:color w:val="FFFFFF" w:themeColor="background1"/>
              </w:rPr>
              <w:t>Notes</w:t>
            </w:r>
          </w:p>
        </w:tc>
      </w:tr>
      <w:tr w:rsidR="000A65A9" w:rsidRPr="00730DE4" w14:paraId="147F6D27" w14:textId="77777777" w:rsidTr="007D1DCD">
        <w:trPr>
          <w:cnfStyle w:val="000000100000" w:firstRow="0" w:lastRow="0" w:firstColumn="0" w:lastColumn="0" w:oddVBand="0" w:evenVBand="0" w:oddHBand="1" w:evenHBand="0" w:firstRowFirstColumn="0" w:firstRowLastColumn="0" w:lastRowFirstColumn="0" w:lastRowLastColumn="0"/>
          <w:trHeight w:val="21"/>
        </w:trPr>
        <w:tc>
          <w:tcPr>
            <w:tcW w:w="1744" w:type="pct"/>
          </w:tcPr>
          <w:p w14:paraId="26A39E20" w14:textId="77777777" w:rsidR="002514F8" w:rsidRPr="00730DE4" w:rsidRDefault="002514F8" w:rsidP="000B0ED0">
            <w:pPr>
              <w:pStyle w:val="NoSpacing"/>
            </w:pPr>
            <w:r w:rsidRPr="00730DE4">
              <w:t>Cost per passenger trip to administer statewide government contracted passenger transport services</w:t>
            </w:r>
          </w:p>
        </w:tc>
        <w:tc>
          <w:tcPr>
            <w:tcW w:w="458" w:type="pct"/>
          </w:tcPr>
          <w:p w14:paraId="6DF60B63" w14:textId="77777777" w:rsidR="002514F8" w:rsidRPr="00730DE4" w:rsidRDefault="002514F8" w:rsidP="00BE710F">
            <w:pPr>
              <w:pStyle w:val="NoSpacing"/>
              <w:jc w:val="right"/>
            </w:pPr>
            <w:r w:rsidRPr="00730DE4">
              <w:t>$16.92</w:t>
            </w:r>
          </w:p>
        </w:tc>
        <w:tc>
          <w:tcPr>
            <w:tcW w:w="458" w:type="pct"/>
          </w:tcPr>
          <w:p w14:paraId="131FC609" w14:textId="77777777" w:rsidR="002514F8" w:rsidRPr="00730DE4" w:rsidRDefault="002514F8" w:rsidP="00BE710F">
            <w:pPr>
              <w:pStyle w:val="NoSpacing"/>
              <w:jc w:val="right"/>
            </w:pPr>
            <w:r w:rsidRPr="00730DE4">
              <w:t>$22.95</w:t>
            </w:r>
          </w:p>
        </w:tc>
        <w:tc>
          <w:tcPr>
            <w:tcW w:w="458" w:type="pct"/>
          </w:tcPr>
          <w:p w14:paraId="44FCFE7E" w14:textId="77777777" w:rsidR="002514F8" w:rsidRPr="00730DE4" w:rsidRDefault="002514F8" w:rsidP="00BE710F">
            <w:pPr>
              <w:pStyle w:val="NoSpacing"/>
              <w:jc w:val="right"/>
            </w:pPr>
            <w:r w:rsidRPr="00730DE4">
              <w:t>$25.13</w:t>
            </w:r>
          </w:p>
        </w:tc>
        <w:tc>
          <w:tcPr>
            <w:tcW w:w="458" w:type="pct"/>
          </w:tcPr>
          <w:p w14:paraId="38BBFC98" w14:textId="77777777" w:rsidR="002514F8" w:rsidRPr="00730DE4" w:rsidRDefault="002514F8" w:rsidP="00BE710F">
            <w:pPr>
              <w:pStyle w:val="NoSpacing"/>
              <w:jc w:val="right"/>
            </w:pPr>
            <w:r w:rsidRPr="00730DE4">
              <w:t>$19.47</w:t>
            </w:r>
          </w:p>
        </w:tc>
        <w:tc>
          <w:tcPr>
            <w:tcW w:w="661" w:type="pct"/>
          </w:tcPr>
          <w:p w14:paraId="1ED61E60" w14:textId="77777777" w:rsidR="002514F8" w:rsidRPr="00730DE4" w:rsidRDefault="002514F8" w:rsidP="00BE710F">
            <w:pPr>
              <w:pStyle w:val="NoSpacing"/>
              <w:jc w:val="right"/>
            </w:pPr>
            <w:r w:rsidRPr="00730DE4">
              <w:t>$18.70</w:t>
            </w:r>
          </w:p>
        </w:tc>
        <w:tc>
          <w:tcPr>
            <w:tcW w:w="458" w:type="pct"/>
          </w:tcPr>
          <w:p w14:paraId="17580379" w14:textId="77777777" w:rsidR="002514F8" w:rsidRPr="00730DE4" w:rsidRDefault="002514F8" w:rsidP="00BE710F">
            <w:pPr>
              <w:pStyle w:val="NoSpacing"/>
              <w:jc w:val="right"/>
            </w:pPr>
            <w:r w:rsidRPr="00730DE4">
              <w:t>$19.21</w:t>
            </w:r>
          </w:p>
        </w:tc>
        <w:tc>
          <w:tcPr>
            <w:tcW w:w="304" w:type="pct"/>
          </w:tcPr>
          <w:p w14:paraId="2689EE15" w14:textId="77777777" w:rsidR="002514F8" w:rsidRPr="00730DE4" w:rsidRDefault="002514F8" w:rsidP="000831CB">
            <w:pPr>
              <w:pStyle w:val="NoSpacing"/>
              <w:jc w:val="center"/>
            </w:pPr>
            <w:r w:rsidRPr="00730DE4">
              <w:t>9</w:t>
            </w:r>
          </w:p>
        </w:tc>
      </w:tr>
    </w:tbl>
    <w:p w14:paraId="33A1763B" w14:textId="77777777" w:rsidR="002514F8" w:rsidRPr="00730DE4" w:rsidRDefault="002514F8" w:rsidP="00583174">
      <w:pPr>
        <w:pStyle w:val="Caption"/>
        <w:rPr>
          <w:lang w:val="en-US"/>
        </w:rPr>
      </w:pPr>
      <w:r w:rsidRPr="00730DE4">
        <w:rPr>
          <w:lang w:val="en-US"/>
        </w:rPr>
        <w:t>Notes:</w:t>
      </w:r>
    </w:p>
    <w:p w14:paraId="54418096" w14:textId="77777777" w:rsidR="002514F8" w:rsidRPr="00730DE4" w:rsidRDefault="002514F8" w:rsidP="00583174">
      <w:pPr>
        <w:pStyle w:val="Caption"/>
      </w:pPr>
      <w:r w:rsidRPr="00730DE4">
        <w:t xml:space="preserve">1. The variance between the 2023–24 Target/Estimate and 2023–24 Actual is due to increased disruptions during the construction phase of Cross River Rail. </w:t>
      </w:r>
    </w:p>
    <w:p w14:paraId="6FEEDB72" w14:textId="77777777" w:rsidR="002514F8" w:rsidRPr="00730DE4" w:rsidRDefault="002514F8" w:rsidP="00583174">
      <w:pPr>
        <w:pStyle w:val="Caption"/>
      </w:pPr>
      <w:r w:rsidRPr="00730DE4">
        <w:t>2. The variance between the 2023–24 Target/Estimate and 2023–24 Actual is due to the full return to normal operations after the extensive damage caused to the Brisbane City Ferry network by the February–March 2022 flood events.</w:t>
      </w:r>
    </w:p>
    <w:p w14:paraId="3965A644" w14:textId="77777777" w:rsidR="002514F8" w:rsidRPr="00730DE4" w:rsidRDefault="002514F8" w:rsidP="00583174">
      <w:pPr>
        <w:pStyle w:val="Caption"/>
      </w:pPr>
      <w:r w:rsidRPr="00730DE4">
        <w:t xml:space="preserve">3. The variance between the 2023–24 Target/Estimate and 2023–24 Actual is due to increased use of services exceeding initial forecasting. </w:t>
      </w:r>
    </w:p>
    <w:p w14:paraId="0BA8504E" w14:textId="77777777" w:rsidR="002514F8" w:rsidRPr="00730DE4" w:rsidRDefault="002514F8" w:rsidP="00583174">
      <w:pPr>
        <w:pStyle w:val="Caption"/>
      </w:pPr>
      <w:r w:rsidRPr="00730DE4">
        <w:t>4. The variance between the 2023–24 Target/Estimate and 2023–24 Actual is due to impacts of the timetable change to accommodate the Tilt Train maintenance overhaul program temporarily reducing capacity as well as network outages from the impacts of severe weather events including Ex-Tropical Cyclones Jasper and Kirrily.</w:t>
      </w:r>
    </w:p>
    <w:p w14:paraId="531D6C65" w14:textId="77777777" w:rsidR="002514F8" w:rsidRPr="00730DE4" w:rsidRDefault="002514F8" w:rsidP="00583174">
      <w:pPr>
        <w:pStyle w:val="Caption"/>
      </w:pPr>
      <w:r w:rsidRPr="00730DE4">
        <w:t>5. The variance between the 2023–24 Target/Estimate and 2023–24 Actual is predominantly due to better data collection with the implementation of electronic ticketing data collection method on the North Stradbroke Island route.</w:t>
      </w:r>
    </w:p>
    <w:p w14:paraId="2AD4310A" w14:textId="77777777" w:rsidR="002514F8" w:rsidRPr="00730DE4" w:rsidRDefault="002514F8" w:rsidP="00583174">
      <w:pPr>
        <w:pStyle w:val="Caption"/>
      </w:pPr>
      <w:r w:rsidRPr="00730DE4">
        <w:t xml:space="preserve">6. The wording of this service standard has been amended to ‘On-time running: Combined Peaks Citytrain Services’ for the 2024–25 Service Delivery Statements to improve clarity and to align with Queensland Rail's service punctuality and reliability reporting. </w:t>
      </w:r>
    </w:p>
    <w:p w14:paraId="296A1803" w14:textId="77777777" w:rsidR="002514F8" w:rsidRPr="00730DE4" w:rsidRDefault="002514F8" w:rsidP="00583174">
      <w:pPr>
        <w:pStyle w:val="Caption"/>
      </w:pPr>
      <w:r w:rsidRPr="00730DE4">
        <w:t>7. The variance between the 2023–24 Target/Estimate and 2023–24 Actual is due to various issues including track failures, points failures, bridge strikes, and trespasser incidents.</w:t>
      </w:r>
    </w:p>
    <w:p w14:paraId="6627FA96" w14:textId="77777777" w:rsidR="002514F8" w:rsidRPr="00730DE4" w:rsidRDefault="002514F8" w:rsidP="00583174">
      <w:pPr>
        <w:pStyle w:val="Caption"/>
      </w:pPr>
      <w:r w:rsidRPr="00730DE4">
        <w:t xml:space="preserve">8. The wording of this service standard has been amended to ‘Reliability: 24/7 Citytrain Services’ for the 2024–25 Service Delivery Statements to improve clarity and to align with Queensland Rail's service punctuality and reliability reporting. </w:t>
      </w:r>
    </w:p>
    <w:p w14:paraId="26C541FB" w14:textId="77777777" w:rsidR="002514F8" w:rsidRPr="00730DE4" w:rsidRDefault="002514F8" w:rsidP="00583174">
      <w:pPr>
        <w:pStyle w:val="Caption"/>
      </w:pPr>
      <w:r w:rsidRPr="00730DE4">
        <w:t xml:space="preserve">9. The variance between the 2023–24 Target/Estimate and 2023–24 Actual is due to an increase in service delivery costs, notably the Queensland Rail Transport Service Contract which incorporates Cross River Rail readiness costs. </w:t>
      </w:r>
    </w:p>
    <w:p w14:paraId="78810CD4" w14:textId="77777777" w:rsidR="002514F8" w:rsidRPr="00730DE4" w:rsidRDefault="002514F8" w:rsidP="002B7001">
      <w:pPr>
        <w:pStyle w:val="Heading3"/>
        <w:rPr>
          <w:lang w:val="en-US"/>
        </w:rPr>
      </w:pPr>
      <w:bookmarkStart w:id="281" w:name="_Toc180487323"/>
      <w:bookmarkStart w:id="282" w:name="_Toc180490529"/>
      <w:bookmarkStart w:id="283" w:name="_Toc180491562"/>
      <w:r w:rsidRPr="00730DE4">
        <w:rPr>
          <w:lang w:val="en-US"/>
        </w:rPr>
        <w:t>Service area: Customer and Digital Services</w:t>
      </w:r>
      <w:bookmarkEnd w:id="281"/>
      <w:bookmarkEnd w:id="282"/>
      <w:bookmarkEnd w:id="283"/>
    </w:p>
    <w:p w14:paraId="09D60845" w14:textId="77777777" w:rsidR="002514F8" w:rsidRPr="00730DE4" w:rsidRDefault="002514F8" w:rsidP="00583174">
      <w:pPr>
        <w:rPr>
          <w:lang w:val="en-US"/>
        </w:rPr>
      </w:pPr>
      <w:r w:rsidRPr="00730DE4">
        <w:rPr>
          <w:rStyle w:val="Strong"/>
        </w:rPr>
        <w:t xml:space="preserve">Service area objective: </w:t>
      </w:r>
      <w:r w:rsidRPr="00730DE4">
        <w:t>To benefit Queenslanders and their businesses by delivering and improving government services and investing in a digitally enabled economy.</w:t>
      </w:r>
    </w:p>
    <w:p w14:paraId="7307FE3A" w14:textId="77777777" w:rsidR="002514F8" w:rsidRPr="00730DE4" w:rsidRDefault="002514F8" w:rsidP="00583174">
      <w:pPr>
        <w:pStyle w:val="FigureCaption"/>
        <w:rPr>
          <w:lang w:val="en-US"/>
        </w:rPr>
      </w:pPr>
      <w:r w:rsidRPr="00730DE4">
        <w:rPr>
          <w:lang w:val="en-US"/>
        </w:rPr>
        <w:t>Table 22: Customer and Digital Services effectiveness measures</w:t>
      </w:r>
    </w:p>
    <w:tbl>
      <w:tblPr>
        <w:tblStyle w:val="TMRDefault"/>
        <w:tblW w:w="5000" w:type="pct"/>
        <w:tblLook w:val="04A0" w:firstRow="1" w:lastRow="0" w:firstColumn="1" w:lastColumn="0" w:noHBand="0" w:noVBand="1"/>
      </w:tblPr>
      <w:tblGrid>
        <w:gridCol w:w="5258"/>
        <w:gridCol w:w="1212"/>
        <w:gridCol w:w="1212"/>
        <w:gridCol w:w="1253"/>
        <w:gridCol w:w="1254"/>
        <w:gridCol w:w="1716"/>
        <w:gridCol w:w="1213"/>
        <w:gridCol w:w="874"/>
      </w:tblGrid>
      <w:tr w:rsidR="000A65A9" w:rsidRPr="00730DE4" w14:paraId="3691A873" w14:textId="77777777" w:rsidTr="007D1DCD">
        <w:trPr>
          <w:cnfStyle w:val="100000000000" w:firstRow="1" w:lastRow="0" w:firstColumn="0" w:lastColumn="0" w:oddVBand="0" w:evenVBand="0" w:oddHBand="0" w:evenHBand="0" w:firstRowFirstColumn="0" w:firstRowLastColumn="0" w:lastRowFirstColumn="0" w:lastRowLastColumn="0"/>
          <w:trHeight w:val="21"/>
          <w:tblHeader/>
        </w:trPr>
        <w:tc>
          <w:tcPr>
            <w:tcW w:w="1880" w:type="pct"/>
          </w:tcPr>
          <w:p w14:paraId="14B0FBFF" w14:textId="77777777" w:rsidR="002514F8" w:rsidRPr="00730DE4" w:rsidRDefault="002514F8" w:rsidP="000B0ED0">
            <w:pPr>
              <w:pStyle w:val="NoSpacing"/>
              <w:rPr>
                <w:color w:val="FFFFFF" w:themeColor="background1"/>
              </w:rPr>
            </w:pPr>
            <w:r w:rsidRPr="00730DE4">
              <w:rPr>
                <w:color w:val="FFFFFF" w:themeColor="background1"/>
              </w:rPr>
              <w:t>Service standards</w:t>
            </w:r>
          </w:p>
        </w:tc>
        <w:tc>
          <w:tcPr>
            <w:tcW w:w="434" w:type="pct"/>
          </w:tcPr>
          <w:p w14:paraId="64C0221A" w14:textId="77777777" w:rsidR="002514F8" w:rsidRPr="00730DE4" w:rsidRDefault="002514F8" w:rsidP="00BE710F">
            <w:pPr>
              <w:pStyle w:val="NoSpacing"/>
              <w:jc w:val="right"/>
              <w:rPr>
                <w:color w:val="FFFFFF" w:themeColor="background1"/>
              </w:rPr>
            </w:pPr>
            <w:r w:rsidRPr="00730DE4">
              <w:rPr>
                <w:color w:val="FFFFFF" w:themeColor="background1"/>
              </w:rPr>
              <w:t>2019–20 Actual</w:t>
            </w:r>
          </w:p>
        </w:tc>
        <w:tc>
          <w:tcPr>
            <w:tcW w:w="434" w:type="pct"/>
          </w:tcPr>
          <w:p w14:paraId="39E92FB0" w14:textId="77777777" w:rsidR="002514F8" w:rsidRPr="00730DE4" w:rsidRDefault="002514F8" w:rsidP="00BE710F">
            <w:pPr>
              <w:pStyle w:val="NoSpacing"/>
              <w:jc w:val="right"/>
              <w:rPr>
                <w:color w:val="FFFFFF" w:themeColor="background1"/>
              </w:rPr>
            </w:pPr>
            <w:r w:rsidRPr="00730DE4">
              <w:rPr>
                <w:color w:val="FFFFFF" w:themeColor="background1"/>
              </w:rPr>
              <w:t>2020–21 Actual</w:t>
            </w:r>
          </w:p>
        </w:tc>
        <w:tc>
          <w:tcPr>
            <w:tcW w:w="449" w:type="pct"/>
          </w:tcPr>
          <w:p w14:paraId="41D75086" w14:textId="77777777" w:rsidR="002514F8" w:rsidRPr="00730DE4" w:rsidRDefault="002514F8" w:rsidP="00BE710F">
            <w:pPr>
              <w:pStyle w:val="NoSpacing"/>
              <w:jc w:val="right"/>
              <w:rPr>
                <w:color w:val="FFFFFF" w:themeColor="background1"/>
              </w:rPr>
            </w:pPr>
            <w:r w:rsidRPr="00730DE4">
              <w:rPr>
                <w:color w:val="FFFFFF" w:themeColor="background1"/>
              </w:rPr>
              <w:t>2021–22 Actual</w:t>
            </w:r>
          </w:p>
        </w:tc>
        <w:tc>
          <w:tcPr>
            <w:tcW w:w="449" w:type="pct"/>
          </w:tcPr>
          <w:p w14:paraId="7C38F97F" w14:textId="77777777" w:rsidR="002514F8" w:rsidRPr="00730DE4" w:rsidRDefault="002514F8" w:rsidP="00BE710F">
            <w:pPr>
              <w:pStyle w:val="NoSpacing"/>
              <w:jc w:val="right"/>
              <w:rPr>
                <w:color w:val="FFFFFF" w:themeColor="background1"/>
              </w:rPr>
            </w:pPr>
            <w:r w:rsidRPr="00730DE4">
              <w:rPr>
                <w:color w:val="FFFFFF" w:themeColor="background1"/>
              </w:rPr>
              <w:t>2022–23 Actual</w:t>
            </w:r>
          </w:p>
        </w:tc>
        <w:tc>
          <w:tcPr>
            <w:tcW w:w="614" w:type="pct"/>
          </w:tcPr>
          <w:p w14:paraId="30C86EA8" w14:textId="77777777" w:rsidR="002514F8" w:rsidRPr="00730DE4" w:rsidRDefault="002514F8" w:rsidP="00BE710F">
            <w:pPr>
              <w:pStyle w:val="NoSpacing"/>
              <w:jc w:val="right"/>
              <w:rPr>
                <w:color w:val="FFFFFF" w:themeColor="background1"/>
              </w:rPr>
            </w:pPr>
            <w:r w:rsidRPr="00730DE4">
              <w:rPr>
                <w:color w:val="FFFFFF" w:themeColor="background1"/>
              </w:rPr>
              <w:t>2023–24 Target / Estimate</w:t>
            </w:r>
          </w:p>
        </w:tc>
        <w:tc>
          <w:tcPr>
            <w:tcW w:w="434" w:type="pct"/>
          </w:tcPr>
          <w:p w14:paraId="1449DDB4" w14:textId="77777777" w:rsidR="002514F8" w:rsidRPr="00730DE4" w:rsidRDefault="002514F8" w:rsidP="00BE710F">
            <w:pPr>
              <w:pStyle w:val="NoSpacing"/>
              <w:jc w:val="right"/>
              <w:rPr>
                <w:color w:val="FFFFFF" w:themeColor="background1"/>
              </w:rPr>
            </w:pPr>
            <w:r w:rsidRPr="00730DE4">
              <w:rPr>
                <w:color w:val="FFFFFF" w:themeColor="background1"/>
              </w:rPr>
              <w:t>2023–24 Actual</w:t>
            </w:r>
          </w:p>
        </w:tc>
        <w:tc>
          <w:tcPr>
            <w:tcW w:w="305" w:type="pct"/>
          </w:tcPr>
          <w:p w14:paraId="70CAFE7B" w14:textId="77777777" w:rsidR="002514F8" w:rsidRPr="00730DE4" w:rsidRDefault="002514F8" w:rsidP="000831CB">
            <w:pPr>
              <w:pStyle w:val="NoSpacing"/>
              <w:jc w:val="center"/>
              <w:rPr>
                <w:color w:val="FFFFFF" w:themeColor="background1"/>
              </w:rPr>
            </w:pPr>
            <w:r w:rsidRPr="00730DE4">
              <w:rPr>
                <w:color w:val="FFFFFF" w:themeColor="background1"/>
              </w:rPr>
              <w:t>Notes</w:t>
            </w:r>
          </w:p>
        </w:tc>
      </w:tr>
      <w:tr w:rsidR="000A65A9" w:rsidRPr="00730DE4" w14:paraId="2981BE66" w14:textId="77777777" w:rsidTr="007D1DCD">
        <w:trPr>
          <w:cnfStyle w:val="000000100000" w:firstRow="0" w:lastRow="0" w:firstColumn="0" w:lastColumn="0" w:oddVBand="0" w:evenVBand="0" w:oddHBand="1" w:evenHBand="0" w:firstRowFirstColumn="0" w:firstRowLastColumn="0" w:lastRowFirstColumn="0" w:lastRowLastColumn="0"/>
          <w:trHeight w:val="21"/>
        </w:trPr>
        <w:tc>
          <w:tcPr>
            <w:tcW w:w="1880" w:type="pct"/>
          </w:tcPr>
          <w:p w14:paraId="0CF80FAF" w14:textId="77777777" w:rsidR="002514F8" w:rsidRPr="00730DE4" w:rsidRDefault="002514F8" w:rsidP="000B0ED0">
            <w:pPr>
              <w:pStyle w:val="NoSpacing"/>
            </w:pPr>
            <w:r w:rsidRPr="00730DE4">
              <w:t>Percentage of customers satisfied with the services provided by Smart Service Queensland on behalf of government agencies</w:t>
            </w:r>
          </w:p>
        </w:tc>
        <w:tc>
          <w:tcPr>
            <w:tcW w:w="434" w:type="pct"/>
          </w:tcPr>
          <w:p w14:paraId="237E6021" w14:textId="77777777" w:rsidR="002514F8" w:rsidRPr="00730DE4" w:rsidRDefault="002514F8" w:rsidP="00BE710F">
            <w:pPr>
              <w:pStyle w:val="NoSpacing"/>
              <w:jc w:val="right"/>
            </w:pPr>
            <w:r w:rsidRPr="00730DE4">
              <w:t>N/A</w:t>
            </w:r>
          </w:p>
        </w:tc>
        <w:tc>
          <w:tcPr>
            <w:tcW w:w="434" w:type="pct"/>
          </w:tcPr>
          <w:p w14:paraId="423A8444" w14:textId="77777777" w:rsidR="002514F8" w:rsidRPr="00730DE4" w:rsidRDefault="002514F8" w:rsidP="00BE710F">
            <w:pPr>
              <w:pStyle w:val="NoSpacing"/>
              <w:jc w:val="right"/>
            </w:pPr>
            <w:r w:rsidRPr="00730DE4">
              <w:t>94%</w:t>
            </w:r>
          </w:p>
        </w:tc>
        <w:tc>
          <w:tcPr>
            <w:tcW w:w="449" w:type="pct"/>
          </w:tcPr>
          <w:p w14:paraId="59F0F9F8" w14:textId="77777777" w:rsidR="002514F8" w:rsidRPr="00730DE4" w:rsidRDefault="002514F8" w:rsidP="00BE710F">
            <w:pPr>
              <w:pStyle w:val="NoSpacing"/>
              <w:jc w:val="right"/>
            </w:pPr>
            <w:r w:rsidRPr="00730DE4">
              <w:t>91%</w:t>
            </w:r>
          </w:p>
        </w:tc>
        <w:tc>
          <w:tcPr>
            <w:tcW w:w="449" w:type="pct"/>
          </w:tcPr>
          <w:p w14:paraId="0CB2940F" w14:textId="77777777" w:rsidR="002514F8" w:rsidRPr="00730DE4" w:rsidRDefault="002514F8" w:rsidP="00BE710F">
            <w:pPr>
              <w:pStyle w:val="NoSpacing"/>
              <w:jc w:val="right"/>
            </w:pPr>
            <w:r w:rsidRPr="00730DE4">
              <w:t>94%</w:t>
            </w:r>
          </w:p>
        </w:tc>
        <w:tc>
          <w:tcPr>
            <w:tcW w:w="614" w:type="pct"/>
          </w:tcPr>
          <w:p w14:paraId="39E6CBAE" w14:textId="77777777" w:rsidR="002514F8" w:rsidRPr="00730DE4" w:rsidRDefault="002514F8" w:rsidP="00BE710F">
            <w:pPr>
              <w:pStyle w:val="NoSpacing"/>
              <w:jc w:val="right"/>
            </w:pPr>
            <w:r w:rsidRPr="00730DE4">
              <w:t>≥90%</w:t>
            </w:r>
          </w:p>
        </w:tc>
        <w:tc>
          <w:tcPr>
            <w:tcW w:w="434" w:type="pct"/>
          </w:tcPr>
          <w:p w14:paraId="6620AFF2" w14:textId="77777777" w:rsidR="002514F8" w:rsidRPr="00730DE4" w:rsidRDefault="002514F8" w:rsidP="00BE710F">
            <w:pPr>
              <w:pStyle w:val="NoSpacing"/>
              <w:jc w:val="right"/>
            </w:pPr>
            <w:r w:rsidRPr="00730DE4">
              <w:t>94%</w:t>
            </w:r>
          </w:p>
        </w:tc>
        <w:tc>
          <w:tcPr>
            <w:tcW w:w="305" w:type="pct"/>
          </w:tcPr>
          <w:p w14:paraId="0F0AB9AC" w14:textId="77777777" w:rsidR="002514F8" w:rsidRPr="00730DE4" w:rsidRDefault="002514F8" w:rsidP="000831CB">
            <w:pPr>
              <w:pStyle w:val="NoSpacing"/>
              <w:jc w:val="center"/>
            </w:pPr>
          </w:p>
        </w:tc>
      </w:tr>
      <w:tr w:rsidR="002514F8" w:rsidRPr="00730DE4" w14:paraId="4EA46D16" w14:textId="77777777" w:rsidTr="007D1DCD">
        <w:trPr>
          <w:trHeight w:val="21"/>
        </w:trPr>
        <w:tc>
          <w:tcPr>
            <w:tcW w:w="1880" w:type="pct"/>
          </w:tcPr>
          <w:p w14:paraId="71720A65" w14:textId="77777777" w:rsidR="002514F8" w:rsidRPr="00730DE4" w:rsidRDefault="002514F8" w:rsidP="000B0ED0">
            <w:pPr>
              <w:pStyle w:val="NoSpacing"/>
            </w:pPr>
            <w:r w:rsidRPr="00730DE4">
              <w:t>Percentage of datasets available on data.qld.gov.au achieving a data usability rating of 3 out of 5 or higher</w:t>
            </w:r>
          </w:p>
        </w:tc>
        <w:tc>
          <w:tcPr>
            <w:tcW w:w="434" w:type="pct"/>
          </w:tcPr>
          <w:p w14:paraId="3F05BF80" w14:textId="77777777" w:rsidR="002514F8" w:rsidRPr="00730DE4" w:rsidRDefault="002514F8" w:rsidP="00BE710F">
            <w:pPr>
              <w:pStyle w:val="NoSpacing"/>
              <w:jc w:val="right"/>
            </w:pPr>
            <w:r w:rsidRPr="00730DE4">
              <w:t>N/A</w:t>
            </w:r>
          </w:p>
        </w:tc>
        <w:tc>
          <w:tcPr>
            <w:tcW w:w="434" w:type="pct"/>
          </w:tcPr>
          <w:p w14:paraId="5A906040" w14:textId="77777777" w:rsidR="002514F8" w:rsidRPr="00730DE4" w:rsidRDefault="002514F8" w:rsidP="00BE710F">
            <w:pPr>
              <w:pStyle w:val="NoSpacing"/>
              <w:jc w:val="right"/>
            </w:pPr>
            <w:r w:rsidRPr="00730DE4">
              <w:t>N/A</w:t>
            </w:r>
          </w:p>
        </w:tc>
        <w:tc>
          <w:tcPr>
            <w:tcW w:w="449" w:type="pct"/>
          </w:tcPr>
          <w:p w14:paraId="6FC94D6A" w14:textId="77777777" w:rsidR="002514F8" w:rsidRPr="00730DE4" w:rsidRDefault="002514F8" w:rsidP="00BE710F">
            <w:pPr>
              <w:pStyle w:val="NoSpacing"/>
              <w:jc w:val="right"/>
            </w:pPr>
            <w:r w:rsidRPr="00730DE4">
              <w:t>75.34%</w:t>
            </w:r>
          </w:p>
        </w:tc>
        <w:tc>
          <w:tcPr>
            <w:tcW w:w="449" w:type="pct"/>
          </w:tcPr>
          <w:p w14:paraId="18ABD75E" w14:textId="77777777" w:rsidR="002514F8" w:rsidRPr="00730DE4" w:rsidRDefault="002514F8" w:rsidP="00BE710F">
            <w:pPr>
              <w:pStyle w:val="NoSpacing"/>
              <w:jc w:val="right"/>
            </w:pPr>
            <w:r w:rsidRPr="00730DE4">
              <w:t>76.03%</w:t>
            </w:r>
          </w:p>
        </w:tc>
        <w:tc>
          <w:tcPr>
            <w:tcW w:w="614" w:type="pct"/>
          </w:tcPr>
          <w:p w14:paraId="1371EE5E" w14:textId="77777777" w:rsidR="002514F8" w:rsidRPr="00730DE4" w:rsidRDefault="002514F8" w:rsidP="00BE710F">
            <w:pPr>
              <w:pStyle w:val="NoSpacing"/>
              <w:jc w:val="right"/>
            </w:pPr>
            <w:r w:rsidRPr="00730DE4">
              <w:t>≥75%</w:t>
            </w:r>
          </w:p>
        </w:tc>
        <w:tc>
          <w:tcPr>
            <w:tcW w:w="434" w:type="pct"/>
          </w:tcPr>
          <w:p w14:paraId="14D24EFD" w14:textId="77777777" w:rsidR="002514F8" w:rsidRPr="00730DE4" w:rsidRDefault="002514F8" w:rsidP="00BE710F">
            <w:pPr>
              <w:pStyle w:val="NoSpacing"/>
              <w:jc w:val="right"/>
            </w:pPr>
            <w:r w:rsidRPr="00730DE4">
              <w:t>76%</w:t>
            </w:r>
          </w:p>
        </w:tc>
        <w:tc>
          <w:tcPr>
            <w:tcW w:w="305" w:type="pct"/>
          </w:tcPr>
          <w:p w14:paraId="632CF449" w14:textId="77777777" w:rsidR="002514F8" w:rsidRPr="00730DE4" w:rsidRDefault="002514F8" w:rsidP="000831CB">
            <w:pPr>
              <w:pStyle w:val="NoSpacing"/>
              <w:jc w:val="center"/>
            </w:pPr>
          </w:p>
        </w:tc>
      </w:tr>
      <w:tr w:rsidR="000A65A9" w:rsidRPr="00730DE4" w14:paraId="534D2376" w14:textId="77777777" w:rsidTr="007D1DCD">
        <w:trPr>
          <w:cnfStyle w:val="000000100000" w:firstRow="0" w:lastRow="0" w:firstColumn="0" w:lastColumn="0" w:oddVBand="0" w:evenVBand="0" w:oddHBand="1" w:evenHBand="0" w:firstRowFirstColumn="0" w:firstRowLastColumn="0" w:lastRowFirstColumn="0" w:lastRowLastColumn="0"/>
          <w:trHeight w:val="21"/>
        </w:trPr>
        <w:tc>
          <w:tcPr>
            <w:tcW w:w="1880" w:type="pct"/>
          </w:tcPr>
          <w:p w14:paraId="14F9B34C" w14:textId="77777777" w:rsidR="002514F8" w:rsidRPr="00730DE4" w:rsidRDefault="002514F8" w:rsidP="000B0ED0">
            <w:pPr>
              <w:pStyle w:val="NoSpacing"/>
            </w:pPr>
            <w:r w:rsidRPr="00730DE4">
              <w:t>Percentage of whole-of-government ICT spend awarded to small and medium enterprises (transactions over $5000)</w:t>
            </w:r>
          </w:p>
        </w:tc>
        <w:tc>
          <w:tcPr>
            <w:tcW w:w="434" w:type="pct"/>
          </w:tcPr>
          <w:p w14:paraId="4A6016F7" w14:textId="77777777" w:rsidR="002514F8" w:rsidRPr="00730DE4" w:rsidRDefault="002514F8" w:rsidP="00BE710F">
            <w:pPr>
              <w:pStyle w:val="NoSpacing"/>
              <w:jc w:val="right"/>
            </w:pPr>
            <w:r w:rsidRPr="00730DE4">
              <w:t>N/A</w:t>
            </w:r>
          </w:p>
        </w:tc>
        <w:tc>
          <w:tcPr>
            <w:tcW w:w="434" w:type="pct"/>
          </w:tcPr>
          <w:p w14:paraId="635DEFF3" w14:textId="77777777" w:rsidR="002514F8" w:rsidRPr="00730DE4" w:rsidRDefault="002514F8" w:rsidP="00BE710F">
            <w:pPr>
              <w:pStyle w:val="NoSpacing"/>
              <w:jc w:val="right"/>
            </w:pPr>
            <w:r w:rsidRPr="00730DE4">
              <w:t>N/A</w:t>
            </w:r>
          </w:p>
        </w:tc>
        <w:tc>
          <w:tcPr>
            <w:tcW w:w="449" w:type="pct"/>
          </w:tcPr>
          <w:p w14:paraId="25CB1E89" w14:textId="77777777" w:rsidR="002514F8" w:rsidRPr="00730DE4" w:rsidRDefault="002514F8" w:rsidP="00BE710F">
            <w:pPr>
              <w:pStyle w:val="NoSpacing"/>
              <w:jc w:val="right"/>
            </w:pPr>
            <w:r w:rsidRPr="00730DE4">
              <w:t>22.9%</w:t>
            </w:r>
          </w:p>
        </w:tc>
        <w:tc>
          <w:tcPr>
            <w:tcW w:w="449" w:type="pct"/>
          </w:tcPr>
          <w:p w14:paraId="7C5F3EC3" w14:textId="77777777" w:rsidR="002514F8" w:rsidRPr="00730DE4" w:rsidRDefault="002514F8" w:rsidP="00BE710F">
            <w:pPr>
              <w:pStyle w:val="NoSpacing"/>
              <w:jc w:val="right"/>
            </w:pPr>
            <w:r w:rsidRPr="00730DE4">
              <w:t>23.1%</w:t>
            </w:r>
          </w:p>
        </w:tc>
        <w:tc>
          <w:tcPr>
            <w:tcW w:w="614" w:type="pct"/>
          </w:tcPr>
          <w:p w14:paraId="6CF7CC9A" w14:textId="77777777" w:rsidR="002514F8" w:rsidRPr="00730DE4" w:rsidRDefault="002514F8" w:rsidP="00BE710F">
            <w:pPr>
              <w:pStyle w:val="NoSpacing"/>
              <w:jc w:val="right"/>
            </w:pPr>
            <w:r w:rsidRPr="00730DE4">
              <w:t>25%</w:t>
            </w:r>
          </w:p>
        </w:tc>
        <w:tc>
          <w:tcPr>
            <w:tcW w:w="434" w:type="pct"/>
          </w:tcPr>
          <w:p w14:paraId="79712342" w14:textId="77777777" w:rsidR="002514F8" w:rsidRPr="00730DE4" w:rsidRDefault="002514F8" w:rsidP="00BE710F">
            <w:pPr>
              <w:pStyle w:val="NoSpacing"/>
              <w:jc w:val="right"/>
            </w:pPr>
            <w:r w:rsidRPr="00730DE4">
              <w:t>28%</w:t>
            </w:r>
          </w:p>
        </w:tc>
        <w:tc>
          <w:tcPr>
            <w:tcW w:w="305" w:type="pct"/>
          </w:tcPr>
          <w:p w14:paraId="046289CD" w14:textId="77777777" w:rsidR="002514F8" w:rsidRPr="00730DE4" w:rsidRDefault="002514F8" w:rsidP="000831CB">
            <w:pPr>
              <w:pStyle w:val="NoSpacing"/>
              <w:jc w:val="center"/>
            </w:pPr>
            <w:r w:rsidRPr="00730DE4">
              <w:t>1</w:t>
            </w:r>
          </w:p>
        </w:tc>
      </w:tr>
    </w:tbl>
    <w:p w14:paraId="755DEE58" w14:textId="77777777" w:rsidR="002514F8" w:rsidRPr="00730DE4" w:rsidRDefault="002514F8" w:rsidP="00583174">
      <w:pPr>
        <w:pStyle w:val="FigureCaption"/>
        <w:rPr>
          <w:lang w:val="en-US"/>
        </w:rPr>
      </w:pPr>
      <w:r w:rsidRPr="00730DE4">
        <w:rPr>
          <w:lang w:val="en-US"/>
        </w:rPr>
        <w:t>Table 23: Customer and Digital Services efficiency measures</w:t>
      </w:r>
    </w:p>
    <w:tbl>
      <w:tblPr>
        <w:tblStyle w:val="TMRDefault"/>
        <w:tblW w:w="5000" w:type="pct"/>
        <w:tblLook w:val="04A0" w:firstRow="1" w:lastRow="0" w:firstColumn="1" w:lastColumn="0" w:noHBand="0" w:noVBand="1"/>
      </w:tblPr>
      <w:tblGrid>
        <w:gridCol w:w="4866"/>
        <w:gridCol w:w="1281"/>
        <w:gridCol w:w="1281"/>
        <w:gridCol w:w="1281"/>
        <w:gridCol w:w="1281"/>
        <w:gridCol w:w="1847"/>
        <w:gridCol w:w="1281"/>
        <w:gridCol w:w="874"/>
      </w:tblGrid>
      <w:tr w:rsidR="000A65A9" w:rsidRPr="00730DE4" w14:paraId="0061925E" w14:textId="77777777" w:rsidTr="007D1DCD">
        <w:trPr>
          <w:cnfStyle w:val="100000000000" w:firstRow="1" w:lastRow="0" w:firstColumn="0" w:lastColumn="0" w:oddVBand="0" w:evenVBand="0" w:oddHBand="0" w:evenHBand="0" w:firstRowFirstColumn="0" w:firstRowLastColumn="0" w:lastRowFirstColumn="0" w:lastRowLastColumn="0"/>
          <w:trHeight w:val="21"/>
          <w:tblHeader/>
        </w:trPr>
        <w:tc>
          <w:tcPr>
            <w:tcW w:w="1740" w:type="pct"/>
          </w:tcPr>
          <w:p w14:paraId="2F8DA3D9" w14:textId="77777777" w:rsidR="002514F8" w:rsidRPr="00730DE4" w:rsidRDefault="002514F8" w:rsidP="000B0ED0">
            <w:pPr>
              <w:pStyle w:val="NoSpacing"/>
              <w:rPr>
                <w:color w:val="FFFFFF" w:themeColor="background1"/>
              </w:rPr>
            </w:pPr>
            <w:r w:rsidRPr="00730DE4">
              <w:rPr>
                <w:color w:val="FFFFFF" w:themeColor="background1"/>
              </w:rPr>
              <w:t>Service standards</w:t>
            </w:r>
          </w:p>
        </w:tc>
        <w:tc>
          <w:tcPr>
            <w:tcW w:w="459" w:type="pct"/>
          </w:tcPr>
          <w:p w14:paraId="67D39BAA" w14:textId="77777777" w:rsidR="002514F8" w:rsidRPr="00730DE4" w:rsidRDefault="002514F8" w:rsidP="00BE710F">
            <w:pPr>
              <w:pStyle w:val="NoSpacing"/>
              <w:jc w:val="right"/>
              <w:rPr>
                <w:color w:val="FFFFFF" w:themeColor="background1"/>
              </w:rPr>
            </w:pPr>
            <w:r w:rsidRPr="00730DE4">
              <w:rPr>
                <w:color w:val="FFFFFF" w:themeColor="background1"/>
              </w:rPr>
              <w:t>2019–20 Actual</w:t>
            </w:r>
          </w:p>
        </w:tc>
        <w:tc>
          <w:tcPr>
            <w:tcW w:w="459" w:type="pct"/>
          </w:tcPr>
          <w:p w14:paraId="3C07AED0" w14:textId="77777777" w:rsidR="002514F8" w:rsidRPr="00730DE4" w:rsidRDefault="002514F8" w:rsidP="00BE710F">
            <w:pPr>
              <w:pStyle w:val="NoSpacing"/>
              <w:jc w:val="right"/>
              <w:rPr>
                <w:color w:val="FFFFFF" w:themeColor="background1"/>
              </w:rPr>
            </w:pPr>
            <w:r w:rsidRPr="00730DE4">
              <w:rPr>
                <w:color w:val="FFFFFF" w:themeColor="background1"/>
              </w:rPr>
              <w:t>2020–21 Actual</w:t>
            </w:r>
          </w:p>
        </w:tc>
        <w:tc>
          <w:tcPr>
            <w:tcW w:w="459" w:type="pct"/>
          </w:tcPr>
          <w:p w14:paraId="0DCA242D" w14:textId="77777777" w:rsidR="002514F8" w:rsidRPr="00730DE4" w:rsidRDefault="002514F8" w:rsidP="00BE710F">
            <w:pPr>
              <w:pStyle w:val="NoSpacing"/>
              <w:jc w:val="right"/>
              <w:rPr>
                <w:color w:val="FFFFFF" w:themeColor="background1"/>
              </w:rPr>
            </w:pPr>
            <w:r w:rsidRPr="00730DE4">
              <w:rPr>
                <w:color w:val="FFFFFF" w:themeColor="background1"/>
              </w:rPr>
              <w:t>2021–22 Actual</w:t>
            </w:r>
          </w:p>
        </w:tc>
        <w:tc>
          <w:tcPr>
            <w:tcW w:w="459" w:type="pct"/>
          </w:tcPr>
          <w:p w14:paraId="1EDA982F" w14:textId="77777777" w:rsidR="002514F8" w:rsidRPr="00730DE4" w:rsidRDefault="002514F8" w:rsidP="00BE710F">
            <w:pPr>
              <w:pStyle w:val="NoSpacing"/>
              <w:jc w:val="right"/>
              <w:rPr>
                <w:color w:val="FFFFFF" w:themeColor="background1"/>
              </w:rPr>
            </w:pPr>
            <w:r w:rsidRPr="00730DE4">
              <w:rPr>
                <w:color w:val="FFFFFF" w:themeColor="background1"/>
              </w:rPr>
              <w:t>2022–23 Actual</w:t>
            </w:r>
          </w:p>
        </w:tc>
        <w:tc>
          <w:tcPr>
            <w:tcW w:w="661" w:type="pct"/>
          </w:tcPr>
          <w:p w14:paraId="430D01A4" w14:textId="77777777" w:rsidR="002514F8" w:rsidRPr="00730DE4" w:rsidRDefault="002514F8" w:rsidP="00BE710F">
            <w:pPr>
              <w:pStyle w:val="NoSpacing"/>
              <w:jc w:val="right"/>
              <w:rPr>
                <w:color w:val="FFFFFF" w:themeColor="background1"/>
              </w:rPr>
            </w:pPr>
            <w:r w:rsidRPr="00730DE4">
              <w:rPr>
                <w:color w:val="FFFFFF" w:themeColor="background1"/>
              </w:rPr>
              <w:t>2023–24 Target / Estimate</w:t>
            </w:r>
          </w:p>
        </w:tc>
        <w:tc>
          <w:tcPr>
            <w:tcW w:w="459" w:type="pct"/>
          </w:tcPr>
          <w:p w14:paraId="6504BDC1" w14:textId="77777777" w:rsidR="002514F8" w:rsidRPr="00730DE4" w:rsidRDefault="002514F8" w:rsidP="00BE710F">
            <w:pPr>
              <w:pStyle w:val="NoSpacing"/>
              <w:jc w:val="right"/>
              <w:rPr>
                <w:color w:val="FFFFFF" w:themeColor="background1"/>
              </w:rPr>
            </w:pPr>
            <w:r w:rsidRPr="00730DE4">
              <w:rPr>
                <w:color w:val="FFFFFF" w:themeColor="background1"/>
              </w:rPr>
              <w:t>2023–24 Actual</w:t>
            </w:r>
          </w:p>
        </w:tc>
        <w:tc>
          <w:tcPr>
            <w:tcW w:w="305" w:type="pct"/>
          </w:tcPr>
          <w:p w14:paraId="01F07267" w14:textId="77777777" w:rsidR="002514F8" w:rsidRPr="00730DE4" w:rsidRDefault="002514F8" w:rsidP="000831CB">
            <w:pPr>
              <w:pStyle w:val="NoSpacing"/>
              <w:jc w:val="center"/>
              <w:rPr>
                <w:color w:val="FFFFFF" w:themeColor="background1"/>
              </w:rPr>
            </w:pPr>
            <w:r w:rsidRPr="00730DE4">
              <w:rPr>
                <w:color w:val="FFFFFF" w:themeColor="background1"/>
              </w:rPr>
              <w:t>Notes</w:t>
            </w:r>
          </w:p>
        </w:tc>
      </w:tr>
      <w:tr w:rsidR="000A65A9" w:rsidRPr="00730DE4" w14:paraId="3F619624" w14:textId="77777777" w:rsidTr="007D1DCD">
        <w:trPr>
          <w:cnfStyle w:val="000000100000" w:firstRow="0" w:lastRow="0" w:firstColumn="0" w:lastColumn="0" w:oddVBand="0" w:evenVBand="0" w:oddHBand="1" w:evenHBand="0" w:firstRowFirstColumn="0" w:firstRowLastColumn="0" w:lastRowFirstColumn="0" w:lastRowLastColumn="0"/>
          <w:trHeight w:val="21"/>
        </w:trPr>
        <w:tc>
          <w:tcPr>
            <w:tcW w:w="1740" w:type="pct"/>
          </w:tcPr>
          <w:p w14:paraId="3A38D56D" w14:textId="77777777" w:rsidR="002514F8" w:rsidRPr="00730DE4" w:rsidRDefault="002514F8" w:rsidP="000B0ED0">
            <w:pPr>
              <w:pStyle w:val="NoSpacing"/>
            </w:pPr>
            <w:r w:rsidRPr="00730DE4">
              <w:t>Cost per customer interaction (phone, counter, SMS, online) provided by Smart Service Queensland</w:t>
            </w:r>
          </w:p>
        </w:tc>
        <w:tc>
          <w:tcPr>
            <w:tcW w:w="459" w:type="pct"/>
          </w:tcPr>
          <w:p w14:paraId="316086B1" w14:textId="77777777" w:rsidR="002514F8" w:rsidRPr="00730DE4" w:rsidRDefault="002514F8" w:rsidP="00BE710F">
            <w:pPr>
              <w:pStyle w:val="NoSpacing"/>
              <w:jc w:val="right"/>
            </w:pPr>
            <w:r w:rsidRPr="00730DE4">
              <w:t>$0.65</w:t>
            </w:r>
          </w:p>
        </w:tc>
        <w:tc>
          <w:tcPr>
            <w:tcW w:w="459" w:type="pct"/>
          </w:tcPr>
          <w:p w14:paraId="5F1C048C" w14:textId="77777777" w:rsidR="002514F8" w:rsidRPr="00730DE4" w:rsidRDefault="002514F8" w:rsidP="00BE710F">
            <w:pPr>
              <w:pStyle w:val="NoSpacing"/>
              <w:jc w:val="right"/>
            </w:pPr>
            <w:r w:rsidRPr="00730DE4">
              <w:t>$0.49</w:t>
            </w:r>
          </w:p>
        </w:tc>
        <w:tc>
          <w:tcPr>
            <w:tcW w:w="459" w:type="pct"/>
          </w:tcPr>
          <w:p w14:paraId="50E75D4E" w14:textId="77777777" w:rsidR="002514F8" w:rsidRPr="00730DE4" w:rsidRDefault="002514F8" w:rsidP="00BE710F">
            <w:pPr>
              <w:pStyle w:val="NoSpacing"/>
              <w:jc w:val="right"/>
            </w:pPr>
            <w:r w:rsidRPr="00730DE4">
              <w:t>$0.44</w:t>
            </w:r>
          </w:p>
        </w:tc>
        <w:tc>
          <w:tcPr>
            <w:tcW w:w="459" w:type="pct"/>
          </w:tcPr>
          <w:p w14:paraId="56F34922" w14:textId="77777777" w:rsidR="002514F8" w:rsidRPr="00730DE4" w:rsidRDefault="002514F8" w:rsidP="00BE710F">
            <w:pPr>
              <w:pStyle w:val="NoSpacing"/>
              <w:jc w:val="right"/>
            </w:pPr>
            <w:r w:rsidRPr="00730DE4">
              <w:t>$0.66</w:t>
            </w:r>
          </w:p>
        </w:tc>
        <w:tc>
          <w:tcPr>
            <w:tcW w:w="661" w:type="pct"/>
          </w:tcPr>
          <w:p w14:paraId="4E498859" w14:textId="77777777" w:rsidR="002514F8" w:rsidRPr="00730DE4" w:rsidRDefault="002514F8" w:rsidP="00BE710F">
            <w:pPr>
              <w:pStyle w:val="NoSpacing"/>
              <w:jc w:val="right"/>
            </w:pPr>
            <w:r w:rsidRPr="00730DE4">
              <w:t>$1.00</w:t>
            </w:r>
          </w:p>
        </w:tc>
        <w:tc>
          <w:tcPr>
            <w:tcW w:w="459" w:type="pct"/>
          </w:tcPr>
          <w:p w14:paraId="7600A6DB" w14:textId="77777777" w:rsidR="002514F8" w:rsidRPr="00730DE4" w:rsidRDefault="002514F8" w:rsidP="00BE710F">
            <w:pPr>
              <w:pStyle w:val="NoSpacing"/>
              <w:jc w:val="right"/>
            </w:pPr>
            <w:r w:rsidRPr="00730DE4">
              <w:t>$0.67</w:t>
            </w:r>
          </w:p>
        </w:tc>
        <w:tc>
          <w:tcPr>
            <w:tcW w:w="305" w:type="pct"/>
          </w:tcPr>
          <w:p w14:paraId="120E0850" w14:textId="77777777" w:rsidR="002514F8" w:rsidRPr="00730DE4" w:rsidRDefault="002514F8" w:rsidP="000831CB">
            <w:pPr>
              <w:pStyle w:val="NoSpacing"/>
              <w:jc w:val="center"/>
            </w:pPr>
            <w:r w:rsidRPr="00730DE4">
              <w:t>2,3</w:t>
            </w:r>
          </w:p>
        </w:tc>
      </w:tr>
      <w:tr w:rsidR="002514F8" w:rsidRPr="00730DE4" w14:paraId="474C30D8" w14:textId="77777777" w:rsidTr="007D1DCD">
        <w:trPr>
          <w:trHeight w:val="21"/>
        </w:trPr>
        <w:tc>
          <w:tcPr>
            <w:tcW w:w="1740" w:type="pct"/>
          </w:tcPr>
          <w:p w14:paraId="1DC9BBF2" w14:textId="77777777" w:rsidR="002514F8" w:rsidRPr="00730DE4" w:rsidRDefault="002514F8" w:rsidP="000B0ED0">
            <w:pPr>
              <w:pStyle w:val="NoSpacing"/>
            </w:pPr>
            <w:r w:rsidRPr="00730DE4">
              <w:t>Operating cost per $1000 of managed spend on ICT products and services</w:t>
            </w:r>
          </w:p>
        </w:tc>
        <w:tc>
          <w:tcPr>
            <w:tcW w:w="459" w:type="pct"/>
          </w:tcPr>
          <w:p w14:paraId="5F3BF6B9" w14:textId="77777777" w:rsidR="002514F8" w:rsidRPr="00730DE4" w:rsidRDefault="002514F8" w:rsidP="00BE710F">
            <w:pPr>
              <w:pStyle w:val="NoSpacing"/>
              <w:jc w:val="right"/>
            </w:pPr>
            <w:r w:rsidRPr="00730DE4">
              <w:t>N/A</w:t>
            </w:r>
          </w:p>
        </w:tc>
        <w:tc>
          <w:tcPr>
            <w:tcW w:w="459" w:type="pct"/>
          </w:tcPr>
          <w:p w14:paraId="1A74FFCF" w14:textId="77777777" w:rsidR="002514F8" w:rsidRPr="00730DE4" w:rsidRDefault="002514F8" w:rsidP="00BE710F">
            <w:pPr>
              <w:pStyle w:val="NoSpacing"/>
              <w:jc w:val="right"/>
            </w:pPr>
            <w:r w:rsidRPr="00730DE4">
              <w:t>$5.31</w:t>
            </w:r>
          </w:p>
        </w:tc>
        <w:tc>
          <w:tcPr>
            <w:tcW w:w="459" w:type="pct"/>
          </w:tcPr>
          <w:p w14:paraId="1586718F" w14:textId="77777777" w:rsidR="002514F8" w:rsidRPr="00730DE4" w:rsidRDefault="002514F8" w:rsidP="00BE710F">
            <w:pPr>
              <w:pStyle w:val="NoSpacing"/>
              <w:jc w:val="right"/>
            </w:pPr>
            <w:r w:rsidRPr="00730DE4">
              <w:t>$9.90</w:t>
            </w:r>
          </w:p>
        </w:tc>
        <w:tc>
          <w:tcPr>
            <w:tcW w:w="459" w:type="pct"/>
          </w:tcPr>
          <w:p w14:paraId="61BF27C1" w14:textId="77777777" w:rsidR="002514F8" w:rsidRPr="00730DE4" w:rsidRDefault="002514F8" w:rsidP="00BE710F">
            <w:pPr>
              <w:pStyle w:val="NoSpacing"/>
              <w:jc w:val="right"/>
            </w:pPr>
            <w:r w:rsidRPr="00730DE4">
              <w:t>$3.50</w:t>
            </w:r>
          </w:p>
        </w:tc>
        <w:tc>
          <w:tcPr>
            <w:tcW w:w="661" w:type="pct"/>
          </w:tcPr>
          <w:p w14:paraId="7D6508C7" w14:textId="77777777" w:rsidR="002514F8" w:rsidRPr="00730DE4" w:rsidRDefault="002514F8" w:rsidP="00BE710F">
            <w:pPr>
              <w:pStyle w:val="NoSpacing"/>
              <w:jc w:val="right"/>
            </w:pPr>
            <w:r w:rsidRPr="00730DE4">
              <w:t>≤$10</w:t>
            </w:r>
          </w:p>
        </w:tc>
        <w:tc>
          <w:tcPr>
            <w:tcW w:w="459" w:type="pct"/>
          </w:tcPr>
          <w:p w14:paraId="280EA930" w14:textId="77777777" w:rsidR="002514F8" w:rsidRPr="00730DE4" w:rsidRDefault="002514F8" w:rsidP="00BE710F">
            <w:pPr>
              <w:pStyle w:val="NoSpacing"/>
              <w:jc w:val="right"/>
            </w:pPr>
            <w:r w:rsidRPr="00730DE4">
              <w:t>$5.48</w:t>
            </w:r>
          </w:p>
        </w:tc>
        <w:tc>
          <w:tcPr>
            <w:tcW w:w="305" w:type="pct"/>
          </w:tcPr>
          <w:p w14:paraId="557D69AF" w14:textId="77777777" w:rsidR="002514F8" w:rsidRPr="00730DE4" w:rsidRDefault="002514F8" w:rsidP="000831CB">
            <w:pPr>
              <w:pStyle w:val="NoSpacing"/>
              <w:jc w:val="center"/>
            </w:pPr>
          </w:p>
        </w:tc>
      </w:tr>
    </w:tbl>
    <w:p w14:paraId="746EA471" w14:textId="77777777" w:rsidR="00EA1647" w:rsidRDefault="00EA1647" w:rsidP="00583174">
      <w:pPr>
        <w:pStyle w:val="Caption"/>
        <w:rPr>
          <w:lang w:val="en-US"/>
        </w:rPr>
      </w:pPr>
      <w:r>
        <w:rPr>
          <w:lang w:val="en-US"/>
        </w:rPr>
        <w:br w:type="page"/>
      </w:r>
    </w:p>
    <w:p w14:paraId="3DA15325" w14:textId="31967761" w:rsidR="002514F8" w:rsidRPr="00730DE4" w:rsidRDefault="002514F8" w:rsidP="00583174">
      <w:pPr>
        <w:pStyle w:val="Caption"/>
        <w:rPr>
          <w:lang w:val="en-US"/>
        </w:rPr>
      </w:pPr>
      <w:r w:rsidRPr="00730DE4">
        <w:rPr>
          <w:lang w:val="en-US"/>
        </w:rPr>
        <w:t>Notes:</w:t>
      </w:r>
    </w:p>
    <w:p w14:paraId="70FF8130" w14:textId="77777777" w:rsidR="002514F8" w:rsidRPr="00730DE4" w:rsidRDefault="002514F8" w:rsidP="00583174">
      <w:pPr>
        <w:pStyle w:val="Caption"/>
        <w:rPr>
          <w:lang w:val="en-US"/>
        </w:rPr>
      </w:pPr>
      <w:r w:rsidRPr="00730DE4">
        <w:rPr>
          <w:lang w:val="en-US"/>
        </w:rPr>
        <w:t xml:space="preserve">1. The wording of this service standard has been amended to ‘Percentage of whole-of-government ICT spend awarded to small to medium sized enterprises (transactions over $5000)’ for the 2024–25 Service Delivery Statements to improve clarity. </w:t>
      </w:r>
    </w:p>
    <w:p w14:paraId="150C0AF9" w14:textId="77777777" w:rsidR="002514F8" w:rsidRPr="00730DE4" w:rsidRDefault="002514F8" w:rsidP="00583174">
      <w:pPr>
        <w:pStyle w:val="Caption"/>
        <w:rPr>
          <w:lang w:val="en-US"/>
        </w:rPr>
      </w:pPr>
      <w:r w:rsidRPr="00730DE4">
        <w:rPr>
          <w:lang w:val="en-US"/>
        </w:rPr>
        <w:t>2. The wording of this service standard has been amended to ‘Cost per customer interaction through all service delivery channels provided by Smart Service Queensland’ for the 2024–25 Service Delivery Statements to reflect a more accurate representation, encompassing Smart Service Queensland’s range of service delivery channels.</w:t>
      </w:r>
    </w:p>
    <w:p w14:paraId="0A0DA1BE" w14:textId="77777777" w:rsidR="002514F8" w:rsidRPr="00730DE4" w:rsidRDefault="002514F8" w:rsidP="00583174">
      <w:pPr>
        <w:pStyle w:val="Caption"/>
        <w:rPr>
          <w:lang w:val="en-US"/>
        </w:rPr>
      </w:pPr>
      <w:r w:rsidRPr="00730DE4">
        <w:rPr>
          <w:lang w:val="en-US"/>
        </w:rPr>
        <w:t>3. The variance between the 2023–24 Target/Estimate and 2023–24 Actual is due to continued growth in online interactions and realising efficiencies through existing platforms.</w:t>
      </w:r>
    </w:p>
    <w:p w14:paraId="48029ABD" w14:textId="77777777" w:rsidR="002514F8" w:rsidRPr="00730DE4" w:rsidRDefault="002514F8" w:rsidP="002B7001">
      <w:pPr>
        <w:pStyle w:val="Heading3"/>
        <w:rPr>
          <w:lang w:val="en-US"/>
        </w:rPr>
      </w:pPr>
      <w:bookmarkStart w:id="284" w:name="_Toc180487324"/>
      <w:bookmarkStart w:id="285" w:name="_Toc180490530"/>
      <w:bookmarkStart w:id="286" w:name="_Toc180491563"/>
      <w:r w:rsidRPr="00730DE4">
        <w:rPr>
          <w:lang w:val="en-US"/>
        </w:rPr>
        <w:t>Service area: Queensland Shared Services</w:t>
      </w:r>
      <w:bookmarkEnd w:id="284"/>
      <w:bookmarkEnd w:id="285"/>
      <w:bookmarkEnd w:id="286"/>
    </w:p>
    <w:p w14:paraId="26F71EA7" w14:textId="77777777" w:rsidR="002514F8" w:rsidRPr="00730DE4" w:rsidRDefault="002514F8" w:rsidP="00583174">
      <w:r w:rsidRPr="00730DE4">
        <w:rPr>
          <w:rStyle w:val="Strong"/>
        </w:rPr>
        <w:t xml:space="preserve">Service area objective: </w:t>
      </w:r>
      <w:r w:rsidRPr="00730DE4">
        <w:t>To provide effective corporate services that support Queensland Government entities.</w:t>
      </w:r>
    </w:p>
    <w:p w14:paraId="715FA5E9" w14:textId="77777777" w:rsidR="002514F8" w:rsidRPr="00730DE4" w:rsidRDefault="002514F8" w:rsidP="002B7001">
      <w:pPr>
        <w:pStyle w:val="Heading4"/>
        <w:rPr>
          <w:lang w:val="en-US"/>
        </w:rPr>
      </w:pPr>
      <w:bookmarkStart w:id="287" w:name="_Toc180487325"/>
      <w:bookmarkStart w:id="288" w:name="_Toc180490531"/>
      <w:bookmarkStart w:id="289" w:name="_Toc180491564"/>
      <w:r w:rsidRPr="00730DE4">
        <w:rPr>
          <w:lang w:val="en-US"/>
        </w:rPr>
        <w:t>Service: Transaction and advisory human resource services</w:t>
      </w:r>
      <w:bookmarkEnd w:id="287"/>
      <w:bookmarkEnd w:id="288"/>
      <w:bookmarkEnd w:id="289"/>
    </w:p>
    <w:p w14:paraId="7D6CD327" w14:textId="77777777" w:rsidR="002514F8" w:rsidRPr="00730DE4" w:rsidRDefault="002514F8" w:rsidP="00583174">
      <w:pPr>
        <w:pStyle w:val="FigureCaption"/>
        <w:rPr>
          <w:lang w:val="en-US"/>
        </w:rPr>
      </w:pPr>
      <w:r w:rsidRPr="00730DE4">
        <w:rPr>
          <w:lang w:val="en-US"/>
        </w:rPr>
        <w:t>Table 24: Transactional and advisory human resources services effectiveness measure</w:t>
      </w:r>
    </w:p>
    <w:tbl>
      <w:tblPr>
        <w:tblStyle w:val="TMRDefault"/>
        <w:tblW w:w="5000" w:type="pct"/>
        <w:tblLook w:val="04A0" w:firstRow="1" w:lastRow="0" w:firstColumn="1" w:lastColumn="0" w:noHBand="0" w:noVBand="1"/>
      </w:tblPr>
      <w:tblGrid>
        <w:gridCol w:w="3976"/>
        <w:gridCol w:w="1427"/>
        <w:gridCol w:w="1402"/>
        <w:gridCol w:w="1427"/>
        <w:gridCol w:w="1402"/>
        <w:gridCol w:w="2082"/>
        <w:gridCol w:w="1402"/>
        <w:gridCol w:w="874"/>
      </w:tblGrid>
      <w:tr w:rsidR="000A65A9" w:rsidRPr="00730DE4" w14:paraId="27F2F374" w14:textId="77777777" w:rsidTr="007D1DCD">
        <w:trPr>
          <w:cnfStyle w:val="100000000000" w:firstRow="1" w:lastRow="0" w:firstColumn="0" w:lastColumn="0" w:oddVBand="0" w:evenVBand="0" w:oddHBand="0" w:evenHBand="0" w:firstRowFirstColumn="0" w:firstRowLastColumn="0" w:lastRowFirstColumn="0" w:lastRowLastColumn="0"/>
          <w:trHeight w:val="21"/>
          <w:tblHeader/>
        </w:trPr>
        <w:tc>
          <w:tcPr>
            <w:tcW w:w="1422" w:type="pct"/>
          </w:tcPr>
          <w:p w14:paraId="52ED7494" w14:textId="77777777" w:rsidR="002514F8" w:rsidRPr="00730DE4" w:rsidRDefault="002514F8" w:rsidP="000B0ED0">
            <w:pPr>
              <w:pStyle w:val="NoSpacing"/>
              <w:rPr>
                <w:color w:val="FFFFFF" w:themeColor="background1"/>
              </w:rPr>
            </w:pPr>
            <w:r w:rsidRPr="00730DE4">
              <w:rPr>
                <w:color w:val="FFFFFF" w:themeColor="background1"/>
              </w:rPr>
              <w:t>Service standard</w:t>
            </w:r>
          </w:p>
        </w:tc>
        <w:tc>
          <w:tcPr>
            <w:tcW w:w="511" w:type="pct"/>
          </w:tcPr>
          <w:p w14:paraId="7A9E43E1" w14:textId="77777777" w:rsidR="002514F8" w:rsidRPr="00730DE4" w:rsidRDefault="002514F8" w:rsidP="00BE710F">
            <w:pPr>
              <w:pStyle w:val="NoSpacing"/>
              <w:jc w:val="right"/>
              <w:rPr>
                <w:color w:val="FFFFFF" w:themeColor="background1"/>
              </w:rPr>
            </w:pPr>
            <w:r w:rsidRPr="00730DE4">
              <w:rPr>
                <w:color w:val="FFFFFF" w:themeColor="background1"/>
              </w:rPr>
              <w:t>2019–20 Actual</w:t>
            </w:r>
          </w:p>
        </w:tc>
        <w:tc>
          <w:tcPr>
            <w:tcW w:w="502" w:type="pct"/>
          </w:tcPr>
          <w:p w14:paraId="249F0115" w14:textId="77777777" w:rsidR="002514F8" w:rsidRPr="00730DE4" w:rsidRDefault="002514F8" w:rsidP="00BE710F">
            <w:pPr>
              <w:pStyle w:val="NoSpacing"/>
              <w:jc w:val="right"/>
              <w:rPr>
                <w:color w:val="FFFFFF" w:themeColor="background1"/>
              </w:rPr>
            </w:pPr>
            <w:r w:rsidRPr="00730DE4">
              <w:rPr>
                <w:color w:val="FFFFFF" w:themeColor="background1"/>
              </w:rPr>
              <w:t>2020–21 Actual</w:t>
            </w:r>
          </w:p>
        </w:tc>
        <w:tc>
          <w:tcPr>
            <w:tcW w:w="511" w:type="pct"/>
          </w:tcPr>
          <w:p w14:paraId="02F93D4D" w14:textId="77777777" w:rsidR="002514F8" w:rsidRPr="00730DE4" w:rsidRDefault="002514F8" w:rsidP="00BE710F">
            <w:pPr>
              <w:pStyle w:val="NoSpacing"/>
              <w:jc w:val="right"/>
              <w:rPr>
                <w:color w:val="FFFFFF" w:themeColor="background1"/>
              </w:rPr>
            </w:pPr>
            <w:r w:rsidRPr="00730DE4">
              <w:rPr>
                <w:color w:val="FFFFFF" w:themeColor="background1"/>
              </w:rPr>
              <w:t>2021–22 Actual</w:t>
            </w:r>
          </w:p>
        </w:tc>
        <w:tc>
          <w:tcPr>
            <w:tcW w:w="502" w:type="pct"/>
          </w:tcPr>
          <w:p w14:paraId="2EB16F11" w14:textId="77777777" w:rsidR="002514F8" w:rsidRPr="00730DE4" w:rsidRDefault="002514F8" w:rsidP="00BE710F">
            <w:pPr>
              <w:pStyle w:val="NoSpacing"/>
              <w:jc w:val="right"/>
              <w:rPr>
                <w:color w:val="FFFFFF" w:themeColor="background1"/>
              </w:rPr>
            </w:pPr>
            <w:r w:rsidRPr="00730DE4">
              <w:rPr>
                <w:color w:val="FFFFFF" w:themeColor="background1"/>
              </w:rPr>
              <w:t>2022–23 Actual</w:t>
            </w:r>
          </w:p>
        </w:tc>
        <w:tc>
          <w:tcPr>
            <w:tcW w:w="745" w:type="pct"/>
          </w:tcPr>
          <w:p w14:paraId="67FEAC94" w14:textId="77777777" w:rsidR="002514F8" w:rsidRPr="00730DE4" w:rsidRDefault="002514F8" w:rsidP="00BE710F">
            <w:pPr>
              <w:pStyle w:val="NoSpacing"/>
              <w:jc w:val="right"/>
              <w:rPr>
                <w:color w:val="FFFFFF" w:themeColor="background1"/>
              </w:rPr>
            </w:pPr>
            <w:r w:rsidRPr="00730DE4">
              <w:rPr>
                <w:color w:val="FFFFFF" w:themeColor="background1"/>
              </w:rPr>
              <w:t>2023–24 Target / Estimate</w:t>
            </w:r>
          </w:p>
        </w:tc>
        <w:tc>
          <w:tcPr>
            <w:tcW w:w="502" w:type="pct"/>
          </w:tcPr>
          <w:p w14:paraId="302F8C99" w14:textId="77777777" w:rsidR="002514F8" w:rsidRPr="00730DE4" w:rsidRDefault="002514F8" w:rsidP="00BE710F">
            <w:pPr>
              <w:pStyle w:val="NoSpacing"/>
              <w:jc w:val="right"/>
              <w:rPr>
                <w:color w:val="FFFFFF" w:themeColor="background1"/>
              </w:rPr>
            </w:pPr>
            <w:r w:rsidRPr="00730DE4">
              <w:rPr>
                <w:color w:val="FFFFFF" w:themeColor="background1"/>
              </w:rPr>
              <w:t>2023–24 Actual</w:t>
            </w:r>
          </w:p>
        </w:tc>
        <w:tc>
          <w:tcPr>
            <w:tcW w:w="305" w:type="pct"/>
          </w:tcPr>
          <w:p w14:paraId="2B319377" w14:textId="77777777" w:rsidR="002514F8" w:rsidRPr="00730DE4" w:rsidRDefault="002514F8" w:rsidP="000831CB">
            <w:pPr>
              <w:pStyle w:val="NoSpacing"/>
              <w:jc w:val="center"/>
              <w:rPr>
                <w:color w:val="FFFFFF" w:themeColor="background1"/>
              </w:rPr>
            </w:pPr>
            <w:r w:rsidRPr="00730DE4">
              <w:rPr>
                <w:color w:val="FFFFFF" w:themeColor="background1"/>
              </w:rPr>
              <w:t>Notes</w:t>
            </w:r>
          </w:p>
        </w:tc>
      </w:tr>
      <w:tr w:rsidR="000A65A9" w:rsidRPr="00730DE4" w14:paraId="61524DA3" w14:textId="77777777" w:rsidTr="007D1DCD">
        <w:trPr>
          <w:cnfStyle w:val="000000100000" w:firstRow="0" w:lastRow="0" w:firstColumn="0" w:lastColumn="0" w:oddVBand="0" w:evenVBand="0" w:oddHBand="1" w:evenHBand="0" w:firstRowFirstColumn="0" w:firstRowLastColumn="0" w:lastRowFirstColumn="0" w:lastRowLastColumn="0"/>
          <w:trHeight w:val="21"/>
        </w:trPr>
        <w:tc>
          <w:tcPr>
            <w:tcW w:w="1422" w:type="pct"/>
          </w:tcPr>
          <w:p w14:paraId="2E727DF6" w14:textId="77777777" w:rsidR="002514F8" w:rsidRPr="00730DE4" w:rsidRDefault="002514F8" w:rsidP="000B0ED0">
            <w:pPr>
              <w:pStyle w:val="NoSpacing"/>
            </w:pPr>
            <w:r w:rsidRPr="00730DE4">
              <w:t>Overall customer satisfaction with Human Resources Services</w:t>
            </w:r>
          </w:p>
        </w:tc>
        <w:tc>
          <w:tcPr>
            <w:tcW w:w="511" w:type="pct"/>
          </w:tcPr>
          <w:p w14:paraId="79571184" w14:textId="77777777" w:rsidR="002514F8" w:rsidRPr="00730DE4" w:rsidRDefault="002514F8" w:rsidP="00BE710F">
            <w:pPr>
              <w:pStyle w:val="NoSpacing"/>
              <w:jc w:val="right"/>
            </w:pPr>
            <w:r w:rsidRPr="00730DE4">
              <w:t>86.10%</w:t>
            </w:r>
          </w:p>
        </w:tc>
        <w:tc>
          <w:tcPr>
            <w:tcW w:w="502" w:type="pct"/>
          </w:tcPr>
          <w:p w14:paraId="1C47FC47" w14:textId="77777777" w:rsidR="002514F8" w:rsidRPr="00730DE4" w:rsidRDefault="002514F8" w:rsidP="00BE710F">
            <w:pPr>
              <w:pStyle w:val="NoSpacing"/>
              <w:jc w:val="right"/>
            </w:pPr>
            <w:r w:rsidRPr="00730DE4">
              <w:t>86%</w:t>
            </w:r>
          </w:p>
        </w:tc>
        <w:tc>
          <w:tcPr>
            <w:tcW w:w="511" w:type="pct"/>
          </w:tcPr>
          <w:p w14:paraId="10A5E512" w14:textId="77777777" w:rsidR="002514F8" w:rsidRPr="00730DE4" w:rsidRDefault="002514F8" w:rsidP="00BE710F">
            <w:pPr>
              <w:pStyle w:val="NoSpacing"/>
              <w:jc w:val="right"/>
            </w:pPr>
            <w:r w:rsidRPr="00730DE4">
              <w:t>82.08%</w:t>
            </w:r>
          </w:p>
        </w:tc>
        <w:tc>
          <w:tcPr>
            <w:tcW w:w="502" w:type="pct"/>
          </w:tcPr>
          <w:p w14:paraId="47519CA2" w14:textId="77777777" w:rsidR="002514F8" w:rsidRPr="00730DE4" w:rsidRDefault="002514F8" w:rsidP="00BE710F">
            <w:pPr>
              <w:pStyle w:val="NoSpacing"/>
              <w:jc w:val="right"/>
            </w:pPr>
            <w:r w:rsidRPr="00730DE4">
              <w:t>82%</w:t>
            </w:r>
          </w:p>
        </w:tc>
        <w:tc>
          <w:tcPr>
            <w:tcW w:w="745" w:type="pct"/>
          </w:tcPr>
          <w:p w14:paraId="20F2DC6E" w14:textId="77777777" w:rsidR="002514F8" w:rsidRPr="00730DE4" w:rsidRDefault="002514F8" w:rsidP="00BE710F">
            <w:pPr>
              <w:pStyle w:val="NoSpacing"/>
              <w:jc w:val="right"/>
            </w:pPr>
            <w:r w:rsidRPr="00730DE4">
              <w:t>80%</w:t>
            </w:r>
          </w:p>
        </w:tc>
        <w:tc>
          <w:tcPr>
            <w:tcW w:w="502" w:type="pct"/>
          </w:tcPr>
          <w:p w14:paraId="1FFF18D1" w14:textId="77777777" w:rsidR="002514F8" w:rsidRPr="00730DE4" w:rsidRDefault="002514F8" w:rsidP="00BE710F">
            <w:pPr>
              <w:pStyle w:val="NoSpacing"/>
              <w:jc w:val="right"/>
            </w:pPr>
            <w:r w:rsidRPr="00730DE4">
              <w:t>79%</w:t>
            </w:r>
          </w:p>
        </w:tc>
        <w:tc>
          <w:tcPr>
            <w:tcW w:w="305" w:type="pct"/>
          </w:tcPr>
          <w:p w14:paraId="1867CDE3" w14:textId="77777777" w:rsidR="002514F8" w:rsidRPr="00730DE4" w:rsidRDefault="002514F8" w:rsidP="000831CB">
            <w:pPr>
              <w:pStyle w:val="NoSpacing"/>
              <w:jc w:val="center"/>
            </w:pPr>
            <w:r w:rsidRPr="00730DE4">
              <w:t>1</w:t>
            </w:r>
          </w:p>
        </w:tc>
      </w:tr>
    </w:tbl>
    <w:p w14:paraId="21A65339" w14:textId="77777777" w:rsidR="002514F8" w:rsidRPr="00730DE4" w:rsidRDefault="002514F8" w:rsidP="00583174">
      <w:pPr>
        <w:pStyle w:val="FigureCaption"/>
        <w:rPr>
          <w:lang w:val="en-US"/>
        </w:rPr>
      </w:pPr>
      <w:r w:rsidRPr="00730DE4">
        <w:rPr>
          <w:lang w:val="en-US"/>
        </w:rPr>
        <w:t>Table 25: Transactional and advisory human resource services efficiency measure</w:t>
      </w:r>
    </w:p>
    <w:tbl>
      <w:tblPr>
        <w:tblStyle w:val="TMRDefault"/>
        <w:tblW w:w="5000" w:type="pct"/>
        <w:tblLook w:val="04A0" w:firstRow="1" w:lastRow="0" w:firstColumn="1" w:lastColumn="0" w:noHBand="0" w:noVBand="1"/>
      </w:tblPr>
      <w:tblGrid>
        <w:gridCol w:w="3515"/>
        <w:gridCol w:w="1475"/>
        <w:gridCol w:w="1475"/>
        <w:gridCol w:w="1475"/>
        <w:gridCol w:w="1476"/>
        <w:gridCol w:w="2226"/>
        <w:gridCol w:w="1476"/>
        <w:gridCol w:w="874"/>
      </w:tblGrid>
      <w:tr w:rsidR="000A65A9" w:rsidRPr="00730DE4" w14:paraId="03FD21B3" w14:textId="77777777" w:rsidTr="007D1DCD">
        <w:trPr>
          <w:cnfStyle w:val="100000000000" w:firstRow="1" w:lastRow="0" w:firstColumn="0" w:lastColumn="0" w:oddVBand="0" w:evenVBand="0" w:oddHBand="0" w:evenHBand="0" w:firstRowFirstColumn="0" w:firstRowLastColumn="0" w:lastRowFirstColumn="0" w:lastRowLastColumn="0"/>
          <w:trHeight w:val="21"/>
          <w:tblHeader/>
        </w:trPr>
        <w:tc>
          <w:tcPr>
            <w:tcW w:w="1256" w:type="pct"/>
          </w:tcPr>
          <w:p w14:paraId="04D375F8" w14:textId="77777777" w:rsidR="002514F8" w:rsidRPr="00730DE4" w:rsidRDefault="002514F8" w:rsidP="000B0ED0">
            <w:pPr>
              <w:pStyle w:val="NoSpacing"/>
              <w:rPr>
                <w:color w:val="FFFFFF" w:themeColor="background1"/>
              </w:rPr>
            </w:pPr>
            <w:r w:rsidRPr="00730DE4">
              <w:rPr>
                <w:color w:val="FFFFFF" w:themeColor="background1"/>
              </w:rPr>
              <w:t>Service standard</w:t>
            </w:r>
          </w:p>
        </w:tc>
        <w:tc>
          <w:tcPr>
            <w:tcW w:w="528" w:type="pct"/>
          </w:tcPr>
          <w:p w14:paraId="3F6170C7" w14:textId="77777777" w:rsidR="002514F8" w:rsidRPr="00730DE4" w:rsidRDefault="002514F8" w:rsidP="00BE710F">
            <w:pPr>
              <w:pStyle w:val="NoSpacing"/>
              <w:jc w:val="right"/>
              <w:rPr>
                <w:color w:val="FFFFFF" w:themeColor="background1"/>
              </w:rPr>
            </w:pPr>
            <w:r w:rsidRPr="00730DE4">
              <w:rPr>
                <w:color w:val="FFFFFF" w:themeColor="background1"/>
              </w:rPr>
              <w:t>2019–20 Actual</w:t>
            </w:r>
          </w:p>
        </w:tc>
        <w:tc>
          <w:tcPr>
            <w:tcW w:w="528" w:type="pct"/>
          </w:tcPr>
          <w:p w14:paraId="1830594A" w14:textId="77777777" w:rsidR="002514F8" w:rsidRPr="00730DE4" w:rsidRDefault="002514F8" w:rsidP="00BE710F">
            <w:pPr>
              <w:pStyle w:val="NoSpacing"/>
              <w:jc w:val="right"/>
              <w:rPr>
                <w:color w:val="FFFFFF" w:themeColor="background1"/>
              </w:rPr>
            </w:pPr>
            <w:r w:rsidRPr="00730DE4">
              <w:rPr>
                <w:color w:val="FFFFFF" w:themeColor="background1"/>
              </w:rPr>
              <w:t>2020–21 Actual</w:t>
            </w:r>
          </w:p>
        </w:tc>
        <w:tc>
          <w:tcPr>
            <w:tcW w:w="528" w:type="pct"/>
          </w:tcPr>
          <w:p w14:paraId="11DE1AF1" w14:textId="77777777" w:rsidR="002514F8" w:rsidRPr="00730DE4" w:rsidRDefault="002514F8" w:rsidP="00BE710F">
            <w:pPr>
              <w:pStyle w:val="NoSpacing"/>
              <w:jc w:val="right"/>
              <w:rPr>
                <w:color w:val="FFFFFF" w:themeColor="background1"/>
              </w:rPr>
            </w:pPr>
            <w:r w:rsidRPr="00730DE4">
              <w:rPr>
                <w:color w:val="FFFFFF" w:themeColor="background1"/>
              </w:rPr>
              <w:t>2021–22 Actual</w:t>
            </w:r>
          </w:p>
        </w:tc>
        <w:tc>
          <w:tcPr>
            <w:tcW w:w="528" w:type="pct"/>
          </w:tcPr>
          <w:p w14:paraId="10BC45BA" w14:textId="77777777" w:rsidR="002514F8" w:rsidRPr="00730DE4" w:rsidRDefault="002514F8" w:rsidP="00BE710F">
            <w:pPr>
              <w:pStyle w:val="NoSpacing"/>
              <w:jc w:val="right"/>
              <w:rPr>
                <w:color w:val="FFFFFF" w:themeColor="background1"/>
              </w:rPr>
            </w:pPr>
            <w:r w:rsidRPr="00730DE4">
              <w:rPr>
                <w:color w:val="FFFFFF" w:themeColor="background1"/>
              </w:rPr>
              <w:t>2022–23 Actual</w:t>
            </w:r>
          </w:p>
        </w:tc>
        <w:tc>
          <w:tcPr>
            <w:tcW w:w="796" w:type="pct"/>
          </w:tcPr>
          <w:p w14:paraId="21CBB090" w14:textId="77777777" w:rsidR="002514F8" w:rsidRPr="00730DE4" w:rsidRDefault="002514F8" w:rsidP="00BE710F">
            <w:pPr>
              <w:pStyle w:val="NoSpacing"/>
              <w:jc w:val="right"/>
              <w:rPr>
                <w:color w:val="FFFFFF" w:themeColor="background1"/>
              </w:rPr>
            </w:pPr>
            <w:r w:rsidRPr="00730DE4">
              <w:rPr>
                <w:color w:val="FFFFFF" w:themeColor="background1"/>
              </w:rPr>
              <w:t>2023–24 Target / Estimate</w:t>
            </w:r>
          </w:p>
        </w:tc>
        <w:tc>
          <w:tcPr>
            <w:tcW w:w="528" w:type="pct"/>
          </w:tcPr>
          <w:p w14:paraId="1E413C70" w14:textId="77777777" w:rsidR="002514F8" w:rsidRPr="00730DE4" w:rsidRDefault="002514F8" w:rsidP="00BE710F">
            <w:pPr>
              <w:pStyle w:val="NoSpacing"/>
              <w:jc w:val="right"/>
              <w:rPr>
                <w:color w:val="FFFFFF" w:themeColor="background1"/>
              </w:rPr>
            </w:pPr>
            <w:r w:rsidRPr="00730DE4">
              <w:rPr>
                <w:color w:val="FFFFFF" w:themeColor="background1"/>
              </w:rPr>
              <w:t>2023–24 Actual</w:t>
            </w:r>
          </w:p>
        </w:tc>
        <w:tc>
          <w:tcPr>
            <w:tcW w:w="305" w:type="pct"/>
          </w:tcPr>
          <w:p w14:paraId="47B84A09" w14:textId="77777777" w:rsidR="002514F8" w:rsidRPr="00730DE4" w:rsidRDefault="002514F8" w:rsidP="000831CB">
            <w:pPr>
              <w:pStyle w:val="NoSpacing"/>
              <w:jc w:val="center"/>
              <w:rPr>
                <w:color w:val="FFFFFF" w:themeColor="background1"/>
              </w:rPr>
            </w:pPr>
            <w:r w:rsidRPr="00730DE4">
              <w:rPr>
                <w:color w:val="FFFFFF" w:themeColor="background1"/>
              </w:rPr>
              <w:t>Notes</w:t>
            </w:r>
          </w:p>
        </w:tc>
      </w:tr>
      <w:tr w:rsidR="000A65A9" w:rsidRPr="00730DE4" w14:paraId="5B30A177" w14:textId="77777777" w:rsidTr="007D1DCD">
        <w:trPr>
          <w:cnfStyle w:val="000000100000" w:firstRow="0" w:lastRow="0" w:firstColumn="0" w:lastColumn="0" w:oddVBand="0" w:evenVBand="0" w:oddHBand="1" w:evenHBand="0" w:firstRowFirstColumn="0" w:firstRowLastColumn="0" w:lastRowFirstColumn="0" w:lastRowLastColumn="0"/>
          <w:trHeight w:val="21"/>
        </w:trPr>
        <w:tc>
          <w:tcPr>
            <w:tcW w:w="1256" w:type="pct"/>
          </w:tcPr>
          <w:p w14:paraId="21028F1F" w14:textId="77777777" w:rsidR="002514F8" w:rsidRPr="00730DE4" w:rsidRDefault="002514F8" w:rsidP="000B0ED0">
            <w:pPr>
              <w:pStyle w:val="NoSpacing"/>
            </w:pPr>
            <w:r w:rsidRPr="00730DE4">
              <w:t>Number of pays processed per FTE per fortnight</w:t>
            </w:r>
          </w:p>
        </w:tc>
        <w:tc>
          <w:tcPr>
            <w:tcW w:w="528" w:type="pct"/>
          </w:tcPr>
          <w:p w14:paraId="7A39497D" w14:textId="77777777" w:rsidR="002514F8" w:rsidRPr="00730DE4" w:rsidRDefault="002514F8" w:rsidP="00BE710F">
            <w:pPr>
              <w:pStyle w:val="NoSpacing"/>
              <w:jc w:val="right"/>
            </w:pPr>
            <w:r w:rsidRPr="00730DE4">
              <w:t>331</w:t>
            </w:r>
          </w:p>
        </w:tc>
        <w:tc>
          <w:tcPr>
            <w:tcW w:w="528" w:type="pct"/>
          </w:tcPr>
          <w:p w14:paraId="02C52737" w14:textId="77777777" w:rsidR="002514F8" w:rsidRPr="00730DE4" w:rsidRDefault="002514F8" w:rsidP="00BE710F">
            <w:pPr>
              <w:pStyle w:val="NoSpacing"/>
              <w:jc w:val="right"/>
            </w:pPr>
            <w:r w:rsidRPr="00730DE4">
              <w:t>338</w:t>
            </w:r>
          </w:p>
        </w:tc>
        <w:tc>
          <w:tcPr>
            <w:tcW w:w="528" w:type="pct"/>
          </w:tcPr>
          <w:p w14:paraId="607E248C" w14:textId="77777777" w:rsidR="002514F8" w:rsidRPr="00730DE4" w:rsidRDefault="002514F8" w:rsidP="00BE710F">
            <w:pPr>
              <w:pStyle w:val="NoSpacing"/>
              <w:jc w:val="right"/>
            </w:pPr>
            <w:r w:rsidRPr="00730DE4">
              <w:t>374</w:t>
            </w:r>
          </w:p>
        </w:tc>
        <w:tc>
          <w:tcPr>
            <w:tcW w:w="528" w:type="pct"/>
          </w:tcPr>
          <w:p w14:paraId="624CF836" w14:textId="77777777" w:rsidR="002514F8" w:rsidRPr="00730DE4" w:rsidRDefault="002514F8" w:rsidP="00BE710F">
            <w:pPr>
              <w:pStyle w:val="NoSpacing"/>
              <w:jc w:val="right"/>
            </w:pPr>
            <w:r w:rsidRPr="00730DE4">
              <w:t>375</w:t>
            </w:r>
          </w:p>
        </w:tc>
        <w:tc>
          <w:tcPr>
            <w:tcW w:w="796" w:type="pct"/>
          </w:tcPr>
          <w:p w14:paraId="3DDB08EF" w14:textId="77777777" w:rsidR="002514F8" w:rsidRPr="00730DE4" w:rsidRDefault="002514F8" w:rsidP="00BE710F">
            <w:pPr>
              <w:pStyle w:val="NoSpacing"/>
              <w:jc w:val="right"/>
            </w:pPr>
            <w:r w:rsidRPr="00730DE4">
              <w:t>360</w:t>
            </w:r>
          </w:p>
        </w:tc>
        <w:tc>
          <w:tcPr>
            <w:tcW w:w="528" w:type="pct"/>
          </w:tcPr>
          <w:p w14:paraId="16F28015" w14:textId="77777777" w:rsidR="002514F8" w:rsidRPr="00730DE4" w:rsidRDefault="002514F8" w:rsidP="00BE710F">
            <w:pPr>
              <w:pStyle w:val="NoSpacing"/>
              <w:jc w:val="right"/>
            </w:pPr>
            <w:r w:rsidRPr="00730DE4">
              <w:t>377</w:t>
            </w:r>
          </w:p>
        </w:tc>
        <w:tc>
          <w:tcPr>
            <w:tcW w:w="305" w:type="pct"/>
          </w:tcPr>
          <w:p w14:paraId="70287580" w14:textId="77777777" w:rsidR="002514F8" w:rsidRPr="00730DE4" w:rsidRDefault="002514F8" w:rsidP="000831CB">
            <w:pPr>
              <w:pStyle w:val="NoSpacing"/>
              <w:jc w:val="center"/>
            </w:pPr>
            <w:r w:rsidRPr="00730DE4">
              <w:t>2</w:t>
            </w:r>
          </w:p>
        </w:tc>
      </w:tr>
    </w:tbl>
    <w:p w14:paraId="23D2ADD9" w14:textId="77777777" w:rsidR="002514F8" w:rsidRPr="00730DE4" w:rsidRDefault="002514F8" w:rsidP="002B7001">
      <w:pPr>
        <w:pStyle w:val="Heading4"/>
        <w:rPr>
          <w:lang w:val="en-US"/>
        </w:rPr>
      </w:pPr>
      <w:bookmarkStart w:id="290" w:name="_Toc180487326"/>
      <w:bookmarkStart w:id="291" w:name="_Toc180490532"/>
      <w:bookmarkStart w:id="292" w:name="_Toc180491565"/>
      <w:r w:rsidRPr="00730DE4">
        <w:rPr>
          <w:lang w:val="en-US"/>
        </w:rPr>
        <w:t>Service: Transactional and advisory finance services</w:t>
      </w:r>
      <w:bookmarkEnd w:id="290"/>
      <w:bookmarkEnd w:id="291"/>
      <w:bookmarkEnd w:id="292"/>
    </w:p>
    <w:p w14:paraId="64642D7B" w14:textId="77777777" w:rsidR="002514F8" w:rsidRPr="00730DE4" w:rsidRDefault="002514F8" w:rsidP="00583174">
      <w:pPr>
        <w:pStyle w:val="FigureCaption"/>
        <w:rPr>
          <w:lang w:val="en-US"/>
        </w:rPr>
      </w:pPr>
      <w:r w:rsidRPr="00730DE4">
        <w:rPr>
          <w:lang w:val="en-US"/>
        </w:rPr>
        <w:t>Table 26: Transactional and advisory finance services effectiveness measures</w:t>
      </w:r>
    </w:p>
    <w:tbl>
      <w:tblPr>
        <w:tblStyle w:val="TMRDefault"/>
        <w:tblW w:w="5000" w:type="pct"/>
        <w:tblLook w:val="04A0" w:firstRow="1" w:lastRow="0" w:firstColumn="1" w:lastColumn="0" w:noHBand="0" w:noVBand="1"/>
      </w:tblPr>
      <w:tblGrid>
        <w:gridCol w:w="3635"/>
        <w:gridCol w:w="1455"/>
        <w:gridCol w:w="1455"/>
        <w:gridCol w:w="1475"/>
        <w:gridCol w:w="1456"/>
        <w:gridCol w:w="2186"/>
        <w:gridCol w:w="1456"/>
        <w:gridCol w:w="874"/>
      </w:tblGrid>
      <w:tr w:rsidR="000A65A9" w:rsidRPr="00730DE4" w14:paraId="5C3BC5CE" w14:textId="77777777" w:rsidTr="007D1DCD">
        <w:trPr>
          <w:cnfStyle w:val="100000000000" w:firstRow="1" w:lastRow="0" w:firstColumn="0" w:lastColumn="0" w:oddVBand="0" w:evenVBand="0" w:oddHBand="0" w:evenHBand="0" w:firstRowFirstColumn="0" w:firstRowLastColumn="0" w:lastRowFirstColumn="0" w:lastRowLastColumn="0"/>
          <w:trHeight w:val="21"/>
          <w:tblHeader/>
        </w:trPr>
        <w:tc>
          <w:tcPr>
            <w:tcW w:w="1300" w:type="pct"/>
          </w:tcPr>
          <w:p w14:paraId="7231A4BE" w14:textId="77777777" w:rsidR="002514F8" w:rsidRPr="00730DE4" w:rsidRDefault="002514F8" w:rsidP="000B0ED0">
            <w:pPr>
              <w:pStyle w:val="NoSpacing"/>
              <w:rPr>
                <w:color w:val="FFFFFF" w:themeColor="background1"/>
              </w:rPr>
            </w:pPr>
            <w:r w:rsidRPr="00730DE4">
              <w:rPr>
                <w:color w:val="FFFFFF" w:themeColor="background1"/>
              </w:rPr>
              <w:t>Service standard</w:t>
            </w:r>
          </w:p>
        </w:tc>
        <w:tc>
          <w:tcPr>
            <w:tcW w:w="521" w:type="pct"/>
          </w:tcPr>
          <w:p w14:paraId="7589FDCA" w14:textId="77777777" w:rsidR="002514F8" w:rsidRPr="00730DE4" w:rsidRDefault="002514F8" w:rsidP="00BE710F">
            <w:pPr>
              <w:pStyle w:val="NoSpacing"/>
              <w:jc w:val="right"/>
              <w:rPr>
                <w:color w:val="FFFFFF" w:themeColor="background1"/>
              </w:rPr>
            </w:pPr>
            <w:r w:rsidRPr="00730DE4">
              <w:rPr>
                <w:color w:val="FFFFFF" w:themeColor="background1"/>
              </w:rPr>
              <w:t>2019–20 Actual</w:t>
            </w:r>
          </w:p>
        </w:tc>
        <w:tc>
          <w:tcPr>
            <w:tcW w:w="521" w:type="pct"/>
          </w:tcPr>
          <w:p w14:paraId="49DA1675" w14:textId="77777777" w:rsidR="002514F8" w:rsidRPr="00730DE4" w:rsidRDefault="002514F8" w:rsidP="00BE710F">
            <w:pPr>
              <w:pStyle w:val="NoSpacing"/>
              <w:jc w:val="right"/>
              <w:rPr>
                <w:color w:val="FFFFFF" w:themeColor="background1"/>
              </w:rPr>
            </w:pPr>
            <w:r w:rsidRPr="00730DE4">
              <w:rPr>
                <w:color w:val="FFFFFF" w:themeColor="background1"/>
              </w:rPr>
              <w:t>2020–21 Actual</w:t>
            </w:r>
          </w:p>
        </w:tc>
        <w:tc>
          <w:tcPr>
            <w:tcW w:w="528" w:type="pct"/>
          </w:tcPr>
          <w:p w14:paraId="4E9C6BE2" w14:textId="77777777" w:rsidR="002514F8" w:rsidRPr="00730DE4" w:rsidRDefault="002514F8" w:rsidP="00BE710F">
            <w:pPr>
              <w:pStyle w:val="NoSpacing"/>
              <w:jc w:val="right"/>
              <w:rPr>
                <w:color w:val="FFFFFF" w:themeColor="background1"/>
              </w:rPr>
            </w:pPr>
            <w:r w:rsidRPr="00730DE4">
              <w:rPr>
                <w:color w:val="FFFFFF" w:themeColor="background1"/>
              </w:rPr>
              <w:t>2021–22 Actual</w:t>
            </w:r>
          </w:p>
        </w:tc>
        <w:tc>
          <w:tcPr>
            <w:tcW w:w="521" w:type="pct"/>
          </w:tcPr>
          <w:p w14:paraId="61E38DB9" w14:textId="77777777" w:rsidR="002514F8" w:rsidRPr="00730DE4" w:rsidRDefault="002514F8" w:rsidP="00BE710F">
            <w:pPr>
              <w:pStyle w:val="NoSpacing"/>
              <w:jc w:val="right"/>
              <w:rPr>
                <w:color w:val="FFFFFF" w:themeColor="background1"/>
              </w:rPr>
            </w:pPr>
            <w:r w:rsidRPr="00730DE4">
              <w:rPr>
                <w:color w:val="FFFFFF" w:themeColor="background1"/>
              </w:rPr>
              <w:t>2022–23 Actual</w:t>
            </w:r>
          </w:p>
        </w:tc>
        <w:tc>
          <w:tcPr>
            <w:tcW w:w="782" w:type="pct"/>
          </w:tcPr>
          <w:p w14:paraId="71C0DD21" w14:textId="77777777" w:rsidR="002514F8" w:rsidRPr="00730DE4" w:rsidRDefault="002514F8" w:rsidP="00BE710F">
            <w:pPr>
              <w:pStyle w:val="NoSpacing"/>
              <w:jc w:val="right"/>
              <w:rPr>
                <w:color w:val="FFFFFF" w:themeColor="background1"/>
              </w:rPr>
            </w:pPr>
            <w:r w:rsidRPr="00730DE4">
              <w:rPr>
                <w:color w:val="FFFFFF" w:themeColor="background1"/>
              </w:rPr>
              <w:t>2023–24 Target / Estimate</w:t>
            </w:r>
          </w:p>
        </w:tc>
        <w:tc>
          <w:tcPr>
            <w:tcW w:w="521" w:type="pct"/>
          </w:tcPr>
          <w:p w14:paraId="0EF01C8C" w14:textId="77777777" w:rsidR="002514F8" w:rsidRPr="00730DE4" w:rsidRDefault="002514F8" w:rsidP="00BE710F">
            <w:pPr>
              <w:pStyle w:val="NoSpacing"/>
              <w:jc w:val="right"/>
              <w:rPr>
                <w:color w:val="FFFFFF" w:themeColor="background1"/>
              </w:rPr>
            </w:pPr>
            <w:r w:rsidRPr="00730DE4">
              <w:rPr>
                <w:color w:val="FFFFFF" w:themeColor="background1"/>
              </w:rPr>
              <w:t>2023–24 Actual</w:t>
            </w:r>
          </w:p>
        </w:tc>
        <w:tc>
          <w:tcPr>
            <w:tcW w:w="305" w:type="pct"/>
          </w:tcPr>
          <w:p w14:paraId="2C83ED85" w14:textId="77777777" w:rsidR="002514F8" w:rsidRPr="00730DE4" w:rsidRDefault="002514F8" w:rsidP="000831CB">
            <w:pPr>
              <w:pStyle w:val="NoSpacing"/>
              <w:jc w:val="center"/>
              <w:rPr>
                <w:color w:val="FFFFFF" w:themeColor="background1"/>
              </w:rPr>
            </w:pPr>
            <w:r w:rsidRPr="00730DE4">
              <w:rPr>
                <w:color w:val="FFFFFF" w:themeColor="background1"/>
              </w:rPr>
              <w:t>Notes</w:t>
            </w:r>
          </w:p>
        </w:tc>
      </w:tr>
      <w:tr w:rsidR="000A65A9" w:rsidRPr="00730DE4" w14:paraId="10D19EDD" w14:textId="77777777" w:rsidTr="007D1DCD">
        <w:trPr>
          <w:cnfStyle w:val="000000100000" w:firstRow="0" w:lastRow="0" w:firstColumn="0" w:lastColumn="0" w:oddVBand="0" w:evenVBand="0" w:oddHBand="1" w:evenHBand="0" w:firstRowFirstColumn="0" w:firstRowLastColumn="0" w:lastRowFirstColumn="0" w:lastRowLastColumn="0"/>
          <w:trHeight w:val="21"/>
        </w:trPr>
        <w:tc>
          <w:tcPr>
            <w:tcW w:w="1300" w:type="pct"/>
          </w:tcPr>
          <w:p w14:paraId="7C205C67" w14:textId="77777777" w:rsidR="002514F8" w:rsidRPr="00730DE4" w:rsidRDefault="002514F8" w:rsidP="000B0ED0">
            <w:pPr>
              <w:pStyle w:val="NoSpacing"/>
            </w:pPr>
            <w:r w:rsidRPr="00730DE4">
              <w:t>Overall customer satisfaction with Finance Services</w:t>
            </w:r>
          </w:p>
        </w:tc>
        <w:tc>
          <w:tcPr>
            <w:tcW w:w="521" w:type="pct"/>
          </w:tcPr>
          <w:p w14:paraId="0085E331" w14:textId="77777777" w:rsidR="002514F8" w:rsidRPr="00730DE4" w:rsidRDefault="002514F8" w:rsidP="00BE710F">
            <w:pPr>
              <w:pStyle w:val="NoSpacing"/>
              <w:jc w:val="right"/>
            </w:pPr>
            <w:r w:rsidRPr="00730DE4">
              <w:t>90.7%</w:t>
            </w:r>
          </w:p>
        </w:tc>
        <w:tc>
          <w:tcPr>
            <w:tcW w:w="521" w:type="pct"/>
          </w:tcPr>
          <w:p w14:paraId="2B698760" w14:textId="77777777" w:rsidR="002514F8" w:rsidRPr="00730DE4" w:rsidRDefault="002514F8" w:rsidP="00BE710F">
            <w:pPr>
              <w:pStyle w:val="NoSpacing"/>
              <w:jc w:val="right"/>
            </w:pPr>
            <w:r w:rsidRPr="00730DE4">
              <w:t>86%</w:t>
            </w:r>
          </w:p>
        </w:tc>
        <w:tc>
          <w:tcPr>
            <w:tcW w:w="528" w:type="pct"/>
          </w:tcPr>
          <w:p w14:paraId="0A7B26AD" w14:textId="77777777" w:rsidR="002514F8" w:rsidRPr="00730DE4" w:rsidRDefault="002514F8" w:rsidP="00BE710F">
            <w:pPr>
              <w:pStyle w:val="NoSpacing"/>
              <w:jc w:val="right"/>
            </w:pPr>
            <w:r w:rsidRPr="00730DE4">
              <w:t>86.65%</w:t>
            </w:r>
          </w:p>
        </w:tc>
        <w:tc>
          <w:tcPr>
            <w:tcW w:w="521" w:type="pct"/>
          </w:tcPr>
          <w:p w14:paraId="31876DB0" w14:textId="77777777" w:rsidR="002514F8" w:rsidRPr="00730DE4" w:rsidRDefault="002514F8" w:rsidP="00BE710F">
            <w:pPr>
              <w:pStyle w:val="NoSpacing"/>
              <w:jc w:val="right"/>
            </w:pPr>
            <w:r w:rsidRPr="00730DE4">
              <w:t>85%</w:t>
            </w:r>
          </w:p>
        </w:tc>
        <w:tc>
          <w:tcPr>
            <w:tcW w:w="782" w:type="pct"/>
          </w:tcPr>
          <w:p w14:paraId="3387C8ED" w14:textId="77777777" w:rsidR="002514F8" w:rsidRPr="00730DE4" w:rsidRDefault="002514F8" w:rsidP="00BE710F">
            <w:pPr>
              <w:pStyle w:val="NoSpacing"/>
              <w:jc w:val="right"/>
            </w:pPr>
            <w:r w:rsidRPr="00730DE4">
              <w:t>80%</w:t>
            </w:r>
          </w:p>
        </w:tc>
        <w:tc>
          <w:tcPr>
            <w:tcW w:w="521" w:type="pct"/>
          </w:tcPr>
          <w:p w14:paraId="7B33EEF8" w14:textId="77777777" w:rsidR="002514F8" w:rsidRPr="00730DE4" w:rsidRDefault="002514F8" w:rsidP="00BE710F">
            <w:pPr>
              <w:pStyle w:val="NoSpacing"/>
              <w:jc w:val="right"/>
            </w:pPr>
            <w:r w:rsidRPr="00730DE4">
              <w:t>82%</w:t>
            </w:r>
          </w:p>
        </w:tc>
        <w:tc>
          <w:tcPr>
            <w:tcW w:w="305" w:type="pct"/>
          </w:tcPr>
          <w:p w14:paraId="12639180" w14:textId="77777777" w:rsidR="002514F8" w:rsidRPr="00730DE4" w:rsidRDefault="002514F8" w:rsidP="000831CB">
            <w:pPr>
              <w:pStyle w:val="NoSpacing"/>
              <w:jc w:val="center"/>
            </w:pPr>
            <w:r w:rsidRPr="00730DE4">
              <w:t>1</w:t>
            </w:r>
          </w:p>
        </w:tc>
      </w:tr>
    </w:tbl>
    <w:p w14:paraId="54C84313" w14:textId="77777777" w:rsidR="002514F8" w:rsidRPr="00730DE4" w:rsidRDefault="002514F8" w:rsidP="00583174">
      <w:pPr>
        <w:pStyle w:val="FigureCaption"/>
        <w:rPr>
          <w:lang w:val="en-US"/>
        </w:rPr>
      </w:pPr>
      <w:r w:rsidRPr="00730DE4">
        <w:rPr>
          <w:lang w:val="en-US"/>
        </w:rPr>
        <w:t>Table 27: Transactional and advisory finance services efficiency measures</w:t>
      </w:r>
    </w:p>
    <w:tbl>
      <w:tblPr>
        <w:tblStyle w:val="TMRDefault"/>
        <w:tblW w:w="5000" w:type="pct"/>
        <w:tblLook w:val="04A0" w:firstRow="1" w:lastRow="0" w:firstColumn="1" w:lastColumn="0" w:noHBand="0" w:noVBand="1"/>
      </w:tblPr>
      <w:tblGrid>
        <w:gridCol w:w="4239"/>
        <w:gridCol w:w="1371"/>
        <w:gridCol w:w="1371"/>
        <w:gridCol w:w="1371"/>
        <w:gridCol w:w="1371"/>
        <w:gridCol w:w="2023"/>
        <w:gridCol w:w="1372"/>
        <w:gridCol w:w="874"/>
      </w:tblGrid>
      <w:tr w:rsidR="000A65A9" w:rsidRPr="00730DE4" w14:paraId="508B2DCE" w14:textId="77777777" w:rsidTr="007D1DCD">
        <w:trPr>
          <w:cnfStyle w:val="100000000000" w:firstRow="1" w:lastRow="0" w:firstColumn="0" w:lastColumn="0" w:oddVBand="0" w:evenVBand="0" w:oddHBand="0" w:evenHBand="0" w:firstRowFirstColumn="0" w:firstRowLastColumn="0" w:lastRowFirstColumn="0" w:lastRowLastColumn="0"/>
          <w:trHeight w:val="21"/>
          <w:tblHeader/>
        </w:trPr>
        <w:tc>
          <w:tcPr>
            <w:tcW w:w="1516" w:type="pct"/>
          </w:tcPr>
          <w:p w14:paraId="21C211FC" w14:textId="77777777" w:rsidR="002514F8" w:rsidRPr="00730DE4" w:rsidRDefault="002514F8" w:rsidP="000B0ED0">
            <w:pPr>
              <w:pStyle w:val="NoSpacing"/>
              <w:rPr>
                <w:color w:val="FFFFFF" w:themeColor="background1"/>
              </w:rPr>
            </w:pPr>
            <w:r w:rsidRPr="00730DE4">
              <w:rPr>
                <w:color w:val="FFFFFF" w:themeColor="background1"/>
              </w:rPr>
              <w:t>Service standard</w:t>
            </w:r>
          </w:p>
        </w:tc>
        <w:tc>
          <w:tcPr>
            <w:tcW w:w="491" w:type="pct"/>
          </w:tcPr>
          <w:p w14:paraId="2D38C179" w14:textId="77777777" w:rsidR="002514F8" w:rsidRPr="00730DE4" w:rsidRDefault="002514F8" w:rsidP="00BE710F">
            <w:pPr>
              <w:pStyle w:val="NoSpacing"/>
              <w:jc w:val="right"/>
              <w:rPr>
                <w:color w:val="FFFFFF" w:themeColor="background1"/>
              </w:rPr>
            </w:pPr>
            <w:r w:rsidRPr="00730DE4">
              <w:rPr>
                <w:color w:val="FFFFFF" w:themeColor="background1"/>
              </w:rPr>
              <w:t>2019–20 Actual</w:t>
            </w:r>
          </w:p>
        </w:tc>
        <w:tc>
          <w:tcPr>
            <w:tcW w:w="491" w:type="pct"/>
          </w:tcPr>
          <w:p w14:paraId="7562F906" w14:textId="77777777" w:rsidR="002514F8" w:rsidRPr="00730DE4" w:rsidRDefault="002514F8" w:rsidP="00BE710F">
            <w:pPr>
              <w:pStyle w:val="NoSpacing"/>
              <w:jc w:val="right"/>
              <w:rPr>
                <w:color w:val="FFFFFF" w:themeColor="background1"/>
              </w:rPr>
            </w:pPr>
            <w:r w:rsidRPr="00730DE4">
              <w:rPr>
                <w:color w:val="FFFFFF" w:themeColor="background1"/>
              </w:rPr>
              <w:t>2020–21 Actual</w:t>
            </w:r>
          </w:p>
        </w:tc>
        <w:tc>
          <w:tcPr>
            <w:tcW w:w="491" w:type="pct"/>
          </w:tcPr>
          <w:p w14:paraId="70F8529D" w14:textId="77777777" w:rsidR="002514F8" w:rsidRPr="00730DE4" w:rsidRDefault="002514F8" w:rsidP="00BE710F">
            <w:pPr>
              <w:pStyle w:val="NoSpacing"/>
              <w:jc w:val="right"/>
              <w:rPr>
                <w:color w:val="FFFFFF" w:themeColor="background1"/>
              </w:rPr>
            </w:pPr>
            <w:r w:rsidRPr="00730DE4">
              <w:rPr>
                <w:color w:val="FFFFFF" w:themeColor="background1"/>
              </w:rPr>
              <w:t>2021–22 Actual</w:t>
            </w:r>
          </w:p>
        </w:tc>
        <w:tc>
          <w:tcPr>
            <w:tcW w:w="491" w:type="pct"/>
          </w:tcPr>
          <w:p w14:paraId="01863F8F" w14:textId="77777777" w:rsidR="002514F8" w:rsidRPr="00730DE4" w:rsidRDefault="002514F8" w:rsidP="00BE710F">
            <w:pPr>
              <w:pStyle w:val="NoSpacing"/>
              <w:jc w:val="right"/>
              <w:rPr>
                <w:color w:val="FFFFFF" w:themeColor="background1"/>
              </w:rPr>
            </w:pPr>
            <w:r w:rsidRPr="00730DE4">
              <w:rPr>
                <w:color w:val="FFFFFF" w:themeColor="background1"/>
              </w:rPr>
              <w:t>2022–23 Actual</w:t>
            </w:r>
          </w:p>
        </w:tc>
        <w:tc>
          <w:tcPr>
            <w:tcW w:w="724" w:type="pct"/>
          </w:tcPr>
          <w:p w14:paraId="1641016E" w14:textId="77777777" w:rsidR="002514F8" w:rsidRPr="00730DE4" w:rsidRDefault="002514F8" w:rsidP="00BE710F">
            <w:pPr>
              <w:pStyle w:val="NoSpacing"/>
              <w:jc w:val="right"/>
              <w:rPr>
                <w:color w:val="FFFFFF" w:themeColor="background1"/>
              </w:rPr>
            </w:pPr>
            <w:r w:rsidRPr="00730DE4">
              <w:rPr>
                <w:color w:val="FFFFFF" w:themeColor="background1"/>
              </w:rPr>
              <w:t>2023–24 Target / Estimate</w:t>
            </w:r>
          </w:p>
        </w:tc>
        <w:tc>
          <w:tcPr>
            <w:tcW w:w="491" w:type="pct"/>
          </w:tcPr>
          <w:p w14:paraId="56E0A071" w14:textId="77777777" w:rsidR="002514F8" w:rsidRPr="00730DE4" w:rsidRDefault="002514F8" w:rsidP="00BE710F">
            <w:pPr>
              <w:pStyle w:val="NoSpacing"/>
              <w:jc w:val="right"/>
              <w:rPr>
                <w:color w:val="FFFFFF" w:themeColor="background1"/>
              </w:rPr>
            </w:pPr>
            <w:r w:rsidRPr="00730DE4">
              <w:rPr>
                <w:color w:val="FFFFFF" w:themeColor="background1"/>
              </w:rPr>
              <w:t>2023–24 Actual</w:t>
            </w:r>
          </w:p>
        </w:tc>
        <w:tc>
          <w:tcPr>
            <w:tcW w:w="305" w:type="pct"/>
          </w:tcPr>
          <w:p w14:paraId="0277FF56" w14:textId="77777777" w:rsidR="002514F8" w:rsidRPr="00730DE4" w:rsidRDefault="002514F8" w:rsidP="000831CB">
            <w:pPr>
              <w:pStyle w:val="NoSpacing"/>
              <w:jc w:val="center"/>
              <w:rPr>
                <w:color w:val="FFFFFF" w:themeColor="background1"/>
              </w:rPr>
            </w:pPr>
            <w:r w:rsidRPr="00730DE4">
              <w:rPr>
                <w:color w:val="FFFFFF" w:themeColor="background1"/>
              </w:rPr>
              <w:t>Notes</w:t>
            </w:r>
          </w:p>
        </w:tc>
      </w:tr>
      <w:tr w:rsidR="000A65A9" w:rsidRPr="00730DE4" w14:paraId="278F2366" w14:textId="77777777" w:rsidTr="007D1DCD">
        <w:trPr>
          <w:cnfStyle w:val="000000100000" w:firstRow="0" w:lastRow="0" w:firstColumn="0" w:lastColumn="0" w:oddVBand="0" w:evenVBand="0" w:oddHBand="1" w:evenHBand="0" w:firstRowFirstColumn="0" w:firstRowLastColumn="0" w:lastRowFirstColumn="0" w:lastRowLastColumn="0"/>
          <w:trHeight w:val="21"/>
        </w:trPr>
        <w:tc>
          <w:tcPr>
            <w:tcW w:w="1516" w:type="pct"/>
          </w:tcPr>
          <w:p w14:paraId="06690E16" w14:textId="77777777" w:rsidR="002514F8" w:rsidRPr="00730DE4" w:rsidRDefault="002514F8" w:rsidP="000B0ED0">
            <w:pPr>
              <w:pStyle w:val="NoSpacing"/>
            </w:pPr>
            <w:r w:rsidRPr="00730DE4">
              <w:t>Number of accounts payable transactions processed per FTE per annum</w:t>
            </w:r>
          </w:p>
        </w:tc>
        <w:tc>
          <w:tcPr>
            <w:tcW w:w="491" w:type="pct"/>
          </w:tcPr>
          <w:p w14:paraId="074E08BC" w14:textId="77777777" w:rsidR="002514F8" w:rsidRPr="00730DE4" w:rsidRDefault="002514F8" w:rsidP="00BE710F">
            <w:pPr>
              <w:pStyle w:val="NoSpacing"/>
              <w:jc w:val="right"/>
            </w:pPr>
            <w:r w:rsidRPr="00730DE4">
              <w:t>10,603</w:t>
            </w:r>
          </w:p>
        </w:tc>
        <w:tc>
          <w:tcPr>
            <w:tcW w:w="491" w:type="pct"/>
          </w:tcPr>
          <w:p w14:paraId="57B1C440" w14:textId="77777777" w:rsidR="002514F8" w:rsidRPr="00730DE4" w:rsidRDefault="002514F8" w:rsidP="00BE710F">
            <w:pPr>
              <w:pStyle w:val="NoSpacing"/>
              <w:jc w:val="right"/>
            </w:pPr>
            <w:r w:rsidRPr="00730DE4">
              <w:t>13,545</w:t>
            </w:r>
          </w:p>
        </w:tc>
        <w:tc>
          <w:tcPr>
            <w:tcW w:w="491" w:type="pct"/>
          </w:tcPr>
          <w:p w14:paraId="59C2AEAE" w14:textId="77777777" w:rsidR="002514F8" w:rsidRPr="00730DE4" w:rsidRDefault="002514F8" w:rsidP="00BE710F">
            <w:pPr>
              <w:pStyle w:val="NoSpacing"/>
              <w:jc w:val="right"/>
            </w:pPr>
            <w:r w:rsidRPr="00730DE4">
              <w:t>17,128</w:t>
            </w:r>
          </w:p>
        </w:tc>
        <w:tc>
          <w:tcPr>
            <w:tcW w:w="491" w:type="pct"/>
          </w:tcPr>
          <w:p w14:paraId="1CB4247A" w14:textId="77777777" w:rsidR="002514F8" w:rsidRPr="00730DE4" w:rsidRDefault="002514F8" w:rsidP="00BE710F">
            <w:pPr>
              <w:pStyle w:val="NoSpacing"/>
              <w:jc w:val="right"/>
            </w:pPr>
            <w:r w:rsidRPr="00730DE4">
              <w:t>19,340</w:t>
            </w:r>
          </w:p>
        </w:tc>
        <w:tc>
          <w:tcPr>
            <w:tcW w:w="724" w:type="pct"/>
          </w:tcPr>
          <w:p w14:paraId="45E818F0" w14:textId="77777777" w:rsidR="002514F8" w:rsidRPr="00730DE4" w:rsidRDefault="002514F8" w:rsidP="00BE710F">
            <w:pPr>
              <w:pStyle w:val="NoSpacing"/>
              <w:jc w:val="right"/>
            </w:pPr>
            <w:r w:rsidRPr="00730DE4">
              <w:t>14,500</w:t>
            </w:r>
          </w:p>
        </w:tc>
        <w:tc>
          <w:tcPr>
            <w:tcW w:w="491" w:type="pct"/>
          </w:tcPr>
          <w:p w14:paraId="74118700" w14:textId="77777777" w:rsidR="002514F8" w:rsidRPr="00730DE4" w:rsidRDefault="002514F8" w:rsidP="00BE710F">
            <w:pPr>
              <w:pStyle w:val="NoSpacing"/>
              <w:jc w:val="right"/>
            </w:pPr>
            <w:r w:rsidRPr="00730DE4">
              <w:t>20,309</w:t>
            </w:r>
          </w:p>
        </w:tc>
        <w:tc>
          <w:tcPr>
            <w:tcW w:w="305" w:type="pct"/>
          </w:tcPr>
          <w:p w14:paraId="5F7506B4" w14:textId="77777777" w:rsidR="002514F8" w:rsidRPr="00730DE4" w:rsidRDefault="002514F8" w:rsidP="000831CB">
            <w:pPr>
              <w:pStyle w:val="NoSpacing"/>
              <w:jc w:val="center"/>
            </w:pPr>
            <w:r w:rsidRPr="00730DE4">
              <w:t>3, 4</w:t>
            </w:r>
          </w:p>
        </w:tc>
      </w:tr>
    </w:tbl>
    <w:p w14:paraId="7876B156" w14:textId="77777777" w:rsidR="002514F8" w:rsidRPr="00730DE4" w:rsidRDefault="002514F8" w:rsidP="00583174">
      <w:pPr>
        <w:pStyle w:val="Caption"/>
        <w:rPr>
          <w:lang w:val="en-US"/>
        </w:rPr>
      </w:pPr>
      <w:r w:rsidRPr="00730DE4">
        <w:rPr>
          <w:lang w:val="en-US"/>
        </w:rPr>
        <w:t>Notes:</w:t>
      </w:r>
    </w:p>
    <w:p w14:paraId="7C7E3636" w14:textId="77777777" w:rsidR="002514F8" w:rsidRPr="00730DE4" w:rsidRDefault="002514F8" w:rsidP="00583174">
      <w:pPr>
        <w:pStyle w:val="Caption"/>
        <w:rPr>
          <w:lang w:val="en-US"/>
        </w:rPr>
      </w:pPr>
      <w:r w:rsidRPr="00730DE4">
        <w:rPr>
          <w:lang w:val="en-US"/>
        </w:rPr>
        <w:t>1. This service standard has been discontinued for the 2024–25 Service Delivery Statements and has been replaced by ‘Overall customer satisfaction with QSS services’ to better reflect Queensland Shared Services as one shared service entity.</w:t>
      </w:r>
    </w:p>
    <w:p w14:paraId="10F2AD22" w14:textId="77777777" w:rsidR="002514F8" w:rsidRPr="00730DE4" w:rsidRDefault="002514F8" w:rsidP="00583174">
      <w:pPr>
        <w:pStyle w:val="Caption"/>
        <w:rPr>
          <w:lang w:val="en-US"/>
        </w:rPr>
      </w:pPr>
      <w:r w:rsidRPr="00730DE4">
        <w:rPr>
          <w:lang w:val="en-US"/>
        </w:rPr>
        <w:t xml:space="preserve">2. The variance between the 2023–24 Target/Estimate and 2023–24 Actual reflects process efficiencies, primarily due to an increase in (payroll) service volumes which QSS has processed with an economical resource base increase. </w:t>
      </w:r>
    </w:p>
    <w:p w14:paraId="48E89A0A" w14:textId="77777777" w:rsidR="002514F8" w:rsidRPr="00730DE4" w:rsidRDefault="002514F8" w:rsidP="00583174">
      <w:pPr>
        <w:pStyle w:val="Caption"/>
        <w:rPr>
          <w:lang w:val="en-US"/>
        </w:rPr>
      </w:pPr>
      <w:r w:rsidRPr="00730DE4">
        <w:rPr>
          <w:lang w:val="en-US"/>
        </w:rPr>
        <w:t xml:space="preserve">3. The wording of this service standard has been amended to ‘Number of accounts payable transactions processed per FTE per annum’ for the 2024–25 Service Delivery Statements to improve clarity. </w:t>
      </w:r>
    </w:p>
    <w:p w14:paraId="1E6A3D50" w14:textId="77777777" w:rsidR="002514F8" w:rsidRPr="00730DE4" w:rsidRDefault="002514F8" w:rsidP="00583174">
      <w:pPr>
        <w:pStyle w:val="Caption"/>
        <w:rPr>
          <w:lang w:val="en-US"/>
        </w:rPr>
      </w:pPr>
      <w:r w:rsidRPr="00730DE4">
        <w:rPr>
          <w:lang w:val="en-US"/>
        </w:rPr>
        <w:t>4. The variance between the 2023–24 Target/Estimate and 2023–24 Actual reflect process efficiencies, primarily due to an increase in the ratio of the number of invoices processed digitally compared to processed manually.</w:t>
      </w:r>
    </w:p>
    <w:p w14:paraId="6CBEEB12" w14:textId="77777777" w:rsidR="002514F8" w:rsidRPr="00730DE4" w:rsidRDefault="002514F8" w:rsidP="002B7001">
      <w:pPr>
        <w:pStyle w:val="Heading3"/>
        <w:rPr>
          <w:lang w:val="en-US"/>
        </w:rPr>
      </w:pPr>
      <w:bookmarkStart w:id="293" w:name="_Toc180487327"/>
      <w:bookmarkStart w:id="294" w:name="_Toc180490533"/>
      <w:bookmarkStart w:id="295" w:name="_Toc180491566"/>
      <w:r w:rsidRPr="00730DE4">
        <w:rPr>
          <w:lang w:val="en-US"/>
        </w:rPr>
        <w:t>Service area: Corporate Administration Agency</w:t>
      </w:r>
      <w:bookmarkEnd w:id="293"/>
      <w:bookmarkEnd w:id="294"/>
      <w:bookmarkEnd w:id="295"/>
    </w:p>
    <w:p w14:paraId="734CF68A" w14:textId="77777777" w:rsidR="002514F8" w:rsidRPr="00730DE4" w:rsidRDefault="002514F8" w:rsidP="00583174">
      <w:r w:rsidRPr="00730DE4">
        <w:rPr>
          <w:rStyle w:val="Strong"/>
        </w:rPr>
        <w:t xml:space="preserve">Service area objective: </w:t>
      </w:r>
      <w:r w:rsidRPr="00730DE4">
        <w:t>To provide effective corporate services that support Queensland Government entities primarily statutory bodies.</w:t>
      </w:r>
    </w:p>
    <w:p w14:paraId="6A9B06A3" w14:textId="77777777" w:rsidR="002514F8" w:rsidRPr="00730DE4" w:rsidRDefault="002514F8" w:rsidP="00583174">
      <w:pPr>
        <w:pStyle w:val="FigureCaption"/>
        <w:rPr>
          <w:lang w:val="en-US"/>
        </w:rPr>
      </w:pPr>
      <w:r w:rsidRPr="00730DE4">
        <w:rPr>
          <w:lang w:val="en-US"/>
        </w:rPr>
        <w:t>Table 28: Corporate Administration Agency effectiveness measures</w:t>
      </w:r>
    </w:p>
    <w:tbl>
      <w:tblPr>
        <w:tblStyle w:val="TMRDefault"/>
        <w:tblW w:w="5000" w:type="pct"/>
        <w:tblLook w:val="04A0" w:firstRow="1" w:lastRow="0" w:firstColumn="1" w:lastColumn="0" w:noHBand="0" w:noVBand="1"/>
      </w:tblPr>
      <w:tblGrid>
        <w:gridCol w:w="5404"/>
        <w:gridCol w:w="1203"/>
        <w:gridCol w:w="1203"/>
        <w:gridCol w:w="1203"/>
        <w:gridCol w:w="1203"/>
        <w:gridCol w:w="1698"/>
        <w:gridCol w:w="1204"/>
        <w:gridCol w:w="874"/>
      </w:tblGrid>
      <w:tr w:rsidR="000A65A9" w:rsidRPr="00730DE4" w14:paraId="2C749C56" w14:textId="77777777" w:rsidTr="007D1DCD">
        <w:trPr>
          <w:cnfStyle w:val="100000000000" w:firstRow="1" w:lastRow="0" w:firstColumn="0" w:lastColumn="0" w:oddVBand="0" w:evenVBand="0" w:oddHBand="0" w:evenHBand="0" w:firstRowFirstColumn="0" w:firstRowLastColumn="0" w:lastRowFirstColumn="0" w:lastRowLastColumn="0"/>
          <w:trHeight w:val="21"/>
          <w:tblHeader/>
        </w:trPr>
        <w:tc>
          <w:tcPr>
            <w:tcW w:w="1932" w:type="pct"/>
          </w:tcPr>
          <w:p w14:paraId="585A9AD1" w14:textId="77777777" w:rsidR="002514F8" w:rsidRPr="00730DE4" w:rsidRDefault="002514F8" w:rsidP="000B0ED0">
            <w:pPr>
              <w:pStyle w:val="NoSpacing"/>
              <w:rPr>
                <w:color w:val="FFFFFF" w:themeColor="background1"/>
              </w:rPr>
            </w:pPr>
            <w:r w:rsidRPr="00730DE4">
              <w:rPr>
                <w:color w:val="FFFFFF" w:themeColor="background1"/>
              </w:rPr>
              <w:t>Service standards</w:t>
            </w:r>
          </w:p>
        </w:tc>
        <w:tc>
          <w:tcPr>
            <w:tcW w:w="431" w:type="pct"/>
          </w:tcPr>
          <w:p w14:paraId="26F22A94" w14:textId="77777777" w:rsidR="002514F8" w:rsidRPr="00730DE4" w:rsidRDefault="002514F8" w:rsidP="00BE710F">
            <w:pPr>
              <w:pStyle w:val="NoSpacing"/>
              <w:jc w:val="right"/>
              <w:rPr>
                <w:color w:val="FFFFFF" w:themeColor="background1"/>
              </w:rPr>
            </w:pPr>
            <w:r w:rsidRPr="00730DE4">
              <w:rPr>
                <w:color w:val="FFFFFF" w:themeColor="background1"/>
              </w:rPr>
              <w:t>2019–20 Actual</w:t>
            </w:r>
          </w:p>
        </w:tc>
        <w:tc>
          <w:tcPr>
            <w:tcW w:w="431" w:type="pct"/>
          </w:tcPr>
          <w:p w14:paraId="335843C3" w14:textId="77777777" w:rsidR="002514F8" w:rsidRPr="00730DE4" w:rsidRDefault="002514F8" w:rsidP="00BE710F">
            <w:pPr>
              <w:pStyle w:val="NoSpacing"/>
              <w:jc w:val="right"/>
              <w:rPr>
                <w:color w:val="FFFFFF" w:themeColor="background1"/>
              </w:rPr>
            </w:pPr>
            <w:r w:rsidRPr="00730DE4">
              <w:rPr>
                <w:color w:val="FFFFFF" w:themeColor="background1"/>
              </w:rPr>
              <w:t>2020–21 Actual</w:t>
            </w:r>
          </w:p>
        </w:tc>
        <w:tc>
          <w:tcPr>
            <w:tcW w:w="431" w:type="pct"/>
          </w:tcPr>
          <w:p w14:paraId="5C2C5B11" w14:textId="77777777" w:rsidR="002514F8" w:rsidRPr="00730DE4" w:rsidRDefault="002514F8" w:rsidP="00BE710F">
            <w:pPr>
              <w:pStyle w:val="NoSpacing"/>
              <w:jc w:val="right"/>
              <w:rPr>
                <w:color w:val="FFFFFF" w:themeColor="background1"/>
              </w:rPr>
            </w:pPr>
            <w:r w:rsidRPr="00730DE4">
              <w:rPr>
                <w:color w:val="FFFFFF" w:themeColor="background1"/>
              </w:rPr>
              <w:t>2021–22 Actual</w:t>
            </w:r>
          </w:p>
        </w:tc>
        <w:tc>
          <w:tcPr>
            <w:tcW w:w="431" w:type="pct"/>
          </w:tcPr>
          <w:p w14:paraId="2CAE831A" w14:textId="77777777" w:rsidR="002514F8" w:rsidRPr="00730DE4" w:rsidRDefault="002514F8" w:rsidP="00BE710F">
            <w:pPr>
              <w:pStyle w:val="NoSpacing"/>
              <w:jc w:val="right"/>
              <w:rPr>
                <w:color w:val="FFFFFF" w:themeColor="background1"/>
              </w:rPr>
            </w:pPr>
            <w:r w:rsidRPr="00730DE4">
              <w:rPr>
                <w:color w:val="FFFFFF" w:themeColor="background1"/>
              </w:rPr>
              <w:t>2022–23 Actual</w:t>
            </w:r>
          </w:p>
        </w:tc>
        <w:tc>
          <w:tcPr>
            <w:tcW w:w="608" w:type="pct"/>
          </w:tcPr>
          <w:p w14:paraId="3DE853D0" w14:textId="77777777" w:rsidR="002514F8" w:rsidRPr="00730DE4" w:rsidRDefault="002514F8" w:rsidP="00BE710F">
            <w:pPr>
              <w:pStyle w:val="NoSpacing"/>
              <w:jc w:val="right"/>
              <w:rPr>
                <w:color w:val="FFFFFF" w:themeColor="background1"/>
              </w:rPr>
            </w:pPr>
            <w:r w:rsidRPr="00730DE4">
              <w:rPr>
                <w:color w:val="FFFFFF" w:themeColor="background1"/>
              </w:rPr>
              <w:t>2023–24 Target / Estimate</w:t>
            </w:r>
          </w:p>
        </w:tc>
        <w:tc>
          <w:tcPr>
            <w:tcW w:w="431" w:type="pct"/>
          </w:tcPr>
          <w:p w14:paraId="14E42476" w14:textId="77777777" w:rsidR="002514F8" w:rsidRPr="00730DE4" w:rsidRDefault="002514F8" w:rsidP="00BE710F">
            <w:pPr>
              <w:pStyle w:val="NoSpacing"/>
              <w:jc w:val="right"/>
              <w:rPr>
                <w:color w:val="FFFFFF" w:themeColor="background1"/>
              </w:rPr>
            </w:pPr>
            <w:r w:rsidRPr="00730DE4">
              <w:rPr>
                <w:color w:val="FFFFFF" w:themeColor="background1"/>
              </w:rPr>
              <w:t>2023–24 Actual</w:t>
            </w:r>
          </w:p>
        </w:tc>
        <w:tc>
          <w:tcPr>
            <w:tcW w:w="305" w:type="pct"/>
          </w:tcPr>
          <w:p w14:paraId="0F578ACD" w14:textId="77777777" w:rsidR="002514F8" w:rsidRPr="00730DE4" w:rsidRDefault="002514F8" w:rsidP="000831CB">
            <w:pPr>
              <w:pStyle w:val="NoSpacing"/>
              <w:jc w:val="center"/>
              <w:rPr>
                <w:color w:val="FFFFFF" w:themeColor="background1"/>
              </w:rPr>
            </w:pPr>
            <w:r w:rsidRPr="00730DE4">
              <w:rPr>
                <w:color w:val="FFFFFF" w:themeColor="background1"/>
              </w:rPr>
              <w:t>Notes</w:t>
            </w:r>
          </w:p>
        </w:tc>
      </w:tr>
      <w:tr w:rsidR="000A65A9" w:rsidRPr="00730DE4" w14:paraId="26DA479C" w14:textId="77777777" w:rsidTr="007D1DCD">
        <w:trPr>
          <w:cnfStyle w:val="000000100000" w:firstRow="0" w:lastRow="0" w:firstColumn="0" w:lastColumn="0" w:oddVBand="0" w:evenVBand="0" w:oddHBand="1" w:evenHBand="0" w:firstRowFirstColumn="0" w:firstRowLastColumn="0" w:lastRowFirstColumn="0" w:lastRowLastColumn="0"/>
          <w:trHeight w:val="21"/>
        </w:trPr>
        <w:tc>
          <w:tcPr>
            <w:tcW w:w="1932" w:type="pct"/>
          </w:tcPr>
          <w:p w14:paraId="109E5C1F" w14:textId="77777777" w:rsidR="002514F8" w:rsidRPr="00730DE4" w:rsidRDefault="002514F8" w:rsidP="000B0ED0">
            <w:pPr>
              <w:pStyle w:val="NoSpacing"/>
            </w:pPr>
            <w:r w:rsidRPr="00730DE4">
              <w:t>Overall customer satisfaction with CAA Services</w:t>
            </w:r>
          </w:p>
        </w:tc>
        <w:tc>
          <w:tcPr>
            <w:tcW w:w="431" w:type="pct"/>
          </w:tcPr>
          <w:p w14:paraId="2640D2AD" w14:textId="77777777" w:rsidR="002514F8" w:rsidRPr="00730DE4" w:rsidRDefault="002514F8" w:rsidP="00BE710F">
            <w:pPr>
              <w:pStyle w:val="NoSpacing"/>
              <w:jc w:val="right"/>
            </w:pPr>
            <w:r w:rsidRPr="00730DE4">
              <w:t>95%</w:t>
            </w:r>
          </w:p>
        </w:tc>
        <w:tc>
          <w:tcPr>
            <w:tcW w:w="431" w:type="pct"/>
          </w:tcPr>
          <w:p w14:paraId="1FDF0048" w14:textId="77777777" w:rsidR="002514F8" w:rsidRPr="00730DE4" w:rsidRDefault="002514F8" w:rsidP="00BE710F">
            <w:pPr>
              <w:pStyle w:val="NoSpacing"/>
              <w:jc w:val="right"/>
            </w:pPr>
            <w:r w:rsidRPr="00730DE4">
              <w:t>96%</w:t>
            </w:r>
          </w:p>
        </w:tc>
        <w:tc>
          <w:tcPr>
            <w:tcW w:w="431" w:type="pct"/>
          </w:tcPr>
          <w:p w14:paraId="491A7DEE" w14:textId="77777777" w:rsidR="002514F8" w:rsidRPr="00730DE4" w:rsidRDefault="002514F8" w:rsidP="00BE710F">
            <w:pPr>
              <w:pStyle w:val="NoSpacing"/>
              <w:jc w:val="right"/>
            </w:pPr>
            <w:r w:rsidRPr="00730DE4">
              <w:t>94%</w:t>
            </w:r>
          </w:p>
        </w:tc>
        <w:tc>
          <w:tcPr>
            <w:tcW w:w="431" w:type="pct"/>
          </w:tcPr>
          <w:p w14:paraId="185E0102" w14:textId="77777777" w:rsidR="002514F8" w:rsidRPr="00730DE4" w:rsidRDefault="002514F8" w:rsidP="00BE710F">
            <w:pPr>
              <w:pStyle w:val="NoSpacing"/>
              <w:jc w:val="right"/>
            </w:pPr>
            <w:r w:rsidRPr="00730DE4">
              <w:t>85%</w:t>
            </w:r>
          </w:p>
        </w:tc>
        <w:tc>
          <w:tcPr>
            <w:tcW w:w="608" w:type="pct"/>
          </w:tcPr>
          <w:p w14:paraId="695972A1" w14:textId="77777777" w:rsidR="002514F8" w:rsidRPr="00730DE4" w:rsidRDefault="002514F8" w:rsidP="00BE710F">
            <w:pPr>
              <w:pStyle w:val="NoSpacing"/>
              <w:jc w:val="right"/>
            </w:pPr>
            <w:r w:rsidRPr="00730DE4">
              <w:t>90%</w:t>
            </w:r>
          </w:p>
        </w:tc>
        <w:tc>
          <w:tcPr>
            <w:tcW w:w="431" w:type="pct"/>
          </w:tcPr>
          <w:p w14:paraId="278F8094" w14:textId="77777777" w:rsidR="002514F8" w:rsidRPr="00730DE4" w:rsidRDefault="002514F8" w:rsidP="00BE710F">
            <w:pPr>
              <w:pStyle w:val="NoSpacing"/>
              <w:jc w:val="right"/>
            </w:pPr>
            <w:r w:rsidRPr="00730DE4">
              <w:t>85%</w:t>
            </w:r>
          </w:p>
        </w:tc>
        <w:tc>
          <w:tcPr>
            <w:tcW w:w="305" w:type="pct"/>
          </w:tcPr>
          <w:p w14:paraId="47446B6E" w14:textId="77777777" w:rsidR="002514F8" w:rsidRPr="00730DE4" w:rsidRDefault="002514F8" w:rsidP="000831CB">
            <w:pPr>
              <w:pStyle w:val="NoSpacing"/>
              <w:jc w:val="center"/>
            </w:pPr>
            <w:r w:rsidRPr="00730DE4">
              <w:t>1</w:t>
            </w:r>
          </w:p>
        </w:tc>
      </w:tr>
      <w:tr w:rsidR="002514F8" w:rsidRPr="00730DE4" w14:paraId="32D4A687" w14:textId="77777777" w:rsidTr="007D1DCD">
        <w:trPr>
          <w:trHeight w:val="21"/>
        </w:trPr>
        <w:tc>
          <w:tcPr>
            <w:tcW w:w="1932" w:type="pct"/>
          </w:tcPr>
          <w:p w14:paraId="1EF9EDB0" w14:textId="77777777" w:rsidR="002514F8" w:rsidRPr="00730DE4" w:rsidRDefault="002514F8" w:rsidP="000B0ED0">
            <w:pPr>
              <w:pStyle w:val="NoSpacing"/>
            </w:pPr>
            <w:r w:rsidRPr="00730DE4">
              <w:t>Overall customers consider CAA services are value for money</w:t>
            </w:r>
          </w:p>
        </w:tc>
        <w:tc>
          <w:tcPr>
            <w:tcW w:w="431" w:type="pct"/>
          </w:tcPr>
          <w:p w14:paraId="75202D62" w14:textId="77777777" w:rsidR="002514F8" w:rsidRPr="00730DE4" w:rsidRDefault="002514F8" w:rsidP="00BE710F">
            <w:pPr>
              <w:pStyle w:val="NoSpacing"/>
              <w:jc w:val="right"/>
            </w:pPr>
            <w:r w:rsidRPr="00730DE4">
              <w:t>93%</w:t>
            </w:r>
          </w:p>
        </w:tc>
        <w:tc>
          <w:tcPr>
            <w:tcW w:w="431" w:type="pct"/>
          </w:tcPr>
          <w:p w14:paraId="6E7A0E7F" w14:textId="77777777" w:rsidR="002514F8" w:rsidRPr="00730DE4" w:rsidRDefault="002514F8" w:rsidP="00BE710F">
            <w:pPr>
              <w:pStyle w:val="NoSpacing"/>
              <w:jc w:val="right"/>
            </w:pPr>
            <w:r w:rsidRPr="00730DE4">
              <w:t>100%</w:t>
            </w:r>
          </w:p>
        </w:tc>
        <w:tc>
          <w:tcPr>
            <w:tcW w:w="431" w:type="pct"/>
          </w:tcPr>
          <w:p w14:paraId="5B8B0EC1" w14:textId="77777777" w:rsidR="002514F8" w:rsidRPr="00730DE4" w:rsidRDefault="002514F8" w:rsidP="00BE710F">
            <w:pPr>
              <w:pStyle w:val="NoSpacing"/>
              <w:jc w:val="right"/>
            </w:pPr>
            <w:r w:rsidRPr="00730DE4">
              <w:t>100%</w:t>
            </w:r>
          </w:p>
        </w:tc>
        <w:tc>
          <w:tcPr>
            <w:tcW w:w="431" w:type="pct"/>
          </w:tcPr>
          <w:p w14:paraId="00C1DC42" w14:textId="77777777" w:rsidR="002514F8" w:rsidRPr="00730DE4" w:rsidRDefault="002514F8" w:rsidP="00BE710F">
            <w:pPr>
              <w:pStyle w:val="NoSpacing"/>
              <w:jc w:val="right"/>
            </w:pPr>
            <w:r w:rsidRPr="00730DE4">
              <w:t>100%</w:t>
            </w:r>
          </w:p>
        </w:tc>
        <w:tc>
          <w:tcPr>
            <w:tcW w:w="608" w:type="pct"/>
          </w:tcPr>
          <w:p w14:paraId="282B70CC" w14:textId="77777777" w:rsidR="002514F8" w:rsidRPr="00730DE4" w:rsidRDefault="002514F8" w:rsidP="00BE710F">
            <w:pPr>
              <w:pStyle w:val="NoSpacing"/>
              <w:jc w:val="right"/>
            </w:pPr>
            <w:r w:rsidRPr="00730DE4">
              <w:t>95%</w:t>
            </w:r>
          </w:p>
        </w:tc>
        <w:tc>
          <w:tcPr>
            <w:tcW w:w="431" w:type="pct"/>
          </w:tcPr>
          <w:p w14:paraId="25930B05" w14:textId="77777777" w:rsidR="002514F8" w:rsidRPr="00730DE4" w:rsidRDefault="002514F8" w:rsidP="00BE710F">
            <w:pPr>
              <w:pStyle w:val="NoSpacing"/>
              <w:jc w:val="right"/>
            </w:pPr>
            <w:r w:rsidRPr="00730DE4">
              <w:t>100%</w:t>
            </w:r>
          </w:p>
        </w:tc>
        <w:tc>
          <w:tcPr>
            <w:tcW w:w="305" w:type="pct"/>
          </w:tcPr>
          <w:p w14:paraId="151A73AE" w14:textId="77777777" w:rsidR="002514F8" w:rsidRPr="00730DE4" w:rsidRDefault="002514F8" w:rsidP="000831CB">
            <w:pPr>
              <w:pStyle w:val="NoSpacing"/>
              <w:jc w:val="center"/>
            </w:pPr>
          </w:p>
        </w:tc>
      </w:tr>
      <w:tr w:rsidR="000A65A9" w:rsidRPr="00730DE4" w14:paraId="77A88E43" w14:textId="77777777" w:rsidTr="007D1DCD">
        <w:trPr>
          <w:cnfStyle w:val="000000100000" w:firstRow="0" w:lastRow="0" w:firstColumn="0" w:lastColumn="0" w:oddVBand="0" w:evenVBand="0" w:oddHBand="1" w:evenHBand="0" w:firstRowFirstColumn="0" w:firstRowLastColumn="0" w:lastRowFirstColumn="0" w:lastRowLastColumn="0"/>
          <w:trHeight w:val="21"/>
        </w:trPr>
        <w:tc>
          <w:tcPr>
            <w:tcW w:w="1932" w:type="pct"/>
          </w:tcPr>
          <w:p w14:paraId="23054FBD" w14:textId="77777777" w:rsidR="002514F8" w:rsidRPr="00730DE4" w:rsidRDefault="002514F8" w:rsidP="000B0ED0">
            <w:pPr>
              <w:pStyle w:val="NoSpacing"/>
            </w:pPr>
            <w:r w:rsidRPr="00730DE4">
              <w:t>CAA Electronic Document and Records Management System and Human Resource Information System availability during business hours</w:t>
            </w:r>
          </w:p>
        </w:tc>
        <w:tc>
          <w:tcPr>
            <w:tcW w:w="431" w:type="pct"/>
          </w:tcPr>
          <w:p w14:paraId="1DD0DAD2" w14:textId="77777777" w:rsidR="002514F8" w:rsidRPr="00730DE4" w:rsidRDefault="002514F8" w:rsidP="00BE710F">
            <w:pPr>
              <w:pStyle w:val="NoSpacing"/>
              <w:jc w:val="right"/>
            </w:pPr>
            <w:r w:rsidRPr="00730DE4">
              <w:t>N/A</w:t>
            </w:r>
          </w:p>
        </w:tc>
        <w:tc>
          <w:tcPr>
            <w:tcW w:w="431" w:type="pct"/>
          </w:tcPr>
          <w:p w14:paraId="70675B41" w14:textId="77777777" w:rsidR="002514F8" w:rsidRPr="00730DE4" w:rsidRDefault="002514F8" w:rsidP="00BE710F">
            <w:pPr>
              <w:pStyle w:val="NoSpacing"/>
              <w:jc w:val="right"/>
            </w:pPr>
            <w:r w:rsidRPr="00730DE4">
              <w:t>N/A</w:t>
            </w:r>
          </w:p>
        </w:tc>
        <w:tc>
          <w:tcPr>
            <w:tcW w:w="431" w:type="pct"/>
          </w:tcPr>
          <w:p w14:paraId="4824AE35" w14:textId="77777777" w:rsidR="002514F8" w:rsidRPr="00730DE4" w:rsidRDefault="002514F8" w:rsidP="00BE710F">
            <w:pPr>
              <w:pStyle w:val="NoSpacing"/>
              <w:jc w:val="right"/>
            </w:pPr>
            <w:r w:rsidRPr="00730DE4">
              <w:t>N/A</w:t>
            </w:r>
          </w:p>
        </w:tc>
        <w:tc>
          <w:tcPr>
            <w:tcW w:w="431" w:type="pct"/>
          </w:tcPr>
          <w:p w14:paraId="423C048A" w14:textId="77777777" w:rsidR="002514F8" w:rsidRPr="00730DE4" w:rsidRDefault="002514F8" w:rsidP="00BE710F">
            <w:pPr>
              <w:pStyle w:val="NoSpacing"/>
              <w:jc w:val="right"/>
            </w:pPr>
            <w:r w:rsidRPr="00730DE4">
              <w:t>N/A</w:t>
            </w:r>
          </w:p>
        </w:tc>
        <w:tc>
          <w:tcPr>
            <w:tcW w:w="608" w:type="pct"/>
          </w:tcPr>
          <w:p w14:paraId="13870172" w14:textId="77777777" w:rsidR="002514F8" w:rsidRPr="00730DE4" w:rsidRDefault="002514F8" w:rsidP="00BE710F">
            <w:pPr>
              <w:pStyle w:val="NoSpacing"/>
              <w:jc w:val="right"/>
            </w:pPr>
            <w:r w:rsidRPr="00730DE4">
              <w:t>99%</w:t>
            </w:r>
          </w:p>
        </w:tc>
        <w:tc>
          <w:tcPr>
            <w:tcW w:w="431" w:type="pct"/>
          </w:tcPr>
          <w:p w14:paraId="3D4F27B0" w14:textId="77777777" w:rsidR="002514F8" w:rsidRPr="00730DE4" w:rsidRDefault="002514F8" w:rsidP="00BE710F">
            <w:pPr>
              <w:pStyle w:val="NoSpacing"/>
              <w:jc w:val="right"/>
            </w:pPr>
            <w:r w:rsidRPr="00730DE4">
              <w:t>100%</w:t>
            </w:r>
          </w:p>
        </w:tc>
        <w:tc>
          <w:tcPr>
            <w:tcW w:w="305" w:type="pct"/>
          </w:tcPr>
          <w:p w14:paraId="20B26A66" w14:textId="77777777" w:rsidR="002514F8" w:rsidRPr="00730DE4" w:rsidRDefault="002514F8" w:rsidP="000831CB">
            <w:pPr>
              <w:pStyle w:val="NoSpacing"/>
              <w:jc w:val="center"/>
            </w:pPr>
          </w:p>
        </w:tc>
      </w:tr>
    </w:tbl>
    <w:p w14:paraId="33C52AB2" w14:textId="77777777" w:rsidR="002514F8" w:rsidRPr="00730DE4" w:rsidRDefault="002514F8" w:rsidP="00583174">
      <w:pPr>
        <w:pStyle w:val="FigureCaption"/>
        <w:rPr>
          <w:lang w:val="en-US"/>
        </w:rPr>
      </w:pPr>
      <w:r w:rsidRPr="00730DE4">
        <w:rPr>
          <w:lang w:val="en-US"/>
        </w:rPr>
        <w:t>Table 29: Corporate Administration Agency efficiency measures</w:t>
      </w:r>
    </w:p>
    <w:tbl>
      <w:tblPr>
        <w:tblStyle w:val="TMRDefault"/>
        <w:tblW w:w="5000" w:type="pct"/>
        <w:tblLook w:val="04A0" w:firstRow="1" w:lastRow="0" w:firstColumn="1" w:lastColumn="0" w:noHBand="0" w:noVBand="1"/>
      </w:tblPr>
      <w:tblGrid>
        <w:gridCol w:w="3288"/>
        <w:gridCol w:w="1508"/>
        <w:gridCol w:w="1508"/>
        <w:gridCol w:w="1509"/>
        <w:gridCol w:w="1509"/>
        <w:gridCol w:w="2287"/>
        <w:gridCol w:w="1509"/>
        <w:gridCol w:w="874"/>
      </w:tblGrid>
      <w:tr w:rsidR="000A65A9" w:rsidRPr="00730DE4" w14:paraId="1CA1E9A3" w14:textId="77777777" w:rsidTr="007D1DCD">
        <w:trPr>
          <w:cnfStyle w:val="100000000000" w:firstRow="1" w:lastRow="0" w:firstColumn="0" w:lastColumn="0" w:oddVBand="0" w:evenVBand="0" w:oddHBand="0" w:evenHBand="0" w:firstRowFirstColumn="0" w:firstRowLastColumn="0" w:lastRowFirstColumn="0" w:lastRowLastColumn="0"/>
          <w:trHeight w:val="21"/>
          <w:tblHeader/>
        </w:trPr>
        <w:tc>
          <w:tcPr>
            <w:tcW w:w="1176" w:type="pct"/>
          </w:tcPr>
          <w:p w14:paraId="2E03BED7" w14:textId="77777777" w:rsidR="002514F8" w:rsidRPr="00730DE4" w:rsidRDefault="002514F8" w:rsidP="000B0ED0">
            <w:pPr>
              <w:pStyle w:val="NoSpacing"/>
              <w:rPr>
                <w:color w:val="FFFFFF" w:themeColor="background1"/>
              </w:rPr>
            </w:pPr>
            <w:r w:rsidRPr="00730DE4">
              <w:rPr>
                <w:color w:val="FFFFFF" w:themeColor="background1"/>
              </w:rPr>
              <w:t>Service standards</w:t>
            </w:r>
          </w:p>
        </w:tc>
        <w:tc>
          <w:tcPr>
            <w:tcW w:w="540" w:type="pct"/>
          </w:tcPr>
          <w:p w14:paraId="60BCFF37" w14:textId="77777777" w:rsidR="002514F8" w:rsidRPr="00730DE4" w:rsidRDefault="002514F8" w:rsidP="00BE710F">
            <w:pPr>
              <w:pStyle w:val="NoSpacing"/>
              <w:jc w:val="right"/>
              <w:rPr>
                <w:color w:val="FFFFFF" w:themeColor="background1"/>
              </w:rPr>
            </w:pPr>
            <w:r w:rsidRPr="00730DE4">
              <w:rPr>
                <w:color w:val="FFFFFF" w:themeColor="background1"/>
              </w:rPr>
              <w:t>2019–20 Actual</w:t>
            </w:r>
          </w:p>
        </w:tc>
        <w:tc>
          <w:tcPr>
            <w:tcW w:w="540" w:type="pct"/>
          </w:tcPr>
          <w:p w14:paraId="4D97DB43" w14:textId="77777777" w:rsidR="002514F8" w:rsidRPr="00730DE4" w:rsidRDefault="002514F8" w:rsidP="00BE710F">
            <w:pPr>
              <w:pStyle w:val="NoSpacing"/>
              <w:jc w:val="right"/>
              <w:rPr>
                <w:color w:val="FFFFFF" w:themeColor="background1"/>
              </w:rPr>
            </w:pPr>
            <w:r w:rsidRPr="00730DE4">
              <w:rPr>
                <w:color w:val="FFFFFF" w:themeColor="background1"/>
              </w:rPr>
              <w:t>2020–21 Actual</w:t>
            </w:r>
          </w:p>
        </w:tc>
        <w:tc>
          <w:tcPr>
            <w:tcW w:w="540" w:type="pct"/>
          </w:tcPr>
          <w:p w14:paraId="55C383F6" w14:textId="77777777" w:rsidR="002514F8" w:rsidRPr="00730DE4" w:rsidRDefault="002514F8" w:rsidP="00BE710F">
            <w:pPr>
              <w:pStyle w:val="NoSpacing"/>
              <w:jc w:val="right"/>
              <w:rPr>
                <w:color w:val="FFFFFF" w:themeColor="background1"/>
              </w:rPr>
            </w:pPr>
            <w:r w:rsidRPr="00730DE4">
              <w:rPr>
                <w:color w:val="FFFFFF" w:themeColor="background1"/>
              </w:rPr>
              <w:t>2021–22 Actual</w:t>
            </w:r>
          </w:p>
        </w:tc>
        <w:tc>
          <w:tcPr>
            <w:tcW w:w="540" w:type="pct"/>
          </w:tcPr>
          <w:p w14:paraId="48AA606A" w14:textId="77777777" w:rsidR="002514F8" w:rsidRPr="00730DE4" w:rsidRDefault="002514F8" w:rsidP="00BE710F">
            <w:pPr>
              <w:pStyle w:val="NoSpacing"/>
              <w:jc w:val="right"/>
              <w:rPr>
                <w:color w:val="FFFFFF" w:themeColor="background1"/>
              </w:rPr>
            </w:pPr>
            <w:r w:rsidRPr="00730DE4">
              <w:rPr>
                <w:color w:val="FFFFFF" w:themeColor="background1"/>
              </w:rPr>
              <w:t>2022–23 Actual</w:t>
            </w:r>
          </w:p>
        </w:tc>
        <w:tc>
          <w:tcPr>
            <w:tcW w:w="818" w:type="pct"/>
          </w:tcPr>
          <w:p w14:paraId="4B419980" w14:textId="77777777" w:rsidR="002514F8" w:rsidRPr="00730DE4" w:rsidRDefault="002514F8" w:rsidP="00BE710F">
            <w:pPr>
              <w:pStyle w:val="NoSpacing"/>
              <w:jc w:val="right"/>
              <w:rPr>
                <w:color w:val="FFFFFF" w:themeColor="background1"/>
              </w:rPr>
            </w:pPr>
            <w:r w:rsidRPr="00730DE4">
              <w:rPr>
                <w:color w:val="FFFFFF" w:themeColor="background1"/>
              </w:rPr>
              <w:t>2023–24 Target / Estimate</w:t>
            </w:r>
          </w:p>
        </w:tc>
        <w:tc>
          <w:tcPr>
            <w:tcW w:w="540" w:type="pct"/>
          </w:tcPr>
          <w:p w14:paraId="2EAA98EB" w14:textId="77777777" w:rsidR="002514F8" w:rsidRPr="00730DE4" w:rsidRDefault="002514F8" w:rsidP="00BE710F">
            <w:pPr>
              <w:pStyle w:val="NoSpacing"/>
              <w:jc w:val="right"/>
              <w:rPr>
                <w:color w:val="FFFFFF" w:themeColor="background1"/>
              </w:rPr>
            </w:pPr>
            <w:r w:rsidRPr="00730DE4">
              <w:rPr>
                <w:color w:val="FFFFFF" w:themeColor="background1"/>
              </w:rPr>
              <w:t>2023–24 Actual</w:t>
            </w:r>
          </w:p>
        </w:tc>
        <w:tc>
          <w:tcPr>
            <w:tcW w:w="305" w:type="pct"/>
          </w:tcPr>
          <w:p w14:paraId="61B94BE8" w14:textId="77777777" w:rsidR="002514F8" w:rsidRPr="00730DE4" w:rsidRDefault="002514F8" w:rsidP="000831CB">
            <w:pPr>
              <w:pStyle w:val="NoSpacing"/>
              <w:jc w:val="center"/>
              <w:rPr>
                <w:color w:val="FFFFFF" w:themeColor="background1"/>
              </w:rPr>
            </w:pPr>
            <w:r w:rsidRPr="00730DE4">
              <w:rPr>
                <w:color w:val="FFFFFF" w:themeColor="background1"/>
              </w:rPr>
              <w:t>Notes</w:t>
            </w:r>
          </w:p>
        </w:tc>
      </w:tr>
      <w:tr w:rsidR="000A65A9" w:rsidRPr="00730DE4" w14:paraId="67691834" w14:textId="77777777" w:rsidTr="007D1DCD">
        <w:trPr>
          <w:cnfStyle w:val="000000100000" w:firstRow="0" w:lastRow="0" w:firstColumn="0" w:lastColumn="0" w:oddVBand="0" w:evenVBand="0" w:oddHBand="1" w:evenHBand="0" w:firstRowFirstColumn="0" w:firstRowLastColumn="0" w:lastRowFirstColumn="0" w:lastRowLastColumn="0"/>
          <w:trHeight w:val="21"/>
        </w:trPr>
        <w:tc>
          <w:tcPr>
            <w:tcW w:w="1176" w:type="pct"/>
          </w:tcPr>
          <w:p w14:paraId="0A8CCA57" w14:textId="77777777" w:rsidR="002514F8" w:rsidRPr="00730DE4" w:rsidRDefault="002514F8" w:rsidP="000B0ED0">
            <w:pPr>
              <w:pStyle w:val="NoSpacing"/>
            </w:pPr>
            <w:r w:rsidRPr="00730DE4">
              <w:t>CAA operating surplus/(deficit)</w:t>
            </w:r>
          </w:p>
        </w:tc>
        <w:tc>
          <w:tcPr>
            <w:tcW w:w="540" w:type="pct"/>
          </w:tcPr>
          <w:p w14:paraId="563B20F4" w14:textId="77777777" w:rsidR="002514F8" w:rsidRPr="00730DE4" w:rsidRDefault="002514F8" w:rsidP="00BE710F">
            <w:pPr>
              <w:pStyle w:val="NoSpacing"/>
              <w:jc w:val="right"/>
            </w:pPr>
            <w:r w:rsidRPr="00730DE4">
              <w:t>0%</w:t>
            </w:r>
          </w:p>
        </w:tc>
        <w:tc>
          <w:tcPr>
            <w:tcW w:w="540" w:type="pct"/>
          </w:tcPr>
          <w:p w14:paraId="356C1712" w14:textId="77777777" w:rsidR="002514F8" w:rsidRPr="00730DE4" w:rsidRDefault="002514F8" w:rsidP="00BE710F">
            <w:pPr>
              <w:pStyle w:val="NoSpacing"/>
              <w:jc w:val="right"/>
            </w:pPr>
            <w:r w:rsidRPr="00730DE4">
              <w:t>0.84%</w:t>
            </w:r>
          </w:p>
        </w:tc>
        <w:tc>
          <w:tcPr>
            <w:tcW w:w="540" w:type="pct"/>
          </w:tcPr>
          <w:p w14:paraId="0EBDCCA2" w14:textId="77777777" w:rsidR="002514F8" w:rsidRPr="00730DE4" w:rsidRDefault="002514F8" w:rsidP="00BE710F">
            <w:pPr>
              <w:pStyle w:val="NoSpacing"/>
              <w:jc w:val="right"/>
            </w:pPr>
            <w:r w:rsidRPr="00730DE4">
              <w:t>-0.13%</w:t>
            </w:r>
          </w:p>
        </w:tc>
        <w:tc>
          <w:tcPr>
            <w:tcW w:w="540" w:type="pct"/>
          </w:tcPr>
          <w:p w14:paraId="22601415" w14:textId="77777777" w:rsidR="002514F8" w:rsidRPr="00730DE4" w:rsidRDefault="002514F8" w:rsidP="00BE710F">
            <w:pPr>
              <w:pStyle w:val="NoSpacing"/>
              <w:jc w:val="right"/>
            </w:pPr>
            <w:r w:rsidRPr="00730DE4">
              <w:t>-2.50%</w:t>
            </w:r>
          </w:p>
        </w:tc>
        <w:tc>
          <w:tcPr>
            <w:tcW w:w="818" w:type="pct"/>
          </w:tcPr>
          <w:p w14:paraId="5AEF2A11" w14:textId="77777777" w:rsidR="002514F8" w:rsidRPr="00730DE4" w:rsidRDefault="002514F8" w:rsidP="00BE710F">
            <w:pPr>
              <w:pStyle w:val="NoSpacing"/>
              <w:jc w:val="right"/>
            </w:pPr>
            <w:r w:rsidRPr="00730DE4">
              <w:t>±2%</w:t>
            </w:r>
          </w:p>
        </w:tc>
        <w:tc>
          <w:tcPr>
            <w:tcW w:w="540" w:type="pct"/>
          </w:tcPr>
          <w:p w14:paraId="242DB01C" w14:textId="77777777" w:rsidR="002514F8" w:rsidRPr="00730DE4" w:rsidRDefault="002514F8" w:rsidP="00BE710F">
            <w:pPr>
              <w:pStyle w:val="NoSpacing"/>
              <w:jc w:val="right"/>
            </w:pPr>
            <w:r w:rsidRPr="00730DE4">
              <w:t>-5%</w:t>
            </w:r>
          </w:p>
        </w:tc>
        <w:tc>
          <w:tcPr>
            <w:tcW w:w="305" w:type="pct"/>
          </w:tcPr>
          <w:p w14:paraId="07C9E529" w14:textId="77777777" w:rsidR="002514F8" w:rsidRPr="00730DE4" w:rsidRDefault="002514F8" w:rsidP="000831CB">
            <w:pPr>
              <w:pStyle w:val="NoSpacing"/>
              <w:jc w:val="center"/>
            </w:pPr>
            <w:r w:rsidRPr="00730DE4">
              <w:t>2</w:t>
            </w:r>
          </w:p>
        </w:tc>
      </w:tr>
      <w:tr w:rsidR="002514F8" w:rsidRPr="00730DE4" w14:paraId="5B4D7631" w14:textId="77777777" w:rsidTr="007D1DCD">
        <w:trPr>
          <w:trHeight w:val="21"/>
        </w:trPr>
        <w:tc>
          <w:tcPr>
            <w:tcW w:w="1176" w:type="pct"/>
          </w:tcPr>
          <w:p w14:paraId="45D27994" w14:textId="77777777" w:rsidR="002514F8" w:rsidRPr="00730DE4" w:rsidRDefault="002514F8" w:rsidP="000B0ED0">
            <w:pPr>
              <w:pStyle w:val="NoSpacing"/>
            </w:pPr>
            <w:r w:rsidRPr="00730DE4">
              <w:t>Cost per pay for salary-based employees</w:t>
            </w:r>
          </w:p>
        </w:tc>
        <w:tc>
          <w:tcPr>
            <w:tcW w:w="540" w:type="pct"/>
          </w:tcPr>
          <w:p w14:paraId="368EF1D1" w14:textId="77777777" w:rsidR="002514F8" w:rsidRPr="00730DE4" w:rsidRDefault="002514F8" w:rsidP="00BE710F">
            <w:pPr>
              <w:pStyle w:val="NoSpacing"/>
              <w:jc w:val="right"/>
            </w:pPr>
            <w:r w:rsidRPr="00730DE4">
              <w:t>$15.55</w:t>
            </w:r>
          </w:p>
        </w:tc>
        <w:tc>
          <w:tcPr>
            <w:tcW w:w="540" w:type="pct"/>
          </w:tcPr>
          <w:p w14:paraId="24DFAA9B" w14:textId="77777777" w:rsidR="002514F8" w:rsidRPr="00730DE4" w:rsidRDefault="002514F8" w:rsidP="00BE710F">
            <w:pPr>
              <w:pStyle w:val="NoSpacing"/>
              <w:jc w:val="right"/>
            </w:pPr>
            <w:r w:rsidRPr="00730DE4">
              <w:t>$15.25</w:t>
            </w:r>
          </w:p>
        </w:tc>
        <w:tc>
          <w:tcPr>
            <w:tcW w:w="540" w:type="pct"/>
          </w:tcPr>
          <w:p w14:paraId="33A0C152" w14:textId="77777777" w:rsidR="002514F8" w:rsidRPr="00730DE4" w:rsidRDefault="002514F8" w:rsidP="00BE710F">
            <w:pPr>
              <w:pStyle w:val="NoSpacing"/>
              <w:jc w:val="right"/>
            </w:pPr>
            <w:r w:rsidRPr="00730DE4">
              <w:t>$15.35</w:t>
            </w:r>
          </w:p>
        </w:tc>
        <w:tc>
          <w:tcPr>
            <w:tcW w:w="540" w:type="pct"/>
          </w:tcPr>
          <w:p w14:paraId="3925256E" w14:textId="77777777" w:rsidR="002514F8" w:rsidRPr="00730DE4" w:rsidRDefault="002514F8" w:rsidP="00BE710F">
            <w:pPr>
              <w:pStyle w:val="NoSpacing"/>
              <w:jc w:val="right"/>
            </w:pPr>
            <w:r w:rsidRPr="00730DE4">
              <w:t>$15.52</w:t>
            </w:r>
          </w:p>
        </w:tc>
        <w:tc>
          <w:tcPr>
            <w:tcW w:w="818" w:type="pct"/>
          </w:tcPr>
          <w:p w14:paraId="6119C11B" w14:textId="77777777" w:rsidR="002514F8" w:rsidRPr="00730DE4" w:rsidRDefault="002514F8" w:rsidP="00BE710F">
            <w:pPr>
              <w:pStyle w:val="NoSpacing"/>
              <w:jc w:val="right"/>
            </w:pPr>
            <w:r w:rsidRPr="00730DE4">
              <w:t>≤$16.45</w:t>
            </w:r>
          </w:p>
        </w:tc>
        <w:tc>
          <w:tcPr>
            <w:tcW w:w="540" w:type="pct"/>
          </w:tcPr>
          <w:p w14:paraId="341201F9" w14:textId="77777777" w:rsidR="002514F8" w:rsidRPr="00730DE4" w:rsidRDefault="002514F8" w:rsidP="00BE710F">
            <w:pPr>
              <w:pStyle w:val="NoSpacing"/>
              <w:jc w:val="right"/>
            </w:pPr>
            <w:r w:rsidRPr="00730DE4">
              <w:t>$16.12</w:t>
            </w:r>
          </w:p>
        </w:tc>
        <w:tc>
          <w:tcPr>
            <w:tcW w:w="305" w:type="pct"/>
          </w:tcPr>
          <w:p w14:paraId="31E28D24" w14:textId="77777777" w:rsidR="002514F8" w:rsidRPr="00730DE4" w:rsidRDefault="002514F8" w:rsidP="000831CB">
            <w:pPr>
              <w:pStyle w:val="NoSpacing"/>
              <w:jc w:val="center"/>
            </w:pPr>
          </w:p>
        </w:tc>
      </w:tr>
    </w:tbl>
    <w:p w14:paraId="5E31AFE6" w14:textId="77777777" w:rsidR="002514F8" w:rsidRPr="00730DE4" w:rsidRDefault="002514F8" w:rsidP="00583174">
      <w:pPr>
        <w:pStyle w:val="Caption"/>
        <w:rPr>
          <w:lang w:val="en-US"/>
        </w:rPr>
      </w:pPr>
      <w:r w:rsidRPr="00730DE4">
        <w:rPr>
          <w:lang w:val="en-US"/>
        </w:rPr>
        <w:t xml:space="preserve">Notes: </w:t>
      </w:r>
    </w:p>
    <w:p w14:paraId="3335F687" w14:textId="77777777" w:rsidR="002514F8" w:rsidRPr="00730DE4" w:rsidRDefault="002514F8" w:rsidP="00583174">
      <w:pPr>
        <w:pStyle w:val="Caption"/>
      </w:pPr>
      <w:r w:rsidRPr="00730DE4">
        <w:t>1. The variance between the 2023–24 Target/Estimate and 2023–24 Actual is due to the sample size of the survey and the impact of two dissatisfied responses which lowered the result.</w:t>
      </w:r>
    </w:p>
    <w:p w14:paraId="383F6911" w14:textId="77777777" w:rsidR="002514F8" w:rsidRPr="00730DE4" w:rsidRDefault="002514F8" w:rsidP="00583174">
      <w:pPr>
        <w:pStyle w:val="Caption"/>
      </w:pPr>
      <w:r w:rsidRPr="00730DE4">
        <w:t>2. The variance between the 2023–24 Target/Estimate and 2023–24 Actual is due to the CAA investing cash reserves into business improvement initiatives equal to 3 per cent.</w:t>
      </w:r>
    </w:p>
    <w:p w14:paraId="73AE8AB6" w14:textId="77777777" w:rsidR="002514F8" w:rsidRPr="00730DE4" w:rsidRDefault="002514F8" w:rsidP="002B7001">
      <w:pPr>
        <w:pStyle w:val="Heading3"/>
        <w:rPr>
          <w:lang w:val="en-US"/>
        </w:rPr>
      </w:pPr>
      <w:bookmarkStart w:id="296" w:name="_Toc180487328"/>
      <w:bookmarkStart w:id="297" w:name="_Toc180490534"/>
      <w:bookmarkStart w:id="298" w:name="_Toc180491567"/>
      <w:r w:rsidRPr="00730DE4">
        <w:rPr>
          <w:lang w:val="en-US"/>
        </w:rPr>
        <w:t>Service area: (RoadTek) Transport Infrastructure Construction and Maintenance</w:t>
      </w:r>
      <w:bookmarkEnd w:id="296"/>
      <w:bookmarkEnd w:id="297"/>
      <w:bookmarkEnd w:id="298"/>
    </w:p>
    <w:p w14:paraId="0A0C6AA5" w14:textId="77777777" w:rsidR="002514F8" w:rsidRPr="00730DE4" w:rsidRDefault="002514F8" w:rsidP="00583174">
      <w:r w:rsidRPr="00730DE4">
        <w:rPr>
          <w:rStyle w:val="Strong"/>
        </w:rPr>
        <w:t xml:space="preserve">Service area objective: </w:t>
      </w:r>
      <w:r w:rsidRPr="00730DE4">
        <w:t>To provide transport infrastructure solutions, including construction and maintenance services to enable the department to deliver on Queensland Government priorities, with a focus on best value outcomes for our customers, stakeholders and the community.</w:t>
      </w:r>
    </w:p>
    <w:p w14:paraId="1963FF9B" w14:textId="77777777" w:rsidR="002514F8" w:rsidRPr="00730DE4" w:rsidRDefault="002514F8" w:rsidP="00583174">
      <w:pPr>
        <w:pStyle w:val="FigureCaption"/>
        <w:rPr>
          <w:lang w:val="en-US"/>
        </w:rPr>
      </w:pPr>
      <w:r w:rsidRPr="00730DE4">
        <w:rPr>
          <w:lang w:val="en-US"/>
        </w:rPr>
        <w:t>Table 30: (RoadTek) Transport Infrastructure Construction and Maintenance effectiveness measure</w:t>
      </w:r>
    </w:p>
    <w:tbl>
      <w:tblPr>
        <w:tblStyle w:val="TMRDefault"/>
        <w:tblW w:w="5000" w:type="pct"/>
        <w:tblLook w:val="04A0" w:firstRow="1" w:lastRow="0" w:firstColumn="1" w:lastColumn="0" w:noHBand="0" w:noVBand="1"/>
      </w:tblPr>
      <w:tblGrid>
        <w:gridCol w:w="4417"/>
        <w:gridCol w:w="1345"/>
        <w:gridCol w:w="1345"/>
        <w:gridCol w:w="1346"/>
        <w:gridCol w:w="1346"/>
        <w:gridCol w:w="1973"/>
        <w:gridCol w:w="1346"/>
        <w:gridCol w:w="874"/>
      </w:tblGrid>
      <w:tr w:rsidR="000A65A9" w:rsidRPr="00730DE4" w14:paraId="585F4AAF" w14:textId="77777777" w:rsidTr="007D1DCD">
        <w:trPr>
          <w:cnfStyle w:val="100000000000" w:firstRow="1" w:lastRow="0" w:firstColumn="0" w:lastColumn="0" w:oddVBand="0" w:evenVBand="0" w:oddHBand="0" w:evenHBand="0" w:firstRowFirstColumn="0" w:firstRowLastColumn="0" w:lastRowFirstColumn="0" w:lastRowLastColumn="0"/>
          <w:trHeight w:val="21"/>
          <w:tblHeader/>
        </w:trPr>
        <w:tc>
          <w:tcPr>
            <w:tcW w:w="1580" w:type="pct"/>
          </w:tcPr>
          <w:p w14:paraId="2C51919C" w14:textId="77777777" w:rsidR="002514F8" w:rsidRPr="00730DE4" w:rsidRDefault="002514F8" w:rsidP="000B0ED0">
            <w:pPr>
              <w:pStyle w:val="NoSpacing"/>
              <w:rPr>
                <w:color w:val="FFFFFF" w:themeColor="background1"/>
              </w:rPr>
            </w:pPr>
            <w:r w:rsidRPr="00730DE4">
              <w:rPr>
                <w:color w:val="FFFFFF" w:themeColor="background1"/>
              </w:rPr>
              <w:t>Service standard</w:t>
            </w:r>
          </w:p>
        </w:tc>
        <w:tc>
          <w:tcPr>
            <w:tcW w:w="482" w:type="pct"/>
          </w:tcPr>
          <w:p w14:paraId="504BDF45" w14:textId="77777777" w:rsidR="002514F8" w:rsidRPr="00730DE4" w:rsidRDefault="002514F8" w:rsidP="00BE710F">
            <w:pPr>
              <w:pStyle w:val="NoSpacing"/>
              <w:jc w:val="right"/>
              <w:rPr>
                <w:color w:val="FFFFFF" w:themeColor="background1"/>
              </w:rPr>
            </w:pPr>
            <w:r w:rsidRPr="00730DE4">
              <w:rPr>
                <w:color w:val="FFFFFF" w:themeColor="background1"/>
              </w:rPr>
              <w:t>2019–20 Actual</w:t>
            </w:r>
          </w:p>
        </w:tc>
        <w:tc>
          <w:tcPr>
            <w:tcW w:w="482" w:type="pct"/>
          </w:tcPr>
          <w:p w14:paraId="09C12C7E" w14:textId="77777777" w:rsidR="002514F8" w:rsidRPr="00730DE4" w:rsidRDefault="002514F8" w:rsidP="00BE710F">
            <w:pPr>
              <w:pStyle w:val="NoSpacing"/>
              <w:jc w:val="right"/>
              <w:rPr>
                <w:color w:val="FFFFFF" w:themeColor="background1"/>
              </w:rPr>
            </w:pPr>
            <w:r w:rsidRPr="00730DE4">
              <w:rPr>
                <w:color w:val="FFFFFF" w:themeColor="background1"/>
              </w:rPr>
              <w:t>2020–21 Actual</w:t>
            </w:r>
          </w:p>
        </w:tc>
        <w:tc>
          <w:tcPr>
            <w:tcW w:w="482" w:type="pct"/>
          </w:tcPr>
          <w:p w14:paraId="52D489C1" w14:textId="77777777" w:rsidR="002514F8" w:rsidRPr="00730DE4" w:rsidRDefault="002514F8" w:rsidP="00BE710F">
            <w:pPr>
              <w:pStyle w:val="NoSpacing"/>
              <w:jc w:val="right"/>
              <w:rPr>
                <w:color w:val="FFFFFF" w:themeColor="background1"/>
              </w:rPr>
            </w:pPr>
            <w:r w:rsidRPr="00730DE4">
              <w:rPr>
                <w:color w:val="FFFFFF" w:themeColor="background1"/>
              </w:rPr>
              <w:t>2021–22 Actual</w:t>
            </w:r>
          </w:p>
        </w:tc>
        <w:tc>
          <w:tcPr>
            <w:tcW w:w="482" w:type="pct"/>
          </w:tcPr>
          <w:p w14:paraId="3EB5A2DB" w14:textId="77777777" w:rsidR="002514F8" w:rsidRPr="00730DE4" w:rsidRDefault="002514F8" w:rsidP="00BE710F">
            <w:pPr>
              <w:pStyle w:val="NoSpacing"/>
              <w:jc w:val="right"/>
              <w:rPr>
                <w:color w:val="FFFFFF" w:themeColor="background1"/>
              </w:rPr>
            </w:pPr>
            <w:r w:rsidRPr="00730DE4">
              <w:rPr>
                <w:color w:val="FFFFFF" w:themeColor="background1"/>
              </w:rPr>
              <w:t>2022–23 Actual</w:t>
            </w:r>
          </w:p>
        </w:tc>
        <w:tc>
          <w:tcPr>
            <w:tcW w:w="706" w:type="pct"/>
          </w:tcPr>
          <w:p w14:paraId="59357B0E" w14:textId="77777777" w:rsidR="002514F8" w:rsidRPr="00730DE4" w:rsidRDefault="002514F8" w:rsidP="00BE710F">
            <w:pPr>
              <w:pStyle w:val="NoSpacing"/>
              <w:jc w:val="right"/>
              <w:rPr>
                <w:color w:val="FFFFFF" w:themeColor="background1"/>
              </w:rPr>
            </w:pPr>
            <w:r w:rsidRPr="00730DE4">
              <w:rPr>
                <w:color w:val="FFFFFF" w:themeColor="background1"/>
              </w:rPr>
              <w:t>2023–24 Target / Estimate</w:t>
            </w:r>
          </w:p>
        </w:tc>
        <w:tc>
          <w:tcPr>
            <w:tcW w:w="482" w:type="pct"/>
          </w:tcPr>
          <w:p w14:paraId="73BEBD92" w14:textId="77777777" w:rsidR="002514F8" w:rsidRPr="00730DE4" w:rsidRDefault="002514F8" w:rsidP="00BE710F">
            <w:pPr>
              <w:pStyle w:val="NoSpacing"/>
              <w:jc w:val="right"/>
              <w:rPr>
                <w:color w:val="FFFFFF" w:themeColor="background1"/>
              </w:rPr>
            </w:pPr>
            <w:r w:rsidRPr="00730DE4">
              <w:rPr>
                <w:color w:val="FFFFFF" w:themeColor="background1"/>
              </w:rPr>
              <w:t>2023–24 Actual</w:t>
            </w:r>
          </w:p>
        </w:tc>
        <w:tc>
          <w:tcPr>
            <w:tcW w:w="305" w:type="pct"/>
          </w:tcPr>
          <w:p w14:paraId="777B830C" w14:textId="77777777" w:rsidR="002514F8" w:rsidRPr="00730DE4" w:rsidRDefault="002514F8" w:rsidP="000831CB">
            <w:pPr>
              <w:pStyle w:val="NoSpacing"/>
              <w:jc w:val="center"/>
              <w:rPr>
                <w:color w:val="FFFFFF" w:themeColor="background1"/>
              </w:rPr>
            </w:pPr>
            <w:r w:rsidRPr="00730DE4">
              <w:rPr>
                <w:color w:val="FFFFFF" w:themeColor="background1"/>
              </w:rPr>
              <w:t>Notes</w:t>
            </w:r>
          </w:p>
        </w:tc>
      </w:tr>
      <w:tr w:rsidR="000A65A9" w:rsidRPr="00730DE4" w14:paraId="125209D3" w14:textId="77777777" w:rsidTr="007D1DCD">
        <w:trPr>
          <w:cnfStyle w:val="000000100000" w:firstRow="0" w:lastRow="0" w:firstColumn="0" w:lastColumn="0" w:oddVBand="0" w:evenVBand="0" w:oddHBand="1" w:evenHBand="0" w:firstRowFirstColumn="0" w:firstRowLastColumn="0" w:lastRowFirstColumn="0" w:lastRowLastColumn="0"/>
          <w:trHeight w:val="21"/>
        </w:trPr>
        <w:tc>
          <w:tcPr>
            <w:tcW w:w="1580" w:type="pct"/>
          </w:tcPr>
          <w:p w14:paraId="5AC107FF" w14:textId="77777777" w:rsidR="002514F8" w:rsidRPr="00730DE4" w:rsidRDefault="002514F8" w:rsidP="000B0ED0">
            <w:pPr>
              <w:pStyle w:val="NoSpacing"/>
            </w:pPr>
            <w:r w:rsidRPr="00730DE4">
              <w:t>Customers’ and stakeholders’ overall value of RoadTek (on a scale of 1 to 5)</w:t>
            </w:r>
          </w:p>
        </w:tc>
        <w:tc>
          <w:tcPr>
            <w:tcW w:w="482" w:type="pct"/>
          </w:tcPr>
          <w:p w14:paraId="3A5C951C" w14:textId="77777777" w:rsidR="002514F8" w:rsidRPr="00730DE4" w:rsidRDefault="002514F8" w:rsidP="00BE710F">
            <w:pPr>
              <w:pStyle w:val="NoSpacing"/>
              <w:jc w:val="right"/>
            </w:pPr>
            <w:r w:rsidRPr="00730DE4">
              <w:t>4.5</w:t>
            </w:r>
          </w:p>
        </w:tc>
        <w:tc>
          <w:tcPr>
            <w:tcW w:w="482" w:type="pct"/>
          </w:tcPr>
          <w:p w14:paraId="0CD113FD" w14:textId="77777777" w:rsidR="002514F8" w:rsidRPr="00730DE4" w:rsidRDefault="002514F8" w:rsidP="00BE710F">
            <w:pPr>
              <w:pStyle w:val="NoSpacing"/>
              <w:jc w:val="right"/>
            </w:pPr>
            <w:r w:rsidRPr="00730DE4">
              <w:t>4.7</w:t>
            </w:r>
          </w:p>
        </w:tc>
        <w:tc>
          <w:tcPr>
            <w:tcW w:w="482" w:type="pct"/>
          </w:tcPr>
          <w:p w14:paraId="4BF888F5" w14:textId="77777777" w:rsidR="002514F8" w:rsidRPr="00730DE4" w:rsidRDefault="002514F8" w:rsidP="00BE710F">
            <w:pPr>
              <w:pStyle w:val="NoSpacing"/>
              <w:jc w:val="right"/>
            </w:pPr>
            <w:r w:rsidRPr="00730DE4">
              <w:t>4.47</w:t>
            </w:r>
          </w:p>
        </w:tc>
        <w:tc>
          <w:tcPr>
            <w:tcW w:w="482" w:type="pct"/>
          </w:tcPr>
          <w:p w14:paraId="18AAF3C0" w14:textId="77777777" w:rsidR="002514F8" w:rsidRPr="00730DE4" w:rsidRDefault="002514F8" w:rsidP="00BE710F">
            <w:pPr>
              <w:pStyle w:val="NoSpacing"/>
              <w:jc w:val="right"/>
            </w:pPr>
            <w:r w:rsidRPr="00730DE4">
              <w:t>4.59</w:t>
            </w:r>
          </w:p>
        </w:tc>
        <w:tc>
          <w:tcPr>
            <w:tcW w:w="706" w:type="pct"/>
          </w:tcPr>
          <w:p w14:paraId="7155D0EF" w14:textId="77777777" w:rsidR="002514F8" w:rsidRPr="00730DE4" w:rsidRDefault="002514F8" w:rsidP="00BE710F">
            <w:pPr>
              <w:pStyle w:val="NoSpacing"/>
              <w:jc w:val="right"/>
            </w:pPr>
            <w:r w:rsidRPr="00730DE4">
              <w:t>&gt;4</w:t>
            </w:r>
          </w:p>
        </w:tc>
        <w:tc>
          <w:tcPr>
            <w:tcW w:w="482" w:type="pct"/>
          </w:tcPr>
          <w:p w14:paraId="043D45E8" w14:textId="77777777" w:rsidR="002514F8" w:rsidRPr="00730DE4" w:rsidRDefault="002514F8" w:rsidP="00BE710F">
            <w:pPr>
              <w:pStyle w:val="NoSpacing"/>
              <w:jc w:val="right"/>
            </w:pPr>
            <w:r w:rsidRPr="00730DE4">
              <w:t>4.6</w:t>
            </w:r>
          </w:p>
        </w:tc>
        <w:tc>
          <w:tcPr>
            <w:tcW w:w="305" w:type="pct"/>
          </w:tcPr>
          <w:p w14:paraId="3DAF8A1B" w14:textId="77777777" w:rsidR="002514F8" w:rsidRPr="00730DE4" w:rsidRDefault="002514F8" w:rsidP="000831CB">
            <w:pPr>
              <w:pStyle w:val="NoSpacing"/>
              <w:jc w:val="center"/>
            </w:pPr>
          </w:p>
        </w:tc>
      </w:tr>
    </w:tbl>
    <w:p w14:paraId="38B61B0A" w14:textId="77777777" w:rsidR="002514F8" w:rsidRPr="00730DE4" w:rsidRDefault="002514F8" w:rsidP="00583174">
      <w:pPr>
        <w:pStyle w:val="FigureCaption"/>
        <w:rPr>
          <w:lang w:val="en-US"/>
        </w:rPr>
      </w:pPr>
      <w:r w:rsidRPr="00730DE4">
        <w:rPr>
          <w:lang w:val="en-US"/>
        </w:rPr>
        <w:t>Table 31: (RoadTek) Transport Infrastructure Construction and Maintenance efficiency measures</w:t>
      </w:r>
    </w:p>
    <w:tbl>
      <w:tblPr>
        <w:tblStyle w:val="TMRDefault"/>
        <w:tblW w:w="5000" w:type="pct"/>
        <w:tblLook w:val="04A0" w:firstRow="1" w:lastRow="0" w:firstColumn="1" w:lastColumn="0" w:noHBand="0" w:noVBand="1"/>
      </w:tblPr>
      <w:tblGrid>
        <w:gridCol w:w="3828"/>
        <w:gridCol w:w="1430"/>
        <w:gridCol w:w="1430"/>
        <w:gridCol w:w="1430"/>
        <w:gridCol w:w="1430"/>
        <w:gridCol w:w="2139"/>
        <w:gridCol w:w="1431"/>
        <w:gridCol w:w="874"/>
      </w:tblGrid>
      <w:tr w:rsidR="000A65A9" w:rsidRPr="00730DE4" w14:paraId="46AC2224" w14:textId="77777777" w:rsidTr="007D1DCD">
        <w:trPr>
          <w:cnfStyle w:val="100000000000" w:firstRow="1" w:lastRow="0" w:firstColumn="0" w:lastColumn="0" w:oddVBand="0" w:evenVBand="0" w:oddHBand="0" w:evenHBand="0" w:firstRowFirstColumn="0" w:firstRowLastColumn="0" w:lastRowFirstColumn="0" w:lastRowLastColumn="0"/>
          <w:trHeight w:val="21"/>
          <w:tblHeader/>
        </w:trPr>
        <w:tc>
          <w:tcPr>
            <w:tcW w:w="1368" w:type="pct"/>
          </w:tcPr>
          <w:p w14:paraId="3D3827DF" w14:textId="77777777" w:rsidR="002514F8" w:rsidRPr="00730DE4" w:rsidRDefault="002514F8" w:rsidP="000B0ED0">
            <w:pPr>
              <w:pStyle w:val="NoSpacing"/>
              <w:rPr>
                <w:color w:val="FFFFFF" w:themeColor="background1"/>
              </w:rPr>
            </w:pPr>
            <w:r w:rsidRPr="00730DE4">
              <w:rPr>
                <w:color w:val="FFFFFF" w:themeColor="background1"/>
              </w:rPr>
              <w:t>Service standards</w:t>
            </w:r>
          </w:p>
        </w:tc>
        <w:tc>
          <w:tcPr>
            <w:tcW w:w="512" w:type="pct"/>
          </w:tcPr>
          <w:p w14:paraId="2E5E7CAA" w14:textId="77777777" w:rsidR="002514F8" w:rsidRPr="00730DE4" w:rsidRDefault="002514F8" w:rsidP="00BE710F">
            <w:pPr>
              <w:pStyle w:val="NoSpacing"/>
              <w:jc w:val="right"/>
              <w:rPr>
                <w:color w:val="FFFFFF" w:themeColor="background1"/>
              </w:rPr>
            </w:pPr>
            <w:r w:rsidRPr="00730DE4">
              <w:rPr>
                <w:color w:val="FFFFFF" w:themeColor="background1"/>
              </w:rPr>
              <w:t>2019–20 Actual</w:t>
            </w:r>
          </w:p>
        </w:tc>
        <w:tc>
          <w:tcPr>
            <w:tcW w:w="512" w:type="pct"/>
          </w:tcPr>
          <w:p w14:paraId="79E159C0" w14:textId="77777777" w:rsidR="002514F8" w:rsidRPr="00730DE4" w:rsidRDefault="002514F8" w:rsidP="00BE710F">
            <w:pPr>
              <w:pStyle w:val="NoSpacing"/>
              <w:jc w:val="right"/>
              <w:rPr>
                <w:color w:val="FFFFFF" w:themeColor="background1"/>
              </w:rPr>
            </w:pPr>
            <w:r w:rsidRPr="00730DE4">
              <w:rPr>
                <w:color w:val="FFFFFF" w:themeColor="background1"/>
              </w:rPr>
              <w:t>2020–21 Actual</w:t>
            </w:r>
          </w:p>
        </w:tc>
        <w:tc>
          <w:tcPr>
            <w:tcW w:w="512" w:type="pct"/>
          </w:tcPr>
          <w:p w14:paraId="553D0C57" w14:textId="77777777" w:rsidR="002514F8" w:rsidRPr="00730DE4" w:rsidRDefault="002514F8" w:rsidP="00BE710F">
            <w:pPr>
              <w:pStyle w:val="NoSpacing"/>
              <w:jc w:val="right"/>
              <w:rPr>
                <w:color w:val="FFFFFF" w:themeColor="background1"/>
              </w:rPr>
            </w:pPr>
            <w:r w:rsidRPr="00730DE4">
              <w:rPr>
                <w:color w:val="FFFFFF" w:themeColor="background1"/>
              </w:rPr>
              <w:t>2021–22 Actual</w:t>
            </w:r>
          </w:p>
        </w:tc>
        <w:tc>
          <w:tcPr>
            <w:tcW w:w="512" w:type="pct"/>
          </w:tcPr>
          <w:p w14:paraId="220F4D88" w14:textId="77777777" w:rsidR="002514F8" w:rsidRPr="00730DE4" w:rsidRDefault="002514F8" w:rsidP="00BE710F">
            <w:pPr>
              <w:pStyle w:val="NoSpacing"/>
              <w:jc w:val="right"/>
              <w:rPr>
                <w:color w:val="FFFFFF" w:themeColor="background1"/>
              </w:rPr>
            </w:pPr>
            <w:r w:rsidRPr="00730DE4">
              <w:rPr>
                <w:color w:val="FFFFFF" w:themeColor="background1"/>
              </w:rPr>
              <w:t>2022–23 Actual</w:t>
            </w:r>
          </w:p>
        </w:tc>
        <w:tc>
          <w:tcPr>
            <w:tcW w:w="765" w:type="pct"/>
          </w:tcPr>
          <w:p w14:paraId="401E31C6" w14:textId="77777777" w:rsidR="002514F8" w:rsidRPr="00730DE4" w:rsidRDefault="002514F8" w:rsidP="00BE710F">
            <w:pPr>
              <w:pStyle w:val="NoSpacing"/>
              <w:jc w:val="right"/>
              <w:rPr>
                <w:color w:val="FFFFFF" w:themeColor="background1"/>
              </w:rPr>
            </w:pPr>
            <w:r w:rsidRPr="00730DE4">
              <w:rPr>
                <w:color w:val="FFFFFF" w:themeColor="background1"/>
              </w:rPr>
              <w:t>2023–24 Target / Estimate</w:t>
            </w:r>
          </w:p>
        </w:tc>
        <w:tc>
          <w:tcPr>
            <w:tcW w:w="512" w:type="pct"/>
          </w:tcPr>
          <w:p w14:paraId="61684AD3" w14:textId="77777777" w:rsidR="002514F8" w:rsidRPr="00730DE4" w:rsidRDefault="002514F8" w:rsidP="00BE710F">
            <w:pPr>
              <w:pStyle w:val="NoSpacing"/>
              <w:jc w:val="right"/>
              <w:rPr>
                <w:color w:val="FFFFFF" w:themeColor="background1"/>
              </w:rPr>
            </w:pPr>
            <w:r w:rsidRPr="00730DE4">
              <w:rPr>
                <w:color w:val="FFFFFF" w:themeColor="background1"/>
              </w:rPr>
              <w:t>2023–24 Actual</w:t>
            </w:r>
          </w:p>
        </w:tc>
        <w:tc>
          <w:tcPr>
            <w:tcW w:w="305" w:type="pct"/>
          </w:tcPr>
          <w:p w14:paraId="790B6EF2" w14:textId="77777777" w:rsidR="002514F8" w:rsidRPr="00730DE4" w:rsidRDefault="002514F8" w:rsidP="000831CB">
            <w:pPr>
              <w:pStyle w:val="NoSpacing"/>
              <w:jc w:val="center"/>
              <w:rPr>
                <w:color w:val="FFFFFF" w:themeColor="background1"/>
              </w:rPr>
            </w:pPr>
            <w:r w:rsidRPr="00730DE4">
              <w:rPr>
                <w:color w:val="FFFFFF" w:themeColor="background1"/>
              </w:rPr>
              <w:t>Notes</w:t>
            </w:r>
          </w:p>
        </w:tc>
      </w:tr>
      <w:tr w:rsidR="000A65A9" w:rsidRPr="00730DE4" w14:paraId="7F6C2331" w14:textId="77777777" w:rsidTr="007D1DCD">
        <w:trPr>
          <w:cnfStyle w:val="000000100000" w:firstRow="0" w:lastRow="0" w:firstColumn="0" w:lastColumn="0" w:oddVBand="0" w:evenVBand="0" w:oddHBand="1" w:evenHBand="0" w:firstRowFirstColumn="0" w:firstRowLastColumn="0" w:lastRowFirstColumn="0" w:lastRowLastColumn="0"/>
          <w:trHeight w:val="21"/>
        </w:trPr>
        <w:tc>
          <w:tcPr>
            <w:tcW w:w="1368" w:type="pct"/>
          </w:tcPr>
          <w:p w14:paraId="54A68C07" w14:textId="77777777" w:rsidR="002514F8" w:rsidRPr="00730DE4" w:rsidRDefault="002514F8" w:rsidP="000B0ED0">
            <w:pPr>
              <w:pStyle w:val="NoSpacing"/>
            </w:pPr>
            <w:r w:rsidRPr="00730DE4">
              <w:t>Long term debt / equity</w:t>
            </w:r>
          </w:p>
        </w:tc>
        <w:tc>
          <w:tcPr>
            <w:tcW w:w="512" w:type="pct"/>
          </w:tcPr>
          <w:p w14:paraId="1456D74A" w14:textId="77777777" w:rsidR="002514F8" w:rsidRPr="00730DE4" w:rsidRDefault="002514F8" w:rsidP="00BE710F">
            <w:pPr>
              <w:pStyle w:val="NoSpacing"/>
              <w:jc w:val="right"/>
            </w:pPr>
            <w:r w:rsidRPr="00730DE4">
              <w:t>10.7%</w:t>
            </w:r>
          </w:p>
        </w:tc>
        <w:tc>
          <w:tcPr>
            <w:tcW w:w="512" w:type="pct"/>
          </w:tcPr>
          <w:p w14:paraId="628DF731" w14:textId="77777777" w:rsidR="002514F8" w:rsidRPr="00730DE4" w:rsidRDefault="002514F8" w:rsidP="00BE710F">
            <w:pPr>
              <w:pStyle w:val="NoSpacing"/>
              <w:jc w:val="right"/>
            </w:pPr>
            <w:r w:rsidRPr="00730DE4">
              <w:t>9.8%</w:t>
            </w:r>
          </w:p>
        </w:tc>
        <w:tc>
          <w:tcPr>
            <w:tcW w:w="512" w:type="pct"/>
          </w:tcPr>
          <w:p w14:paraId="7B50ED50" w14:textId="77777777" w:rsidR="002514F8" w:rsidRPr="00730DE4" w:rsidRDefault="002514F8" w:rsidP="00BE710F">
            <w:pPr>
              <w:pStyle w:val="NoSpacing"/>
              <w:jc w:val="right"/>
            </w:pPr>
            <w:r w:rsidRPr="00730DE4">
              <w:t>10.2%</w:t>
            </w:r>
          </w:p>
        </w:tc>
        <w:tc>
          <w:tcPr>
            <w:tcW w:w="512" w:type="pct"/>
          </w:tcPr>
          <w:p w14:paraId="6AAD0015" w14:textId="77777777" w:rsidR="002514F8" w:rsidRPr="00730DE4" w:rsidRDefault="002514F8" w:rsidP="00BE710F">
            <w:pPr>
              <w:pStyle w:val="NoSpacing"/>
              <w:jc w:val="right"/>
            </w:pPr>
            <w:r w:rsidRPr="00730DE4">
              <w:t>10.4%</w:t>
            </w:r>
          </w:p>
        </w:tc>
        <w:tc>
          <w:tcPr>
            <w:tcW w:w="765" w:type="pct"/>
          </w:tcPr>
          <w:p w14:paraId="09E926BC" w14:textId="77777777" w:rsidR="002514F8" w:rsidRPr="00730DE4" w:rsidRDefault="002514F8" w:rsidP="00BE710F">
            <w:pPr>
              <w:pStyle w:val="NoSpacing"/>
              <w:jc w:val="right"/>
            </w:pPr>
            <w:r w:rsidRPr="00730DE4">
              <w:t>10.1%</w:t>
            </w:r>
          </w:p>
        </w:tc>
        <w:tc>
          <w:tcPr>
            <w:tcW w:w="512" w:type="pct"/>
          </w:tcPr>
          <w:p w14:paraId="507FAC80" w14:textId="77777777" w:rsidR="002514F8" w:rsidRPr="00730DE4" w:rsidRDefault="002514F8" w:rsidP="00BE710F">
            <w:pPr>
              <w:pStyle w:val="NoSpacing"/>
              <w:jc w:val="right"/>
            </w:pPr>
            <w:r w:rsidRPr="00730DE4">
              <w:t>10.2%</w:t>
            </w:r>
          </w:p>
        </w:tc>
        <w:tc>
          <w:tcPr>
            <w:tcW w:w="305" w:type="pct"/>
          </w:tcPr>
          <w:p w14:paraId="4D0978CD" w14:textId="77777777" w:rsidR="002514F8" w:rsidRPr="00730DE4" w:rsidRDefault="002514F8" w:rsidP="000831CB">
            <w:pPr>
              <w:pStyle w:val="NoSpacing"/>
              <w:jc w:val="center"/>
            </w:pPr>
            <w:r w:rsidRPr="00730DE4">
              <w:t>1</w:t>
            </w:r>
          </w:p>
        </w:tc>
      </w:tr>
      <w:tr w:rsidR="002514F8" w:rsidRPr="00730DE4" w14:paraId="3C784C8F" w14:textId="77777777" w:rsidTr="007D1DCD">
        <w:trPr>
          <w:trHeight w:val="21"/>
        </w:trPr>
        <w:tc>
          <w:tcPr>
            <w:tcW w:w="1368" w:type="pct"/>
          </w:tcPr>
          <w:p w14:paraId="728EFD04" w14:textId="77777777" w:rsidR="002514F8" w:rsidRPr="00730DE4" w:rsidRDefault="002514F8" w:rsidP="000B0ED0">
            <w:pPr>
              <w:pStyle w:val="NoSpacing"/>
            </w:pPr>
            <w:r w:rsidRPr="00730DE4">
              <w:t>Long term debt / total assets</w:t>
            </w:r>
          </w:p>
        </w:tc>
        <w:tc>
          <w:tcPr>
            <w:tcW w:w="512" w:type="pct"/>
          </w:tcPr>
          <w:p w14:paraId="728D8A25" w14:textId="77777777" w:rsidR="002514F8" w:rsidRPr="00730DE4" w:rsidRDefault="002514F8" w:rsidP="00BE710F">
            <w:pPr>
              <w:pStyle w:val="NoSpacing"/>
              <w:jc w:val="right"/>
            </w:pPr>
            <w:r w:rsidRPr="00730DE4">
              <w:t>8.3%</w:t>
            </w:r>
          </w:p>
        </w:tc>
        <w:tc>
          <w:tcPr>
            <w:tcW w:w="512" w:type="pct"/>
          </w:tcPr>
          <w:p w14:paraId="3AF9ABD9" w14:textId="77777777" w:rsidR="002514F8" w:rsidRPr="00730DE4" w:rsidRDefault="002514F8" w:rsidP="00BE710F">
            <w:pPr>
              <w:pStyle w:val="NoSpacing"/>
              <w:jc w:val="right"/>
            </w:pPr>
            <w:r w:rsidRPr="00730DE4">
              <w:t>7.1%</w:t>
            </w:r>
          </w:p>
        </w:tc>
        <w:tc>
          <w:tcPr>
            <w:tcW w:w="512" w:type="pct"/>
          </w:tcPr>
          <w:p w14:paraId="174267CB" w14:textId="77777777" w:rsidR="002514F8" w:rsidRPr="00730DE4" w:rsidRDefault="002514F8" w:rsidP="00BE710F">
            <w:pPr>
              <w:pStyle w:val="NoSpacing"/>
              <w:jc w:val="right"/>
            </w:pPr>
            <w:r w:rsidRPr="00730DE4">
              <w:t>7.4%</w:t>
            </w:r>
          </w:p>
        </w:tc>
        <w:tc>
          <w:tcPr>
            <w:tcW w:w="512" w:type="pct"/>
          </w:tcPr>
          <w:p w14:paraId="6994A6EB" w14:textId="77777777" w:rsidR="002514F8" w:rsidRPr="00730DE4" w:rsidRDefault="002514F8" w:rsidP="00BE710F">
            <w:pPr>
              <w:pStyle w:val="NoSpacing"/>
              <w:jc w:val="right"/>
            </w:pPr>
            <w:r w:rsidRPr="00730DE4">
              <w:t>7.7%</w:t>
            </w:r>
          </w:p>
        </w:tc>
        <w:tc>
          <w:tcPr>
            <w:tcW w:w="765" w:type="pct"/>
          </w:tcPr>
          <w:p w14:paraId="06D46CDA" w14:textId="77777777" w:rsidR="002514F8" w:rsidRPr="00730DE4" w:rsidRDefault="002514F8" w:rsidP="00BE710F">
            <w:pPr>
              <w:pStyle w:val="NoSpacing"/>
              <w:jc w:val="right"/>
            </w:pPr>
            <w:r w:rsidRPr="00730DE4">
              <w:t>7.2%</w:t>
            </w:r>
          </w:p>
        </w:tc>
        <w:tc>
          <w:tcPr>
            <w:tcW w:w="512" w:type="pct"/>
          </w:tcPr>
          <w:p w14:paraId="1E6094C1" w14:textId="77777777" w:rsidR="002514F8" w:rsidRPr="00730DE4" w:rsidRDefault="002514F8" w:rsidP="00BE710F">
            <w:pPr>
              <w:pStyle w:val="NoSpacing"/>
              <w:jc w:val="right"/>
            </w:pPr>
            <w:r w:rsidRPr="00730DE4">
              <w:t>7.1%</w:t>
            </w:r>
          </w:p>
        </w:tc>
        <w:tc>
          <w:tcPr>
            <w:tcW w:w="305" w:type="pct"/>
          </w:tcPr>
          <w:p w14:paraId="7A37745F" w14:textId="77777777" w:rsidR="002514F8" w:rsidRPr="00730DE4" w:rsidRDefault="002514F8" w:rsidP="000831CB">
            <w:pPr>
              <w:pStyle w:val="NoSpacing"/>
              <w:jc w:val="center"/>
            </w:pPr>
            <w:r w:rsidRPr="00730DE4">
              <w:t>2</w:t>
            </w:r>
          </w:p>
        </w:tc>
      </w:tr>
      <w:tr w:rsidR="000A65A9" w:rsidRPr="00730DE4" w14:paraId="175CA60E" w14:textId="77777777" w:rsidTr="007D1DCD">
        <w:trPr>
          <w:cnfStyle w:val="000000100000" w:firstRow="0" w:lastRow="0" w:firstColumn="0" w:lastColumn="0" w:oddVBand="0" w:evenVBand="0" w:oddHBand="1" w:evenHBand="0" w:firstRowFirstColumn="0" w:firstRowLastColumn="0" w:lastRowFirstColumn="0" w:lastRowLastColumn="0"/>
          <w:trHeight w:val="21"/>
        </w:trPr>
        <w:tc>
          <w:tcPr>
            <w:tcW w:w="1368" w:type="pct"/>
          </w:tcPr>
          <w:p w14:paraId="6E1DE117" w14:textId="77777777" w:rsidR="002514F8" w:rsidRPr="00730DE4" w:rsidRDefault="002514F8" w:rsidP="000B0ED0">
            <w:pPr>
              <w:pStyle w:val="NoSpacing"/>
            </w:pPr>
            <w:r w:rsidRPr="00730DE4">
              <w:t>Return on equity</w:t>
            </w:r>
          </w:p>
        </w:tc>
        <w:tc>
          <w:tcPr>
            <w:tcW w:w="512" w:type="pct"/>
          </w:tcPr>
          <w:p w14:paraId="0B5112B7" w14:textId="77777777" w:rsidR="002514F8" w:rsidRPr="00730DE4" w:rsidRDefault="002514F8" w:rsidP="00BE710F">
            <w:pPr>
              <w:pStyle w:val="NoSpacing"/>
              <w:jc w:val="right"/>
            </w:pPr>
            <w:r w:rsidRPr="00730DE4">
              <w:t>9.9%</w:t>
            </w:r>
          </w:p>
        </w:tc>
        <w:tc>
          <w:tcPr>
            <w:tcW w:w="512" w:type="pct"/>
          </w:tcPr>
          <w:p w14:paraId="4047A490" w14:textId="77777777" w:rsidR="002514F8" w:rsidRPr="00730DE4" w:rsidRDefault="002514F8" w:rsidP="00BE710F">
            <w:pPr>
              <w:pStyle w:val="NoSpacing"/>
              <w:jc w:val="right"/>
            </w:pPr>
            <w:r w:rsidRPr="00730DE4">
              <w:t>16.3%</w:t>
            </w:r>
          </w:p>
        </w:tc>
        <w:tc>
          <w:tcPr>
            <w:tcW w:w="512" w:type="pct"/>
          </w:tcPr>
          <w:p w14:paraId="1780F6FD" w14:textId="77777777" w:rsidR="002514F8" w:rsidRPr="00730DE4" w:rsidRDefault="002514F8" w:rsidP="00BE710F">
            <w:pPr>
              <w:pStyle w:val="NoSpacing"/>
              <w:jc w:val="right"/>
            </w:pPr>
            <w:r w:rsidRPr="00730DE4">
              <w:t>12.7%</w:t>
            </w:r>
          </w:p>
        </w:tc>
        <w:tc>
          <w:tcPr>
            <w:tcW w:w="512" w:type="pct"/>
          </w:tcPr>
          <w:p w14:paraId="4990171C" w14:textId="77777777" w:rsidR="002514F8" w:rsidRPr="00730DE4" w:rsidRDefault="002514F8" w:rsidP="00BE710F">
            <w:pPr>
              <w:pStyle w:val="NoSpacing"/>
              <w:jc w:val="right"/>
            </w:pPr>
            <w:r w:rsidRPr="00730DE4">
              <w:t>9.7%</w:t>
            </w:r>
          </w:p>
        </w:tc>
        <w:tc>
          <w:tcPr>
            <w:tcW w:w="765" w:type="pct"/>
          </w:tcPr>
          <w:p w14:paraId="37D366C9" w14:textId="77777777" w:rsidR="002514F8" w:rsidRPr="00730DE4" w:rsidRDefault="002514F8" w:rsidP="00BE710F">
            <w:pPr>
              <w:pStyle w:val="NoSpacing"/>
              <w:jc w:val="right"/>
            </w:pPr>
            <w:r w:rsidRPr="00730DE4">
              <w:t>10.7%</w:t>
            </w:r>
          </w:p>
        </w:tc>
        <w:tc>
          <w:tcPr>
            <w:tcW w:w="512" w:type="pct"/>
          </w:tcPr>
          <w:p w14:paraId="441B1026" w14:textId="77777777" w:rsidR="002514F8" w:rsidRPr="00730DE4" w:rsidRDefault="002514F8" w:rsidP="00BE710F">
            <w:pPr>
              <w:pStyle w:val="NoSpacing"/>
              <w:jc w:val="right"/>
            </w:pPr>
            <w:r w:rsidRPr="00730DE4">
              <w:t>8.5%</w:t>
            </w:r>
          </w:p>
        </w:tc>
        <w:tc>
          <w:tcPr>
            <w:tcW w:w="305" w:type="pct"/>
          </w:tcPr>
          <w:p w14:paraId="5D47678E" w14:textId="77777777" w:rsidR="002514F8" w:rsidRPr="00730DE4" w:rsidRDefault="002514F8" w:rsidP="000831CB">
            <w:pPr>
              <w:pStyle w:val="NoSpacing"/>
              <w:jc w:val="center"/>
            </w:pPr>
            <w:r w:rsidRPr="00730DE4">
              <w:t>3</w:t>
            </w:r>
          </w:p>
        </w:tc>
      </w:tr>
      <w:tr w:rsidR="002514F8" w:rsidRPr="00730DE4" w14:paraId="10C1C87E" w14:textId="77777777" w:rsidTr="007D1DCD">
        <w:trPr>
          <w:trHeight w:val="21"/>
        </w:trPr>
        <w:tc>
          <w:tcPr>
            <w:tcW w:w="1368" w:type="pct"/>
          </w:tcPr>
          <w:p w14:paraId="585B170A" w14:textId="77777777" w:rsidR="002514F8" w:rsidRPr="00730DE4" w:rsidRDefault="002514F8" w:rsidP="000B0ED0">
            <w:pPr>
              <w:pStyle w:val="NoSpacing"/>
            </w:pPr>
            <w:r w:rsidRPr="00730DE4">
              <w:t>Return on revenue (after tax)</w:t>
            </w:r>
          </w:p>
        </w:tc>
        <w:tc>
          <w:tcPr>
            <w:tcW w:w="512" w:type="pct"/>
          </w:tcPr>
          <w:p w14:paraId="398FBE10" w14:textId="77777777" w:rsidR="002514F8" w:rsidRPr="00730DE4" w:rsidRDefault="002514F8" w:rsidP="00BE710F">
            <w:pPr>
              <w:pStyle w:val="NoSpacing"/>
              <w:jc w:val="right"/>
            </w:pPr>
            <w:r w:rsidRPr="00730DE4">
              <w:t>3.0%</w:t>
            </w:r>
          </w:p>
        </w:tc>
        <w:tc>
          <w:tcPr>
            <w:tcW w:w="512" w:type="pct"/>
          </w:tcPr>
          <w:p w14:paraId="5A7B4713" w14:textId="77777777" w:rsidR="002514F8" w:rsidRPr="00730DE4" w:rsidRDefault="002514F8" w:rsidP="00BE710F">
            <w:pPr>
              <w:pStyle w:val="NoSpacing"/>
              <w:jc w:val="right"/>
            </w:pPr>
            <w:r w:rsidRPr="00730DE4">
              <w:t>4.2%</w:t>
            </w:r>
          </w:p>
        </w:tc>
        <w:tc>
          <w:tcPr>
            <w:tcW w:w="512" w:type="pct"/>
          </w:tcPr>
          <w:p w14:paraId="466286E2" w14:textId="77777777" w:rsidR="002514F8" w:rsidRPr="00730DE4" w:rsidRDefault="002514F8" w:rsidP="00BE710F">
            <w:pPr>
              <w:pStyle w:val="NoSpacing"/>
              <w:jc w:val="right"/>
            </w:pPr>
            <w:r w:rsidRPr="00730DE4">
              <w:t>2.8%</w:t>
            </w:r>
          </w:p>
        </w:tc>
        <w:tc>
          <w:tcPr>
            <w:tcW w:w="512" w:type="pct"/>
          </w:tcPr>
          <w:p w14:paraId="4CDD63EB" w14:textId="77777777" w:rsidR="002514F8" w:rsidRPr="00730DE4" w:rsidRDefault="002514F8" w:rsidP="00BE710F">
            <w:pPr>
              <w:pStyle w:val="NoSpacing"/>
              <w:jc w:val="right"/>
            </w:pPr>
            <w:r w:rsidRPr="00730DE4">
              <w:t>2.1%</w:t>
            </w:r>
          </w:p>
        </w:tc>
        <w:tc>
          <w:tcPr>
            <w:tcW w:w="765" w:type="pct"/>
          </w:tcPr>
          <w:p w14:paraId="644F03B6" w14:textId="77777777" w:rsidR="002514F8" w:rsidRPr="00730DE4" w:rsidRDefault="002514F8" w:rsidP="00BE710F">
            <w:pPr>
              <w:pStyle w:val="NoSpacing"/>
              <w:jc w:val="right"/>
            </w:pPr>
            <w:r w:rsidRPr="00730DE4">
              <w:t>2.4%</w:t>
            </w:r>
          </w:p>
        </w:tc>
        <w:tc>
          <w:tcPr>
            <w:tcW w:w="512" w:type="pct"/>
          </w:tcPr>
          <w:p w14:paraId="464E590C" w14:textId="77777777" w:rsidR="002514F8" w:rsidRPr="00730DE4" w:rsidRDefault="002514F8" w:rsidP="00BE710F">
            <w:pPr>
              <w:pStyle w:val="NoSpacing"/>
              <w:jc w:val="right"/>
            </w:pPr>
            <w:r w:rsidRPr="00730DE4">
              <w:t>1.9%</w:t>
            </w:r>
          </w:p>
        </w:tc>
        <w:tc>
          <w:tcPr>
            <w:tcW w:w="305" w:type="pct"/>
          </w:tcPr>
          <w:p w14:paraId="46BB0BD5" w14:textId="77777777" w:rsidR="002514F8" w:rsidRPr="00730DE4" w:rsidRDefault="002514F8" w:rsidP="000831CB">
            <w:pPr>
              <w:pStyle w:val="NoSpacing"/>
              <w:jc w:val="center"/>
            </w:pPr>
            <w:r w:rsidRPr="00730DE4">
              <w:t>3</w:t>
            </w:r>
          </w:p>
        </w:tc>
      </w:tr>
      <w:tr w:rsidR="000A65A9" w:rsidRPr="00730DE4" w14:paraId="6BBE6B6D" w14:textId="77777777" w:rsidTr="007D1DCD">
        <w:trPr>
          <w:cnfStyle w:val="000000100000" w:firstRow="0" w:lastRow="0" w:firstColumn="0" w:lastColumn="0" w:oddVBand="0" w:evenVBand="0" w:oddHBand="1" w:evenHBand="0" w:firstRowFirstColumn="0" w:firstRowLastColumn="0" w:lastRowFirstColumn="0" w:lastRowLastColumn="0"/>
          <w:trHeight w:val="21"/>
        </w:trPr>
        <w:tc>
          <w:tcPr>
            <w:tcW w:w="1368" w:type="pct"/>
          </w:tcPr>
          <w:p w14:paraId="753542A4" w14:textId="77777777" w:rsidR="002514F8" w:rsidRPr="00730DE4" w:rsidRDefault="002514F8" w:rsidP="000B0ED0">
            <w:pPr>
              <w:pStyle w:val="NoSpacing"/>
            </w:pPr>
            <w:r w:rsidRPr="00730DE4">
              <w:t>Profit margin (earnings before income tax / user charges)</w:t>
            </w:r>
          </w:p>
        </w:tc>
        <w:tc>
          <w:tcPr>
            <w:tcW w:w="512" w:type="pct"/>
          </w:tcPr>
          <w:p w14:paraId="174A889D" w14:textId="77777777" w:rsidR="002514F8" w:rsidRPr="00730DE4" w:rsidRDefault="002514F8" w:rsidP="00BE710F">
            <w:pPr>
              <w:pStyle w:val="NoSpacing"/>
              <w:jc w:val="right"/>
            </w:pPr>
            <w:r w:rsidRPr="00730DE4">
              <w:t>4.4%</w:t>
            </w:r>
          </w:p>
        </w:tc>
        <w:tc>
          <w:tcPr>
            <w:tcW w:w="512" w:type="pct"/>
          </w:tcPr>
          <w:p w14:paraId="2167AC67" w14:textId="77777777" w:rsidR="002514F8" w:rsidRPr="00730DE4" w:rsidRDefault="002514F8" w:rsidP="00BE710F">
            <w:pPr>
              <w:pStyle w:val="NoSpacing"/>
              <w:jc w:val="right"/>
            </w:pPr>
            <w:r w:rsidRPr="00730DE4">
              <w:t>6.0%</w:t>
            </w:r>
          </w:p>
        </w:tc>
        <w:tc>
          <w:tcPr>
            <w:tcW w:w="512" w:type="pct"/>
          </w:tcPr>
          <w:p w14:paraId="214DBC31" w14:textId="77777777" w:rsidR="002514F8" w:rsidRPr="00730DE4" w:rsidRDefault="002514F8" w:rsidP="00BE710F">
            <w:pPr>
              <w:pStyle w:val="NoSpacing"/>
              <w:jc w:val="right"/>
            </w:pPr>
            <w:r w:rsidRPr="00730DE4">
              <w:t>4.0%</w:t>
            </w:r>
          </w:p>
        </w:tc>
        <w:tc>
          <w:tcPr>
            <w:tcW w:w="512" w:type="pct"/>
          </w:tcPr>
          <w:p w14:paraId="3E39764C" w14:textId="77777777" w:rsidR="002514F8" w:rsidRPr="00730DE4" w:rsidRDefault="002514F8" w:rsidP="00BE710F">
            <w:pPr>
              <w:pStyle w:val="NoSpacing"/>
              <w:jc w:val="right"/>
            </w:pPr>
            <w:r w:rsidRPr="00730DE4">
              <w:t>3.1%</w:t>
            </w:r>
          </w:p>
        </w:tc>
        <w:tc>
          <w:tcPr>
            <w:tcW w:w="765" w:type="pct"/>
          </w:tcPr>
          <w:p w14:paraId="3D7C1AED" w14:textId="77777777" w:rsidR="002514F8" w:rsidRPr="00730DE4" w:rsidRDefault="002514F8" w:rsidP="00BE710F">
            <w:pPr>
              <w:pStyle w:val="NoSpacing"/>
              <w:jc w:val="right"/>
            </w:pPr>
            <w:r w:rsidRPr="00730DE4">
              <w:t>3.5%</w:t>
            </w:r>
          </w:p>
        </w:tc>
        <w:tc>
          <w:tcPr>
            <w:tcW w:w="512" w:type="pct"/>
          </w:tcPr>
          <w:p w14:paraId="5D21BD5A" w14:textId="77777777" w:rsidR="002514F8" w:rsidRPr="00730DE4" w:rsidRDefault="002514F8" w:rsidP="00BE710F">
            <w:pPr>
              <w:pStyle w:val="NoSpacing"/>
              <w:jc w:val="right"/>
            </w:pPr>
            <w:r w:rsidRPr="00730DE4">
              <w:t>2.6%</w:t>
            </w:r>
          </w:p>
        </w:tc>
        <w:tc>
          <w:tcPr>
            <w:tcW w:w="305" w:type="pct"/>
          </w:tcPr>
          <w:p w14:paraId="726A1BEE" w14:textId="77777777" w:rsidR="002514F8" w:rsidRPr="00730DE4" w:rsidRDefault="002514F8" w:rsidP="000831CB">
            <w:pPr>
              <w:pStyle w:val="NoSpacing"/>
              <w:jc w:val="center"/>
            </w:pPr>
            <w:r w:rsidRPr="00730DE4">
              <w:t>3</w:t>
            </w:r>
          </w:p>
        </w:tc>
      </w:tr>
    </w:tbl>
    <w:p w14:paraId="4DCADE12" w14:textId="77777777" w:rsidR="002514F8" w:rsidRPr="00730DE4" w:rsidRDefault="002514F8" w:rsidP="00583174">
      <w:pPr>
        <w:pStyle w:val="Caption"/>
        <w:rPr>
          <w:lang w:val="en-US"/>
        </w:rPr>
      </w:pPr>
      <w:r w:rsidRPr="00730DE4">
        <w:rPr>
          <w:lang w:val="en-US"/>
        </w:rPr>
        <w:t>Notes:</w:t>
      </w:r>
    </w:p>
    <w:p w14:paraId="7AB62F28" w14:textId="77777777" w:rsidR="002514F8" w:rsidRPr="00730DE4" w:rsidRDefault="002514F8" w:rsidP="00583174">
      <w:pPr>
        <w:pStyle w:val="Caption"/>
        <w:rPr>
          <w:lang w:val="en-US"/>
        </w:rPr>
      </w:pPr>
      <w:r w:rsidRPr="00730DE4">
        <w:rPr>
          <w:lang w:val="en-US"/>
        </w:rPr>
        <w:t>1. Long term debt remains stable while equity position has fluctuated due to annual dividend payment and lower than expected trading results due to rising costs with an on-budget performance expected in 2024–25.</w:t>
      </w:r>
    </w:p>
    <w:p w14:paraId="3A3C017A" w14:textId="77777777" w:rsidR="002514F8" w:rsidRPr="00730DE4" w:rsidRDefault="002514F8" w:rsidP="00583174">
      <w:pPr>
        <w:pStyle w:val="Caption"/>
        <w:rPr>
          <w:lang w:val="en-US"/>
        </w:rPr>
      </w:pPr>
      <w:r w:rsidRPr="00730DE4">
        <w:rPr>
          <w:lang w:val="en-US"/>
        </w:rPr>
        <w:t>2. Long term debt remains stable while the asset position has fluctuated due to dividend payment impacting cash position and a lower than expected trading result due to rising costs with an on-budget performance expected in 2024–25.</w:t>
      </w:r>
    </w:p>
    <w:p w14:paraId="2B11672F" w14:textId="77777777" w:rsidR="002514F8" w:rsidRPr="00730DE4" w:rsidRDefault="002514F8" w:rsidP="00583174">
      <w:pPr>
        <w:pStyle w:val="Caption"/>
        <w:rPr>
          <w:lang w:val="en-US"/>
        </w:rPr>
      </w:pPr>
      <w:r w:rsidRPr="00730DE4">
        <w:rPr>
          <w:lang w:val="en-US"/>
        </w:rPr>
        <w:t>3. The variance between 2023–24 Target/Estimate and 2023–24 Actual is due to a lower than expected trading result due to rising costs with an on-budget performance expected in 2024–25.</w:t>
      </w:r>
    </w:p>
    <w:p w14:paraId="55B042F3" w14:textId="77777777" w:rsidR="002514F8" w:rsidRPr="00730DE4" w:rsidRDefault="002514F8" w:rsidP="002B7001">
      <w:pPr>
        <w:pStyle w:val="Heading3"/>
        <w:rPr>
          <w:lang w:val="en-US"/>
        </w:rPr>
      </w:pPr>
      <w:bookmarkStart w:id="299" w:name="_Toc180487329"/>
      <w:bookmarkStart w:id="300" w:name="_Toc180490535"/>
      <w:bookmarkStart w:id="301" w:name="_Toc180491568"/>
      <w:r w:rsidRPr="00730DE4">
        <w:rPr>
          <w:lang w:val="en-US"/>
        </w:rPr>
        <w:t>Service area: CITEC</w:t>
      </w:r>
      <w:bookmarkEnd w:id="299"/>
      <w:bookmarkEnd w:id="300"/>
      <w:bookmarkEnd w:id="301"/>
    </w:p>
    <w:p w14:paraId="66054C0D" w14:textId="77777777" w:rsidR="002514F8" w:rsidRPr="00730DE4" w:rsidRDefault="002514F8" w:rsidP="00583174">
      <w:r w:rsidRPr="00730DE4">
        <w:rPr>
          <w:rStyle w:val="Strong"/>
        </w:rPr>
        <w:t xml:space="preserve">Service area objective: </w:t>
      </w:r>
      <w:r w:rsidRPr="00730DE4">
        <w:t>To provide whole-of-government and commercial information and technology solutions that support the delivery of frontline services to Queensland communities and businesses.</w:t>
      </w:r>
    </w:p>
    <w:p w14:paraId="74437E83" w14:textId="77777777" w:rsidR="002514F8" w:rsidRPr="00730DE4" w:rsidRDefault="002514F8" w:rsidP="002B7001">
      <w:pPr>
        <w:pStyle w:val="Heading4"/>
        <w:rPr>
          <w:lang w:val="en-US"/>
        </w:rPr>
      </w:pPr>
      <w:bookmarkStart w:id="302" w:name="_Toc180487330"/>
      <w:bookmarkStart w:id="303" w:name="_Toc180490536"/>
      <w:bookmarkStart w:id="304" w:name="_Toc180491569"/>
      <w:r w:rsidRPr="00730DE4">
        <w:rPr>
          <w:lang w:val="en-US"/>
        </w:rPr>
        <w:t>Service: CITEC ICT</w:t>
      </w:r>
      <w:bookmarkEnd w:id="302"/>
      <w:bookmarkEnd w:id="303"/>
      <w:bookmarkEnd w:id="304"/>
    </w:p>
    <w:p w14:paraId="5C596817" w14:textId="77777777" w:rsidR="002514F8" w:rsidRPr="00730DE4" w:rsidRDefault="002514F8" w:rsidP="00583174">
      <w:pPr>
        <w:pStyle w:val="FigureCaption"/>
        <w:rPr>
          <w:lang w:val="en-US"/>
        </w:rPr>
      </w:pPr>
      <w:r w:rsidRPr="00730DE4">
        <w:rPr>
          <w:lang w:val="en-US"/>
        </w:rPr>
        <w:t>Table 32: CITEC ICT effectiveness measures</w:t>
      </w:r>
    </w:p>
    <w:tbl>
      <w:tblPr>
        <w:tblStyle w:val="TMRDefault"/>
        <w:tblW w:w="5000" w:type="pct"/>
        <w:tblLook w:val="04A0" w:firstRow="1" w:lastRow="0" w:firstColumn="1" w:lastColumn="0" w:noHBand="0" w:noVBand="1"/>
      </w:tblPr>
      <w:tblGrid>
        <w:gridCol w:w="3164"/>
        <w:gridCol w:w="1536"/>
        <w:gridCol w:w="1536"/>
        <w:gridCol w:w="1519"/>
        <w:gridCol w:w="1536"/>
        <w:gridCol w:w="2308"/>
        <w:gridCol w:w="1519"/>
        <w:gridCol w:w="874"/>
      </w:tblGrid>
      <w:tr w:rsidR="000A65A9" w:rsidRPr="00730DE4" w14:paraId="012C6226" w14:textId="77777777" w:rsidTr="007D1DCD">
        <w:trPr>
          <w:cnfStyle w:val="100000000000" w:firstRow="1" w:lastRow="0" w:firstColumn="0" w:lastColumn="0" w:oddVBand="0" w:evenVBand="0" w:oddHBand="0" w:evenHBand="0" w:firstRowFirstColumn="0" w:firstRowLastColumn="0" w:lastRowFirstColumn="0" w:lastRowLastColumn="0"/>
          <w:trHeight w:val="21"/>
          <w:tblHeader/>
        </w:trPr>
        <w:tc>
          <w:tcPr>
            <w:tcW w:w="1132" w:type="pct"/>
          </w:tcPr>
          <w:p w14:paraId="6CFB27F9" w14:textId="77777777" w:rsidR="002514F8" w:rsidRPr="00730DE4" w:rsidRDefault="002514F8" w:rsidP="000B0ED0">
            <w:pPr>
              <w:pStyle w:val="NoSpacing"/>
              <w:rPr>
                <w:color w:val="FFFFFF" w:themeColor="background1"/>
              </w:rPr>
            </w:pPr>
            <w:r w:rsidRPr="00730DE4">
              <w:rPr>
                <w:color w:val="FFFFFF" w:themeColor="background1"/>
              </w:rPr>
              <w:t>Service standards</w:t>
            </w:r>
          </w:p>
        </w:tc>
        <w:tc>
          <w:tcPr>
            <w:tcW w:w="550" w:type="pct"/>
          </w:tcPr>
          <w:p w14:paraId="7A3971B1" w14:textId="77777777" w:rsidR="002514F8" w:rsidRPr="00730DE4" w:rsidRDefault="002514F8" w:rsidP="00BE710F">
            <w:pPr>
              <w:pStyle w:val="NoSpacing"/>
              <w:jc w:val="right"/>
              <w:rPr>
                <w:color w:val="FFFFFF" w:themeColor="background1"/>
              </w:rPr>
            </w:pPr>
            <w:r w:rsidRPr="00730DE4">
              <w:rPr>
                <w:color w:val="FFFFFF" w:themeColor="background1"/>
              </w:rPr>
              <w:t>2019–20 Actual</w:t>
            </w:r>
          </w:p>
        </w:tc>
        <w:tc>
          <w:tcPr>
            <w:tcW w:w="550" w:type="pct"/>
          </w:tcPr>
          <w:p w14:paraId="08CB856C" w14:textId="77777777" w:rsidR="002514F8" w:rsidRPr="00730DE4" w:rsidRDefault="002514F8" w:rsidP="00BE710F">
            <w:pPr>
              <w:pStyle w:val="NoSpacing"/>
              <w:jc w:val="right"/>
              <w:rPr>
                <w:color w:val="FFFFFF" w:themeColor="background1"/>
              </w:rPr>
            </w:pPr>
            <w:r w:rsidRPr="00730DE4">
              <w:rPr>
                <w:color w:val="FFFFFF" w:themeColor="background1"/>
              </w:rPr>
              <w:t>2020–21 Actual</w:t>
            </w:r>
          </w:p>
        </w:tc>
        <w:tc>
          <w:tcPr>
            <w:tcW w:w="544" w:type="pct"/>
          </w:tcPr>
          <w:p w14:paraId="02CA25ED" w14:textId="77777777" w:rsidR="002514F8" w:rsidRPr="00730DE4" w:rsidRDefault="002514F8" w:rsidP="00BE710F">
            <w:pPr>
              <w:pStyle w:val="NoSpacing"/>
              <w:jc w:val="right"/>
              <w:rPr>
                <w:color w:val="FFFFFF" w:themeColor="background1"/>
              </w:rPr>
            </w:pPr>
            <w:r w:rsidRPr="00730DE4">
              <w:rPr>
                <w:color w:val="FFFFFF" w:themeColor="background1"/>
              </w:rPr>
              <w:t>2021–22 Actual</w:t>
            </w:r>
          </w:p>
        </w:tc>
        <w:tc>
          <w:tcPr>
            <w:tcW w:w="550" w:type="pct"/>
          </w:tcPr>
          <w:p w14:paraId="201DB696" w14:textId="77777777" w:rsidR="002514F8" w:rsidRPr="00730DE4" w:rsidRDefault="002514F8" w:rsidP="00BE710F">
            <w:pPr>
              <w:pStyle w:val="NoSpacing"/>
              <w:jc w:val="right"/>
              <w:rPr>
                <w:color w:val="FFFFFF" w:themeColor="background1"/>
              </w:rPr>
            </w:pPr>
            <w:r w:rsidRPr="00730DE4">
              <w:rPr>
                <w:color w:val="FFFFFF" w:themeColor="background1"/>
              </w:rPr>
              <w:t>2022–23 Actual</w:t>
            </w:r>
          </w:p>
        </w:tc>
        <w:tc>
          <w:tcPr>
            <w:tcW w:w="826" w:type="pct"/>
          </w:tcPr>
          <w:p w14:paraId="2EF268E5" w14:textId="77777777" w:rsidR="002514F8" w:rsidRPr="00730DE4" w:rsidRDefault="002514F8" w:rsidP="00BE710F">
            <w:pPr>
              <w:pStyle w:val="NoSpacing"/>
              <w:jc w:val="right"/>
              <w:rPr>
                <w:color w:val="FFFFFF" w:themeColor="background1"/>
              </w:rPr>
            </w:pPr>
            <w:r w:rsidRPr="00730DE4">
              <w:rPr>
                <w:color w:val="FFFFFF" w:themeColor="background1"/>
              </w:rPr>
              <w:t>2023–24 Target / Estimate</w:t>
            </w:r>
          </w:p>
        </w:tc>
        <w:tc>
          <w:tcPr>
            <w:tcW w:w="544" w:type="pct"/>
          </w:tcPr>
          <w:p w14:paraId="24AEDFDA" w14:textId="77777777" w:rsidR="002514F8" w:rsidRPr="00730DE4" w:rsidRDefault="002514F8" w:rsidP="00BE710F">
            <w:pPr>
              <w:pStyle w:val="NoSpacing"/>
              <w:jc w:val="right"/>
              <w:rPr>
                <w:color w:val="FFFFFF" w:themeColor="background1"/>
              </w:rPr>
            </w:pPr>
            <w:r w:rsidRPr="00730DE4">
              <w:rPr>
                <w:color w:val="FFFFFF" w:themeColor="background1"/>
              </w:rPr>
              <w:t>2023–24 Actual</w:t>
            </w:r>
          </w:p>
        </w:tc>
        <w:tc>
          <w:tcPr>
            <w:tcW w:w="305" w:type="pct"/>
          </w:tcPr>
          <w:p w14:paraId="63CE6CAF" w14:textId="77777777" w:rsidR="002514F8" w:rsidRPr="00730DE4" w:rsidRDefault="002514F8" w:rsidP="000831CB">
            <w:pPr>
              <w:pStyle w:val="NoSpacing"/>
              <w:jc w:val="center"/>
              <w:rPr>
                <w:color w:val="FFFFFF" w:themeColor="background1"/>
              </w:rPr>
            </w:pPr>
            <w:r w:rsidRPr="00730DE4">
              <w:rPr>
                <w:color w:val="FFFFFF" w:themeColor="background1"/>
              </w:rPr>
              <w:t>Notes</w:t>
            </w:r>
          </w:p>
        </w:tc>
      </w:tr>
      <w:tr w:rsidR="000A65A9" w:rsidRPr="00730DE4" w14:paraId="18C01374" w14:textId="77777777" w:rsidTr="007D1DCD">
        <w:trPr>
          <w:cnfStyle w:val="000000100000" w:firstRow="0" w:lastRow="0" w:firstColumn="0" w:lastColumn="0" w:oddVBand="0" w:evenVBand="0" w:oddHBand="1" w:evenHBand="0" w:firstRowFirstColumn="0" w:firstRowLastColumn="0" w:lastRowFirstColumn="0" w:lastRowLastColumn="0"/>
          <w:trHeight w:val="21"/>
        </w:trPr>
        <w:tc>
          <w:tcPr>
            <w:tcW w:w="1132" w:type="pct"/>
          </w:tcPr>
          <w:p w14:paraId="1EBE06DA" w14:textId="77777777" w:rsidR="002514F8" w:rsidRPr="00730DE4" w:rsidRDefault="002514F8" w:rsidP="000B0ED0">
            <w:pPr>
              <w:pStyle w:val="NoSpacing"/>
            </w:pPr>
            <w:r w:rsidRPr="00730DE4">
              <w:t>CITEC ICT overall customer satisfaction</w:t>
            </w:r>
          </w:p>
        </w:tc>
        <w:tc>
          <w:tcPr>
            <w:tcW w:w="550" w:type="pct"/>
          </w:tcPr>
          <w:p w14:paraId="7B1991C4" w14:textId="77777777" w:rsidR="002514F8" w:rsidRPr="00730DE4" w:rsidRDefault="002514F8" w:rsidP="00BE710F">
            <w:pPr>
              <w:pStyle w:val="NoSpacing"/>
              <w:jc w:val="right"/>
            </w:pPr>
            <w:r w:rsidRPr="00730DE4">
              <w:t>78%</w:t>
            </w:r>
          </w:p>
        </w:tc>
        <w:tc>
          <w:tcPr>
            <w:tcW w:w="550" w:type="pct"/>
          </w:tcPr>
          <w:p w14:paraId="1EF9F6DE" w14:textId="77777777" w:rsidR="002514F8" w:rsidRPr="00730DE4" w:rsidRDefault="002514F8" w:rsidP="00BE710F">
            <w:pPr>
              <w:pStyle w:val="NoSpacing"/>
              <w:jc w:val="right"/>
            </w:pPr>
            <w:r w:rsidRPr="00730DE4">
              <w:t>77%</w:t>
            </w:r>
          </w:p>
        </w:tc>
        <w:tc>
          <w:tcPr>
            <w:tcW w:w="544" w:type="pct"/>
          </w:tcPr>
          <w:p w14:paraId="768058AB" w14:textId="77777777" w:rsidR="002514F8" w:rsidRPr="00730DE4" w:rsidRDefault="002514F8" w:rsidP="00BE710F">
            <w:pPr>
              <w:pStyle w:val="NoSpacing"/>
              <w:jc w:val="right"/>
            </w:pPr>
            <w:r w:rsidRPr="00730DE4">
              <w:t>82.5%</w:t>
            </w:r>
          </w:p>
        </w:tc>
        <w:tc>
          <w:tcPr>
            <w:tcW w:w="550" w:type="pct"/>
          </w:tcPr>
          <w:p w14:paraId="34D696E7" w14:textId="77777777" w:rsidR="002514F8" w:rsidRPr="00730DE4" w:rsidRDefault="002514F8" w:rsidP="00BE710F">
            <w:pPr>
              <w:pStyle w:val="NoSpacing"/>
              <w:jc w:val="right"/>
            </w:pPr>
            <w:r w:rsidRPr="00730DE4">
              <w:t>90%</w:t>
            </w:r>
          </w:p>
        </w:tc>
        <w:tc>
          <w:tcPr>
            <w:tcW w:w="826" w:type="pct"/>
          </w:tcPr>
          <w:p w14:paraId="2767DC48" w14:textId="77777777" w:rsidR="002514F8" w:rsidRPr="00730DE4" w:rsidRDefault="002514F8" w:rsidP="00BE710F">
            <w:pPr>
              <w:pStyle w:val="NoSpacing"/>
              <w:jc w:val="right"/>
            </w:pPr>
            <w:r w:rsidRPr="00730DE4">
              <w:t>&gt;75%</w:t>
            </w:r>
          </w:p>
        </w:tc>
        <w:tc>
          <w:tcPr>
            <w:tcW w:w="544" w:type="pct"/>
          </w:tcPr>
          <w:p w14:paraId="567A911E" w14:textId="77777777" w:rsidR="002514F8" w:rsidRPr="00730DE4" w:rsidRDefault="002514F8" w:rsidP="00BE710F">
            <w:pPr>
              <w:pStyle w:val="NoSpacing"/>
              <w:jc w:val="right"/>
            </w:pPr>
            <w:r w:rsidRPr="00730DE4">
              <w:t>81%</w:t>
            </w:r>
          </w:p>
        </w:tc>
        <w:tc>
          <w:tcPr>
            <w:tcW w:w="305" w:type="pct"/>
          </w:tcPr>
          <w:p w14:paraId="371E195F" w14:textId="77777777" w:rsidR="002514F8" w:rsidRPr="00730DE4" w:rsidRDefault="002514F8" w:rsidP="000831CB">
            <w:pPr>
              <w:pStyle w:val="NoSpacing"/>
              <w:jc w:val="center"/>
            </w:pPr>
          </w:p>
        </w:tc>
      </w:tr>
      <w:tr w:rsidR="000A65A9" w:rsidRPr="00730DE4" w14:paraId="1E30B05B" w14:textId="77777777" w:rsidTr="007D1DCD">
        <w:trPr>
          <w:trHeight w:val="21"/>
        </w:trPr>
        <w:tc>
          <w:tcPr>
            <w:tcW w:w="1132" w:type="pct"/>
          </w:tcPr>
          <w:p w14:paraId="1BB6F6A0" w14:textId="77777777" w:rsidR="002514F8" w:rsidRPr="00730DE4" w:rsidRDefault="002514F8" w:rsidP="000B0ED0">
            <w:pPr>
              <w:pStyle w:val="NoSpacing"/>
            </w:pPr>
            <w:r w:rsidRPr="00730DE4">
              <w:t>CITEC ICT service availability</w:t>
            </w:r>
          </w:p>
        </w:tc>
        <w:tc>
          <w:tcPr>
            <w:tcW w:w="550" w:type="pct"/>
          </w:tcPr>
          <w:p w14:paraId="5520156A" w14:textId="77777777" w:rsidR="002514F8" w:rsidRPr="00730DE4" w:rsidRDefault="002514F8" w:rsidP="00BE710F">
            <w:pPr>
              <w:pStyle w:val="NoSpacing"/>
              <w:jc w:val="right"/>
            </w:pPr>
            <w:r w:rsidRPr="00730DE4">
              <w:t>99.99%</w:t>
            </w:r>
          </w:p>
        </w:tc>
        <w:tc>
          <w:tcPr>
            <w:tcW w:w="550" w:type="pct"/>
          </w:tcPr>
          <w:p w14:paraId="4AE273AD" w14:textId="77777777" w:rsidR="002514F8" w:rsidRPr="00730DE4" w:rsidRDefault="002514F8" w:rsidP="00BE710F">
            <w:pPr>
              <w:pStyle w:val="NoSpacing"/>
              <w:jc w:val="right"/>
            </w:pPr>
            <w:r w:rsidRPr="00730DE4">
              <w:t>99.99%</w:t>
            </w:r>
          </w:p>
        </w:tc>
        <w:tc>
          <w:tcPr>
            <w:tcW w:w="544" w:type="pct"/>
          </w:tcPr>
          <w:p w14:paraId="6C7C8A76" w14:textId="77777777" w:rsidR="002514F8" w:rsidRPr="00730DE4" w:rsidRDefault="002514F8" w:rsidP="00BE710F">
            <w:pPr>
              <w:pStyle w:val="NoSpacing"/>
              <w:jc w:val="right"/>
            </w:pPr>
            <w:r w:rsidRPr="00730DE4">
              <w:t>99.9%</w:t>
            </w:r>
          </w:p>
        </w:tc>
        <w:tc>
          <w:tcPr>
            <w:tcW w:w="550" w:type="pct"/>
          </w:tcPr>
          <w:p w14:paraId="00D8D02D" w14:textId="77777777" w:rsidR="002514F8" w:rsidRPr="00730DE4" w:rsidRDefault="002514F8" w:rsidP="00BE710F">
            <w:pPr>
              <w:pStyle w:val="NoSpacing"/>
              <w:jc w:val="right"/>
            </w:pPr>
            <w:r w:rsidRPr="00730DE4">
              <w:t>99.99%</w:t>
            </w:r>
          </w:p>
        </w:tc>
        <w:tc>
          <w:tcPr>
            <w:tcW w:w="826" w:type="pct"/>
          </w:tcPr>
          <w:p w14:paraId="18B6F2D7" w14:textId="77777777" w:rsidR="002514F8" w:rsidRPr="00730DE4" w:rsidRDefault="002514F8" w:rsidP="00BE710F">
            <w:pPr>
              <w:pStyle w:val="NoSpacing"/>
              <w:jc w:val="right"/>
            </w:pPr>
            <w:r w:rsidRPr="00730DE4">
              <w:t>99.9%</w:t>
            </w:r>
          </w:p>
        </w:tc>
        <w:tc>
          <w:tcPr>
            <w:tcW w:w="544" w:type="pct"/>
          </w:tcPr>
          <w:p w14:paraId="3D8EE731" w14:textId="77777777" w:rsidR="002514F8" w:rsidRPr="00730DE4" w:rsidRDefault="002514F8" w:rsidP="00BE710F">
            <w:pPr>
              <w:pStyle w:val="NoSpacing"/>
              <w:jc w:val="right"/>
            </w:pPr>
            <w:r w:rsidRPr="00730DE4">
              <w:t>99.9%</w:t>
            </w:r>
          </w:p>
        </w:tc>
        <w:tc>
          <w:tcPr>
            <w:tcW w:w="305" w:type="pct"/>
          </w:tcPr>
          <w:p w14:paraId="2E4813E9" w14:textId="77777777" w:rsidR="002514F8" w:rsidRPr="00730DE4" w:rsidRDefault="002514F8" w:rsidP="000831CB">
            <w:pPr>
              <w:pStyle w:val="NoSpacing"/>
              <w:jc w:val="center"/>
            </w:pPr>
          </w:p>
        </w:tc>
      </w:tr>
    </w:tbl>
    <w:p w14:paraId="560AA020" w14:textId="77777777" w:rsidR="002514F8" w:rsidRPr="00730DE4" w:rsidRDefault="002514F8" w:rsidP="00583174">
      <w:pPr>
        <w:pStyle w:val="FigureCaption"/>
        <w:rPr>
          <w:lang w:val="en-US"/>
        </w:rPr>
      </w:pPr>
      <w:r w:rsidRPr="00730DE4">
        <w:rPr>
          <w:lang w:val="en-US"/>
        </w:rPr>
        <w:t>Table 33: CITEC ICT efficiency measure</w:t>
      </w:r>
    </w:p>
    <w:tbl>
      <w:tblPr>
        <w:tblStyle w:val="TMRDefault"/>
        <w:tblW w:w="5000" w:type="pct"/>
        <w:tblLook w:val="04A0" w:firstRow="1" w:lastRow="0" w:firstColumn="1" w:lastColumn="0" w:noHBand="0" w:noVBand="1"/>
      </w:tblPr>
      <w:tblGrid>
        <w:gridCol w:w="4317"/>
        <w:gridCol w:w="1419"/>
        <w:gridCol w:w="1419"/>
        <w:gridCol w:w="1419"/>
        <w:gridCol w:w="1360"/>
        <w:gridCol w:w="1824"/>
        <w:gridCol w:w="1360"/>
        <w:gridCol w:w="874"/>
      </w:tblGrid>
      <w:tr w:rsidR="000A65A9" w:rsidRPr="00730DE4" w14:paraId="37B41CEE" w14:textId="77777777" w:rsidTr="007D1DCD">
        <w:trPr>
          <w:cnfStyle w:val="100000000000" w:firstRow="1" w:lastRow="0" w:firstColumn="0" w:lastColumn="0" w:oddVBand="0" w:evenVBand="0" w:oddHBand="0" w:evenHBand="0" w:firstRowFirstColumn="0" w:firstRowLastColumn="0" w:lastRowFirstColumn="0" w:lastRowLastColumn="0"/>
          <w:trHeight w:val="21"/>
          <w:tblHeader/>
        </w:trPr>
        <w:tc>
          <w:tcPr>
            <w:tcW w:w="1544" w:type="pct"/>
          </w:tcPr>
          <w:p w14:paraId="70ADD233" w14:textId="77777777" w:rsidR="002514F8" w:rsidRPr="00730DE4" w:rsidRDefault="002514F8" w:rsidP="000B0ED0">
            <w:pPr>
              <w:pStyle w:val="NoSpacing"/>
              <w:rPr>
                <w:color w:val="FFFFFF" w:themeColor="background1"/>
              </w:rPr>
            </w:pPr>
            <w:r w:rsidRPr="00730DE4">
              <w:rPr>
                <w:color w:val="FFFFFF" w:themeColor="background1"/>
              </w:rPr>
              <w:t>Service standard</w:t>
            </w:r>
          </w:p>
        </w:tc>
        <w:tc>
          <w:tcPr>
            <w:tcW w:w="508" w:type="pct"/>
          </w:tcPr>
          <w:p w14:paraId="5765E1EA" w14:textId="77777777" w:rsidR="002514F8" w:rsidRPr="00730DE4" w:rsidRDefault="002514F8" w:rsidP="00BE710F">
            <w:pPr>
              <w:pStyle w:val="NoSpacing"/>
              <w:jc w:val="right"/>
              <w:rPr>
                <w:color w:val="FFFFFF" w:themeColor="background1"/>
              </w:rPr>
            </w:pPr>
            <w:r w:rsidRPr="00730DE4">
              <w:rPr>
                <w:color w:val="FFFFFF" w:themeColor="background1"/>
              </w:rPr>
              <w:t>2019–20 Actual</w:t>
            </w:r>
          </w:p>
        </w:tc>
        <w:tc>
          <w:tcPr>
            <w:tcW w:w="508" w:type="pct"/>
          </w:tcPr>
          <w:p w14:paraId="7A98C3B8" w14:textId="77777777" w:rsidR="002514F8" w:rsidRPr="00730DE4" w:rsidRDefault="002514F8" w:rsidP="00BE710F">
            <w:pPr>
              <w:pStyle w:val="NoSpacing"/>
              <w:jc w:val="right"/>
              <w:rPr>
                <w:color w:val="FFFFFF" w:themeColor="background1"/>
              </w:rPr>
            </w:pPr>
            <w:r w:rsidRPr="00730DE4">
              <w:rPr>
                <w:color w:val="FFFFFF" w:themeColor="background1"/>
              </w:rPr>
              <w:t>2020–21 Actual</w:t>
            </w:r>
          </w:p>
        </w:tc>
        <w:tc>
          <w:tcPr>
            <w:tcW w:w="508" w:type="pct"/>
          </w:tcPr>
          <w:p w14:paraId="51995165" w14:textId="77777777" w:rsidR="002514F8" w:rsidRPr="00730DE4" w:rsidRDefault="002514F8" w:rsidP="00BE710F">
            <w:pPr>
              <w:pStyle w:val="NoSpacing"/>
              <w:jc w:val="right"/>
              <w:rPr>
                <w:color w:val="FFFFFF" w:themeColor="background1"/>
              </w:rPr>
            </w:pPr>
            <w:r w:rsidRPr="00730DE4">
              <w:rPr>
                <w:color w:val="FFFFFF" w:themeColor="background1"/>
              </w:rPr>
              <w:t>2021–22 Actual</w:t>
            </w:r>
          </w:p>
        </w:tc>
        <w:tc>
          <w:tcPr>
            <w:tcW w:w="487" w:type="pct"/>
          </w:tcPr>
          <w:p w14:paraId="01D46ABC" w14:textId="77777777" w:rsidR="002514F8" w:rsidRPr="00730DE4" w:rsidRDefault="002514F8" w:rsidP="00BE710F">
            <w:pPr>
              <w:pStyle w:val="NoSpacing"/>
              <w:jc w:val="right"/>
              <w:rPr>
                <w:color w:val="FFFFFF" w:themeColor="background1"/>
              </w:rPr>
            </w:pPr>
            <w:r w:rsidRPr="00730DE4">
              <w:rPr>
                <w:color w:val="FFFFFF" w:themeColor="background1"/>
              </w:rPr>
              <w:t>2022–23 Actual</w:t>
            </w:r>
          </w:p>
        </w:tc>
        <w:tc>
          <w:tcPr>
            <w:tcW w:w="653" w:type="pct"/>
          </w:tcPr>
          <w:p w14:paraId="4D0F5602" w14:textId="77777777" w:rsidR="002514F8" w:rsidRPr="00730DE4" w:rsidRDefault="002514F8" w:rsidP="00BE710F">
            <w:pPr>
              <w:pStyle w:val="NoSpacing"/>
              <w:jc w:val="right"/>
              <w:rPr>
                <w:color w:val="FFFFFF" w:themeColor="background1"/>
              </w:rPr>
            </w:pPr>
            <w:r w:rsidRPr="00730DE4">
              <w:rPr>
                <w:color w:val="FFFFFF" w:themeColor="background1"/>
              </w:rPr>
              <w:t>2023–24 Target / Estimate</w:t>
            </w:r>
          </w:p>
        </w:tc>
        <w:tc>
          <w:tcPr>
            <w:tcW w:w="487" w:type="pct"/>
          </w:tcPr>
          <w:p w14:paraId="60636EE8" w14:textId="77777777" w:rsidR="002514F8" w:rsidRPr="00730DE4" w:rsidRDefault="002514F8" w:rsidP="00BE710F">
            <w:pPr>
              <w:pStyle w:val="NoSpacing"/>
              <w:jc w:val="right"/>
              <w:rPr>
                <w:color w:val="FFFFFF" w:themeColor="background1"/>
              </w:rPr>
            </w:pPr>
            <w:r w:rsidRPr="00730DE4">
              <w:rPr>
                <w:color w:val="FFFFFF" w:themeColor="background1"/>
              </w:rPr>
              <w:t>2023–24 Actual</w:t>
            </w:r>
          </w:p>
        </w:tc>
        <w:tc>
          <w:tcPr>
            <w:tcW w:w="305" w:type="pct"/>
          </w:tcPr>
          <w:p w14:paraId="61A2A580" w14:textId="77777777" w:rsidR="002514F8" w:rsidRPr="00730DE4" w:rsidRDefault="002514F8" w:rsidP="000831CB">
            <w:pPr>
              <w:pStyle w:val="NoSpacing"/>
              <w:jc w:val="center"/>
              <w:rPr>
                <w:color w:val="FFFFFF" w:themeColor="background1"/>
              </w:rPr>
            </w:pPr>
            <w:r w:rsidRPr="00730DE4">
              <w:rPr>
                <w:color w:val="FFFFFF" w:themeColor="background1"/>
              </w:rPr>
              <w:t>Notes</w:t>
            </w:r>
          </w:p>
        </w:tc>
      </w:tr>
      <w:tr w:rsidR="000A65A9" w:rsidRPr="00730DE4" w14:paraId="5CDC21FA" w14:textId="77777777" w:rsidTr="007D1DCD">
        <w:trPr>
          <w:cnfStyle w:val="000000100000" w:firstRow="0" w:lastRow="0" w:firstColumn="0" w:lastColumn="0" w:oddVBand="0" w:evenVBand="0" w:oddHBand="1" w:evenHBand="0" w:firstRowFirstColumn="0" w:firstRowLastColumn="0" w:lastRowFirstColumn="0" w:lastRowLastColumn="0"/>
          <w:trHeight w:val="21"/>
        </w:trPr>
        <w:tc>
          <w:tcPr>
            <w:tcW w:w="1544" w:type="pct"/>
          </w:tcPr>
          <w:p w14:paraId="13C6B2DA" w14:textId="77777777" w:rsidR="002514F8" w:rsidRPr="00730DE4" w:rsidRDefault="002514F8" w:rsidP="000B0ED0">
            <w:pPr>
              <w:pStyle w:val="NoSpacing"/>
            </w:pPr>
            <w:r w:rsidRPr="00730DE4">
              <w:t>CITEC ICT earnings before interest and tax less depreciation and amortisation (EBITDA)</w:t>
            </w:r>
          </w:p>
        </w:tc>
        <w:tc>
          <w:tcPr>
            <w:tcW w:w="508" w:type="pct"/>
          </w:tcPr>
          <w:p w14:paraId="48C8073F" w14:textId="77777777" w:rsidR="002514F8" w:rsidRPr="00730DE4" w:rsidRDefault="002514F8" w:rsidP="00BE710F">
            <w:pPr>
              <w:pStyle w:val="NoSpacing"/>
              <w:jc w:val="right"/>
            </w:pPr>
            <w:r w:rsidRPr="00730DE4">
              <w:t>$13.485M</w:t>
            </w:r>
          </w:p>
        </w:tc>
        <w:tc>
          <w:tcPr>
            <w:tcW w:w="508" w:type="pct"/>
          </w:tcPr>
          <w:p w14:paraId="3CCAE29D" w14:textId="77777777" w:rsidR="002514F8" w:rsidRPr="00730DE4" w:rsidRDefault="002514F8" w:rsidP="00BE710F">
            <w:pPr>
              <w:pStyle w:val="NoSpacing"/>
              <w:jc w:val="right"/>
            </w:pPr>
            <w:r w:rsidRPr="00730DE4">
              <w:t>$14.198M</w:t>
            </w:r>
          </w:p>
        </w:tc>
        <w:tc>
          <w:tcPr>
            <w:tcW w:w="508" w:type="pct"/>
          </w:tcPr>
          <w:p w14:paraId="4E647BFF" w14:textId="77777777" w:rsidR="002514F8" w:rsidRPr="00730DE4" w:rsidRDefault="002514F8" w:rsidP="00BE710F">
            <w:pPr>
              <w:pStyle w:val="NoSpacing"/>
              <w:jc w:val="right"/>
            </w:pPr>
            <w:r w:rsidRPr="00730DE4">
              <w:t>$21.125M</w:t>
            </w:r>
          </w:p>
        </w:tc>
        <w:tc>
          <w:tcPr>
            <w:tcW w:w="487" w:type="pct"/>
          </w:tcPr>
          <w:p w14:paraId="7FF5D31A" w14:textId="77777777" w:rsidR="002514F8" w:rsidRPr="00730DE4" w:rsidRDefault="002514F8" w:rsidP="00BE710F">
            <w:pPr>
              <w:pStyle w:val="NoSpacing"/>
              <w:jc w:val="right"/>
            </w:pPr>
            <w:r w:rsidRPr="00730DE4">
              <w:t>$19.65M</w:t>
            </w:r>
          </w:p>
        </w:tc>
        <w:tc>
          <w:tcPr>
            <w:tcW w:w="653" w:type="pct"/>
          </w:tcPr>
          <w:p w14:paraId="14B09B1D" w14:textId="77777777" w:rsidR="002514F8" w:rsidRPr="00730DE4" w:rsidRDefault="002514F8" w:rsidP="00BE710F">
            <w:pPr>
              <w:pStyle w:val="NoSpacing"/>
              <w:jc w:val="right"/>
            </w:pPr>
            <w:r w:rsidRPr="00730DE4">
              <w:t>$14.0M</w:t>
            </w:r>
          </w:p>
        </w:tc>
        <w:tc>
          <w:tcPr>
            <w:tcW w:w="487" w:type="pct"/>
          </w:tcPr>
          <w:p w14:paraId="563B5504" w14:textId="77777777" w:rsidR="002514F8" w:rsidRPr="00730DE4" w:rsidRDefault="002514F8" w:rsidP="00BE710F">
            <w:pPr>
              <w:pStyle w:val="NoSpacing"/>
              <w:jc w:val="right"/>
            </w:pPr>
            <w:r w:rsidRPr="00730DE4">
              <w:t>$17.58M</w:t>
            </w:r>
          </w:p>
        </w:tc>
        <w:tc>
          <w:tcPr>
            <w:tcW w:w="305" w:type="pct"/>
          </w:tcPr>
          <w:p w14:paraId="3D395E1C" w14:textId="77777777" w:rsidR="002514F8" w:rsidRPr="00730DE4" w:rsidRDefault="002514F8" w:rsidP="000831CB">
            <w:pPr>
              <w:pStyle w:val="NoSpacing"/>
              <w:jc w:val="center"/>
            </w:pPr>
            <w:r w:rsidRPr="00730DE4">
              <w:t>1</w:t>
            </w:r>
          </w:p>
        </w:tc>
      </w:tr>
    </w:tbl>
    <w:p w14:paraId="000483A2" w14:textId="77777777" w:rsidR="002514F8" w:rsidRPr="00730DE4" w:rsidRDefault="002514F8" w:rsidP="002B7001">
      <w:pPr>
        <w:pStyle w:val="Heading4"/>
        <w:rPr>
          <w:lang w:val="en-US"/>
        </w:rPr>
      </w:pPr>
      <w:bookmarkStart w:id="305" w:name="_Toc180487331"/>
      <w:bookmarkStart w:id="306" w:name="_Toc180490537"/>
      <w:bookmarkStart w:id="307" w:name="_Toc180491570"/>
      <w:r w:rsidRPr="00730DE4">
        <w:rPr>
          <w:lang w:val="en-US"/>
        </w:rPr>
        <w:t>Service: CITEC Information Brokerage (IB)</w:t>
      </w:r>
      <w:bookmarkEnd w:id="305"/>
      <w:bookmarkEnd w:id="306"/>
      <w:bookmarkEnd w:id="307"/>
    </w:p>
    <w:p w14:paraId="483A8244" w14:textId="77777777" w:rsidR="002514F8" w:rsidRPr="00730DE4" w:rsidRDefault="002514F8" w:rsidP="00583174">
      <w:pPr>
        <w:pStyle w:val="FigureCaption"/>
        <w:rPr>
          <w:lang w:val="en-US"/>
        </w:rPr>
      </w:pPr>
      <w:r w:rsidRPr="00730DE4">
        <w:rPr>
          <w:lang w:val="en-US"/>
        </w:rPr>
        <w:t>Table 34: CITEC IB effectiveness measure</w:t>
      </w:r>
    </w:p>
    <w:tbl>
      <w:tblPr>
        <w:tblStyle w:val="TMRDefault"/>
        <w:tblW w:w="5000" w:type="pct"/>
        <w:tblLook w:val="04A0" w:firstRow="1" w:lastRow="0" w:firstColumn="1" w:lastColumn="0" w:noHBand="0" w:noVBand="1"/>
      </w:tblPr>
      <w:tblGrid>
        <w:gridCol w:w="3112"/>
        <w:gridCol w:w="1533"/>
        <w:gridCol w:w="1534"/>
        <w:gridCol w:w="1534"/>
        <w:gridCol w:w="1534"/>
        <w:gridCol w:w="2337"/>
        <w:gridCol w:w="1534"/>
        <w:gridCol w:w="874"/>
      </w:tblGrid>
      <w:tr w:rsidR="000A65A9" w:rsidRPr="00730DE4" w14:paraId="415D95E9" w14:textId="77777777" w:rsidTr="007D1DCD">
        <w:trPr>
          <w:cnfStyle w:val="100000000000" w:firstRow="1" w:lastRow="0" w:firstColumn="0" w:lastColumn="0" w:oddVBand="0" w:evenVBand="0" w:oddHBand="0" w:evenHBand="0" w:firstRowFirstColumn="0" w:firstRowLastColumn="0" w:lastRowFirstColumn="0" w:lastRowLastColumn="0"/>
          <w:trHeight w:val="21"/>
          <w:tblHeader/>
        </w:trPr>
        <w:tc>
          <w:tcPr>
            <w:tcW w:w="1113" w:type="pct"/>
          </w:tcPr>
          <w:p w14:paraId="07A44F30" w14:textId="77777777" w:rsidR="002514F8" w:rsidRPr="00730DE4" w:rsidRDefault="002514F8" w:rsidP="000B0ED0">
            <w:pPr>
              <w:pStyle w:val="NoSpacing"/>
              <w:rPr>
                <w:color w:val="FFFFFF" w:themeColor="background1"/>
              </w:rPr>
            </w:pPr>
            <w:r w:rsidRPr="00730DE4">
              <w:rPr>
                <w:color w:val="FFFFFF" w:themeColor="background1"/>
              </w:rPr>
              <w:t>Service standard</w:t>
            </w:r>
          </w:p>
        </w:tc>
        <w:tc>
          <w:tcPr>
            <w:tcW w:w="549" w:type="pct"/>
          </w:tcPr>
          <w:p w14:paraId="457E95AA" w14:textId="77777777" w:rsidR="002514F8" w:rsidRPr="00730DE4" w:rsidRDefault="002514F8" w:rsidP="00BE710F">
            <w:pPr>
              <w:pStyle w:val="NoSpacing"/>
              <w:jc w:val="right"/>
              <w:rPr>
                <w:color w:val="FFFFFF" w:themeColor="background1"/>
              </w:rPr>
            </w:pPr>
            <w:r w:rsidRPr="00730DE4">
              <w:rPr>
                <w:color w:val="FFFFFF" w:themeColor="background1"/>
              </w:rPr>
              <w:t>2019–20 Actual</w:t>
            </w:r>
          </w:p>
        </w:tc>
        <w:tc>
          <w:tcPr>
            <w:tcW w:w="549" w:type="pct"/>
          </w:tcPr>
          <w:p w14:paraId="24408190" w14:textId="77777777" w:rsidR="002514F8" w:rsidRPr="00730DE4" w:rsidRDefault="002514F8" w:rsidP="00BE710F">
            <w:pPr>
              <w:pStyle w:val="NoSpacing"/>
              <w:jc w:val="right"/>
              <w:rPr>
                <w:color w:val="FFFFFF" w:themeColor="background1"/>
              </w:rPr>
            </w:pPr>
            <w:r w:rsidRPr="00730DE4">
              <w:rPr>
                <w:color w:val="FFFFFF" w:themeColor="background1"/>
              </w:rPr>
              <w:t>2020–21 Actual</w:t>
            </w:r>
          </w:p>
        </w:tc>
        <w:tc>
          <w:tcPr>
            <w:tcW w:w="549" w:type="pct"/>
          </w:tcPr>
          <w:p w14:paraId="59B72CE1" w14:textId="77777777" w:rsidR="002514F8" w:rsidRPr="00730DE4" w:rsidRDefault="002514F8" w:rsidP="00BE710F">
            <w:pPr>
              <w:pStyle w:val="NoSpacing"/>
              <w:jc w:val="right"/>
              <w:rPr>
                <w:color w:val="FFFFFF" w:themeColor="background1"/>
              </w:rPr>
            </w:pPr>
            <w:r w:rsidRPr="00730DE4">
              <w:rPr>
                <w:color w:val="FFFFFF" w:themeColor="background1"/>
              </w:rPr>
              <w:t>2021–22 Actual</w:t>
            </w:r>
          </w:p>
        </w:tc>
        <w:tc>
          <w:tcPr>
            <w:tcW w:w="549" w:type="pct"/>
          </w:tcPr>
          <w:p w14:paraId="63419D16" w14:textId="77777777" w:rsidR="002514F8" w:rsidRPr="00730DE4" w:rsidRDefault="002514F8" w:rsidP="00BE710F">
            <w:pPr>
              <w:pStyle w:val="NoSpacing"/>
              <w:jc w:val="right"/>
              <w:rPr>
                <w:color w:val="FFFFFF" w:themeColor="background1"/>
              </w:rPr>
            </w:pPr>
            <w:r w:rsidRPr="00730DE4">
              <w:rPr>
                <w:color w:val="FFFFFF" w:themeColor="background1"/>
              </w:rPr>
              <w:t>2022–23 Actual</w:t>
            </w:r>
          </w:p>
        </w:tc>
        <w:tc>
          <w:tcPr>
            <w:tcW w:w="836" w:type="pct"/>
          </w:tcPr>
          <w:p w14:paraId="67343DAA" w14:textId="77777777" w:rsidR="002514F8" w:rsidRPr="00730DE4" w:rsidRDefault="002514F8" w:rsidP="00BE710F">
            <w:pPr>
              <w:pStyle w:val="NoSpacing"/>
              <w:jc w:val="right"/>
              <w:rPr>
                <w:color w:val="FFFFFF" w:themeColor="background1"/>
              </w:rPr>
            </w:pPr>
            <w:r w:rsidRPr="00730DE4">
              <w:rPr>
                <w:color w:val="FFFFFF" w:themeColor="background1"/>
              </w:rPr>
              <w:t>2023–24 Target / Estimate</w:t>
            </w:r>
          </w:p>
        </w:tc>
        <w:tc>
          <w:tcPr>
            <w:tcW w:w="549" w:type="pct"/>
          </w:tcPr>
          <w:p w14:paraId="5A2E9971" w14:textId="77777777" w:rsidR="002514F8" w:rsidRPr="00730DE4" w:rsidRDefault="002514F8" w:rsidP="00BE710F">
            <w:pPr>
              <w:pStyle w:val="NoSpacing"/>
              <w:jc w:val="right"/>
              <w:rPr>
                <w:color w:val="FFFFFF" w:themeColor="background1"/>
              </w:rPr>
            </w:pPr>
            <w:r w:rsidRPr="00730DE4">
              <w:rPr>
                <w:color w:val="FFFFFF" w:themeColor="background1"/>
              </w:rPr>
              <w:t>2023–24 Actual</w:t>
            </w:r>
          </w:p>
        </w:tc>
        <w:tc>
          <w:tcPr>
            <w:tcW w:w="305" w:type="pct"/>
          </w:tcPr>
          <w:p w14:paraId="48C17977" w14:textId="77777777" w:rsidR="002514F8" w:rsidRPr="00730DE4" w:rsidRDefault="002514F8" w:rsidP="000831CB">
            <w:pPr>
              <w:pStyle w:val="NoSpacing"/>
              <w:jc w:val="center"/>
              <w:rPr>
                <w:color w:val="FFFFFF" w:themeColor="background1"/>
              </w:rPr>
            </w:pPr>
            <w:r w:rsidRPr="00730DE4">
              <w:rPr>
                <w:color w:val="FFFFFF" w:themeColor="background1"/>
              </w:rPr>
              <w:t>Notes</w:t>
            </w:r>
          </w:p>
        </w:tc>
      </w:tr>
      <w:tr w:rsidR="000A65A9" w:rsidRPr="00730DE4" w14:paraId="3D5774E2" w14:textId="77777777" w:rsidTr="007D1DCD">
        <w:trPr>
          <w:cnfStyle w:val="000000100000" w:firstRow="0" w:lastRow="0" w:firstColumn="0" w:lastColumn="0" w:oddVBand="0" w:evenVBand="0" w:oddHBand="1" w:evenHBand="0" w:firstRowFirstColumn="0" w:firstRowLastColumn="0" w:lastRowFirstColumn="0" w:lastRowLastColumn="0"/>
          <w:trHeight w:val="21"/>
        </w:trPr>
        <w:tc>
          <w:tcPr>
            <w:tcW w:w="1113" w:type="pct"/>
          </w:tcPr>
          <w:p w14:paraId="3E4CD0A7" w14:textId="77777777" w:rsidR="002514F8" w:rsidRPr="00730DE4" w:rsidRDefault="002514F8" w:rsidP="000B0ED0">
            <w:pPr>
              <w:pStyle w:val="NoSpacing"/>
            </w:pPr>
            <w:r w:rsidRPr="00730DE4">
              <w:t>CITEC IB overall customer satisfaction</w:t>
            </w:r>
          </w:p>
        </w:tc>
        <w:tc>
          <w:tcPr>
            <w:tcW w:w="549" w:type="pct"/>
          </w:tcPr>
          <w:p w14:paraId="23ED7BAC" w14:textId="77777777" w:rsidR="002514F8" w:rsidRPr="00730DE4" w:rsidRDefault="002514F8" w:rsidP="00BE710F">
            <w:pPr>
              <w:pStyle w:val="NoSpacing"/>
              <w:jc w:val="right"/>
            </w:pPr>
            <w:r w:rsidRPr="00730DE4">
              <w:t>89.1%</w:t>
            </w:r>
          </w:p>
        </w:tc>
        <w:tc>
          <w:tcPr>
            <w:tcW w:w="549" w:type="pct"/>
          </w:tcPr>
          <w:p w14:paraId="68AE49A0" w14:textId="77777777" w:rsidR="002514F8" w:rsidRPr="00730DE4" w:rsidRDefault="002514F8" w:rsidP="00BE710F">
            <w:pPr>
              <w:pStyle w:val="NoSpacing"/>
              <w:jc w:val="right"/>
            </w:pPr>
            <w:r w:rsidRPr="00730DE4">
              <w:t>81%</w:t>
            </w:r>
          </w:p>
        </w:tc>
        <w:tc>
          <w:tcPr>
            <w:tcW w:w="549" w:type="pct"/>
          </w:tcPr>
          <w:p w14:paraId="014B7EA8" w14:textId="77777777" w:rsidR="002514F8" w:rsidRPr="00730DE4" w:rsidRDefault="002514F8" w:rsidP="00BE710F">
            <w:pPr>
              <w:pStyle w:val="NoSpacing"/>
              <w:jc w:val="right"/>
            </w:pPr>
            <w:r w:rsidRPr="00730DE4">
              <w:t>83.5%</w:t>
            </w:r>
          </w:p>
        </w:tc>
        <w:tc>
          <w:tcPr>
            <w:tcW w:w="549" w:type="pct"/>
          </w:tcPr>
          <w:p w14:paraId="4846AC5A" w14:textId="77777777" w:rsidR="002514F8" w:rsidRPr="00730DE4" w:rsidRDefault="002514F8" w:rsidP="00BE710F">
            <w:pPr>
              <w:pStyle w:val="NoSpacing"/>
              <w:jc w:val="right"/>
            </w:pPr>
            <w:r w:rsidRPr="00730DE4">
              <w:t>88%</w:t>
            </w:r>
          </w:p>
        </w:tc>
        <w:tc>
          <w:tcPr>
            <w:tcW w:w="836" w:type="pct"/>
          </w:tcPr>
          <w:p w14:paraId="5A4ED0D0" w14:textId="77777777" w:rsidR="002514F8" w:rsidRPr="00730DE4" w:rsidRDefault="002514F8" w:rsidP="00BE710F">
            <w:pPr>
              <w:pStyle w:val="NoSpacing"/>
              <w:jc w:val="right"/>
            </w:pPr>
            <w:r w:rsidRPr="00730DE4">
              <w:t>&gt;80%</w:t>
            </w:r>
          </w:p>
        </w:tc>
        <w:tc>
          <w:tcPr>
            <w:tcW w:w="549" w:type="pct"/>
          </w:tcPr>
          <w:p w14:paraId="1CAD91E2" w14:textId="77777777" w:rsidR="002514F8" w:rsidRPr="00730DE4" w:rsidRDefault="002514F8" w:rsidP="00BE710F">
            <w:pPr>
              <w:pStyle w:val="NoSpacing"/>
              <w:jc w:val="right"/>
            </w:pPr>
            <w:r w:rsidRPr="00730DE4">
              <w:t>73%</w:t>
            </w:r>
          </w:p>
        </w:tc>
        <w:tc>
          <w:tcPr>
            <w:tcW w:w="305" w:type="pct"/>
          </w:tcPr>
          <w:p w14:paraId="49C2482B" w14:textId="77777777" w:rsidR="002514F8" w:rsidRPr="00730DE4" w:rsidRDefault="002514F8" w:rsidP="000831CB">
            <w:pPr>
              <w:pStyle w:val="NoSpacing"/>
              <w:jc w:val="center"/>
            </w:pPr>
            <w:r w:rsidRPr="00730DE4">
              <w:t>2</w:t>
            </w:r>
          </w:p>
        </w:tc>
      </w:tr>
    </w:tbl>
    <w:p w14:paraId="32002E72" w14:textId="77777777" w:rsidR="002514F8" w:rsidRPr="00730DE4" w:rsidRDefault="002514F8" w:rsidP="00583174">
      <w:pPr>
        <w:pStyle w:val="FigureCaption"/>
        <w:rPr>
          <w:lang w:val="en-US"/>
        </w:rPr>
      </w:pPr>
      <w:r w:rsidRPr="00730DE4">
        <w:rPr>
          <w:lang w:val="en-US"/>
        </w:rPr>
        <w:t>Table 35: CITEC IB efficiency measure</w:t>
      </w:r>
    </w:p>
    <w:tbl>
      <w:tblPr>
        <w:tblStyle w:val="TMRDefault"/>
        <w:tblW w:w="5000" w:type="pct"/>
        <w:tblLook w:val="04A0" w:firstRow="1" w:lastRow="0" w:firstColumn="1" w:lastColumn="0" w:noHBand="0" w:noVBand="1"/>
      </w:tblPr>
      <w:tblGrid>
        <w:gridCol w:w="4292"/>
        <w:gridCol w:w="1432"/>
        <w:gridCol w:w="1363"/>
        <w:gridCol w:w="1433"/>
        <w:gridCol w:w="1433"/>
        <w:gridCol w:w="1833"/>
        <w:gridCol w:w="1332"/>
        <w:gridCol w:w="874"/>
      </w:tblGrid>
      <w:tr w:rsidR="000A65A9" w:rsidRPr="00730DE4" w14:paraId="13F6AE70" w14:textId="77777777" w:rsidTr="007D1DCD">
        <w:trPr>
          <w:cnfStyle w:val="100000000000" w:firstRow="1" w:lastRow="0" w:firstColumn="0" w:lastColumn="0" w:oddVBand="0" w:evenVBand="0" w:oddHBand="0" w:evenHBand="0" w:firstRowFirstColumn="0" w:firstRowLastColumn="0" w:lastRowFirstColumn="0" w:lastRowLastColumn="0"/>
          <w:trHeight w:val="21"/>
          <w:tblHeader/>
        </w:trPr>
        <w:tc>
          <w:tcPr>
            <w:tcW w:w="1535" w:type="pct"/>
          </w:tcPr>
          <w:p w14:paraId="4C02A0C2" w14:textId="77777777" w:rsidR="002514F8" w:rsidRPr="00730DE4" w:rsidRDefault="002514F8" w:rsidP="000B0ED0">
            <w:pPr>
              <w:pStyle w:val="NoSpacing"/>
              <w:rPr>
                <w:color w:val="FFFFFF" w:themeColor="background1"/>
              </w:rPr>
            </w:pPr>
            <w:r w:rsidRPr="00730DE4">
              <w:rPr>
                <w:color w:val="FFFFFF" w:themeColor="background1"/>
              </w:rPr>
              <w:t>Service standard</w:t>
            </w:r>
          </w:p>
        </w:tc>
        <w:tc>
          <w:tcPr>
            <w:tcW w:w="513" w:type="pct"/>
          </w:tcPr>
          <w:p w14:paraId="1BDE080C" w14:textId="77777777" w:rsidR="002514F8" w:rsidRPr="00730DE4" w:rsidRDefault="002514F8" w:rsidP="00BE710F">
            <w:pPr>
              <w:pStyle w:val="NoSpacing"/>
              <w:jc w:val="right"/>
              <w:rPr>
                <w:color w:val="FFFFFF" w:themeColor="background1"/>
              </w:rPr>
            </w:pPr>
            <w:r w:rsidRPr="00730DE4">
              <w:rPr>
                <w:color w:val="FFFFFF" w:themeColor="background1"/>
              </w:rPr>
              <w:t>2019–20 Actual</w:t>
            </w:r>
          </w:p>
        </w:tc>
        <w:tc>
          <w:tcPr>
            <w:tcW w:w="488" w:type="pct"/>
          </w:tcPr>
          <w:p w14:paraId="2FE77878" w14:textId="77777777" w:rsidR="002514F8" w:rsidRPr="00730DE4" w:rsidRDefault="002514F8" w:rsidP="00BE710F">
            <w:pPr>
              <w:pStyle w:val="NoSpacing"/>
              <w:jc w:val="right"/>
              <w:rPr>
                <w:color w:val="FFFFFF" w:themeColor="background1"/>
              </w:rPr>
            </w:pPr>
            <w:r w:rsidRPr="00730DE4">
              <w:rPr>
                <w:color w:val="FFFFFF" w:themeColor="background1"/>
              </w:rPr>
              <w:t>2020–21 Actual</w:t>
            </w:r>
          </w:p>
        </w:tc>
        <w:tc>
          <w:tcPr>
            <w:tcW w:w="513" w:type="pct"/>
          </w:tcPr>
          <w:p w14:paraId="5E0571B4" w14:textId="77777777" w:rsidR="002514F8" w:rsidRPr="00730DE4" w:rsidRDefault="002514F8" w:rsidP="00BE710F">
            <w:pPr>
              <w:pStyle w:val="NoSpacing"/>
              <w:jc w:val="right"/>
              <w:rPr>
                <w:color w:val="FFFFFF" w:themeColor="background1"/>
              </w:rPr>
            </w:pPr>
            <w:r w:rsidRPr="00730DE4">
              <w:rPr>
                <w:color w:val="FFFFFF" w:themeColor="background1"/>
              </w:rPr>
              <w:t>2021–22 Actual</w:t>
            </w:r>
          </w:p>
        </w:tc>
        <w:tc>
          <w:tcPr>
            <w:tcW w:w="513" w:type="pct"/>
          </w:tcPr>
          <w:p w14:paraId="11E7E5A1" w14:textId="77777777" w:rsidR="002514F8" w:rsidRPr="00730DE4" w:rsidRDefault="002514F8" w:rsidP="00BE710F">
            <w:pPr>
              <w:pStyle w:val="NoSpacing"/>
              <w:jc w:val="right"/>
              <w:rPr>
                <w:color w:val="FFFFFF" w:themeColor="background1"/>
              </w:rPr>
            </w:pPr>
            <w:r w:rsidRPr="00730DE4">
              <w:rPr>
                <w:color w:val="FFFFFF" w:themeColor="background1"/>
              </w:rPr>
              <w:t>2022–23 Actual</w:t>
            </w:r>
          </w:p>
        </w:tc>
        <w:tc>
          <w:tcPr>
            <w:tcW w:w="656" w:type="pct"/>
          </w:tcPr>
          <w:p w14:paraId="0860FFCC" w14:textId="77777777" w:rsidR="002514F8" w:rsidRPr="00730DE4" w:rsidRDefault="002514F8" w:rsidP="00BE710F">
            <w:pPr>
              <w:pStyle w:val="NoSpacing"/>
              <w:jc w:val="right"/>
              <w:rPr>
                <w:color w:val="FFFFFF" w:themeColor="background1"/>
              </w:rPr>
            </w:pPr>
            <w:r w:rsidRPr="00730DE4">
              <w:rPr>
                <w:color w:val="FFFFFF" w:themeColor="background1"/>
              </w:rPr>
              <w:t>2023–24 Target / Estimate</w:t>
            </w:r>
          </w:p>
        </w:tc>
        <w:tc>
          <w:tcPr>
            <w:tcW w:w="477" w:type="pct"/>
          </w:tcPr>
          <w:p w14:paraId="0C41F254" w14:textId="77777777" w:rsidR="002514F8" w:rsidRPr="00730DE4" w:rsidRDefault="002514F8" w:rsidP="00BE710F">
            <w:pPr>
              <w:pStyle w:val="NoSpacing"/>
              <w:jc w:val="right"/>
              <w:rPr>
                <w:color w:val="FFFFFF" w:themeColor="background1"/>
              </w:rPr>
            </w:pPr>
            <w:r w:rsidRPr="00730DE4">
              <w:rPr>
                <w:color w:val="FFFFFF" w:themeColor="background1"/>
              </w:rPr>
              <w:t>2023–24 Actual</w:t>
            </w:r>
          </w:p>
        </w:tc>
        <w:tc>
          <w:tcPr>
            <w:tcW w:w="305" w:type="pct"/>
          </w:tcPr>
          <w:p w14:paraId="58FA435A" w14:textId="77777777" w:rsidR="002514F8" w:rsidRPr="00730DE4" w:rsidRDefault="002514F8" w:rsidP="000831CB">
            <w:pPr>
              <w:pStyle w:val="NoSpacing"/>
              <w:jc w:val="center"/>
              <w:rPr>
                <w:color w:val="FFFFFF" w:themeColor="background1"/>
              </w:rPr>
            </w:pPr>
            <w:r w:rsidRPr="00730DE4">
              <w:rPr>
                <w:color w:val="FFFFFF" w:themeColor="background1"/>
              </w:rPr>
              <w:t>Notes</w:t>
            </w:r>
          </w:p>
        </w:tc>
      </w:tr>
      <w:tr w:rsidR="000A65A9" w:rsidRPr="00730DE4" w14:paraId="73060155" w14:textId="77777777" w:rsidTr="007D1DCD">
        <w:trPr>
          <w:cnfStyle w:val="000000100000" w:firstRow="0" w:lastRow="0" w:firstColumn="0" w:lastColumn="0" w:oddVBand="0" w:evenVBand="0" w:oddHBand="1" w:evenHBand="0" w:firstRowFirstColumn="0" w:firstRowLastColumn="0" w:lastRowFirstColumn="0" w:lastRowLastColumn="0"/>
          <w:trHeight w:val="21"/>
        </w:trPr>
        <w:tc>
          <w:tcPr>
            <w:tcW w:w="1535" w:type="pct"/>
          </w:tcPr>
          <w:p w14:paraId="798EB0E3" w14:textId="77777777" w:rsidR="002514F8" w:rsidRPr="00730DE4" w:rsidRDefault="002514F8" w:rsidP="000B0ED0">
            <w:pPr>
              <w:pStyle w:val="NoSpacing"/>
            </w:pPr>
            <w:r w:rsidRPr="00730DE4">
              <w:t>CITEC IB earnings before interest and tax less depreciation and amortisation (EBITDA)</w:t>
            </w:r>
          </w:p>
        </w:tc>
        <w:tc>
          <w:tcPr>
            <w:tcW w:w="513" w:type="pct"/>
          </w:tcPr>
          <w:p w14:paraId="7224E920" w14:textId="77777777" w:rsidR="002514F8" w:rsidRPr="00730DE4" w:rsidRDefault="002514F8" w:rsidP="00BE710F">
            <w:pPr>
              <w:pStyle w:val="NoSpacing"/>
              <w:jc w:val="right"/>
            </w:pPr>
            <w:r w:rsidRPr="00730DE4">
              <w:t>($0.267M)</w:t>
            </w:r>
          </w:p>
        </w:tc>
        <w:tc>
          <w:tcPr>
            <w:tcW w:w="488" w:type="pct"/>
          </w:tcPr>
          <w:p w14:paraId="0D1069CA" w14:textId="77777777" w:rsidR="002514F8" w:rsidRPr="00730DE4" w:rsidRDefault="002514F8" w:rsidP="00BE710F">
            <w:pPr>
              <w:pStyle w:val="NoSpacing"/>
              <w:jc w:val="right"/>
            </w:pPr>
            <w:r w:rsidRPr="00730DE4">
              <w:t>$0.336M</w:t>
            </w:r>
          </w:p>
        </w:tc>
        <w:tc>
          <w:tcPr>
            <w:tcW w:w="513" w:type="pct"/>
          </w:tcPr>
          <w:p w14:paraId="49B712EB" w14:textId="77777777" w:rsidR="002514F8" w:rsidRPr="00730DE4" w:rsidRDefault="002514F8" w:rsidP="00BE710F">
            <w:pPr>
              <w:pStyle w:val="NoSpacing"/>
              <w:jc w:val="right"/>
            </w:pPr>
            <w:r w:rsidRPr="00730DE4">
              <w:t>($0.226M)</w:t>
            </w:r>
          </w:p>
        </w:tc>
        <w:tc>
          <w:tcPr>
            <w:tcW w:w="513" w:type="pct"/>
          </w:tcPr>
          <w:p w14:paraId="0F5DA57B" w14:textId="77777777" w:rsidR="002514F8" w:rsidRPr="00730DE4" w:rsidRDefault="002514F8" w:rsidP="00BE710F">
            <w:pPr>
              <w:pStyle w:val="NoSpacing"/>
              <w:jc w:val="right"/>
            </w:pPr>
            <w:r w:rsidRPr="00730DE4">
              <w:t>($1.410M)</w:t>
            </w:r>
          </w:p>
        </w:tc>
        <w:tc>
          <w:tcPr>
            <w:tcW w:w="656" w:type="pct"/>
          </w:tcPr>
          <w:p w14:paraId="16A20693" w14:textId="77777777" w:rsidR="002514F8" w:rsidRPr="00730DE4" w:rsidRDefault="002514F8" w:rsidP="00BE710F">
            <w:pPr>
              <w:pStyle w:val="NoSpacing"/>
              <w:jc w:val="right"/>
            </w:pPr>
            <w:r w:rsidRPr="00730DE4">
              <w:t>$174,000</w:t>
            </w:r>
          </w:p>
        </w:tc>
        <w:tc>
          <w:tcPr>
            <w:tcW w:w="477" w:type="pct"/>
          </w:tcPr>
          <w:p w14:paraId="60E2F34B" w14:textId="77777777" w:rsidR="002514F8" w:rsidRPr="00730DE4" w:rsidRDefault="002514F8" w:rsidP="00BE710F">
            <w:pPr>
              <w:pStyle w:val="NoSpacing"/>
              <w:jc w:val="right"/>
            </w:pPr>
            <w:r w:rsidRPr="00730DE4">
              <w:t>$35,763</w:t>
            </w:r>
          </w:p>
        </w:tc>
        <w:tc>
          <w:tcPr>
            <w:tcW w:w="305" w:type="pct"/>
          </w:tcPr>
          <w:p w14:paraId="7D9C5F6E" w14:textId="77777777" w:rsidR="002514F8" w:rsidRPr="00730DE4" w:rsidRDefault="002514F8" w:rsidP="000831CB">
            <w:pPr>
              <w:pStyle w:val="NoSpacing"/>
              <w:jc w:val="center"/>
            </w:pPr>
            <w:r w:rsidRPr="00730DE4">
              <w:t>3</w:t>
            </w:r>
          </w:p>
        </w:tc>
      </w:tr>
    </w:tbl>
    <w:p w14:paraId="433BE5C1" w14:textId="77777777" w:rsidR="002514F8" w:rsidRPr="00730DE4" w:rsidRDefault="002514F8" w:rsidP="00583174">
      <w:pPr>
        <w:pStyle w:val="Caption"/>
        <w:rPr>
          <w:lang w:val="en-US"/>
        </w:rPr>
      </w:pPr>
      <w:r w:rsidRPr="00730DE4">
        <w:rPr>
          <w:lang w:val="en-US"/>
        </w:rPr>
        <w:t>Notes:</w:t>
      </w:r>
    </w:p>
    <w:p w14:paraId="6BE9FD2B" w14:textId="77777777" w:rsidR="002514F8" w:rsidRPr="00730DE4" w:rsidRDefault="002514F8" w:rsidP="00583174">
      <w:pPr>
        <w:pStyle w:val="Caption"/>
        <w:rPr>
          <w:lang w:val="en-US"/>
        </w:rPr>
      </w:pPr>
      <w:r w:rsidRPr="00730DE4">
        <w:rPr>
          <w:lang w:val="en-US"/>
        </w:rPr>
        <w:t>1. The variance between 2023–24 Target/Estimate and 2023–24 Actual is due to increased client revenue.</w:t>
      </w:r>
    </w:p>
    <w:p w14:paraId="0AA25595" w14:textId="77777777" w:rsidR="002514F8" w:rsidRPr="00730DE4" w:rsidRDefault="002514F8" w:rsidP="00583174">
      <w:pPr>
        <w:pStyle w:val="Caption"/>
        <w:rPr>
          <w:lang w:val="en-US"/>
        </w:rPr>
      </w:pPr>
      <w:r w:rsidRPr="00730DE4">
        <w:rPr>
          <w:lang w:val="en-US"/>
        </w:rPr>
        <w:t>2. The variance between 2023–24 Target/Estimate and 2023–24 Actual is attributable to several unexpected vendor and provider outages, a planned multi-day system outage when implementing a new accounting system, and an unplanned disruption post-implementation leading up to the survey period.</w:t>
      </w:r>
    </w:p>
    <w:p w14:paraId="10B9EB75" w14:textId="77777777" w:rsidR="002514F8" w:rsidRPr="00730DE4" w:rsidRDefault="002514F8" w:rsidP="00583174">
      <w:pPr>
        <w:pStyle w:val="Caption"/>
        <w:rPr>
          <w:lang w:val="en-US"/>
        </w:rPr>
      </w:pPr>
      <w:r w:rsidRPr="00730DE4">
        <w:rPr>
          <w:lang w:val="en-US"/>
        </w:rPr>
        <w:t>3. The variance between the 2023–24 Target/Estimate and 2023–24 Actual is due to additional costs associated with the project extension to implement the new accounting system.</w:t>
      </w:r>
    </w:p>
    <w:p w14:paraId="3B57DFFD" w14:textId="77777777" w:rsidR="00151D00" w:rsidRPr="00730DE4" w:rsidRDefault="00151D00" w:rsidP="002B7001">
      <w:pPr>
        <w:pStyle w:val="Heading2"/>
        <w:rPr>
          <w:lang w:val="en-US"/>
        </w:rPr>
        <w:sectPr w:rsidR="00151D00" w:rsidRPr="00730DE4" w:rsidSect="00EA1647">
          <w:pgSz w:w="16838" w:h="11906" w:orient="landscape" w:code="9"/>
          <w:pgMar w:top="992" w:right="1418" w:bottom="1134" w:left="1418" w:header="454" w:footer="253" w:gutter="0"/>
          <w:cols w:space="708"/>
          <w:docGrid w:linePitch="360"/>
        </w:sectPr>
      </w:pPr>
    </w:p>
    <w:p w14:paraId="65E9FC8C" w14:textId="0019507F" w:rsidR="002514F8" w:rsidRPr="00730DE4" w:rsidRDefault="002514F8" w:rsidP="002B7001">
      <w:pPr>
        <w:pStyle w:val="Heading2"/>
        <w:rPr>
          <w:lang w:val="en-US"/>
        </w:rPr>
      </w:pPr>
      <w:bookmarkStart w:id="308" w:name="_Toc180490538"/>
      <w:bookmarkStart w:id="309" w:name="_Toc180491571"/>
      <w:r w:rsidRPr="00730DE4">
        <w:rPr>
          <w:lang w:val="en-US"/>
        </w:rPr>
        <w:t>Strategic opportunities and challenges</w:t>
      </w:r>
      <w:bookmarkEnd w:id="308"/>
      <w:bookmarkEnd w:id="309"/>
    </w:p>
    <w:p w14:paraId="5C8A772D" w14:textId="77777777" w:rsidR="002514F8" w:rsidRPr="00730DE4" w:rsidRDefault="002514F8" w:rsidP="00473E83">
      <w:pPr>
        <w:rPr>
          <w:lang w:val="en-US"/>
        </w:rPr>
      </w:pPr>
      <w:r w:rsidRPr="00730DE4">
        <w:rPr>
          <w:lang w:val="en-US"/>
        </w:rPr>
        <w:t>The changing landscape of the transport sector and digital environment presents both challenges and opportunities.</w:t>
      </w:r>
    </w:p>
    <w:p w14:paraId="470ADDE7" w14:textId="77777777" w:rsidR="002514F8" w:rsidRPr="00730DE4" w:rsidRDefault="002514F8" w:rsidP="00473E83">
      <w:pPr>
        <w:rPr>
          <w:lang w:val="en-US"/>
        </w:rPr>
      </w:pPr>
      <w:r w:rsidRPr="00730DE4">
        <w:rPr>
          <w:lang w:val="en-US"/>
        </w:rPr>
        <w:t>People's lifestyles, work patterns, and expectations are evolving. The convergence of new communication technology, new sources of energy, and new modes of mobility offer exciting opportunities to meet evolving customer needs. Connecting active transport modes and transport planning with land-use planning, while applying a lens of sustainable development, resilience, equity, and inclusivity can be challenging given the changing nature of transport and society’s mobility preferences. It is essential for TMR to embrace new technologies, promote multi-model transportation, and create a more resilient and sustainable transport system for the future.</w:t>
      </w:r>
    </w:p>
    <w:p w14:paraId="06EFB79F" w14:textId="77777777" w:rsidR="002514F8" w:rsidRPr="00730DE4" w:rsidRDefault="002514F8" w:rsidP="00473E83">
      <w:pPr>
        <w:rPr>
          <w:lang w:val="en-US"/>
        </w:rPr>
      </w:pPr>
      <w:r w:rsidRPr="00730DE4">
        <w:rPr>
          <w:lang w:val="en-US"/>
        </w:rPr>
        <w:t>A thriving digital economy is an essential driver of innovation, inclusion, competitiveness, and growth for Queensland. It is important to have affordable access to reliable digital infrastructure that enables all Queenslanders and businesses to connect, grow, and prosper. This requires effective partnerships with the Australian Government and telecommunication providers to secure the best possible outcomes for Queensland's rural and regional areas. Improving access, affordability, and ability is key to help bridge the digital divide and ensure everyone can enjoy the economic and social benefits of a digitally-enabled economy.</w:t>
      </w:r>
    </w:p>
    <w:p w14:paraId="3563F3ED" w14:textId="6792E406" w:rsidR="002514F8" w:rsidRPr="00730DE4" w:rsidRDefault="002514F8" w:rsidP="002B7001">
      <w:pPr>
        <w:pStyle w:val="Heading3"/>
        <w:rPr>
          <w:lang w:val="en-US"/>
        </w:rPr>
      </w:pPr>
      <w:bookmarkStart w:id="310" w:name="_Toc180487333"/>
      <w:bookmarkStart w:id="311" w:name="_Toc180490539"/>
      <w:bookmarkStart w:id="312" w:name="_Toc180491572"/>
      <w:r w:rsidRPr="00730DE4">
        <w:rPr>
          <w:lang w:val="en-US"/>
        </w:rPr>
        <w:t>Brisbane 2032 Olympic and Paralympic Games</w:t>
      </w:r>
      <w:bookmarkEnd w:id="310"/>
      <w:bookmarkEnd w:id="311"/>
      <w:bookmarkEnd w:id="312"/>
    </w:p>
    <w:p w14:paraId="5691A888" w14:textId="77777777" w:rsidR="002514F8" w:rsidRPr="00730DE4" w:rsidRDefault="002514F8" w:rsidP="00473E83">
      <w:pPr>
        <w:rPr>
          <w:lang w:val="en-US"/>
        </w:rPr>
      </w:pPr>
      <w:r w:rsidRPr="00730DE4">
        <w:rPr>
          <w:lang w:val="en-US"/>
        </w:rPr>
        <w:t>The Brisbane 2032 Olympic and Paralympic Games provide an opportunity to accelerate the delivery and integration of transport networks, services, and systems to change the way we travel.</w:t>
      </w:r>
    </w:p>
    <w:p w14:paraId="2CFB56A7" w14:textId="77777777" w:rsidR="002514F8" w:rsidRPr="00730DE4" w:rsidRDefault="002514F8" w:rsidP="00473E83">
      <w:pPr>
        <w:rPr>
          <w:lang w:val="en-US"/>
        </w:rPr>
      </w:pPr>
      <w:r w:rsidRPr="00730DE4">
        <w:rPr>
          <w:lang w:val="en-US"/>
        </w:rPr>
        <w:t>New planning and delivery partnerships may streamline coordination activities and provide for more efficient management of networks, services, and incident response. These partnerships will also provide new and upgraded sport facilities that allow convenient and inclusive passenger and active transport access to encourage more sustainable travel behaviour. Enhanced digital services, travel information, and wayfinding will further assist the community to make informed travel choices and improve the accessibility of our networks and services.</w:t>
      </w:r>
    </w:p>
    <w:p w14:paraId="41381810" w14:textId="77777777" w:rsidR="002514F8" w:rsidRPr="00730DE4" w:rsidRDefault="002514F8" w:rsidP="002B7001">
      <w:pPr>
        <w:pStyle w:val="Heading3"/>
        <w:rPr>
          <w:lang w:val="en-US"/>
        </w:rPr>
      </w:pPr>
      <w:bookmarkStart w:id="313" w:name="_Toc180487334"/>
      <w:bookmarkStart w:id="314" w:name="_Toc180490540"/>
      <w:bookmarkStart w:id="315" w:name="_Toc180491573"/>
      <w:r w:rsidRPr="00730DE4">
        <w:rPr>
          <w:lang w:val="en-US"/>
        </w:rPr>
        <w:t>Meeting Queensland's future needs</w:t>
      </w:r>
      <w:bookmarkEnd w:id="313"/>
      <w:bookmarkEnd w:id="314"/>
      <w:bookmarkEnd w:id="315"/>
    </w:p>
    <w:p w14:paraId="1FFFFE06" w14:textId="77777777" w:rsidR="002514F8" w:rsidRPr="00730DE4" w:rsidRDefault="002514F8" w:rsidP="00473E83">
      <w:pPr>
        <w:rPr>
          <w:lang w:val="en-US"/>
        </w:rPr>
      </w:pPr>
      <w:r w:rsidRPr="00730DE4">
        <w:rPr>
          <w:lang w:val="en-US"/>
        </w:rPr>
        <w:t xml:space="preserve">Successful </w:t>
      </w:r>
      <w:bookmarkStart w:id="316" w:name="_Hlk162256557"/>
      <w:r w:rsidRPr="00730DE4">
        <w:rPr>
          <w:lang w:val="en-US"/>
        </w:rPr>
        <w:t xml:space="preserve">neighbourhoods, cities, and regions </w:t>
      </w:r>
      <w:bookmarkEnd w:id="316"/>
      <w:r w:rsidRPr="00730DE4">
        <w:rPr>
          <w:lang w:val="en-US"/>
        </w:rPr>
        <w:t xml:space="preserve">require both seamless movement of people and goods and attractive places for social and economic activity. Within the context of Queensland’s forecasted growth, the challenge of achieving these outcomes within finite spaces will increase. </w:t>
      </w:r>
    </w:p>
    <w:p w14:paraId="3AC0E859" w14:textId="77777777" w:rsidR="002514F8" w:rsidRPr="00730DE4" w:rsidRDefault="002514F8" w:rsidP="00007E9B">
      <w:pPr>
        <w:rPr>
          <w:lang w:val="en-US"/>
        </w:rPr>
      </w:pPr>
      <w:r w:rsidRPr="00730DE4">
        <w:rPr>
          <w:lang w:val="en-US"/>
        </w:rPr>
        <w:t>The functions of movement and place are closely linked, and must be considered together across transport planning, design, operations, and investment decision-making. Therefore, the development of a Movement and Place Policy and operational framework supports planning and allows multi-disciplinary teams to identify opportunities and trade-offs with the goal of creating more connected, liveable, and sustainable neighbourhoods, cities, and regions.</w:t>
      </w:r>
    </w:p>
    <w:p w14:paraId="159E72B4" w14:textId="77777777" w:rsidR="002514F8" w:rsidRPr="00730DE4" w:rsidRDefault="002514F8" w:rsidP="00007E9B">
      <w:pPr>
        <w:rPr>
          <w:lang w:val="en-US"/>
        </w:rPr>
      </w:pPr>
      <w:r w:rsidRPr="00730DE4">
        <w:rPr>
          <w:lang w:val="en-US"/>
        </w:rPr>
        <w:t>To ensure TMR remains responsive to changing customer needs, it is investigating a strategic policy approach to manage transport inequities and deliver universal mobility for all Queenslanders across the network.</w:t>
      </w:r>
    </w:p>
    <w:p w14:paraId="7AA32B18" w14:textId="77777777" w:rsidR="002514F8" w:rsidRPr="00730DE4" w:rsidRDefault="002514F8" w:rsidP="002B7001">
      <w:pPr>
        <w:pStyle w:val="Heading3"/>
        <w:rPr>
          <w:lang w:val="en-US"/>
        </w:rPr>
      </w:pPr>
      <w:bookmarkStart w:id="317" w:name="_Toc180487335"/>
      <w:bookmarkStart w:id="318" w:name="_Toc180490541"/>
      <w:bookmarkStart w:id="319" w:name="_Toc180491574"/>
      <w:r w:rsidRPr="00730DE4">
        <w:rPr>
          <w:lang w:val="en-US"/>
        </w:rPr>
        <w:t>Rail</w:t>
      </w:r>
      <w:bookmarkEnd w:id="317"/>
      <w:bookmarkEnd w:id="318"/>
      <w:bookmarkEnd w:id="319"/>
    </w:p>
    <w:p w14:paraId="60B93167" w14:textId="77777777" w:rsidR="002514F8" w:rsidRPr="00730DE4" w:rsidRDefault="002514F8" w:rsidP="00473E83">
      <w:pPr>
        <w:rPr>
          <w:lang w:val="en-US"/>
        </w:rPr>
      </w:pPr>
      <w:r w:rsidRPr="00730DE4">
        <w:rPr>
          <w:lang w:val="en-US"/>
        </w:rPr>
        <w:t>Rail is the most efficient and sustainable form of mass passenger transport, with one full train able to take more than 600 cars off the road, reducing congestion and greenhouse gas emissions. TMR is forecasting significant increases in South East Queensland rail service demand over the next decade. To cater to Queensland’s future transport needs, TMR is investing in rail at record levels to deliver better train journeys, including:</w:t>
      </w:r>
    </w:p>
    <w:p w14:paraId="3BA915A8" w14:textId="77777777" w:rsidR="002514F8" w:rsidRPr="00730DE4" w:rsidRDefault="002514F8" w:rsidP="00473E83">
      <w:pPr>
        <w:pStyle w:val="ListBullet"/>
        <w:rPr>
          <w:lang w:val="en-US"/>
        </w:rPr>
      </w:pPr>
      <w:r w:rsidRPr="00730DE4">
        <w:rPr>
          <w:lang w:val="en-US"/>
        </w:rPr>
        <w:t>preparing the rail network for CRR by redesigning the network and planning new timetables</w:t>
      </w:r>
    </w:p>
    <w:p w14:paraId="60B0B4AE" w14:textId="77777777" w:rsidR="002514F8" w:rsidRPr="00730DE4" w:rsidRDefault="002514F8" w:rsidP="00473E83">
      <w:pPr>
        <w:pStyle w:val="ListBullet"/>
        <w:rPr>
          <w:lang w:val="en-US"/>
        </w:rPr>
      </w:pPr>
      <w:r w:rsidRPr="00730DE4">
        <w:rPr>
          <w:lang w:val="en-US"/>
        </w:rPr>
        <w:t>building 65 new six-car trains at a purpose-built manufacturing facility in the Maryborough region</w:t>
      </w:r>
    </w:p>
    <w:p w14:paraId="76107191" w14:textId="77777777" w:rsidR="002514F8" w:rsidRPr="00730DE4" w:rsidRDefault="002514F8" w:rsidP="00473E83">
      <w:pPr>
        <w:pStyle w:val="ListBullet"/>
        <w:rPr>
          <w:lang w:val="en-US"/>
        </w:rPr>
      </w:pPr>
      <w:r w:rsidRPr="00730DE4">
        <w:rPr>
          <w:lang w:val="en-US"/>
        </w:rPr>
        <w:t xml:space="preserve">delivering the LGC project, doubling the number of tracks between Kuraby and Beenleigh </w:t>
      </w:r>
    </w:p>
    <w:p w14:paraId="6FE1B944" w14:textId="77777777" w:rsidR="002514F8" w:rsidRPr="00730DE4" w:rsidRDefault="002514F8" w:rsidP="00473E83">
      <w:pPr>
        <w:pStyle w:val="ListBullet"/>
        <w:rPr>
          <w:lang w:val="en-US"/>
        </w:rPr>
      </w:pPr>
      <w:r w:rsidRPr="00730DE4">
        <w:rPr>
          <w:lang w:val="en-US"/>
        </w:rPr>
        <w:t>delivering the Beerburrum to Nambour Rail Upgrade (Stage One) to provide additional track capacity and reliability</w:t>
      </w:r>
    </w:p>
    <w:p w14:paraId="418D4DA1" w14:textId="77777777" w:rsidR="002514F8" w:rsidRPr="00730DE4" w:rsidRDefault="002514F8" w:rsidP="00473E83">
      <w:pPr>
        <w:pStyle w:val="ListBullet"/>
        <w:rPr>
          <w:lang w:val="en-US"/>
        </w:rPr>
      </w:pPr>
      <w:r w:rsidRPr="00730DE4">
        <w:rPr>
          <w:lang w:val="en-US"/>
        </w:rPr>
        <w:t>planning for the Direct Sunshine Coast Rail Line, supporting the acceleration of affordable housing.</w:t>
      </w:r>
    </w:p>
    <w:p w14:paraId="64E7F0ED" w14:textId="77777777" w:rsidR="002514F8" w:rsidRPr="00730DE4" w:rsidRDefault="002514F8" w:rsidP="00473E83">
      <w:pPr>
        <w:rPr>
          <w:lang w:val="en-US"/>
        </w:rPr>
      </w:pPr>
      <w:r w:rsidRPr="00730DE4">
        <w:rPr>
          <w:lang w:val="en-US"/>
        </w:rPr>
        <w:t>TMR continually works with local government, Queensland Rail, and other key stakeholders to deliver improved access at train stations and interchanges, as well as on all types of passenger transport across the network, with the aim of delivering easy, independent access to passenger transport from door-to-door.</w:t>
      </w:r>
    </w:p>
    <w:p w14:paraId="3112B354" w14:textId="77777777" w:rsidR="002514F8" w:rsidRPr="00730DE4" w:rsidRDefault="002514F8" w:rsidP="002B7001">
      <w:pPr>
        <w:pStyle w:val="Heading3"/>
        <w:rPr>
          <w:lang w:val="en-US"/>
        </w:rPr>
      </w:pPr>
      <w:bookmarkStart w:id="320" w:name="_Toc180487336"/>
      <w:bookmarkStart w:id="321" w:name="_Toc180490542"/>
      <w:bookmarkStart w:id="322" w:name="_Toc180491575"/>
      <w:r w:rsidRPr="00730DE4">
        <w:rPr>
          <w:lang w:val="en-US"/>
        </w:rPr>
        <w:t>Mobility as a Service (MaaS) and Cooperative and Automated Initiative (CAVI)</w:t>
      </w:r>
      <w:bookmarkEnd w:id="320"/>
      <w:bookmarkEnd w:id="321"/>
      <w:bookmarkEnd w:id="322"/>
    </w:p>
    <w:p w14:paraId="35766154" w14:textId="77777777" w:rsidR="002514F8" w:rsidRPr="00730DE4" w:rsidRDefault="002514F8" w:rsidP="00473E83">
      <w:pPr>
        <w:rPr>
          <w:lang w:val="en-US"/>
        </w:rPr>
      </w:pPr>
      <w:r w:rsidRPr="00730DE4">
        <w:rPr>
          <w:lang w:val="en-US"/>
        </w:rPr>
        <w:t>Focusing on people's interaction with new technologies within the transport system is important in meeting the safety, emissions, and congestion challenges. Over the past few years, TMR has been trialling MaaS and cooperative and automated vehicles.</w:t>
      </w:r>
    </w:p>
    <w:p w14:paraId="198095C1" w14:textId="77777777" w:rsidR="002514F8" w:rsidRPr="00730DE4" w:rsidRDefault="002514F8" w:rsidP="00473E83">
      <w:pPr>
        <w:rPr>
          <w:lang w:val="en-US"/>
        </w:rPr>
      </w:pPr>
      <w:r w:rsidRPr="00730DE4">
        <w:rPr>
          <w:lang w:val="en-US"/>
        </w:rPr>
        <w:t>In partnership with the University of Queensland (UQ) and iMOVE Cooperative Research Centre, TMR has created Australia’s largest MaaS trial that considers customer acceptance of multi-modal and aggregated transport products. TMR's Cooperative and Highly Automated Driving Safety Study, Australia's largest automated vehicle research project, stretching over five years, paves the way for highly automated vehicles in Australia. These trials are essential to understanding how emerging technologies may affect the transport system, advance safety benefits, and make better use of the network. They also help to enable new and innovative technologies to be home grown or obtainable in Queensland.</w:t>
      </w:r>
    </w:p>
    <w:p w14:paraId="74FDD677" w14:textId="77777777" w:rsidR="002514F8" w:rsidRPr="00730DE4" w:rsidRDefault="002514F8" w:rsidP="00473E83">
      <w:pPr>
        <w:rPr>
          <w:lang w:val="en-US"/>
        </w:rPr>
      </w:pPr>
      <w:r w:rsidRPr="00730DE4">
        <w:rPr>
          <w:lang w:val="en-US"/>
        </w:rPr>
        <w:t>Both MaaS and cooperative and automated vehicle trials ensure Queensland’s regulatory environment is ready and fit-for-purpose, and explore issues of safety, liability, national integration, and data privacy. The continued focus across these areas assists in laying the foundations for the next generation of smart services and transport infrastructure.</w:t>
      </w:r>
    </w:p>
    <w:p w14:paraId="49198CC4" w14:textId="6D516B6B" w:rsidR="002514F8" w:rsidRPr="00730DE4" w:rsidRDefault="002514F8" w:rsidP="002B7001">
      <w:pPr>
        <w:pStyle w:val="Heading3"/>
        <w:rPr>
          <w:lang w:val="en-US"/>
        </w:rPr>
      </w:pPr>
      <w:bookmarkStart w:id="323" w:name="_Toc180487337"/>
      <w:bookmarkStart w:id="324" w:name="_Toc180490543"/>
      <w:bookmarkStart w:id="325" w:name="_Toc180491576"/>
      <w:r w:rsidRPr="00730DE4">
        <w:rPr>
          <w:lang w:val="en-US"/>
        </w:rPr>
        <w:t>Optimising our capacity and capability in</w:t>
      </w:r>
      <w:r w:rsidR="006D62FC" w:rsidRPr="00730DE4">
        <w:rPr>
          <w:lang w:val="en-US"/>
        </w:rPr>
        <w:t xml:space="preserve"> </w:t>
      </w:r>
      <w:r w:rsidRPr="00730DE4">
        <w:rPr>
          <w:lang w:val="en-US"/>
        </w:rPr>
        <w:t>multi-modal network and major event management</w:t>
      </w:r>
      <w:bookmarkEnd w:id="323"/>
      <w:bookmarkEnd w:id="324"/>
      <w:bookmarkEnd w:id="325"/>
      <w:r w:rsidRPr="00730DE4">
        <w:rPr>
          <w:lang w:val="en-US"/>
        </w:rPr>
        <w:t xml:space="preserve"> </w:t>
      </w:r>
    </w:p>
    <w:p w14:paraId="743A06A7" w14:textId="77777777" w:rsidR="002514F8" w:rsidRPr="00730DE4" w:rsidRDefault="002514F8" w:rsidP="00473E83">
      <w:pPr>
        <w:rPr>
          <w:lang w:val="en-US"/>
        </w:rPr>
      </w:pPr>
      <w:r w:rsidRPr="00730DE4">
        <w:rPr>
          <w:lang w:val="en-US"/>
        </w:rPr>
        <w:t>Experience and learnings from the Gold Coast 2018 Commonwealth Games and other major events has underscored the need for effective, coordinated, real-time management to mitigate both planned and unplanned disruptions on our network and enhance customer communication.</w:t>
      </w:r>
    </w:p>
    <w:p w14:paraId="711E317F" w14:textId="77777777" w:rsidR="002514F8" w:rsidRPr="00730DE4" w:rsidRDefault="002514F8" w:rsidP="00473E83">
      <w:pPr>
        <w:rPr>
          <w:lang w:val="en-US"/>
        </w:rPr>
      </w:pPr>
      <w:r w:rsidRPr="00730DE4">
        <w:rPr>
          <w:lang w:val="en-US"/>
        </w:rPr>
        <w:t>The Translink Operations Centre and the Infrastructure Management Division's Statewide Network Operations Branch are complementary capabilities working together to progress the future Transport Coordination Centre. The Transport Coordination Centre is a future statewide initiative with significant opportunity to respond to disruptions at a system-wide level and integrate policies, services, infrastructure, and technologies to enhance transport system performance and responsiveness.</w:t>
      </w:r>
    </w:p>
    <w:p w14:paraId="2E5DC6A8" w14:textId="1C33481E" w:rsidR="002514F8" w:rsidRPr="00730DE4" w:rsidRDefault="002514F8" w:rsidP="00473E83">
      <w:pPr>
        <w:rPr>
          <w:lang w:val="en-US"/>
        </w:rPr>
      </w:pPr>
      <w:r w:rsidRPr="00730DE4">
        <w:rPr>
          <w:lang w:val="en-US"/>
        </w:rPr>
        <w:t>Travel Demand Management will also contribute to tackling challenges posed by major disruptions and deliver longer-term policy objectives by influencing travel behaviour within communities. The investment in Intelligent Transport and Smart Motorway systems and other intelligent transport system infrastructure also present an opportunity to further optimise how the network performs as people and goods connect with people and places. Effective multi-modal operations, informed by data, enhanced by technology, and enabled through our people will be key in improving transport system outcomes for Queenslanders, especially in the lead up to and during the Brisbane 2032 Olympic and Paralympic Games.</w:t>
      </w:r>
    </w:p>
    <w:p w14:paraId="5E9AD5B3" w14:textId="77777777" w:rsidR="002514F8" w:rsidRPr="00730DE4" w:rsidRDefault="002514F8" w:rsidP="002B7001">
      <w:pPr>
        <w:pStyle w:val="Heading3"/>
        <w:rPr>
          <w:lang w:val="en-US"/>
        </w:rPr>
      </w:pPr>
      <w:bookmarkStart w:id="326" w:name="_Toc180487338"/>
      <w:bookmarkStart w:id="327" w:name="_Toc180490544"/>
      <w:bookmarkStart w:id="328" w:name="_Toc180491577"/>
      <w:bookmarkStart w:id="329" w:name="_Hlk173143630"/>
      <w:r w:rsidRPr="00730DE4">
        <w:rPr>
          <w:lang w:val="en-US"/>
        </w:rPr>
        <w:t>Responding to change</w:t>
      </w:r>
      <w:bookmarkEnd w:id="326"/>
      <w:bookmarkEnd w:id="327"/>
      <w:bookmarkEnd w:id="328"/>
    </w:p>
    <w:p w14:paraId="7505167B" w14:textId="77777777" w:rsidR="002514F8" w:rsidRPr="00730DE4" w:rsidRDefault="002514F8" w:rsidP="00473E83">
      <w:pPr>
        <w:rPr>
          <w:lang w:val="en-US"/>
        </w:rPr>
      </w:pPr>
      <w:r w:rsidRPr="00730DE4">
        <w:rPr>
          <w:lang w:val="en-US"/>
        </w:rPr>
        <w:t xml:space="preserve">The </w:t>
      </w:r>
      <w:r w:rsidRPr="00730DE4">
        <w:rPr>
          <w:rStyle w:val="Emphasis"/>
        </w:rPr>
        <w:t>Queensland Transport Strategy,</w:t>
      </w:r>
      <w:r w:rsidRPr="00730DE4">
        <w:t xml:space="preserve"> published in 2021, outlines a 30-year </w:t>
      </w:r>
      <w:r w:rsidRPr="00730DE4">
        <w:rPr>
          <w:lang w:val="en-US"/>
        </w:rPr>
        <w:t xml:space="preserve">vision to leverage new communication technology, energy sources, and mobility modes, reshaping service access and transport patterns. Centered around five customer outcomes, the </w:t>
      </w:r>
      <w:r w:rsidRPr="00730DE4">
        <w:rPr>
          <w:rStyle w:val="Emphasis"/>
        </w:rPr>
        <w:t>Queensland Transport Strategy</w:t>
      </w:r>
      <w:r w:rsidRPr="00730DE4">
        <w:rPr>
          <w:lang w:val="en-US"/>
        </w:rPr>
        <w:t xml:space="preserve"> aims to enhance economic prosperity, sustainability, and state livability. TMR remains vigilant in monitoring, evaluating, and enhancing the strategy and related initiatives to ensure alignment with evolving industry, technology, and customer trends.</w:t>
      </w:r>
    </w:p>
    <w:p w14:paraId="5F3C6072" w14:textId="77777777" w:rsidR="002514F8" w:rsidRPr="00730DE4" w:rsidRDefault="002514F8" w:rsidP="00473E83">
      <w:pPr>
        <w:rPr>
          <w:lang w:val="en-US"/>
        </w:rPr>
      </w:pPr>
      <w:r w:rsidRPr="00730DE4">
        <w:rPr>
          <w:lang w:val="en-US"/>
        </w:rPr>
        <w:t>AI will have a profound affect across many industries, and arguably, present society with some of its biggest challenges and opportunities. AI is no longer the future, it’s here now, and there are significant opportunities for government to improve productivity, service delivery, and policy. However, it is also important for all levels of government and industry to continue to work together to manage risks appropriately in this rapidly evolving space.</w:t>
      </w:r>
      <w:r w:rsidRPr="00730DE4">
        <w:t xml:space="preserve"> </w:t>
      </w:r>
      <w:r w:rsidRPr="00730DE4">
        <w:rPr>
          <w:lang w:val="en-US"/>
        </w:rPr>
        <w:t xml:space="preserve">Therefore, the QGCDG released the </w:t>
      </w:r>
      <w:r w:rsidRPr="00730DE4">
        <w:rPr>
          <w:rStyle w:val="Emphasis"/>
          <w:lang w:val="en-US"/>
        </w:rPr>
        <w:t>Use of generative AI in Queensland Government</w:t>
      </w:r>
      <w:r w:rsidRPr="00730DE4">
        <w:rPr>
          <w:lang w:val="en-US"/>
        </w:rPr>
        <w:t xml:space="preserve"> guideline to describe what issues need to be considered when using Generative AI products or services.</w:t>
      </w:r>
    </w:p>
    <w:p w14:paraId="2A4CE7AE" w14:textId="77777777" w:rsidR="002514F8" w:rsidRPr="00730DE4" w:rsidRDefault="002514F8" w:rsidP="002B7001">
      <w:pPr>
        <w:pStyle w:val="Heading3"/>
        <w:rPr>
          <w:lang w:val="en-US"/>
        </w:rPr>
      </w:pPr>
      <w:bookmarkStart w:id="330" w:name="_Toc180487339"/>
      <w:bookmarkStart w:id="331" w:name="_Toc180490545"/>
      <w:bookmarkStart w:id="332" w:name="_Toc180491578"/>
      <w:bookmarkStart w:id="333" w:name="_Hlk173143799"/>
      <w:bookmarkEnd w:id="329"/>
      <w:r w:rsidRPr="00730DE4">
        <w:rPr>
          <w:lang w:val="en-US"/>
        </w:rPr>
        <w:t>Maximising the value from data to improve planning and operational efficiency</w:t>
      </w:r>
      <w:bookmarkEnd w:id="330"/>
      <w:bookmarkEnd w:id="331"/>
      <w:bookmarkEnd w:id="332"/>
    </w:p>
    <w:p w14:paraId="3CDED815" w14:textId="4C147F7C" w:rsidR="00EA1647" w:rsidRDefault="002514F8" w:rsidP="00BA3F47">
      <w:pPr>
        <w:rPr>
          <w:lang w:val="en-US"/>
        </w:rPr>
      </w:pPr>
      <w:r w:rsidRPr="00730DE4">
        <w:rPr>
          <w:lang w:val="en-US"/>
        </w:rPr>
        <w:t xml:space="preserve">TMR's </w:t>
      </w:r>
      <w:r w:rsidRPr="00730DE4">
        <w:rPr>
          <w:rStyle w:val="Emphasis"/>
          <w:lang w:val="en-US"/>
        </w:rPr>
        <w:t>Data and Analytics Strategy 2023–26</w:t>
      </w:r>
      <w:r w:rsidRPr="00730DE4">
        <w:rPr>
          <w:lang w:val="en-US"/>
        </w:rPr>
        <w:t>, outlines the steps TMR is taking to improve its data and analytics capabilities, and develop an ecosystem that informs an integrated, accessible transport network. The strategy identifies the need to leverage AI and machine learning, which is currently being used to enforce seatbelt and mobile phone laws. AI is also a key component and integral to autonomous vehicles. AI will drive technological innovations, which have the potential to reform the way we transport people and goods, manage traffic flows, and successfully plan and design places. Embracing AI, in a responsible way, will bring many benefits to the transport sector, including improved efficiency, better safety, and enhanced customer experience.</w:t>
      </w:r>
      <w:r w:rsidR="00EA1647">
        <w:rPr>
          <w:lang w:val="en-US"/>
        </w:rPr>
        <w:br w:type="page"/>
      </w:r>
    </w:p>
    <w:p w14:paraId="15501C45" w14:textId="605520F9" w:rsidR="002514F8" w:rsidRPr="00730DE4" w:rsidRDefault="002514F8" w:rsidP="00BA3F47">
      <w:pPr>
        <w:rPr>
          <w:lang w:val="en-US"/>
        </w:rPr>
      </w:pPr>
      <w:r w:rsidRPr="00730DE4">
        <w:rPr>
          <w:lang w:val="en-US"/>
        </w:rPr>
        <w:t>The strategy is underpinned by TMR's strategic data analytics framework, the Transport Data Exchange (TDx). Through the TDx framework, TMR has implemented cloud-based analytics solutions to solve complex business and customer challenges and transform data into insights. Along with modern work methods, it ensures our workforce is adequately prepared to leverage data analytics, thereby supporting informed decision-making and enabling the provision of modern, customer-oriented services.</w:t>
      </w:r>
    </w:p>
    <w:p w14:paraId="3D5931F9" w14:textId="77777777" w:rsidR="002514F8" w:rsidRPr="00730DE4" w:rsidRDefault="002514F8" w:rsidP="002B7001">
      <w:pPr>
        <w:pStyle w:val="Heading3"/>
        <w:rPr>
          <w:lang w:val="en-US"/>
        </w:rPr>
      </w:pPr>
      <w:bookmarkStart w:id="334" w:name="_Toc180487340"/>
      <w:bookmarkStart w:id="335" w:name="_Toc180490546"/>
      <w:bookmarkStart w:id="336" w:name="_Toc180491579"/>
      <w:bookmarkStart w:id="337" w:name="_Hlk173143981"/>
      <w:bookmarkEnd w:id="333"/>
      <w:r w:rsidRPr="00730DE4">
        <w:rPr>
          <w:lang w:val="en-US"/>
        </w:rPr>
        <w:t>Environmental resilience and emission targets</w:t>
      </w:r>
      <w:bookmarkEnd w:id="334"/>
      <w:bookmarkEnd w:id="335"/>
      <w:bookmarkEnd w:id="336"/>
    </w:p>
    <w:p w14:paraId="21DEEC0F" w14:textId="77777777" w:rsidR="002514F8" w:rsidRPr="00730DE4" w:rsidRDefault="002514F8" w:rsidP="00007E9B">
      <w:r w:rsidRPr="00730DE4">
        <w:t>In the face of increasing global climate challenges, Queensland ranks third highest for aggregated damage risk in the Oceania region (</w:t>
      </w:r>
      <w:r w:rsidRPr="00730DE4">
        <w:rPr>
          <w:rStyle w:val="Emphasis"/>
        </w:rPr>
        <w:t>2024 XDI Gross Domestic Climate Risk Report</w:t>
      </w:r>
      <w:r w:rsidRPr="00730DE4">
        <w:t>). To prepare for these challenges, the Queensland Government has legislated emission reduction targets of 30 per cent emission reduction below 2005 levels by 2030, 75 per cent below 2005 levels by 2035, and zero net emissions by 2050 (</w:t>
      </w:r>
      <w:r w:rsidRPr="00730DE4">
        <w:rPr>
          <w:rStyle w:val="Emphasis"/>
        </w:rPr>
        <w:t>Clean Economy Jobs Act 2024</w:t>
      </w:r>
      <w:r w:rsidRPr="00730DE4">
        <w:t>).</w:t>
      </w:r>
    </w:p>
    <w:p w14:paraId="0012C3AF" w14:textId="77777777" w:rsidR="002514F8" w:rsidRPr="00730DE4" w:rsidRDefault="002514F8" w:rsidP="00007E9B">
      <w:r w:rsidRPr="00730DE4">
        <w:t>This heightened risk emphasises the need to address severe service disruptions, while also presenting opportunities to decarbonise and develop more sustainable and resilient infrastructure. TMR has undertaken various initiatives:</w:t>
      </w:r>
    </w:p>
    <w:p w14:paraId="6AE9C7F2" w14:textId="77777777" w:rsidR="002514F8" w:rsidRPr="00730DE4" w:rsidRDefault="002514F8" w:rsidP="00007E9B">
      <w:pPr>
        <w:pStyle w:val="ListBullet"/>
      </w:pPr>
      <w:r w:rsidRPr="00730DE4">
        <w:t xml:space="preserve">implementation of </w:t>
      </w:r>
      <w:r w:rsidRPr="00730DE4">
        <w:rPr>
          <w:rStyle w:val="Emphasis"/>
        </w:rPr>
        <w:t>Queensland's Zero Emission Vehicle Strategy 2022–2032</w:t>
      </w:r>
      <w:r w:rsidRPr="00730DE4">
        <w:t xml:space="preserve"> and 2022–24 Action Plan to create a cleaner, greener, integrated transport and energy network that encourages zero emission transport solutions</w:t>
      </w:r>
    </w:p>
    <w:p w14:paraId="25A871AC" w14:textId="77777777" w:rsidR="002514F8" w:rsidRPr="00730DE4" w:rsidRDefault="002514F8" w:rsidP="00007E9B">
      <w:pPr>
        <w:pStyle w:val="ListBullet"/>
      </w:pPr>
      <w:r w:rsidRPr="00730DE4">
        <w:t>development of the Climate Change Strategy and Action Plan to improve capability, capacity, and resilience across the department</w:t>
      </w:r>
    </w:p>
    <w:p w14:paraId="4A1DA42F" w14:textId="77777777" w:rsidR="002514F8" w:rsidRPr="00730DE4" w:rsidRDefault="002514F8" w:rsidP="00007E9B">
      <w:pPr>
        <w:pStyle w:val="ListBullet"/>
      </w:pPr>
      <w:r w:rsidRPr="00730DE4">
        <w:t>development of the draft Net Zero Emissions for Transport Roadmap to set out our commitment to net zero emissions in the transport sector</w:t>
      </w:r>
    </w:p>
    <w:p w14:paraId="6E306A99" w14:textId="77777777" w:rsidR="002514F8" w:rsidRPr="00730DE4" w:rsidRDefault="002514F8" w:rsidP="00007E9B">
      <w:pPr>
        <w:pStyle w:val="ListBullet"/>
      </w:pPr>
      <w:r w:rsidRPr="00730DE4">
        <w:t>consultation with industry and across jurisdictions to discuss zero emission vehicle policy settings and provide input into the Australian Government's decarbonisation plans and policies</w:t>
      </w:r>
    </w:p>
    <w:p w14:paraId="52767361" w14:textId="77777777" w:rsidR="002514F8" w:rsidRPr="00730DE4" w:rsidRDefault="002514F8" w:rsidP="00007E9B">
      <w:pPr>
        <w:pStyle w:val="ListBullet"/>
      </w:pPr>
      <w:r w:rsidRPr="00730DE4">
        <w:t>championing a phased adoption of zero emission heavy vehicles within the heavy vehicle industry</w:t>
      </w:r>
    </w:p>
    <w:p w14:paraId="25353D90" w14:textId="77777777" w:rsidR="002514F8" w:rsidRPr="00730DE4" w:rsidRDefault="002514F8" w:rsidP="00007E9B">
      <w:pPr>
        <w:pStyle w:val="ListBullet"/>
      </w:pPr>
      <w:r w:rsidRPr="00730DE4">
        <w:t>investigation of the potential impacts and opportunities of the renewable energy industry (such as hydrogen), including the safe and efficient import of renewable energy componentry into Queensland's ports and the potential export of hydrogen products from ports.</w:t>
      </w:r>
    </w:p>
    <w:p w14:paraId="48B6D6A4" w14:textId="29552427" w:rsidR="00EA1647" w:rsidRDefault="002514F8" w:rsidP="00473E83">
      <w:pPr>
        <w:rPr>
          <w:lang w:val="en-US"/>
        </w:rPr>
      </w:pPr>
      <w:r w:rsidRPr="00730DE4">
        <w:t xml:space="preserve">Recognising the frequency and severity of natural disasters, TMR employs Intelligent Transport System devices </w:t>
      </w:r>
      <w:r w:rsidRPr="00730DE4">
        <w:rPr>
          <w:lang w:val="en-US"/>
        </w:rPr>
        <w:t xml:space="preserve">across the network </w:t>
      </w:r>
      <w:r w:rsidRPr="00730DE4">
        <w:t>to gather and utilise data for informed recovery efforts. This data-driven approach ensures a coordinated and prioriti</w:t>
      </w:r>
      <w:r w:rsidRPr="00730DE4">
        <w:rPr>
          <w:lang w:val="en-US"/>
        </w:rPr>
        <w:t>s</w:t>
      </w:r>
      <w:r w:rsidRPr="00730DE4">
        <w:t>ed response to mitigate the impact on Queensland's road network and its users.</w:t>
      </w:r>
      <w:r w:rsidR="00EA1647">
        <w:rPr>
          <w:lang w:val="en-US"/>
        </w:rPr>
        <w:br w:type="page"/>
      </w:r>
    </w:p>
    <w:p w14:paraId="1512E627" w14:textId="40103465" w:rsidR="002514F8" w:rsidRPr="00730DE4" w:rsidRDefault="002514F8" w:rsidP="00473E83">
      <w:r w:rsidRPr="00730DE4">
        <w:rPr>
          <w:lang w:val="en-US"/>
        </w:rPr>
        <w:t xml:space="preserve">TMR demonstrates its commitment to sustainability through the increased adoption of recycled materials in transport infrastructure construction. These include </w:t>
      </w:r>
      <w:r w:rsidRPr="00730DE4">
        <w:t xml:space="preserve">crumbed rubber (from recycled tyres), recycled glass, in-situ stabilisation, </w:t>
      </w:r>
      <w:r w:rsidRPr="00730DE4" w:rsidDel="008827CE">
        <w:t>high modulus asphalt</w:t>
      </w:r>
      <w:r w:rsidRPr="00730DE4">
        <w:t>, and recycled asphalt, which contribute to a circular economy.</w:t>
      </w:r>
    </w:p>
    <w:p w14:paraId="111422B7" w14:textId="77777777" w:rsidR="002514F8" w:rsidRPr="00730DE4" w:rsidRDefault="002514F8" w:rsidP="00473E83">
      <w:pPr>
        <w:rPr>
          <w:lang w:val="en-US"/>
        </w:rPr>
      </w:pPr>
      <w:r w:rsidRPr="00730DE4">
        <w:t>Our actions to improve environmental resilience will contribute to reducing or avoiding emissions while improving and advancing broader sustainability outcomes.</w:t>
      </w:r>
      <w:bookmarkStart w:id="338" w:name="_Hlk162260506"/>
    </w:p>
    <w:p w14:paraId="4C8470F7" w14:textId="77777777" w:rsidR="002514F8" w:rsidRPr="00730DE4" w:rsidRDefault="002514F8" w:rsidP="002B7001">
      <w:pPr>
        <w:pStyle w:val="Heading3"/>
        <w:rPr>
          <w:lang w:val="en-US"/>
        </w:rPr>
      </w:pPr>
      <w:bookmarkStart w:id="339" w:name="_Toc180487341"/>
      <w:bookmarkStart w:id="340" w:name="_Toc180490547"/>
      <w:bookmarkStart w:id="341" w:name="_Toc180491580"/>
      <w:bookmarkEnd w:id="337"/>
      <w:r w:rsidRPr="00730DE4">
        <w:rPr>
          <w:lang w:val="en-US"/>
        </w:rPr>
        <w:t>Cyber resilience</w:t>
      </w:r>
      <w:bookmarkEnd w:id="339"/>
      <w:bookmarkEnd w:id="340"/>
      <w:bookmarkEnd w:id="341"/>
    </w:p>
    <w:p w14:paraId="0FEE8D33" w14:textId="77777777" w:rsidR="002514F8" w:rsidRPr="00730DE4" w:rsidRDefault="002514F8" w:rsidP="00473E83">
      <w:pPr>
        <w:rPr>
          <w:lang w:val="en-US"/>
        </w:rPr>
      </w:pPr>
      <w:r w:rsidRPr="00730DE4">
        <w:rPr>
          <w:lang w:val="en-US"/>
        </w:rPr>
        <w:t>The threat of cybercrime continues to grow with cyber-attacks increasing in their frequency, scale, and sophistication. Effective cyber security is essential for efficient delivery of government services and a productive state. Queensland Government has a strong focus on cyber security in response to escalating threats to the data we hold and the services we provide to Queenslanders. QGCDG's CSU is focused on strengthening whole-of-government cyber security capability by ensuring effective cyber governance, enhancing cyber skills, and providing advanced defence capabilities to better protect government and Queenslanders. TMR itself remains vigilant in respect to escalating threats by ensuring our services meet high security standards and controls through its information security management system (ISMS).</w:t>
      </w:r>
    </w:p>
    <w:p w14:paraId="4DAB8C5B" w14:textId="77777777" w:rsidR="002514F8" w:rsidRPr="00730DE4" w:rsidRDefault="002514F8" w:rsidP="002B7001">
      <w:pPr>
        <w:pStyle w:val="Heading3"/>
        <w:rPr>
          <w:lang w:val="en-US"/>
        </w:rPr>
      </w:pPr>
      <w:bookmarkStart w:id="342" w:name="_Toc180487342"/>
      <w:bookmarkStart w:id="343" w:name="_Toc180490548"/>
      <w:bookmarkStart w:id="344" w:name="_Toc180491581"/>
      <w:bookmarkStart w:id="345" w:name="_Hlk173144014"/>
      <w:bookmarkEnd w:id="338"/>
      <w:r w:rsidRPr="00730DE4">
        <w:rPr>
          <w:lang w:val="en-US"/>
        </w:rPr>
        <w:t>Future of work</w:t>
      </w:r>
      <w:bookmarkEnd w:id="342"/>
      <w:bookmarkEnd w:id="343"/>
      <w:bookmarkEnd w:id="344"/>
      <w:r w:rsidRPr="00730DE4">
        <w:rPr>
          <w:lang w:val="en-US"/>
        </w:rPr>
        <w:t xml:space="preserve"> </w:t>
      </w:r>
    </w:p>
    <w:p w14:paraId="49346D0E" w14:textId="77777777" w:rsidR="002514F8" w:rsidRPr="00730DE4" w:rsidRDefault="002514F8" w:rsidP="00473E83">
      <w:pPr>
        <w:rPr>
          <w:lang w:val="en-US"/>
        </w:rPr>
      </w:pPr>
      <w:r w:rsidRPr="00730DE4">
        <w:rPr>
          <w:lang w:val="en-US"/>
        </w:rPr>
        <w:t>Rapid change characterises contemporary workplaces, providing both challenges and opportunities for the future of work. Productivity improvements, enabled by technology, are starting to be realised and ongoing growth is expected in this space. Workforce priorities include ensuring TMR has the right skills and abilities to adapt to impacts and benefits of digital disruption. In addition, TMR’s Future Workplace Initiative will deliver a more efficient use of public funds while also providing a more dynamic workplace for staff.</w:t>
      </w:r>
    </w:p>
    <w:p w14:paraId="7B487E6F" w14:textId="77777777" w:rsidR="002514F8" w:rsidRPr="00730DE4" w:rsidRDefault="002514F8" w:rsidP="00473E83">
      <w:pPr>
        <w:rPr>
          <w:lang w:val="en-US"/>
        </w:rPr>
      </w:pPr>
      <w:r w:rsidRPr="00730DE4">
        <w:rPr>
          <w:lang w:val="en-US"/>
        </w:rPr>
        <w:t xml:space="preserve">TMR's </w:t>
      </w:r>
      <w:r w:rsidRPr="00730DE4">
        <w:rPr>
          <w:rStyle w:val="Emphasis"/>
        </w:rPr>
        <w:t>Digital Strategic Plan 2021–25</w:t>
      </w:r>
      <w:r w:rsidRPr="00730DE4">
        <w:rPr>
          <w:lang w:val="en-US"/>
        </w:rPr>
        <w:t xml:space="preserve"> fosters a learning culture and a digitally enabled workforce, enabling TMR to continue to deliver integrated and inclusive services for all Queenslanders. We plan for our workforce to be reflective of the community we serve, and as such, align our equity targets and actions under our </w:t>
      </w:r>
      <w:r w:rsidRPr="00730DE4">
        <w:rPr>
          <w:rStyle w:val="Emphasis"/>
        </w:rPr>
        <w:t>Inclusion and Diversity Strategy 2021–25</w:t>
      </w:r>
      <w:r w:rsidRPr="00730DE4">
        <w:rPr>
          <w:lang w:val="en-US"/>
        </w:rPr>
        <w:t xml:space="preserve"> and </w:t>
      </w:r>
      <w:r w:rsidRPr="00730DE4">
        <w:rPr>
          <w:rStyle w:val="Emphasis"/>
        </w:rPr>
        <w:t xml:space="preserve">Equity and Diversity Plan 2023–24 </w:t>
      </w:r>
      <w:r w:rsidRPr="00730DE4">
        <w:rPr>
          <w:lang w:val="en-US"/>
        </w:rPr>
        <w:t>to our community. These guiding documents support TMR's action and approach to creating a culture of respect and inclusion at work.</w:t>
      </w:r>
    </w:p>
    <w:p w14:paraId="27276C0D" w14:textId="15B0FE71" w:rsidR="002514F8" w:rsidRPr="00730DE4" w:rsidRDefault="002514F8" w:rsidP="00473E83">
      <w:pPr>
        <w:rPr>
          <w:lang w:val="en-US"/>
        </w:rPr>
      </w:pPr>
      <w:r w:rsidRPr="00730DE4">
        <w:rPr>
          <w:lang w:val="en-US"/>
        </w:rPr>
        <w:t xml:space="preserve">In alignment with broader Queensland Public Sector priorities of </w:t>
      </w:r>
      <w:r w:rsidRPr="00730DE4">
        <w:t>'An even better public service'</w:t>
      </w:r>
      <w:r w:rsidRPr="00730DE4">
        <w:rPr>
          <w:lang w:val="en-US"/>
        </w:rPr>
        <w:t xml:space="preserve">, </w:t>
      </w:r>
      <w:r w:rsidRPr="00730DE4">
        <w:rPr>
          <w:rStyle w:val="Emphasis"/>
        </w:rPr>
        <w:t>TMR's Strategic Plan 2023–27</w:t>
      </w:r>
      <w:r w:rsidRPr="00730DE4">
        <w:rPr>
          <w:lang w:val="en-US"/>
        </w:rPr>
        <w:t xml:space="preserve"> objective for our people </w:t>
      </w:r>
      <w:r w:rsidRPr="00730DE4">
        <w:t>is 'a workforce that is positive, purpose-driven, capable, and mobile'. The plan dra</w:t>
      </w:r>
      <w:r w:rsidRPr="00730DE4">
        <w:rPr>
          <w:lang w:val="en-US"/>
        </w:rPr>
        <w:t>ws from these source documents to build on our culture of being a leader in safety, wellbeing, diversity, and inclusion.</w:t>
      </w:r>
    </w:p>
    <w:p w14:paraId="2E68EECA" w14:textId="77777777" w:rsidR="002514F8" w:rsidRPr="00730DE4" w:rsidRDefault="002514F8" w:rsidP="00473E83">
      <w:pPr>
        <w:rPr>
          <w:lang w:val="en-US"/>
        </w:rPr>
      </w:pPr>
      <w:r w:rsidRPr="00730DE4">
        <w:rPr>
          <w:lang w:val="en-US"/>
        </w:rPr>
        <w:t xml:space="preserve">Our wider priority is to ensure the Queensland Government is digitally adept and enabled, continuously adapting and transforming the way it operates, manages its data, and invests in digital technology to shape and lead the progression of a thriving digital economy. Our </w:t>
      </w:r>
      <w:r w:rsidRPr="00730DE4">
        <w:rPr>
          <w:rStyle w:val="Emphasis"/>
        </w:rPr>
        <w:t>Digital Queensland: Digital Professional Workforce Action Plan 2020–2024</w:t>
      </w:r>
      <w:r w:rsidRPr="00730DE4">
        <w:rPr>
          <w:lang w:val="en-US"/>
        </w:rPr>
        <w:t xml:space="preserve"> is focused on:</w:t>
      </w:r>
    </w:p>
    <w:p w14:paraId="0A9D7A7A" w14:textId="77777777" w:rsidR="002514F8" w:rsidRPr="00730DE4" w:rsidRDefault="002514F8" w:rsidP="00473E83">
      <w:pPr>
        <w:pStyle w:val="ListBullet"/>
        <w:rPr>
          <w:lang w:val="en-US"/>
        </w:rPr>
      </w:pPr>
      <w:r w:rsidRPr="00730DE4">
        <w:rPr>
          <w:lang w:val="en-US"/>
        </w:rPr>
        <w:t>developing Queensland's digital professional workforce</w:t>
      </w:r>
    </w:p>
    <w:p w14:paraId="56704B8C" w14:textId="77777777" w:rsidR="002514F8" w:rsidRPr="00730DE4" w:rsidRDefault="002514F8" w:rsidP="00473E83">
      <w:pPr>
        <w:pStyle w:val="ListBullet"/>
        <w:rPr>
          <w:lang w:val="en-US"/>
        </w:rPr>
      </w:pPr>
      <w:r w:rsidRPr="00730DE4">
        <w:rPr>
          <w:lang w:val="en-US"/>
        </w:rPr>
        <w:t>widening the digital workforce pipeline by skilling, reskilling, and upskilling Queenslanders entering the workforce</w:t>
      </w:r>
    </w:p>
    <w:p w14:paraId="2D0F20AA" w14:textId="77777777" w:rsidR="002514F8" w:rsidRPr="00730DE4" w:rsidRDefault="002514F8" w:rsidP="00473E83">
      <w:pPr>
        <w:pStyle w:val="ListBullet"/>
        <w:rPr>
          <w:lang w:val="en-US"/>
        </w:rPr>
      </w:pPr>
      <w:r w:rsidRPr="00730DE4">
        <w:rPr>
          <w:lang w:val="en-US"/>
        </w:rPr>
        <w:t>enhancing and strengthening regional Queensland’s digital professional workforce</w:t>
      </w:r>
    </w:p>
    <w:p w14:paraId="3864D554" w14:textId="77777777" w:rsidR="002514F8" w:rsidRPr="00730DE4" w:rsidRDefault="002514F8" w:rsidP="00473E83">
      <w:pPr>
        <w:pStyle w:val="ListBullet"/>
        <w:rPr>
          <w:lang w:val="en-US"/>
        </w:rPr>
      </w:pPr>
      <w:r w:rsidRPr="00730DE4">
        <w:rPr>
          <w:lang w:val="en-US"/>
        </w:rPr>
        <w:t>providing collaborative and strategic leadership to ensure Queensland has a workforce of cutting-edge digital professionals.</w:t>
      </w:r>
      <w:bookmarkEnd w:id="345"/>
    </w:p>
    <w:p w14:paraId="3179D352" w14:textId="29ACB234" w:rsidR="00464141" w:rsidRPr="00730DE4" w:rsidRDefault="00464141">
      <w:pPr>
        <w:suppressAutoHyphens w:val="0"/>
        <w:spacing w:before="0" w:line="259" w:lineRule="auto"/>
        <w:rPr>
          <w:lang w:val="en-US" w:eastAsia="en-AU"/>
        </w:rPr>
      </w:pPr>
      <w:r w:rsidRPr="00730DE4">
        <w:rPr>
          <w:lang w:val="en-US"/>
        </w:rPr>
        <w:br w:type="page"/>
      </w:r>
    </w:p>
    <w:p w14:paraId="687CFFCA" w14:textId="422C4145" w:rsidR="002514F8" w:rsidRPr="00730DE4" w:rsidRDefault="002514F8" w:rsidP="002B7001">
      <w:pPr>
        <w:pStyle w:val="Heading2"/>
      </w:pPr>
      <w:bookmarkStart w:id="346" w:name="_Toc180490549"/>
      <w:bookmarkStart w:id="347" w:name="_Toc180491582"/>
      <w:r w:rsidRPr="00730DE4">
        <w:t>Environment and sustainability</w:t>
      </w:r>
      <w:bookmarkEnd w:id="346"/>
      <w:bookmarkEnd w:id="347"/>
    </w:p>
    <w:p w14:paraId="1E6DCA51" w14:textId="77777777" w:rsidR="002514F8" w:rsidRPr="00730DE4" w:rsidRDefault="002514F8" w:rsidP="002B7001">
      <w:pPr>
        <w:pStyle w:val="Heading3"/>
      </w:pPr>
      <w:bookmarkStart w:id="348" w:name="_Toc180487344"/>
      <w:bookmarkStart w:id="349" w:name="_Toc180490550"/>
      <w:bookmarkStart w:id="350" w:name="_Toc180491583"/>
      <w:r w:rsidRPr="00730DE4">
        <w:t>Planning and delivering for sustainable growth</w:t>
      </w:r>
      <w:bookmarkEnd w:id="348"/>
      <w:bookmarkEnd w:id="349"/>
      <w:bookmarkEnd w:id="350"/>
    </w:p>
    <w:p w14:paraId="74F74869" w14:textId="77777777" w:rsidR="002514F8" w:rsidRPr="00730DE4" w:rsidRDefault="002514F8" w:rsidP="00FE60FB">
      <w:r w:rsidRPr="00730DE4">
        <w:t>Queensland's population is growing at a rapid rate. According to the Australian Bureau of Statistics (ABS) our population grew by 185,500 to 5,528,300 from 2022 to 2023, fuelled by significant interstate and overseas migration. The ABS also projects the population of Queensland to reach between 6–6.4 million people by 2032.</w:t>
      </w:r>
    </w:p>
    <w:p w14:paraId="4DA1CCD2" w14:textId="77777777" w:rsidR="002514F8" w:rsidRPr="00730DE4" w:rsidRDefault="002514F8" w:rsidP="00FE60FB">
      <w:r w:rsidRPr="00730DE4">
        <w:t>TMR has a crucial role to play in helping the Queensland Government achieve its emissions reduction targets—by ensuring we can meet the demands of a growing population while also exploring opportunities to decarbonise and develop more sustainable and resilient infrastructure.</w:t>
      </w:r>
    </w:p>
    <w:p w14:paraId="533B64B0" w14:textId="77777777" w:rsidR="002514F8" w:rsidRPr="00730DE4" w:rsidRDefault="002514F8" w:rsidP="00FE60FB">
      <w:r w:rsidRPr="00730DE4">
        <w:t>When planning and delivering sustainable growth, TMR conscientiously acknowledges and upholds the balance required to support equitable access for all members of our community, ensuring that transport systems are inclusive, responsive to diverse needs, and conducive to the long-term prosperity of Queensland.</w:t>
      </w:r>
    </w:p>
    <w:p w14:paraId="289289F5" w14:textId="77777777" w:rsidR="002514F8" w:rsidRPr="00730DE4" w:rsidRDefault="002514F8" w:rsidP="00FE60FB">
      <w:r w:rsidRPr="00730DE4">
        <w:t>A key initiative for TMR is the development of the draft Net Zero Emissions for Transport Roadmap, aimed at reducing emissions and enhancing resilience across all transport sectors. TMR is also developing a Climate Change Strategy and Action Plan to improve capabilities and adaptability within the department.</w:t>
      </w:r>
    </w:p>
    <w:p w14:paraId="18C34390" w14:textId="77777777" w:rsidR="002514F8" w:rsidRPr="00730DE4" w:rsidRDefault="002514F8" w:rsidP="002B7001">
      <w:pPr>
        <w:pStyle w:val="Heading3"/>
      </w:pPr>
      <w:bookmarkStart w:id="351" w:name="_Toc180487345"/>
      <w:bookmarkStart w:id="352" w:name="_Toc180490551"/>
      <w:bookmarkStart w:id="353" w:name="_Toc180491584"/>
      <w:r w:rsidRPr="00730DE4">
        <w:t>Addressing the impacts of climate change</w:t>
      </w:r>
      <w:bookmarkEnd w:id="351"/>
      <w:bookmarkEnd w:id="352"/>
      <w:bookmarkEnd w:id="353"/>
    </w:p>
    <w:p w14:paraId="1603B0B3" w14:textId="77777777" w:rsidR="002514F8" w:rsidRPr="00730DE4" w:rsidRDefault="002514F8" w:rsidP="00FE60FB">
      <w:r w:rsidRPr="00730DE4">
        <w:t>TMR is addressing the impacts of climate change in road infrastructure design by incorporating natural hazard and climate change factors into key specification and policy documents.</w:t>
      </w:r>
    </w:p>
    <w:p w14:paraId="269E7E26" w14:textId="33AB890E" w:rsidR="002514F8" w:rsidRPr="00730DE4" w:rsidRDefault="002514F8" w:rsidP="00FE60FB">
      <w:r w:rsidRPr="00730DE4">
        <w:t xml:space="preserve">This includes updating the Engineering Policy 170 </w:t>
      </w:r>
      <w:r w:rsidRPr="00730DE4">
        <w:rPr>
          <w:rStyle w:val="Emphasis"/>
        </w:rPr>
        <w:t>Climate Change and Natural Hazards Risk Assessment</w:t>
      </w:r>
      <w:r w:rsidRPr="00730DE4">
        <w:t xml:space="preserve"> and associated documents to include natural hazards, as well as integrating Climate Change Risk Assessments into major infrastructure projects over $100 million to address climate and natural hazard risk (page </w:t>
      </w:r>
      <w:r w:rsidR="006A6EC1" w:rsidRPr="00730DE4">
        <w:t>29</w:t>
      </w:r>
      <w:r w:rsidRPr="00730DE4">
        <w:t>).</w:t>
      </w:r>
    </w:p>
    <w:p w14:paraId="295A3758" w14:textId="55B3C67D" w:rsidR="002514F8" w:rsidRPr="00730DE4" w:rsidRDefault="002514F8" w:rsidP="00FE60FB">
      <w:r w:rsidRPr="00730DE4">
        <w:t xml:space="preserve">Through the National Asset Centre of Excellence program, TMR explored new and innovative ways to use recycled products in our road infrastructure (page </w:t>
      </w:r>
      <w:r w:rsidR="006A6EC1" w:rsidRPr="00730DE4">
        <w:t>29</w:t>
      </w:r>
      <w:r w:rsidRPr="00730DE4">
        <w:t>). This includes extending the use of reclaimed asphalt pavement, recycled crushed concrete, and coal combustion product into stabilised pavements and backfill.</w:t>
      </w:r>
    </w:p>
    <w:p w14:paraId="050A0603" w14:textId="77777777" w:rsidR="002514F8" w:rsidRPr="00730DE4" w:rsidRDefault="002514F8" w:rsidP="00FE60FB">
      <w:r w:rsidRPr="00730DE4">
        <w:t>Another area of focus is increasing uses of recycled crumb rubber tyres into bitumen options for use in asphalt and sprayed bituminous seals applications, as well as exploring options for recycling other materials including recycled paint wash water and rail ballast.</w:t>
      </w:r>
    </w:p>
    <w:p w14:paraId="6C9548CD" w14:textId="77777777" w:rsidR="002514F8" w:rsidRPr="00730DE4" w:rsidRDefault="002514F8" w:rsidP="002B7001">
      <w:pPr>
        <w:pStyle w:val="Heading3"/>
      </w:pPr>
      <w:bookmarkStart w:id="354" w:name="_Toc180487346"/>
      <w:bookmarkStart w:id="355" w:name="_Toc180490552"/>
      <w:bookmarkStart w:id="356" w:name="_Toc180491585"/>
      <w:r w:rsidRPr="00730DE4">
        <w:t>Improving network resilience</w:t>
      </w:r>
      <w:bookmarkEnd w:id="354"/>
      <w:bookmarkEnd w:id="355"/>
      <w:bookmarkEnd w:id="356"/>
    </w:p>
    <w:p w14:paraId="3616C4A7" w14:textId="77777777" w:rsidR="002514F8" w:rsidRPr="00730DE4" w:rsidRDefault="002514F8" w:rsidP="00FE60FB">
      <w:r w:rsidRPr="00730DE4">
        <w:t>A series of extreme weather events throughout 2023–24 highlighted the need for our infrastructure to be resilient to the impacts of natural disasters.</w:t>
      </w:r>
    </w:p>
    <w:p w14:paraId="22830EF7" w14:textId="77777777" w:rsidR="002514F8" w:rsidRPr="00730DE4" w:rsidRDefault="002514F8" w:rsidP="00FE60FB">
      <w:r w:rsidRPr="00730DE4">
        <w:t>In 2023–24, TMR spent $454 million repairing state-controlled roads following natural disasters. This included reconstructing 110.6 kilometres of road pavement, repairing 496 earthworks and batter locations, repairing 24 structures, including bridges and culverts, and clearing 315 silt and debris locations.</w:t>
      </w:r>
    </w:p>
    <w:p w14:paraId="18E1DA79" w14:textId="77777777" w:rsidR="002514F8" w:rsidRPr="00730DE4" w:rsidRDefault="002514F8" w:rsidP="00FE60FB">
      <w:r w:rsidRPr="00730DE4">
        <w:t>Events such as the impact of Ex-Tropical Cyclone Kirrily in the Central West district, prompted the activation of financial relief measures under the DRFA program. In response to the event, emergency works were swiftly undertaken on both national and state-controlled roads surrounding Winton, ensuring uninterrupted connectivity crucial for Queensland’s resilience.</w:t>
      </w:r>
    </w:p>
    <w:p w14:paraId="2B870509" w14:textId="0C26A141" w:rsidR="002514F8" w:rsidRPr="00730DE4" w:rsidRDefault="002514F8" w:rsidP="00FE60FB">
      <w:r w:rsidRPr="00730DE4">
        <w:t xml:space="preserve">TMR has a strong focus on network resilience, and this is reflected in our approach to infrastructure projects. An example is the Bruce Highway Upgrade Program (page </w:t>
      </w:r>
      <w:r w:rsidR="006A6EC1" w:rsidRPr="00730DE4">
        <w:t>94–95</w:t>
      </w:r>
      <w:r w:rsidRPr="00730DE4">
        <w:t>) which is aimed at improving safety, flood resilience, and capacity along the length and breadth of the highway from Brisbane to Cairns.</w:t>
      </w:r>
    </w:p>
    <w:p w14:paraId="75D90322" w14:textId="4F906253" w:rsidR="002514F8" w:rsidRPr="00730DE4" w:rsidRDefault="002514F8" w:rsidP="00FE60FB">
      <w:r w:rsidRPr="00730DE4">
        <w:t xml:space="preserve">Other projects with a focus on improving network resilience include works to improve the flood immunity and upgrade intersections along Torbanlea–Pialba Road between Beelbi Creek and Takura (page </w:t>
      </w:r>
      <w:r w:rsidR="006A6EC1" w:rsidRPr="00730DE4">
        <w:t>124</w:t>
      </w:r>
      <w:r w:rsidRPr="00730DE4">
        <w:t xml:space="preserve">) and the Inland Freight Route Early Works Package (page </w:t>
      </w:r>
      <w:r w:rsidR="006A6EC1" w:rsidRPr="00730DE4">
        <w:t>133</w:t>
      </w:r>
      <w:r w:rsidRPr="00730DE4">
        <w:t>).</w:t>
      </w:r>
    </w:p>
    <w:p w14:paraId="215A1987" w14:textId="77777777" w:rsidR="002514F8" w:rsidRPr="00730DE4" w:rsidRDefault="002514F8" w:rsidP="002B7001">
      <w:pPr>
        <w:pStyle w:val="Heading3"/>
      </w:pPr>
      <w:bookmarkStart w:id="357" w:name="_Toc180487347"/>
      <w:bookmarkStart w:id="358" w:name="_Toc180490553"/>
      <w:bookmarkStart w:id="359" w:name="_Toc180491586"/>
      <w:r w:rsidRPr="00730DE4">
        <w:t>Zero emission vehicles</w:t>
      </w:r>
      <w:bookmarkEnd w:id="357"/>
      <w:bookmarkEnd w:id="358"/>
      <w:bookmarkEnd w:id="359"/>
    </w:p>
    <w:p w14:paraId="1892125B" w14:textId="61B742F4" w:rsidR="002514F8" w:rsidRPr="00730DE4" w:rsidRDefault="002514F8" w:rsidP="00FE60FB">
      <w:r w:rsidRPr="00730DE4">
        <w:t xml:space="preserve">TMR continued delivery of key projects under </w:t>
      </w:r>
      <w:r w:rsidRPr="00730DE4">
        <w:rPr>
          <w:rStyle w:val="Emphasis"/>
        </w:rPr>
        <w:t>Queensland’s Zero Emission Vehicle Strategy 2022–2032</w:t>
      </w:r>
      <w:r w:rsidRPr="00730DE4">
        <w:t xml:space="preserve"> and 2022–24 Action Plan, including enhancements to the Zero Emission Vehicle Rebate Scheme which provides financial assistance for the purchase of an EV (page </w:t>
      </w:r>
      <w:r w:rsidR="006A6EC1" w:rsidRPr="00730DE4">
        <w:t>82–83</w:t>
      </w:r>
      <w:r w:rsidRPr="00730DE4">
        <w:t>).</w:t>
      </w:r>
    </w:p>
    <w:p w14:paraId="36D6FD62" w14:textId="77777777" w:rsidR="002514F8" w:rsidRPr="00730DE4" w:rsidRDefault="002514F8" w:rsidP="00FE60FB">
      <w:r w:rsidRPr="00730DE4">
        <w:t>Public fast charging EV sites opened across Queensland as part of the Queensland Electric Super Highway Phase 3, with almost 200,000 individual charging sessions recorded across the network. TMR also awarded funding to five industry participants through the $10 million Electric Vehicle Charging Infrastructure Co-Fund Scheme, which will deliver 46 new public EV fast charging sites across the state.</w:t>
      </w:r>
    </w:p>
    <w:p w14:paraId="70C367A6" w14:textId="169E30D8" w:rsidR="002514F8" w:rsidRPr="00730DE4" w:rsidRDefault="002514F8" w:rsidP="00FE60FB">
      <w:r w:rsidRPr="00730DE4">
        <w:t xml:space="preserve">As set out in </w:t>
      </w:r>
      <w:r w:rsidRPr="00730DE4">
        <w:rPr>
          <w:rStyle w:val="Emphasis"/>
        </w:rPr>
        <w:t>Queensland’s Zero Emission Vehicle Strategy 2022–2032</w:t>
      </w:r>
      <w:r w:rsidRPr="00730DE4">
        <w:t xml:space="preserve">, TMR has made a commitment that from 2025 all new urban buses in South East Queensland will be zero emission buses, and for regional Queensland, implementation will begin between 2025–30 (page </w:t>
      </w:r>
      <w:r w:rsidR="00C115F4" w:rsidRPr="00730DE4">
        <w:t>185</w:t>
      </w:r>
      <w:r w:rsidRPr="00730DE4">
        <w:t>).</w:t>
      </w:r>
    </w:p>
    <w:p w14:paraId="136C3D59" w14:textId="540916D4" w:rsidR="002514F8" w:rsidRPr="00730DE4" w:rsidRDefault="002514F8" w:rsidP="00FE60FB">
      <w:r w:rsidRPr="00730DE4">
        <w:t xml:space="preserve">In December 2023, TMR, in partnership with Keolis Downer, opened the first all-electric bus depot at the Hornibrook Bus Lines depot at North Lakes (page </w:t>
      </w:r>
      <w:r w:rsidR="00C115F4" w:rsidRPr="00730DE4">
        <w:t>177–178</w:t>
      </w:r>
      <w:r w:rsidRPr="00730DE4">
        <w:t>). The depot was converted from diesel to full electric to power a zero emission fleet, using 100 per cent renewable energy.</w:t>
      </w:r>
    </w:p>
    <w:p w14:paraId="3A7A447E" w14:textId="77777777" w:rsidR="002514F8" w:rsidRPr="00730DE4" w:rsidRDefault="002514F8" w:rsidP="00FE60FB">
      <w:r w:rsidRPr="00730DE4">
        <w:t>In February 2024, the Queensland Government announced a plan to deliver zero emission buses through direct government procurement, with more than 400 buses to be locally manufactured. TMR has also championed a phased adoption of zero emission heavy vehicles within the heavy vehicle industry.</w:t>
      </w:r>
    </w:p>
    <w:p w14:paraId="7FA26259" w14:textId="77777777" w:rsidR="002514F8" w:rsidRPr="00730DE4" w:rsidRDefault="002514F8" w:rsidP="002B7001">
      <w:pPr>
        <w:pStyle w:val="Heading3"/>
      </w:pPr>
      <w:bookmarkStart w:id="360" w:name="_Toc180487348"/>
      <w:bookmarkStart w:id="361" w:name="_Toc180490554"/>
      <w:bookmarkStart w:id="362" w:name="_Toc180491587"/>
      <w:r w:rsidRPr="00730DE4">
        <w:t>Protecting our marine environment</w:t>
      </w:r>
      <w:bookmarkEnd w:id="360"/>
      <w:bookmarkEnd w:id="361"/>
      <w:bookmarkEnd w:id="362"/>
    </w:p>
    <w:p w14:paraId="13A3E29A" w14:textId="4C8F0E4D" w:rsidR="002514F8" w:rsidRPr="00730DE4" w:rsidRDefault="002514F8" w:rsidP="00FE60FB">
      <w:r w:rsidRPr="00730DE4">
        <w:t xml:space="preserve">MSQ is responsible for minimising vessel-sourced waste and responding to marine pollution. In August 2023 and May 2024, officers from MSQ’s Maritime Emergency Management Team visited Thursday Island to deliver pollution response training to Land and Sea Rangers from across the Torres Strait (page </w:t>
      </w:r>
      <w:r w:rsidR="00C115F4" w:rsidRPr="00730DE4">
        <w:t>199–200</w:t>
      </w:r>
      <w:r w:rsidRPr="00730DE4">
        <w:t>).</w:t>
      </w:r>
    </w:p>
    <w:p w14:paraId="1138E193" w14:textId="0FB6AF53" w:rsidR="002514F8" w:rsidRPr="00730DE4" w:rsidRDefault="002514F8" w:rsidP="00FE60FB">
      <w:r w:rsidRPr="00730DE4">
        <w:t xml:space="preserve">In June 2024, MSQ joined forces with the Australian Maritime Safety Authority (AMSA) and Transport for NSW for the National Plan Marine Incident Exercise, Exercise Dumaresq (page </w:t>
      </w:r>
      <w:r w:rsidR="00C115F4" w:rsidRPr="00730DE4">
        <w:t>200</w:t>
      </w:r>
      <w:r w:rsidRPr="00730DE4">
        <w:t>). This allowed agencies like MSQ to practice their response capabilities and strategies, enabling them to respond efficiently and effectively in the event of a significant marine incident, such as an oil spill.</w:t>
      </w:r>
    </w:p>
    <w:p w14:paraId="4E327DA6" w14:textId="083C1B3A" w:rsidR="002514F8" w:rsidRPr="00730DE4" w:rsidRDefault="002514F8" w:rsidP="00FE60FB">
      <w:r w:rsidRPr="00730DE4">
        <w:t xml:space="preserve">Since its inception in July 2018, the Queensland Government’s War on Wrecks initiative has led to the removal of </w:t>
      </w:r>
      <w:r w:rsidRPr="00730DE4">
        <w:rPr>
          <w:lang w:val="en-US"/>
        </w:rPr>
        <w:t xml:space="preserve">1425 </w:t>
      </w:r>
      <w:r w:rsidRPr="00730DE4">
        <w:t xml:space="preserve">derelict vessels from Queensland waterways (page </w:t>
      </w:r>
      <w:r w:rsidR="00C115F4" w:rsidRPr="00730DE4">
        <w:t>202</w:t>
      </w:r>
      <w:r w:rsidRPr="00730DE4">
        <w:t xml:space="preserve">). From July 2018 to </w:t>
      </w:r>
      <w:r w:rsidRPr="00730DE4">
        <w:rPr>
          <w:lang w:val="en-US"/>
        </w:rPr>
        <w:t>30 June 2024</w:t>
      </w:r>
      <w:r w:rsidRPr="00730DE4">
        <w:t xml:space="preserve">, MSQ and its partner agencies removed 850 vessels, while owners or other parties resolved the issue for </w:t>
      </w:r>
      <w:r w:rsidRPr="00730DE4">
        <w:rPr>
          <w:lang w:val="en-US"/>
        </w:rPr>
        <w:t xml:space="preserve">575 </w:t>
      </w:r>
      <w:r w:rsidRPr="00730DE4">
        <w:t>vessels.</w:t>
      </w:r>
    </w:p>
    <w:p w14:paraId="020B1A75" w14:textId="77777777" w:rsidR="002514F8" w:rsidRPr="00730DE4" w:rsidRDefault="002514F8" w:rsidP="002B7001">
      <w:pPr>
        <w:pStyle w:val="Heading3"/>
      </w:pPr>
      <w:bookmarkStart w:id="363" w:name="_Toc180487349"/>
      <w:bookmarkStart w:id="364" w:name="_Toc180490555"/>
      <w:bookmarkStart w:id="365" w:name="_Toc180491588"/>
      <w:r w:rsidRPr="00730DE4">
        <w:t>Looking forward</w:t>
      </w:r>
      <w:bookmarkEnd w:id="363"/>
      <w:bookmarkEnd w:id="364"/>
      <w:bookmarkEnd w:id="365"/>
    </w:p>
    <w:p w14:paraId="7F02A31D" w14:textId="77777777" w:rsidR="002514F8" w:rsidRPr="00730DE4" w:rsidRDefault="002514F8" w:rsidP="00FE60FB">
      <w:pPr>
        <w:rPr>
          <w:sz w:val="28"/>
          <w:szCs w:val="24"/>
        </w:rPr>
      </w:pPr>
      <w:r w:rsidRPr="00730DE4">
        <w:t>In summary, protecting the environment is one of the Queensland Government’s key objectives for the community. TMR will continue to work in partnership across government and industry to ensure we are doing everything possible to balance growth with sustainability. This includes embedding sustainability into whole-of-life and whole-of-system decision making, committing to low and zero emissions transport technologies, modes, and materials, and increasing investment into active and sustainable transport modes</w:t>
      </w:r>
      <w:r w:rsidRPr="00730DE4">
        <w:rPr>
          <w:sz w:val="28"/>
          <w:szCs w:val="24"/>
        </w:rPr>
        <w:t>.</w:t>
      </w:r>
    </w:p>
    <w:p w14:paraId="3F56948F" w14:textId="778DFE00" w:rsidR="00464141" w:rsidRPr="00730DE4" w:rsidRDefault="00464141">
      <w:pPr>
        <w:suppressAutoHyphens w:val="0"/>
        <w:spacing w:before="0" w:line="259" w:lineRule="auto"/>
        <w:rPr>
          <w:sz w:val="28"/>
          <w:szCs w:val="24"/>
        </w:rPr>
      </w:pPr>
      <w:r w:rsidRPr="00730DE4">
        <w:rPr>
          <w:sz w:val="28"/>
          <w:szCs w:val="24"/>
        </w:rPr>
        <w:br w:type="page"/>
      </w:r>
    </w:p>
    <w:p w14:paraId="55942FA1" w14:textId="31E88134" w:rsidR="002514F8" w:rsidRPr="00730DE4" w:rsidRDefault="002514F8" w:rsidP="002B7001">
      <w:pPr>
        <w:pStyle w:val="Heading2"/>
      </w:pPr>
      <w:bookmarkStart w:id="366" w:name="_Toc180490556"/>
      <w:bookmarkStart w:id="367" w:name="_Toc180491589"/>
      <w:r w:rsidRPr="00730DE4">
        <w:t>Looking ahead</w:t>
      </w:r>
      <w:bookmarkEnd w:id="366"/>
      <w:bookmarkEnd w:id="367"/>
    </w:p>
    <w:p w14:paraId="30F407C9" w14:textId="77777777" w:rsidR="002514F8" w:rsidRPr="00730DE4" w:rsidRDefault="002514F8" w:rsidP="000E52A2">
      <w:r w:rsidRPr="00730DE4">
        <w:t>In 2024–25, the department will:</w:t>
      </w:r>
    </w:p>
    <w:p w14:paraId="1CDB6AC3" w14:textId="77777777" w:rsidR="002514F8" w:rsidRPr="00730DE4" w:rsidRDefault="002514F8" w:rsidP="004A03CA">
      <w:pPr>
        <w:pStyle w:val="ListBullet"/>
      </w:pPr>
      <w:r w:rsidRPr="00730DE4">
        <w:t>develop strategies, in collaboration with transport partners including the Games Venue and Legacy Delivery Authority, to deliver efficient and sustainable transport services to support the Brisbane 2032 Olympic and Paralympic Games</w:t>
      </w:r>
    </w:p>
    <w:p w14:paraId="289B6BEB" w14:textId="77777777" w:rsidR="002514F8" w:rsidRPr="00730DE4" w:rsidRDefault="002514F8" w:rsidP="004A03CA">
      <w:pPr>
        <w:pStyle w:val="ListBullet"/>
      </w:pPr>
      <w:r w:rsidRPr="00730DE4">
        <w:t>continue to implement the freight funding package for the Northern Peninsula, Torres Strait and Gulf region, South West Queensland region, and Central West Queensland region to assist in easing freight related cost of living pressures</w:t>
      </w:r>
    </w:p>
    <w:p w14:paraId="6D87EF3C" w14:textId="77777777" w:rsidR="002514F8" w:rsidRPr="00730DE4" w:rsidRDefault="002514F8" w:rsidP="004A03CA">
      <w:pPr>
        <w:pStyle w:val="ListBullet"/>
      </w:pPr>
      <w:r w:rsidRPr="00730DE4">
        <w:t xml:space="preserve">continue to implement the </w:t>
      </w:r>
      <w:r w:rsidRPr="00730DE4">
        <w:rPr>
          <w:rStyle w:val="Emphasis"/>
        </w:rPr>
        <w:t>Queensland Road Safety Strategy 2022–31</w:t>
      </w:r>
      <w:r w:rsidRPr="00730DE4">
        <w:t xml:space="preserve"> and deliver the first Queensland State Road Safety Report which will inform the development of the Road Safety Action Plan 2025–28</w:t>
      </w:r>
    </w:p>
    <w:p w14:paraId="12F1BAF9" w14:textId="77777777" w:rsidR="002514F8" w:rsidRPr="00730DE4" w:rsidRDefault="002514F8" w:rsidP="004A03CA">
      <w:pPr>
        <w:pStyle w:val="ListBullet"/>
      </w:pPr>
      <w:r w:rsidRPr="00730DE4">
        <w:t>continue to lead the prioritisation and planning for the treatment of high-priority level crossings in South East Queensland, including the scoping of new-generation behaviour monitoring cameras to determine if the technology improves road user behaviour around rail level crossings</w:t>
      </w:r>
    </w:p>
    <w:p w14:paraId="5E9EA4C4" w14:textId="77777777" w:rsidR="002514F8" w:rsidRPr="00730DE4" w:rsidRDefault="002514F8" w:rsidP="004A03CA">
      <w:pPr>
        <w:pStyle w:val="ListBullet"/>
      </w:pPr>
      <w:r w:rsidRPr="00730DE4">
        <w:t>continue to implement the Backing Queensland Maritime Jobs Initiative, supporting the maritime industry to establish sustainable coastal shipping services, create new and sustainable maritime jobs, and provide training opportunities and career pathways for Queensland mariners</w:t>
      </w:r>
    </w:p>
    <w:p w14:paraId="0723E9E5" w14:textId="77777777" w:rsidR="002514F8" w:rsidRPr="00730DE4" w:rsidRDefault="002514F8" w:rsidP="004A03CA">
      <w:pPr>
        <w:pStyle w:val="ListBullet"/>
      </w:pPr>
      <w:r w:rsidRPr="00730DE4">
        <w:t>continue to implement the Zero Emission Bus Program with a focus to replace current diesel buses in the Translink public transport fleet with zero emission buses, which will reduce greenhouse gas emissions and minimise harmful pollutants in our communities</w:t>
      </w:r>
    </w:p>
    <w:p w14:paraId="07D09EE2" w14:textId="77777777" w:rsidR="002514F8" w:rsidRPr="00730DE4" w:rsidRDefault="002514F8" w:rsidP="004A03CA">
      <w:pPr>
        <w:pStyle w:val="ListBullet"/>
      </w:pPr>
      <w:r w:rsidRPr="00730DE4">
        <w:t>commence construction of major rail upgrade projects, including Beerburrum to Nambour Stage One and the LGC to accommodate future population and patronage growth and deliver sustainable transport services</w:t>
      </w:r>
    </w:p>
    <w:p w14:paraId="696BE96A" w14:textId="77777777" w:rsidR="002514F8" w:rsidRPr="00730DE4" w:rsidRDefault="002514F8" w:rsidP="004A03CA">
      <w:pPr>
        <w:pStyle w:val="ListBullet"/>
      </w:pPr>
      <w:r w:rsidRPr="00730DE4">
        <w:t>continue to implement the QTMP, which will manufacture 65 six-car passenger trains at a purpose-built manufacturing facility at Torbanlea and construction of new rail facility at Ormeau, supporting jobs in the Fraser Coast and Gold Coast regions</w:t>
      </w:r>
    </w:p>
    <w:p w14:paraId="6BE672E1" w14:textId="77777777" w:rsidR="002514F8" w:rsidRPr="00730DE4" w:rsidRDefault="002514F8" w:rsidP="004A03CA">
      <w:pPr>
        <w:pStyle w:val="ListBullet"/>
      </w:pPr>
      <w:r w:rsidRPr="00730DE4">
        <w:t>finalise the NGR accessibility upgrades and continue to modify the fleet for ETCS, Automatic Train Operation, and Platform Screen Door upgrades in readiness for CRR tunnel testing</w:t>
      </w:r>
    </w:p>
    <w:p w14:paraId="02D206BF" w14:textId="77777777" w:rsidR="002514F8" w:rsidRPr="00730DE4" w:rsidRDefault="002514F8" w:rsidP="004A03CA">
      <w:pPr>
        <w:pStyle w:val="ListBullet"/>
      </w:pPr>
      <w:r w:rsidRPr="00730DE4">
        <w:t>continue construction of the Coomera Connector, South East Queensland’s largest road infrastructure project jointly funded by the Australian and Queensland governments, which will reduce pressure on the M1 by providing an alternative route for the growing communities and commercial hubs of Helensvale and Coomera</w:t>
      </w:r>
    </w:p>
    <w:p w14:paraId="4E597B2B" w14:textId="77777777" w:rsidR="002514F8" w:rsidRPr="00730DE4" w:rsidRDefault="002514F8" w:rsidP="004A03CA">
      <w:pPr>
        <w:pStyle w:val="ListBullet"/>
      </w:pPr>
      <w:r w:rsidRPr="00730DE4">
        <w:t xml:space="preserve">implement </w:t>
      </w:r>
      <w:r w:rsidRPr="00730DE4">
        <w:rPr>
          <w:rStyle w:val="Emphasis"/>
        </w:rPr>
        <w:t>Our Thriving Digital Future: Queensland's Digital Economy Strategy</w:t>
      </w:r>
      <w:r w:rsidRPr="00730DE4">
        <w:t xml:space="preserve"> by continuing delivery of the 2023–26 Action Plan to:</w:t>
      </w:r>
    </w:p>
    <w:p w14:paraId="59D6F9C9" w14:textId="77777777" w:rsidR="002514F8" w:rsidRPr="00730DE4" w:rsidRDefault="002514F8" w:rsidP="004A03CA">
      <w:pPr>
        <w:pStyle w:val="ListBullet2"/>
      </w:pPr>
      <w:r w:rsidRPr="00730DE4">
        <w:t>enhance digital government services, including qld.gov.au, and continue integration with in-person support and other assisted channels</w:t>
      </w:r>
    </w:p>
    <w:p w14:paraId="27398AB5" w14:textId="77777777" w:rsidR="002514F8" w:rsidRPr="00730DE4" w:rsidRDefault="002514F8" w:rsidP="004A03CA">
      <w:pPr>
        <w:pStyle w:val="ListBullet2"/>
      </w:pPr>
      <w:r w:rsidRPr="00730DE4">
        <w:t>work with the Australian Government and telecommunication providers to improve connectivity across Queensland through programs such as the Regional Connectivity Program Round Three and Mobile Black Spot Program Round Seven initiatives</w:t>
      </w:r>
    </w:p>
    <w:p w14:paraId="658B10CD" w14:textId="77777777" w:rsidR="002514F8" w:rsidRPr="00730DE4" w:rsidRDefault="002514F8" w:rsidP="004A03CA">
      <w:pPr>
        <w:pStyle w:val="ListBullet2"/>
      </w:pPr>
      <w:r w:rsidRPr="00730DE4">
        <w:t>support activities that promote digital access, affordability, and digital inclusion, including the development of a First Nations digital strategic plan and a statewide digital inclusion strategic plan</w:t>
      </w:r>
    </w:p>
    <w:p w14:paraId="23107A84" w14:textId="77777777" w:rsidR="002514F8" w:rsidRPr="00730DE4" w:rsidRDefault="002514F8" w:rsidP="004A03CA">
      <w:pPr>
        <w:pStyle w:val="ListBullet2"/>
      </w:pPr>
      <w:r w:rsidRPr="00730DE4">
        <w:t>support an uplift in the cyber security preparedness of Queensland Government entities through a central program of cyber security services and assistance.</w:t>
      </w:r>
    </w:p>
    <w:p w14:paraId="36CDBF32" w14:textId="5D10B881" w:rsidR="00162597" w:rsidRPr="00730DE4" w:rsidRDefault="00162597">
      <w:pPr>
        <w:suppressAutoHyphens w:val="0"/>
        <w:spacing w:before="0" w:line="259" w:lineRule="auto"/>
      </w:pPr>
      <w:r w:rsidRPr="00730DE4">
        <w:br w:type="page"/>
      </w:r>
    </w:p>
    <w:p w14:paraId="307CE453" w14:textId="40CF9345" w:rsidR="002514F8" w:rsidRPr="00730DE4" w:rsidRDefault="002514F8" w:rsidP="002B7001">
      <w:pPr>
        <w:pStyle w:val="Heading2"/>
      </w:pPr>
      <w:bookmarkStart w:id="368" w:name="_Toc180490557"/>
      <w:bookmarkStart w:id="369" w:name="_Toc180491590"/>
      <w:r w:rsidRPr="00730DE4">
        <w:t xml:space="preserve">Fast </w:t>
      </w:r>
      <w:r w:rsidR="00DF71F3" w:rsidRPr="00730DE4">
        <w:t>f</w:t>
      </w:r>
      <w:r w:rsidRPr="00730DE4">
        <w:t>acts</w:t>
      </w:r>
      <w:bookmarkEnd w:id="368"/>
      <w:bookmarkEnd w:id="369"/>
    </w:p>
    <w:p w14:paraId="34B46A0C" w14:textId="77961DA3" w:rsidR="00162597" w:rsidRPr="00730DE4" w:rsidRDefault="00162597" w:rsidP="00162597">
      <w:pPr>
        <w:pStyle w:val="ListBullet"/>
      </w:pPr>
      <w:r w:rsidRPr="00730DE4">
        <w:rPr>
          <w:rStyle w:val="Strong"/>
        </w:rPr>
        <w:t>5,528,292</w:t>
      </w:r>
      <w:r w:rsidR="00E13B27" w:rsidRPr="00730DE4">
        <w:t>—</w:t>
      </w:r>
      <w:r w:rsidRPr="00730DE4">
        <w:t>Population of Queensland Dec-2023</w:t>
      </w:r>
      <w:r w:rsidRPr="00730DE4">
        <w:br/>
        <w:t>(ABS - Catalogue 3101.0, Released 13 June 2024)</w:t>
      </w:r>
    </w:p>
    <w:p w14:paraId="4686C999" w14:textId="5D3845EF" w:rsidR="00162597" w:rsidRPr="00730DE4" w:rsidRDefault="00162597" w:rsidP="00162597">
      <w:pPr>
        <w:pStyle w:val="ListBullet"/>
      </w:pPr>
      <w:r w:rsidRPr="00730DE4">
        <w:rPr>
          <w:rStyle w:val="Strong"/>
        </w:rPr>
        <w:t>2.62 per cent</w:t>
      </w:r>
      <w:r w:rsidR="00E13B27" w:rsidRPr="00730DE4">
        <w:t>—</w:t>
      </w:r>
      <w:r w:rsidRPr="00730DE4">
        <w:t xml:space="preserve">Population growth from Dec-2022 to Dec-2023 </w:t>
      </w:r>
      <w:r w:rsidRPr="00730DE4">
        <w:br/>
        <w:t>(Based on ABS - Catalogue 3101.0, Released 13 June 2024)</w:t>
      </w:r>
    </w:p>
    <w:p w14:paraId="6B3B6EDD" w14:textId="77777777" w:rsidR="00162597" w:rsidRPr="00730DE4" w:rsidRDefault="00162597" w:rsidP="00162597">
      <w:pPr>
        <w:pStyle w:val="Heading3"/>
      </w:pPr>
      <w:bookmarkStart w:id="370" w:name="_Toc180487352"/>
      <w:bookmarkStart w:id="371" w:name="_Toc180490558"/>
      <w:bookmarkStart w:id="372" w:name="_Toc180491591"/>
      <w:r w:rsidRPr="00730DE4">
        <w:t>Infrastructure</w:t>
      </w:r>
      <w:bookmarkEnd w:id="370"/>
      <w:bookmarkEnd w:id="371"/>
      <w:bookmarkEnd w:id="372"/>
    </w:p>
    <w:p w14:paraId="13715941" w14:textId="462E3112" w:rsidR="00162597" w:rsidRPr="00730DE4" w:rsidRDefault="00162597" w:rsidP="00162597">
      <w:pPr>
        <w:pStyle w:val="ListBullet"/>
      </w:pPr>
      <w:r w:rsidRPr="00730DE4">
        <w:rPr>
          <w:rStyle w:val="Strong"/>
        </w:rPr>
        <w:t xml:space="preserve">$7.66 </w:t>
      </w:r>
      <w:r w:rsidR="00E13B27" w:rsidRPr="00730DE4">
        <w:rPr>
          <w:rStyle w:val="Strong"/>
        </w:rPr>
        <w:t>b</w:t>
      </w:r>
      <w:r w:rsidRPr="00730DE4">
        <w:rPr>
          <w:rStyle w:val="Strong"/>
        </w:rPr>
        <w:t>illion</w:t>
      </w:r>
      <w:r w:rsidR="00E13B27" w:rsidRPr="00730DE4">
        <w:t>—T</w:t>
      </w:r>
      <w:r w:rsidRPr="00730DE4">
        <w:t>otal investments in transport infrastructure program (Includes Queensland Rail and Gold Coast Waterways Authority) (Increased from last year)</w:t>
      </w:r>
    </w:p>
    <w:p w14:paraId="7E79CFAD" w14:textId="04E04E8C" w:rsidR="00162597" w:rsidRPr="00730DE4" w:rsidRDefault="00162597" w:rsidP="00162597">
      <w:pPr>
        <w:pStyle w:val="ListBullet"/>
      </w:pPr>
      <w:r w:rsidRPr="00730DE4">
        <w:rPr>
          <w:rStyle w:val="Strong"/>
        </w:rPr>
        <w:t xml:space="preserve">$1.13 </w:t>
      </w:r>
      <w:r w:rsidR="00E13B27" w:rsidRPr="00730DE4">
        <w:rPr>
          <w:rStyle w:val="Strong"/>
        </w:rPr>
        <w:t>b</w:t>
      </w:r>
      <w:r w:rsidRPr="00730DE4">
        <w:rPr>
          <w:rStyle w:val="Strong"/>
        </w:rPr>
        <w:t>illion</w:t>
      </w:r>
      <w:r w:rsidR="00E13B27" w:rsidRPr="00730DE4">
        <w:t>—M</w:t>
      </w:r>
      <w:r w:rsidRPr="00730DE4">
        <w:t>aintenance and operation of the state transport network (Decreased from last year)</w:t>
      </w:r>
    </w:p>
    <w:p w14:paraId="2221217A" w14:textId="7719EDE6" w:rsidR="00162597" w:rsidRPr="00730DE4" w:rsidRDefault="00162597" w:rsidP="00162597">
      <w:pPr>
        <w:pStyle w:val="ListBullet"/>
      </w:pPr>
      <w:r w:rsidRPr="00730DE4">
        <w:rPr>
          <w:rStyle w:val="Strong"/>
        </w:rPr>
        <w:t>33,420 kilometres</w:t>
      </w:r>
      <w:r w:rsidR="00E13B27" w:rsidRPr="00730DE4">
        <w:t>—S</w:t>
      </w:r>
      <w:r w:rsidRPr="00730DE4">
        <w:t>tate-controlled roads including 5052-kilometre national network* (Increased from last year) (*The figure reported in the previous annual report for the total state-controlled road length was incorrectly represented at 38,436 kilometres. The corrected figure is 33,412 kilometres.)</w:t>
      </w:r>
    </w:p>
    <w:p w14:paraId="6C0E0216" w14:textId="337DA7D6" w:rsidR="00162597" w:rsidRPr="00730DE4" w:rsidRDefault="00162597" w:rsidP="00162597">
      <w:pPr>
        <w:pStyle w:val="ListBullet"/>
      </w:pPr>
      <w:r w:rsidRPr="00730DE4">
        <w:rPr>
          <w:rStyle w:val="Strong"/>
        </w:rPr>
        <w:t xml:space="preserve">$454 </w:t>
      </w:r>
      <w:r w:rsidR="00E13B27" w:rsidRPr="00730DE4">
        <w:rPr>
          <w:rStyle w:val="Strong"/>
        </w:rPr>
        <w:t>m</w:t>
      </w:r>
      <w:r w:rsidRPr="00730DE4">
        <w:rPr>
          <w:rStyle w:val="Strong"/>
        </w:rPr>
        <w:t>illion</w:t>
      </w:r>
      <w:r w:rsidR="00E13B27" w:rsidRPr="00730DE4">
        <w:t>—E</w:t>
      </w:r>
      <w:r w:rsidRPr="00730DE4">
        <w:t>xpenditure on natural disaster repairs (Increased from last year)</w:t>
      </w:r>
    </w:p>
    <w:p w14:paraId="7072EBBE" w14:textId="5AD39A5A" w:rsidR="00162597" w:rsidRPr="00730DE4" w:rsidRDefault="00162597" w:rsidP="00162597">
      <w:pPr>
        <w:pStyle w:val="ListBullet"/>
      </w:pPr>
      <w:r w:rsidRPr="00730DE4">
        <w:rPr>
          <w:rStyle w:val="Strong"/>
        </w:rPr>
        <w:t>124.63 kilometres</w:t>
      </w:r>
      <w:r w:rsidRPr="00730DE4">
        <w:t xml:space="preserve"> </w:t>
      </w:r>
      <w:r w:rsidR="00E13B27" w:rsidRPr="00730DE4">
        <w:t>o</w:t>
      </w:r>
      <w:r w:rsidRPr="00730DE4">
        <w:t>f roads reconstructed through Natural Disaster Program (Decreased from last year)</w:t>
      </w:r>
    </w:p>
    <w:p w14:paraId="03CACBA4" w14:textId="48E85BDE" w:rsidR="00162597" w:rsidRPr="00730DE4" w:rsidRDefault="00162597" w:rsidP="00162597">
      <w:pPr>
        <w:pStyle w:val="ListBullet"/>
      </w:pPr>
      <w:r w:rsidRPr="00730DE4">
        <w:rPr>
          <w:rStyle w:val="Strong"/>
        </w:rPr>
        <w:t>667 kilometres</w:t>
      </w:r>
      <w:r w:rsidR="00E13B27" w:rsidRPr="00730DE4">
        <w:t>—Of c</w:t>
      </w:r>
      <w:r w:rsidRPr="00730DE4">
        <w:t>ycling infrastructure delivered through funding from the Active Transport Program (Increased from last year)</w:t>
      </w:r>
    </w:p>
    <w:p w14:paraId="28E14E90" w14:textId="7FD95E43" w:rsidR="00162597" w:rsidRPr="00730DE4" w:rsidRDefault="00162597" w:rsidP="00162597">
      <w:pPr>
        <w:pStyle w:val="ListBullet"/>
      </w:pPr>
      <w:r w:rsidRPr="00730DE4">
        <w:rPr>
          <w:rStyle w:val="Strong"/>
        </w:rPr>
        <w:t xml:space="preserve">$41.2 </w:t>
      </w:r>
      <w:r w:rsidR="00E13B27" w:rsidRPr="00730DE4">
        <w:rPr>
          <w:rStyle w:val="Strong"/>
        </w:rPr>
        <w:t>m</w:t>
      </w:r>
      <w:r w:rsidRPr="00730DE4">
        <w:rPr>
          <w:rStyle w:val="Strong"/>
        </w:rPr>
        <w:t>illion</w:t>
      </w:r>
      <w:r w:rsidR="00E13B27" w:rsidRPr="00730DE4">
        <w:t>—</w:t>
      </w:r>
      <w:r w:rsidRPr="00730DE4">
        <w:t>Investment in cycling and walking this year by the Active Transport Program (Increased from last year)</w:t>
      </w:r>
    </w:p>
    <w:p w14:paraId="50C834CE" w14:textId="04E2D202" w:rsidR="00EF00D7" w:rsidRPr="00730DE4" w:rsidRDefault="00EF00D7" w:rsidP="00EF00D7">
      <w:pPr>
        <w:pStyle w:val="ListBullet"/>
      </w:pPr>
      <w:r w:rsidRPr="00730DE4">
        <w:rPr>
          <w:rStyle w:val="Strong"/>
        </w:rPr>
        <w:t>11 kilometres</w:t>
      </w:r>
      <w:r w:rsidR="00E13B27" w:rsidRPr="00730DE4">
        <w:t>—Of</w:t>
      </w:r>
      <w:r w:rsidRPr="00730DE4">
        <w:t xml:space="preserve"> cycling infrastructure built this year</w:t>
      </w:r>
    </w:p>
    <w:p w14:paraId="4B4BC78B" w14:textId="7B66CC4B" w:rsidR="00EF00D7" w:rsidRPr="00730DE4" w:rsidRDefault="00EF00D7" w:rsidP="00EF00D7">
      <w:pPr>
        <w:pStyle w:val="ListBullet"/>
      </w:pPr>
      <w:r w:rsidRPr="00730DE4">
        <w:rPr>
          <w:rStyle w:val="Strong"/>
        </w:rPr>
        <w:t>3205</w:t>
      </w:r>
      <w:r w:rsidRPr="00730DE4">
        <w:t xml:space="preserve"> Bridges owned and maintained</w:t>
      </w:r>
    </w:p>
    <w:p w14:paraId="1E1D660B" w14:textId="77777777" w:rsidR="00162597" w:rsidRPr="00730DE4" w:rsidRDefault="00162597" w:rsidP="00162597">
      <w:pPr>
        <w:pStyle w:val="Heading3"/>
      </w:pPr>
      <w:bookmarkStart w:id="373" w:name="_Toc180487353"/>
      <w:bookmarkStart w:id="374" w:name="_Toc180490559"/>
      <w:bookmarkStart w:id="375" w:name="_Toc180491592"/>
      <w:r w:rsidRPr="00730DE4">
        <w:t>Electric Vehicles</w:t>
      </w:r>
      <w:bookmarkEnd w:id="373"/>
      <w:bookmarkEnd w:id="374"/>
      <w:bookmarkEnd w:id="375"/>
    </w:p>
    <w:p w14:paraId="68E07F72" w14:textId="5658D9C7" w:rsidR="00162597" w:rsidRPr="00730DE4" w:rsidRDefault="00162597" w:rsidP="00162597">
      <w:pPr>
        <w:pStyle w:val="ListBullet"/>
      </w:pPr>
      <w:r w:rsidRPr="00730DE4">
        <w:rPr>
          <w:rStyle w:val="Strong"/>
        </w:rPr>
        <w:t>46,324</w:t>
      </w:r>
      <w:r w:rsidR="00E13B27" w:rsidRPr="00730DE4">
        <w:t>—</w:t>
      </w:r>
      <w:r w:rsidRPr="00730DE4">
        <w:t>Queensland electric vehicle registrations (Increased from last year)</w:t>
      </w:r>
    </w:p>
    <w:p w14:paraId="07863540" w14:textId="1A25E61F" w:rsidR="00162597" w:rsidRPr="00730DE4" w:rsidRDefault="00162597" w:rsidP="00162597">
      <w:pPr>
        <w:pStyle w:val="ListBullet"/>
      </w:pPr>
      <w:r w:rsidRPr="00730DE4">
        <w:rPr>
          <w:rStyle w:val="Strong"/>
        </w:rPr>
        <w:t>48 out of 53</w:t>
      </w:r>
      <w:r w:rsidR="00E13B27" w:rsidRPr="00730DE4">
        <w:t>—</w:t>
      </w:r>
      <w:r w:rsidRPr="00730DE4">
        <w:t>Queensland Electric Super Highway Charging Sites (Increased from last year)</w:t>
      </w:r>
    </w:p>
    <w:p w14:paraId="42B57CE4" w14:textId="217182B0" w:rsidR="00162597" w:rsidRPr="00730DE4" w:rsidRDefault="00162597" w:rsidP="00162597">
      <w:pPr>
        <w:pStyle w:val="ListBullet"/>
      </w:pPr>
      <w:r w:rsidRPr="00730DE4">
        <w:rPr>
          <w:rStyle w:val="Strong"/>
        </w:rPr>
        <w:t>7 out of 46</w:t>
      </w:r>
      <w:r w:rsidR="00E13B27" w:rsidRPr="00730DE4">
        <w:t>—</w:t>
      </w:r>
      <w:r w:rsidRPr="00730DE4">
        <w:t>Co-funded Electric Vehicle Charging Sites delivered (New this year)</w:t>
      </w:r>
    </w:p>
    <w:p w14:paraId="478509D9" w14:textId="522B4DD3" w:rsidR="00162597" w:rsidRPr="00730DE4" w:rsidRDefault="00162597" w:rsidP="00162597">
      <w:pPr>
        <w:pStyle w:val="ListBullet"/>
      </w:pPr>
      <w:r w:rsidRPr="00730DE4">
        <w:rPr>
          <w:rStyle w:val="Strong"/>
        </w:rPr>
        <w:t>8684</w:t>
      </w:r>
      <w:r w:rsidR="00E13B27" w:rsidRPr="00730DE4">
        <w:t>—</w:t>
      </w:r>
      <w:r w:rsidRPr="00730DE4">
        <w:t>Electric Vehicle Rebate applications approved (New this year)</w:t>
      </w:r>
    </w:p>
    <w:p w14:paraId="55D7AD90" w14:textId="77777777" w:rsidR="00162597" w:rsidRPr="00730DE4" w:rsidRDefault="00162597" w:rsidP="00162597">
      <w:pPr>
        <w:pStyle w:val="Heading3"/>
      </w:pPr>
      <w:bookmarkStart w:id="376" w:name="_Toc180487354"/>
      <w:bookmarkStart w:id="377" w:name="_Toc180490560"/>
      <w:bookmarkStart w:id="378" w:name="_Toc180491593"/>
      <w:r w:rsidRPr="00730DE4">
        <w:t>Digital Access</w:t>
      </w:r>
      <w:bookmarkEnd w:id="376"/>
      <w:bookmarkEnd w:id="377"/>
      <w:bookmarkEnd w:id="378"/>
    </w:p>
    <w:p w14:paraId="4E2A3E16" w14:textId="1573F2EE" w:rsidR="00162597" w:rsidRPr="00730DE4" w:rsidRDefault="00162597" w:rsidP="00162597">
      <w:pPr>
        <w:pStyle w:val="ListBullet"/>
      </w:pPr>
      <w:r w:rsidRPr="00730DE4">
        <w:rPr>
          <w:rStyle w:val="Strong"/>
        </w:rPr>
        <w:t>15,447</w:t>
      </w:r>
      <w:r w:rsidR="00805AE6" w:rsidRPr="00730DE4">
        <w:t>—</w:t>
      </w:r>
      <w:r w:rsidRPr="00730DE4">
        <w:t>Queenslanders trained in digital skills (New this year)</w:t>
      </w:r>
    </w:p>
    <w:p w14:paraId="459CA47D" w14:textId="2B65BB4A" w:rsidR="00162597" w:rsidRPr="00730DE4" w:rsidRDefault="00162597" w:rsidP="00162597">
      <w:pPr>
        <w:pStyle w:val="ListBullet"/>
      </w:pPr>
      <w:r w:rsidRPr="00730DE4">
        <w:rPr>
          <w:rStyle w:val="Strong"/>
        </w:rPr>
        <w:t>454,658</w:t>
      </w:r>
      <w:r w:rsidR="00805AE6" w:rsidRPr="00730DE4">
        <w:t>—</w:t>
      </w:r>
      <w:r w:rsidRPr="00730DE4">
        <w:t>Queenslanders engaged with the digital career campaign (Increased from last year)</w:t>
      </w:r>
    </w:p>
    <w:p w14:paraId="255F28BA" w14:textId="30FCA9D1" w:rsidR="00162597" w:rsidRPr="00730DE4" w:rsidRDefault="00162597" w:rsidP="00162597">
      <w:pPr>
        <w:pStyle w:val="ListBullet"/>
      </w:pPr>
      <w:r w:rsidRPr="00730DE4">
        <w:rPr>
          <w:rStyle w:val="Strong"/>
        </w:rPr>
        <w:t>1,215,685</w:t>
      </w:r>
      <w:r w:rsidR="00805AE6" w:rsidRPr="00730DE4">
        <w:t>—</w:t>
      </w:r>
      <w:r w:rsidRPr="00730DE4">
        <w:t>Citizen transactions provided by information brokerage (Decreased from last year)</w:t>
      </w:r>
    </w:p>
    <w:p w14:paraId="4EAA2ED4" w14:textId="1A1D3629" w:rsidR="00162597" w:rsidRPr="00730DE4" w:rsidRDefault="00162597" w:rsidP="000B7253">
      <w:pPr>
        <w:pStyle w:val="ListBullet"/>
      </w:pPr>
      <w:r w:rsidRPr="00730DE4">
        <w:rPr>
          <w:rStyle w:val="Strong"/>
        </w:rPr>
        <w:t>3461 Datasets comprising 15,986 files</w:t>
      </w:r>
      <w:r w:rsidR="00805AE6" w:rsidRPr="00730DE4">
        <w:t>—</w:t>
      </w:r>
      <w:r w:rsidRPr="00730DE4">
        <w:t xml:space="preserve">Number of Queensland Government open datasets available through the Open Data Portal, </w:t>
      </w:r>
      <w:hyperlink r:id="rId20" w:history="1">
        <w:r w:rsidR="000B7253" w:rsidRPr="00730DE4">
          <w:rPr>
            <w:rStyle w:val="Hyperlink"/>
          </w:rPr>
          <w:t>http://www.data.qld.gov.au</w:t>
        </w:r>
      </w:hyperlink>
      <w:r w:rsidR="000B7253" w:rsidRPr="00730DE4">
        <w:t xml:space="preserve"> </w:t>
      </w:r>
      <w:r w:rsidRPr="00730DE4">
        <w:t xml:space="preserve"> (Increased from last year)</w:t>
      </w:r>
    </w:p>
    <w:p w14:paraId="71D34AE3" w14:textId="1A3B1BE4" w:rsidR="00162597" w:rsidRPr="00730DE4" w:rsidRDefault="00162597" w:rsidP="00162597">
      <w:pPr>
        <w:pStyle w:val="ListBullet"/>
      </w:pPr>
      <w:r w:rsidRPr="00730DE4">
        <w:rPr>
          <w:rStyle w:val="Strong"/>
        </w:rPr>
        <w:t>119.6 Million</w:t>
      </w:r>
      <w:r w:rsidR="00805AE6" w:rsidRPr="00730DE4">
        <w:t>—</w:t>
      </w:r>
      <w:r w:rsidRPr="00730DE4">
        <w:t>Smart Service Queensland customer interactions by phone, counter, and online (Decreased from last year)</w:t>
      </w:r>
    </w:p>
    <w:p w14:paraId="51ECD86E" w14:textId="13675096" w:rsidR="00162597" w:rsidRPr="00730DE4" w:rsidRDefault="00162597" w:rsidP="00162597">
      <w:pPr>
        <w:pStyle w:val="ListBullet"/>
      </w:pPr>
      <w:r w:rsidRPr="00730DE4">
        <w:rPr>
          <w:rStyle w:val="Strong"/>
        </w:rPr>
        <w:t>178</w:t>
      </w:r>
      <w:r w:rsidR="00805AE6" w:rsidRPr="00730DE4">
        <w:t>—N</w:t>
      </w:r>
      <w:r w:rsidRPr="00730DE4">
        <w:t>umber of Queensland Government agencies and entities, councils, and statutory bodies using cyber hygiene services provided by the Queensland Government Cyber Security Unit (New this year)</w:t>
      </w:r>
    </w:p>
    <w:p w14:paraId="0637D872" w14:textId="77777777" w:rsidR="00162597" w:rsidRPr="00730DE4" w:rsidRDefault="00162597" w:rsidP="00162597">
      <w:pPr>
        <w:pStyle w:val="Heading3"/>
      </w:pPr>
      <w:bookmarkStart w:id="379" w:name="_Toc180487355"/>
      <w:bookmarkStart w:id="380" w:name="_Toc180490561"/>
      <w:bookmarkStart w:id="381" w:name="_Toc180491594"/>
      <w:r w:rsidRPr="00730DE4">
        <w:t>Licence and Registration</w:t>
      </w:r>
      <w:bookmarkEnd w:id="379"/>
      <w:bookmarkEnd w:id="380"/>
      <w:bookmarkEnd w:id="381"/>
    </w:p>
    <w:p w14:paraId="277730C8" w14:textId="65D476B9" w:rsidR="00162597" w:rsidRPr="00730DE4" w:rsidRDefault="00162597" w:rsidP="00162597">
      <w:pPr>
        <w:pStyle w:val="ListBullet"/>
      </w:pPr>
      <w:r w:rsidRPr="00730DE4">
        <w:rPr>
          <w:rStyle w:val="Strong"/>
        </w:rPr>
        <w:t>6,157,512</w:t>
      </w:r>
      <w:r w:rsidR="00805AE6" w:rsidRPr="00730DE4">
        <w:t>—</w:t>
      </w:r>
      <w:r w:rsidRPr="00730DE4">
        <w:t>Vehicles registered (Increased from last year)</w:t>
      </w:r>
    </w:p>
    <w:p w14:paraId="2297384F" w14:textId="5BDC795E" w:rsidR="00162597" w:rsidRPr="00730DE4" w:rsidRDefault="00162597" w:rsidP="00162597">
      <w:pPr>
        <w:pStyle w:val="ListBullet"/>
      </w:pPr>
      <w:r w:rsidRPr="00730DE4">
        <w:rPr>
          <w:rStyle w:val="Strong"/>
        </w:rPr>
        <w:t>153,069</w:t>
      </w:r>
      <w:r w:rsidR="00805AE6" w:rsidRPr="00730DE4">
        <w:t>—</w:t>
      </w:r>
      <w:r w:rsidRPr="00730DE4">
        <w:t>Written driving tests conducted (Increased from last year)</w:t>
      </w:r>
    </w:p>
    <w:p w14:paraId="1E57E566" w14:textId="24241EB3" w:rsidR="00162597" w:rsidRPr="00730DE4" w:rsidRDefault="00162597" w:rsidP="00162597">
      <w:pPr>
        <w:pStyle w:val="ListBullet"/>
      </w:pPr>
      <w:r w:rsidRPr="00730DE4">
        <w:rPr>
          <w:rStyle w:val="Strong"/>
        </w:rPr>
        <w:t>178,930</w:t>
      </w:r>
      <w:r w:rsidR="00805AE6" w:rsidRPr="00730DE4">
        <w:t>—</w:t>
      </w:r>
      <w:r w:rsidRPr="00730DE4">
        <w:t>Practical driving tests taken (Increased from last year)</w:t>
      </w:r>
    </w:p>
    <w:p w14:paraId="2D084476" w14:textId="4514C930" w:rsidR="00162597" w:rsidRPr="00730DE4" w:rsidRDefault="00162597" w:rsidP="00162597">
      <w:pPr>
        <w:pStyle w:val="ListBullet"/>
      </w:pPr>
      <w:r w:rsidRPr="00730DE4">
        <w:rPr>
          <w:rStyle w:val="Strong"/>
        </w:rPr>
        <w:t>4,154,952</w:t>
      </w:r>
      <w:r w:rsidR="00805AE6" w:rsidRPr="00730DE4">
        <w:t>—</w:t>
      </w:r>
      <w:r w:rsidRPr="00730DE4">
        <w:t>Driver licences (Increased from last year)</w:t>
      </w:r>
    </w:p>
    <w:p w14:paraId="31372481" w14:textId="775689DC" w:rsidR="00162597" w:rsidRPr="00730DE4" w:rsidRDefault="00162597" w:rsidP="00162597">
      <w:pPr>
        <w:pStyle w:val="ListBullet"/>
      </w:pPr>
      <w:r w:rsidRPr="00730DE4">
        <w:rPr>
          <w:rStyle w:val="Strong"/>
        </w:rPr>
        <w:t>1,031,410</w:t>
      </w:r>
      <w:r w:rsidR="00805AE6" w:rsidRPr="00730DE4">
        <w:t>—</w:t>
      </w:r>
      <w:r w:rsidRPr="00730DE4">
        <w:t>Recreational boat licences (Increased from last year)</w:t>
      </w:r>
    </w:p>
    <w:p w14:paraId="2B804733" w14:textId="189A5E2C" w:rsidR="00162597" w:rsidRPr="00730DE4" w:rsidRDefault="00162597" w:rsidP="00162597">
      <w:pPr>
        <w:pStyle w:val="ListBullet"/>
      </w:pPr>
      <w:r w:rsidRPr="00730DE4">
        <w:rPr>
          <w:rStyle w:val="Strong"/>
        </w:rPr>
        <w:t>277,047</w:t>
      </w:r>
      <w:r w:rsidR="00805AE6" w:rsidRPr="00730DE4">
        <w:t>—</w:t>
      </w:r>
      <w:r w:rsidRPr="00730DE4">
        <w:t>Recreational boats registered (Increased from last year)</w:t>
      </w:r>
    </w:p>
    <w:p w14:paraId="73383D4D" w14:textId="387DB1CF" w:rsidR="00162597" w:rsidRPr="00730DE4" w:rsidRDefault="00162597" w:rsidP="00162597">
      <w:pPr>
        <w:pStyle w:val="ListBullet"/>
      </w:pPr>
      <w:r w:rsidRPr="00730DE4">
        <w:rPr>
          <w:rStyle w:val="Strong"/>
        </w:rPr>
        <w:t>274,124</w:t>
      </w:r>
      <w:r w:rsidR="00805AE6" w:rsidRPr="00730DE4">
        <w:t>—</w:t>
      </w:r>
      <w:r w:rsidRPr="00730DE4">
        <w:t>Personal watercraft licences (Increased from last year)</w:t>
      </w:r>
    </w:p>
    <w:p w14:paraId="4F94A1A4" w14:textId="2FC92C16" w:rsidR="00162597" w:rsidRPr="00730DE4" w:rsidRDefault="00162597" w:rsidP="00162597">
      <w:pPr>
        <w:pStyle w:val="ListBullet"/>
      </w:pPr>
      <w:r w:rsidRPr="00730DE4">
        <w:rPr>
          <w:rStyle w:val="Strong"/>
        </w:rPr>
        <w:t>37,171</w:t>
      </w:r>
      <w:r w:rsidR="00805AE6" w:rsidRPr="00730DE4">
        <w:t>—</w:t>
      </w:r>
      <w:r w:rsidRPr="00730DE4">
        <w:t>Personal watercraft registered (Increased from last year)</w:t>
      </w:r>
    </w:p>
    <w:p w14:paraId="1409F55C" w14:textId="26E3354A" w:rsidR="00162597" w:rsidRPr="00730DE4" w:rsidRDefault="00162597" w:rsidP="00162597">
      <w:pPr>
        <w:pStyle w:val="ListBullet"/>
      </w:pPr>
      <w:r w:rsidRPr="00730DE4">
        <w:rPr>
          <w:rStyle w:val="Strong"/>
        </w:rPr>
        <w:t>1230</w:t>
      </w:r>
      <w:r w:rsidR="00805AE6" w:rsidRPr="00730DE4">
        <w:t>—A</w:t>
      </w:r>
      <w:r w:rsidRPr="00730DE4">
        <w:t>ccredited transport operators (Decreased from last year)</w:t>
      </w:r>
    </w:p>
    <w:p w14:paraId="5D1689A9" w14:textId="4DB0898A" w:rsidR="00162597" w:rsidRPr="00730DE4" w:rsidRDefault="00162597" w:rsidP="00162597">
      <w:pPr>
        <w:pStyle w:val="ListBullet"/>
      </w:pPr>
      <w:r w:rsidRPr="00730DE4">
        <w:rPr>
          <w:rStyle w:val="Strong"/>
        </w:rPr>
        <w:t>482</w:t>
      </w:r>
      <w:r w:rsidR="00805AE6" w:rsidRPr="00730DE4">
        <w:t>—</w:t>
      </w:r>
      <w:r w:rsidRPr="00730DE4">
        <w:t>Limousine licences (No change from last year)</w:t>
      </w:r>
    </w:p>
    <w:p w14:paraId="44ABFDEC" w14:textId="7D8F2E17" w:rsidR="00162597" w:rsidRPr="00730DE4" w:rsidRDefault="00162597" w:rsidP="00162597">
      <w:pPr>
        <w:pStyle w:val="ListBullet"/>
      </w:pPr>
      <w:r w:rsidRPr="00730DE4">
        <w:rPr>
          <w:rStyle w:val="Strong"/>
        </w:rPr>
        <w:t>3247</w:t>
      </w:r>
      <w:r w:rsidR="00805AE6" w:rsidRPr="00730DE4">
        <w:t>—</w:t>
      </w:r>
      <w:r w:rsidRPr="00730DE4">
        <w:t>Taxi Service licences (Decreased from last year)</w:t>
      </w:r>
    </w:p>
    <w:p w14:paraId="1539254C" w14:textId="0A5589C2" w:rsidR="00162597" w:rsidRPr="00730DE4" w:rsidRDefault="00162597" w:rsidP="00162597">
      <w:pPr>
        <w:pStyle w:val="ListBullet"/>
      </w:pPr>
      <w:r w:rsidRPr="00730DE4">
        <w:rPr>
          <w:rStyle w:val="Strong"/>
        </w:rPr>
        <w:t xml:space="preserve">622 </w:t>
      </w:r>
      <w:r w:rsidR="00805AE6" w:rsidRPr="00730DE4">
        <w:t>—A</w:t>
      </w:r>
      <w:r w:rsidRPr="00730DE4">
        <w:t>uthorised booking entities (Increased from last year)</w:t>
      </w:r>
    </w:p>
    <w:p w14:paraId="4C5890ED" w14:textId="26934832" w:rsidR="00162597" w:rsidRPr="00730DE4" w:rsidRDefault="00162597" w:rsidP="00162597">
      <w:pPr>
        <w:pStyle w:val="ListBullet"/>
      </w:pPr>
      <w:r w:rsidRPr="00730DE4">
        <w:rPr>
          <w:rStyle w:val="Strong"/>
        </w:rPr>
        <w:t>20,711</w:t>
      </w:r>
      <w:r w:rsidR="00805AE6" w:rsidRPr="00730DE4">
        <w:t>—</w:t>
      </w:r>
      <w:r w:rsidRPr="00730DE4">
        <w:t>Booked hire service licences (Increased from last year)</w:t>
      </w:r>
    </w:p>
    <w:p w14:paraId="7CBCB666" w14:textId="2FC32C49" w:rsidR="00162597" w:rsidRPr="00730DE4" w:rsidRDefault="00162597" w:rsidP="00162597">
      <w:pPr>
        <w:pStyle w:val="ListBullet"/>
      </w:pPr>
      <w:r w:rsidRPr="00730DE4">
        <w:rPr>
          <w:rStyle w:val="Strong"/>
        </w:rPr>
        <w:t>$11.08</w:t>
      </w:r>
      <w:r w:rsidR="00805AE6" w:rsidRPr="00730DE4">
        <w:t>—</w:t>
      </w:r>
      <w:r w:rsidRPr="00730DE4">
        <w:t>Average subsidy per trip provided through Taxi Subsidy Scheme (Increased from last year)</w:t>
      </w:r>
    </w:p>
    <w:p w14:paraId="6EAE733E" w14:textId="62F3B171" w:rsidR="00162597" w:rsidRPr="00730DE4" w:rsidRDefault="00162597" w:rsidP="00162597">
      <w:pPr>
        <w:pStyle w:val="ListBullet"/>
      </w:pPr>
      <w:r w:rsidRPr="00730DE4">
        <w:rPr>
          <w:rStyle w:val="Strong"/>
        </w:rPr>
        <w:t>1.1 Million</w:t>
      </w:r>
      <w:r w:rsidR="00805AE6" w:rsidRPr="00730DE4">
        <w:t>—</w:t>
      </w:r>
      <w:r w:rsidRPr="00730DE4">
        <w:t>Passenger trips provided through the Taxi Subsidy Scheme (Decreased from last year)</w:t>
      </w:r>
    </w:p>
    <w:p w14:paraId="35880C08" w14:textId="0D9EFBE1" w:rsidR="00162597" w:rsidRPr="00730DE4" w:rsidRDefault="00162597" w:rsidP="00162597">
      <w:pPr>
        <w:pStyle w:val="ListBullet"/>
      </w:pPr>
      <w:r w:rsidRPr="00730DE4">
        <w:rPr>
          <w:rStyle w:val="Strong"/>
        </w:rPr>
        <w:t>56,737</w:t>
      </w:r>
      <w:r w:rsidR="00805AE6" w:rsidRPr="00730DE4">
        <w:t>—</w:t>
      </w:r>
      <w:r w:rsidRPr="00730DE4">
        <w:t>Authorised Drivers of public transport (Increased from last year)</w:t>
      </w:r>
    </w:p>
    <w:p w14:paraId="3F426825" w14:textId="354C3DC6" w:rsidR="00162597" w:rsidRPr="00730DE4" w:rsidRDefault="00162597" w:rsidP="00162597">
      <w:pPr>
        <w:pStyle w:val="ListBullet"/>
      </w:pPr>
      <w:r w:rsidRPr="00730DE4">
        <w:rPr>
          <w:rStyle w:val="Strong"/>
        </w:rPr>
        <w:t>16,496</w:t>
      </w:r>
      <w:r w:rsidR="00805AE6" w:rsidRPr="00730DE4">
        <w:t>—</w:t>
      </w:r>
      <w:r w:rsidRPr="00730DE4">
        <w:t>On-road intercepts (Decreased from last year)</w:t>
      </w:r>
    </w:p>
    <w:p w14:paraId="71A23A17" w14:textId="77777777" w:rsidR="00162597" w:rsidRPr="00730DE4" w:rsidRDefault="00162597" w:rsidP="00162597">
      <w:pPr>
        <w:pStyle w:val="Heading3"/>
      </w:pPr>
      <w:bookmarkStart w:id="382" w:name="_Toc180487356"/>
      <w:bookmarkStart w:id="383" w:name="_Toc180490562"/>
      <w:bookmarkStart w:id="384" w:name="_Toc180491595"/>
      <w:r w:rsidRPr="00730DE4">
        <w:t>Customer Touchpoints</w:t>
      </w:r>
      <w:bookmarkEnd w:id="382"/>
      <w:bookmarkEnd w:id="383"/>
      <w:bookmarkEnd w:id="384"/>
    </w:p>
    <w:p w14:paraId="779B7EB6" w14:textId="6CE69CC1" w:rsidR="00162597" w:rsidRPr="00730DE4" w:rsidRDefault="00162597" w:rsidP="00162597">
      <w:pPr>
        <w:pStyle w:val="ListBullet"/>
      </w:pPr>
      <w:r w:rsidRPr="00730DE4">
        <w:rPr>
          <w:rStyle w:val="Strong"/>
        </w:rPr>
        <w:t>24,192,865</w:t>
      </w:r>
      <w:r w:rsidR="00805AE6" w:rsidRPr="00730DE4">
        <w:t>—</w:t>
      </w:r>
      <w:r w:rsidRPr="00730DE4">
        <w:t>Total customer transactions (Increased from last year)</w:t>
      </w:r>
    </w:p>
    <w:p w14:paraId="2358FDC9" w14:textId="57E5F531" w:rsidR="00162597" w:rsidRPr="00730DE4" w:rsidRDefault="00162597" w:rsidP="00162597">
      <w:pPr>
        <w:pStyle w:val="ListBullet"/>
      </w:pPr>
      <w:r w:rsidRPr="00730DE4">
        <w:rPr>
          <w:rStyle w:val="Strong"/>
        </w:rPr>
        <w:t>48,867</w:t>
      </w:r>
      <w:r w:rsidR="00805AE6" w:rsidRPr="00730DE4">
        <w:t>—</w:t>
      </w:r>
      <w:r w:rsidRPr="00730DE4">
        <w:t>QLD</w:t>
      </w:r>
      <w:r w:rsidRPr="00730DE4">
        <w:rPr>
          <w:rStyle w:val="Emphasis"/>
        </w:rPr>
        <w:t>Traffic</w:t>
      </w:r>
      <w:r w:rsidRPr="00730DE4">
        <w:t xml:space="preserve"> ‘X’ posts (Increased from last year)</w:t>
      </w:r>
    </w:p>
    <w:p w14:paraId="280CD0A0" w14:textId="04357A81" w:rsidR="00162597" w:rsidRPr="00730DE4" w:rsidRDefault="00162597" w:rsidP="00162597">
      <w:pPr>
        <w:pStyle w:val="ListBullet"/>
      </w:pPr>
      <w:r w:rsidRPr="00730DE4">
        <w:rPr>
          <w:rStyle w:val="Strong"/>
        </w:rPr>
        <w:t>97,193</w:t>
      </w:r>
      <w:r w:rsidR="00805AE6" w:rsidRPr="00730DE4">
        <w:t>—</w:t>
      </w:r>
      <w:r w:rsidRPr="00730DE4">
        <w:t>Downloads of QLD</w:t>
      </w:r>
      <w:r w:rsidRPr="00730DE4">
        <w:rPr>
          <w:rStyle w:val="Emphasis"/>
        </w:rPr>
        <w:t>Traffic</w:t>
      </w:r>
      <w:r w:rsidRPr="00730DE4">
        <w:t xml:space="preserve"> app (Increased from last year)</w:t>
      </w:r>
    </w:p>
    <w:p w14:paraId="0EAC6458" w14:textId="07E7172B" w:rsidR="00162597" w:rsidRPr="00730DE4" w:rsidRDefault="00162597" w:rsidP="00162597">
      <w:pPr>
        <w:pStyle w:val="ListBullet"/>
      </w:pPr>
      <w:r w:rsidRPr="00730DE4">
        <w:rPr>
          <w:rStyle w:val="Strong"/>
        </w:rPr>
        <w:t>3,650,221</w:t>
      </w:r>
      <w:r w:rsidR="00805AE6" w:rsidRPr="00730DE4">
        <w:t>—</w:t>
      </w:r>
      <w:r w:rsidRPr="00730DE4">
        <w:t>QLD</w:t>
      </w:r>
      <w:r w:rsidRPr="00730DE4">
        <w:rPr>
          <w:rStyle w:val="Emphasis"/>
        </w:rPr>
        <w:t>Traffic</w:t>
      </w:r>
      <w:r w:rsidRPr="00730DE4">
        <w:t xml:space="preserve"> website visits (Increased from last year)</w:t>
      </w:r>
    </w:p>
    <w:p w14:paraId="06922BC2" w14:textId="3081F82E" w:rsidR="00162597" w:rsidRPr="00730DE4" w:rsidRDefault="00162597" w:rsidP="00162597">
      <w:pPr>
        <w:pStyle w:val="ListBullet"/>
      </w:pPr>
      <w:r w:rsidRPr="00730DE4">
        <w:rPr>
          <w:rStyle w:val="Strong"/>
        </w:rPr>
        <w:t>92</w:t>
      </w:r>
      <w:r w:rsidR="00805AE6" w:rsidRPr="00730DE4">
        <w:t>—C</w:t>
      </w:r>
      <w:r w:rsidRPr="00730DE4">
        <w:t>ustomer Service Centres (Increased from last year)</w:t>
      </w:r>
    </w:p>
    <w:p w14:paraId="30A57643" w14:textId="669CF7FE" w:rsidR="00162597" w:rsidRPr="00730DE4" w:rsidRDefault="00162597" w:rsidP="00162597">
      <w:pPr>
        <w:pStyle w:val="ListBullet"/>
      </w:pPr>
      <w:r w:rsidRPr="00730DE4">
        <w:rPr>
          <w:rStyle w:val="Strong"/>
        </w:rPr>
        <w:t>34</w:t>
      </w:r>
      <w:r w:rsidR="00805AE6" w:rsidRPr="00730DE4">
        <w:t>—N</w:t>
      </w:r>
      <w:r w:rsidRPr="00730DE4">
        <w:t>umber of TMR-led Queensland Government Agency Programs (No change from last year)</w:t>
      </w:r>
    </w:p>
    <w:p w14:paraId="56B6B870" w14:textId="0DBF643A" w:rsidR="00162597" w:rsidRPr="00730DE4" w:rsidRDefault="00162597" w:rsidP="00162597">
      <w:pPr>
        <w:pStyle w:val="ListBullet"/>
      </w:pPr>
      <w:r w:rsidRPr="00730DE4">
        <w:rPr>
          <w:rStyle w:val="Strong"/>
        </w:rPr>
        <w:t>30.3 Billion</w:t>
      </w:r>
      <w:r w:rsidR="00805AE6" w:rsidRPr="00730DE4">
        <w:t>—</w:t>
      </w:r>
      <w:r w:rsidRPr="00730DE4">
        <w:t>Vendor payments through Queensland Shared Services (Increased from last year)</w:t>
      </w:r>
    </w:p>
    <w:p w14:paraId="3ACE8132" w14:textId="55202A47" w:rsidR="00162597" w:rsidRPr="00730DE4" w:rsidRDefault="00162597" w:rsidP="00162597">
      <w:pPr>
        <w:pStyle w:val="ListBullet"/>
      </w:pPr>
      <w:r w:rsidRPr="00730DE4">
        <w:rPr>
          <w:rStyle w:val="Strong"/>
        </w:rPr>
        <w:t>2.1 Million</w:t>
      </w:r>
      <w:r w:rsidR="00805AE6" w:rsidRPr="00730DE4">
        <w:t>—</w:t>
      </w:r>
      <w:r w:rsidRPr="00730DE4">
        <w:t>Employee pays made through Queensland Shared Services (Increased from last year)</w:t>
      </w:r>
    </w:p>
    <w:p w14:paraId="1F3F3335" w14:textId="3CC6EAA3" w:rsidR="00162597" w:rsidRPr="00730DE4" w:rsidRDefault="00162597" w:rsidP="00162597">
      <w:pPr>
        <w:pStyle w:val="ListBullet"/>
      </w:pPr>
      <w:r w:rsidRPr="00730DE4">
        <w:rPr>
          <w:rStyle w:val="Strong"/>
        </w:rPr>
        <w:t>15,757,264</w:t>
      </w:r>
      <w:r w:rsidR="00805AE6" w:rsidRPr="00730DE4">
        <w:t>—</w:t>
      </w:r>
      <w:r w:rsidRPr="00730DE4">
        <w:t>Customer transactions conducted using electronic self-service channels (Increased from last year)</w:t>
      </w:r>
    </w:p>
    <w:p w14:paraId="569C3C23" w14:textId="29278EDB" w:rsidR="00162597" w:rsidRPr="00730DE4" w:rsidRDefault="00162597" w:rsidP="00162597">
      <w:pPr>
        <w:pStyle w:val="ListBullet"/>
      </w:pPr>
      <w:r w:rsidRPr="00730DE4">
        <w:rPr>
          <w:rStyle w:val="Strong"/>
        </w:rPr>
        <w:t>8,435,601</w:t>
      </w:r>
      <w:r w:rsidR="00805AE6" w:rsidRPr="00730DE4">
        <w:t>—</w:t>
      </w:r>
      <w:r w:rsidRPr="00730DE4">
        <w:t>Customers served face-to-face across our 92 Customer Service Centres (Increased from last year)</w:t>
      </w:r>
    </w:p>
    <w:p w14:paraId="42BBFA49" w14:textId="77777777" w:rsidR="00162597" w:rsidRPr="00730DE4" w:rsidRDefault="00162597" w:rsidP="00162597">
      <w:pPr>
        <w:pStyle w:val="Heading3"/>
      </w:pPr>
      <w:bookmarkStart w:id="385" w:name="_Toc180487357"/>
      <w:bookmarkStart w:id="386" w:name="_Toc180490563"/>
      <w:bookmarkStart w:id="387" w:name="_Toc180491596"/>
      <w:r w:rsidRPr="00730DE4">
        <w:t>Public Transport</w:t>
      </w:r>
      <w:bookmarkEnd w:id="385"/>
      <w:bookmarkEnd w:id="386"/>
      <w:bookmarkEnd w:id="387"/>
    </w:p>
    <w:p w14:paraId="407D87C1" w14:textId="3395CA4B" w:rsidR="00162597" w:rsidRPr="00730DE4" w:rsidRDefault="00162597" w:rsidP="00162597">
      <w:pPr>
        <w:pStyle w:val="ListBullet"/>
      </w:pPr>
      <w:r w:rsidRPr="00730DE4">
        <w:rPr>
          <w:rStyle w:val="Strong"/>
        </w:rPr>
        <w:t>167.78 Million</w:t>
      </w:r>
      <w:r w:rsidR="00805AE6" w:rsidRPr="00730DE4">
        <w:t>—</w:t>
      </w:r>
      <w:r w:rsidRPr="00730DE4">
        <w:t>Passenger trips on bus, rail, ferry, and tram were provided to our customers within South East Queensland (Increased from last year)</w:t>
      </w:r>
    </w:p>
    <w:p w14:paraId="2ACDCAA9" w14:textId="52EC932E" w:rsidR="00162597" w:rsidRPr="00730DE4" w:rsidRDefault="00162597" w:rsidP="00162597">
      <w:pPr>
        <w:pStyle w:val="ListBullet"/>
      </w:pPr>
      <w:r w:rsidRPr="00730DE4">
        <w:rPr>
          <w:rStyle w:val="Strong"/>
        </w:rPr>
        <w:t>30,628</w:t>
      </w:r>
      <w:r w:rsidR="00805AE6" w:rsidRPr="00730DE4">
        <w:t>—</w:t>
      </w:r>
      <w:r w:rsidRPr="00730DE4">
        <w:t>Gold Coast tram daily passengers (Increased from last year)</w:t>
      </w:r>
    </w:p>
    <w:p w14:paraId="33E47D2D" w14:textId="746F3297" w:rsidR="00162597" w:rsidRPr="00730DE4" w:rsidRDefault="00162597" w:rsidP="00162597">
      <w:pPr>
        <w:pStyle w:val="ListBullet"/>
      </w:pPr>
      <w:r w:rsidRPr="00730DE4">
        <w:rPr>
          <w:rStyle w:val="Strong"/>
        </w:rPr>
        <w:t>401,000</w:t>
      </w:r>
      <w:r w:rsidR="00805AE6" w:rsidRPr="00730DE4">
        <w:t>—</w:t>
      </w:r>
      <w:r w:rsidRPr="00730DE4">
        <w:t>MyTranslink app active monthly users (Increased from last year)</w:t>
      </w:r>
    </w:p>
    <w:p w14:paraId="5FA301A2" w14:textId="11109C5B" w:rsidR="00162597" w:rsidRPr="00730DE4" w:rsidRDefault="00162597" w:rsidP="00162597">
      <w:pPr>
        <w:pStyle w:val="ListBullet"/>
      </w:pPr>
      <w:r w:rsidRPr="00730DE4">
        <w:rPr>
          <w:rStyle w:val="Strong"/>
        </w:rPr>
        <w:t>2,799,099</w:t>
      </w:r>
      <w:r w:rsidR="00805AE6" w:rsidRPr="00730DE4">
        <w:t>—</w:t>
      </w:r>
      <w:r w:rsidRPr="00730DE4">
        <w:rPr>
          <w:rStyle w:val="Emphasis"/>
        </w:rPr>
        <w:t>go</w:t>
      </w:r>
      <w:r w:rsidRPr="00730DE4">
        <w:t xml:space="preserve"> cards used in South East Queensland (Increased from last year)</w:t>
      </w:r>
    </w:p>
    <w:p w14:paraId="0B829F56" w14:textId="6B36E1B9" w:rsidR="00162597" w:rsidRPr="00730DE4" w:rsidRDefault="00162597" w:rsidP="00162597">
      <w:pPr>
        <w:pStyle w:val="ListBullet"/>
      </w:pPr>
      <w:r w:rsidRPr="00730DE4">
        <w:rPr>
          <w:rStyle w:val="Strong"/>
        </w:rPr>
        <w:t>458,408</w:t>
      </w:r>
      <w:r w:rsidR="00805AE6" w:rsidRPr="00730DE4">
        <w:t>—</w:t>
      </w:r>
      <w:r w:rsidRPr="00730DE4">
        <w:t>Average number of passenger trips per day on the South East Queensland network (Increased from last year)</w:t>
      </w:r>
    </w:p>
    <w:p w14:paraId="2D2766E8" w14:textId="11613C35" w:rsidR="00162597" w:rsidRPr="00730DE4" w:rsidRDefault="00162597" w:rsidP="00162597">
      <w:pPr>
        <w:pStyle w:val="ListBullet"/>
      </w:pPr>
      <w:r w:rsidRPr="00730DE4">
        <w:rPr>
          <w:rStyle w:val="Strong"/>
        </w:rPr>
        <w:t>11.51 Million</w:t>
      </w:r>
      <w:r w:rsidR="00805AE6" w:rsidRPr="00730DE4">
        <w:t>—</w:t>
      </w:r>
      <w:r w:rsidRPr="00730DE4">
        <w:t>Passenger trips on bus, rail, ferry, and air outside South East Queensland (Decreased from last year)</w:t>
      </w:r>
    </w:p>
    <w:p w14:paraId="5BA3A2C1" w14:textId="77777777" w:rsidR="00162597" w:rsidRPr="00730DE4" w:rsidRDefault="00162597" w:rsidP="00162597">
      <w:pPr>
        <w:pStyle w:val="Heading3"/>
      </w:pPr>
      <w:bookmarkStart w:id="388" w:name="_Toc180487358"/>
      <w:bookmarkStart w:id="389" w:name="_Toc180490564"/>
      <w:bookmarkStart w:id="390" w:name="_Toc180491597"/>
      <w:r w:rsidRPr="00730DE4">
        <w:t>Maritime</w:t>
      </w:r>
      <w:bookmarkEnd w:id="388"/>
      <w:bookmarkEnd w:id="389"/>
      <w:bookmarkEnd w:id="390"/>
    </w:p>
    <w:p w14:paraId="2FA7A31A" w14:textId="370E8BCD" w:rsidR="00162597" w:rsidRPr="00730DE4" w:rsidRDefault="00162597" w:rsidP="00162597">
      <w:pPr>
        <w:pStyle w:val="ListBullet"/>
      </w:pPr>
      <w:r w:rsidRPr="00730DE4">
        <w:rPr>
          <w:rStyle w:val="Strong"/>
        </w:rPr>
        <w:t>287.79 Million</w:t>
      </w:r>
      <w:r w:rsidR="00805AE6" w:rsidRPr="00730DE4">
        <w:t>—</w:t>
      </w:r>
      <w:r w:rsidRPr="00730DE4">
        <w:t>Tonnes of cargo we helped our industry customers move through our declared ports (Decreased from last year)</w:t>
      </w:r>
    </w:p>
    <w:p w14:paraId="4D28DFE1" w14:textId="1D04E2DA" w:rsidR="00162597" w:rsidRPr="00730DE4" w:rsidRDefault="00162597" w:rsidP="00162597">
      <w:pPr>
        <w:pStyle w:val="ListBullet"/>
      </w:pPr>
      <w:r w:rsidRPr="00730DE4">
        <w:rPr>
          <w:rStyle w:val="Strong"/>
        </w:rPr>
        <w:t>911 Million</w:t>
      </w:r>
      <w:r w:rsidR="00805AE6" w:rsidRPr="00730DE4">
        <w:t>—</w:t>
      </w:r>
      <w:r w:rsidRPr="00730DE4">
        <w:t>Tonnes of freight moved on the surface network in 2022–23 (Decreased from last year)</w:t>
      </w:r>
    </w:p>
    <w:p w14:paraId="3421A6DC" w14:textId="37ACD703" w:rsidR="00162597" w:rsidRPr="00730DE4" w:rsidRDefault="00162597" w:rsidP="00162597">
      <w:pPr>
        <w:pStyle w:val="ListBullet"/>
      </w:pPr>
      <w:r w:rsidRPr="00730DE4">
        <w:rPr>
          <w:rStyle w:val="Strong"/>
        </w:rPr>
        <w:t>23,137</w:t>
      </w:r>
      <w:r w:rsidR="00805AE6" w:rsidRPr="00730DE4">
        <w:t>—</w:t>
      </w:r>
      <w:r w:rsidRPr="00730DE4">
        <w:t>Ship movements in Queensland ports (Decreased from last year)</w:t>
      </w:r>
    </w:p>
    <w:p w14:paraId="0A0B23E3" w14:textId="20E85C37" w:rsidR="00162597" w:rsidRPr="00730DE4" w:rsidRDefault="00162597" w:rsidP="00162597">
      <w:pPr>
        <w:pStyle w:val="ListBullet"/>
      </w:pPr>
      <w:r w:rsidRPr="00730DE4">
        <w:rPr>
          <w:rStyle w:val="Strong"/>
        </w:rPr>
        <w:t>11,981</w:t>
      </w:r>
      <w:r w:rsidR="00805AE6" w:rsidRPr="00730DE4">
        <w:t>—</w:t>
      </w:r>
      <w:r w:rsidRPr="00730DE4">
        <w:t>Ship movements in the ReefVTS monitored region (Increased from last year)</w:t>
      </w:r>
    </w:p>
    <w:p w14:paraId="686C6666" w14:textId="4C19DF51" w:rsidR="00162597" w:rsidRPr="00730DE4" w:rsidRDefault="00162597" w:rsidP="00162597">
      <w:pPr>
        <w:pStyle w:val="ListBullet"/>
      </w:pPr>
      <w:r w:rsidRPr="00730DE4">
        <w:rPr>
          <w:rStyle w:val="Strong"/>
        </w:rPr>
        <w:t>225</w:t>
      </w:r>
      <w:r w:rsidR="00805AE6" w:rsidRPr="00730DE4">
        <w:t>—D</w:t>
      </w:r>
      <w:r w:rsidRPr="00730DE4">
        <w:t>erelict vessels removed from Queensland waterways this year (Increased from last year)</w:t>
      </w:r>
    </w:p>
    <w:p w14:paraId="21A133F8" w14:textId="65EAE882" w:rsidR="00162597" w:rsidRPr="00730DE4" w:rsidRDefault="00162597" w:rsidP="00162597">
      <w:pPr>
        <w:pStyle w:val="ListBullet"/>
      </w:pPr>
      <w:r w:rsidRPr="00730DE4">
        <w:rPr>
          <w:rStyle w:val="Strong"/>
        </w:rPr>
        <w:t>$11.6 Million</w:t>
      </w:r>
      <w:r w:rsidR="00805AE6" w:rsidRPr="00730DE4">
        <w:t>—</w:t>
      </w:r>
      <w:r w:rsidRPr="00730DE4">
        <w:t>Value of recreational boating facilities built this year (Increased from last year)</w:t>
      </w:r>
    </w:p>
    <w:p w14:paraId="40536D90" w14:textId="77777777" w:rsidR="00162597" w:rsidRPr="00730DE4" w:rsidRDefault="00162597" w:rsidP="00162597">
      <w:pPr>
        <w:pStyle w:val="Heading3"/>
      </w:pPr>
      <w:bookmarkStart w:id="391" w:name="_Toc180487359"/>
      <w:bookmarkStart w:id="392" w:name="_Toc180490565"/>
      <w:bookmarkStart w:id="393" w:name="_Toc180491598"/>
      <w:r w:rsidRPr="00730DE4">
        <w:t>Our People</w:t>
      </w:r>
      <w:bookmarkEnd w:id="391"/>
      <w:bookmarkEnd w:id="392"/>
      <w:bookmarkEnd w:id="393"/>
    </w:p>
    <w:p w14:paraId="5B9EF731" w14:textId="500A057B" w:rsidR="00162597" w:rsidRPr="00730DE4" w:rsidRDefault="00162597" w:rsidP="00162597">
      <w:pPr>
        <w:pStyle w:val="ListBullet"/>
      </w:pPr>
      <w:r w:rsidRPr="00730DE4">
        <w:rPr>
          <w:rStyle w:val="Strong"/>
        </w:rPr>
        <w:t>10.2 Years</w:t>
      </w:r>
      <w:r w:rsidR="00805AE6" w:rsidRPr="00730DE4">
        <w:t>—</w:t>
      </w:r>
      <w:r w:rsidRPr="00730DE4">
        <w:t>Average length of service (Decreased from last year)</w:t>
      </w:r>
    </w:p>
    <w:p w14:paraId="7C7DF062" w14:textId="144F6940" w:rsidR="00162597" w:rsidRPr="00730DE4" w:rsidRDefault="00162597" w:rsidP="00162597">
      <w:pPr>
        <w:pStyle w:val="ListBullet"/>
      </w:pPr>
      <w:r w:rsidRPr="00730DE4">
        <w:rPr>
          <w:rStyle w:val="Strong"/>
        </w:rPr>
        <w:t>8 per cent</w:t>
      </w:r>
      <w:r w:rsidR="00805AE6" w:rsidRPr="00730DE4">
        <w:t>—</w:t>
      </w:r>
      <w:r w:rsidRPr="00730DE4">
        <w:t>Temporary (No change from last year)</w:t>
      </w:r>
    </w:p>
    <w:p w14:paraId="067BDACA" w14:textId="2AD1479B" w:rsidR="00162597" w:rsidRPr="00730DE4" w:rsidRDefault="00162597" w:rsidP="00162597">
      <w:pPr>
        <w:pStyle w:val="ListBullet"/>
      </w:pPr>
      <w:r w:rsidRPr="00730DE4">
        <w:rPr>
          <w:rStyle w:val="Strong"/>
        </w:rPr>
        <w:t>17 per cent</w:t>
      </w:r>
      <w:r w:rsidR="00805AE6" w:rsidRPr="00730DE4">
        <w:t>—</w:t>
      </w:r>
      <w:r w:rsidRPr="00730DE4">
        <w:t>Casual (No change from last year)</w:t>
      </w:r>
    </w:p>
    <w:p w14:paraId="58851C2C" w14:textId="42C52DAA" w:rsidR="00162597" w:rsidRPr="00730DE4" w:rsidRDefault="00162597" w:rsidP="00162597">
      <w:pPr>
        <w:pStyle w:val="ListBullet"/>
      </w:pPr>
      <w:r w:rsidRPr="00730DE4">
        <w:rPr>
          <w:rStyle w:val="Strong"/>
        </w:rPr>
        <w:t>75 per cent</w:t>
      </w:r>
      <w:r w:rsidR="00805AE6" w:rsidRPr="00730DE4">
        <w:t>—</w:t>
      </w:r>
      <w:r w:rsidRPr="00730DE4">
        <w:t>Permanent (No change from last year)</w:t>
      </w:r>
    </w:p>
    <w:p w14:paraId="0596A4F2" w14:textId="38C78E23" w:rsidR="00162597" w:rsidRPr="00730DE4" w:rsidRDefault="00162597" w:rsidP="00162597">
      <w:pPr>
        <w:pStyle w:val="ListBullet"/>
      </w:pPr>
      <w:r w:rsidRPr="00730DE4">
        <w:rPr>
          <w:rStyle w:val="Strong"/>
        </w:rPr>
        <w:t>37 per cent</w:t>
      </w:r>
      <w:r w:rsidR="00805AE6" w:rsidRPr="00730DE4">
        <w:t>—</w:t>
      </w:r>
      <w:r w:rsidRPr="00730DE4">
        <w:t>Women in Leadership Roles (No change from last year)</w:t>
      </w:r>
    </w:p>
    <w:p w14:paraId="7F428D09" w14:textId="78E664FB" w:rsidR="00162597" w:rsidRPr="00730DE4" w:rsidRDefault="00162597" w:rsidP="00162597">
      <w:pPr>
        <w:pStyle w:val="ListBullet"/>
      </w:pPr>
      <w:r w:rsidRPr="00730DE4">
        <w:rPr>
          <w:rStyle w:val="Strong"/>
        </w:rPr>
        <w:t>70 per cent</w:t>
      </w:r>
      <w:r w:rsidR="00805AE6" w:rsidRPr="00730DE4">
        <w:t>—</w:t>
      </w:r>
      <w:r w:rsidRPr="00730DE4">
        <w:t>Non-corporate roles (Decreased from last year)</w:t>
      </w:r>
    </w:p>
    <w:p w14:paraId="6FD451D1" w14:textId="5C98142E" w:rsidR="00162597" w:rsidRPr="00730DE4" w:rsidRDefault="00162597" w:rsidP="00162597">
      <w:pPr>
        <w:pStyle w:val="ListBullet"/>
      </w:pPr>
      <w:r w:rsidRPr="00730DE4">
        <w:rPr>
          <w:rStyle w:val="Strong"/>
        </w:rPr>
        <w:t>9619</w:t>
      </w:r>
      <w:r w:rsidR="00805AE6" w:rsidRPr="00730DE4">
        <w:t>—F</w:t>
      </w:r>
      <w:r w:rsidRPr="00730DE4">
        <w:t>ull-time equivalents (Increased from last year)</w:t>
      </w:r>
    </w:p>
    <w:p w14:paraId="555EC07C" w14:textId="4A178403" w:rsidR="00FA2FF9" w:rsidRPr="00730DE4" w:rsidRDefault="00FA2FF9" w:rsidP="002B7001">
      <w:pPr>
        <w:pStyle w:val="Heading1"/>
      </w:pPr>
      <w:bookmarkStart w:id="394" w:name="_Toc180490566"/>
      <w:bookmarkStart w:id="395" w:name="_Toc180491599"/>
      <w:r w:rsidRPr="00730DE4">
        <w:t>Integrated Transport Network</w:t>
      </w:r>
      <w:bookmarkEnd w:id="394"/>
      <w:bookmarkEnd w:id="395"/>
    </w:p>
    <w:p w14:paraId="694DE51D" w14:textId="3B0B4914" w:rsidR="00A76B73" w:rsidRPr="00730DE4" w:rsidRDefault="00A76B73" w:rsidP="00A76B73">
      <w:r w:rsidRPr="00730DE4">
        <w:t>To read more about the strategies and indicators of success linked to these strategic priorities, see page 19–30.</w:t>
      </w:r>
    </w:p>
    <w:p w14:paraId="2F0B34F5" w14:textId="77777777" w:rsidR="00FA2FF9" w:rsidRPr="00730DE4" w:rsidRDefault="00FA2FF9" w:rsidP="002B7001">
      <w:pPr>
        <w:pStyle w:val="Heading2"/>
      </w:pPr>
      <w:bookmarkStart w:id="396" w:name="_Toc180490567"/>
      <w:bookmarkStart w:id="397" w:name="_Toc180491600"/>
      <w:r w:rsidRPr="00730DE4">
        <w:t>Highlights</w:t>
      </w:r>
      <w:bookmarkEnd w:id="396"/>
      <w:bookmarkEnd w:id="397"/>
    </w:p>
    <w:p w14:paraId="5BFB61A9" w14:textId="77777777" w:rsidR="00FA2FF9" w:rsidRPr="00730DE4" w:rsidRDefault="00FA2FF9" w:rsidP="006779A3">
      <w:pPr>
        <w:pStyle w:val="ListBullet"/>
      </w:pPr>
      <w:r w:rsidRPr="00730DE4">
        <w:t>Released the $37.4 billion QTRIP 2024–25 to 2027–28 demonstrating TMR's continued dedication to delivering a single integrated network accessible to everyone.</w:t>
      </w:r>
    </w:p>
    <w:p w14:paraId="55DE753F" w14:textId="77777777" w:rsidR="00FA2FF9" w:rsidRPr="00730DE4" w:rsidRDefault="00FA2FF9" w:rsidP="001C6807">
      <w:pPr>
        <w:pStyle w:val="ListBullet"/>
      </w:pPr>
      <w:r w:rsidRPr="00730DE4">
        <w:t>Continuing to shape our network through rail infrastructure projects including CRR, Logan to Gold Coast, and Sunshine Coast Rail Line.</w:t>
      </w:r>
    </w:p>
    <w:p w14:paraId="5244DE75" w14:textId="77777777" w:rsidR="00FA2FF9" w:rsidRPr="00730DE4" w:rsidRDefault="00FA2FF9" w:rsidP="006779A3">
      <w:pPr>
        <w:pStyle w:val="ListBullet"/>
      </w:pPr>
      <w:r w:rsidRPr="00730DE4">
        <w:t>Continued to deliver new and upgraded maritime infrastructure, including new boat launching facility at Casuarina Creek, improved recreational boating facilities in Rosslyn Bay Boat Harbour, and upgrade of Aids to Navigation in the Gladstone and Wide Bay Bar regions.</w:t>
      </w:r>
    </w:p>
    <w:p w14:paraId="37170FE9" w14:textId="77777777" w:rsidR="00FA2FF9" w:rsidRPr="00730DE4" w:rsidRDefault="00FA2FF9" w:rsidP="006779A3">
      <w:pPr>
        <w:pStyle w:val="ListBullet"/>
      </w:pPr>
      <w:r w:rsidRPr="00730DE4">
        <w:t>Progressed the $40 million program of marine infrastructure upgrades in the Torres Strait from 2023–24 to 2027–28.</w:t>
      </w:r>
    </w:p>
    <w:p w14:paraId="0ACA3C95" w14:textId="77777777" w:rsidR="00FA2FF9" w:rsidRPr="00730DE4" w:rsidRDefault="00FA2FF9" w:rsidP="006779A3">
      <w:pPr>
        <w:pStyle w:val="ListBullet"/>
      </w:pPr>
      <w:r w:rsidRPr="00730DE4">
        <w:t>Establishing Brisbane 2032 Olympic and Paralympic Games transport planning through partnerships with local councils, Brisbane 2032 Olympic and Paralympic Games Organising Committee, and public transport operators.</w:t>
      </w:r>
    </w:p>
    <w:p w14:paraId="0B82D8EE" w14:textId="77777777" w:rsidR="00FA2FF9" w:rsidRPr="00730DE4" w:rsidRDefault="00FA2FF9" w:rsidP="006779A3">
      <w:pPr>
        <w:pStyle w:val="ListBullet"/>
      </w:pPr>
      <w:r w:rsidRPr="00730DE4">
        <w:t>Awarded funding to five industry participants through the $10 million Electric Vehicle Charging Infrastructure Co-Fund Scheme to deliver 46 new public fast charging sites across Queensland.</w:t>
      </w:r>
    </w:p>
    <w:p w14:paraId="35C8C9CD" w14:textId="77777777" w:rsidR="00FA2FF9" w:rsidRPr="00730DE4" w:rsidRDefault="00FA2FF9" w:rsidP="006779A3">
      <w:pPr>
        <w:pStyle w:val="ListBullet"/>
      </w:pPr>
      <w:r w:rsidRPr="00730DE4">
        <w:t>Continued delivery of the Queensland Electric Super Highway (QESH), a comprehensive fast-charging infrastructure network that continues to contribute to emission reduction with almost 200,000 individual charging sessions recorded as at 30 June 2024</w:t>
      </w:r>
    </w:p>
    <w:p w14:paraId="72F27ECF" w14:textId="77777777" w:rsidR="00FA2FF9" w:rsidRPr="00730DE4" w:rsidRDefault="00FA2FF9" w:rsidP="006779A3">
      <w:pPr>
        <w:pStyle w:val="ListBullet"/>
      </w:pPr>
      <w:r w:rsidRPr="00730DE4">
        <w:t>Queensland Rail delivered approximately 8000 weekly Citytrain services in South East Queensland, and a further 62 weekly travel and tourism services regionally.</w:t>
      </w:r>
    </w:p>
    <w:p w14:paraId="5BF7B406" w14:textId="77777777" w:rsidR="00FA2FF9" w:rsidRPr="00730DE4" w:rsidRDefault="00FA2FF9" w:rsidP="006779A3">
      <w:pPr>
        <w:pStyle w:val="ListBullet"/>
      </w:pPr>
      <w:r w:rsidRPr="00730DE4">
        <w:t>Continued to provide seven government-subsidised regulated air routes in Queensland, guaranteeing an appropriate level of service to 23 regional communities totalling over 150,000 passengers travelled in 2023–24.</w:t>
      </w:r>
    </w:p>
    <w:p w14:paraId="48C22884" w14:textId="77777777" w:rsidR="00FA2FF9" w:rsidRPr="00730DE4" w:rsidRDefault="00FA2FF9" w:rsidP="006779A3">
      <w:pPr>
        <w:pStyle w:val="ListBullet"/>
      </w:pPr>
      <w:r w:rsidRPr="00730DE4">
        <w:t>Implemented a permanent regional air service change to include an additional Gulf Route service two days a week.</w:t>
      </w:r>
    </w:p>
    <w:p w14:paraId="5B991DBA" w14:textId="77777777" w:rsidR="00FA2FF9" w:rsidRPr="00730DE4" w:rsidRDefault="00FA2FF9" w:rsidP="006779A3">
      <w:pPr>
        <w:pStyle w:val="ListBullet"/>
      </w:pPr>
      <w:r w:rsidRPr="00730DE4">
        <w:t xml:space="preserve">Released the </w:t>
      </w:r>
      <w:r w:rsidRPr="00730DE4">
        <w:rPr>
          <w:rStyle w:val="Emphasis"/>
        </w:rPr>
        <w:t>Queensland Cycling Action Plan 2023–2025,</w:t>
      </w:r>
      <w:r w:rsidRPr="00730DE4">
        <w:t xml:space="preserve"> outlining 49 practical actions to be implemented that continue to encourage and enable more bike riding in our communities.</w:t>
      </w:r>
    </w:p>
    <w:p w14:paraId="1C16573E" w14:textId="77777777" w:rsidR="00FA2FF9" w:rsidRPr="00730DE4" w:rsidRDefault="00FA2FF9" w:rsidP="006779A3">
      <w:pPr>
        <w:pStyle w:val="ListBullet"/>
      </w:pPr>
      <w:r w:rsidRPr="00730DE4">
        <w:t>Spent $454 million repairing state-controlled roads following natural disasters.</w:t>
      </w:r>
    </w:p>
    <w:p w14:paraId="201DA3DE" w14:textId="77777777" w:rsidR="00FA2FF9" w:rsidRPr="00730DE4" w:rsidRDefault="00FA2FF9" w:rsidP="006779A3">
      <w:pPr>
        <w:pStyle w:val="ListBullet"/>
      </w:pPr>
      <w:r w:rsidRPr="00730DE4">
        <w:t>Continued construction of the Coomera Connector, expected to be progressively open to traffic from late-2025, which will help reduce M1 congestion by providing an alternative route for northern Gold Coast communities.</w:t>
      </w:r>
    </w:p>
    <w:p w14:paraId="2C2433EC" w14:textId="77777777" w:rsidR="00FA2FF9" w:rsidRPr="00730DE4" w:rsidRDefault="00FA2FF9" w:rsidP="006779A3">
      <w:pPr>
        <w:pStyle w:val="ListBullet"/>
      </w:pPr>
      <w:r w:rsidRPr="00730DE4">
        <w:t>Commenced on Rockhampton Ring Road Package One, focusing on the Bruce Highway/Rockhampton–Yeppoon Road intersection.</w:t>
      </w:r>
    </w:p>
    <w:p w14:paraId="03E8A806" w14:textId="77777777" w:rsidR="00FA2FF9" w:rsidRPr="00730DE4" w:rsidRDefault="00FA2FF9" w:rsidP="006779A3">
      <w:pPr>
        <w:pStyle w:val="ListBullet"/>
      </w:pPr>
      <w:r w:rsidRPr="00730DE4">
        <w:t>Continued upgrade to the M1 between Brisbane and southern Gold Coast, with two of the four packages of the M1 North Eight Mile Plains to Daisy Hill upgrade now complete.</w:t>
      </w:r>
    </w:p>
    <w:p w14:paraId="0F82A601" w14:textId="77777777" w:rsidR="00FA2FF9" w:rsidRPr="00730DE4" w:rsidRDefault="00FA2FF9" w:rsidP="006779A3">
      <w:pPr>
        <w:pStyle w:val="ListBullet"/>
      </w:pPr>
      <w:r w:rsidRPr="00730DE4">
        <w:t>Finishing works underway on the 26 kilometre Bruce Highway Upgrade–Cooroy to Curra, Section D bypass of Gympie, with three new major interchanges and 43 bridges due to be completed in late-2024.</w:t>
      </w:r>
    </w:p>
    <w:p w14:paraId="22273434" w14:textId="77777777" w:rsidR="00FA2FF9" w:rsidRPr="00730DE4" w:rsidRDefault="00FA2FF9" w:rsidP="006779A3">
      <w:pPr>
        <w:pStyle w:val="ListBullet"/>
      </w:pPr>
      <w:r w:rsidRPr="00730DE4">
        <w:t>Completed major construction in April 2024 for the Bruce Highway between Caboolture–Bribie Island Road and Steve Irwin Way, which featured widening 11 kilometres of road from four to six lanes and upgrading ten bridges.</w:t>
      </w:r>
    </w:p>
    <w:p w14:paraId="550A7F70" w14:textId="77777777" w:rsidR="00FA2FF9" w:rsidRPr="00730DE4" w:rsidRDefault="00FA2FF9" w:rsidP="00A82095">
      <w:pPr>
        <w:pStyle w:val="ListBullet"/>
      </w:pPr>
      <w:r w:rsidRPr="00730DE4">
        <w:t>Continued construction on the new Walkerston Bypass two-lane rural highway connecting the Peak Downs Highway to the Mackay Ring Road, providing a more efficient link from the northern Bowen Basis to Mackay.</w:t>
      </w:r>
    </w:p>
    <w:p w14:paraId="26E9C0B6" w14:textId="7E3D443F" w:rsidR="00464141" w:rsidRPr="00730DE4" w:rsidRDefault="00464141">
      <w:pPr>
        <w:suppressAutoHyphens w:val="0"/>
        <w:spacing w:before="0" w:line="259" w:lineRule="auto"/>
        <w:rPr>
          <w:lang w:eastAsia="en-AU"/>
        </w:rPr>
      </w:pPr>
      <w:r w:rsidRPr="00730DE4">
        <w:br w:type="page"/>
      </w:r>
    </w:p>
    <w:p w14:paraId="0EC7CFA5" w14:textId="77777777" w:rsidR="00FA2FF9" w:rsidRPr="00730DE4" w:rsidRDefault="00FA2FF9" w:rsidP="002B7001">
      <w:pPr>
        <w:pStyle w:val="Heading2"/>
        <w:rPr>
          <w:lang w:val="en-US"/>
        </w:rPr>
      </w:pPr>
      <w:bookmarkStart w:id="398" w:name="_Toc180490568"/>
      <w:bookmarkStart w:id="399" w:name="_Toc180491601"/>
      <w:r w:rsidRPr="00730DE4">
        <w:rPr>
          <w:lang w:val="en-US"/>
        </w:rPr>
        <w:t>Planning best value investments for our future</w:t>
      </w:r>
      <w:bookmarkEnd w:id="398"/>
      <w:bookmarkEnd w:id="399"/>
    </w:p>
    <w:p w14:paraId="2275AC42" w14:textId="77777777" w:rsidR="00FA2FF9" w:rsidRPr="00730DE4" w:rsidRDefault="00FA2FF9" w:rsidP="002B7001">
      <w:pPr>
        <w:pStyle w:val="Heading3"/>
        <w:rPr>
          <w:lang w:val="en-US"/>
        </w:rPr>
      </w:pPr>
      <w:bookmarkStart w:id="400" w:name="_Toc180487363"/>
      <w:bookmarkStart w:id="401" w:name="_Toc180490569"/>
      <w:bookmarkStart w:id="402" w:name="_Toc180491602"/>
      <w:r w:rsidRPr="00730DE4">
        <w:rPr>
          <w:lang w:val="en-US"/>
        </w:rPr>
        <w:t>Regional Transport Plans</w:t>
      </w:r>
      <w:bookmarkEnd w:id="400"/>
      <w:bookmarkEnd w:id="401"/>
      <w:bookmarkEnd w:id="402"/>
    </w:p>
    <w:p w14:paraId="175E261D" w14:textId="77777777" w:rsidR="00FA2FF9" w:rsidRPr="00730DE4" w:rsidRDefault="00FA2FF9" w:rsidP="00515DDC">
      <w:pPr>
        <w:rPr>
          <w:lang w:val="en-US"/>
        </w:rPr>
      </w:pPr>
      <w:r w:rsidRPr="00730DE4">
        <w:rPr>
          <w:lang w:val="en-US"/>
        </w:rPr>
        <w:t>Queensland’s suite of RTPs covers the entire state and support TMR's vision of ‘creating a single integrated network accessible to everyone’. The RTPs consider all modes of transport, regional demographic and industry changes, local government land use, and transport planning.</w:t>
      </w:r>
    </w:p>
    <w:p w14:paraId="11E8DA9D" w14:textId="77777777" w:rsidR="00FA2FF9" w:rsidRPr="00730DE4" w:rsidRDefault="00FA2FF9" w:rsidP="00515DDC">
      <w:pPr>
        <w:rPr>
          <w:lang w:val="en-US"/>
        </w:rPr>
      </w:pPr>
      <w:r w:rsidRPr="00730DE4">
        <w:rPr>
          <w:lang w:val="en-US"/>
        </w:rPr>
        <w:t>RTPs define priorities for developing Queensland’s transport system and outline the planning actions that will guide future investment over a 15-year horizon in a way that supports regional goals for the community, economy, and environment.</w:t>
      </w:r>
    </w:p>
    <w:p w14:paraId="2D1775BB" w14:textId="77777777" w:rsidR="00FA2FF9" w:rsidRPr="00730DE4" w:rsidRDefault="00FA2FF9" w:rsidP="00515DDC">
      <w:pPr>
        <w:rPr>
          <w:lang w:val="en-US"/>
        </w:rPr>
      </w:pPr>
      <w:r w:rsidRPr="00730DE4">
        <w:rPr>
          <w:lang w:val="en-US"/>
        </w:rPr>
        <w:t>TMR continues to progress implementation of all RTPs across the state.</w:t>
      </w:r>
    </w:p>
    <w:p w14:paraId="780C3F5A" w14:textId="77777777" w:rsidR="00FA2FF9" w:rsidRPr="00730DE4" w:rsidRDefault="00FA2FF9" w:rsidP="00515DDC">
      <w:pPr>
        <w:rPr>
          <w:lang w:val="en-US"/>
        </w:rPr>
      </w:pPr>
      <w:r w:rsidRPr="00730DE4">
        <w:rPr>
          <w:lang w:val="en-US"/>
        </w:rPr>
        <w:t xml:space="preserve">TMR commenced a program to review and update the RTPs in late-2023 starting with a ‘refresh’ of the South East Queensland RTPs in response to the review and update of </w:t>
      </w:r>
      <w:r w:rsidRPr="00730DE4">
        <w:rPr>
          <w:rStyle w:val="Emphasis"/>
        </w:rPr>
        <w:t>ShapingSEQ 2023</w:t>
      </w:r>
      <w:r w:rsidRPr="00730DE4">
        <w:rPr>
          <w:lang w:val="en-US"/>
        </w:rPr>
        <w:t>, the South East Queensland Regional Plan.</w:t>
      </w:r>
    </w:p>
    <w:p w14:paraId="08E75749" w14:textId="77777777" w:rsidR="00FA2FF9" w:rsidRPr="00730DE4" w:rsidRDefault="00FA2FF9" w:rsidP="00515DDC">
      <w:pPr>
        <w:pStyle w:val="MessageHeader"/>
      </w:pPr>
      <w:r w:rsidRPr="00730DE4">
        <w:t xml:space="preserve">For more information </w:t>
      </w:r>
      <w:r w:rsidRPr="00730DE4">
        <w:br/>
      </w:r>
      <w:hyperlink r:id="rId21" w:history="1">
        <w:r w:rsidRPr="00730DE4">
          <w:rPr>
            <w:rStyle w:val="Hyperlink"/>
          </w:rPr>
          <w:t>https://www.tmr.qld.gov.au/About-us/Corporate-information/Publications/Regional-Transport-Plans</w:t>
        </w:r>
      </w:hyperlink>
    </w:p>
    <w:p w14:paraId="2E0C3B1A" w14:textId="29367767" w:rsidR="00FA2FF9" w:rsidRPr="00730DE4" w:rsidRDefault="00FA2FF9" w:rsidP="002B7001">
      <w:pPr>
        <w:pStyle w:val="Heading3"/>
      </w:pPr>
      <w:bookmarkStart w:id="403" w:name="_Toc180487364"/>
      <w:bookmarkStart w:id="404" w:name="_Toc180490570"/>
      <w:bookmarkStart w:id="405" w:name="_Toc180491603"/>
      <w:r w:rsidRPr="00730DE4">
        <w:t xml:space="preserve">Queensland Transport and Roads </w:t>
      </w:r>
      <w:r w:rsidR="006D62FC" w:rsidRPr="00730DE4">
        <w:br/>
      </w:r>
      <w:r w:rsidRPr="00730DE4">
        <w:t>Investment Program</w:t>
      </w:r>
      <w:bookmarkEnd w:id="403"/>
      <w:bookmarkEnd w:id="404"/>
      <w:bookmarkEnd w:id="405"/>
    </w:p>
    <w:p w14:paraId="26441509" w14:textId="77777777" w:rsidR="00FA2FF9" w:rsidRPr="00730DE4" w:rsidRDefault="00FA2FF9" w:rsidP="00515DDC">
      <w:r w:rsidRPr="00730DE4">
        <w:t>QTRIP outlines current and planned investment in transport infrastructure across Queensland over the next four years, demonstrating our continued dedication to delivering for Queensland. QTRIP investment spans road, rail, maritime, public transport, and active transport infrastructure on freight, commuter, and recreational networks.</w:t>
      </w:r>
    </w:p>
    <w:p w14:paraId="1CE7C3C7" w14:textId="77777777" w:rsidR="00FA2FF9" w:rsidRPr="00730DE4" w:rsidRDefault="00FA2FF9" w:rsidP="00515DDC">
      <w:r w:rsidRPr="00730DE4">
        <w:t>The $37.4 billion QTRIP 2024–25 to 2027–28 demonstrates TMR’s continued dedication to delivering a single integrated network accessible to everyone. The program outlines a steady and sustainable pipeline of road and transport infrastructure which will support an estimated average of 28,000 direct jobs over the next four years.</w:t>
      </w:r>
    </w:p>
    <w:p w14:paraId="3C094906" w14:textId="77777777" w:rsidR="00EA1647" w:rsidRDefault="00EA1647" w:rsidP="00515DDC">
      <w:r>
        <w:br w:type="page"/>
      </w:r>
    </w:p>
    <w:p w14:paraId="024E640A" w14:textId="5DE8837D" w:rsidR="00FA2FF9" w:rsidRPr="00730DE4" w:rsidRDefault="00FA2FF9" w:rsidP="00515DDC">
      <w:r w:rsidRPr="00730DE4">
        <w:t>TMR will continue to deliver priority projects across the state, including:</w:t>
      </w:r>
    </w:p>
    <w:p w14:paraId="146096B2" w14:textId="77777777" w:rsidR="00FA2FF9" w:rsidRPr="00730DE4" w:rsidRDefault="00FA2FF9" w:rsidP="00A4361C">
      <w:pPr>
        <w:pStyle w:val="ListBullet"/>
      </w:pPr>
      <w:r w:rsidRPr="00730DE4">
        <w:t>QTMP</w:t>
      </w:r>
    </w:p>
    <w:p w14:paraId="5881F3F2" w14:textId="77777777" w:rsidR="00FA2FF9" w:rsidRPr="00730DE4" w:rsidRDefault="00FA2FF9" w:rsidP="00A4361C">
      <w:pPr>
        <w:pStyle w:val="ListBullet"/>
      </w:pPr>
      <w:r w:rsidRPr="00730DE4">
        <w:t>Coomera Connector (Stage One), Coomera to Nerang</w:t>
      </w:r>
    </w:p>
    <w:p w14:paraId="0C786E1F" w14:textId="77777777" w:rsidR="00FA2FF9" w:rsidRPr="00730DE4" w:rsidRDefault="00FA2FF9" w:rsidP="00A4361C">
      <w:pPr>
        <w:pStyle w:val="ListBullet"/>
      </w:pPr>
      <w:r w:rsidRPr="00730DE4">
        <w:t>Logan and Gold Coast Faster Rail</w:t>
      </w:r>
    </w:p>
    <w:p w14:paraId="032561A0" w14:textId="77777777" w:rsidR="00FA2FF9" w:rsidRPr="00730DE4" w:rsidRDefault="00FA2FF9" w:rsidP="00A4361C">
      <w:pPr>
        <w:pStyle w:val="ListBullet"/>
      </w:pPr>
      <w:r w:rsidRPr="00730DE4">
        <w:t>Gold Coast Light Rail (Stage Three), Broadbeach South to Burleigh Heads</w:t>
      </w:r>
    </w:p>
    <w:p w14:paraId="4C1ED9BE" w14:textId="77777777" w:rsidR="00FA2FF9" w:rsidRPr="00730DE4" w:rsidRDefault="00FA2FF9" w:rsidP="00A4361C">
      <w:pPr>
        <w:pStyle w:val="ListBullet"/>
      </w:pPr>
      <w:r w:rsidRPr="00730DE4">
        <w:t>Rockhampton Ring Road</w:t>
      </w:r>
    </w:p>
    <w:p w14:paraId="569424B7" w14:textId="77777777" w:rsidR="00FA2FF9" w:rsidRPr="00730DE4" w:rsidRDefault="00FA2FF9" w:rsidP="00A4361C">
      <w:pPr>
        <w:pStyle w:val="ListBullet"/>
      </w:pPr>
      <w:r w:rsidRPr="00730DE4">
        <w:t>New Gold Coast Stations (Pimpama, Hope Island and Merrimac)</w:t>
      </w:r>
    </w:p>
    <w:p w14:paraId="0C517765" w14:textId="77777777" w:rsidR="00FA2FF9" w:rsidRPr="00730DE4" w:rsidRDefault="00FA2FF9" w:rsidP="00A4361C">
      <w:pPr>
        <w:pStyle w:val="ListBullet"/>
      </w:pPr>
      <w:r w:rsidRPr="00730DE4">
        <w:t>Pacific Motorway, Varsity Lakes (Exit 85) to Tugun (Exit 95) upgrade</w:t>
      </w:r>
    </w:p>
    <w:p w14:paraId="2C5E1B49" w14:textId="77777777" w:rsidR="00FA2FF9" w:rsidRPr="00730DE4" w:rsidRDefault="00FA2FF9" w:rsidP="00A4361C">
      <w:pPr>
        <w:pStyle w:val="ListBullet"/>
      </w:pPr>
      <w:r w:rsidRPr="00730DE4">
        <w:t>Beerburrum to Nambour Rail Upgrade (Stage One)</w:t>
      </w:r>
    </w:p>
    <w:p w14:paraId="31497ED6" w14:textId="77777777" w:rsidR="00FA2FF9" w:rsidRPr="00730DE4" w:rsidRDefault="00FA2FF9" w:rsidP="00A4361C">
      <w:pPr>
        <w:pStyle w:val="ListBullet"/>
      </w:pPr>
      <w:r w:rsidRPr="00730DE4">
        <w:t>Direct Sunshine Coast Rail Line (Stage One)</w:t>
      </w:r>
    </w:p>
    <w:p w14:paraId="6B939DDF" w14:textId="77777777" w:rsidR="00FA2FF9" w:rsidRPr="00730DE4" w:rsidRDefault="00FA2FF9" w:rsidP="00A4361C">
      <w:pPr>
        <w:pStyle w:val="ListBullet"/>
      </w:pPr>
      <w:r w:rsidRPr="00730DE4">
        <w:t>Bruce Highway (Cooroy to Curra) Section D</w:t>
      </w:r>
    </w:p>
    <w:p w14:paraId="191C74D1" w14:textId="77777777" w:rsidR="00FA2FF9" w:rsidRPr="00730DE4" w:rsidRDefault="00FA2FF9" w:rsidP="00A4361C">
      <w:pPr>
        <w:pStyle w:val="ListBullet"/>
      </w:pPr>
      <w:r w:rsidRPr="00730DE4">
        <w:t>Pacific Motorway, Eight Mile Plains to Daisy Hill upgrade</w:t>
      </w:r>
    </w:p>
    <w:p w14:paraId="73BA32B1" w14:textId="77777777" w:rsidR="00FA2FF9" w:rsidRPr="00730DE4" w:rsidRDefault="00FA2FF9" w:rsidP="00A4361C">
      <w:pPr>
        <w:pStyle w:val="ListBullet"/>
      </w:pPr>
      <w:r w:rsidRPr="00730DE4">
        <w:t>NGR, ETCS fitment, install new signalling</w:t>
      </w:r>
    </w:p>
    <w:p w14:paraId="4937960E" w14:textId="77777777" w:rsidR="00FA2FF9" w:rsidRPr="00730DE4" w:rsidRDefault="00FA2FF9" w:rsidP="00A4361C">
      <w:pPr>
        <w:pStyle w:val="ListBullet"/>
      </w:pPr>
      <w:r w:rsidRPr="00730DE4">
        <w:t>NGR, Automatic Train Operation and Platform Screen Doors fitment</w:t>
      </w:r>
    </w:p>
    <w:p w14:paraId="74846456" w14:textId="77777777" w:rsidR="00FA2FF9" w:rsidRPr="00730DE4" w:rsidRDefault="00FA2FF9" w:rsidP="00A4361C">
      <w:pPr>
        <w:pStyle w:val="ListBullet"/>
      </w:pPr>
      <w:r w:rsidRPr="00730DE4">
        <w:t>Bruce Highway (Brisbane–Gympie), Dohles Rocks Road to Anzac Avenue upgrade (Stage One)</w:t>
      </w:r>
    </w:p>
    <w:p w14:paraId="160A1B80" w14:textId="77777777" w:rsidR="00FA2FF9" w:rsidRPr="00730DE4" w:rsidRDefault="00FA2FF9" w:rsidP="00A4361C">
      <w:pPr>
        <w:pStyle w:val="ListBullet"/>
      </w:pPr>
      <w:r w:rsidRPr="00730DE4">
        <w:t>Centenary Bridge Upgrade.</w:t>
      </w:r>
    </w:p>
    <w:p w14:paraId="1CCDB27A" w14:textId="77777777" w:rsidR="00FA2FF9" w:rsidRPr="00730DE4" w:rsidRDefault="00FA2FF9" w:rsidP="00515DDC">
      <w:r w:rsidRPr="00730DE4">
        <w:t>TMR also continues to prepare for Brisbane 2032 Olympic and Paralympic Games, recognising the enormous opportunities it presents for innovation, economic growth, and global exposure. TMR’s ongoing efforts to build and improve transport infrastructure will ensure that Queensland is ready to provide world-class services to athletes, visitors, and spectators.</w:t>
      </w:r>
    </w:p>
    <w:p w14:paraId="1A44B5E9" w14:textId="4658ECBE" w:rsidR="00FA2FF9" w:rsidRPr="00730DE4" w:rsidRDefault="00FA2FF9" w:rsidP="002B7001">
      <w:pPr>
        <w:pStyle w:val="Heading3"/>
      </w:pPr>
      <w:bookmarkStart w:id="406" w:name="_Toc180487365"/>
      <w:bookmarkStart w:id="407" w:name="_Toc180490571"/>
      <w:bookmarkStart w:id="408" w:name="_Toc180491604"/>
      <w:r w:rsidRPr="00730DE4">
        <w:t xml:space="preserve">Creating Better Connections </w:t>
      </w:r>
      <w:r w:rsidR="001155ED" w:rsidRPr="00730DE4">
        <w:br/>
      </w:r>
      <w:r w:rsidRPr="00730DE4">
        <w:t>for Queenslanders</w:t>
      </w:r>
      <w:bookmarkEnd w:id="406"/>
      <w:bookmarkEnd w:id="407"/>
      <w:bookmarkEnd w:id="408"/>
    </w:p>
    <w:p w14:paraId="590358FA" w14:textId="77777777" w:rsidR="00FA2FF9" w:rsidRPr="00730DE4" w:rsidRDefault="00FA2FF9" w:rsidP="00515DDC">
      <w:r w:rsidRPr="00730DE4">
        <w:t>As Queensland’s population continues to grow through interstate migration, and preparations to host the Brisbane 2032 Olympic and Paralympic Games continue, building and planning a reliable, safe, and accessible passenger transport system across the state is critical.</w:t>
      </w:r>
    </w:p>
    <w:p w14:paraId="70794489" w14:textId="77777777" w:rsidR="00FA2FF9" w:rsidRPr="00730DE4" w:rsidRDefault="00FA2FF9" w:rsidP="00515DDC">
      <w:r w:rsidRPr="00730DE4">
        <w:rPr>
          <w:rStyle w:val="Emphasis"/>
        </w:rPr>
        <w:t>Creating Better Connections for Queenslanders</w:t>
      </w:r>
      <w:r w:rsidRPr="00730DE4">
        <w:t xml:space="preserve"> details TMR’s vision for the future of passenger transport and its commitment to deliver a transport network that meets the needs of our customers.</w:t>
      </w:r>
    </w:p>
    <w:p w14:paraId="7747342D" w14:textId="77777777" w:rsidR="00FA2FF9" w:rsidRPr="00730DE4" w:rsidRDefault="00FA2FF9" w:rsidP="00515DDC">
      <w:r w:rsidRPr="00730DE4">
        <w:t>With rail infrastructure projects including CRR, LGC, Beerburrum to Nambour Rail Upgrade, and Direct Sunshine Coast Rail Line continuing to shape our network; Smart Ticketing rolling out a world-class ticketing system across the state; and emerging technologies changing the way services are delivered to customers, the ten-year plan will help leverage the opportunities these changes will create to deliver an exciting passenger transport future for Queenslanders.</w:t>
      </w:r>
    </w:p>
    <w:p w14:paraId="01A99EA8" w14:textId="77777777" w:rsidR="00FA2FF9" w:rsidRPr="00730DE4" w:rsidRDefault="00FA2FF9" w:rsidP="00515DDC">
      <w:r w:rsidRPr="00730DE4">
        <w:t xml:space="preserve">Aligned to TMR’s 30-year-vision set by the </w:t>
      </w:r>
      <w:r w:rsidRPr="00730DE4">
        <w:rPr>
          <w:rStyle w:val="Emphasis"/>
        </w:rPr>
        <w:t>Queensland Transport Strategy</w:t>
      </w:r>
      <w:r w:rsidRPr="00730DE4">
        <w:t xml:space="preserve">, </w:t>
      </w:r>
      <w:r w:rsidRPr="00730DE4">
        <w:rPr>
          <w:rStyle w:val="Emphasis"/>
        </w:rPr>
        <w:t>Creating Better Connections for Queenslanders</w:t>
      </w:r>
      <w:r w:rsidRPr="00730DE4">
        <w:t xml:space="preserve"> was developed in collaboration with key stakeholders including customers, local councils, delivery partners, transport advocates, and the Local Government Association of Queensland.</w:t>
      </w:r>
    </w:p>
    <w:p w14:paraId="633853B1" w14:textId="77777777" w:rsidR="00FA2FF9" w:rsidRPr="00730DE4" w:rsidRDefault="00FA2FF9" w:rsidP="00515DDC">
      <w:r w:rsidRPr="00730DE4">
        <w:t>The plan identifies five key priorities and 20 initiatives for the next ten years. The key priorities are:</w:t>
      </w:r>
    </w:p>
    <w:p w14:paraId="02EFA424" w14:textId="77777777" w:rsidR="00FA2FF9" w:rsidRPr="00730DE4" w:rsidRDefault="00FA2FF9" w:rsidP="00515DDC">
      <w:pPr>
        <w:pStyle w:val="ListBullet"/>
      </w:pPr>
      <w:r w:rsidRPr="00730DE4">
        <w:t>reliable and safe services</w:t>
      </w:r>
    </w:p>
    <w:p w14:paraId="3E78BB2A" w14:textId="77777777" w:rsidR="00FA2FF9" w:rsidRPr="00730DE4" w:rsidRDefault="00FA2FF9" w:rsidP="00515DDC">
      <w:pPr>
        <w:pStyle w:val="ListBullet"/>
      </w:pPr>
      <w:r w:rsidRPr="00730DE4">
        <w:t>responsive to changing community needs</w:t>
      </w:r>
    </w:p>
    <w:p w14:paraId="38B11C0B" w14:textId="77777777" w:rsidR="00FA2FF9" w:rsidRPr="00730DE4" w:rsidRDefault="00FA2FF9" w:rsidP="00515DDC">
      <w:pPr>
        <w:pStyle w:val="ListBullet"/>
      </w:pPr>
      <w:r w:rsidRPr="00730DE4">
        <w:t>seamless end to end journeys</w:t>
      </w:r>
    </w:p>
    <w:p w14:paraId="7D8D9E0B" w14:textId="77777777" w:rsidR="00FA2FF9" w:rsidRPr="00730DE4" w:rsidRDefault="00FA2FF9" w:rsidP="00515DDC">
      <w:pPr>
        <w:pStyle w:val="ListBullet"/>
      </w:pPr>
      <w:r w:rsidRPr="00730DE4">
        <w:t>easy and accessible</w:t>
      </w:r>
    </w:p>
    <w:p w14:paraId="3CF51A36" w14:textId="77777777" w:rsidR="00FA2FF9" w:rsidRPr="00730DE4" w:rsidRDefault="00FA2FF9" w:rsidP="00515DDC">
      <w:pPr>
        <w:pStyle w:val="ListBullet"/>
      </w:pPr>
      <w:r w:rsidRPr="00730DE4">
        <w:t>environmentally sustainable.</w:t>
      </w:r>
    </w:p>
    <w:p w14:paraId="21FB5A2B" w14:textId="77777777" w:rsidR="00FA2FF9" w:rsidRPr="00730DE4" w:rsidRDefault="00FA2FF9" w:rsidP="00515DDC">
      <w:r w:rsidRPr="00730DE4">
        <w:t>Progress is being made across all five key priorities of the plan to ensure passenger transport in Queensland delivers the outcomes our communities need.</w:t>
      </w:r>
    </w:p>
    <w:p w14:paraId="42BEE136" w14:textId="77777777" w:rsidR="00FA2FF9" w:rsidRPr="00730DE4" w:rsidRDefault="00FA2FF9" w:rsidP="006D62FC">
      <w:pPr>
        <w:pStyle w:val="MessageHeader"/>
        <w:rPr>
          <w:rStyle w:val="Hyperlink"/>
        </w:rPr>
      </w:pPr>
      <w:r w:rsidRPr="00730DE4">
        <w:t xml:space="preserve">For more information </w:t>
      </w:r>
      <w:r w:rsidRPr="00730DE4">
        <w:br/>
      </w:r>
      <w:hyperlink r:id="rId22" w:history="1">
        <w:r w:rsidRPr="00730DE4">
          <w:rPr>
            <w:rStyle w:val="Hyperlink"/>
          </w:rPr>
          <w:t>https://translink.com.au/about-translink/projects-and-initiatives/creating-better-connections</w:t>
        </w:r>
      </w:hyperlink>
    </w:p>
    <w:p w14:paraId="2FD2BA4C" w14:textId="77777777" w:rsidR="00FA2FF9" w:rsidRPr="00730DE4" w:rsidRDefault="00FA2FF9" w:rsidP="002B7001">
      <w:pPr>
        <w:pStyle w:val="Heading3"/>
      </w:pPr>
      <w:bookmarkStart w:id="409" w:name="_Toc180487366"/>
      <w:bookmarkStart w:id="410" w:name="_Toc180490572"/>
      <w:bookmarkStart w:id="411" w:name="_Toc180491605"/>
      <w:r w:rsidRPr="00730DE4">
        <w:t>Maritime Infrastructure Investment Program</w:t>
      </w:r>
      <w:bookmarkEnd w:id="409"/>
      <w:bookmarkEnd w:id="410"/>
      <w:bookmarkEnd w:id="411"/>
    </w:p>
    <w:p w14:paraId="4241BBBE" w14:textId="77777777" w:rsidR="00FA2FF9" w:rsidRPr="00730DE4" w:rsidRDefault="00FA2FF9" w:rsidP="00515DDC">
      <w:r w:rsidRPr="00730DE4">
        <w:t>The Maritime Infrastructure Investment Program provides for the prioritisation and delivery of MSQ’s water and land-based infrastructure and assets, providing safe, resilient, and sustainable maritime infrastructure.</w:t>
      </w:r>
    </w:p>
    <w:p w14:paraId="6ECC4276" w14:textId="77777777" w:rsidR="00FA2FF9" w:rsidRPr="00730DE4" w:rsidRDefault="00FA2FF9" w:rsidP="00515DDC">
      <w:r w:rsidRPr="00730DE4">
        <w:t>MSQ continues to deliver new and upgraded maritime infrastructure around the state. Key projects completed in 2023–24 included:</w:t>
      </w:r>
    </w:p>
    <w:p w14:paraId="2D1E8BED" w14:textId="77777777" w:rsidR="00FA2FF9" w:rsidRPr="00730DE4" w:rsidRDefault="00FA2FF9" w:rsidP="00515DDC">
      <w:pPr>
        <w:pStyle w:val="ListBullet"/>
      </w:pPr>
      <w:r w:rsidRPr="00730DE4">
        <w:t>new boat launching facility at Casuarina Creek, near Port Alma</w:t>
      </w:r>
    </w:p>
    <w:p w14:paraId="07EABBAC" w14:textId="77777777" w:rsidR="00FA2FF9" w:rsidRPr="00730DE4" w:rsidRDefault="00FA2FF9" w:rsidP="00515DDC">
      <w:pPr>
        <w:pStyle w:val="ListBullet"/>
      </w:pPr>
      <w:r w:rsidRPr="00730DE4">
        <w:t>improved recreational boating facilities in Rosslyn Bay Boat Harbour</w:t>
      </w:r>
    </w:p>
    <w:p w14:paraId="532E6E47" w14:textId="77777777" w:rsidR="00FA2FF9" w:rsidRPr="00730DE4" w:rsidRDefault="00FA2FF9" w:rsidP="00515DDC">
      <w:pPr>
        <w:pStyle w:val="ListBullet"/>
      </w:pPr>
      <w:r w:rsidRPr="00730DE4">
        <w:t>Yorkeys Knob boat ramp and floating walkways</w:t>
      </w:r>
    </w:p>
    <w:p w14:paraId="37498DDC" w14:textId="77777777" w:rsidR="00FA2FF9" w:rsidRPr="00730DE4" w:rsidRDefault="00FA2FF9" w:rsidP="00515DDC">
      <w:pPr>
        <w:pStyle w:val="ListBullet"/>
      </w:pPr>
      <w:r w:rsidRPr="00730DE4">
        <w:t>Outrigger Island (Minyama) boat ramp and floating walkway.</w:t>
      </w:r>
    </w:p>
    <w:p w14:paraId="1BD3F243" w14:textId="77777777" w:rsidR="00FA2FF9" w:rsidRPr="00730DE4" w:rsidRDefault="00FA2FF9" w:rsidP="00515DDC">
      <w:r w:rsidRPr="00730DE4">
        <w:t>MSQ is also progressing the $40 million program of marine infrastructure upgrades in the Torres Strait from 2023–24 to 2027–28. MSQ has been working with the three local councils in the Torres Strait and Northern Peninsula region to identify and action urgent priorities for repairs to existing marine facilities.</w:t>
      </w:r>
    </w:p>
    <w:p w14:paraId="2D01B6CD" w14:textId="77777777" w:rsidR="00FA2FF9" w:rsidRPr="00730DE4" w:rsidRDefault="00FA2FF9" w:rsidP="00515DDC">
      <w:r w:rsidRPr="00730DE4">
        <w:t>Extensive works have also progressed in response to tropical cyclones to repair damaged boating infrastructure, navigational aids, and communications across Far North and Northern Queensland.</w:t>
      </w:r>
    </w:p>
    <w:p w14:paraId="35CEB4BC" w14:textId="225E7FB0" w:rsidR="00FA2FF9" w:rsidRPr="00730DE4" w:rsidRDefault="00FA2FF9" w:rsidP="002B7001">
      <w:pPr>
        <w:pStyle w:val="Heading3"/>
      </w:pPr>
      <w:bookmarkStart w:id="412" w:name="_Toc180487367"/>
      <w:bookmarkStart w:id="413" w:name="_Toc180490573"/>
      <w:bookmarkStart w:id="414" w:name="_Toc180491606"/>
      <w:r w:rsidRPr="00730DE4">
        <w:t>Brisbane 2032 Olympic and Paralympic Games</w:t>
      </w:r>
      <w:bookmarkEnd w:id="412"/>
      <w:bookmarkEnd w:id="413"/>
      <w:bookmarkEnd w:id="414"/>
    </w:p>
    <w:p w14:paraId="55F8571A" w14:textId="77777777" w:rsidR="00FA2FF9" w:rsidRPr="00730DE4" w:rsidRDefault="00FA2FF9" w:rsidP="00515DDC">
      <w:r w:rsidRPr="00730DE4">
        <w:t>TMR is leading the development of transport strategy to support the Brisbane 2032 Olympic and Paralympic Games.</w:t>
      </w:r>
    </w:p>
    <w:p w14:paraId="3332733D" w14:textId="77777777" w:rsidR="00FA2FF9" w:rsidRPr="00730DE4" w:rsidRDefault="00FA2FF9" w:rsidP="00515DDC">
      <w:r w:rsidRPr="00730DE4">
        <w:t>Key initiatives include:</w:t>
      </w:r>
    </w:p>
    <w:p w14:paraId="317BA921" w14:textId="77777777" w:rsidR="00FA2FF9" w:rsidRPr="00730DE4" w:rsidRDefault="00FA2FF9" w:rsidP="00515DDC">
      <w:pPr>
        <w:pStyle w:val="ListBullet"/>
      </w:pPr>
      <w:r w:rsidRPr="00730DE4">
        <w:t>modelling Games-time travel demands to scope the Brisbane 2032 transport task and identify priority network and service improvements</w:t>
      </w:r>
    </w:p>
    <w:p w14:paraId="701412C7" w14:textId="77777777" w:rsidR="00FA2FF9" w:rsidRPr="00730DE4" w:rsidRDefault="00FA2FF9" w:rsidP="00515DDC">
      <w:pPr>
        <w:pStyle w:val="ListBullet"/>
      </w:pPr>
      <w:r w:rsidRPr="00730DE4">
        <w:t>accelerating network and service upgrades to support urban growth and benefit the Games operations</w:t>
      </w:r>
    </w:p>
    <w:p w14:paraId="4D215A8C" w14:textId="77777777" w:rsidR="00FA2FF9" w:rsidRPr="00730DE4" w:rsidRDefault="00FA2FF9" w:rsidP="00515DDC">
      <w:pPr>
        <w:pStyle w:val="ListBullet"/>
      </w:pPr>
      <w:r w:rsidRPr="00730DE4">
        <w:t>providing input to competition venue planning to embed safe, efficient, and inclusive access</w:t>
      </w:r>
    </w:p>
    <w:p w14:paraId="139B8940" w14:textId="77777777" w:rsidR="00FA2FF9" w:rsidRPr="00730DE4" w:rsidRDefault="00FA2FF9" w:rsidP="00515DDC">
      <w:pPr>
        <w:pStyle w:val="ListBullet"/>
      </w:pPr>
      <w:r w:rsidRPr="00730DE4">
        <w:t>fostering a partnership with local councils, Brisbane 2032 Olympic and Paralympic Games Organising Committee, and public transport operators to establish an effective platform for integrated Games planning</w:t>
      </w:r>
    </w:p>
    <w:p w14:paraId="50ED0E4D" w14:textId="77777777" w:rsidR="00FA2FF9" w:rsidRPr="00730DE4" w:rsidRDefault="00FA2FF9" w:rsidP="00515DDC">
      <w:pPr>
        <w:pStyle w:val="ListBullet"/>
      </w:pPr>
      <w:r w:rsidRPr="00730DE4">
        <w:t>developing web-based databases and geospatial information systems (GIS) to underpin coordinated Games planning with delivery partners</w:t>
      </w:r>
    </w:p>
    <w:p w14:paraId="314A86B3" w14:textId="77777777" w:rsidR="00FA2FF9" w:rsidRPr="00730DE4" w:rsidRDefault="00FA2FF9" w:rsidP="00515DDC">
      <w:pPr>
        <w:pStyle w:val="ListBullet"/>
      </w:pPr>
      <w:r w:rsidRPr="00730DE4">
        <w:t>undertaking supply assessments to inform Games time strategies and operational requirements.</w:t>
      </w:r>
    </w:p>
    <w:p w14:paraId="131E5BFE" w14:textId="4A7FC2BC" w:rsidR="00FA2FF9" w:rsidRPr="00730DE4" w:rsidRDefault="00FA2FF9" w:rsidP="002B7001">
      <w:pPr>
        <w:pStyle w:val="Heading3"/>
      </w:pPr>
      <w:bookmarkStart w:id="415" w:name="_Toc180487368"/>
      <w:bookmarkStart w:id="416" w:name="_Toc180490574"/>
      <w:bookmarkStart w:id="417" w:name="_Toc180491607"/>
      <w:bookmarkStart w:id="418" w:name="_Hlk170829894"/>
      <w:r w:rsidRPr="00730DE4">
        <w:t>Zero Emission Vehicle Strategy and Action Plan</w:t>
      </w:r>
      <w:bookmarkEnd w:id="415"/>
      <w:bookmarkEnd w:id="416"/>
      <w:bookmarkEnd w:id="417"/>
    </w:p>
    <w:bookmarkEnd w:id="418"/>
    <w:p w14:paraId="0EBBE662" w14:textId="77777777" w:rsidR="00FA2FF9" w:rsidRPr="00730DE4" w:rsidRDefault="00FA2FF9" w:rsidP="00F9266A">
      <w:r w:rsidRPr="00730DE4">
        <w:t xml:space="preserve">TMR continued delivery of key projects under </w:t>
      </w:r>
      <w:r w:rsidRPr="00730DE4">
        <w:rPr>
          <w:rStyle w:val="Emphasis"/>
        </w:rPr>
        <w:t>Queensland's Zero Emission Vehicle Strategy 2022–2032</w:t>
      </w:r>
      <w:r w:rsidRPr="00730DE4">
        <w:t xml:space="preserve"> and 2022–24 Action Plan.</w:t>
      </w:r>
    </w:p>
    <w:p w14:paraId="5981FF8A" w14:textId="77777777" w:rsidR="00FA2FF9" w:rsidRPr="00730DE4" w:rsidRDefault="00FA2FF9" w:rsidP="00F9266A">
      <w:r w:rsidRPr="00730DE4">
        <w:t>In July 2023, enhancements were made to the Zero Emission Vehicle Rebate Scheme, placing Queensland as the national leader in providing financial assistance for the purchase of an EV. This action has seen an increase in EV uptake across Queensland, with 46,324 total electric vehicles registered in Queensland as at 30 June 2024.</w:t>
      </w:r>
    </w:p>
    <w:p w14:paraId="6B3524FA" w14:textId="77777777" w:rsidR="00FA2FF9" w:rsidRPr="00730DE4" w:rsidRDefault="00FA2FF9" w:rsidP="00F9266A">
      <w:r w:rsidRPr="00730DE4">
        <w:t>TMR awarded funding to five industry participants through the $10 million Electric Vehicle Charging Infrastructure Co-Fund Scheme, which will deliver 46 new public EV fast charging sites across Queensland. This will result in an investment of at least $24.5 million including industry contributions.</w:t>
      </w:r>
    </w:p>
    <w:p w14:paraId="70D86E79" w14:textId="77777777" w:rsidR="00FA2FF9" w:rsidRPr="00730DE4" w:rsidRDefault="00FA2FF9" w:rsidP="00F9266A">
      <w:pPr>
        <w:pStyle w:val="MessageHeader"/>
      </w:pPr>
      <w:bookmarkStart w:id="419" w:name="_Hlk170889938"/>
      <w:r w:rsidRPr="00730DE4">
        <w:t xml:space="preserve">For more information </w:t>
      </w:r>
      <w:bookmarkEnd w:id="419"/>
      <w:r w:rsidRPr="00730DE4">
        <w:br/>
      </w:r>
      <w:hyperlink r:id="rId23" w:history="1">
        <w:r w:rsidRPr="00730DE4">
          <w:rPr>
            <w:rStyle w:val="Hyperlink"/>
          </w:rPr>
          <w:t>https://www.qld.gov.au/transport/projects/electricvehicles</w:t>
        </w:r>
      </w:hyperlink>
    </w:p>
    <w:p w14:paraId="3A130846" w14:textId="77777777" w:rsidR="00FA2FF9" w:rsidRPr="00730DE4" w:rsidRDefault="00FA2FF9" w:rsidP="002B7001">
      <w:pPr>
        <w:pStyle w:val="Heading3"/>
      </w:pPr>
      <w:bookmarkStart w:id="420" w:name="_Toc180487369"/>
      <w:bookmarkStart w:id="421" w:name="_Toc180490575"/>
      <w:bookmarkStart w:id="422" w:name="_Toc180491608"/>
      <w:r w:rsidRPr="00730DE4">
        <w:t>Master planning for the priority ports of Hay Point/Mackay and Abbot Point</w:t>
      </w:r>
      <w:bookmarkEnd w:id="420"/>
      <w:bookmarkEnd w:id="421"/>
      <w:bookmarkEnd w:id="422"/>
    </w:p>
    <w:p w14:paraId="07314A10" w14:textId="77777777" w:rsidR="00FA2FF9" w:rsidRPr="00730DE4" w:rsidRDefault="00FA2FF9" w:rsidP="009333BC">
      <w:r w:rsidRPr="00730DE4">
        <w:t xml:space="preserve">TMR completed the master plans for the priority ports of Hay Point/Mackay and Abbot Point, in accordance with the </w:t>
      </w:r>
      <w:r w:rsidRPr="00730DE4">
        <w:rPr>
          <w:rStyle w:val="Emphasis"/>
        </w:rPr>
        <w:t>Sustainable Ports Development Act 2015</w:t>
      </w:r>
      <w:r w:rsidRPr="00730DE4">
        <w:t xml:space="preserve"> and the </w:t>
      </w:r>
      <w:r w:rsidRPr="00730DE4">
        <w:rPr>
          <w:rStyle w:val="Emphasis"/>
        </w:rPr>
        <w:t>Reef 2050 Long-Term Sustainability Plan</w:t>
      </w:r>
      <w:r w:rsidRPr="00730DE4">
        <w:t>.</w:t>
      </w:r>
    </w:p>
    <w:p w14:paraId="08F2F91E" w14:textId="77777777" w:rsidR="00FA2FF9" w:rsidRPr="00730DE4" w:rsidRDefault="00FA2FF9" w:rsidP="009333BC">
      <w:r w:rsidRPr="00730DE4">
        <w:t>This was a major step towards the Queensland Government's commitment to finalise master planning for the four priority ports of Gladstone, Townsville, Hay Point/Mackay, and Abbot Point.</w:t>
      </w:r>
    </w:p>
    <w:p w14:paraId="305D7D26" w14:textId="75140CAC" w:rsidR="00FA2FF9" w:rsidRPr="00730DE4" w:rsidRDefault="00FA2FF9" w:rsidP="009333BC">
      <w:r w:rsidRPr="00730DE4">
        <w:t>Master plans set out the long-term outlook for the priority ports, balancing economic growth while providing protection of environmental and cultural values and community interests.</w:t>
      </w:r>
      <w:r w:rsidR="001155ED" w:rsidRPr="00730DE4">
        <w:t xml:space="preserve"> </w:t>
      </w:r>
      <w:r w:rsidRPr="00730DE4">
        <w:t>Each priority port will undergo a review within ten years to assess the effectiveness of the master plans.</w:t>
      </w:r>
    </w:p>
    <w:p w14:paraId="0D96DE2B" w14:textId="77777777" w:rsidR="00FA2FF9" w:rsidRPr="00730DE4" w:rsidRDefault="00FA2FF9" w:rsidP="00DB2DB7">
      <w:pPr>
        <w:pStyle w:val="MessageHeader"/>
      </w:pPr>
      <w:r w:rsidRPr="00730DE4">
        <w:t>For more information</w:t>
      </w:r>
      <w:r w:rsidRPr="00730DE4">
        <w:br/>
      </w:r>
      <w:hyperlink r:id="rId24" w:history="1">
        <w:r w:rsidRPr="00730DE4">
          <w:rPr>
            <w:rStyle w:val="Hyperlink"/>
          </w:rPr>
          <w:t>https://www.tmr.qld.gov.au/business-industry/transport-sectors/ports/sustainable-port-development-and-operation/master-planning-for-priority-ports</w:t>
        </w:r>
      </w:hyperlink>
    </w:p>
    <w:p w14:paraId="6FD5D669" w14:textId="77777777" w:rsidR="00FA2FF9" w:rsidRPr="00730DE4" w:rsidRDefault="00FA2FF9" w:rsidP="002B7001">
      <w:pPr>
        <w:pStyle w:val="Heading3"/>
      </w:pPr>
      <w:bookmarkStart w:id="423" w:name="_Toc180487370"/>
      <w:bookmarkStart w:id="424" w:name="_Toc180490576"/>
      <w:bookmarkStart w:id="425" w:name="_Toc180491609"/>
      <w:r w:rsidRPr="00730DE4">
        <w:t>Cattle rail services</w:t>
      </w:r>
      <w:bookmarkEnd w:id="423"/>
      <w:bookmarkEnd w:id="424"/>
      <w:bookmarkEnd w:id="425"/>
    </w:p>
    <w:p w14:paraId="798F5C39" w14:textId="77777777" w:rsidR="00FA2FF9" w:rsidRPr="00730DE4" w:rsidRDefault="00FA2FF9" w:rsidP="00F9266A">
      <w:r w:rsidRPr="00730DE4">
        <w:t>TMR continued to subsidise statewide cattle rail services through the North Transport Services Contract and Central and South Transport Services Contract with Watco East West. Services transport cattle from regional hubs across the state to key processing destinations across the Queensland network, including in Townsville, Rockhampton, and South East Queensland.</w:t>
      </w:r>
    </w:p>
    <w:p w14:paraId="0BD1EE12" w14:textId="77777777" w:rsidR="00FA2FF9" w:rsidRPr="00730DE4" w:rsidRDefault="00FA2FF9" w:rsidP="00F9266A">
      <w:r w:rsidRPr="00730DE4">
        <w:t>TMR invested more than $7 million for rail siding upgrades at Maxwelton and Julia Creek, which are being delivered by Queensland Rail. These upgrades will reduce cattle loading times and provide increased capacity for freight tasks on the Mount Isa rail line.</w:t>
      </w:r>
    </w:p>
    <w:p w14:paraId="0FA6E9A8" w14:textId="77777777" w:rsidR="00FA2FF9" w:rsidRPr="00730DE4" w:rsidRDefault="00FA2FF9" w:rsidP="00F9266A">
      <w:r w:rsidRPr="00730DE4">
        <w:t>TMR also signed funding agreements to provide $3.3 million to Cloncurry Shire Council, Flinders Shire Council, and Richmond Shire Council to upgrade cattle loading capabilities at Cloncurry, Hughenden, and Maxwelton to improve the safety and efficiency of the loading yards.</w:t>
      </w:r>
    </w:p>
    <w:p w14:paraId="115E7F97" w14:textId="77777777" w:rsidR="00FA2FF9" w:rsidRPr="00730DE4" w:rsidRDefault="00FA2FF9" w:rsidP="00F9266A">
      <w:r w:rsidRPr="00730DE4">
        <w:t>Subsidised cattle rail services support regional employment and economic development and assist in managing transport demands on the road network.</w:t>
      </w:r>
    </w:p>
    <w:p w14:paraId="7151881D" w14:textId="77777777" w:rsidR="00FA2FF9" w:rsidRPr="00730DE4" w:rsidRDefault="00FA2FF9" w:rsidP="00F9266A">
      <w:pPr>
        <w:pStyle w:val="MessageHeader"/>
      </w:pPr>
      <w:r w:rsidRPr="00730DE4">
        <w:t xml:space="preserve">For more information </w:t>
      </w:r>
      <w:r w:rsidRPr="00730DE4">
        <w:br/>
      </w:r>
      <w:hyperlink r:id="rId25" w:history="1">
        <w:r w:rsidRPr="00730DE4">
          <w:rPr>
            <w:rStyle w:val="Hyperlink"/>
          </w:rPr>
          <w:t>https://www.tmr.qld.gov.au/business-industry/Transport-sectors/Rail-services-and-infrastructure/Rail-Transport-Contracts-and-Agreements</w:t>
        </w:r>
      </w:hyperlink>
    </w:p>
    <w:p w14:paraId="5FDFAC95" w14:textId="77777777" w:rsidR="00FA2FF9" w:rsidRPr="00730DE4" w:rsidRDefault="00FA2FF9" w:rsidP="002B7001">
      <w:pPr>
        <w:pStyle w:val="Heading3"/>
      </w:pPr>
      <w:bookmarkStart w:id="426" w:name="_Toc180487371"/>
      <w:bookmarkStart w:id="427" w:name="_Toc180490577"/>
      <w:bookmarkStart w:id="428" w:name="_Toc180491610"/>
      <w:bookmarkStart w:id="429" w:name="_Hlk173144866"/>
      <w:r w:rsidRPr="00730DE4">
        <w:t>Queensland Rail</w:t>
      </w:r>
      <w:bookmarkEnd w:id="426"/>
      <w:bookmarkEnd w:id="427"/>
      <w:bookmarkEnd w:id="428"/>
    </w:p>
    <w:p w14:paraId="22ECA746" w14:textId="77777777" w:rsidR="00FA2FF9" w:rsidRPr="00730DE4" w:rsidRDefault="00FA2FF9" w:rsidP="00F9266A">
      <w:r w:rsidRPr="00730DE4">
        <w:t>TMR continued to invest in passenger rail services, infrastructure and assets across the state through the Rail Transport Service Contract with Queensland Rail.</w:t>
      </w:r>
    </w:p>
    <w:p w14:paraId="6BD9E56B" w14:textId="77777777" w:rsidR="00FA2FF9" w:rsidRPr="00730DE4" w:rsidRDefault="00FA2FF9" w:rsidP="00F615E6">
      <w:r w:rsidRPr="00730DE4">
        <w:t>In 2023–24, Queensland Rail delivered approximately 8000 weekly Citytrain services in South East Queensland, and a further 62 weekly travel and tourism services in regional Queensland. The regional services have been temporarily reduced from 76 services per week to accommodate critical maintenance works on the Electric Tilt Trains to ensure reliable and safe operations on the North Coast Line.</w:t>
      </w:r>
    </w:p>
    <w:p w14:paraId="21433488" w14:textId="77777777" w:rsidR="00FA2FF9" w:rsidRPr="00730DE4" w:rsidRDefault="00FA2FF9" w:rsidP="00F615E6">
      <w:r w:rsidRPr="00730DE4">
        <w:t>TMR continued to work with Queensland Rail to deliver key rail infrastructure improvements across the network. Work is progressing for the delivery of accessibility upgrades at Banyo, Bundamba, Buranda, Burpengary, Lindum, and Morningside stations.</w:t>
      </w:r>
    </w:p>
    <w:p w14:paraId="2A430639" w14:textId="77777777" w:rsidR="00FA2FF9" w:rsidRPr="00730DE4" w:rsidRDefault="00FA2FF9" w:rsidP="00F615E6">
      <w:r w:rsidRPr="00730DE4">
        <w:t>The North Coast Line Capacity Improvement Project was completed in mid-2024, providing increased rail freight capacity on the North Coast Line, which is an important part of the National Land Transport Network in Queensland.</w:t>
      </w:r>
    </w:p>
    <w:p w14:paraId="685270C0" w14:textId="77777777" w:rsidR="00FA2FF9" w:rsidRPr="00730DE4" w:rsidRDefault="00FA2FF9" w:rsidP="00F9266A">
      <w:pPr>
        <w:pStyle w:val="MessageHeader"/>
      </w:pPr>
      <w:r w:rsidRPr="00730DE4">
        <w:t xml:space="preserve">For more information </w:t>
      </w:r>
      <w:r w:rsidRPr="00730DE4">
        <w:br/>
      </w:r>
      <w:hyperlink r:id="rId26" w:history="1">
        <w:r w:rsidRPr="00730DE4">
          <w:rPr>
            <w:rStyle w:val="Hyperlink"/>
          </w:rPr>
          <w:t>https://www.tmr.qld.gov.au/business-industry/Transport-sectors/Rail-services-and-infrastructure</w:t>
        </w:r>
      </w:hyperlink>
    </w:p>
    <w:p w14:paraId="3DBC70DC" w14:textId="77777777" w:rsidR="00FA2FF9" w:rsidRPr="00730DE4" w:rsidRDefault="00FA2FF9" w:rsidP="002B7001">
      <w:pPr>
        <w:pStyle w:val="Heading3"/>
      </w:pPr>
      <w:bookmarkStart w:id="430" w:name="_Toc180487372"/>
      <w:bookmarkStart w:id="431" w:name="_Toc180490578"/>
      <w:bookmarkStart w:id="432" w:name="_Toc180491611"/>
      <w:bookmarkEnd w:id="429"/>
      <w:r w:rsidRPr="00730DE4">
        <w:t>Regional air services</w:t>
      </w:r>
      <w:bookmarkEnd w:id="430"/>
      <w:bookmarkEnd w:id="431"/>
      <w:bookmarkEnd w:id="432"/>
    </w:p>
    <w:p w14:paraId="01426C1C" w14:textId="77777777" w:rsidR="00FA2FF9" w:rsidRPr="00730DE4" w:rsidRDefault="00FA2FF9" w:rsidP="00CE6C63">
      <w:r w:rsidRPr="00730DE4">
        <w:t>TMR continued to provide seven government-subsidised regulated air routes in Queensland through air service contracts. The regulated air service contracts set service levels, maximum airfare prices, aircraft size, and on-time performance standards along regulated routes to guarantee an appropriate level of service is provided to 23 regional Queensland communities.</w:t>
      </w:r>
    </w:p>
    <w:p w14:paraId="6C3A2CE2" w14:textId="77777777" w:rsidR="00FA2FF9" w:rsidRPr="00730DE4" w:rsidRDefault="00FA2FF9" w:rsidP="00CE6C63">
      <w:r w:rsidRPr="00730DE4">
        <w:t>The latest generation of TMR’s aviation service contracts commenced in January 2022 and are in place for five years, with two optional 12-month extensions.</w:t>
      </w:r>
    </w:p>
    <w:p w14:paraId="0ED8DB95" w14:textId="77777777" w:rsidR="00FA2FF9" w:rsidRPr="00730DE4" w:rsidRDefault="00FA2FF9" w:rsidP="00CE6C63">
      <w:r w:rsidRPr="00730DE4">
        <w:t>TMR regularly engages with communities, councils, and relevant industry on these routes to discuss service improvements.</w:t>
      </w:r>
    </w:p>
    <w:p w14:paraId="306C9D59" w14:textId="77777777" w:rsidR="00FA2FF9" w:rsidRPr="00730DE4" w:rsidRDefault="00FA2FF9" w:rsidP="00CE6C63">
      <w:r w:rsidRPr="00730DE4">
        <w:t>In February 2024, following a ten-month successful trial, TMR implemented a permanent service change of an additional abbreviated Gulf Route service two days a week. The new service provides additional connections between Cairns and the communities of Normanton and Mornington Island. It will free up further seats to other communities by providing additional capacity for these high-demand sectors.</w:t>
      </w:r>
    </w:p>
    <w:p w14:paraId="51DD3E57" w14:textId="77777777" w:rsidR="00FA2FF9" w:rsidRPr="00730DE4" w:rsidRDefault="00FA2FF9" w:rsidP="00CE6C63">
      <w:r w:rsidRPr="00730DE4">
        <w:t>Extreme weather in northern Queensland has caused significant disruption to both regulated and commercial services with Ex-Tropical Cyclone Jasper causing the short-term closure of Cairns airport in December 2023. This was closely followed by Ex-Tropical Cyclone Kirrily in January 2024, impacting air services in Townsville.</w:t>
      </w:r>
    </w:p>
    <w:p w14:paraId="2FAD75BC" w14:textId="77777777" w:rsidR="00FA2FF9" w:rsidRPr="00730DE4" w:rsidRDefault="00FA2FF9" w:rsidP="00CE6C63">
      <w:r w:rsidRPr="00730DE4">
        <w:t>In 2023–24, over 150,000 passengers travelled on Queensland Government-regulated air services, providing valuable access to air travel for rural and remote customers.</w:t>
      </w:r>
    </w:p>
    <w:p w14:paraId="2C8A76E1" w14:textId="77777777" w:rsidR="00FA2FF9" w:rsidRPr="00730DE4" w:rsidRDefault="00FA2FF9" w:rsidP="00CC5F0A">
      <w:pPr>
        <w:pStyle w:val="MessageHeader"/>
      </w:pPr>
      <w:r w:rsidRPr="00730DE4">
        <w:t xml:space="preserve">For more information </w:t>
      </w:r>
      <w:r w:rsidRPr="00730DE4">
        <w:br/>
      </w:r>
      <w:hyperlink r:id="rId27" w:history="1">
        <w:r w:rsidRPr="00730DE4">
          <w:rPr>
            <w:rStyle w:val="Hyperlink"/>
          </w:rPr>
          <w:t>https://www.tmr.qld.gov.au/travel-and-transport/long-distance-air-services</w:t>
        </w:r>
      </w:hyperlink>
    </w:p>
    <w:p w14:paraId="56FF5773" w14:textId="77777777" w:rsidR="00FA2FF9" w:rsidRPr="00730DE4" w:rsidRDefault="00FA2FF9" w:rsidP="002B7001">
      <w:pPr>
        <w:pStyle w:val="Heading3"/>
      </w:pPr>
      <w:bookmarkStart w:id="433" w:name="_Toc180487373"/>
      <w:bookmarkStart w:id="434" w:name="_Toc180490579"/>
      <w:bookmarkStart w:id="435" w:name="_Toc180491612"/>
      <w:bookmarkStart w:id="436" w:name="_Hlk173828782"/>
      <w:r w:rsidRPr="00730DE4">
        <w:t>Zero Emission Vehicle Rebate Scheme</w:t>
      </w:r>
      <w:bookmarkEnd w:id="433"/>
      <w:bookmarkEnd w:id="434"/>
      <w:bookmarkEnd w:id="435"/>
    </w:p>
    <w:p w14:paraId="1CCABC15" w14:textId="77777777" w:rsidR="00FA2FF9" w:rsidRPr="00730DE4" w:rsidRDefault="00FA2FF9" w:rsidP="00CC5F0A">
      <w:r w:rsidRPr="00730DE4">
        <w:t>TMR has continued to work with the Queensland Rural and Industry Development Authority to deliver the Zero Emission Vehicle Rebate Scheme in 2023–24. As at 30 June 2024, nearly $37.6 million was expended for the Rebate Scheme.</w:t>
      </w:r>
    </w:p>
    <w:p w14:paraId="289E3B49" w14:textId="77777777" w:rsidR="00FA2FF9" w:rsidRPr="00730DE4" w:rsidRDefault="00FA2FF9" w:rsidP="00CC5F0A">
      <w:r w:rsidRPr="00730DE4">
        <w:t xml:space="preserve">Since 1 July 2022, rebates of $3000 are available for eligible new battery electric vehicles (EVs) purchased from 16 March 2022. </w:t>
      </w:r>
    </w:p>
    <w:p w14:paraId="59552833" w14:textId="77777777" w:rsidR="00FA2FF9" w:rsidRPr="00730DE4" w:rsidRDefault="00FA2FF9" w:rsidP="00CC5F0A">
      <w:r w:rsidRPr="00730DE4">
        <w:t xml:space="preserve">To continue to make electric vehicles more affordable for Queenslanders, on 21 April 2023, enhancements were made to the Rebate Scheme eligibility requirements including increasing the threshold for the dutiable value of new battery EVs from $58,000 to $68,000, and doubling the rebate amount to $6000 for eligible households earning up to a total household taxable income of $180,000 per year. </w:t>
      </w:r>
    </w:p>
    <w:p w14:paraId="32F40DB6" w14:textId="77777777" w:rsidR="00FA2FF9" w:rsidRPr="00730DE4" w:rsidRDefault="00FA2FF9" w:rsidP="00CC5F0A">
      <w:r w:rsidRPr="00730DE4">
        <w:t xml:space="preserve">As at 30 June 2024, 8684 Zero Emission Vehicle rebate applications have been awarded. </w:t>
      </w:r>
    </w:p>
    <w:p w14:paraId="57BEC925" w14:textId="77777777" w:rsidR="00FA2FF9" w:rsidRPr="00730DE4" w:rsidRDefault="00FA2FF9" w:rsidP="00CC5F0A">
      <w:pPr>
        <w:pStyle w:val="MessageHeader"/>
      </w:pPr>
      <w:r w:rsidRPr="00730DE4">
        <w:t xml:space="preserve">For more information </w:t>
      </w:r>
      <w:r w:rsidRPr="00730DE4">
        <w:br/>
      </w:r>
      <w:hyperlink r:id="rId28" w:history="1">
        <w:r w:rsidRPr="00730DE4">
          <w:rPr>
            <w:rStyle w:val="Hyperlink"/>
          </w:rPr>
          <w:t>https://www.qrida.qld.gov.au/program/queensland-zero-emission-vehicle-rebate-scheme</w:t>
        </w:r>
      </w:hyperlink>
    </w:p>
    <w:p w14:paraId="4D377BF7" w14:textId="322B8450" w:rsidR="00FA2FF9" w:rsidRPr="00730DE4" w:rsidRDefault="00FA2FF9" w:rsidP="002B7001">
      <w:pPr>
        <w:pStyle w:val="Heading3"/>
      </w:pPr>
      <w:bookmarkStart w:id="437" w:name="_Toc180487374"/>
      <w:bookmarkStart w:id="438" w:name="_Toc180490580"/>
      <w:bookmarkStart w:id="439" w:name="_Toc180491613"/>
      <w:bookmarkStart w:id="440" w:name="_Hlk173828720"/>
      <w:bookmarkEnd w:id="436"/>
      <w:r w:rsidRPr="00730DE4">
        <w:t>Case study: Electric vehicle charging infrastructure</w:t>
      </w:r>
      <w:bookmarkEnd w:id="437"/>
      <w:bookmarkEnd w:id="438"/>
      <w:bookmarkEnd w:id="439"/>
    </w:p>
    <w:p w14:paraId="649B7F4E" w14:textId="77777777" w:rsidR="00FA2FF9" w:rsidRPr="00730DE4" w:rsidRDefault="00FA2FF9" w:rsidP="00CC5F0A">
      <w:r w:rsidRPr="00730DE4">
        <w:t>The QESH connects EV drivers across the state and includes fast charging locations at a range of coastal and inland locations.</w:t>
      </w:r>
    </w:p>
    <w:p w14:paraId="3C6FC59A" w14:textId="77777777" w:rsidR="00FA2FF9" w:rsidRPr="00730DE4" w:rsidRDefault="00FA2FF9" w:rsidP="00CC5F0A">
      <w:r w:rsidRPr="00730DE4">
        <w:t>The fast chargers are installed in convenient, safe locations close to major highways where there are existing amenities, such as cafes, restaurants, and shops. The sites allow users to easily charge their vehicle, enjoy a short break, and to prepare to safety continue their journey.</w:t>
      </w:r>
    </w:p>
    <w:p w14:paraId="26FC7EDC" w14:textId="77777777" w:rsidR="00FA2FF9" w:rsidRPr="00730DE4" w:rsidRDefault="00FA2FF9" w:rsidP="00CC5F0A">
      <w:r w:rsidRPr="00730DE4">
        <w:t>Phase Three of the QESH commenced delivery in June 2022. This phase will add 23 sites to the existing network to link more regional and rural locations. Once completed, Phase Three will connect EV drivers across a range of routes—from Brisbane to Mount Isa (via the Dinosaur Trail locations), Goondiwindi to Emerald, Cunnamulla to Barcaldine, and Longreach to Cairns. Eighteen QESH Phase Three sites have opened across Queensland, with the remaining five sites to be delivered by the end of 2024.</w:t>
      </w:r>
    </w:p>
    <w:p w14:paraId="3F9B9690" w14:textId="77777777" w:rsidR="00FA2FF9" w:rsidRPr="00730DE4" w:rsidRDefault="00FA2FF9" w:rsidP="00CC5F0A">
      <w:r w:rsidRPr="00730DE4">
        <w:t xml:space="preserve">The QESH patronage continues to contribute to emission reductions through EV drivers recharging, with almost 200,000 individual charging sessions recorded across the network. </w:t>
      </w:r>
    </w:p>
    <w:p w14:paraId="4EEBE795" w14:textId="77777777" w:rsidR="00FA2FF9" w:rsidRPr="00730DE4" w:rsidRDefault="00FA2FF9" w:rsidP="00CC5F0A">
      <w:r w:rsidRPr="00730DE4">
        <w:t xml:space="preserve">Complementing the QESH, the Queensland Government is encouraging private investment in charging infrastructure through the $10 million Queensland Electric Vehicle Charging Infrastructure Co-Fund Scheme. </w:t>
      </w:r>
    </w:p>
    <w:p w14:paraId="4B200DBA" w14:textId="77777777" w:rsidR="00FA2FF9" w:rsidRPr="00730DE4" w:rsidRDefault="00FA2FF9" w:rsidP="00CC5F0A">
      <w:r w:rsidRPr="00730DE4">
        <w:t xml:space="preserve">The scheme will further accelerate EV infrastructure rollout in Queensland by turning the $10 million government investments into at least $24.5 million investment in charging infrastructure when including industry contributions. </w:t>
      </w:r>
    </w:p>
    <w:p w14:paraId="27BB872B" w14:textId="77777777" w:rsidR="00FA2FF9" w:rsidRPr="00730DE4" w:rsidRDefault="00FA2FF9" w:rsidP="00CC5F0A">
      <w:r w:rsidRPr="00730DE4">
        <w:t xml:space="preserve">Seven co-funded sites are operational, with the remaining 39 public fast charging sites opening in 2024–25. Additional fast public charging sites will ensure Queenslanders and tourists continue to have the confidence to charge across more locations. </w:t>
      </w:r>
    </w:p>
    <w:p w14:paraId="603D33FE" w14:textId="77777777" w:rsidR="00FA2FF9" w:rsidRPr="00730DE4" w:rsidRDefault="00FA2FF9" w:rsidP="00CC5F0A">
      <w:pPr>
        <w:pStyle w:val="MessageHeader"/>
        <w:rPr>
          <w:rStyle w:val="Hyperlink"/>
        </w:rPr>
      </w:pPr>
      <w:r w:rsidRPr="00730DE4">
        <w:t xml:space="preserve">For more information </w:t>
      </w:r>
      <w:r w:rsidRPr="00730DE4">
        <w:br/>
      </w:r>
      <w:hyperlink r:id="rId29" w:history="1">
        <w:r w:rsidRPr="00730DE4">
          <w:rPr>
            <w:rStyle w:val="Hyperlink"/>
          </w:rPr>
          <w:t>https://www.qld.gov.au/transport/projects/electricvehicles/super-highway</w:t>
        </w:r>
      </w:hyperlink>
      <w:bookmarkEnd w:id="440"/>
    </w:p>
    <w:p w14:paraId="27007A08" w14:textId="77777777" w:rsidR="00FA2FF9" w:rsidRPr="00730DE4" w:rsidRDefault="00000000" w:rsidP="00CC5F0A">
      <w:pPr>
        <w:pStyle w:val="MessageHeader"/>
      </w:pPr>
      <w:hyperlink r:id="rId30" w:history="1">
        <w:r w:rsidR="00FA2FF9" w:rsidRPr="00730DE4">
          <w:rPr>
            <w:rStyle w:val="Hyperlink"/>
          </w:rPr>
          <w:t>https://www.qrida.qld.gov.au/program/electric-vehicle-charging-infrastructure-scheme</w:t>
        </w:r>
      </w:hyperlink>
    </w:p>
    <w:p w14:paraId="5900C92A" w14:textId="0E323EB5" w:rsidR="00464141" w:rsidRPr="00730DE4" w:rsidRDefault="00464141">
      <w:pPr>
        <w:suppressAutoHyphens w:val="0"/>
        <w:spacing w:before="0" w:line="259" w:lineRule="auto"/>
      </w:pPr>
      <w:r w:rsidRPr="00730DE4">
        <w:br w:type="page"/>
      </w:r>
    </w:p>
    <w:p w14:paraId="585647D1" w14:textId="5F4822D7" w:rsidR="00FA2FF9" w:rsidRPr="00730DE4" w:rsidRDefault="00FA2FF9" w:rsidP="002B7001">
      <w:pPr>
        <w:pStyle w:val="Heading2"/>
      </w:pPr>
      <w:bookmarkStart w:id="441" w:name="_Toc180490581"/>
      <w:bookmarkStart w:id="442" w:name="_Toc180491614"/>
      <w:r w:rsidRPr="00730DE4">
        <w:t>Investing in passenger transport</w:t>
      </w:r>
      <w:bookmarkEnd w:id="441"/>
      <w:bookmarkEnd w:id="442"/>
    </w:p>
    <w:p w14:paraId="010DFEA3" w14:textId="77777777" w:rsidR="00FA2FF9" w:rsidRPr="00730DE4" w:rsidRDefault="00FA2FF9" w:rsidP="002B7001">
      <w:pPr>
        <w:pStyle w:val="Heading3"/>
      </w:pPr>
      <w:bookmarkStart w:id="443" w:name="_Toc180487376"/>
      <w:bookmarkStart w:id="444" w:name="_Toc180490582"/>
      <w:bookmarkStart w:id="445" w:name="_Toc180491615"/>
      <w:r w:rsidRPr="00730DE4">
        <w:t>Passenger Transport Infrastructure Investment Program</w:t>
      </w:r>
      <w:bookmarkEnd w:id="443"/>
      <w:bookmarkEnd w:id="444"/>
      <w:bookmarkEnd w:id="445"/>
    </w:p>
    <w:p w14:paraId="10EE614D" w14:textId="77777777" w:rsidR="00FA2FF9" w:rsidRPr="00730DE4" w:rsidRDefault="00FA2FF9" w:rsidP="00747076">
      <w:r w:rsidRPr="00730DE4">
        <w:t>The Passenger Transport Infrastructure Investment Program (PTIIP) enables a more accessible, efficient, and integrated network that offers better value to customers and makes passenger transport a more attractive option for everyone.</w:t>
      </w:r>
    </w:p>
    <w:p w14:paraId="24176F4A" w14:textId="77777777" w:rsidR="00FA2FF9" w:rsidRPr="00730DE4" w:rsidRDefault="00FA2FF9" w:rsidP="00747076">
      <w:r w:rsidRPr="00730DE4">
        <w:t>Key achievements during 2023–24 included:</w:t>
      </w:r>
    </w:p>
    <w:p w14:paraId="32151E39" w14:textId="77777777" w:rsidR="00FA2FF9" w:rsidRPr="00730DE4" w:rsidRDefault="00FA2FF9" w:rsidP="00747076">
      <w:pPr>
        <w:pStyle w:val="ListBullet"/>
      </w:pPr>
      <w:r w:rsidRPr="00730DE4">
        <w:t>opened Stage One of the Northern Transitway, Sadlier Street to Rode Road</w:t>
      </w:r>
    </w:p>
    <w:p w14:paraId="6F35329B" w14:textId="77777777" w:rsidR="00FA2FF9" w:rsidRPr="00730DE4" w:rsidRDefault="00FA2FF9" w:rsidP="00D14BA4">
      <w:pPr>
        <w:pStyle w:val="ListBullet"/>
      </w:pPr>
      <w:r w:rsidRPr="00730DE4">
        <w:t>completed construction of the Southern Moreton Bay Islands passenger ferry terminal upgrades in partnership with Redland City Council, including the opening of the remaining ferry terminals—Lamb and Karragarra Islands</w:t>
      </w:r>
    </w:p>
    <w:p w14:paraId="66E347D9" w14:textId="77777777" w:rsidR="00FA2FF9" w:rsidRPr="00730DE4" w:rsidRDefault="00FA2FF9" w:rsidP="00747076">
      <w:pPr>
        <w:pStyle w:val="ListBullet"/>
      </w:pPr>
      <w:r w:rsidRPr="00730DE4">
        <w:t>completed construction of the Strathpine bus station at Strathpine Centre and Caneland bus station on Mangrove Road, Mackay</w:t>
      </w:r>
    </w:p>
    <w:p w14:paraId="384848D8" w14:textId="77777777" w:rsidR="00FA2FF9" w:rsidRPr="00730DE4" w:rsidRDefault="00FA2FF9" w:rsidP="00747076">
      <w:pPr>
        <w:pStyle w:val="ListBullet"/>
      </w:pPr>
      <w:r w:rsidRPr="00730DE4">
        <w:t>completed the upgrade of the Indooroopilly Shopping Centre bus station</w:t>
      </w:r>
    </w:p>
    <w:p w14:paraId="481F475B" w14:textId="77777777" w:rsidR="00FA2FF9" w:rsidRPr="00730DE4" w:rsidRDefault="00FA2FF9" w:rsidP="00747076">
      <w:pPr>
        <w:pStyle w:val="ListBullet"/>
      </w:pPr>
      <w:r w:rsidRPr="00730DE4">
        <w:t>commenced design of the Moorooka bus rail interchange upgrade</w:t>
      </w:r>
    </w:p>
    <w:p w14:paraId="7301536F" w14:textId="77777777" w:rsidR="00FA2FF9" w:rsidRPr="00730DE4" w:rsidRDefault="00FA2FF9" w:rsidP="00747076">
      <w:pPr>
        <w:pStyle w:val="ListBullet"/>
      </w:pPr>
      <w:r w:rsidRPr="00730DE4">
        <w:t>progressed design for upgraded bus facilities including Upper Mount Gravatt, Cannon Hill, and South Bank bus stations; Chermside, north and southbound platforms and new bus layover facility; and Robina Town Centre</w:t>
      </w:r>
    </w:p>
    <w:p w14:paraId="14EAC050" w14:textId="77777777" w:rsidR="00FA2FF9" w:rsidRPr="00730DE4" w:rsidRDefault="00FA2FF9" w:rsidP="00627932">
      <w:pPr>
        <w:pStyle w:val="ListBullet"/>
      </w:pPr>
      <w:r w:rsidRPr="00730DE4">
        <w:t>completed construction of additional bus stops across Queensland to support new services and make it easier for customers to access public transport.</w:t>
      </w:r>
    </w:p>
    <w:p w14:paraId="0CE081A0" w14:textId="77777777" w:rsidR="00FA2FF9" w:rsidRPr="00730DE4" w:rsidRDefault="00FA2FF9" w:rsidP="002B7001">
      <w:pPr>
        <w:pStyle w:val="Heading3"/>
      </w:pPr>
      <w:bookmarkStart w:id="446" w:name="_Toc180487377"/>
      <w:bookmarkStart w:id="447" w:name="_Toc180490583"/>
      <w:bookmarkStart w:id="448" w:name="_Toc180491616"/>
      <w:r w:rsidRPr="00730DE4">
        <w:t>Transit safety, security, and sustainability</w:t>
      </w:r>
      <w:bookmarkEnd w:id="446"/>
      <w:bookmarkEnd w:id="447"/>
      <w:bookmarkEnd w:id="448"/>
    </w:p>
    <w:p w14:paraId="1BD99252" w14:textId="77777777" w:rsidR="00FA2FF9" w:rsidRPr="00730DE4" w:rsidRDefault="00FA2FF9" w:rsidP="008D55D2">
      <w:r w:rsidRPr="00730DE4">
        <w:t>Fare evasion across South East Queensland’s public transport network costs Queenslanders approximately $58.8 million per year. Translink’s revenue protection team developed a resourcing strategy to improve fare compliance and safety and security outcomes on the public transport network.</w:t>
      </w:r>
    </w:p>
    <w:p w14:paraId="04CF1A4D" w14:textId="77777777" w:rsidR="00FA2FF9" w:rsidRPr="00730DE4" w:rsidRDefault="00FA2FF9" w:rsidP="008D55D2">
      <w:r w:rsidRPr="00730DE4">
        <w:t>Translink sought funding to implement a rollout of Network Officers (NOs) employed by service delivery partners. There are currently 69 NOs on the bus network.</w:t>
      </w:r>
    </w:p>
    <w:p w14:paraId="1830AC87" w14:textId="77777777" w:rsidR="00FA2FF9" w:rsidRPr="00730DE4" w:rsidRDefault="00FA2FF9" w:rsidP="008D55D2">
      <w:r w:rsidRPr="00730DE4">
        <w:t>Translink continued to work with QPS to deploy officers across the metropolitan bus network in addition to the police presence already on heavy rail.</w:t>
      </w:r>
    </w:p>
    <w:p w14:paraId="1E57857F" w14:textId="77777777" w:rsidR="00FA2FF9" w:rsidRPr="00730DE4" w:rsidRDefault="00FA2FF9" w:rsidP="008D55D2">
      <w:r w:rsidRPr="00730DE4">
        <w:t>Translink is also deploying resources from the Police Service Protective Services Group. The Senior Protective Service Officers are trained and authorised as Transit Officers to provide fare compliance and safety and security at key transport infrastructure locations.</w:t>
      </w:r>
    </w:p>
    <w:p w14:paraId="1EA9136F" w14:textId="77777777" w:rsidR="00FA2FF9" w:rsidRPr="00730DE4" w:rsidRDefault="00FA2FF9" w:rsidP="008D55D2">
      <w:r w:rsidRPr="00730DE4">
        <w:t>These additional resources will deliver prevention, detection, and enforcement strategies to improve revenue protection, safety, and security across the public transport network.</w:t>
      </w:r>
    </w:p>
    <w:p w14:paraId="575B48F0" w14:textId="77777777" w:rsidR="00FA2FF9" w:rsidRPr="00730DE4" w:rsidRDefault="00FA2FF9" w:rsidP="008D55D2">
      <w:r w:rsidRPr="00730DE4">
        <w:t>Key achievements during 2023–24 included:</w:t>
      </w:r>
    </w:p>
    <w:p w14:paraId="640A0131" w14:textId="77777777" w:rsidR="00FA2FF9" w:rsidRPr="00730DE4" w:rsidRDefault="00FA2FF9" w:rsidP="008D55D2">
      <w:pPr>
        <w:pStyle w:val="ListBullet"/>
      </w:pPr>
      <w:r w:rsidRPr="00730DE4">
        <w:t>commenced auditing of NOs to ensure appropriate deployments and activities are conducted in line with legislation, policy, and procedures as well as contractual requirements</w:t>
      </w:r>
    </w:p>
    <w:p w14:paraId="6EDCA51E" w14:textId="77777777" w:rsidR="00FA2FF9" w:rsidRPr="00730DE4" w:rsidRDefault="00FA2FF9" w:rsidP="008D55D2">
      <w:pPr>
        <w:pStyle w:val="ListBullet"/>
      </w:pPr>
      <w:r w:rsidRPr="00730DE4">
        <w:t>targeted operations at the top 20 locations with reported high rates of fare evasion</w:t>
      </w:r>
    </w:p>
    <w:p w14:paraId="21B75474" w14:textId="77777777" w:rsidR="00FA2FF9" w:rsidRPr="00730DE4" w:rsidRDefault="00FA2FF9" w:rsidP="008D55D2">
      <w:pPr>
        <w:pStyle w:val="ListBullet"/>
      </w:pPr>
      <w:r w:rsidRPr="00730DE4">
        <w:t>increased the level of information provided in Revenue Protection Dashboards with integrated datasets to improve the effectiveness of enforcement and officer deployment as well as implementing a deployment tracker function to ensure targets are met</w:t>
      </w:r>
    </w:p>
    <w:p w14:paraId="112FB6FE" w14:textId="77777777" w:rsidR="00FA2FF9" w:rsidRPr="00730DE4" w:rsidRDefault="00FA2FF9" w:rsidP="008D55D2">
      <w:pPr>
        <w:pStyle w:val="ListBullet"/>
      </w:pPr>
      <w:r w:rsidRPr="00730DE4">
        <w:t>increased scope of deployments for QPS and Protective Services to include a greater number of deployments</w:t>
      </w:r>
    </w:p>
    <w:p w14:paraId="6E8BE15F" w14:textId="77777777" w:rsidR="00FA2FF9" w:rsidRPr="00730DE4" w:rsidRDefault="00FA2FF9" w:rsidP="008D55D2">
      <w:pPr>
        <w:pStyle w:val="ListBullet"/>
      </w:pPr>
      <w:r w:rsidRPr="00730DE4">
        <w:t>recruited an additional nine Senior Network Officers to increase deployments on the Passenger Transport network</w:t>
      </w:r>
    </w:p>
    <w:p w14:paraId="0751F512" w14:textId="77777777" w:rsidR="00FA2FF9" w:rsidRPr="00730DE4" w:rsidRDefault="00FA2FF9" w:rsidP="008D55D2">
      <w:pPr>
        <w:pStyle w:val="ListBullet"/>
      </w:pPr>
      <w:r w:rsidRPr="00730DE4">
        <w:t>developed and implemented a mobile protective services hotspot team which are deployed to major passenger transport Hubs in response to data and operator intelligence</w:t>
      </w:r>
    </w:p>
    <w:p w14:paraId="6E337B3E" w14:textId="77777777" w:rsidR="00FA2FF9" w:rsidRPr="00730DE4" w:rsidRDefault="00FA2FF9" w:rsidP="008D55D2">
      <w:pPr>
        <w:pStyle w:val="ListBullet"/>
      </w:pPr>
      <w:r w:rsidRPr="00730DE4">
        <w:t>Renewed the Memorandum of Understanding with QPS for another year of police deployments across the bus network</w:t>
      </w:r>
    </w:p>
    <w:p w14:paraId="480BF335" w14:textId="77777777" w:rsidR="00FA2FF9" w:rsidRPr="00730DE4" w:rsidRDefault="00FA2FF9" w:rsidP="008D55D2">
      <w:pPr>
        <w:pStyle w:val="ListBullet"/>
      </w:pPr>
      <w:r w:rsidRPr="00730DE4">
        <w:t xml:space="preserve">Introduced legislative amendments to </w:t>
      </w:r>
      <w:r w:rsidRPr="00730DE4">
        <w:rPr>
          <w:rStyle w:val="Emphasis"/>
        </w:rPr>
        <w:t>Transport Operations (Passenger Transport) Act 1994</w:t>
      </w:r>
      <w:r w:rsidRPr="00730DE4">
        <w:t xml:space="preserve"> to allow NOs to work across multiple delivery partners thereby increasing flexibility and responsiveness across the network.</w:t>
      </w:r>
    </w:p>
    <w:p w14:paraId="182566B7" w14:textId="77777777" w:rsidR="00EA1647" w:rsidRDefault="00EA1647" w:rsidP="002B7001">
      <w:pPr>
        <w:pStyle w:val="Heading3"/>
      </w:pPr>
      <w:r>
        <w:br w:type="page"/>
      </w:r>
    </w:p>
    <w:p w14:paraId="0D7E117F" w14:textId="6C126123" w:rsidR="00FA2FF9" w:rsidRPr="00730DE4" w:rsidRDefault="00FA2FF9" w:rsidP="002B7001">
      <w:pPr>
        <w:pStyle w:val="Heading3"/>
      </w:pPr>
      <w:bookmarkStart w:id="449" w:name="_Toc180487378"/>
      <w:bookmarkStart w:id="450" w:name="_Toc180490584"/>
      <w:bookmarkStart w:id="451" w:name="_Toc180491617"/>
      <w:r w:rsidRPr="00730DE4">
        <w:t>Passenger transport station access improvements overview</w:t>
      </w:r>
      <w:bookmarkEnd w:id="449"/>
      <w:bookmarkEnd w:id="450"/>
      <w:bookmarkEnd w:id="451"/>
    </w:p>
    <w:p w14:paraId="3871F56D" w14:textId="77777777" w:rsidR="00FA2FF9" w:rsidRPr="00730DE4" w:rsidRDefault="00FA2FF9" w:rsidP="00620509">
      <w:r w:rsidRPr="00730DE4">
        <w:t>Easy and convenient access to public transport stops and station precincts plays a key part in helping people access jobs, education, and other essential services in a growing Queensland.</w:t>
      </w:r>
    </w:p>
    <w:p w14:paraId="06E12A99" w14:textId="77777777" w:rsidR="00FA2FF9" w:rsidRPr="00730DE4" w:rsidRDefault="00FA2FF9" w:rsidP="00620509">
      <w:r w:rsidRPr="00730DE4">
        <w:t>Access upgrades at train, bus, and light rail station precincts include better active transport links, interchanges, and park 'n' rides across the public transport network.</w:t>
      </w:r>
    </w:p>
    <w:p w14:paraId="072BD473" w14:textId="77777777" w:rsidR="00FA2FF9" w:rsidRPr="00730DE4" w:rsidRDefault="00FA2FF9" w:rsidP="00620509">
      <w:r w:rsidRPr="00730DE4">
        <w:t>Key achievements during 2023–24 included:</w:t>
      </w:r>
    </w:p>
    <w:p w14:paraId="37820157" w14:textId="77777777" w:rsidR="00FA2FF9" w:rsidRPr="00730DE4" w:rsidRDefault="00FA2FF9" w:rsidP="00620509">
      <w:pPr>
        <w:pStyle w:val="ListBullet"/>
      </w:pPr>
      <w:r w:rsidRPr="00730DE4">
        <w:t>completed construction of the park ‘n’ ride expansion at Carseldine (Stage Two)</w:t>
      </w:r>
    </w:p>
    <w:p w14:paraId="117A3DFA" w14:textId="77777777" w:rsidR="00FA2FF9" w:rsidRPr="00730DE4" w:rsidRDefault="00FA2FF9" w:rsidP="00620509">
      <w:pPr>
        <w:pStyle w:val="ListBullet"/>
      </w:pPr>
      <w:r w:rsidRPr="00730DE4">
        <w:t>commenced construction of Rochedale bus station and park 'n' ride project</w:t>
      </w:r>
    </w:p>
    <w:p w14:paraId="19A84B5B" w14:textId="77777777" w:rsidR="00FA2FF9" w:rsidRPr="00730DE4" w:rsidRDefault="00FA2FF9" w:rsidP="00620509">
      <w:pPr>
        <w:pStyle w:val="ListBullet"/>
      </w:pPr>
      <w:r w:rsidRPr="00730DE4">
        <w:t>continued design activities at Narangba train station</w:t>
      </w:r>
    </w:p>
    <w:p w14:paraId="685FA9FD" w14:textId="77777777" w:rsidR="00FA2FF9" w:rsidRPr="00730DE4" w:rsidRDefault="00FA2FF9" w:rsidP="00620509">
      <w:pPr>
        <w:pStyle w:val="ListBullet"/>
      </w:pPr>
      <w:r w:rsidRPr="00730DE4">
        <w:t xml:space="preserve">continued detailed planning at key park ‘n’ rides across South East Queensland including Dinmore and Lindum park 'n' ride expansions </w:t>
      </w:r>
    </w:p>
    <w:p w14:paraId="39093723" w14:textId="77777777" w:rsidR="00FA2FF9" w:rsidRPr="00730DE4" w:rsidRDefault="00FA2FF9" w:rsidP="00620509">
      <w:pPr>
        <w:pStyle w:val="ListBullet"/>
      </w:pPr>
      <w:r w:rsidRPr="00730DE4">
        <w:t>continued planning for improved multi-modal access to train stations and key bus corridors.</w:t>
      </w:r>
    </w:p>
    <w:p w14:paraId="31950698" w14:textId="77777777" w:rsidR="00FA2FF9" w:rsidRPr="00730DE4" w:rsidRDefault="00FA2FF9" w:rsidP="00627932">
      <w:pPr>
        <w:pStyle w:val="MessageHeader"/>
      </w:pPr>
      <w:r w:rsidRPr="00730DE4">
        <w:t xml:space="preserve">For more information </w:t>
      </w:r>
      <w:r w:rsidRPr="00730DE4">
        <w:br/>
      </w:r>
      <w:hyperlink r:id="rId31" w:history="1">
        <w:r w:rsidRPr="00730DE4">
          <w:rPr>
            <w:rStyle w:val="Hyperlink"/>
          </w:rPr>
          <w:t>https://translink.com.au/about-translink/projects-and-initiatives/map</w:t>
        </w:r>
      </w:hyperlink>
    </w:p>
    <w:p w14:paraId="0498308E" w14:textId="77777777" w:rsidR="00464141" w:rsidRPr="00730DE4" w:rsidRDefault="00464141">
      <w:pPr>
        <w:suppressAutoHyphens w:val="0"/>
        <w:spacing w:before="0" w:line="259" w:lineRule="auto"/>
      </w:pPr>
      <w:r w:rsidRPr="00730DE4">
        <w:br w:type="page"/>
      </w:r>
    </w:p>
    <w:p w14:paraId="3D2AB6A2" w14:textId="37A0BDDA" w:rsidR="00FA2FF9" w:rsidRPr="00730DE4" w:rsidRDefault="00FA2FF9" w:rsidP="002B7001">
      <w:pPr>
        <w:pStyle w:val="Heading2"/>
      </w:pPr>
      <w:bookmarkStart w:id="452" w:name="_Toc180490585"/>
      <w:bookmarkStart w:id="453" w:name="_Toc180491618"/>
      <w:r w:rsidRPr="00730DE4">
        <w:t>Investing in an active Queensland</w:t>
      </w:r>
      <w:bookmarkEnd w:id="452"/>
      <w:bookmarkEnd w:id="453"/>
    </w:p>
    <w:p w14:paraId="2AAD2E48" w14:textId="77777777" w:rsidR="00FA2FF9" w:rsidRPr="00730DE4" w:rsidRDefault="00FA2FF9" w:rsidP="002B7001">
      <w:pPr>
        <w:pStyle w:val="Heading3"/>
      </w:pPr>
      <w:bookmarkStart w:id="454" w:name="_Toc180487380"/>
      <w:bookmarkStart w:id="455" w:name="_Toc180490586"/>
      <w:bookmarkStart w:id="456" w:name="_Toc180491619"/>
      <w:r w:rsidRPr="00730DE4">
        <w:t>New Queensland Cycling Action Plan released</w:t>
      </w:r>
      <w:bookmarkEnd w:id="454"/>
      <w:bookmarkEnd w:id="455"/>
      <w:bookmarkEnd w:id="456"/>
    </w:p>
    <w:p w14:paraId="50D55A4B" w14:textId="77777777" w:rsidR="00FA2FF9" w:rsidRPr="00730DE4" w:rsidRDefault="00FA2FF9" w:rsidP="00E62665">
      <w:r w:rsidRPr="00730DE4">
        <w:t xml:space="preserve">In September 2023, TMR released the third action plan under the </w:t>
      </w:r>
      <w:r w:rsidRPr="00730DE4">
        <w:rPr>
          <w:rStyle w:val="Emphasis"/>
        </w:rPr>
        <w:t>Queensland Cycling Strategy 2017–2027</w:t>
      </w:r>
      <w:r w:rsidRPr="00730DE4">
        <w:t xml:space="preserve">. The </w:t>
      </w:r>
      <w:r w:rsidRPr="00730DE4">
        <w:rPr>
          <w:rStyle w:val="Emphasis"/>
        </w:rPr>
        <w:t>Queensland Cycling Action Plan 2023–2025</w:t>
      </w:r>
      <w:r w:rsidRPr="00730DE4">
        <w:t xml:space="preserve"> outlines 49 practical actions to be implemented to continue to encourage and enable more bike riding in our communities.</w:t>
      </w:r>
    </w:p>
    <w:p w14:paraId="23F5DCCB" w14:textId="77777777" w:rsidR="00FA2FF9" w:rsidRPr="00730DE4" w:rsidRDefault="00FA2FF9" w:rsidP="00E62665">
      <w:r w:rsidRPr="00730DE4">
        <w:t>Informed by input from local government, cycling advocacy and user groups, and community and industry organisations, the action plan builds on the achievements of the first two action plans and focuses on initiatives to maximise positive outcomes for bike riders and encourage more Queenslanders to ride bikes for transport, health, and recreation.</w:t>
      </w:r>
    </w:p>
    <w:p w14:paraId="2A2420A7" w14:textId="77777777" w:rsidR="00FA2FF9" w:rsidRPr="00730DE4" w:rsidRDefault="00FA2FF9" w:rsidP="00E62665">
      <w:r w:rsidRPr="00730DE4">
        <w:t xml:space="preserve">The release of the new action plan was accompanied by the </w:t>
      </w:r>
      <w:r w:rsidRPr="00730DE4">
        <w:rPr>
          <w:rStyle w:val="Emphasis"/>
        </w:rPr>
        <w:t>Queensland State of Cycling Report 2022</w:t>
      </w:r>
      <w:r w:rsidRPr="00730DE4">
        <w:t>, showing progress towards the Queensland Government's vision for more cycling, more often.</w:t>
      </w:r>
    </w:p>
    <w:p w14:paraId="47057664" w14:textId="77777777" w:rsidR="00FA2FF9" w:rsidRPr="00730DE4" w:rsidRDefault="00FA2FF9" w:rsidP="0000585A">
      <w:pPr>
        <w:pStyle w:val="MessageHeader"/>
        <w:rPr>
          <w:color w:val="0000FF"/>
          <w:u w:val="single"/>
        </w:rPr>
      </w:pPr>
      <w:r w:rsidRPr="00730DE4">
        <w:t xml:space="preserve">For more information </w:t>
      </w:r>
      <w:r w:rsidRPr="00730DE4">
        <w:br/>
      </w:r>
      <w:hyperlink r:id="rId32" w:history="1">
        <w:r w:rsidRPr="00730DE4">
          <w:rPr>
            <w:rStyle w:val="Hyperlink"/>
          </w:rPr>
          <w:t>https://www.tmr.qld.gov.au/cyclingstrategy</w:t>
        </w:r>
      </w:hyperlink>
    </w:p>
    <w:p w14:paraId="379BBE5C" w14:textId="77777777" w:rsidR="00FA2FF9" w:rsidRPr="00730DE4" w:rsidRDefault="00FA2FF9" w:rsidP="002B7001">
      <w:pPr>
        <w:pStyle w:val="Heading3"/>
      </w:pPr>
      <w:bookmarkStart w:id="457" w:name="_Toc180487381"/>
      <w:bookmarkStart w:id="458" w:name="_Toc180490587"/>
      <w:bookmarkStart w:id="459" w:name="_Toc180491620"/>
      <w:r w:rsidRPr="00730DE4">
        <w:t>Making plans for walking</w:t>
      </w:r>
      <w:bookmarkEnd w:id="457"/>
      <w:bookmarkEnd w:id="458"/>
      <w:bookmarkEnd w:id="459"/>
    </w:p>
    <w:p w14:paraId="6CE295B4" w14:textId="77777777" w:rsidR="00FA2FF9" w:rsidRPr="00730DE4" w:rsidRDefault="00FA2FF9" w:rsidP="0000585A">
      <w:r w:rsidRPr="00730DE4">
        <w:t>TMR has strengthened its planning for walking programs and expanded the number of walking network plans it supports and funds around Queensland.</w:t>
      </w:r>
    </w:p>
    <w:p w14:paraId="4B9602C4" w14:textId="77777777" w:rsidR="00FA2FF9" w:rsidRPr="00730DE4" w:rsidRDefault="00FA2FF9" w:rsidP="00DF6632">
      <w:r w:rsidRPr="00730DE4">
        <w:t xml:space="preserve">In 2023–24, TMR awarded 26 grants to jointly fund walking network plans with 16 councils. This brings the number of walking network plans, completed or underway across the state, supported by TMR to over 100. </w:t>
      </w:r>
    </w:p>
    <w:p w14:paraId="54F4F417" w14:textId="77777777" w:rsidR="00FA2FF9" w:rsidRPr="00730DE4" w:rsidRDefault="00FA2FF9" w:rsidP="0000585A">
      <w:r w:rsidRPr="00730DE4">
        <w:t xml:space="preserve">For the first time, TMR has published a walking network plan layer on Queensland Globe. Endorsed plans are also available to download on the TMR website. </w:t>
      </w:r>
    </w:p>
    <w:p w14:paraId="17EA46E4" w14:textId="2286D431" w:rsidR="00EA1647" w:rsidRDefault="00FA2FF9" w:rsidP="0000585A">
      <w:r w:rsidRPr="00730DE4">
        <w:t xml:space="preserve">TMR also published a set of substantial updates to TMR’s </w:t>
      </w:r>
      <w:r w:rsidRPr="00730DE4">
        <w:rPr>
          <w:rStyle w:val="Emphasis"/>
        </w:rPr>
        <w:t>Walking Network Planning Guidance</w:t>
      </w:r>
      <w:r w:rsidRPr="00730DE4">
        <w:t xml:space="preserve"> to incorporate feedback from users.</w:t>
      </w:r>
      <w:r w:rsidR="00EA1647">
        <w:br w:type="page"/>
      </w:r>
    </w:p>
    <w:p w14:paraId="5444FCDB" w14:textId="11AE6230" w:rsidR="00EA1647" w:rsidRDefault="00FA2FF9" w:rsidP="0000585A">
      <w:r w:rsidRPr="00730DE4">
        <w:t>The updated guidance provides:</w:t>
      </w:r>
    </w:p>
    <w:p w14:paraId="75A549FA" w14:textId="77777777" w:rsidR="00FA2FF9" w:rsidRPr="00730DE4" w:rsidRDefault="00FA2FF9" w:rsidP="0000585A">
      <w:pPr>
        <w:pStyle w:val="ListBullet"/>
      </w:pPr>
      <w:r w:rsidRPr="00730DE4">
        <w:t>better advice for locations with fewer than 10,000 residents</w:t>
      </w:r>
    </w:p>
    <w:p w14:paraId="6113F5A7" w14:textId="77777777" w:rsidR="00FA2FF9" w:rsidRPr="00730DE4" w:rsidRDefault="00FA2FF9" w:rsidP="0000585A">
      <w:pPr>
        <w:pStyle w:val="ListBullet"/>
      </w:pPr>
      <w:r w:rsidRPr="00730DE4">
        <w:t>updated instructions for three GIS programs</w:t>
      </w:r>
    </w:p>
    <w:p w14:paraId="55C3EEFE" w14:textId="77777777" w:rsidR="00FA2FF9" w:rsidRPr="00730DE4" w:rsidRDefault="00FA2FF9" w:rsidP="0000585A">
      <w:pPr>
        <w:pStyle w:val="ListBullet"/>
      </w:pPr>
      <w:r w:rsidRPr="00730DE4">
        <w:t>additional guidance for achieving effective stakeholder engagement</w:t>
      </w:r>
    </w:p>
    <w:p w14:paraId="58B4729E" w14:textId="77777777" w:rsidR="00FA2FF9" w:rsidRPr="00730DE4" w:rsidRDefault="00FA2FF9" w:rsidP="0000585A">
      <w:pPr>
        <w:pStyle w:val="ListBullet"/>
      </w:pPr>
      <w:r w:rsidRPr="00730DE4">
        <w:t xml:space="preserve">user-experience case studies </w:t>
      </w:r>
    </w:p>
    <w:p w14:paraId="1D9E0A44" w14:textId="77777777" w:rsidR="00FA2FF9" w:rsidRPr="00730DE4" w:rsidRDefault="00FA2FF9" w:rsidP="0000585A">
      <w:pPr>
        <w:pStyle w:val="ListBullet"/>
      </w:pPr>
      <w:r w:rsidRPr="00730DE4">
        <w:t>embedded evaluation across the stages of the project</w:t>
      </w:r>
    </w:p>
    <w:p w14:paraId="52FC97A3" w14:textId="77777777" w:rsidR="00FA2FF9" w:rsidRPr="00730DE4" w:rsidRDefault="00FA2FF9" w:rsidP="0000585A">
      <w:pPr>
        <w:pStyle w:val="ListBullet"/>
      </w:pPr>
      <w:r w:rsidRPr="00730DE4">
        <w:t>instructions on how to get a plan endorsed and published.</w:t>
      </w:r>
    </w:p>
    <w:p w14:paraId="3F522640" w14:textId="77777777" w:rsidR="00FA2FF9" w:rsidRPr="00730DE4" w:rsidRDefault="00FA2FF9" w:rsidP="0000585A">
      <w:pPr>
        <w:pStyle w:val="MessageHeader"/>
        <w:rPr>
          <w:color w:val="0000FF"/>
          <w:u w:val="single"/>
        </w:rPr>
      </w:pPr>
      <w:r w:rsidRPr="00730DE4">
        <w:t xml:space="preserve">For more information </w:t>
      </w:r>
      <w:r w:rsidRPr="00730DE4">
        <w:br/>
      </w:r>
      <w:hyperlink r:id="rId33" w:history="1">
        <w:r w:rsidRPr="00730DE4">
          <w:rPr>
            <w:rStyle w:val="Hyperlink"/>
          </w:rPr>
          <w:t>https://www.tmr.qld.gov.au/travel-and-transport/pedestrians-and-walking/walking-network-plans/</w:t>
        </w:r>
      </w:hyperlink>
    </w:p>
    <w:p w14:paraId="4D923D84" w14:textId="77777777" w:rsidR="00FA2FF9" w:rsidRPr="00730DE4" w:rsidRDefault="00FA2FF9" w:rsidP="002B7001">
      <w:pPr>
        <w:pStyle w:val="Heading3"/>
      </w:pPr>
      <w:bookmarkStart w:id="460" w:name="_Toc180487382"/>
      <w:bookmarkStart w:id="461" w:name="_Toc180490588"/>
      <w:bookmarkStart w:id="462" w:name="_Toc180491621"/>
      <w:r w:rsidRPr="00730DE4">
        <w:t>Increasing awareness of active transport options</w:t>
      </w:r>
      <w:bookmarkEnd w:id="460"/>
      <w:bookmarkEnd w:id="461"/>
      <w:bookmarkEnd w:id="462"/>
    </w:p>
    <w:p w14:paraId="7E4EC9BD" w14:textId="77777777" w:rsidR="00FA2FF9" w:rsidRPr="00730DE4" w:rsidRDefault="00FA2FF9" w:rsidP="0000585A">
      <w:r w:rsidRPr="00730DE4">
        <w:t xml:space="preserve">TMR released a virtual tour of the Veloway 1 (V1) in Brisbane in February 2024 to increase awareness of active transport options in the community. </w:t>
      </w:r>
    </w:p>
    <w:p w14:paraId="2F9E613B" w14:textId="77777777" w:rsidR="00FA2FF9" w:rsidRPr="00730DE4" w:rsidRDefault="00FA2FF9" w:rsidP="0000585A">
      <w:r w:rsidRPr="00730DE4">
        <w:t>The V1 video takes viewers on a virtual tour of the V1 from South Brisbane through to MacGregor. The video includes an interactive map highlighting the entry/exit points along the route and nearby attractions such as public transport, schools, hospitals, and shopping precincts.</w:t>
      </w:r>
    </w:p>
    <w:p w14:paraId="6A04DACA" w14:textId="77777777" w:rsidR="00FA2FF9" w:rsidRPr="00730DE4" w:rsidRDefault="00FA2FF9" w:rsidP="0000585A">
      <w:r w:rsidRPr="00730DE4">
        <w:t>A promotional campaign was developed alongside the videos to raise awareness of the bikeway and encourage people who live, work, and study along the route to consider travelling by bicycle or personal mobility device.</w:t>
      </w:r>
    </w:p>
    <w:p w14:paraId="574A66BA" w14:textId="77777777" w:rsidR="00FA2FF9" w:rsidRPr="00730DE4" w:rsidRDefault="00FA2FF9" w:rsidP="0000585A">
      <w:pPr>
        <w:pStyle w:val="MessageHeader"/>
        <w:rPr>
          <w:color w:val="0000FF"/>
          <w:u w:val="single"/>
        </w:rPr>
      </w:pPr>
      <w:r w:rsidRPr="00730DE4">
        <w:t xml:space="preserve">For more information </w:t>
      </w:r>
      <w:r w:rsidRPr="00730DE4">
        <w:br/>
      </w:r>
      <w:hyperlink r:id="rId34" w:history="1">
        <w:r w:rsidRPr="00730DE4">
          <w:rPr>
            <w:rStyle w:val="Hyperlink"/>
          </w:rPr>
          <w:t>https://www.qld.gov.au/transport/public/bicycle-riding/where-to-ride/paths/veloway-1</w:t>
        </w:r>
      </w:hyperlink>
    </w:p>
    <w:p w14:paraId="340908F7" w14:textId="77777777" w:rsidR="00EA1647" w:rsidRDefault="00EA1647" w:rsidP="002B7001">
      <w:pPr>
        <w:pStyle w:val="Heading3"/>
      </w:pPr>
      <w:r>
        <w:br w:type="page"/>
      </w:r>
    </w:p>
    <w:p w14:paraId="5C53C443" w14:textId="7B6A31E5" w:rsidR="00FA2FF9" w:rsidRPr="00730DE4" w:rsidRDefault="00FA2FF9" w:rsidP="002B7001">
      <w:pPr>
        <w:pStyle w:val="Heading3"/>
      </w:pPr>
      <w:bookmarkStart w:id="463" w:name="_Toc180487383"/>
      <w:bookmarkStart w:id="464" w:name="_Toc180490589"/>
      <w:bookmarkStart w:id="465" w:name="_Toc180491622"/>
      <w:r w:rsidRPr="00730DE4">
        <w:t>Case study: New campaign encourages more Queenslanders to ride</w:t>
      </w:r>
      <w:bookmarkEnd w:id="463"/>
      <w:bookmarkEnd w:id="464"/>
      <w:bookmarkEnd w:id="465"/>
    </w:p>
    <w:p w14:paraId="149D1E40" w14:textId="77777777" w:rsidR="00FA2FF9" w:rsidRPr="00730DE4" w:rsidRDefault="00FA2FF9" w:rsidP="00020177">
      <w:r w:rsidRPr="00730DE4">
        <w:t>To help encourage more Queenslanders to take up bike riding or to ride more often for transport, recreation, or wellbeing, TMR partnered with Livingstone Shire Council and Logan City Council to develop and pilot a communication campaign to promote the benefits of riding and raise awareness of safe, off-road cycling infrastructure.</w:t>
      </w:r>
    </w:p>
    <w:p w14:paraId="6A9E43E8" w14:textId="017E2BF2" w:rsidR="00FA2FF9" w:rsidRPr="00730DE4" w:rsidRDefault="00FA2FF9" w:rsidP="0000585A">
      <w:r w:rsidRPr="00730DE4">
        <w:t xml:space="preserve">Women are under-represented in bike riding participation, yet they comprise a large proportion of Queenslanders who would consider riding. </w:t>
      </w:r>
    </w:p>
    <w:p w14:paraId="54A00022" w14:textId="77777777" w:rsidR="00FA2FF9" w:rsidRPr="00730DE4" w:rsidRDefault="00FA2FF9" w:rsidP="0000585A">
      <w:r w:rsidRPr="00730DE4">
        <w:t>Themed ‘Bike riding takes you places’, the campaign included videos, advertising, and online maps showcasing local bike riding routes and profiling local women who ride. It was in market for seven weeks during October and November 2023 across social media and digital, search, and outdoor channels.</w:t>
      </w:r>
    </w:p>
    <w:p w14:paraId="193204ED" w14:textId="77777777" w:rsidR="00FA2FF9" w:rsidRPr="00730DE4" w:rsidRDefault="00FA2FF9" w:rsidP="0000585A">
      <w:r w:rsidRPr="00730DE4">
        <w:t>Evaluation of the campaign indicated 80 per cent of women surveyed who saw the campaign in-situ felt more inspired or motivated to try bike riding or go for a ride, and 58 per cent took action in response to the campaign.</w:t>
      </w:r>
    </w:p>
    <w:p w14:paraId="2EF3B324" w14:textId="77777777" w:rsidR="00FA2FF9" w:rsidRPr="00730DE4" w:rsidRDefault="00FA2FF9" w:rsidP="0000585A">
      <w:pPr>
        <w:pStyle w:val="MessageHeader"/>
      </w:pPr>
      <w:r w:rsidRPr="00730DE4">
        <w:t xml:space="preserve">For more information </w:t>
      </w:r>
      <w:r w:rsidRPr="00730DE4">
        <w:br/>
      </w:r>
      <w:hyperlink r:id="rId35" w:history="1">
        <w:r w:rsidRPr="00730DE4">
          <w:rPr>
            <w:rStyle w:val="Hyperlink"/>
          </w:rPr>
          <w:t>https://www.qld.gov.au/transport/public/bicycle-riding/bike-riding-takes-you-places</w:t>
        </w:r>
      </w:hyperlink>
    </w:p>
    <w:p w14:paraId="3E102644" w14:textId="77777777" w:rsidR="00464141" w:rsidRPr="00730DE4" w:rsidRDefault="00464141">
      <w:pPr>
        <w:suppressAutoHyphens w:val="0"/>
        <w:spacing w:before="0" w:line="259" w:lineRule="auto"/>
      </w:pPr>
      <w:r w:rsidRPr="00730DE4">
        <w:br w:type="page"/>
      </w:r>
    </w:p>
    <w:p w14:paraId="20A07F0E" w14:textId="472CE6C7" w:rsidR="00FA2FF9" w:rsidRPr="00730DE4" w:rsidRDefault="00FA2FF9" w:rsidP="002B7001">
      <w:pPr>
        <w:pStyle w:val="Heading2"/>
      </w:pPr>
      <w:bookmarkStart w:id="466" w:name="_Toc180490590"/>
      <w:bookmarkStart w:id="467" w:name="_Toc180491623"/>
      <w:r w:rsidRPr="00730DE4">
        <w:t>Marine infrastructure</w:t>
      </w:r>
      <w:bookmarkEnd w:id="466"/>
      <w:bookmarkEnd w:id="467"/>
    </w:p>
    <w:p w14:paraId="48370584" w14:textId="77777777" w:rsidR="00FA2FF9" w:rsidRPr="00730DE4" w:rsidRDefault="00FA2FF9" w:rsidP="002B7001">
      <w:pPr>
        <w:pStyle w:val="Heading3"/>
      </w:pPr>
      <w:bookmarkStart w:id="468" w:name="_Toc180487385"/>
      <w:bookmarkStart w:id="469" w:name="_Toc180490591"/>
      <w:bookmarkStart w:id="470" w:name="_Toc180491624"/>
      <w:r w:rsidRPr="00730DE4">
        <w:t>State boat harbours</w:t>
      </w:r>
      <w:bookmarkEnd w:id="468"/>
      <w:bookmarkEnd w:id="469"/>
      <w:bookmarkEnd w:id="470"/>
    </w:p>
    <w:p w14:paraId="01DB7319" w14:textId="77777777" w:rsidR="00FA2FF9" w:rsidRPr="00730DE4" w:rsidRDefault="00FA2FF9" w:rsidP="00BC74A3">
      <w:r w:rsidRPr="00730DE4">
        <w:t>TMR owns and manages eight state boat harbours located at Manly; Cabbage Tree Creek (Shorncliffe); Scarborough; Mooloolaba; Snapper Creek (Tin Can Bay); Urangan (Hervey Bay); Rosslyn Bay; Yeppoon; Bowen; and Nelly Bay ferry terminal (Magnetic Island).</w:t>
      </w:r>
    </w:p>
    <w:p w14:paraId="5ADB26E6" w14:textId="77777777" w:rsidR="00FA2FF9" w:rsidRPr="00730DE4" w:rsidRDefault="00FA2FF9" w:rsidP="00BC74A3">
      <w:r w:rsidRPr="00730DE4">
        <w:t>These assets form part of TMR’s maritime network and promote recreational and commercial boating businesses and activities by providing a location for the maritime industry to grow and thrive.</w:t>
      </w:r>
    </w:p>
    <w:p w14:paraId="247034D4" w14:textId="77777777" w:rsidR="00FA2FF9" w:rsidRPr="00730DE4" w:rsidRDefault="00FA2FF9" w:rsidP="00BC74A3">
      <w:r w:rsidRPr="00730DE4">
        <w:t>The harbours provide public marine facilities for the community, such as boat ramps, pontoons, amenities, kayak washdown bays, and car-trailer unit parking.</w:t>
      </w:r>
    </w:p>
    <w:p w14:paraId="7FA76960" w14:textId="511F3005" w:rsidR="00FA2FF9" w:rsidRPr="00730DE4" w:rsidRDefault="00FA2FF9" w:rsidP="00BC74A3">
      <w:r w:rsidRPr="00730DE4">
        <w:t>These public facilities are managed sustainably through a proactive maintenance schedule to ensure the facilities are fit-for-purpose, safe, compliant, and continue to meet the demands of the boating public.</w:t>
      </w:r>
    </w:p>
    <w:p w14:paraId="54828933" w14:textId="3982D9CB" w:rsidR="00FA2FF9" w:rsidRPr="00730DE4" w:rsidRDefault="00FA2FF9" w:rsidP="002B7001">
      <w:pPr>
        <w:pStyle w:val="Heading3"/>
        <w:rPr>
          <w:lang w:val="en-US"/>
        </w:rPr>
      </w:pPr>
      <w:bookmarkStart w:id="471" w:name="_Toc180487386"/>
      <w:bookmarkStart w:id="472" w:name="_Toc180490592"/>
      <w:bookmarkStart w:id="473" w:name="_Toc180491625"/>
      <w:r w:rsidRPr="00730DE4">
        <w:rPr>
          <w:lang w:val="en-US"/>
        </w:rPr>
        <w:t>Port Alma boat ramp replacement</w:t>
      </w:r>
      <w:bookmarkEnd w:id="471"/>
      <w:bookmarkEnd w:id="472"/>
      <w:bookmarkEnd w:id="473"/>
    </w:p>
    <w:p w14:paraId="6FDA1CAD" w14:textId="1C26BF19" w:rsidR="00FA2FF9" w:rsidRPr="00730DE4" w:rsidRDefault="00FA2FF9" w:rsidP="00D20794">
      <w:pPr>
        <w:rPr>
          <w:lang w:val="en-US"/>
        </w:rPr>
      </w:pPr>
      <w:r w:rsidRPr="00730DE4">
        <w:rPr>
          <w:lang w:val="en-US"/>
        </w:rPr>
        <w:t>As part of the Port Alma boat ramp relocation project, new boat ramps at Inkerman Creek and Casuarina Creek have been successfully completed. These projects were delivered under a tri-party agreement between TMR, MSQ, Rockhampton Regional Council, and Gladstone Ports Corporation.</w:t>
      </w:r>
      <w:r w:rsidR="001155ED" w:rsidRPr="00730DE4">
        <w:rPr>
          <w:lang w:val="en-US"/>
        </w:rPr>
        <w:t xml:space="preserve"> </w:t>
      </w:r>
      <w:r w:rsidRPr="00730DE4">
        <w:rPr>
          <w:lang w:val="en-US"/>
        </w:rPr>
        <w:t>The Inkerman Creek boat ramp was completed in May 2023. This project was carried out in two stages, with an extended period of settlement after pre-loading of the soft mud foreshore was required.</w:t>
      </w:r>
    </w:p>
    <w:p w14:paraId="7A2AB20A" w14:textId="13551132" w:rsidR="00FA2FF9" w:rsidRPr="00730DE4" w:rsidRDefault="00FA2FF9" w:rsidP="00D20794">
      <w:pPr>
        <w:rPr>
          <w:lang w:val="en-US"/>
        </w:rPr>
      </w:pPr>
      <w:r w:rsidRPr="00730DE4">
        <w:rPr>
          <w:lang w:val="en-US"/>
        </w:rPr>
        <w:t>The first stage involved reclaiming tidal land, preloading the reclamation fill, and allowing a 12-month settlement period before starting construction on the car park and boat ramp and building the road intersection.</w:t>
      </w:r>
      <w:r w:rsidR="001155ED" w:rsidRPr="00730DE4">
        <w:rPr>
          <w:lang w:val="en-US"/>
        </w:rPr>
        <w:t xml:space="preserve"> </w:t>
      </w:r>
      <w:r w:rsidRPr="00730DE4">
        <w:rPr>
          <w:lang w:val="en-US"/>
        </w:rPr>
        <w:t>The second stage included removing the surcharge fill and constructing a new single-lane boat ramp and car-trailer park.</w:t>
      </w:r>
    </w:p>
    <w:p w14:paraId="52FD19BA" w14:textId="77777777" w:rsidR="00FA2FF9" w:rsidRPr="00730DE4" w:rsidRDefault="00FA2FF9" w:rsidP="00D20794">
      <w:pPr>
        <w:rPr>
          <w:lang w:val="en-US"/>
        </w:rPr>
      </w:pPr>
      <w:r w:rsidRPr="00730DE4">
        <w:rPr>
          <w:lang w:val="en-US"/>
        </w:rPr>
        <w:t>Planning for the Casuarina Creek boat ramp began in 2019. The scope of works included building a new two-lane boat ramp with a floating walkway, a car-trailer park, and an access road from Bajool Port Alma Road. This facility was completed in May 2024.</w:t>
      </w:r>
    </w:p>
    <w:p w14:paraId="52D0C438" w14:textId="0D579E42" w:rsidR="00FA2FF9" w:rsidRPr="00730DE4" w:rsidRDefault="00FA2FF9" w:rsidP="002B7001">
      <w:pPr>
        <w:pStyle w:val="Heading3"/>
        <w:rPr>
          <w:lang w:val="en-US"/>
        </w:rPr>
      </w:pPr>
      <w:bookmarkStart w:id="474" w:name="_Toc180487387"/>
      <w:bookmarkStart w:id="475" w:name="_Toc180490593"/>
      <w:bookmarkStart w:id="476" w:name="_Toc180491626"/>
      <w:r w:rsidRPr="00730DE4">
        <w:rPr>
          <w:lang w:val="en-US"/>
        </w:rPr>
        <w:t>Rosslyn Bay Boat Harbour—Boat ramp upgrade</w:t>
      </w:r>
      <w:bookmarkEnd w:id="474"/>
      <w:bookmarkEnd w:id="475"/>
      <w:bookmarkEnd w:id="476"/>
    </w:p>
    <w:p w14:paraId="2E047568" w14:textId="77777777" w:rsidR="00FA2FF9" w:rsidRPr="00730DE4" w:rsidRDefault="00FA2FF9" w:rsidP="00BD5D5F">
      <w:pPr>
        <w:rPr>
          <w:lang w:val="en-US"/>
        </w:rPr>
      </w:pPr>
      <w:r w:rsidRPr="00730DE4">
        <w:rPr>
          <w:lang w:val="en-US"/>
        </w:rPr>
        <w:t>The public boating facilities within Rosslyn Bay Boat Harbour have been significantly upgraded to enhance safety, usability, and queuing for boaties. The project, completed in September 2023, was driven by the Queensland Government’s 2020 commitment to improve the harbour’s boating infrastructure.</w:t>
      </w:r>
    </w:p>
    <w:p w14:paraId="7C18E12F" w14:textId="77777777" w:rsidR="00FA2FF9" w:rsidRPr="00730DE4" w:rsidRDefault="00FA2FF9" w:rsidP="00BD5D5F">
      <w:pPr>
        <w:rPr>
          <w:lang w:val="en-US"/>
        </w:rPr>
      </w:pPr>
      <w:r w:rsidRPr="00730DE4">
        <w:rPr>
          <w:lang w:val="en-US"/>
        </w:rPr>
        <w:t>The upgrades included widening the Breakwater Drive boat ramp, adding a dredged basin and sheet pile wall between the boat ramps, extending the Breakwater Drive floating walkway, and installing approximately 60 metres of additional berthing pontoons. These improvements provide more space for boaties to berth during busy periods and while retrieving their boat-trailers, accommodating all tides.</w:t>
      </w:r>
    </w:p>
    <w:p w14:paraId="6183B013" w14:textId="77777777" w:rsidR="00FA2FF9" w:rsidRPr="00730DE4" w:rsidRDefault="00FA2FF9" w:rsidP="00BD5D5F">
      <w:pPr>
        <w:rPr>
          <w:lang w:val="en-US"/>
        </w:rPr>
      </w:pPr>
      <w:r w:rsidRPr="00730DE4">
        <w:rPr>
          <w:lang w:val="en-US"/>
        </w:rPr>
        <w:t>Planning, design, and consultation have been ongoing since 2020, with two crucial rounds of public consultation shaping the final scope of works. The construction was carried out in two stages. Stage one focused on widening the Breakwater Drive boat ramp and adding the dredged basin and sheet pile wall. Stage two included the extension of the floating walkway and the realignment of the floating walkway on the Anchor Drive boat ramp to the middle of the ramp.</w:t>
      </w:r>
    </w:p>
    <w:p w14:paraId="1406A73D" w14:textId="77777777" w:rsidR="00FA2FF9" w:rsidRPr="00730DE4" w:rsidRDefault="00FA2FF9" w:rsidP="00BC74A3">
      <w:pPr>
        <w:rPr>
          <w:lang w:val="en-US"/>
        </w:rPr>
      </w:pPr>
      <w:r w:rsidRPr="00730DE4">
        <w:rPr>
          <w:lang w:val="en-US"/>
        </w:rPr>
        <w:t>These upgrades have greatly improved the overall functionality and safety of Rosslyn Bay Boat Harbour, benefiting the boating community.</w:t>
      </w:r>
    </w:p>
    <w:p w14:paraId="103B7075" w14:textId="5356030F" w:rsidR="00464141" w:rsidRPr="00730DE4" w:rsidRDefault="00464141">
      <w:pPr>
        <w:suppressAutoHyphens w:val="0"/>
        <w:spacing w:before="0" w:line="259" w:lineRule="auto"/>
        <w:rPr>
          <w:lang w:val="en-US"/>
        </w:rPr>
      </w:pPr>
      <w:r w:rsidRPr="00730DE4">
        <w:rPr>
          <w:lang w:val="en-US"/>
        </w:rPr>
        <w:br w:type="page"/>
      </w:r>
    </w:p>
    <w:p w14:paraId="5E4A9CEF" w14:textId="77777777" w:rsidR="00FA2FF9" w:rsidRPr="00730DE4" w:rsidRDefault="00FA2FF9" w:rsidP="002B7001">
      <w:pPr>
        <w:pStyle w:val="Heading2"/>
      </w:pPr>
      <w:bookmarkStart w:id="477" w:name="_Toc180490594"/>
      <w:bookmarkStart w:id="478" w:name="_Toc180491627"/>
      <w:r w:rsidRPr="00730DE4">
        <w:t>Major projects</w:t>
      </w:r>
      <w:bookmarkEnd w:id="477"/>
      <w:bookmarkEnd w:id="478"/>
    </w:p>
    <w:p w14:paraId="6F736B7E" w14:textId="77777777" w:rsidR="00FA2FF9" w:rsidRPr="00730DE4" w:rsidRDefault="00FA2FF9" w:rsidP="002B7001">
      <w:pPr>
        <w:pStyle w:val="Heading3"/>
      </w:pPr>
      <w:bookmarkStart w:id="479" w:name="_Toc180487389"/>
      <w:bookmarkStart w:id="480" w:name="_Toc180490595"/>
      <w:bookmarkStart w:id="481" w:name="_Toc180491628"/>
      <w:r w:rsidRPr="00730DE4">
        <w:t>Major natural disaster events 2023–24</w:t>
      </w:r>
      <w:bookmarkEnd w:id="479"/>
      <w:bookmarkEnd w:id="480"/>
      <w:bookmarkEnd w:id="481"/>
    </w:p>
    <w:p w14:paraId="39EFA57A" w14:textId="77777777" w:rsidR="00FA2FF9" w:rsidRPr="00730DE4" w:rsidRDefault="00FA2FF9" w:rsidP="0027685F">
      <w:r w:rsidRPr="00730DE4">
        <w:t>Thirteen disaster events were activated for financial relief measures under the DRFA during 2023–24.</w:t>
      </w:r>
    </w:p>
    <w:p w14:paraId="39AC17F5" w14:textId="77777777" w:rsidR="00FA2FF9" w:rsidRPr="00730DE4" w:rsidRDefault="00FA2FF9" w:rsidP="0027685F">
      <w:r w:rsidRPr="00730DE4">
        <w:t>Emergency repairs were fast-tracked to reopen key routes including the Captain Cook Highway and Palmerston Highway after Tropical Cyclone Jasper caused major landslips and road damage across Far North Queensland in December 2023.</w:t>
      </w:r>
    </w:p>
    <w:p w14:paraId="1A1FD54B" w14:textId="77777777" w:rsidR="00FA2FF9" w:rsidRPr="00730DE4" w:rsidRDefault="00FA2FF9" w:rsidP="0027685F">
      <w:r w:rsidRPr="00730DE4">
        <w:t>TMR completed urgent repairs to reopen the Gulf Developmental Road in just nine days, after significant damage to Routh Creek Bridge from monsoonal flooding in late-January 2024.</w:t>
      </w:r>
    </w:p>
    <w:p w14:paraId="52465611" w14:textId="77777777" w:rsidR="00FA2FF9" w:rsidRPr="00730DE4" w:rsidRDefault="00FA2FF9" w:rsidP="0027685F">
      <w:r w:rsidRPr="00730DE4">
        <w:t>More than 10,000 tonnes of fallen vegetation and debris were cleared after severe storms across South East Queensland in late-December 2023 and early-January 2024.</w:t>
      </w:r>
    </w:p>
    <w:p w14:paraId="6F60B060" w14:textId="77777777" w:rsidR="00FA2FF9" w:rsidRPr="00730DE4" w:rsidRDefault="00FA2FF9" w:rsidP="0027685F">
      <w:r w:rsidRPr="00730DE4">
        <w:t>Emergency works have been completed after long-term flooding following Tropical Cyclone Kirrily damaged western Queensland freight routes including the Flinders and Landsborough highways in February 2024.</w:t>
      </w:r>
    </w:p>
    <w:p w14:paraId="6B5B49C9" w14:textId="77777777" w:rsidR="00FA2FF9" w:rsidRPr="00730DE4" w:rsidRDefault="00FA2FF9" w:rsidP="0027685F">
      <w:r w:rsidRPr="00730DE4">
        <w:t>The recovery works are jointly funded by the Australian and Queensland governments through the DRFA.</w:t>
      </w:r>
    </w:p>
    <w:p w14:paraId="282A880D" w14:textId="77777777" w:rsidR="00FA2FF9" w:rsidRPr="00730DE4" w:rsidRDefault="00FA2FF9" w:rsidP="002B7001">
      <w:pPr>
        <w:pStyle w:val="Heading3"/>
      </w:pPr>
      <w:bookmarkStart w:id="482" w:name="_Toc180487390"/>
      <w:bookmarkStart w:id="483" w:name="_Toc180490596"/>
      <w:bookmarkStart w:id="484" w:name="_Toc180491629"/>
      <w:r w:rsidRPr="00730DE4">
        <w:t>Natural Disaster Program delivery</w:t>
      </w:r>
      <w:bookmarkEnd w:id="482"/>
      <w:bookmarkEnd w:id="483"/>
      <w:bookmarkEnd w:id="484"/>
    </w:p>
    <w:p w14:paraId="02B22116" w14:textId="77777777" w:rsidR="00FA2FF9" w:rsidRPr="00730DE4" w:rsidRDefault="00FA2FF9" w:rsidP="0027685F">
      <w:r w:rsidRPr="00730DE4">
        <w:t>In 2023–24, TMR spent $454 million repairing state-controlled roads following natural disasters, including:</w:t>
      </w:r>
    </w:p>
    <w:p w14:paraId="06ABEB9D" w14:textId="77777777" w:rsidR="00FA2FF9" w:rsidRPr="00730DE4" w:rsidRDefault="00FA2FF9" w:rsidP="0027685F">
      <w:pPr>
        <w:pStyle w:val="ListBullet"/>
      </w:pPr>
      <w:r w:rsidRPr="00730DE4">
        <w:t>reconstructing 110.6 kilometres of road pavement</w:t>
      </w:r>
    </w:p>
    <w:p w14:paraId="0C7A965F" w14:textId="77777777" w:rsidR="00FA2FF9" w:rsidRPr="00730DE4" w:rsidRDefault="00FA2FF9" w:rsidP="0027685F">
      <w:pPr>
        <w:pStyle w:val="ListBullet"/>
      </w:pPr>
      <w:r w:rsidRPr="00730DE4">
        <w:t>repairing 496 earthworks and batter locations</w:t>
      </w:r>
    </w:p>
    <w:p w14:paraId="55E764B0" w14:textId="77777777" w:rsidR="00FA2FF9" w:rsidRPr="00730DE4" w:rsidRDefault="00FA2FF9" w:rsidP="0027685F">
      <w:pPr>
        <w:pStyle w:val="ListBullet"/>
      </w:pPr>
      <w:r w:rsidRPr="00730DE4">
        <w:t>repairing 24 structures, including bridges and culverts</w:t>
      </w:r>
    </w:p>
    <w:p w14:paraId="290E88A3" w14:textId="77777777" w:rsidR="00FA2FF9" w:rsidRPr="00730DE4" w:rsidRDefault="00FA2FF9" w:rsidP="0027685F">
      <w:pPr>
        <w:pStyle w:val="ListBullet"/>
      </w:pPr>
      <w:r w:rsidRPr="00730DE4">
        <w:t>clearing 315 silt and debris locations.</w:t>
      </w:r>
    </w:p>
    <w:p w14:paraId="2D9C99DA" w14:textId="77777777" w:rsidR="00FA2FF9" w:rsidRPr="00730DE4" w:rsidRDefault="00FA2FF9" w:rsidP="0027685F">
      <w:r w:rsidRPr="00730DE4">
        <w:t>A significant reconstruction program is continuing after extensive severe flooding across southern Queensland in 2022. A total of 223 of 509 projects have been completed, including reopening Gold Coast–Springbrook Road in December 2023 after major landslip repairs.</w:t>
      </w:r>
    </w:p>
    <w:p w14:paraId="6BC7025B" w14:textId="77777777" w:rsidR="00FA2FF9" w:rsidRPr="00730DE4" w:rsidRDefault="00FA2FF9" w:rsidP="0027685F">
      <w:r w:rsidRPr="00730DE4">
        <w:t>Slope stabilisation works to repair bushfire damage at Cunninghams Gap are ongoing.</w:t>
      </w:r>
    </w:p>
    <w:p w14:paraId="4CB245CF" w14:textId="77777777" w:rsidR="00FA2FF9" w:rsidRPr="00730DE4" w:rsidRDefault="00FA2FF9" w:rsidP="0027685F">
      <w:r w:rsidRPr="00730DE4">
        <w:t>Repairs are nearing completion in the Gold Coast hinterland, following widespread landslips and road damage from severe weather in December 2020 and March 2021.</w:t>
      </w:r>
    </w:p>
    <w:p w14:paraId="6E2CEDA3" w14:textId="77777777" w:rsidR="00FA2FF9" w:rsidRPr="00730DE4" w:rsidRDefault="00FA2FF9" w:rsidP="0027685F">
      <w:r w:rsidRPr="00730DE4">
        <w:t>The recovery works are jointly funded by the Australian and Queensland governments through the DRFA.</w:t>
      </w:r>
    </w:p>
    <w:p w14:paraId="4CA58571" w14:textId="77777777" w:rsidR="00FA2FF9" w:rsidRPr="00730DE4" w:rsidRDefault="00FA2FF9" w:rsidP="002B7001">
      <w:pPr>
        <w:pStyle w:val="Heading3"/>
      </w:pPr>
      <w:bookmarkStart w:id="485" w:name="_Toc180487391"/>
      <w:bookmarkStart w:id="486" w:name="_Toc180490597"/>
      <w:bookmarkStart w:id="487" w:name="_Toc180491630"/>
      <w:r w:rsidRPr="00730DE4">
        <w:t>Bruce Highway Upgrade Program</w:t>
      </w:r>
      <w:bookmarkEnd w:id="485"/>
      <w:bookmarkEnd w:id="486"/>
      <w:bookmarkEnd w:id="487"/>
    </w:p>
    <w:p w14:paraId="04FD2A61" w14:textId="77777777" w:rsidR="00FA2FF9" w:rsidRPr="00730DE4" w:rsidRDefault="00FA2FF9" w:rsidP="0027685F">
      <w:r w:rsidRPr="00730DE4">
        <w:t>The Australian and Queensland governments are committed to delivering the ongoing Bruce Highway Upgrade Program.</w:t>
      </w:r>
    </w:p>
    <w:p w14:paraId="7F4F750B" w14:textId="77777777" w:rsidR="00FA2FF9" w:rsidRPr="00730DE4" w:rsidRDefault="00FA2FF9" w:rsidP="0027685F">
      <w:r w:rsidRPr="00730DE4">
        <w:t>The program is the largest road corridor infrastructure program Queensland has ever seen. It is aimed at improving safety, flood resilience, and capacity along the length and breadth of the highway between Brisbane and Cairns.</w:t>
      </w:r>
    </w:p>
    <w:p w14:paraId="264A34D6" w14:textId="77777777" w:rsidR="00FA2FF9" w:rsidRPr="00730DE4" w:rsidRDefault="00FA2FF9" w:rsidP="0027685F">
      <w:r w:rsidRPr="00730DE4">
        <w:t>Key highlights include:</w:t>
      </w:r>
    </w:p>
    <w:p w14:paraId="07D9C9BE" w14:textId="77777777" w:rsidR="00FA2FF9" w:rsidRPr="00730DE4" w:rsidRDefault="00FA2FF9" w:rsidP="0027685F">
      <w:pPr>
        <w:pStyle w:val="ListBullet"/>
      </w:pPr>
      <w:r w:rsidRPr="00730DE4">
        <w:t>255 kilometres wide centre line treatment installed and 625 kilometres of wide centre line retrofitted to the existing highway under other programs</w:t>
      </w:r>
    </w:p>
    <w:p w14:paraId="491D22E3" w14:textId="77777777" w:rsidR="00FA2FF9" w:rsidRPr="00730DE4" w:rsidRDefault="00FA2FF9" w:rsidP="0027685F">
      <w:pPr>
        <w:pStyle w:val="ListBullet"/>
      </w:pPr>
      <w:r w:rsidRPr="00730DE4">
        <w:t>209 protracted right turns installed</w:t>
      </w:r>
    </w:p>
    <w:p w14:paraId="7DD04663" w14:textId="77777777" w:rsidR="00FA2FF9" w:rsidRPr="00730DE4" w:rsidRDefault="00FA2FF9" w:rsidP="0027685F">
      <w:pPr>
        <w:pStyle w:val="ListBullet"/>
      </w:pPr>
      <w:r w:rsidRPr="00730DE4">
        <w:t>45 signalised intersections installed</w:t>
      </w:r>
    </w:p>
    <w:p w14:paraId="3A2941B2" w14:textId="77777777" w:rsidR="00FA2FF9" w:rsidRPr="00730DE4" w:rsidRDefault="00FA2FF9" w:rsidP="0027685F">
      <w:pPr>
        <w:pStyle w:val="ListBullet"/>
      </w:pPr>
      <w:r w:rsidRPr="00730DE4">
        <w:t>533 kilometres of roadside barriers installed</w:t>
      </w:r>
    </w:p>
    <w:p w14:paraId="5BCA1BB6" w14:textId="77777777" w:rsidR="00FA2FF9" w:rsidRPr="00730DE4" w:rsidRDefault="00FA2FF9" w:rsidP="0027685F">
      <w:pPr>
        <w:pStyle w:val="ListBullet"/>
      </w:pPr>
      <w:r w:rsidRPr="00730DE4">
        <w:t>100 overtaking lanes installed</w:t>
      </w:r>
    </w:p>
    <w:p w14:paraId="7395EAFB" w14:textId="77777777" w:rsidR="00FA2FF9" w:rsidRPr="00730DE4" w:rsidRDefault="00FA2FF9" w:rsidP="0027685F">
      <w:pPr>
        <w:pStyle w:val="ListBullet"/>
      </w:pPr>
      <w:r w:rsidRPr="00730DE4">
        <w:t>74.8 kilometres of highway duplicated</w:t>
      </w:r>
    </w:p>
    <w:p w14:paraId="5964A587" w14:textId="77777777" w:rsidR="00FA2FF9" w:rsidRPr="00730DE4" w:rsidRDefault="00FA2FF9" w:rsidP="0027685F">
      <w:pPr>
        <w:pStyle w:val="ListBullet"/>
      </w:pPr>
      <w:r w:rsidRPr="00730DE4">
        <w:t>130 new bridges/overpasses constructed</w:t>
      </w:r>
    </w:p>
    <w:p w14:paraId="052F201C" w14:textId="77777777" w:rsidR="00FA2FF9" w:rsidRPr="00730DE4" w:rsidRDefault="00FA2FF9" w:rsidP="0027685F">
      <w:pPr>
        <w:pStyle w:val="ListBullet"/>
      </w:pPr>
      <w:r w:rsidRPr="00730DE4">
        <w:t>36 new rest areas established.</w:t>
      </w:r>
    </w:p>
    <w:p w14:paraId="7BEF9382" w14:textId="77777777" w:rsidR="00FA2FF9" w:rsidRPr="00730DE4" w:rsidRDefault="00FA2FF9" w:rsidP="00E0699C">
      <w:r w:rsidRPr="00730DE4">
        <w:t xml:space="preserve">In June 2024, the Queensland Government Released the </w:t>
      </w:r>
      <w:r w:rsidRPr="00730DE4">
        <w:rPr>
          <w:rStyle w:val="Emphasis"/>
        </w:rPr>
        <w:t>15-year Vision and Action Plans for the Bruce Highway</w:t>
      </w:r>
      <w:r w:rsidRPr="00730DE4">
        <w:t xml:space="preserve"> and the </w:t>
      </w:r>
      <w:r w:rsidRPr="00730DE4">
        <w:rPr>
          <w:rStyle w:val="Emphasis"/>
        </w:rPr>
        <w:t>Safer Bruce 2030 Action Plan</w:t>
      </w:r>
      <w:r w:rsidRPr="00730DE4">
        <w:t>.</w:t>
      </w:r>
    </w:p>
    <w:p w14:paraId="30FACB0D" w14:textId="11B3E795" w:rsidR="00464141" w:rsidRPr="00730DE4" w:rsidRDefault="00FA2FF9" w:rsidP="00E0699C">
      <w:r w:rsidRPr="00730DE4">
        <w:t xml:space="preserve">The </w:t>
      </w:r>
      <w:r w:rsidRPr="00730DE4">
        <w:rPr>
          <w:rStyle w:val="Emphasis"/>
        </w:rPr>
        <w:t>15-year Vision and Action Plans for the Bruce Highway</w:t>
      </w:r>
      <w:r w:rsidRPr="00730DE4">
        <w:t xml:space="preserve"> build on the work already completed through the Bruce Highway Upgrade Program. The 15-year Vision and Action Plans clearly set out the priorities for the Bruce Highway to inform future investment decisions of federal and state governments.</w:t>
      </w:r>
    </w:p>
    <w:p w14:paraId="343F5D3A" w14:textId="3A9E0993" w:rsidR="00FA2FF9" w:rsidRPr="00730DE4" w:rsidRDefault="00FA2FF9" w:rsidP="0027685F">
      <w:pPr>
        <w:pStyle w:val="MessageHeader"/>
      </w:pPr>
      <w:r w:rsidRPr="00730DE4">
        <w:t xml:space="preserve">For more information </w:t>
      </w:r>
      <w:r w:rsidRPr="00730DE4">
        <w:br/>
      </w:r>
      <w:hyperlink r:id="rId36" w:history="1">
        <w:r w:rsidRPr="00730DE4">
          <w:rPr>
            <w:rStyle w:val="Hyperlink"/>
          </w:rPr>
          <w:t>https://www.tmr.qld.gov.au/projects/programs/bruce-highway-upgrade-program</w:t>
        </w:r>
      </w:hyperlink>
      <w:r w:rsidR="005628F2" w:rsidRPr="00730DE4">
        <w:rPr>
          <w:rStyle w:val="Hyperlink"/>
        </w:rPr>
        <w:br/>
      </w:r>
      <w:r w:rsidR="005628F2" w:rsidRPr="00730DE4">
        <w:rPr>
          <w:rStyle w:val="Hyperlink"/>
        </w:rPr>
        <w:br/>
      </w:r>
      <w:hyperlink r:id="rId37" w:history="1">
        <w:r w:rsidRPr="00730DE4">
          <w:rPr>
            <w:rStyle w:val="Hyperlink"/>
          </w:rPr>
          <w:t>https://www.tmr.qld.gov.au/About-us/Corporate-information/Publications/Bruce-Highway-Action-Plan</w:t>
        </w:r>
      </w:hyperlink>
    </w:p>
    <w:p w14:paraId="57D63F8F" w14:textId="77777777" w:rsidR="00464141" w:rsidRPr="00730DE4" w:rsidRDefault="00464141">
      <w:pPr>
        <w:suppressAutoHyphens w:val="0"/>
        <w:spacing w:before="0" w:line="259" w:lineRule="auto"/>
        <w:rPr>
          <w:rFonts w:eastAsiaTheme="majorEastAsia" w:cstheme="majorBidi"/>
          <w:color w:val="080C0F" w:themeColor="text1"/>
          <w:sz w:val="60"/>
          <w:szCs w:val="32"/>
        </w:rPr>
      </w:pPr>
      <w:r w:rsidRPr="00730DE4">
        <w:br w:type="page"/>
      </w:r>
    </w:p>
    <w:p w14:paraId="7DE8425F" w14:textId="39CF1144" w:rsidR="00FA2FF9" w:rsidRPr="00730DE4" w:rsidRDefault="00FA2FF9" w:rsidP="002B7001">
      <w:pPr>
        <w:pStyle w:val="Heading2"/>
      </w:pPr>
      <w:bookmarkStart w:id="488" w:name="_Toc180490598"/>
      <w:bookmarkStart w:id="489" w:name="_Toc180491631"/>
      <w:r w:rsidRPr="00730DE4">
        <w:t>Our regions</w:t>
      </w:r>
      <w:bookmarkEnd w:id="488"/>
      <w:bookmarkEnd w:id="489"/>
    </w:p>
    <w:p w14:paraId="52474194" w14:textId="77777777" w:rsidR="00FA2FF9" w:rsidRPr="00730DE4" w:rsidRDefault="00FA2FF9" w:rsidP="002B7001">
      <w:pPr>
        <w:pStyle w:val="Heading3"/>
      </w:pPr>
      <w:bookmarkStart w:id="490" w:name="_Toc180487393"/>
      <w:bookmarkStart w:id="491" w:name="_Toc180490599"/>
      <w:bookmarkStart w:id="492" w:name="_Toc180491632"/>
      <w:r w:rsidRPr="00730DE4">
        <w:t>Far North</w:t>
      </w:r>
      <w:bookmarkEnd w:id="490"/>
      <w:bookmarkEnd w:id="491"/>
      <w:bookmarkEnd w:id="492"/>
    </w:p>
    <w:p w14:paraId="12ABA967" w14:textId="77777777" w:rsidR="00FA2FF9" w:rsidRPr="00730DE4" w:rsidRDefault="00FA2FF9" w:rsidP="00F6430E">
      <w:pPr>
        <w:pStyle w:val="ListBullet"/>
      </w:pPr>
      <w:r w:rsidRPr="00730DE4">
        <w:t xml:space="preserve">Area covered: </w:t>
      </w:r>
      <w:r w:rsidRPr="00730DE4">
        <w:rPr>
          <w:rStyle w:val="Strong"/>
        </w:rPr>
        <w:t>272,216 km</w:t>
      </w:r>
      <w:r w:rsidRPr="00730DE4">
        <w:rPr>
          <w:rStyle w:val="Strong"/>
          <w:vertAlign w:val="superscript"/>
        </w:rPr>
        <w:t>2</w:t>
      </w:r>
    </w:p>
    <w:p w14:paraId="5E8E97B4" w14:textId="77777777" w:rsidR="00FA2FF9" w:rsidRPr="00730DE4" w:rsidRDefault="00FA2FF9" w:rsidP="00F6430E">
      <w:pPr>
        <w:pStyle w:val="ListBullet"/>
        <w:rPr>
          <w:b/>
          <w:bCs/>
        </w:rPr>
      </w:pPr>
      <w:r w:rsidRPr="00730DE4">
        <w:t xml:space="preserve">Population of Queensland: </w:t>
      </w:r>
      <w:r w:rsidRPr="00730DE4">
        <w:rPr>
          <w:rStyle w:val="Strong"/>
        </w:rPr>
        <w:t>5.47%*</w:t>
      </w:r>
    </w:p>
    <w:p w14:paraId="1F5EB294" w14:textId="77777777" w:rsidR="00FA2FF9" w:rsidRPr="00730DE4" w:rsidRDefault="00FA2FF9" w:rsidP="002B7001">
      <w:pPr>
        <w:pStyle w:val="Heading4"/>
      </w:pPr>
      <w:bookmarkStart w:id="493" w:name="_Toc180487394"/>
      <w:bookmarkStart w:id="494" w:name="_Toc180490600"/>
      <w:bookmarkStart w:id="495" w:name="_Toc180491633"/>
      <w:r w:rsidRPr="00730DE4">
        <w:t>Fast facts</w:t>
      </w:r>
      <w:bookmarkEnd w:id="493"/>
      <w:bookmarkEnd w:id="494"/>
      <w:bookmarkEnd w:id="495"/>
    </w:p>
    <w:p w14:paraId="0EF5979C" w14:textId="77777777" w:rsidR="00FA2FF9" w:rsidRPr="00730DE4" w:rsidRDefault="00FA2FF9" w:rsidP="00F6430E">
      <w:pPr>
        <w:pStyle w:val="ListBullet"/>
      </w:pPr>
      <w:r w:rsidRPr="00730DE4">
        <w:t xml:space="preserve">State-controlled road**: </w:t>
      </w:r>
      <w:r w:rsidRPr="00730DE4">
        <w:rPr>
          <w:rStyle w:val="Strong"/>
        </w:rPr>
        <w:t>3158KM</w:t>
      </w:r>
    </w:p>
    <w:p w14:paraId="7EC5E5DA" w14:textId="77777777" w:rsidR="00FA2FF9" w:rsidRPr="00730DE4" w:rsidRDefault="00FA2FF9" w:rsidP="00F6430E">
      <w:pPr>
        <w:pStyle w:val="ListBullet"/>
      </w:pPr>
      <w:r w:rsidRPr="00730DE4">
        <w:t xml:space="preserve">National Land Transport Network**: </w:t>
      </w:r>
      <w:r w:rsidRPr="00730DE4">
        <w:rPr>
          <w:rStyle w:val="Strong"/>
        </w:rPr>
        <w:t>232KM</w:t>
      </w:r>
    </w:p>
    <w:p w14:paraId="090FE684" w14:textId="77777777" w:rsidR="00FA2FF9" w:rsidRPr="00730DE4" w:rsidRDefault="00FA2FF9" w:rsidP="00F6430E">
      <w:pPr>
        <w:pStyle w:val="ListBullet"/>
      </w:pPr>
      <w:r w:rsidRPr="00730DE4">
        <w:t xml:space="preserve">Vehicle and machinery registrations: </w:t>
      </w:r>
      <w:r w:rsidRPr="00730DE4">
        <w:rPr>
          <w:rStyle w:val="Strong"/>
        </w:rPr>
        <w:t>340,322</w:t>
      </w:r>
    </w:p>
    <w:p w14:paraId="420B156B" w14:textId="77777777" w:rsidR="00FA2FF9" w:rsidRPr="00730DE4" w:rsidRDefault="00FA2FF9" w:rsidP="00F6430E">
      <w:pPr>
        <w:pStyle w:val="ListBullet"/>
      </w:pPr>
      <w:r w:rsidRPr="00730DE4">
        <w:t xml:space="preserve">Boating infrastructures: </w:t>
      </w:r>
      <w:r w:rsidRPr="00730DE4">
        <w:rPr>
          <w:rStyle w:val="Strong"/>
        </w:rPr>
        <w:t>104</w:t>
      </w:r>
    </w:p>
    <w:p w14:paraId="3E417DF1" w14:textId="77777777" w:rsidR="00FA2FF9" w:rsidRPr="00730DE4" w:rsidRDefault="00FA2FF9" w:rsidP="00F6430E">
      <w:pPr>
        <w:pStyle w:val="ListBullet"/>
      </w:pPr>
      <w:r w:rsidRPr="00730DE4">
        <w:t xml:space="preserve">Community safety events held: </w:t>
      </w:r>
      <w:r w:rsidRPr="00730DE4">
        <w:rPr>
          <w:rStyle w:val="Strong"/>
        </w:rPr>
        <w:t>47</w:t>
      </w:r>
    </w:p>
    <w:p w14:paraId="718958BF" w14:textId="77777777" w:rsidR="00FA2FF9" w:rsidRPr="00730DE4" w:rsidRDefault="00FA2FF9" w:rsidP="00F6430E">
      <w:pPr>
        <w:pStyle w:val="ListBullet"/>
      </w:pPr>
      <w:r w:rsidRPr="00730DE4">
        <w:t xml:space="preserve">Vehicle and machinery inspections completed: </w:t>
      </w:r>
      <w:r w:rsidRPr="00730DE4">
        <w:rPr>
          <w:rStyle w:val="Strong"/>
        </w:rPr>
        <w:t>3317</w:t>
      </w:r>
    </w:p>
    <w:p w14:paraId="3D1E7B31" w14:textId="77777777" w:rsidR="00FA2FF9" w:rsidRPr="00730DE4" w:rsidRDefault="00FA2FF9" w:rsidP="00F6430E">
      <w:pPr>
        <w:pStyle w:val="ListBullet"/>
      </w:pPr>
      <w:r w:rsidRPr="00730DE4">
        <w:t xml:space="preserve">Bridges***: </w:t>
      </w:r>
      <w:r w:rsidRPr="00730DE4">
        <w:rPr>
          <w:rStyle w:val="Strong"/>
        </w:rPr>
        <w:t>342</w:t>
      </w:r>
    </w:p>
    <w:p w14:paraId="5568DE8A" w14:textId="77777777" w:rsidR="00FA2FF9" w:rsidRPr="00730DE4" w:rsidRDefault="00FA2FF9" w:rsidP="00F6430E">
      <w:pPr>
        <w:pStyle w:val="ListBullet"/>
      </w:pPr>
      <w:r w:rsidRPr="00730DE4">
        <w:t xml:space="preserve">Driver licence tests conducted: </w:t>
      </w:r>
      <w:r w:rsidRPr="00730DE4">
        <w:rPr>
          <w:rStyle w:val="Strong"/>
        </w:rPr>
        <w:t>10,355</w:t>
      </w:r>
    </w:p>
    <w:p w14:paraId="332E48DF" w14:textId="77777777" w:rsidR="00FA2FF9" w:rsidRPr="00730DE4" w:rsidRDefault="00FA2FF9" w:rsidP="00F6430E">
      <w:pPr>
        <w:pStyle w:val="ListBullet"/>
      </w:pPr>
      <w:r w:rsidRPr="00730DE4">
        <w:t xml:space="preserve">Customer face-to-face interactions: </w:t>
      </w:r>
      <w:r w:rsidRPr="00730DE4">
        <w:rPr>
          <w:rStyle w:val="Strong"/>
        </w:rPr>
        <w:t>228,134</w:t>
      </w:r>
    </w:p>
    <w:p w14:paraId="11AE6CB4" w14:textId="77777777" w:rsidR="00FA2FF9" w:rsidRPr="00730DE4" w:rsidRDefault="00FA2FF9" w:rsidP="00F6430E">
      <w:pPr>
        <w:pStyle w:val="ListBullet"/>
        <w:rPr>
          <w:rStyle w:val="Strong"/>
          <w:b w:val="0"/>
          <w:bCs w:val="0"/>
        </w:rPr>
      </w:pPr>
      <w:r w:rsidRPr="00730DE4">
        <w:t xml:space="preserve">Priority-enabled intersections: </w:t>
      </w:r>
      <w:r w:rsidRPr="00730DE4">
        <w:rPr>
          <w:rStyle w:val="Strong"/>
        </w:rPr>
        <w:t>136</w:t>
      </w:r>
    </w:p>
    <w:p w14:paraId="62DFF538" w14:textId="77777777" w:rsidR="005628F2" w:rsidRPr="00730DE4" w:rsidRDefault="00FA2FF9" w:rsidP="005628F2">
      <w:pPr>
        <w:pStyle w:val="Caption"/>
        <w:rPr>
          <w:rStyle w:val="Strong"/>
        </w:rPr>
      </w:pPr>
      <w:r w:rsidRPr="00730DE4">
        <w:rPr>
          <w:rStyle w:val="Strong"/>
        </w:rPr>
        <w:t xml:space="preserve">Data source: </w:t>
      </w:r>
      <w:r w:rsidRPr="00730DE4">
        <w:t>*Queensland Government Statistician's Office (Queensland Treasury), Queensland Regional Profiles. www.qgso.qld.gov.au, July 2024</w:t>
      </w:r>
      <w:r w:rsidRPr="00730DE4">
        <w:rPr>
          <w:rStyle w:val="Strong"/>
        </w:rPr>
        <w:t xml:space="preserve"> </w:t>
      </w:r>
    </w:p>
    <w:p w14:paraId="60C27D6E" w14:textId="77777777" w:rsidR="005628F2" w:rsidRPr="00730DE4" w:rsidRDefault="00FA2FF9" w:rsidP="005628F2">
      <w:pPr>
        <w:pStyle w:val="Caption"/>
      </w:pPr>
      <w:r w:rsidRPr="00730DE4">
        <w:rPr>
          <w:rStyle w:val="Strong"/>
        </w:rPr>
        <w:t>Data source:</w:t>
      </w:r>
      <w:r w:rsidRPr="00730DE4">
        <w:t xml:space="preserve"> **A Road Management Information System (ARMIS) 30 June 2024</w:t>
      </w:r>
    </w:p>
    <w:p w14:paraId="6B8CF920" w14:textId="2052CA57" w:rsidR="00FA2FF9" w:rsidRPr="00730DE4" w:rsidRDefault="00FA2FF9" w:rsidP="005628F2">
      <w:pPr>
        <w:pStyle w:val="Caption"/>
      </w:pPr>
      <w:r w:rsidRPr="00730DE4">
        <w:rPr>
          <w:rStyle w:val="Strong"/>
        </w:rPr>
        <w:t>Data source:</w:t>
      </w:r>
      <w:r w:rsidRPr="00730DE4">
        <w:t xml:space="preserve"> ***Bridge Information System (BIS), 30 June 2024</w:t>
      </w:r>
    </w:p>
    <w:p w14:paraId="1A3E2242" w14:textId="77777777" w:rsidR="00FA2FF9" w:rsidRPr="00730DE4" w:rsidRDefault="00FA2FF9" w:rsidP="002B7001">
      <w:pPr>
        <w:pStyle w:val="Heading4"/>
      </w:pPr>
      <w:bookmarkStart w:id="496" w:name="_Toc180487395"/>
      <w:bookmarkStart w:id="497" w:name="_Toc180490601"/>
      <w:bookmarkStart w:id="498" w:name="_Toc180491634"/>
      <w:r w:rsidRPr="00730DE4">
        <w:t>Ex-Tropical Cyclone Jasper–Cairns emergency works</w:t>
      </w:r>
      <w:bookmarkEnd w:id="496"/>
      <w:bookmarkEnd w:id="497"/>
      <w:bookmarkEnd w:id="498"/>
    </w:p>
    <w:p w14:paraId="5CB50B87" w14:textId="77777777" w:rsidR="00FA2FF9" w:rsidRPr="00730DE4" w:rsidRDefault="00FA2FF9" w:rsidP="00E43DE5">
      <w:r w:rsidRPr="00730DE4">
        <w:t>Following the catastrophic damage caused by Ex-Tropical Cyclone Jasper to Far North Queensland’s state-controlled road network on the 13 December 2023, RoadTek managed to repair and reopen over 1650 kilometres of road within four days, from 17–22 December 2023. </w:t>
      </w:r>
    </w:p>
    <w:p w14:paraId="288813CF" w14:textId="77777777" w:rsidR="00FA2FF9" w:rsidRPr="00730DE4" w:rsidRDefault="00FA2FF9" w:rsidP="00E43DE5">
      <w:r w:rsidRPr="00730DE4">
        <w:t>Crews worked to ensure emergency services and freight providers could access isolated communities. Thousands of tonnes of flood debris and landslips were quickly cleared, roads reconstructed, and hundreds of geotechnical, bridge, and culvert inspections completed. This was completed to ensure the safe passage for road users.  </w:t>
      </w:r>
    </w:p>
    <w:p w14:paraId="076CB6E8" w14:textId="2E275CA4" w:rsidR="00EA1647" w:rsidRDefault="00FA2FF9" w:rsidP="00E43DE5">
      <w:r w:rsidRPr="00730DE4">
        <w:t>RoadTek provided further assistance to local councils that were significantly impacted by Ex-Tropical Cyclone Jasper, including Douglas Shire Council and Mareeba Shire Council.</w:t>
      </w:r>
      <w:r w:rsidR="00EA1647">
        <w:br w:type="page"/>
      </w:r>
    </w:p>
    <w:p w14:paraId="70B1996D" w14:textId="77777777" w:rsidR="00FA2FF9" w:rsidRPr="00730DE4" w:rsidRDefault="00FA2FF9" w:rsidP="00E43DE5">
      <w:r w:rsidRPr="00730DE4">
        <w:t>TMR is prioritising design, approvals, and preparation of suitable construction methodologies for the long-term recovery works. </w:t>
      </w:r>
    </w:p>
    <w:p w14:paraId="6857DECF" w14:textId="77777777" w:rsidR="00FA2FF9" w:rsidRPr="00730DE4" w:rsidRDefault="00FA2FF9" w:rsidP="00F55926">
      <w:r w:rsidRPr="00730DE4">
        <w:t>The recovery works are jointly funded by the Australian and Queensland governments through the DRFA. </w:t>
      </w:r>
    </w:p>
    <w:p w14:paraId="0E0BA0EA" w14:textId="77777777" w:rsidR="00FA2FF9" w:rsidRPr="00730DE4" w:rsidRDefault="00FA2FF9" w:rsidP="002B7001">
      <w:pPr>
        <w:pStyle w:val="Heading4"/>
      </w:pPr>
      <w:bookmarkStart w:id="499" w:name="_Toc180487396"/>
      <w:bookmarkStart w:id="500" w:name="_Toc180490602"/>
      <w:bookmarkStart w:id="501" w:name="_Toc180491635"/>
      <w:bookmarkStart w:id="502" w:name="_Hlk173230388"/>
      <w:bookmarkStart w:id="503" w:name="_Hlk173233069"/>
      <w:r w:rsidRPr="00730DE4">
        <w:t>Bruce Highway, Cairns Southern Access Corridor (Stage Three) Edmonton to Gordonvale, construction</w:t>
      </w:r>
      <w:bookmarkEnd w:id="499"/>
      <w:bookmarkEnd w:id="500"/>
      <w:bookmarkEnd w:id="501"/>
      <w:r w:rsidRPr="00730DE4">
        <w:t xml:space="preserve"> </w:t>
      </w:r>
    </w:p>
    <w:bookmarkEnd w:id="502"/>
    <w:p w14:paraId="6F28F231" w14:textId="77777777" w:rsidR="00FA2FF9" w:rsidRPr="00730DE4" w:rsidRDefault="00FA2FF9" w:rsidP="00F55926">
      <w:r w:rsidRPr="00730DE4">
        <w:t xml:space="preserve">The Edmonton to Gordonvale project is now complete, </w:t>
      </w:r>
      <w:bookmarkStart w:id="504" w:name="_Hlk173332284"/>
      <w:r w:rsidRPr="00730DE4">
        <w:t xml:space="preserve">delivering </w:t>
      </w:r>
      <w:bookmarkEnd w:id="503"/>
      <w:r w:rsidRPr="00730DE4">
        <w:t>improved safety, capacity, and efficiency</w:t>
      </w:r>
      <w:bookmarkEnd w:id="504"/>
      <w:r w:rsidRPr="00730DE4">
        <w:t xml:space="preserve"> on the busiest two-lane section of the Bruce Highway in Queensland.</w:t>
      </w:r>
    </w:p>
    <w:p w14:paraId="10E0430E" w14:textId="77777777" w:rsidR="00FA2FF9" w:rsidRPr="00730DE4" w:rsidRDefault="00FA2FF9" w:rsidP="00F55926">
      <w:r w:rsidRPr="00730DE4">
        <w:t>This award-winning project upgraded and duplicated a 10.5-kilometre section of the highway, realigned and upgraded 4.5 kilometres of Queensland Rail North Coast Line, built more than ten kilometres of new service roads, and signalised several key intersections.</w:t>
      </w:r>
    </w:p>
    <w:p w14:paraId="0679304E" w14:textId="77777777" w:rsidR="00FA2FF9" w:rsidRPr="00730DE4" w:rsidRDefault="00FA2FF9" w:rsidP="00F55926">
      <w:r w:rsidRPr="00730DE4">
        <w:t>Changes to the highway allowed the posted speed limit to be increased to 100 kilometres per hour, delivering travel time savings.</w:t>
      </w:r>
    </w:p>
    <w:p w14:paraId="723EC6FF" w14:textId="77777777" w:rsidR="00FA2FF9" w:rsidRPr="00730DE4" w:rsidRDefault="00FA2FF9" w:rsidP="00F55926">
      <w:r w:rsidRPr="00730DE4">
        <w:t>The project included a focus on active transport, with a dedicated off-road cycleway from Riverstone Road to tie into the existing pathway at Thompson Road, a pedestrian overpass at Gordonvale, and a pedestrian pathway on the new Menmuny Overpass.</w:t>
      </w:r>
    </w:p>
    <w:p w14:paraId="6D651A59" w14:textId="77777777" w:rsidR="00FA2FF9" w:rsidRPr="00730DE4" w:rsidRDefault="00FA2FF9" w:rsidP="00F55926">
      <w:r w:rsidRPr="00730DE4">
        <w:t>Around 300 local suppliers and contractors were engaged throughout the project.</w:t>
      </w:r>
    </w:p>
    <w:p w14:paraId="5AB0AFF5" w14:textId="77777777" w:rsidR="00FA2FF9" w:rsidRPr="00730DE4" w:rsidRDefault="00FA2FF9" w:rsidP="00F55926">
      <w:r w:rsidRPr="00730DE4">
        <w:t xml:space="preserve">This project was jointly funded by the Australian and Queensland governments. </w:t>
      </w:r>
    </w:p>
    <w:p w14:paraId="475B2BEF" w14:textId="77777777" w:rsidR="00FA2FF9" w:rsidRPr="00730DE4" w:rsidRDefault="00FA2FF9" w:rsidP="00F55926">
      <w:pPr>
        <w:pStyle w:val="MessageHeader"/>
      </w:pPr>
      <w:r w:rsidRPr="00730DE4">
        <w:t xml:space="preserve">For more information </w:t>
      </w:r>
      <w:r w:rsidRPr="00730DE4">
        <w:br/>
      </w:r>
      <w:hyperlink r:id="rId38" w:history="1">
        <w:r w:rsidRPr="00730DE4">
          <w:rPr>
            <w:rStyle w:val="Hyperlink"/>
          </w:rPr>
          <w:t>https://www.tmr.qld.gov.au/projects/Bruce-Highway-Cairns-Southern-Access-Corridor-Stage-3-Edmonton-to-Gordonvale</w:t>
        </w:r>
      </w:hyperlink>
    </w:p>
    <w:p w14:paraId="0FB1592D" w14:textId="77777777" w:rsidR="00FA2FF9" w:rsidRPr="00730DE4" w:rsidRDefault="00FA2FF9" w:rsidP="002B7001">
      <w:pPr>
        <w:pStyle w:val="Heading4"/>
      </w:pPr>
      <w:bookmarkStart w:id="505" w:name="_Toc180487397"/>
      <w:bookmarkStart w:id="506" w:name="_Toc180490603"/>
      <w:bookmarkStart w:id="507" w:name="_Toc180491636"/>
      <w:r w:rsidRPr="00730DE4">
        <w:t>Case study: Bruce Highway (Ingham–Innisfail), Smiths Gap, construct southbound overtaking lane and fauna overpass</w:t>
      </w:r>
      <w:bookmarkEnd w:id="505"/>
      <w:bookmarkEnd w:id="506"/>
      <w:bookmarkEnd w:id="507"/>
    </w:p>
    <w:p w14:paraId="21B6D5A9" w14:textId="77777777" w:rsidR="00FA2FF9" w:rsidRPr="00730DE4" w:rsidRDefault="00FA2FF9" w:rsidP="00180FE0">
      <w:r w:rsidRPr="00730DE4">
        <w:t>Construction of a southbound overtaking lane and fauna crossing at Smiths Gap on the Bruce Highway was completed in March 2024.</w:t>
      </w:r>
    </w:p>
    <w:p w14:paraId="7E2F84B7" w14:textId="77777777" w:rsidR="00FA2FF9" w:rsidRPr="00730DE4" w:rsidRDefault="00FA2FF9" w:rsidP="00180FE0">
      <w:r w:rsidRPr="00730DE4">
        <w:t xml:space="preserve">The new overtaking lane will improve safety, capacity, and travelling conditions on the state-controlled road network. </w:t>
      </w:r>
    </w:p>
    <w:p w14:paraId="000355E6" w14:textId="77777777" w:rsidR="00FA2FF9" w:rsidRPr="00730DE4" w:rsidRDefault="00FA2FF9" w:rsidP="00180FE0">
      <w:r w:rsidRPr="00730DE4">
        <w:t>The new fauna crossing links critical corridors of known cassowary habitat in the Smiths Gap Cassowary Corridor.</w:t>
      </w:r>
    </w:p>
    <w:p w14:paraId="1B02FDF2" w14:textId="77777777" w:rsidR="00FA2FF9" w:rsidRPr="00730DE4" w:rsidRDefault="00FA2FF9" w:rsidP="00180FE0">
      <w:r w:rsidRPr="00730DE4">
        <w:t>Smiths Gap is an identified cassowary corridor and the fauna crossing will link critical corridors of the cassowary habitat.</w:t>
      </w:r>
    </w:p>
    <w:p w14:paraId="5CD4F8E4" w14:textId="77777777" w:rsidR="00FA2FF9" w:rsidRPr="00730DE4" w:rsidRDefault="00FA2FF9" w:rsidP="00180FE0">
      <w:r w:rsidRPr="00730DE4">
        <w:t>More than 1000 tonnes of concrete was poured to create the overpass, which included 40 precast half span arch units each weighing up to 22.7 tonnes.</w:t>
      </w:r>
    </w:p>
    <w:p w14:paraId="715D3188" w14:textId="77777777" w:rsidR="00FA2FF9" w:rsidRPr="00730DE4" w:rsidRDefault="00FA2FF9" w:rsidP="00180FE0">
      <w:r w:rsidRPr="00730DE4">
        <w:t xml:space="preserve">TMR continues to work closely with the Cassowary Recovery Team as part of the Smiths Gap project to identify ways to reduce the risk of cassowary road strikes. In collaboration with the Cassowary Recovery Team, the overpass will be planted with cassowary friendly plant species to ensure it operates as an effective wildlife land bridge. </w:t>
      </w:r>
    </w:p>
    <w:p w14:paraId="1F4229BE" w14:textId="77777777" w:rsidR="00FA2FF9" w:rsidRPr="00730DE4" w:rsidRDefault="00FA2FF9" w:rsidP="00180FE0">
      <w:r w:rsidRPr="00730DE4">
        <w:t>In October 2020, TMR completed a Cassowary Conservation Management Plan to identify strategies for reducing conflict between cassowaries and motorists. The plan was developed with input from cassowary advocacy groups and relevant government partner agencies through the Cassowary Recovery Team.</w:t>
      </w:r>
    </w:p>
    <w:p w14:paraId="484810E6" w14:textId="77777777" w:rsidR="00FA2FF9" w:rsidRPr="00730DE4" w:rsidRDefault="00FA2FF9" w:rsidP="00180FE0">
      <w:r w:rsidRPr="00730DE4">
        <w:t>This project was fully funded by the Australian Government under the Bruce Highway Overtaking Lane Program.</w:t>
      </w:r>
    </w:p>
    <w:p w14:paraId="0FBD2E36" w14:textId="77777777" w:rsidR="00FA2FF9" w:rsidRPr="00730DE4" w:rsidRDefault="00FA2FF9" w:rsidP="00180FE0">
      <w:pPr>
        <w:pStyle w:val="MessageHeader"/>
      </w:pPr>
      <w:r w:rsidRPr="00730DE4">
        <w:t xml:space="preserve">For more information </w:t>
      </w:r>
      <w:r w:rsidRPr="00730DE4">
        <w:br/>
      </w:r>
      <w:hyperlink r:id="rId39" w:history="1">
        <w:r w:rsidRPr="00730DE4">
          <w:rPr>
            <w:rStyle w:val="Hyperlink"/>
          </w:rPr>
          <w:t>https://www.tmr.qld.gov.au/projects/bruce-highway-ingham-innisfail-smiths-gap-construct-southbound-overtaking-lane-and-fauna-overpass</w:t>
        </w:r>
      </w:hyperlink>
    </w:p>
    <w:p w14:paraId="67A27B3F" w14:textId="77777777" w:rsidR="00FA2FF9" w:rsidRPr="00730DE4" w:rsidRDefault="00FA2FF9" w:rsidP="002B7001">
      <w:pPr>
        <w:pStyle w:val="Heading4"/>
      </w:pPr>
      <w:bookmarkStart w:id="508" w:name="_Toc180487398"/>
      <w:bookmarkStart w:id="509" w:name="_Toc180490604"/>
      <w:bookmarkStart w:id="510" w:name="_Toc180491637"/>
      <w:r w:rsidRPr="00730DE4">
        <w:t>Cape York Region Package Stage Two</w:t>
      </w:r>
      <w:bookmarkEnd w:id="508"/>
      <w:bookmarkEnd w:id="509"/>
      <w:bookmarkEnd w:id="510"/>
      <w:r w:rsidRPr="00730DE4">
        <w:t xml:space="preserve"> </w:t>
      </w:r>
    </w:p>
    <w:p w14:paraId="5F5F117A" w14:textId="77777777" w:rsidR="00FA2FF9" w:rsidRPr="00730DE4" w:rsidRDefault="00FA2FF9" w:rsidP="00180FE0">
      <w:r w:rsidRPr="00730DE4">
        <w:t>TMR is progressing the Cape York Region Package (CYRP) Stage Two package of works to upgrade road infrastructure on Cape York Peninsula. These works are a continuation of the successful CYRP Stage One program.</w:t>
      </w:r>
    </w:p>
    <w:p w14:paraId="5D2E5D3F" w14:textId="77777777" w:rsidR="00FA2FF9" w:rsidRPr="00730DE4" w:rsidRDefault="00FA2FF9" w:rsidP="00180FE0">
      <w:r w:rsidRPr="00730DE4">
        <w:t xml:space="preserve">TMR completed constructing the </w:t>
      </w:r>
      <w:bookmarkStart w:id="511" w:name="_Hlk173331071"/>
      <w:r w:rsidRPr="00730DE4">
        <w:t>2.4-kilometre Archer River crossing southern approach</w:t>
      </w:r>
      <w:bookmarkEnd w:id="511"/>
      <w:r w:rsidRPr="00730DE4">
        <w:t xml:space="preserve"> in early-November 2023. </w:t>
      </w:r>
    </w:p>
    <w:p w14:paraId="56BC1141" w14:textId="77777777" w:rsidR="00FA2FF9" w:rsidRPr="00730DE4" w:rsidRDefault="00FA2FF9" w:rsidP="00180FE0">
      <w:r w:rsidRPr="00730DE4">
        <w:t>CYRP Stage Two is creating training and employment opportunities for locals in Cape York. TMR has significantly exceeded its target for Aboriginal and Torres Strait Islander training and upskilling hours across projects on the Peninsula Developmental Road by achieving over 77,000 hours as at 30 June 2024, against a target of 20,349 hours.</w:t>
      </w:r>
    </w:p>
    <w:p w14:paraId="07EEBC83" w14:textId="77777777" w:rsidR="00FA2FF9" w:rsidRPr="00730DE4" w:rsidRDefault="00FA2FF9" w:rsidP="00180FE0">
      <w:r w:rsidRPr="00730DE4">
        <w:t>TMR is also working closely with local councils to progress delivery of the Community Access Roads Program. The last 21.8 kilometres of the 107 kilometre long Aurukun Access Road has been sealed. This is the first fully sealed community access road from the Peninsula Developmental Road under CYRP.</w:t>
      </w:r>
    </w:p>
    <w:p w14:paraId="6CC2B585" w14:textId="77777777" w:rsidR="00FA2FF9" w:rsidRPr="00730DE4" w:rsidRDefault="00FA2FF9" w:rsidP="00180FE0">
      <w:r w:rsidRPr="00730DE4">
        <w:t xml:space="preserve">This $323.12 million package of work is jointly funded by the Australian and Queensland governments. </w:t>
      </w:r>
    </w:p>
    <w:p w14:paraId="04BA978C" w14:textId="77777777" w:rsidR="00FA2FF9" w:rsidRPr="00730DE4" w:rsidRDefault="00FA2FF9" w:rsidP="00180FE0">
      <w:pPr>
        <w:pStyle w:val="MessageHeader"/>
      </w:pPr>
      <w:r w:rsidRPr="00730DE4">
        <w:t xml:space="preserve">For more information </w:t>
      </w:r>
      <w:r w:rsidRPr="00730DE4">
        <w:br/>
      </w:r>
      <w:hyperlink r:id="rId40" w:history="1">
        <w:r w:rsidRPr="00730DE4">
          <w:rPr>
            <w:rStyle w:val="Hyperlink"/>
          </w:rPr>
          <w:t>https://www.tmr.qld.gov.au/projects/cape-york-region-package-stage-2</w:t>
        </w:r>
      </w:hyperlink>
    </w:p>
    <w:p w14:paraId="05547C74" w14:textId="77777777" w:rsidR="00FA2FF9" w:rsidRPr="00730DE4" w:rsidRDefault="00FA2FF9" w:rsidP="002B7001">
      <w:pPr>
        <w:pStyle w:val="Heading4"/>
      </w:pPr>
      <w:bookmarkStart w:id="512" w:name="_Toc180487399"/>
      <w:bookmarkStart w:id="513" w:name="_Toc180490605"/>
      <w:bookmarkStart w:id="514" w:name="_Toc180491638"/>
      <w:r w:rsidRPr="00730DE4">
        <w:t>Bruce Highway, Cairns Southern Access Corridor (Stage Five), Foster Road upgrade intersection</w:t>
      </w:r>
      <w:bookmarkEnd w:id="512"/>
      <w:bookmarkEnd w:id="513"/>
      <w:bookmarkEnd w:id="514"/>
    </w:p>
    <w:p w14:paraId="15371029" w14:textId="77777777" w:rsidR="00FA2FF9" w:rsidRPr="00730DE4" w:rsidRDefault="00FA2FF9" w:rsidP="00F55926">
      <w:r w:rsidRPr="00730DE4">
        <w:t>Planning for the Bruce Highway, Cairns Southern Access Corridor (Stage Five), Foster Road upgrade intersection project will assess and recommend options to upgrade this intersection.</w:t>
      </w:r>
    </w:p>
    <w:p w14:paraId="7C73BA33" w14:textId="77777777" w:rsidR="00FA2FF9" w:rsidRPr="00730DE4" w:rsidRDefault="00FA2FF9" w:rsidP="00F55926">
      <w:r w:rsidRPr="00730DE4">
        <w:t>This project will build on the existing commitments made along the Cairns Southern Access Corridor, including upgrades between Edmonton and Gordonvale, Robert Road and Foster Road, and Kate Street (renamed Links Drive) and Aumuller Road.</w:t>
      </w:r>
    </w:p>
    <w:p w14:paraId="7EBB3767" w14:textId="77777777" w:rsidR="00FA2FF9" w:rsidRPr="00730DE4" w:rsidRDefault="00FA2FF9" w:rsidP="00F55926">
      <w:r w:rsidRPr="00730DE4">
        <w:t xml:space="preserve">The upgrade aims to create a safer, more connected experience for drivers, pedestrians, and bike riders. </w:t>
      </w:r>
    </w:p>
    <w:p w14:paraId="6F495470" w14:textId="77777777" w:rsidR="00FA2FF9" w:rsidRPr="00730DE4" w:rsidRDefault="00FA2FF9" w:rsidP="00F55926">
      <w:r w:rsidRPr="00730DE4">
        <w:t>This $225 million project is jointly funded by the Australian and Queensland governments.</w:t>
      </w:r>
    </w:p>
    <w:p w14:paraId="6B394DC9" w14:textId="77777777" w:rsidR="00FA2FF9" w:rsidRPr="00730DE4" w:rsidRDefault="00FA2FF9" w:rsidP="00F55926">
      <w:pPr>
        <w:pStyle w:val="MessageHeader"/>
      </w:pPr>
      <w:r w:rsidRPr="00730DE4">
        <w:t xml:space="preserve">For more information </w:t>
      </w:r>
      <w:r w:rsidRPr="00730DE4">
        <w:br/>
      </w:r>
      <w:hyperlink r:id="rId41" w:history="1">
        <w:r w:rsidRPr="00730DE4">
          <w:rPr>
            <w:rStyle w:val="Hyperlink"/>
          </w:rPr>
          <w:t>https://www.tmr.qld.gov.au/projects/bruce-highway-cairns-southern-access-corridor-stage-5-foster-road-upgrade-intersection</w:t>
        </w:r>
      </w:hyperlink>
    </w:p>
    <w:p w14:paraId="106A1707" w14:textId="77777777" w:rsidR="00FA2FF9" w:rsidRPr="00730DE4" w:rsidRDefault="00FA2FF9" w:rsidP="002B7001">
      <w:pPr>
        <w:pStyle w:val="Heading4"/>
      </w:pPr>
      <w:bookmarkStart w:id="515" w:name="_Toc180487400"/>
      <w:bookmarkStart w:id="516" w:name="_Toc180490606"/>
      <w:bookmarkStart w:id="517" w:name="_Toc180491639"/>
      <w:bookmarkStart w:id="518" w:name="_Hlk173230453"/>
      <w:r w:rsidRPr="00730DE4">
        <w:t>Kennedy Highway (Cairns to Mareeba), Barron River bridge upgrade, planning</w:t>
      </w:r>
      <w:bookmarkEnd w:id="515"/>
      <w:bookmarkEnd w:id="516"/>
      <w:bookmarkEnd w:id="517"/>
      <w:r w:rsidRPr="00730DE4">
        <w:t xml:space="preserve"> </w:t>
      </w:r>
    </w:p>
    <w:bookmarkEnd w:id="518"/>
    <w:p w14:paraId="51021686" w14:textId="77777777" w:rsidR="00FA2FF9" w:rsidRPr="00730DE4" w:rsidRDefault="00FA2FF9" w:rsidP="00F55926">
      <w:r w:rsidRPr="00730DE4">
        <w:t>The Barron River bridge, located on the Kennedy Highway near Kuranda, was constructed in 1963 and is a vital link in the transport network in Far North Queensland.</w:t>
      </w:r>
    </w:p>
    <w:p w14:paraId="5826E83F" w14:textId="77777777" w:rsidR="00FA2FF9" w:rsidRPr="00730DE4" w:rsidRDefault="00FA2FF9" w:rsidP="00F55926">
      <w:r w:rsidRPr="00730DE4">
        <w:t>Inspections in 2020 revealed fatigue cracks in certain steel components of the bridge. These cracks are attributed to decades of exposure to heavy vehicle loads, which have significantly increased since the bridge's construction. TMR undertook thorough investigations, testing, and repair works to ensure the bridge is safe, however, the bridge is nearing the end of its structural and economic life.</w:t>
      </w:r>
    </w:p>
    <w:p w14:paraId="67A8A35C" w14:textId="7741091E" w:rsidR="00EA1647" w:rsidRDefault="00FA2FF9" w:rsidP="00F55926">
      <w:r w:rsidRPr="00730DE4">
        <w:t>In late-2023, the two highest-ranked options (a major upgrade option and a new bridge option along a new alignment) were presented to key stakeholders and the local community for feedback.</w:t>
      </w:r>
      <w:r w:rsidR="00EA1647">
        <w:br w:type="page"/>
      </w:r>
    </w:p>
    <w:p w14:paraId="4B8FDE88" w14:textId="77777777" w:rsidR="00FA2FF9" w:rsidRPr="00730DE4" w:rsidRDefault="00FA2FF9" w:rsidP="00F55926">
      <w:r w:rsidRPr="00730DE4">
        <w:t>TMR is undertaking a planning study to determine the best long-term solution for the bridge that is expected to be completed in late-2024.</w:t>
      </w:r>
    </w:p>
    <w:p w14:paraId="6958E6A3" w14:textId="77777777" w:rsidR="00FA2FF9" w:rsidRPr="00730DE4" w:rsidRDefault="00FA2FF9" w:rsidP="00F55926">
      <w:pPr>
        <w:pStyle w:val="MessageHeader"/>
      </w:pPr>
      <w:r w:rsidRPr="00730DE4">
        <w:t xml:space="preserve">For more information </w:t>
      </w:r>
      <w:r w:rsidRPr="00730DE4">
        <w:br/>
      </w:r>
      <w:hyperlink r:id="rId42" w:history="1">
        <w:r w:rsidRPr="00730DE4">
          <w:rPr>
            <w:rStyle w:val="Hyperlink"/>
          </w:rPr>
          <w:t>https://www.tmr.qld.gov.au/projects/kennedy-highway-cairns-mareeba-barron-river-bridge-upgrade-planning</w:t>
        </w:r>
      </w:hyperlink>
    </w:p>
    <w:p w14:paraId="1294F640" w14:textId="77777777" w:rsidR="00FA2FF9" w:rsidRPr="00730DE4" w:rsidRDefault="00FA2FF9" w:rsidP="002B7001">
      <w:pPr>
        <w:pStyle w:val="Heading4"/>
      </w:pPr>
      <w:bookmarkStart w:id="519" w:name="_Toc180487401"/>
      <w:bookmarkStart w:id="520" w:name="_Toc180490607"/>
      <w:bookmarkStart w:id="521" w:name="_Toc180491640"/>
      <w:r w:rsidRPr="00730DE4">
        <w:t>Peninsula Developmental Road (Coen to Weipa), Archer River Crossing, bridge construction</w:t>
      </w:r>
      <w:bookmarkEnd w:id="519"/>
      <w:bookmarkEnd w:id="520"/>
      <w:bookmarkEnd w:id="521"/>
      <w:r w:rsidRPr="00730DE4">
        <w:t xml:space="preserve"> </w:t>
      </w:r>
    </w:p>
    <w:p w14:paraId="77B7B277" w14:textId="77777777" w:rsidR="00FA2FF9" w:rsidRPr="00730DE4" w:rsidRDefault="00FA2FF9" w:rsidP="00F55926">
      <w:r w:rsidRPr="00730DE4">
        <w:t>TMR is constructing a new bridge on the Archer River, north of Coen, under the CYRP Stage Two package of works.</w:t>
      </w:r>
    </w:p>
    <w:p w14:paraId="5D46686E" w14:textId="77777777" w:rsidR="00FA2FF9" w:rsidRPr="00730DE4" w:rsidRDefault="00FA2FF9" w:rsidP="00F55926">
      <w:r w:rsidRPr="00730DE4">
        <w:t>This project presented significant geological challenges, especially in relation to the rock bed in Archer River. To overcome these, changes were made to design and construction methodology, including drilling directly into the rock and pouring concrete to create 'cast in place' footings to support the bridge foundations.</w:t>
      </w:r>
    </w:p>
    <w:p w14:paraId="71211EB2" w14:textId="77777777" w:rsidR="00FA2FF9" w:rsidRPr="00730DE4" w:rsidRDefault="00FA2FF9" w:rsidP="00F55926">
      <w:r w:rsidRPr="00730DE4">
        <w:t xml:space="preserve">In December, the substructure at either end of the new bridge, and all footings supporting the bridge foundations, including four of the nine deck units were completed prior to the 2023–24 wet season. </w:t>
      </w:r>
    </w:p>
    <w:p w14:paraId="1EA39198" w14:textId="77777777" w:rsidR="00FA2FF9" w:rsidRPr="00730DE4" w:rsidRDefault="00FA2FF9" w:rsidP="00F55926">
      <w:r w:rsidRPr="00730DE4">
        <w:t>The bridge is expected to be open to through traffic in late-2024, weather and construction conditions permitting.</w:t>
      </w:r>
    </w:p>
    <w:p w14:paraId="041542AC" w14:textId="77777777" w:rsidR="00FA2FF9" w:rsidRPr="00730DE4" w:rsidRDefault="00FA2FF9" w:rsidP="00F55926">
      <w:r w:rsidRPr="00730DE4">
        <w:t>This $131.252 million project is part of CYRP Stage Two package of works, jointly funded by the Australian and Queensland governments.</w:t>
      </w:r>
    </w:p>
    <w:p w14:paraId="3EAB7AC7" w14:textId="77777777" w:rsidR="00FA2FF9" w:rsidRPr="00730DE4" w:rsidRDefault="00FA2FF9" w:rsidP="00F55926">
      <w:pPr>
        <w:pStyle w:val="MessageHeader"/>
      </w:pPr>
      <w:r w:rsidRPr="00730DE4">
        <w:t xml:space="preserve">For more information </w:t>
      </w:r>
      <w:r w:rsidRPr="00730DE4">
        <w:br/>
      </w:r>
      <w:hyperlink r:id="rId43" w:history="1">
        <w:r w:rsidRPr="00730DE4">
          <w:rPr>
            <w:rStyle w:val="Hyperlink"/>
          </w:rPr>
          <w:t>https://www.tmr.qld.gov.au/projects/cape-york-region-package-stage-2</w:t>
        </w:r>
      </w:hyperlink>
    </w:p>
    <w:p w14:paraId="53920A45" w14:textId="77777777" w:rsidR="00FA2FF9" w:rsidRPr="00730DE4" w:rsidRDefault="00FA2FF9" w:rsidP="002B7001">
      <w:pPr>
        <w:pStyle w:val="Heading4"/>
      </w:pPr>
      <w:bookmarkStart w:id="522" w:name="_Toc180487402"/>
      <w:bookmarkStart w:id="523" w:name="_Toc180490608"/>
      <w:bookmarkStart w:id="524" w:name="_Toc180491641"/>
      <w:bookmarkStart w:id="525" w:name="_Hlk173147031"/>
      <w:r w:rsidRPr="00730DE4">
        <w:t>Local Fare Scheme</w:t>
      </w:r>
      <w:bookmarkEnd w:id="522"/>
      <w:bookmarkEnd w:id="523"/>
      <w:bookmarkEnd w:id="524"/>
    </w:p>
    <w:p w14:paraId="24A0DB13" w14:textId="77777777" w:rsidR="00FA2FF9" w:rsidRPr="00730DE4" w:rsidRDefault="00FA2FF9" w:rsidP="00F55926">
      <w:r w:rsidRPr="00730DE4">
        <w:t xml:space="preserve">The Local Fare Scheme (LFS) is an airfare subsidy program that has been in place since 2015 to reduce the cost of airfares for Queenslanders living in remote communities. </w:t>
      </w:r>
    </w:p>
    <w:p w14:paraId="4A0131DB" w14:textId="77777777" w:rsidR="00FA2FF9" w:rsidRPr="00730DE4" w:rsidRDefault="00FA2FF9" w:rsidP="00F55926">
      <w:r w:rsidRPr="00730DE4">
        <w:t>The LFS provides a subsidy of up to $200 towards a one-way fare for eligible residents in Cape York, Gulf of Carpentaria, and the Torres Strait. This facilitates more affordable travel for access to health, education, and allied services, and assists to promote social and recreational connections.</w:t>
      </w:r>
    </w:p>
    <w:p w14:paraId="4ECCC03B" w14:textId="4B830BA1" w:rsidR="00FA2FF9" w:rsidRPr="00730DE4" w:rsidRDefault="00FA2FF9" w:rsidP="00F55926">
      <w:r w:rsidRPr="00730DE4">
        <w:t>The scheme is administered in collaboration with participating airlines and in partnership with local councils throughout Cape York, the Torres Strait, and selected locations in the Gulf of Carpentaria.</w:t>
      </w:r>
      <w:r w:rsidR="009510A5" w:rsidRPr="00730DE4">
        <w:t xml:space="preserve"> </w:t>
      </w:r>
      <w:r w:rsidRPr="00730DE4">
        <w:t>After consultation with key stakeholders, the scheme was extended until 30 June 2028, providing much needed certainty for communities who benefit from the scheme.</w:t>
      </w:r>
    </w:p>
    <w:p w14:paraId="1FF78954" w14:textId="77777777" w:rsidR="00FA2FF9" w:rsidRPr="00730DE4" w:rsidRDefault="00FA2FF9" w:rsidP="003C02B3">
      <w:r w:rsidRPr="00730DE4">
        <w:t xml:space="preserve">In 2023–24, 41,000 discounted flights were provided under the LFS. </w:t>
      </w:r>
    </w:p>
    <w:p w14:paraId="765C1296" w14:textId="77777777" w:rsidR="00FA2FF9" w:rsidRPr="00730DE4" w:rsidRDefault="00FA2FF9" w:rsidP="00F55926">
      <w:r w:rsidRPr="00730DE4">
        <w:t>The scheme features the following key benefits:</w:t>
      </w:r>
    </w:p>
    <w:p w14:paraId="4541F1BD" w14:textId="77777777" w:rsidR="00FA2FF9" w:rsidRPr="00730DE4" w:rsidRDefault="00FA2FF9" w:rsidP="00F55926">
      <w:pPr>
        <w:pStyle w:val="ListBullet"/>
      </w:pPr>
      <w:r w:rsidRPr="00730DE4">
        <w:t>The scheme allows eligible residents to book one-way fares and travel throughout the entire LFS region. Customers can combine flights to reach more destinations making access to key hubs like Cairns more accessible to remote communities.</w:t>
      </w:r>
    </w:p>
    <w:p w14:paraId="0DE3B335" w14:textId="77777777" w:rsidR="00FA2FF9" w:rsidRPr="00730DE4" w:rsidRDefault="00FA2FF9" w:rsidP="00F55926">
      <w:pPr>
        <w:pStyle w:val="ListBullet"/>
      </w:pPr>
      <w:r w:rsidRPr="00730DE4">
        <w:t>The eligibility period to access the scheme is 12 months (except for Weipa which is three years). This means key personnel like teachers and police stationed in remote locations can access the scheme after a 12-month residency within the LFS region.</w:t>
      </w:r>
    </w:p>
    <w:p w14:paraId="735EC008" w14:textId="77777777" w:rsidR="00FA2FF9" w:rsidRPr="00730DE4" w:rsidRDefault="00FA2FF9" w:rsidP="00F55926">
      <w:pPr>
        <w:pStyle w:val="ListBullet"/>
      </w:pPr>
      <w:r w:rsidRPr="00730DE4">
        <w:t>Eligible residents can travel to and from anywhere in the LFS region up to a maximum of 24 flights per year.</w:t>
      </w:r>
    </w:p>
    <w:p w14:paraId="14F9F390" w14:textId="77777777" w:rsidR="00FA2FF9" w:rsidRPr="00730DE4" w:rsidRDefault="00FA2FF9" w:rsidP="00F55926">
      <w:pPr>
        <w:pStyle w:val="ListBullet"/>
      </w:pPr>
      <w:r w:rsidRPr="00730DE4">
        <w:t>Moving around the region has also become easier, with eligible residents able to continue accessing the scheme when moving from one eligible community to another.</w:t>
      </w:r>
    </w:p>
    <w:p w14:paraId="5A1D7512" w14:textId="353BFF72" w:rsidR="00FA2FF9" w:rsidRPr="00730DE4" w:rsidRDefault="00FA2FF9" w:rsidP="00F55926">
      <w:r w:rsidRPr="00730DE4">
        <w:t>The scheme continues to provide assistance to residents of the Mount Isa Renal unit and the Lena Passi Women’s shelter with subsidised trips to their home communities.</w:t>
      </w:r>
      <w:r w:rsidR="009510A5" w:rsidRPr="00730DE4">
        <w:t xml:space="preserve"> </w:t>
      </w:r>
      <w:r w:rsidRPr="00730DE4">
        <w:t>Also, as a vital part of residents being able to return to country, TMR in collaboration with the Cairns QPS, continue to provide assistance to residents wishing to return to their home communities from Cairns.</w:t>
      </w:r>
    </w:p>
    <w:p w14:paraId="37212641" w14:textId="77777777" w:rsidR="00FA2FF9" w:rsidRPr="00730DE4" w:rsidRDefault="00FA2FF9" w:rsidP="00976881">
      <w:pPr>
        <w:pStyle w:val="MessageHeader"/>
      </w:pPr>
      <w:r w:rsidRPr="00730DE4">
        <w:t xml:space="preserve">For more information </w:t>
      </w:r>
      <w:r w:rsidRPr="00730DE4">
        <w:br/>
      </w:r>
      <w:hyperlink r:id="rId44" w:history="1">
        <w:r w:rsidRPr="00730DE4">
          <w:rPr>
            <w:rStyle w:val="Hyperlink"/>
          </w:rPr>
          <w:t>https://www.tmr.qld.gov.au/travel-and-transport/local-fare-scheme-far-north-queensland</w:t>
        </w:r>
      </w:hyperlink>
    </w:p>
    <w:p w14:paraId="4AD516CA" w14:textId="77777777" w:rsidR="00464141" w:rsidRPr="00730DE4" w:rsidRDefault="00464141">
      <w:pPr>
        <w:suppressAutoHyphens w:val="0"/>
        <w:spacing w:before="0" w:line="259" w:lineRule="auto"/>
        <w:rPr>
          <w:rFonts w:eastAsiaTheme="majorEastAsia" w:cstheme="majorBidi"/>
          <w:color w:val="080C0F" w:themeColor="text1"/>
          <w:sz w:val="44"/>
          <w:szCs w:val="28"/>
        </w:rPr>
      </w:pPr>
      <w:bookmarkStart w:id="526" w:name="_Hlk173147132"/>
      <w:bookmarkEnd w:id="525"/>
      <w:r w:rsidRPr="00730DE4">
        <w:br w:type="page"/>
      </w:r>
    </w:p>
    <w:p w14:paraId="0DC568FA" w14:textId="05593864" w:rsidR="00FA2FF9" w:rsidRPr="00730DE4" w:rsidRDefault="00FA2FF9" w:rsidP="002B7001">
      <w:pPr>
        <w:pStyle w:val="Heading3"/>
      </w:pPr>
      <w:bookmarkStart w:id="527" w:name="_Toc180487403"/>
      <w:bookmarkStart w:id="528" w:name="_Toc180490609"/>
      <w:bookmarkStart w:id="529" w:name="_Toc180491642"/>
      <w:r w:rsidRPr="00730DE4">
        <w:t>North West</w:t>
      </w:r>
      <w:bookmarkEnd w:id="527"/>
      <w:bookmarkEnd w:id="528"/>
      <w:bookmarkEnd w:id="529"/>
    </w:p>
    <w:bookmarkEnd w:id="526"/>
    <w:p w14:paraId="6958FEBB" w14:textId="77777777" w:rsidR="00FA2FF9" w:rsidRPr="00730DE4" w:rsidRDefault="00FA2FF9" w:rsidP="00AE1155">
      <w:pPr>
        <w:pStyle w:val="ListBullet"/>
      </w:pPr>
      <w:r w:rsidRPr="00730DE4">
        <w:t xml:space="preserve">Area covered: </w:t>
      </w:r>
      <w:r w:rsidRPr="00730DE4">
        <w:rPr>
          <w:rStyle w:val="Strong"/>
        </w:rPr>
        <w:t>307,082 km</w:t>
      </w:r>
      <w:r w:rsidRPr="00730DE4">
        <w:rPr>
          <w:rStyle w:val="Strong"/>
          <w:vertAlign w:val="superscript"/>
        </w:rPr>
        <w:t>2</w:t>
      </w:r>
    </w:p>
    <w:p w14:paraId="163149D1" w14:textId="77777777" w:rsidR="00FA2FF9" w:rsidRPr="00730DE4" w:rsidRDefault="00FA2FF9" w:rsidP="00AE1155">
      <w:pPr>
        <w:pStyle w:val="ListBullet"/>
        <w:rPr>
          <w:b/>
          <w:bCs/>
        </w:rPr>
      </w:pPr>
      <w:r w:rsidRPr="00730DE4">
        <w:t xml:space="preserve">Population of Queensland: </w:t>
      </w:r>
      <w:r w:rsidRPr="00730DE4">
        <w:rPr>
          <w:rStyle w:val="Strong"/>
        </w:rPr>
        <w:t>0.57%*</w:t>
      </w:r>
    </w:p>
    <w:p w14:paraId="7BE99064" w14:textId="77777777" w:rsidR="00FA2FF9" w:rsidRPr="00730DE4" w:rsidRDefault="00FA2FF9" w:rsidP="002B7001">
      <w:pPr>
        <w:pStyle w:val="Heading4"/>
      </w:pPr>
      <w:bookmarkStart w:id="530" w:name="_Toc180487404"/>
      <w:bookmarkStart w:id="531" w:name="_Toc180490610"/>
      <w:bookmarkStart w:id="532" w:name="_Toc180491643"/>
      <w:r w:rsidRPr="00730DE4">
        <w:t>Fast facts</w:t>
      </w:r>
      <w:bookmarkEnd w:id="530"/>
      <w:bookmarkEnd w:id="531"/>
      <w:bookmarkEnd w:id="532"/>
    </w:p>
    <w:p w14:paraId="4A5558BE" w14:textId="77777777" w:rsidR="00FA2FF9" w:rsidRPr="00730DE4" w:rsidRDefault="00FA2FF9" w:rsidP="00AE1155">
      <w:pPr>
        <w:pStyle w:val="ListBullet"/>
      </w:pPr>
      <w:r w:rsidRPr="00730DE4">
        <w:t xml:space="preserve">State-controlled road**: </w:t>
      </w:r>
      <w:r w:rsidRPr="00730DE4">
        <w:rPr>
          <w:rStyle w:val="Strong"/>
        </w:rPr>
        <w:t>3586KM</w:t>
      </w:r>
    </w:p>
    <w:p w14:paraId="473A5A26" w14:textId="77777777" w:rsidR="00FA2FF9" w:rsidRPr="00730DE4" w:rsidRDefault="00FA2FF9" w:rsidP="00AE1155">
      <w:pPr>
        <w:pStyle w:val="ListBullet"/>
      </w:pPr>
      <w:r w:rsidRPr="00730DE4">
        <w:t xml:space="preserve">National Land Transport Network**: </w:t>
      </w:r>
      <w:r w:rsidRPr="00730DE4">
        <w:rPr>
          <w:rStyle w:val="Strong"/>
        </w:rPr>
        <w:t>1024KM</w:t>
      </w:r>
    </w:p>
    <w:p w14:paraId="24A13794" w14:textId="77777777" w:rsidR="00FA2FF9" w:rsidRPr="00730DE4" w:rsidRDefault="00FA2FF9" w:rsidP="00AE1155">
      <w:pPr>
        <w:pStyle w:val="ListBullet"/>
      </w:pPr>
      <w:r w:rsidRPr="00730DE4">
        <w:t xml:space="preserve">Vehicle and machinery registrations: </w:t>
      </w:r>
      <w:r w:rsidRPr="00730DE4">
        <w:rPr>
          <w:rStyle w:val="Strong"/>
        </w:rPr>
        <w:t>37,921</w:t>
      </w:r>
    </w:p>
    <w:p w14:paraId="57DDDF16" w14:textId="77777777" w:rsidR="00FA2FF9" w:rsidRPr="00730DE4" w:rsidRDefault="00FA2FF9" w:rsidP="00AE1155">
      <w:pPr>
        <w:pStyle w:val="ListBullet"/>
      </w:pPr>
      <w:r w:rsidRPr="00730DE4">
        <w:t xml:space="preserve">Boating infrastructures: </w:t>
      </w:r>
      <w:r w:rsidRPr="00730DE4">
        <w:rPr>
          <w:rStyle w:val="Strong"/>
        </w:rPr>
        <w:t>4</w:t>
      </w:r>
    </w:p>
    <w:p w14:paraId="75C44347" w14:textId="77777777" w:rsidR="00FA2FF9" w:rsidRPr="00730DE4" w:rsidRDefault="00FA2FF9" w:rsidP="00AE1155">
      <w:pPr>
        <w:pStyle w:val="ListBullet"/>
      </w:pPr>
      <w:r w:rsidRPr="00730DE4">
        <w:t xml:space="preserve">Community safety events held: </w:t>
      </w:r>
      <w:r w:rsidRPr="00730DE4">
        <w:rPr>
          <w:rStyle w:val="Strong"/>
        </w:rPr>
        <w:t>9</w:t>
      </w:r>
    </w:p>
    <w:p w14:paraId="0555F767" w14:textId="77777777" w:rsidR="00FA2FF9" w:rsidRPr="00730DE4" w:rsidRDefault="00FA2FF9" w:rsidP="00AE1155">
      <w:pPr>
        <w:pStyle w:val="ListBullet"/>
      </w:pPr>
      <w:r w:rsidRPr="00730DE4">
        <w:t xml:space="preserve">Vehicle and machinery inspections completed: </w:t>
      </w:r>
      <w:r w:rsidRPr="00730DE4">
        <w:rPr>
          <w:rStyle w:val="Strong"/>
        </w:rPr>
        <w:t>1662</w:t>
      </w:r>
    </w:p>
    <w:p w14:paraId="4E00E097" w14:textId="77777777" w:rsidR="00FA2FF9" w:rsidRPr="00730DE4" w:rsidRDefault="00FA2FF9" w:rsidP="00AE1155">
      <w:pPr>
        <w:pStyle w:val="ListBullet"/>
      </w:pPr>
      <w:r w:rsidRPr="00730DE4">
        <w:t xml:space="preserve">Bridges***: </w:t>
      </w:r>
      <w:r w:rsidRPr="00730DE4">
        <w:rPr>
          <w:rStyle w:val="Strong"/>
        </w:rPr>
        <w:t>87</w:t>
      </w:r>
    </w:p>
    <w:p w14:paraId="12B4E736" w14:textId="77777777" w:rsidR="00FA2FF9" w:rsidRPr="00730DE4" w:rsidRDefault="00FA2FF9" w:rsidP="00AE1155">
      <w:pPr>
        <w:pStyle w:val="ListBullet"/>
      </w:pPr>
      <w:r w:rsidRPr="00730DE4">
        <w:t xml:space="preserve">Driver licence tests conducted: </w:t>
      </w:r>
      <w:r w:rsidRPr="00730DE4">
        <w:rPr>
          <w:rStyle w:val="Strong"/>
        </w:rPr>
        <w:t>1402</w:t>
      </w:r>
    </w:p>
    <w:p w14:paraId="4116BABD" w14:textId="77777777" w:rsidR="00FA2FF9" w:rsidRPr="00730DE4" w:rsidRDefault="00FA2FF9" w:rsidP="00AE1155">
      <w:pPr>
        <w:pStyle w:val="ListBullet"/>
      </w:pPr>
      <w:r w:rsidRPr="00730DE4">
        <w:t xml:space="preserve">Customer face-to-face interactions: </w:t>
      </w:r>
      <w:r w:rsidRPr="00730DE4">
        <w:rPr>
          <w:rStyle w:val="Strong"/>
        </w:rPr>
        <w:t>27,729</w:t>
      </w:r>
    </w:p>
    <w:p w14:paraId="2006C060" w14:textId="77777777" w:rsidR="00FA2FF9" w:rsidRPr="00730DE4" w:rsidRDefault="00FA2FF9" w:rsidP="00AE1155">
      <w:pPr>
        <w:pStyle w:val="ListBullet"/>
        <w:rPr>
          <w:rStyle w:val="Strong"/>
          <w:b w:val="0"/>
          <w:bCs w:val="0"/>
        </w:rPr>
      </w:pPr>
      <w:r w:rsidRPr="00730DE4">
        <w:t xml:space="preserve">Priority-enabled intersections: </w:t>
      </w:r>
      <w:r w:rsidRPr="00730DE4">
        <w:rPr>
          <w:rStyle w:val="Strong"/>
        </w:rPr>
        <w:t>6</w:t>
      </w:r>
    </w:p>
    <w:p w14:paraId="026CC23C" w14:textId="77777777" w:rsidR="005628F2" w:rsidRPr="00730DE4" w:rsidRDefault="00FA2FF9" w:rsidP="005628F2">
      <w:pPr>
        <w:pStyle w:val="Caption"/>
        <w:rPr>
          <w:rStyle w:val="Strong"/>
        </w:rPr>
      </w:pPr>
      <w:r w:rsidRPr="00730DE4">
        <w:rPr>
          <w:rStyle w:val="Strong"/>
        </w:rPr>
        <w:t xml:space="preserve">Data source: </w:t>
      </w:r>
      <w:r w:rsidRPr="00730DE4">
        <w:t>*Queensland Government Statistician's Office (Queensland Treasury), Queensland Regional Profiles. www.qgso.qld.gov.au, July 2024</w:t>
      </w:r>
      <w:r w:rsidRPr="00730DE4">
        <w:rPr>
          <w:rStyle w:val="Strong"/>
        </w:rPr>
        <w:t xml:space="preserve"> </w:t>
      </w:r>
    </w:p>
    <w:p w14:paraId="7D1C1AEF" w14:textId="77777777" w:rsidR="005628F2" w:rsidRPr="00730DE4" w:rsidRDefault="00FA2FF9" w:rsidP="005628F2">
      <w:pPr>
        <w:pStyle w:val="Caption"/>
      </w:pPr>
      <w:r w:rsidRPr="00730DE4">
        <w:rPr>
          <w:rStyle w:val="Strong"/>
        </w:rPr>
        <w:t>Data source:</w:t>
      </w:r>
      <w:r w:rsidRPr="00730DE4">
        <w:t xml:space="preserve"> **A Road Management Information System (ARMIS) 30 June 2024</w:t>
      </w:r>
    </w:p>
    <w:p w14:paraId="3E0EE2F0" w14:textId="3A423431" w:rsidR="00FA2FF9" w:rsidRPr="00730DE4" w:rsidRDefault="00FA2FF9" w:rsidP="005628F2">
      <w:pPr>
        <w:pStyle w:val="Caption"/>
        <w:rPr>
          <w:b/>
        </w:rPr>
      </w:pPr>
      <w:r w:rsidRPr="00730DE4">
        <w:rPr>
          <w:rStyle w:val="Strong"/>
        </w:rPr>
        <w:t>Data source:</w:t>
      </w:r>
      <w:r w:rsidRPr="00730DE4">
        <w:t xml:space="preserve"> ***Bridge Information System (BIS), 30 June 2024</w:t>
      </w:r>
    </w:p>
    <w:p w14:paraId="5C24F6A4" w14:textId="77777777" w:rsidR="00FA2FF9" w:rsidRPr="00730DE4" w:rsidRDefault="00FA2FF9" w:rsidP="002B7001">
      <w:pPr>
        <w:pStyle w:val="Heading4"/>
      </w:pPr>
      <w:bookmarkStart w:id="533" w:name="_Toc180487405"/>
      <w:bookmarkStart w:id="534" w:name="_Toc180490611"/>
      <w:bookmarkStart w:id="535" w:name="_Toc180491644"/>
      <w:r w:rsidRPr="00730DE4">
        <w:t>Kennedy Developmental Road (The Lynd to Hughenden), progressive sealing</w:t>
      </w:r>
      <w:bookmarkEnd w:id="533"/>
      <w:bookmarkEnd w:id="534"/>
      <w:bookmarkEnd w:id="535"/>
    </w:p>
    <w:p w14:paraId="1116C92C" w14:textId="77777777" w:rsidR="00FA2FF9" w:rsidRPr="00730DE4" w:rsidRDefault="00FA2FF9" w:rsidP="00695B53">
      <w:r w:rsidRPr="00730DE4">
        <w:t>The Kennedy Developmental Road (The Lynd–Hughenden) upgrade project progressively sealed 48.18 kilometres of various sections of the road.</w:t>
      </w:r>
    </w:p>
    <w:p w14:paraId="32305D6D" w14:textId="77777777" w:rsidR="00FA2FF9" w:rsidRPr="00730DE4" w:rsidRDefault="00FA2FF9" w:rsidP="00695B53">
      <w:r w:rsidRPr="00730DE4">
        <w:t>The project, jointly delivered by both the Etheridge and Flinders Shire Councils, enhances rural and regional liveability through improved access for essential services providing community benefits. The upgrades improved road safety by providing an eight-metre wide road catering for heavy freight loads and improved flood immunity. This project was the second stage of works, following the previous sealing project which was funded under the Northern Australia Roads Program.</w:t>
      </w:r>
    </w:p>
    <w:p w14:paraId="44CA669B" w14:textId="3AACC8E1" w:rsidR="00FA2FF9" w:rsidRPr="00730DE4" w:rsidRDefault="00FA2FF9" w:rsidP="00695B53">
      <w:r w:rsidRPr="00730DE4">
        <w:t>Only ten kilometres of unsealed road now remains along the Kennedy Developmental Road between The Lynd and Hughenden in the Etheridge Shire.</w:t>
      </w:r>
      <w:r w:rsidR="009510A5" w:rsidRPr="00730DE4">
        <w:t xml:space="preserve"> </w:t>
      </w:r>
      <w:r w:rsidRPr="00730DE4">
        <w:t>This project was jointly funded by the Australian and Queensland governments.</w:t>
      </w:r>
    </w:p>
    <w:p w14:paraId="23CF30FC" w14:textId="77777777" w:rsidR="00FA2FF9" w:rsidRPr="00730DE4" w:rsidRDefault="00FA2FF9" w:rsidP="00695B53">
      <w:pPr>
        <w:pStyle w:val="MessageHeader"/>
      </w:pPr>
      <w:r w:rsidRPr="00730DE4">
        <w:t xml:space="preserve">For more information </w:t>
      </w:r>
      <w:r w:rsidRPr="00730DE4">
        <w:br/>
      </w:r>
      <w:hyperlink r:id="rId45" w:history="1">
        <w:r w:rsidRPr="00730DE4">
          <w:rPr>
            <w:rStyle w:val="Hyperlink"/>
          </w:rPr>
          <w:t>https://www.tmr.qld.gov.au/projects/kennedy-developmental-road-the-lynd-to-hughenden-upgrade</w:t>
        </w:r>
      </w:hyperlink>
    </w:p>
    <w:p w14:paraId="5E9703DE" w14:textId="77777777" w:rsidR="00FA2FF9" w:rsidRPr="00730DE4" w:rsidRDefault="00FA2FF9" w:rsidP="002B7001">
      <w:pPr>
        <w:pStyle w:val="Heading4"/>
      </w:pPr>
      <w:bookmarkStart w:id="536" w:name="_Toc180487406"/>
      <w:bookmarkStart w:id="537" w:name="_Toc180490612"/>
      <w:bookmarkStart w:id="538" w:name="_Toc180491645"/>
      <w:bookmarkStart w:id="539" w:name="_Hlk173147203"/>
      <w:r w:rsidRPr="00730DE4">
        <w:t>Flinders Highway (Julia Creek to Cloncurry), Scrubby Creek, pavement, strengthening, and widening of floodway</w:t>
      </w:r>
      <w:bookmarkEnd w:id="536"/>
      <w:bookmarkEnd w:id="537"/>
      <w:bookmarkEnd w:id="538"/>
    </w:p>
    <w:p w14:paraId="627C510F" w14:textId="77777777" w:rsidR="00FA2FF9" w:rsidRPr="00730DE4" w:rsidRDefault="00FA2FF9" w:rsidP="00B927E8">
      <w:r w:rsidRPr="00730DE4">
        <w:t>This project was completed in late-December 2023 and improved safety for all road users by providing modern infrastructure, replacing a total of 22 culverts and reducing future pavement maintenance costs.</w:t>
      </w:r>
    </w:p>
    <w:p w14:paraId="563E9E7D" w14:textId="77777777" w:rsidR="00FA2FF9" w:rsidRPr="00730DE4" w:rsidRDefault="00FA2FF9" w:rsidP="00B927E8">
      <w:r w:rsidRPr="00730DE4">
        <w:t>Scrubby Creek is located 63 kilometres west of Julia Creek along the Flinders Highway between Julia Creek and Cloncurry.</w:t>
      </w:r>
    </w:p>
    <w:p w14:paraId="3B530CC8" w14:textId="77777777" w:rsidR="00FA2FF9" w:rsidRPr="00730DE4" w:rsidRDefault="00FA2FF9" w:rsidP="00B927E8">
      <w:r w:rsidRPr="00730DE4">
        <w:t>A TMR-first innovation on the Scrubby Creek project was the use of lime stabilisation of batters. Black clay soil is classified as an expansive soil that changes volume during dry and wet seasons. The black clay soil from within the road reserve which reacts and expands with moisture was treated with lime, shaped, and compacted to mitigate the effects of its expansive nature and to form a protective batter guarding the pavement from scouring during flooding. This sustainable innovation is expected to have significant environmental and economic benefits.</w:t>
      </w:r>
    </w:p>
    <w:p w14:paraId="7C1E39A8" w14:textId="77777777" w:rsidR="00FA2FF9" w:rsidRPr="00730DE4" w:rsidRDefault="00FA2FF9" w:rsidP="00B927E8">
      <w:r w:rsidRPr="00730DE4">
        <w:t>This cutting-edge idea saved the project around $5 million. The savings meant more of the road can be rehabilitated, benefiting the community and users. This practical research is a credit to the collaborative approach between the TMR regional office and various industries, making significant research and development contributions.</w:t>
      </w:r>
    </w:p>
    <w:p w14:paraId="2E96DC8A" w14:textId="77777777" w:rsidR="00FA2FF9" w:rsidRPr="00730DE4" w:rsidRDefault="00FA2FF9" w:rsidP="00B927E8">
      <w:r w:rsidRPr="00730DE4">
        <w:t>This project was jointly funded by the Australian and Queensland governments.</w:t>
      </w:r>
    </w:p>
    <w:p w14:paraId="6C97735F" w14:textId="77777777" w:rsidR="00FA2FF9" w:rsidRPr="00730DE4" w:rsidRDefault="00FA2FF9" w:rsidP="00B927E8">
      <w:pPr>
        <w:pStyle w:val="MessageHeader"/>
      </w:pPr>
      <w:r w:rsidRPr="00730DE4">
        <w:t xml:space="preserve">For more information </w:t>
      </w:r>
      <w:r w:rsidRPr="00730DE4">
        <w:br/>
      </w:r>
      <w:hyperlink r:id="rId46" w:history="1">
        <w:r w:rsidRPr="00730DE4">
          <w:rPr>
            <w:rStyle w:val="Hyperlink"/>
          </w:rPr>
          <w:t>https://www.tmr.qld.gov.au/projects/flinders-highway-julia-creek-cloncurry-scrubby-creek-pavement-strengthening-and-widening-of-floodway</w:t>
        </w:r>
      </w:hyperlink>
      <w:bookmarkEnd w:id="539"/>
    </w:p>
    <w:p w14:paraId="5D8F7DBF" w14:textId="77777777" w:rsidR="00464141" w:rsidRPr="00730DE4" w:rsidRDefault="00464141">
      <w:pPr>
        <w:suppressAutoHyphens w:val="0"/>
        <w:spacing w:before="0" w:line="259" w:lineRule="auto"/>
        <w:rPr>
          <w:rFonts w:eastAsiaTheme="majorEastAsia" w:cstheme="majorBidi"/>
          <w:color w:val="080C0F" w:themeColor="text1"/>
          <w:sz w:val="44"/>
          <w:szCs w:val="28"/>
        </w:rPr>
      </w:pPr>
      <w:r w:rsidRPr="00730DE4">
        <w:br w:type="page"/>
      </w:r>
    </w:p>
    <w:p w14:paraId="0931EA2B" w14:textId="6BD821A4" w:rsidR="00FA2FF9" w:rsidRPr="00730DE4" w:rsidRDefault="00FA2FF9" w:rsidP="002B7001">
      <w:pPr>
        <w:pStyle w:val="Heading3"/>
      </w:pPr>
      <w:bookmarkStart w:id="540" w:name="_Toc180487407"/>
      <w:bookmarkStart w:id="541" w:name="_Toc180490613"/>
      <w:bookmarkStart w:id="542" w:name="_Toc180491646"/>
      <w:r w:rsidRPr="00730DE4">
        <w:t>Northern</w:t>
      </w:r>
      <w:bookmarkEnd w:id="540"/>
      <w:bookmarkEnd w:id="541"/>
      <w:bookmarkEnd w:id="542"/>
    </w:p>
    <w:p w14:paraId="5AF12167" w14:textId="77777777" w:rsidR="00FA2FF9" w:rsidRPr="00730DE4" w:rsidRDefault="00FA2FF9" w:rsidP="003D2369">
      <w:pPr>
        <w:pStyle w:val="ListBullet"/>
      </w:pPr>
      <w:r w:rsidRPr="00730DE4">
        <w:t xml:space="preserve">Area covered: </w:t>
      </w:r>
      <w:r w:rsidRPr="00730DE4">
        <w:rPr>
          <w:rStyle w:val="Strong"/>
        </w:rPr>
        <w:t>80,036 km</w:t>
      </w:r>
      <w:r w:rsidRPr="00730DE4">
        <w:rPr>
          <w:rStyle w:val="Strong"/>
          <w:vertAlign w:val="superscript"/>
        </w:rPr>
        <w:t>2</w:t>
      </w:r>
    </w:p>
    <w:p w14:paraId="6F9B4594" w14:textId="77777777" w:rsidR="00FA2FF9" w:rsidRPr="00730DE4" w:rsidRDefault="00FA2FF9" w:rsidP="003D2369">
      <w:pPr>
        <w:pStyle w:val="ListBullet"/>
        <w:rPr>
          <w:b/>
          <w:bCs/>
        </w:rPr>
      </w:pPr>
      <w:r w:rsidRPr="00730DE4">
        <w:t xml:space="preserve">Population of Queensland: </w:t>
      </w:r>
      <w:r w:rsidRPr="00730DE4">
        <w:rPr>
          <w:rStyle w:val="Strong"/>
        </w:rPr>
        <w:t>4.46%*</w:t>
      </w:r>
    </w:p>
    <w:p w14:paraId="32C944D0" w14:textId="77777777" w:rsidR="00FA2FF9" w:rsidRPr="00730DE4" w:rsidRDefault="00FA2FF9" w:rsidP="002B7001">
      <w:pPr>
        <w:pStyle w:val="Heading4"/>
      </w:pPr>
      <w:bookmarkStart w:id="543" w:name="_Toc180487408"/>
      <w:bookmarkStart w:id="544" w:name="_Toc180490614"/>
      <w:bookmarkStart w:id="545" w:name="_Toc180491647"/>
      <w:r w:rsidRPr="00730DE4">
        <w:t>Fast facts</w:t>
      </w:r>
      <w:bookmarkEnd w:id="543"/>
      <w:bookmarkEnd w:id="544"/>
      <w:bookmarkEnd w:id="545"/>
    </w:p>
    <w:p w14:paraId="6E61B7C0" w14:textId="77777777" w:rsidR="00FA2FF9" w:rsidRPr="00730DE4" w:rsidRDefault="00FA2FF9" w:rsidP="003D2369">
      <w:pPr>
        <w:pStyle w:val="ListBullet"/>
      </w:pPr>
      <w:r w:rsidRPr="00730DE4">
        <w:t xml:space="preserve">State-controlled road**: </w:t>
      </w:r>
      <w:r w:rsidRPr="00730DE4">
        <w:rPr>
          <w:rStyle w:val="Strong"/>
        </w:rPr>
        <w:t>1666KM</w:t>
      </w:r>
    </w:p>
    <w:p w14:paraId="35D338F0" w14:textId="77777777" w:rsidR="00FA2FF9" w:rsidRPr="00730DE4" w:rsidRDefault="00FA2FF9" w:rsidP="003D2369">
      <w:pPr>
        <w:pStyle w:val="ListBullet"/>
      </w:pPr>
      <w:r w:rsidRPr="00730DE4">
        <w:t xml:space="preserve">National Land Transport Network**: </w:t>
      </w:r>
      <w:r w:rsidRPr="00730DE4">
        <w:rPr>
          <w:rStyle w:val="Strong"/>
        </w:rPr>
        <w:t>521KM</w:t>
      </w:r>
    </w:p>
    <w:p w14:paraId="033C1028" w14:textId="77777777" w:rsidR="00FA2FF9" w:rsidRPr="00730DE4" w:rsidRDefault="00FA2FF9" w:rsidP="003D2369">
      <w:pPr>
        <w:pStyle w:val="ListBullet"/>
      </w:pPr>
      <w:r w:rsidRPr="00730DE4">
        <w:t xml:space="preserve">Vehicle and machinery registrations: </w:t>
      </w:r>
      <w:r w:rsidRPr="00730DE4">
        <w:rPr>
          <w:rStyle w:val="Strong"/>
        </w:rPr>
        <w:t>290,676</w:t>
      </w:r>
    </w:p>
    <w:p w14:paraId="32446E27" w14:textId="77777777" w:rsidR="00FA2FF9" w:rsidRPr="00730DE4" w:rsidRDefault="00FA2FF9" w:rsidP="003D2369">
      <w:pPr>
        <w:pStyle w:val="ListBullet"/>
      </w:pPr>
      <w:r w:rsidRPr="00730DE4">
        <w:t xml:space="preserve">Boating infrastructures: </w:t>
      </w:r>
      <w:r w:rsidRPr="00730DE4">
        <w:rPr>
          <w:rStyle w:val="Strong"/>
        </w:rPr>
        <w:t>56</w:t>
      </w:r>
    </w:p>
    <w:p w14:paraId="06429AAD" w14:textId="77777777" w:rsidR="00FA2FF9" w:rsidRPr="00730DE4" w:rsidRDefault="00FA2FF9" w:rsidP="003D2369">
      <w:pPr>
        <w:pStyle w:val="ListBullet"/>
      </w:pPr>
      <w:r w:rsidRPr="00730DE4">
        <w:t xml:space="preserve">Community safety events held: </w:t>
      </w:r>
      <w:r w:rsidRPr="00730DE4">
        <w:rPr>
          <w:rStyle w:val="Strong"/>
        </w:rPr>
        <w:t>23</w:t>
      </w:r>
    </w:p>
    <w:p w14:paraId="4434946C" w14:textId="77777777" w:rsidR="00FA2FF9" w:rsidRPr="00730DE4" w:rsidRDefault="00FA2FF9" w:rsidP="003D2369">
      <w:pPr>
        <w:pStyle w:val="ListBullet"/>
      </w:pPr>
      <w:r w:rsidRPr="00730DE4">
        <w:t xml:space="preserve">Vehicle and machinery inspections completed: </w:t>
      </w:r>
      <w:r w:rsidRPr="00730DE4">
        <w:rPr>
          <w:rStyle w:val="Strong"/>
        </w:rPr>
        <w:t>4069</w:t>
      </w:r>
    </w:p>
    <w:p w14:paraId="302EC834" w14:textId="77777777" w:rsidR="00FA2FF9" w:rsidRPr="00730DE4" w:rsidRDefault="00FA2FF9" w:rsidP="003D2369">
      <w:pPr>
        <w:pStyle w:val="ListBullet"/>
      </w:pPr>
      <w:r w:rsidRPr="00730DE4">
        <w:t xml:space="preserve">Bridges***: </w:t>
      </w:r>
      <w:r w:rsidRPr="00730DE4">
        <w:rPr>
          <w:rStyle w:val="Strong"/>
        </w:rPr>
        <w:t>226</w:t>
      </w:r>
    </w:p>
    <w:p w14:paraId="0DC34BFC" w14:textId="77777777" w:rsidR="00FA2FF9" w:rsidRPr="00730DE4" w:rsidRDefault="00FA2FF9" w:rsidP="003D2369">
      <w:pPr>
        <w:pStyle w:val="ListBullet"/>
      </w:pPr>
      <w:r w:rsidRPr="00730DE4">
        <w:t xml:space="preserve">Driver licence tests conducted: </w:t>
      </w:r>
      <w:r w:rsidRPr="00730DE4">
        <w:rPr>
          <w:rStyle w:val="Strong"/>
        </w:rPr>
        <w:t>7731</w:t>
      </w:r>
    </w:p>
    <w:p w14:paraId="1846B4E7" w14:textId="77777777" w:rsidR="00FA2FF9" w:rsidRPr="00730DE4" w:rsidRDefault="00FA2FF9" w:rsidP="003D2369">
      <w:pPr>
        <w:pStyle w:val="ListBullet"/>
      </w:pPr>
      <w:r w:rsidRPr="00730DE4">
        <w:t xml:space="preserve">Customer face-to-face interactions: </w:t>
      </w:r>
      <w:r w:rsidRPr="00730DE4">
        <w:rPr>
          <w:rStyle w:val="Strong"/>
        </w:rPr>
        <w:t>173,230</w:t>
      </w:r>
    </w:p>
    <w:p w14:paraId="6B96B7CA" w14:textId="77777777" w:rsidR="00FA2FF9" w:rsidRPr="00730DE4" w:rsidRDefault="00FA2FF9" w:rsidP="003D2369">
      <w:pPr>
        <w:pStyle w:val="ListBullet"/>
        <w:rPr>
          <w:rStyle w:val="Strong"/>
          <w:b w:val="0"/>
          <w:bCs w:val="0"/>
        </w:rPr>
      </w:pPr>
      <w:r w:rsidRPr="00730DE4">
        <w:t xml:space="preserve">Priority-enabled intersections: </w:t>
      </w:r>
      <w:r w:rsidRPr="00730DE4">
        <w:rPr>
          <w:rStyle w:val="Strong"/>
        </w:rPr>
        <w:t>168</w:t>
      </w:r>
    </w:p>
    <w:p w14:paraId="5F9E42E2" w14:textId="77777777" w:rsidR="005628F2" w:rsidRPr="00730DE4" w:rsidRDefault="00FA2FF9" w:rsidP="005628F2">
      <w:pPr>
        <w:pStyle w:val="Caption"/>
        <w:rPr>
          <w:rStyle w:val="Strong"/>
        </w:rPr>
      </w:pPr>
      <w:r w:rsidRPr="00730DE4">
        <w:rPr>
          <w:rStyle w:val="Strong"/>
        </w:rPr>
        <w:t xml:space="preserve">Data source: </w:t>
      </w:r>
      <w:r w:rsidRPr="00730DE4">
        <w:t>*Queensland Government Statistician's Office (Queensland Treasury), Queensland Regional Profiles. www.qgso.qld.gov.au, July 2024</w:t>
      </w:r>
      <w:r w:rsidRPr="00730DE4">
        <w:rPr>
          <w:rStyle w:val="Strong"/>
        </w:rPr>
        <w:t xml:space="preserve"> </w:t>
      </w:r>
    </w:p>
    <w:p w14:paraId="1E5990AD" w14:textId="77777777" w:rsidR="005628F2" w:rsidRPr="00730DE4" w:rsidRDefault="00FA2FF9" w:rsidP="005628F2">
      <w:pPr>
        <w:pStyle w:val="Caption"/>
      </w:pPr>
      <w:r w:rsidRPr="00730DE4">
        <w:rPr>
          <w:rStyle w:val="Strong"/>
        </w:rPr>
        <w:t>Data source:</w:t>
      </w:r>
      <w:r w:rsidRPr="00730DE4">
        <w:t xml:space="preserve"> **A Road Management Information System (ARMIS) 30 June 2024</w:t>
      </w:r>
    </w:p>
    <w:p w14:paraId="1015B13A" w14:textId="6D100FF1" w:rsidR="00FA2FF9" w:rsidRPr="00730DE4" w:rsidRDefault="00FA2FF9" w:rsidP="005628F2">
      <w:pPr>
        <w:pStyle w:val="Caption"/>
      </w:pPr>
      <w:r w:rsidRPr="00730DE4">
        <w:rPr>
          <w:rStyle w:val="Strong"/>
        </w:rPr>
        <w:t>Data source:</w:t>
      </w:r>
      <w:r w:rsidRPr="00730DE4">
        <w:t xml:space="preserve"> ***Bridge Information System (BIS), 30 June 2024</w:t>
      </w:r>
    </w:p>
    <w:p w14:paraId="2B3CC6D4" w14:textId="77777777" w:rsidR="00FA2FF9" w:rsidRPr="00730DE4" w:rsidRDefault="00FA2FF9" w:rsidP="002B7001">
      <w:pPr>
        <w:pStyle w:val="Heading4"/>
      </w:pPr>
      <w:bookmarkStart w:id="546" w:name="_Toc180487409"/>
      <w:bookmarkStart w:id="547" w:name="_Toc180490615"/>
      <w:bookmarkStart w:id="548" w:name="_Toc180491648"/>
      <w:r w:rsidRPr="00730DE4">
        <w:t>Townsville Ring Road (Stage Five)</w:t>
      </w:r>
      <w:bookmarkEnd w:id="546"/>
      <w:bookmarkEnd w:id="547"/>
      <w:bookmarkEnd w:id="548"/>
    </w:p>
    <w:p w14:paraId="55A474CD" w14:textId="77777777" w:rsidR="00FA2FF9" w:rsidRPr="00730DE4" w:rsidRDefault="00FA2FF9" w:rsidP="005467EE">
      <w:r w:rsidRPr="00730DE4">
        <w:t>The Townsville Ring Road (Stage Five) project, completed in October 2023, enhanced the Bruce Highway's safety, reliability, and efficiency in Townsville.</w:t>
      </w:r>
    </w:p>
    <w:p w14:paraId="2121C8BF" w14:textId="77777777" w:rsidR="00FA2FF9" w:rsidRPr="00730DE4" w:rsidRDefault="00FA2FF9" w:rsidP="005467EE">
      <w:r w:rsidRPr="00730DE4">
        <w:t>The project involved the expansion of a crucial six-kilometre section between Vickers Bridge and Shaw Road from a two to four-lane highway, benefitting over 17,000 vehicles. Key features included the duplication of bridges, the expansion of overpasses, and the introduction of a new four-lane ramp interchange at Beck Drive, which improved connectivity to the Upper Ross area. In addition, the project emphasised environmental sustainability with noise and flood mitigation measures integrated alongside an Intelligent Transport System.</w:t>
      </w:r>
    </w:p>
    <w:p w14:paraId="281F0CEC" w14:textId="77777777" w:rsidR="00FA2FF9" w:rsidRPr="00730DE4" w:rsidRDefault="00FA2FF9" w:rsidP="005467EE">
      <w:r w:rsidRPr="00730DE4">
        <w:t>Provisions for pedestrians and bike riders, such as shared pathways, were added as part of active transport infrastructure improvements. Consequently, the project concluded in a 22-kilometre four-lane divided carriageway, improving safety, travel time reliability, and boosted freight efficiency on the Bruce Highway.</w:t>
      </w:r>
    </w:p>
    <w:p w14:paraId="4A3F82CA" w14:textId="77777777" w:rsidR="00FA2FF9" w:rsidRPr="00730DE4" w:rsidRDefault="00FA2FF9" w:rsidP="005467EE">
      <w:r w:rsidRPr="00730DE4">
        <w:t xml:space="preserve">This project was jointly funded by the Australian and Queensland governments. </w:t>
      </w:r>
    </w:p>
    <w:p w14:paraId="01895D0C" w14:textId="77777777" w:rsidR="00FA2FF9" w:rsidRPr="00730DE4" w:rsidRDefault="00FA2FF9" w:rsidP="005467EE">
      <w:pPr>
        <w:pStyle w:val="MessageHeader"/>
      </w:pPr>
      <w:r w:rsidRPr="00730DE4">
        <w:t xml:space="preserve">For more information </w:t>
      </w:r>
      <w:r w:rsidRPr="00730DE4">
        <w:br/>
      </w:r>
      <w:hyperlink r:id="rId47" w:history="1">
        <w:r w:rsidRPr="00730DE4">
          <w:rPr>
            <w:rStyle w:val="Hyperlink"/>
          </w:rPr>
          <w:t>https://www.tmr.qld.gov.au/projects/townsville-ring-road-stage-5</w:t>
        </w:r>
      </w:hyperlink>
    </w:p>
    <w:p w14:paraId="0DC34AC9" w14:textId="77777777" w:rsidR="00FA2FF9" w:rsidRPr="00730DE4" w:rsidRDefault="00FA2FF9" w:rsidP="002B7001">
      <w:pPr>
        <w:pStyle w:val="Heading4"/>
      </w:pPr>
      <w:bookmarkStart w:id="549" w:name="_Toc180487410"/>
      <w:bookmarkStart w:id="550" w:name="_Toc180490616"/>
      <w:bookmarkStart w:id="551" w:name="_Toc180491649"/>
      <w:r w:rsidRPr="00730DE4">
        <w:t>Townsville Northern Access Intersections Upgrade</w:t>
      </w:r>
      <w:bookmarkEnd w:id="549"/>
      <w:bookmarkEnd w:id="550"/>
      <w:bookmarkEnd w:id="551"/>
    </w:p>
    <w:p w14:paraId="1818C80E" w14:textId="77777777" w:rsidR="00FA2FF9" w:rsidRPr="00730DE4" w:rsidRDefault="00FA2FF9" w:rsidP="005467EE">
      <w:r w:rsidRPr="00730DE4">
        <w:t>Completed in November 2023, the Townsville Northern Access Intersection Upgrade project included duplicating 5.2 kilometres of the Bruce Highway, enhancing connectivity and reducing congestion.</w:t>
      </w:r>
    </w:p>
    <w:p w14:paraId="09BF878F" w14:textId="77777777" w:rsidR="00FA2FF9" w:rsidRPr="00730DE4" w:rsidRDefault="00FA2FF9" w:rsidP="005467EE">
      <w:r w:rsidRPr="00730DE4">
        <w:t>A second bridge over Black River was constructed, along with significant local road upgrades. These improvements have enhanced safety, efficiency, and travel time reliability for the 14,000 vehicles using this route daily.</w:t>
      </w:r>
    </w:p>
    <w:p w14:paraId="13C03934" w14:textId="77777777" w:rsidR="00FA2FF9" w:rsidRPr="00730DE4" w:rsidRDefault="00FA2FF9" w:rsidP="005467EE">
      <w:r w:rsidRPr="00730DE4">
        <w:t>With separated carriageways and reduced direct accesses, the risk of crashes, especially head-on collisions, is substantially decreased. Emergency vehicles retain access for optimal response. This project ensures the Bruce Highway meets Townsville's growing transport demands.</w:t>
      </w:r>
    </w:p>
    <w:p w14:paraId="505F3D38" w14:textId="77777777" w:rsidR="00FA2FF9" w:rsidRPr="00730DE4" w:rsidRDefault="00FA2FF9" w:rsidP="005467EE">
      <w:r w:rsidRPr="00730DE4">
        <w:t>This project was jointly funded by the Australian and Queensland governments.</w:t>
      </w:r>
    </w:p>
    <w:p w14:paraId="70BC6DD0" w14:textId="77777777" w:rsidR="00FA2FF9" w:rsidRPr="00730DE4" w:rsidRDefault="00FA2FF9" w:rsidP="002B7001">
      <w:pPr>
        <w:pStyle w:val="Heading4"/>
      </w:pPr>
      <w:bookmarkStart w:id="552" w:name="_Toc180487411"/>
      <w:bookmarkStart w:id="553" w:name="_Toc180490617"/>
      <w:bookmarkStart w:id="554" w:name="_Toc180491650"/>
      <w:r w:rsidRPr="00730DE4">
        <w:t>Case study: High Risk Roads Townsville program funded under the Targeted Road Safety Program</w:t>
      </w:r>
      <w:bookmarkEnd w:id="552"/>
      <w:bookmarkEnd w:id="553"/>
      <w:bookmarkEnd w:id="554"/>
    </w:p>
    <w:p w14:paraId="07CDAC44" w14:textId="77777777" w:rsidR="00FA2FF9" w:rsidRPr="00730DE4" w:rsidRDefault="00FA2FF9" w:rsidP="00605BBC">
      <w:r w:rsidRPr="00730DE4">
        <w:t>The Targeted Road Safety Program, established by the Queensland Government, commenced focused enhancements across three prominent state-controlled roads in Townsville in mid-2023. They aim to significantly improve road safety across these critical routes.</w:t>
      </w:r>
    </w:p>
    <w:p w14:paraId="78566F29" w14:textId="77777777" w:rsidR="00FA2FF9" w:rsidRPr="00730DE4" w:rsidRDefault="00FA2FF9" w:rsidP="00605BBC">
      <w:r w:rsidRPr="00730DE4">
        <w:t>The roads were selected due to their high incident rates and include:</w:t>
      </w:r>
    </w:p>
    <w:p w14:paraId="26F37C85" w14:textId="77777777" w:rsidR="00FA2FF9" w:rsidRPr="00730DE4" w:rsidRDefault="00FA2FF9" w:rsidP="00605BBC">
      <w:pPr>
        <w:pStyle w:val="ListBullet"/>
      </w:pPr>
      <w:r w:rsidRPr="00730DE4">
        <w:t>Douglas–Garbutt Road, locally known as Nathan and Duckworth streets</w:t>
      </w:r>
    </w:p>
    <w:p w14:paraId="65FCC146" w14:textId="77777777" w:rsidR="00FA2FF9" w:rsidRPr="00730DE4" w:rsidRDefault="00FA2FF9" w:rsidP="00605BBC">
      <w:pPr>
        <w:pStyle w:val="ListBullet"/>
      </w:pPr>
      <w:r w:rsidRPr="00730DE4">
        <w:t xml:space="preserve">North Ward Road, locally known as Bundock and Warburton streets </w:t>
      </w:r>
    </w:p>
    <w:p w14:paraId="2C8F74CB" w14:textId="77777777" w:rsidR="00FA2FF9" w:rsidRPr="00730DE4" w:rsidRDefault="00FA2FF9" w:rsidP="00605BBC">
      <w:pPr>
        <w:pStyle w:val="ListBullet"/>
      </w:pPr>
      <w:r w:rsidRPr="00730DE4">
        <w:t>South-Townsville Road, locally known as Railway Avenue.</w:t>
      </w:r>
    </w:p>
    <w:p w14:paraId="16806BD6" w14:textId="77777777" w:rsidR="00FA2FF9" w:rsidRPr="00730DE4" w:rsidRDefault="00FA2FF9" w:rsidP="00605BBC">
      <w:r w:rsidRPr="00730DE4">
        <w:t>Key safety improvements include installing guardrails at two sites, central median fencing at nine sites, and upgrading 50 intersections. Notable projects included guardrail extensions from Rooneys Bridge to Brooks Street being completed in late-2023 and additional guardrail installations on Bishop Street in June 2024.</w:t>
      </w:r>
    </w:p>
    <w:p w14:paraId="57B5AD48" w14:textId="77777777" w:rsidR="00FA2FF9" w:rsidRPr="00730DE4" w:rsidRDefault="00FA2FF9" w:rsidP="00605BBC">
      <w:r w:rsidRPr="00730DE4">
        <w:t>Central median fencing was added at various intersections across the three links to enhance pedestrian safety.</w:t>
      </w:r>
    </w:p>
    <w:p w14:paraId="6FC59A5D" w14:textId="77777777" w:rsidR="00FA2FF9" w:rsidRPr="00730DE4" w:rsidRDefault="00FA2FF9" w:rsidP="00605BBC">
      <w:r w:rsidRPr="00730DE4">
        <w:t>Significant intersection upgrades on Duckworth Street, between Dalrymple and Bayswater roads, involved reshaping medians, updating line markings, and adding bicycle lanes. The Leopold and Nathan streets intersection was reconfigured to allow only left turns, improving motorist safety. Dean Street saw traffic lights added at Morey Street, the removal of right turns from McIlwraith Street, and pedestrian infrastructure enhancements.</w:t>
      </w:r>
    </w:p>
    <w:p w14:paraId="0ABFE19E" w14:textId="77777777" w:rsidR="00FA2FF9" w:rsidRPr="00730DE4" w:rsidRDefault="00FA2FF9" w:rsidP="00605BBC">
      <w:r w:rsidRPr="00730DE4">
        <w:t>These projects are fully funded by the Queensland Government.</w:t>
      </w:r>
    </w:p>
    <w:p w14:paraId="7E3F1960" w14:textId="77777777" w:rsidR="00FA2FF9" w:rsidRPr="00730DE4" w:rsidRDefault="00FA2FF9" w:rsidP="00605BBC">
      <w:pPr>
        <w:pStyle w:val="MessageHeader"/>
      </w:pPr>
      <w:r w:rsidRPr="00730DE4">
        <w:t xml:space="preserve">For more information </w:t>
      </w:r>
      <w:r w:rsidRPr="00730DE4">
        <w:br/>
      </w:r>
      <w:hyperlink r:id="rId48" w:history="1">
        <w:r w:rsidRPr="00730DE4">
          <w:rPr>
            <w:rStyle w:val="Hyperlink"/>
          </w:rPr>
          <w:t>https://www.tmr.qld.gov.au/projects/programs/high-risk-roads-projects-townsville</w:t>
        </w:r>
      </w:hyperlink>
    </w:p>
    <w:p w14:paraId="55BD73CE" w14:textId="77777777" w:rsidR="00FA2FF9" w:rsidRPr="00730DE4" w:rsidRDefault="00FA2FF9" w:rsidP="002B7001">
      <w:pPr>
        <w:pStyle w:val="Heading4"/>
      </w:pPr>
      <w:bookmarkStart w:id="555" w:name="_Toc180487412"/>
      <w:bookmarkStart w:id="556" w:name="_Toc180490618"/>
      <w:bookmarkStart w:id="557" w:name="_Toc180491651"/>
      <w:r w:rsidRPr="00730DE4">
        <w:t>Flinders Highway (Townsville to Charters Towers), Townsville to Mingela Range (package one and two), overtaking lanes construction</w:t>
      </w:r>
      <w:bookmarkEnd w:id="555"/>
      <w:bookmarkEnd w:id="556"/>
      <w:bookmarkEnd w:id="557"/>
    </w:p>
    <w:p w14:paraId="60109075" w14:textId="77777777" w:rsidR="00FA2FF9" w:rsidRPr="00730DE4" w:rsidRDefault="00FA2FF9" w:rsidP="00986B2E">
      <w:r w:rsidRPr="00730DE4">
        <w:t xml:space="preserve">Completed in August 2023, the construction of new overtaking lanes along the Flinders Highway between Townsville and Charters Towers has significantly enhanced the safety and efficiency of this route for motorists. </w:t>
      </w:r>
    </w:p>
    <w:p w14:paraId="7682C48C" w14:textId="77777777" w:rsidR="00FA2FF9" w:rsidRPr="00730DE4" w:rsidRDefault="00FA2FF9" w:rsidP="00986B2E">
      <w:r w:rsidRPr="00730DE4">
        <w:t xml:space="preserve">This project began in mid-2022 and has added three strategic overtaking lanes on the 110 kilometre per hour stretch, providing both eastbound and westbound traffic with a separated carriageway design for enhanced safety. This included roadside work for vegetation restoration and erosion prevention. </w:t>
      </w:r>
    </w:p>
    <w:p w14:paraId="11BB2C38" w14:textId="77777777" w:rsidR="00FA2FF9" w:rsidRPr="00730DE4" w:rsidRDefault="00FA2FF9" w:rsidP="00986B2E">
      <w:r w:rsidRPr="00730DE4">
        <w:t>These upgrades cater to a wide range of road users, from local commuters and tourists to heavy vehicle operators, fostering smoother traffic flow and reducing the risks of crashes.</w:t>
      </w:r>
    </w:p>
    <w:p w14:paraId="549C0F79" w14:textId="77777777" w:rsidR="00FA2FF9" w:rsidRPr="00730DE4" w:rsidRDefault="00FA2FF9" w:rsidP="00986B2E">
      <w:r w:rsidRPr="00730DE4">
        <w:t>As part of the Queensland Government's ongoing commitment to road safety, these improvements contribute to minimising serious and fatal crashes, and support the region's vital industries and communities.</w:t>
      </w:r>
    </w:p>
    <w:p w14:paraId="020A7877" w14:textId="77777777" w:rsidR="00FA2FF9" w:rsidRPr="00730DE4" w:rsidRDefault="00FA2FF9" w:rsidP="00986B2E">
      <w:r w:rsidRPr="00730DE4">
        <w:t>This project was jointly funded by the Australian and Queensland governments.</w:t>
      </w:r>
    </w:p>
    <w:p w14:paraId="66BC2919" w14:textId="77777777" w:rsidR="00FA2FF9" w:rsidRPr="00730DE4" w:rsidRDefault="00FA2FF9" w:rsidP="002B7001">
      <w:pPr>
        <w:pStyle w:val="Heading4"/>
      </w:pPr>
      <w:bookmarkStart w:id="558" w:name="_Toc180487413"/>
      <w:bookmarkStart w:id="559" w:name="_Toc180490619"/>
      <w:bookmarkStart w:id="560" w:name="_Toc180491652"/>
      <w:r w:rsidRPr="00730DE4">
        <w:t>Townsville Connection Road (Idalia), University Road to Bowen Road Bridge, improve safety</w:t>
      </w:r>
      <w:bookmarkEnd w:id="558"/>
      <w:bookmarkEnd w:id="559"/>
      <w:bookmarkEnd w:id="560"/>
    </w:p>
    <w:p w14:paraId="5B8182F1" w14:textId="77777777" w:rsidR="00FA2FF9" w:rsidRPr="00730DE4" w:rsidRDefault="00FA2FF9" w:rsidP="005467EE">
      <w:r w:rsidRPr="00730DE4">
        <w:t>The Townsville Connection Road (Idalia) project to improve safety, spanning University Road to Bowen Road Bridge is already underway.</w:t>
      </w:r>
    </w:p>
    <w:p w14:paraId="128946BF" w14:textId="77777777" w:rsidR="00FA2FF9" w:rsidRPr="00730DE4" w:rsidRDefault="00FA2FF9" w:rsidP="005467EE">
      <w:r w:rsidRPr="00730DE4">
        <w:t>With 24,000 vehicles daily, the upgrade intends to reduce congestion and travel times. Key features include:</w:t>
      </w:r>
    </w:p>
    <w:p w14:paraId="376BD625" w14:textId="77777777" w:rsidR="00FA2FF9" w:rsidRPr="00730DE4" w:rsidRDefault="00FA2FF9" w:rsidP="005467EE">
      <w:pPr>
        <w:pStyle w:val="ListBullet"/>
      </w:pPr>
      <w:r w:rsidRPr="00730DE4">
        <w:t>expanding Stuart Drive to four lanes between University Road and Bowen Road Bridge</w:t>
      </w:r>
    </w:p>
    <w:p w14:paraId="3F030B3B" w14:textId="77777777" w:rsidR="00FA2FF9" w:rsidRPr="00730DE4" w:rsidRDefault="00FA2FF9" w:rsidP="005467EE">
      <w:pPr>
        <w:pStyle w:val="ListBullet"/>
      </w:pPr>
      <w:r w:rsidRPr="00730DE4">
        <w:t>replacing a roundabout with traffic lights at Townsville Connection Road and Mervyn Crossman Drive/Fairfield Waters Drive</w:t>
      </w:r>
    </w:p>
    <w:p w14:paraId="72D29C57" w14:textId="77777777" w:rsidR="00FA2FF9" w:rsidRPr="00730DE4" w:rsidRDefault="00FA2FF9" w:rsidP="005467EE">
      <w:pPr>
        <w:pStyle w:val="ListBullet"/>
      </w:pPr>
      <w:r w:rsidRPr="00730DE4">
        <w:t>installing traffic lights at Gartrell Drive and Kokoda Street.</w:t>
      </w:r>
    </w:p>
    <w:p w14:paraId="14C4A181" w14:textId="77777777" w:rsidR="00FA2FF9" w:rsidRPr="00730DE4" w:rsidRDefault="00FA2FF9" w:rsidP="005467EE">
      <w:r w:rsidRPr="00730DE4">
        <w:t>Safety enhancements encompass wider paths, better connections, and safer crossings for pedestrians and bike riders.</w:t>
      </w:r>
    </w:p>
    <w:p w14:paraId="56749AEB" w14:textId="77777777" w:rsidR="00FA2FF9" w:rsidRPr="00730DE4" w:rsidRDefault="00FA2FF9" w:rsidP="005467EE">
      <w:r w:rsidRPr="00730DE4">
        <w:t>Temporary diversions have been set up to maintain an uninterrupted traffic flow during the construction period. Scheduled for completion by mid-2025, ongoing consultation with local stakeholders ensures minimal disruption while maximising safety and accessibility for all road users.</w:t>
      </w:r>
    </w:p>
    <w:p w14:paraId="52680708" w14:textId="77777777" w:rsidR="00FA2FF9" w:rsidRPr="00730DE4" w:rsidRDefault="00FA2FF9" w:rsidP="005467EE">
      <w:r w:rsidRPr="00730DE4">
        <w:t>This $96 million project is fully funded by the Queensland Government.</w:t>
      </w:r>
    </w:p>
    <w:p w14:paraId="7BE299B1" w14:textId="77777777" w:rsidR="00FA2FF9" w:rsidRPr="00730DE4" w:rsidRDefault="00FA2FF9" w:rsidP="005467EE">
      <w:pPr>
        <w:pStyle w:val="MessageHeader"/>
      </w:pPr>
      <w:r w:rsidRPr="00730DE4">
        <w:t xml:space="preserve">For more information </w:t>
      </w:r>
      <w:r w:rsidRPr="00730DE4">
        <w:br/>
      </w:r>
      <w:hyperlink r:id="rId49" w:history="1">
        <w:r w:rsidRPr="00730DE4">
          <w:rPr>
            <w:rStyle w:val="Hyperlink"/>
          </w:rPr>
          <w:t>https://www.tmr.qld.gov.au/projects/townsville-connection-road-idalia-university-road-to-bowen-road-bridge-improve-safety</w:t>
        </w:r>
      </w:hyperlink>
    </w:p>
    <w:p w14:paraId="3F2F08B2" w14:textId="77777777" w:rsidR="00FA2FF9" w:rsidRPr="00730DE4" w:rsidRDefault="00FA2FF9" w:rsidP="002B7001">
      <w:pPr>
        <w:pStyle w:val="Heading4"/>
      </w:pPr>
      <w:bookmarkStart w:id="561" w:name="_Toc180487414"/>
      <w:bookmarkStart w:id="562" w:name="_Toc180490620"/>
      <w:bookmarkStart w:id="563" w:name="_Toc180491653"/>
      <w:r w:rsidRPr="00730DE4">
        <w:t>Townsville Connection Road (Stuart Drive), Bowen Road Bridge (Idalia), duplicate bridge and approaches</w:t>
      </w:r>
      <w:bookmarkEnd w:id="561"/>
      <w:bookmarkEnd w:id="562"/>
      <w:bookmarkEnd w:id="563"/>
    </w:p>
    <w:p w14:paraId="0A6D7600" w14:textId="77777777" w:rsidR="00FA2FF9" w:rsidRPr="00730DE4" w:rsidRDefault="00FA2FF9" w:rsidP="00986B2E">
      <w:r w:rsidRPr="00730DE4">
        <w:t>The Townsville Connection Road (Stuart Drive) University Road to Bowen Road Bridge (Idalia) project aims to enhance safety and efficiency along a heavily trafficked route. Construction on the duplicated bridge will commence in July 2024.</w:t>
      </w:r>
    </w:p>
    <w:p w14:paraId="24548F9B" w14:textId="77777777" w:rsidR="00FA2FF9" w:rsidRPr="00730DE4" w:rsidRDefault="00FA2FF9" w:rsidP="00986B2E">
      <w:r w:rsidRPr="00730DE4">
        <w:t>This initiative aims to enhance safety and traffic flow for the 24,000 vehicles crossing the bridge daily. The existing two-way Bowen Road Bridge will be converted into two lanes for outbound traffic, coinciding with the ongoing upgrade of Stuart Drive between University Road and Bowen Road Bridge.</w:t>
      </w:r>
    </w:p>
    <w:p w14:paraId="5B15EA39" w14:textId="77777777" w:rsidR="00FA2FF9" w:rsidRPr="00730DE4" w:rsidRDefault="00FA2FF9" w:rsidP="00986B2E">
      <w:r w:rsidRPr="00730DE4">
        <w:t>The project includes detailed design completion, public utility relocation, and watermain adjustments. Pavement upgrades, lighting enhancements, and closed-circuit television (CCTV) installation are part of the bridge's improvements. Additionally, pedestrian and bicycle crossings will be upgraded, along with connections to a refurbished underpass pathway.</w:t>
      </w:r>
    </w:p>
    <w:p w14:paraId="72C78065" w14:textId="77777777" w:rsidR="00FA2FF9" w:rsidRPr="00730DE4" w:rsidRDefault="00FA2FF9" w:rsidP="00986B2E">
      <w:r w:rsidRPr="00730DE4">
        <w:t>This $99.8 million project is fully funded by the Queensland Government.</w:t>
      </w:r>
    </w:p>
    <w:p w14:paraId="6A958DE9" w14:textId="77777777" w:rsidR="00FA2FF9" w:rsidRPr="00730DE4" w:rsidRDefault="00FA2FF9" w:rsidP="00986B2E">
      <w:pPr>
        <w:pStyle w:val="MessageHeader"/>
      </w:pPr>
      <w:r w:rsidRPr="00730DE4">
        <w:t xml:space="preserve">For more information </w:t>
      </w:r>
      <w:r w:rsidRPr="00730DE4">
        <w:br/>
      </w:r>
      <w:hyperlink r:id="rId50" w:history="1">
        <w:r w:rsidRPr="00730DE4">
          <w:rPr>
            <w:rStyle w:val="Hyperlink"/>
          </w:rPr>
          <w:t>https://www.tmr.qld.gov.au/projects/townsville-connection-road-stuart-drive-bowen-road-bridge-idalia-duplicate-bridge-and-approaches</w:t>
        </w:r>
      </w:hyperlink>
    </w:p>
    <w:p w14:paraId="06722127" w14:textId="77777777" w:rsidR="00FA2FF9" w:rsidRPr="00730DE4" w:rsidRDefault="00FA2FF9" w:rsidP="002B7001">
      <w:pPr>
        <w:pStyle w:val="Heading4"/>
      </w:pPr>
      <w:bookmarkStart w:id="564" w:name="_Toc180487415"/>
      <w:bookmarkStart w:id="565" w:name="_Toc180490621"/>
      <w:bookmarkStart w:id="566" w:name="_Toc180491654"/>
      <w:bookmarkStart w:id="567" w:name="_Hlk173147139"/>
      <w:r w:rsidRPr="00730DE4">
        <w:t>Ex-Tropical Cyclone Kirrily emergency repairs</w:t>
      </w:r>
      <w:bookmarkEnd w:id="564"/>
      <w:bookmarkEnd w:id="565"/>
      <w:bookmarkEnd w:id="566"/>
    </w:p>
    <w:p w14:paraId="636E9228" w14:textId="77777777" w:rsidR="00FA2FF9" w:rsidRPr="00730DE4" w:rsidRDefault="00FA2FF9" w:rsidP="00FE3694">
      <w:r w:rsidRPr="00730DE4">
        <w:t>When Ex-Tropical Cyclone Kirrily made landfall in late-January 2024, RoadTek was faced with the task of responding to road and electrical infrastructure damage. The Townsville area experienced power loss and faults at 95 traffic lights.</w:t>
      </w:r>
    </w:p>
    <w:p w14:paraId="23EA0331" w14:textId="77777777" w:rsidR="00FA2FF9" w:rsidRPr="00730DE4" w:rsidRDefault="00FA2FF9" w:rsidP="00FE3694">
      <w:r w:rsidRPr="00730DE4">
        <w:t>Working with the northern regional office, RoadTek undertook emergency works to rectify damage that occurred on the network. Generators were used to restore power to critical intersections over the Australia Day long weekend, and, working with the power provider and other departments, all affected lights were able to be restored within four days of the cyclone impacting.</w:t>
      </w:r>
    </w:p>
    <w:p w14:paraId="63892F89" w14:textId="77777777" w:rsidR="00FA2FF9" w:rsidRPr="00730DE4" w:rsidRDefault="00FA2FF9" w:rsidP="00FE3694">
      <w:r w:rsidRPr="00730DE4">
        <w:t>The rural road network was damaged by the intense and prolonged rainfall, causing a closure of several links. Maintenance and construction teams responded immediately and continue to complete emergency works to progressively restore the network.</w:t>
      </w:r>
    </w:p>
    <w:p w14:paraId="20F19894" w14:textId="77777777" w:rsidR="00FA2FF9" w:rsidRPr="00730DE4" w:rsidRDefault="00FA2FF9" w:rsidP="002B7001">
      <w:pPr>
        <w:pStyle w:val="Heading4"/>
      </w:pPr>
      <w:bookmarkStart w:id="568" w:name="_Toc180487416"/>
      <w:bookmarkStart w:id="569" w:name="_Toc180490622"/>
      <w:bookmarkStart w:id="570" w:name="_Toc180491655"/>
      <w:bookmarkEnd w:id="567"/>
      <w:r w:rsidRPr="00730DE4">
        <w:t>High Risk Roads multiple safety projects contract</w:t>
      </w:r>
      <w:bookmarkEnd w:id="568"/>
      <w:bookmarkEnd w:id="569"/>
      <w:bookmarkEnd w:id="570"/>
    </w:p>
    <w:p w14:paraId="6F771844" w14:textId="77777777" w:rsidR="00FA2FF9" w:rsidRPr="00730DE4" w:rsidRDefault="00FA2FF9" w:rsidP="005467EE">
      <w:r w:rsidRPr="00730DE4">
        <w:t>TMR undertakes a High Risk Roads program, which consists of completing safety upgrades at high crash frequency locations. RoadTek is undertaking a program of works consisting of safety upgrades at 51 sites across the Townsville location. A total of 51 sites have been completed in the Northern district.</w:t>
      </w:r>
    </w:p>
    <w:p w14:paraId="46EAD2E0" w14:textId="77777777" w:rsidR="00FA2FF9" w:rsidRPr="00730DE4" w:rsidRDefault="00FA2FF9" w:rsidP="005467EE">
      <w:r w:rsidRPr="00730DE4">
        <w:t>The overall value of the contracted program of works is $25.76 million.</w:t>
      </w:r>
    </w:p>
    <w:p w14:paraId="39A8C40D" w14:textId="77777777" w:rsidR="00FA2FF9" w:rsidRPr="00730DE4" w:rsidRDefault="00FA2FF9" w:rsidP="005467EE">
      <w:r w:rsidRPr="00730DE4">
        <w:t>The scope of high risk road works includes:</w:t>
      </w:r>
    </w:p>
    <w:p w14:paraId="1A75F70C" w14:textId="77777777" w:rsidR="00FA2FF9" w:rsidRPr="00730DE4" w:rsidRDefault="00FA2FF9" w:rsidP="005467EE">
      <w:pPr>
        <w:pStyle w:val="ListBullet"/>
      </w:pPr>
      <w:r w:rsidRPr="00730DE4">
        <w:t>widening for channelised right turns</w:t>
      </w:r>
    </w:p>
    <w:p w14:paraId="3A935669" w14:textId="77777777" w:rsidR="00FA2FF9" w:rsidRPr="00730DE4" w:rsidRDefault="00FA2FF9" w:rsidP="005467EE">
      <w:pPr>
        <w:pStyle w:val="ListBullet"/>
      </w:pPr>
      <w:r w:rsidRPr="00730DE4">
        <w:t>intersection realignment to improve visibility</w:t>
      </w:r>
    </w:p>
    <w:p w14:paraId="4166C5D3" w14:textId="77777777" w:rsidR="00FA2FF9" w:rsidRPr="00730DE4" w:rsidRDefault="00FA2FF9" w:rsidP="005467EE">
      <w:pPr>
        <w:pStyle w:val="ListBullet"/>
      </w:pPr>
      <w:r w:rsidRPr="00730DE4">
        <w:t>traffic light upgrades</w:t>
      </w:r>
    </w:p>
    <w:p w14:paraId="1EBFF4AA" w14:textId="77777777" w:rsidR="00FA2FF9" w:rsidRPr="00730DE4" w:rsidRDefault="00FA2FF9" w:rsidP="005467EE">
      <w:pPr>
        <w:pStyle w:val="ListBullet"/>
      </w:pPr>
      <w:r w:rsidRPr="00730DE4">
        <w:t>intersection upgrades for improved pedestrian management</w:t>
      </w:r>
    </w:p>
    <w:p w14:paraId="4519DC66" w14:textId="77777777" w:rsidR="00FA2FF9" w:rsidRPr="00730DE4" w:rsidRDefault="00FA2FF9" w:rsidP="005467EE">
      <w:pPr>
        <w:pStyle w:val="ListBullet"/>
      </w:pPr>
      <w:r w:rsidRPr="00730DE4">
        <w:t>guardrail installation</w:t>
      </w:r>
    </w:p>
    <w:p w14:paraId="0C290934" w14:textId="77777777" w:rsidR="00FA2FF9" w:rsidRPr="00730DE4" w:rsidRDefault="00FA2FF9" w:rsidP="005467EE">
      <w:pPr>
        <w:pStyle w:val="ListBullet"/>
      </w:pPr>
      <w:r w:rsidRPr="00730DE4">
        <w:t>line-marking upgrades.</w:t>
      </w:r>
    </w:p>
    <w:p w14:paraId="1D52C2B2" w14:textId="77777777" w:rsidR="00FA2FF9" w:rsidRPr="00730DE4" w:rsidRDefault="00FA2FF9" w:rsidP="005467EE">
      <w:r w:rsidRPr="00730DE4">
        <w:t>To date, a number of additional improvements have been made at sites as a result of cost savings being made under the program. An example of the additional improvements include:</w:t>
      </w:r>
    </w:p>
    <w:p w14:paraId="0B03DFFD" w14:textId="77777777" w:rsidR="00FA2FF9" w:rsidRPr="00730DE4" w:rsidRDefault="00FA2FF9" w:rsidP="005467EE">
      <w:pPr>
        <w:pStyle w:val="ListBullet"/>
      </w:pPr>
      <w:r w:rsidRPr="00730DE4">
        <w:t>upgrades to non-conforming signal posts and footings that were not originally part of the works</w:t>
      </w:r>
    </w:p>
    <w:p w14:paraId="2EB49EAA" w14:textId="77777777" w:rsidR="00FA2FF9" w:rsidRPr="00730DE4" w:rsidRDefault="00FA2FF9" w:rsidP="005467EE">
      <w:pPr>
        <w:pStyle w:val="ListBullet"/>
      </w:pPr>
      <w:r w:rsidRPr="00730DE4">
        <w:t>asphalt resurfacing at the Bergin Road intersection to mitigate existing water ponding</w:t>
      </w:r>
    </w:p>
    <w:p w14:paraId="6237AA9C" w14:textId="77777777" w:rsidR="00FA2FF9" w:rsidRPr="00730DE4" w:rsidRDefault="00FA2FF9" w:rsidP="005467EE">
      <w:pPr>
        <w:pStyle w:val="ListBullet"/>
      </w:pPr>
      <w:r w:rsidRPr="00730DE4">
        <w:t>relocation of heritage listed red brick pillars at Central State School entrance on Kennedy Street.</w:t>
      </w:r>
    </w:p>
    <w:p w14:paraId="022FA860" w14:textId="77777777" w:rsidR="00B13631" w:rsidRPr="00730DE4" w:rsidRDefault="00B13631">
      <w:pPr>
        <w:suppressAutoHyphens w:val="0"/>
        <w:spacing w:before="0" w:line="259" w:lineRule="auto"/>
        <w:rPr>
          <w:rFonts w:eastAsiaTheme="majorEastAsia" w:cstheme="majorBidi"/>
          <w:color w:val="080C0F" w:themeColor="text1"/>
          <w:sz w:val="44"/>
          <w:szCs w:val="28"/>
        </w:rPr>
      </w:pPr>
      <w:r w:rsidRPr="00730DE4">
        <w:br w:type="page"/>
      </w:r>
    </w:p>
    <w:p w14:paraId="0C990E1F" w14:textId="41EED35F" w:rsidR="00FA2FF9" w:rsidRPr="00730DE4" w:rsidRDefault="00FA2FF9" w:rsidP="002B7001">
      <w:pPr>
        <w:pStyle w:val="Heading3"/>
      </w:pPr>
      <w:bookmarkStart w:id="571" w:name="_Toc180487417"/>
      <w:bookmarkStart w:id="572" w:name="_Toc180490623"/>
      <w:bookmarkStart w:id="573" w:name="_Toc180491656"/>
      <w:r w:rsidRPr="00730DE4">
        <w:t>Mackay Whitsunday</w:t>
      </w:r>
      <w:bookmarkEnd w:id="571"/>
      <w:bookmarkEnd w:id="572"/>
      <w:bookmarkEnd w:id="573"/>
    </w:p>
    <w:p w14:paraId="66BF80DE" w14:textId="77777777" w:rsidR="00FA2FF9" w:rsidRPr="00730DE4" w:rsidRDefault="00FA2FF9" w:rsidP="003D2369">
      <w:pPr>
        <w:pStyle w:val="ListBullet"/>
      </w:pPr>
      <w:r w:rsidRPr="00730DE4">
        <w:t xml:space="preserve">Area covered: </w:t>
      </w:r>
      <w:r w:rsidRPr="00730DE4">
        <w:rPr>
          <w:rStyle w:val="Strong"/>
        </w:rPr>
        <w:t>90,140 km</w:t>
      </w:r>
      <w:r w:rsidRPr="00730DE4">
        <w:rPr>
          <w:rStyle w:val="Strong"/>
          <w:vertAlign w:val="superscript"/>
        </w:rPr>
        <w:t>2</w:t>
      </w:r>
    </w:p>
    <w:p w14:paraId="5BBFBB09" w14:textId="77777777" w:rsidR="00FA2FF9" w:rsidRPr="00730DE4" w:rsidRDefault="00FA2FF9" w:rsidP="003D2369">
      <w:pPr>
        <w:pStyle w:val="ListBullet"/>
        <w:rPr>
          <w:b/>
          <w:bCs/>
        </w:rPr>
      </w:pPr>
      <w:r w:rsidRPr="00730DE4">
        <w:t xml:space="preserve">Population of Queensland: </w:t>
      </w:r>
      <w:r w:rsidRPr="00730DE4">
        <w:rPr>
          <w:rStyle w:val="Strong"/>
        </w:rPr>
        <w:t>3.47%*</w:t>
      </w:r>
    </w:p>
    <w:p w14:paraId="657721CF" w14:textId="77777777" w:rsidR="00FA2FF9" w:rsidRPr="00730DE4" w:rsidRDefault="00FA2FF9" w:rsidP="002B7001">
      <w:pPr>
        <w:pStyle w:val="Heading4"/>
      </w:pPr>
      <w:bookmarkStart w:id="574" w:name="_Toc180487418"/>
      <w:bookmarkStart w:id="575" w:name="_Toc180490624"/>
      <w:bookmarkStart w:id="576" w:name="_Toc180491657"/>
      <w:r w:rsidRPr="00730DE4">
        <w:t>Fast facts</w:t>
      </w:r>
      <w:bookmarkEnd w:id="574"/>
      <w:bookmarkEnd w:id="575"/>
      <w:bookmarkEnd w:id="576"/>
    </w:p>
    <w:p w14:paraId="2658DE5D" w14:textId="77777777" w:rsidR="00FA2FF9" w:rsidRPr="00730DE4" w:rsidRDefault="00FA2FF9" w:rsidP="003D2369">
      <w:pPr>
        <w:pStyle w:val="ListBullet"/>
      </w:pPr>
      <w:r w:rsidRPr="00730DE4">
        <w:t xml:space="preserve">State-controlled road**: </w:t>
      </w:r>
      <w:r w:rsidRPr="00730DE4">
        <w:rPr>
          <w:rStyle w:val="Strong"/>
        </w:rPr>
        <w:t>2665KM</w:t>
      </w:r>
    </w:p>
    <w:p w14:paraId="3A57594C" w14:textId="77777777" w:rsidR="00FA2FF9" w:rsidRPr="00730DE4" w:rsidRDefault="00FA2FF9" w:rsidP="003D2369">
      <w:pPr>
        <w:pStyle w:val="ListBullet"/>
      </w:pPr>
      <w:r w:rsidRPr="00730DE4">
        <w:t xml:space="preserve">National Land Transport Network**: </w:t>
      </w:r>
      <w:r w:rsidRPr="00730DE4">
        <w:rPr>
          <w:rStyle w:val="Strong"/>
        </w:rPr>
        <w:t>451KM</w:t>
      </w:r>
    </w:p>
    <w:p w14:paraId="44098556" w14:textId="77777777" w:rsidR="00FA2FF9" w:rsidRPr="00730DE4" w:rsidRDefault="00FA2FF9" w:rsidP="003D2369">
      <w:pPr>
        <w:pStyle w:val="ListBullet"/>
      </w:pPr>
      <w:r w:rsidRPr="00730DE4">
        <w:t xml:space="preserve">Vehicle and machinery registrations: </w:t>
      </w:r>
      <w:r w:rsidRPr="00730DE4">
        <w:rPr>
          <w:rStyle w:val="Strong"/>
        </w:rPr>
        <w:t>259,107</w:t>
      </w:r>
    </w:p>
    <w:p w14:paraId="3C4D0E15" w14:textId="77777777" w:rsidR="00FA2FF9" w:rsidRPr="00730DE4" w:rsidRDefault="00FA2FF9" w:rsidP="003D2369">
      <w:pPr>
        <w:pStyle w:val="ListBullet"/>
      </w:pPr>
      <w:r w:rsidRPr="00730DE4">
        <w:t xml:space="preserve">Boating infrastructures: </w:t>
      </w:r>
      <w:r w:rsidRPr="00730DE4">
        <w:rPr>
          <w:rStyle w:val="Strong"/>
        </w:rPr>
        <w:t>51</w:t>
      </w:r>
    </w:p>
    <w:p w14:paraId="73220D4C" w14:textId="77777777" w:rsidR="00FA2FF9" w:rsidRPr="00730DE4" w:rsidRDefault="00FA2FF9" w:rsidP="003D2369">
      <w:pPr>
        <w:pStyle w:val="ListBullet"/>
      </w:pPr>
      <w:r w:rsidRPr="00730DE4">
        <w:t xml:space="preserve">Community safety events held: </w:t>
      </w:r>
      <w:r w:rsidRPr="00730DE4">
        <w:rPr>
          <w:rStyle w:val="Strong"/>
        </w:rPr>
        <w:t>16</w:t>
      </w:r>
    </w:p>
    <w:p w14:paraId="7C651C5C" w14:textId="77777777" w:rsidR="00FA2FF9" w:rsidRPr="00730DE4" w:rsidRDefault="00FA2FF9" w:rsidP="003D2369">
      <w:pPr>
        <w:pStyle w:val="ListBullet"/>
      </w:pPr>
      <w:r w:rsidRPr="00730DE4">
        <w:t xml:space="preserve">Vehicle and machinery inspections completed: </w:t>
      </w:r>
      <w:r w:rsidRPr="00730DE4">
        <w:rPr>
          <w:rStyle w:val="Strong"/>
        </w:rPr>
        <w:t>4446</w:t>
      </w:r>
    </w:p>
    <w:p w14:paraId="4DFDEA16" w14:textId="77777777" w:rsidR="00FA2FF9" w:rsidRPr="00730DE4" w:rsidRDefault="00FA2FF9" w:rsidP="003D2369">
      <w:pPr>
        <w:pStyle w:val="ListBullet"/>
      </w:pPr>
      <w:r w:rsidRPr="00730DE4">
        <w:t xml:space="preserve">Bridges***: </w:t>
      </w:r>
      <w:r w:rsidRPr="00730DE4">
        <w:rPr>
          <w:rStyle w:val="Strong"/>
        </w:rPr>
        <w:t>311</w:t>
      </w:r>
    </w:p>
    <w:p w14:paraId="210A20CA" w14:textId="77777777" w:rsidR="00FA2FF9" w:rsidRPr="00730DE4" w:rsidRDefault="00FA2FF9" w:rsidP="003D2369">
      <w:pPr>
        <w:pStyle w:val="ListBullet"/>
      </w:pPr>
      <w:r w:rsidRPr="00730DE4">
        <w:t xml:space="preserve">Driver licence tests conducted: </w:t>
      </w:r>
      <w:r w:rsidRPr="00730DE4">
        <w:rPr>
          <w:rStyle w:val="Strong"/>
        </w:rPr>
        <w:t>5360</w:t>
      </w:r>
    </w:p>
    <w:p w14:paraId="1C98B436" w14:textId="77777777" w:rsidR="00FA2FF9" w:rsidRPr="00730DE4" w:rsidRDefault="00FA2FF9" w:rsidP="003D2369">
      <w:pPr>
        <w:pStyle w:val="ListBullet"/>
      </w:pPr>
      <w:r w:rsidRPr="00730DE4">
        <w:t xml:space="preserve">Customer face-to-face interactions: </w:t>
      </w:r>
      <w:r w:rsidRPr="00730DE4">
        <w:rPr>
          <w:rStyle w:val="Strong"/>
        </w:rPr>
        <w:t>142,836</w:t>
      </w:r>
    </w:p>
    <w:p w14:paraId="29463264" w14:textId="77777777" w:rsidR="00FA2FF9" w:rsidRPr="00730DE4" w:rsidRDefault="00FA2FF9" w:rsidP="003D2369">
      <w:pPr>
        <w:pStyle w:val="ListBullet"/>
        <w:rPr>
          <w:rStyle w:val="Strong"/>
          <w:b w:val="0"/>
          <w:bCs w:val="0"/>
        </w:rPr>
      </w:pPr>
      <w:r w:rsidRPr="00730DE4">
        <w:t xml:space="preserve">Priority-enabled intersections: </w:t>
      </w:r>
      <w:r w:rsidRPr="00730DE4">
        <w:rPr>
          <w:rStyle w:val="Strong"/>
        </w:rPr>
        <w:t>62</w:t>
      </w:r>
    </w:p>
    <w:p w14:paraId="22C053C8" w14:textId="77777777" w:rsidR="005628F2" w:rsidRPr="00730DE4" w:rsidRDefault="00FA2FF9" w:rsidP="005628F2">
      <w:pPr>
        <w:pStyle w:val="Caption"/>
        <w:rPr>
          <w:rStyle w:val="Strong"/>
        </w:rPr>
      </w:pPr>
      <w:r w:rsidRPr="00730DE4">
        <w:rPr>
          <w:rStyle w:val="Strong"/>
        </w:rPr>
        <w:t xml:space="preserve">Data source: </w:t>
      </w:r>
      <w:r w:rsidRPr="00730DE4">
        <w:t>*Queensland Government Statistician's Office (Queensland Treasury), Queensland Regional Profiles. www.qgso.qld.gov.au, July 2024</w:t>
      </w:r>
      <w:r w:rsidRPr="00730DE4">
        <w:rPr>
          <w:rStyle w:val="Strong"/>
        </w:rPr>
        <w:t xml:space="preserve"> </w:t>
      </w:r>
    </w:p>
    <w:p w14:paraId="1BADBF1A" w14:textId="77777777" w:rsidR="005628F2" w:rsidRPr="00730DE4" w:rsidRDefault="00FA2FF9" w:rsidP="005628F2">
      <w:pPr>
        <w:pStyle w:val="Caption"/>
      </w:pPr>
      <w:r w:rsidRPr="00730DE4">
        <w:rPr>
          <w:rStyle w:val="Strong"/>
        </w:rPr>
        <w:t>Data source:</w:t>
      </w:r>
      <w:r w:rsidRPr="00730DE4">
        <w:t xml:space="preserve"> **A Road Management Information System (ARMIS) 30 June 2024</w:t>
      </w:r>
    </w:p>
    <w:p w14:paraId="0507F7B4" w14:textId="73890476" w:rsidR="00FA2FF9" w:rsidRPr="00730DE4" w:rsidRDefault="00FA2FF9" w:rsidP="005628F2">
      <w:pPr>
        <w:pStyle w:val="Caption"/>
      </w:pPr>
      <w:r w:rsidRPr="00730DE4">
        <w:rPr>
          <w:rStyle w:val="Strong"/>
        </w:rPr>
        <w:t>Data source:</w:t>
      </w:r>
      <w:r w:rsidRPr="00730DE4">
        <w:t xml:space="preserve"> ***Bridge Information System (BIS), 30 June 2024</w:t>
      </w:r>
    </w:p>
    <w:p w14:paraId="1DB671E9" w14:textId="77777777" w:rsidR="00FA2FF9" w:rsidRPr="00730DE4" w:rsidRDefault="00FA2FF9" w:rsidP="002B7001">
      <w:pPr>
        <w:pStyle w:val="Heading4"/>
      </w:pPr>
      <w:bookmarkStart w:id="577" w:name="_Toc180487419"/>
      <w:bookmarkStart w:id="578" w:name="_Toc180490625"/>
      <w:bookmarkStart w:id="579" w:name="_Toc180491658"/>
      <w:r w:rsidRPr="00730DE4">
        <w:t>Mackay Ring Road to Bald Hill Road connection</w:t>
      </w:r>
      <w:bookmarkEnd w:id="577"/>
      <w:bookmarkEnd w:id="578"/>
      <w:bookmarkEnd w:id="579"/>
    </w:p>
    <w:p w14:paraId="7B3CAFFD" w14:textId="77777777" w:rsidR="00FA2FF9" w:rsidRPr="00730DE4" w:rsidRDefault="00FA2FF9" w:rsidP="00DD3122">
      <w:r w:rsidRPr="00730DE4">
        <w:t>Works continued on the Mackay Ring Road to Bald Hill Road Connection project, aiming to connect the Mackay Ring Road, Mackay Northern Access Upgrade, and future Mackay Port Access projects.</w:t>
      </w:r>
    </w:p>
    <w:p w14:paraId="62386D87" w14:textId="77777777" w:rsidR="00FA2FF9" w:rsidRPr="00730DE4" w:rsidRDefault="00FA2FF9" w:rsidP="00DD3122">
      <w:r w:rsidRPr="00730DE4">
        <w:t>The project is a continuation of the Mackay Ring Road and will connect the Ring Road and Bald Hill Road, enhancing capacity, safety, and network accessibility.</w:t>
      </w:r>
    </w:p>
    <w:p w14:paraId="29CEAE2F" w14:textId="77777777" w:rsidR="00FA2FF9" w:rsidRPr="00730DE4" w:rsidRDefault="00FA2FF9" w:rsidP="00DD3122">
      <w:r w:rsidRPr="00730DE4">
        <w:t>The project will connect the Bruce Highway at Glenella, duplicate the highway between the Mackay Ring Road and Bald Hill Road, build two new overpass bridges, deliver a new port rail line overpass, and upgrade the Bald Hill Road intersection.</w:t>
      </w:r>
    </w:p>
    <w:p w14:paraId="1E3294E2" w14:textId="7D9CE8E6" w:rsidR="00FA2FF9" w:rsidRPr="00730DE4" w:rsidRDefault="00FA2FF9" w:rsidP="00DD3122">
      <w:r w:rsidRPr="00730DE4">
        <w:t>Expected to be complete in early-2025, the project will link with the future Mackay Port Access project and provide access to mining and agricultural areas in the west, north, and south of Mackay to the Port.</w:t>
      </w:r>
      <w:r w:rsidR="009510A5" w:rsidRPr="00730DE4">
        <w:t xml:space="preserve"> </w:t>
      </w:r>
      <w:r w:rsidRPr="00730DE4">
        <w:t>This $497.4 million project is jointly funded by the Australian and Queensland governments.</w:t>
      </w:r>
    </w:p>
    <w:p w14:paraId="158671E7" w14:textId="77777777" w:rsidR="00FA2FF9" w:rsidRPr="00730DE4" w:rsidRDefault="00FA2FF9" w:rsidP="00DD3122">
      <w:pPr>
        <w:pStyle w:val="MessageHeader"/>
      </w:pPr>
      <w:r w:rsidRPr="00730DE4">
        <w:t xml:space="preserve">For more information </w:t>
      </w:r>
      <w:r w:rsidRPr="00730DE4">
        <w:br/>
      </w:r>
      <w:hyperlink r:id="rId51" w:history="1">
        <w:r w:rsidRPr="00730DE4">
          <w:rPr>
            <w:rStyle w:val="Hyperlink"/>
          </w:rPr>
          <w:t>https://www.tmr.qld.gov.au/projects/mackay-ring-road</w:t>
        </w:r>
      </w:hyperlink>
    </w:p>
    <w:p w14:paraId="61CC6F8D" w14:textId="77777777" w:rsidR="00FA2FF9" w:rsidRPr="00730DE4" w:rsidRDefault="00FA2FF9" w:rsidP="002B7001">
      <w:pPr>
        <w:pStyle w:val="Heading4"/>
      </w:pPr>
      <w:bookmarkStart w:id="580" w:name="_Toc180487420"/>
      <w:bookmarkStart w:id="581" w:name="_Toc180490626"/>
      <w:bookmarkStart w:id="582" w:name="_Toc180491659"/>
      <w:r w:rsidRPr="00730DE4">
        <w:t>Walkerston Bypass</w:t>
      </w:r>
      <w:bookmarkEnd w:id="580"/>
      <w:bookmarkEnd w:id="581"/>
      <w:bookmarkEnd w:id="582"/>
    </w:p>
    <w:p w14:paraId="7AE05CBF" w14:textId="77777777" w:rsidR="00FA2FF9" w:rsidRPr="00730DE4" w:rsidRDefault="00FA2FF9" w:rsidP="00DD3122">
      <w:r w:rsidRPr="00730DE4">
        <w:t>Construction continued on the Walkerston Bypass, a new two-lane rural highway connecting the Peak Downs Highway west of Walkerston to the Mackay Ring Road near Paget.</w:t>
      </w:r>
    </w:p>
    <w:p w14:paraId="0C52F424" w14:textId="77777777" w:rsidR="00FA2FF9" w:rsidRPr="00730DE4" w:rsidRDefault="00FA2FF9" w:rsidP="00DD3122">
      <w:r w:rsidRPr="00730DE4">
        <w:t>Works include construction of a 10.4-kilometre bypass, a new bridge with improved flood immunity over Bakers Creek, and three new road overpasses above the local road and cane rail network.</w:t>
      </w:r>
    </w:p>
    <w:p w14:paraId="656CBA27" w14:textId="77777777" w:rsidR="00FA2FF9" w:rsidRPr="00730DE4" w:rsidRDefault="00FA2FF9" w:rsidP="00DD3122">
      <w:r w:rsidRPr="00730DE4">
        <w:t>When completed in late-2024, the new Walkerston Bypass will become the designated heavy vehicle route between the Bruce and Peak Downs highways, minimising heavy vehicle traffic through the main street of Walkerston, providing a more efficient link for the mining industry in the northern Bowen Basin to Mackay.</w:t>
      </w:r>
    </w:p>
    <w:p w14:paraId="172E6966" w14:textId="77777777" w:rsidR="00FA2FF9" w:rsidRPr="00730DE4" w:rsidRDefault="00FA2FF9" w:rsidP="00DD3122">
      <w:r w:rsidRPr="00730DE4">
        <w:t>This $251.7 million project is jointly funded by the Australian and Queensland governments.</w:t>
      </w:r>
    </w:p>
    <w:p w14:paraId="6A8E31DD" w14:textId="77777777" w:rsidR="00FA2FF9" w:rsidRPr="00730DE4" w:rsidRDefault="00FA2FF9" w:rsidP="00DD3122">
      <w:pPr>
        <w:pStyle w:val="MessageHeader"/>
      </w:pPr>
      <w:r w:rsidRPr="00730DE4">
        <w:t xml:space="preserve">For more information </w:t>
      </w:r>
      <w:r w:rsidRPr="00730DE4">
        <w:br/>
      </w:r>
      <w:hyperlink r:id="rId52" w:history="1">
        <w:r w:rsidRPr="00730DE4">
          <w:rPr>
            <w:rStyle w:val="Hyperlink"/>
          </w:rPr>
          <w:t>https://www.tmr.qld.gov.au/projects/walkerston-bypass</w:t>
        </w:r>
      </w:hyperlink>
    </w:p>
    <w:p w14:paraId="6C1BD3E2" w14:textId="77777777" w:rsidR="00FA2FF9" w:rsidRPr="00730DE4" w:rsidRDefault="00FA2FF9" w:rsidP="002B7001">
      <w:pPr>
        <w:pStyle w:val="Heading4"/>
      </w:pPr>
      <w:bookmarkStart w:id="583" w:name="_Toc180487421"/>
      <w:bookmarkStart w:id="584" w:name="_Toc180490627"/>
      <w:bookmarkStart w:id="585" w:name="_Toc180491660"/>
      <w:r w:rsidRPr="00730DE4">
        <w:t>Bruce Highway (Mackay–Proserpine) upgrades</w:t>
      </w:r>
      <w:bookmarkEnd w:id="583"/>
      <w:bookmarkEnd w:id="584"/>
      <w:bookmarkEnd w:id="585"/>
    </w:p>
    <w:p w14:paraId="029C74D3" w14:textId="77777777" w:rsidR="00FA2FF9" w:rsidRPr="00730DE4" w:rsidRDefault="00FA2FF9" w:rsidP="00DD3122">
      <w:r w:rsidRPr="00730DE4">
        <w:t>In mid-2024, works to improve flood immunity and safety on the Bruce Highway at Jumper Creek and Knobels Road between Mackay and Proserpine were completed.</w:t>
      </w:r>
    </w:p>
    <w:p w14:paraId="473A6F89" w14:textId="77777777" w:rsidR="00FA2FF9" w:rsidRPr="00730DE4" w:rsidRDefault="00FA2FF9" w:rsidP="00DD3122">
      <w:r w:rsidRPr="00730DE4">
        <w:t>The upgrade was delivered through two projects. The first at Jumper Creek, where the floodway was raised by almost one metre, the nearby section of the highway was widened for wide centre line treatments, larger culverts were installed, and drainage structures were upgraded.</w:t>
      </w:r>
    </w:p>
    <w:p w14:paraId="27D5AD0C" w14:textId="77777777" w:rsidR="00FA2FF9" w:rsidRPr="00730DE4" w:rsidRDefault="00FA2FF9" w:rsidP="00DD3122">
      <w:r w:rsidRPr="00730DE4">
        <w:t>These improvements ensured these sections of the Bruce Highway are safer and more resilient, providing long-term benefits for all road users.</w:t>
      </w:r>
    </w:p>
    <w:p w14:paraId="4B5C5A69" w14:textId="77777777" w:rsidR="00FA2FF9" w:rsidRPr="00730DE4" w:rsidRDefault="00FA2FF9" w:rsidP="00DD3122">
      <w:r w:rsidRPr="00730DE4">
        <w:t>The second project, at the Bruce Highway intersection with Knobels Road, saw more than one kilometre of the highway receive safety improvements such as the installation of extended turning lanes, protected turning lanes, new lighting, and a new road surface.</w:t>
      </w:r>
    </w:p>
    <w:p w14:paraId="310538B3" w14:textId="77777777" w:rsidR="00FA2FF9" w:rsidRPr="00730DE4" w:rsidRDefault="00FA2FF9" w:rsidP="00DD3122">
      <w:r w:rsidRPr="00730DE4">
        <w:t>These projects were jointly funded by the Australian and Queensland governments under the Bruce Highway Upgrade Program.</w:t>
      </w:r>
    </w:p>
    <w:p w14:paraId="305CFA9A" w14:textId="77777777" w:rsidR="00FA2FF9" w:rsidRPr="00730DE4" w:rsidRDefault="00FA2FF9" w:rsidP="00DD3122">
      <w:pPr>
        <w:pStyle w:val="MessageHeader"/>
      </w:pPr>
      <w:r w:rsidRPr="00730DE4">
        <w:t xml:space="preserve">For more information </w:t>
      </w:r>
      <w:r w:rsidRPr="00730DE4">
        <w:br/>
      </w:r>
      <w:hyperlink r:id="rId53" w:history="1">
        <w:r w:rsidRPr="00730DE4">
          <w:rPr>
            <w:rStyle w:val="Hyperlink"/>
          </w:rPr>
          <w:t>https://www.tmr.qld.gov.au/projects/bruce-highway-mackay-proserpine-jumper-creek-upgrade-flood-immunity</w:t>
        </w:r>
      </w:hyperlink>
      <w:r w:rsidRPr="00730DE4">
        <w:br/>
      </w:r>
      <w:hyperlink r:id="rId54" w:history="1">
        <w:r w:rsidRPr="00730DE4">
          <w:rPr>
            <w:rStyle w:val="Hyperlink"/>
          </w:rPr>
          <w:t>https://www.tmr.qld.gov.au/projects/bruce-highway-mackay-proserpine-knobels-road-upgrade-intersection-and-approaches</w:t>
        </w:r>
      </w:hyperlink>
    </w:p>
    <w:p w14:paraId="7A06BC09" w14:textId="77777777" w:rsidR="00FA2FF9" w:rsidRPr="00730DE4" w:rsidRDefault="00FA2FF9" w:rsidP="002B7001">
      <w:pPr>
        <w:pStyle w:val="Heading4"/>
      </w:pPr>
      <w:bookmarkStart w:id="586" w:name="_Toc180487422"/>
      <w:bookmarkStart w:id="587" w:name="_Toc180490628"/>
      <w:bookmarkStart w:id="588" w:name="_Toc180491661"/>
      <w:r w:rsidRPr="00730DE4">
        <w:t>Palm Tree Creek Bridge and Blackrock Creek Bridge strengthening works</w:t>
      </w:r>
      <w:bookmarkEnd w:id="586"/>
      <w:bookmarkEnd w:id="587"/>
      <w:bookmarkEnd w:id="588"/>
    </w:p>
    <w:p w14:paraId="6F689A28" w14:textId="77777777" w:rsidR="00FA2FF9" w:rsidRPr="00730DE4" w:rsidRDefault="00FA2FF9" w:rsidP="00DA6A20">
      <w:r w:rsidRPr="00730DE4">
        <w:t>Strengthening works are planned for the Palm Tree Creek Bridge and Blackrock Creek Bridge, located on the Bruce Highway, north-west of Mackay.</w:t>
      </w:r>
    </w:p>
    <w:p w14:paraId="1AEED829" w14:textId="77777777" w:rsidR="00FA2FF9" w:rsidRPr="00730DE4" w:rsidRDefault="00FA2FF9" w:rsidP="00DA6A20">
      <w:r w:rsidRPr="00730DE4">
        <w:t xml:space="preserve">The Palm Tree Creek Bridge, 34 kilometres from Mackay, is a two-span structure with similar materials and construction. The Blackrock Creek Bridge, 58 kilometres from Mackay, is a three-span prestressed concrete I-girder and reinforced concrete deck on a reinforced concrete substructure. </w:t>
      </w:r>
    </w:p>
    <w:p w14:paraId="57E75876" w14:textId="77777777" w:rsidR="00FA2FF9" w:rsidRPr="00730DE4" w:rsidRDefault="00FA2FF9" w:rsidP="00DA6A20">
      <w:r w:rsidRPr="00730DE4">
        <w:t>Due to their location within the Bowen Basin, there is high demand for permits for Class One Heavy Vehicles such as cranes, low loaders, and load platform trailers.</w:t>
      </w:r>
    </w:p>
    <w:p w14:paraId="61399037" w14:textId="77777777" w:rsidR="00FA2FF9" w:rsidRPr="00730DE4" w:rsidRDefault="00FA2FF9" w:rsidP="00DA6A20">
      <w:r w:rsidRPr="00730DE4">
        <w:t>These bridges, in service since 1970 and 1972 respectively, have been assessed and both require strengthening to extend their design life by 25 years.</w:t>
      </w:r>
    </w:p>
    <w:p w14:paraId="785E76A7" w14:textId="77777777" w:rsidR="00FA2FF9" w:rsidRPr="00730DE4" w:rsidRDefault="00FA2FF9" w:rsidP="00DA6A20">
      <w:r w:rsidRPr="00730DE4">
        <w:t>For Blackrock Creek Bridge, the proposed design includes strengthening the superstructure using steel plates attached to the girder soffit to improve bending capacity, and vertical steel dowels through the deck into the tops of the girders to improve longitudinal shear capacity. Additionally, the substructure will be strengthened by providing a cast in-situ concrete infill into the existing pier portal frame substructure.</w:t>
      </w:r>
    </w:p>
    <w:p w14:paraId="5AFADB5A" w14:textId="77777777" w:rsidR="00FA2FF9" w:rsidRPr="00730DE4" w:rsidRDefault="00FA2FF9" w:rsidP="00DA6A20">
      <w:r w:rsidRPr="00730DE4">
        <w:t>For Palm Tree Creek Bridge, the design includes strengthening the superstructure using a combination of steel plates attached to the girders and intermediate cross girders, and shear hanger assemblies to improve the respective shear capacities. The substructure will be strengthened by providing concrete widening of the blade wall substructure.</w:t>
      </w:r>
    </w:p>
    <w:p w14:paraId="64BE011B" w14:textId="77777777" w:rsidR="00FA2FF9" w:rsidRPr="00730DE4" w:rsidRDefault="00FA2FF9" w:rsidP="00DA6A20">
      <w:r w:rsidRPr="00730DE4">
        <w:t>These works also support employment opportunities for Aboriginal and Torres Strait Islander people in the civil construction industry.</w:t>
      </w:r>
    </w:p>
    <w:p w14:paraId="683D5AD9" w14:textId="77777777" w:rsidR="00FA2FF9" w:rsidRPr="00730DE4" w:rsidRDefault="00FA2FF9" w:rsidP="00DA6A20">
      <w:r w:rsidRPr="00730DE4">
        <w:t>These $13.5 million projects are jointly funded by the Australian and Queensland governments under the Bruce Highway Upgrade Program.</w:t>
      </w:r>
    </w:p>
    <w:p w14:paraId="14D32235" w14:textId="77777777" w:rsidR="00FA2FF9" w:rsidRPr="00730DE4" w:rsidRDefault="00FA2FF9" w:rsidP="002B7001">
      <w:pPr>
        <w:pStyle w:val="Heading4"/>
      </w:pPr>
      <w:bookmarkStart w:id="589" w:name="_Toc180487423"/>
      <w:bookmarkStart w:id="590" w:name="_Toc180490629"/>
      <w:bookmarkStart w:id="591" w:name="_Toc180491662"/>
      <w:r w:rsidRPr="00730DE4">
        <w:t>Mackay–Bucasia Road, Bucasia to Rural View roundabout, improve efficiency planning</w:t>
      </w:r>
      <w:bookmarkEnd w:id="589"/>
      <w:bookmarkEnd w:id="590"/>
      <w:bookmarkEnd w:id="591"/>
    </w:p>
    <w:p w14:paraId="02D409E6" w14:textId="77777777" w:rsidR="00FA2FF9" w:rsidRPr="00730DE4" w:rsidRDefault="00FA2FF9" w:rsidP="00DD3122">
      <w:r w:rsidRPr="00730DE4">
        <w:t>Planning continued for future upgrades to Mackay–Bucasia Road to address congestion, safety, and flooding issues on this vital link to the northern beaches.</w:t>
      </w:r>
    </w:p>
    <w:p w14:paraId="1B8C6A57" w14:textId="77777777" w:rsidR="00FA2FF9" w:rsidRPr="00730DE4" w:rsidRDefault="00FA2FF9" w:rsidP="00DD3122">
      <w:r w:rsidRPr="00730DE4">
        <w:t>This 11-kilometre key commuter and freight corridor connects the Bruce Highway in North Mackay to Rural View, Bucasia, Eimeo, Blacks Beach, and Shoal Point, providing access to employment, goods, services, and schools.</w:t>
      </w:r>
    </w:p>
    <w:p w14:paraId="74D83E68" w14:textId="77777777" w:rsidR="00FA2FF9" w:rsidRPr="00730DE4" w:rsidRDefault="00FA2FF9" w:rsidP="00DD3122">
      <w:r w:rsidRPr="00730DE4">
        <w:t>Planning activities include investigations to identify key congestion points addressing improvements to road capacity and areas for improvements to safety and flood mitigation.</w:t>
      </w:r>
    </w:p>
    <w:p w14:paraId="26DF1278" w14:textId="77777777" w:rsidR="00FA2FF9" w:rsidRPr="00730DE4" w:rsidRDefault="00FA2FF9" w:rsidP="00DD3122">
      <w:r w:rsidRPr="00730DE4">
        <w:t>A business case to assess and recommend delivery options for the highest priority is currently being finalised.</w:t>
      </w:r>
    </w:p>
    <w:p w14:paraId="56D454A4" w14:textId="77777777" w:rsidR="00FA2FF9" w:rsidRPr="00730DE4" w:rsidRDefault="00FA2FF9" w:rsidP="00DD3122">
      <w:r w:rsidRPr="00730DE4">
        <w:t>This planning project is fully funded by the Queensland Government as part of the Transport System Planning Program.</w:t>
      </w:r>
    </w:p>
    <w:p w14:paraId="2AC0099F" w14:textId="77777777" w:rsidR="00FA2FF9" w:rsidRPr="00730DE4" w:rsidRDefault="00FA2FF9" w:rsidP="00DD3122">
      <w:pPr>
        <w:pStyle w:val="MessageHeader"/>
      </w:pPr>
      <w:r w:rsidRPr="00730DE4">
        <w:t xml:space="preserve">For more information </w:t>
      </w:r>
      <w:r w:rsidRPr="00730DE4">
        <w:br/>
      </w:r>
      <w:hyperlink r:id="rId55" w:history="1">
        <w:r w:rsidRPr="00730DE4">
          <w:rPr>
            <w:rStyle w:val="Hyperlink"/>
          </w:rPr>
          <w:t>https://www.tmr.qld.gov.au/projects/mackay-bucasia-road-capacity-upgrades-and-duplication-planning</w:t>
        </w:r>
      </w:hyperlink>
    </w:p>
    <w:p w14:paraId="243DDDC6" w14:textId="77777777" w:rsidR="00FA2FF9" w:rsidRPr="00730DE4" w:rsidRDefault="00FA2FF9" w:rsidP="002B7001">
      <w:pPr>
        <w:pStyle w:val="Heading4"/>
      </w:pPr>
      <w:bookmarkStart w:id="592" w:name="_Toc180487424"/>
      <w:bookmarkStart w:id="593" w:name="_Toc180490630"/>
      <w:bookmarkStart w:id="594" w:name="_Toc180491663"/>
      <w:r w:rsidRPr="00730DE4">
        <w:t>Bruce Highway (Bowen–Ayr), Bowen Connection Road, improve intersection</w:t>
      </w:r>
      <w:bookmarkEnd w:id="592"/>
      <w:bookmarkEnd w:id="593"/>
      <w:bookmarkEnd w:id="594"/>
    </w:p>
    <w:p w14:paraId="7471B391" w14:textId="77777777" w:rsidR="00FA2FF9" w:rsidRPr="00730DE4" w:rsidRDefault="00FA2FF9" w:rsidP="00DD3122">
      <w:r w:rsidRPr="00730DE4">
        <w:t>Safety upgrades to the Bruce Highway near Bowen were completed in December 2023.</w:t>
      </w:r>
    </w:p>
    <w:p w14:paraId="4902BC2F" w14:textId="77777777" w:rsidR="00FA2FF9" w:rsidRPr="00730DE4" w:rsidRDefault="00FA2FF9" w:rsidP="00DD3122">
      <w:r w:rsidRPr="00730DE4">
        <w:t>The improvements were delivered through two projects for around six kilometres of the highway between the Bowen Connection Road and Champion Street, and included pavement widening, wide centre line treatments, intersection upgrades, removal of roadside hazards, and guard rail installations.</w:t>
      </w:r>
    </w:p>
    <w:p w14:paraId="08FA3051" w14:textId="77777777" w:rsidR="00FA2FF9" w:rsidRPr="00730DE4" w:rsidRDefault="00FA2FF9" w:rsidP="00DD3122">
      <w:r w:rsidRPr="00730DE4">
        <w:t>At the intersection of Bowen Connection Road and Don Street, a separate lane was constructed for vehicles turning right from the highway to enter and accelerate to through-traffic speed before merging.</w:t>
      </w:r>
    </w:p>
    <w:p w14:paraId="011C53B8" w14:textId="1F51ADC2" w:rsidR="00FA2FF9" w:rsidRPr="00730DE4" w:rsidRDefault="00FA2FF9" w:rsidP="00DD3122">
      <w:r w:rsidRPr="00730DE4">
        <w:t>The work has contributed to providing a safer, smoother, and more efficient road network.</w:t>
      </w:r>
    </w:p>
    <w:p w14:paraId="36C4677A" w14:textId="77777777" w:rsidR="00FA2FF9" w:rsidRPr="00730DE4" w:rsidRDefault="00FA2FF9" w:rsidP="00DD3122">
      <w:r w:rsidRPr="00730DE4">
        <w:t>These projects were jointly funded by the Australian and Queensland governments under the Bruce Highway Upgrade Program.</w:t>
      </w:r>
    </w:p>
    <w:p w14:paraId="27C27E8D" w14:textId="77777777" w:rsidR="00FA2FF9" w:rsidRPr="00730DE4" w:rsidRDefault="00FA2FF9" w:rsidP="002B7001">
      <w:pPr>
        <w:pStyle w:val="Heading4"/>
      </w:pPr>
      <w:bookmarkStart w:id="595" w:name="_Toc180487425"/>
      <w:bookmarkStart w:id="596" w:name="_Toc180490631"/>
      <w:bookmarkStart w:id="597" w:name="_Toc180491664"/>
      <w:r w:rsidRPr="00730DE4">
        <w:t>Peak Downs Highway (Clermont–Nebo) Wuthung Road to Caval Ridge Mine, widen and strengthen pavement</w:t>
      </w:r>
      <w:bookmarkEnd w:id="595"/>
      <w:bookmarkEnd w:id="596"/>
      <w:bookmarkEnd w:id="597"/>
    </w:p>
    <w:p w14:paraId="6B7DB43F" w14:textId="77777777" w:rsidR="00FA2FF9" w:rsidRPr="00730DE4" w:rsidRDefault="00FA2FF9" w:rsidP="00DD3122">
      <w:r w:rsidRPr="00730DE4">
        <w:t>Works to widen and strengthen around 14 kilometres of the Peak Downs Highway between Clermont and the Peak Downs Mine turnoff in Central Queensland were completed in December 2023.</w:t>
      </w:r>
    </w:p>
    <w:p w14:paraId="5078CA99" w14:textId="77777777" w:rsidR="00FA2FF9" w:rsidRPr="00730DE4" w:rsidRDefault="00FA2FF9" w:rsidP="00DD3122">
      <w:r w:rsidRPr="00730DE4">
        <w:t>The Peak Downs Highway forms part of the National Key Freight Route network and is a strategic state route used by heavy vehicles associated with mining and agricultural sectors.</w:t>
      </w:r>
    </w:p>
    <w:p w14:paraId="45013735" w14:textId="77777777" w:rsidR="00FA2FF9" w:rsidRPr="00730DE4" w:rsidRDefault="00FA2FF9" w:rsidP="00DD3122">
      <w:r w:rsidRPr="00730DE4">
        <w:t>The project delivered a nine metre wide sealed roadway with one metre shoulders to enhance safety along one of the narrowest sections of the Peak Downs Highway.</w:t>
      </w:r>
    </w:p>
    <w:p w14:paraId="5AAFCE1C" w14:textId="77777777" w:rsidR="00FA2FF9" w:rsidRPr="00730DE4" w:rsidRDefault="00FA2FF9" w:rsidP="00DD3122">
      <w:r w:rsidRPr="00730DE4">
        <w:t>This widening and strengthening of the highway helps prevent edge wear and tear, improves safety, prolongs road lifespan, and reduces ongoing maintenance costs.</w:t>
      </w:r>
    </w:p>
    <w:p w14:paraId="2582EA8E" w14:textId="77777777" w:rsidR="00FA2FF9" w:rsidRPr="00730DE4" w:rsidRDefault="00FA2FF9" w:rsidP="00DD3122">
      <w:r w:rsidRPr="00730DE4">
        <w:t>This project was jointly funded by the Australian and Queensland governments under the Northern Australia Roads Program.</w:t>
      </w:r>
    </w:p>
    <w:p w14:paraId="373DD928" w14:textId="77777777" w:rsidR="00B13631" w:rsidRPr="00730DE4" w:rsidRDefault="00B13631">
      <w:pPr>
        <w:suppressAutoHyphens w:val="0"/>
        <w:spacing w:before="0" w:line="259" w:lineRule="auto"/>
        <w:rPr>
          <w:rFonts w:eastAsiaTheme="majorEastAsia" w:cstheme="majorBidi"/>
          <w:color w:val="080C0F" w:themeColor="text1"/>
          <w:sz w:val="44"/>
          <w:szCs w:val="28"/>
        </w:rPr>
      </w:pPr>
      <w:r w:rsidRPr="00730DE4">
        <w:br w:type="page"/>
      </w:r>
    </w:p>
    <w:p w14:paraId="2A6D1005" w14:textId="795B1B93" w:rsidR="00FA2FF9" w:rsidRPr="00730DE4" w:rsidRDefault="00FA2FF9" w:rsidP="002B7001">
      <w:pPr>
        <w:pStyle w:val="Heading3"/>
      </w:pPr>
      <w:bookmarkStart w:id="598" w:name="_Toc180487426"/>
      <w:bookmarkStart w:id="599" w:name="_Toc180490632"/>
      <w:bookmarkStart w:id="600" w:name="_Toc180491665"/>
      <w:r w:rsidRPr="00730DE4">
        <w:t>Central West</w:t>
      </w:r>
      <w:bookmarkEnd w:id="598"/>
      <w:bookmarkEnd w:id="599"/>
      <w:bookmarkEnd w:id="600"/>
    </w:p>
    <w:p w14:paraId="350C5FC4" w14:textId="77777777" w:rsidR="00FA2FF9" w:rsidRPr="00730DE4" w:rsidRDefault="00FA2FF9" w:rsidP="003D2369">
      <w:pPr>
        <w:pStyle w:val="ListBullet"/>
      </w:pPr>
      <w:r w:rsidRPr="00730DE4">
        <w:t xml:space="preserve">Area covered: </w:t>
      </w:r>
      <w:r w:rsidRPr="00730DE4">
        <w:rPr>
          <w:rStyle w:val="Strong"/>
        </w:rPr>
        <w:t>395,765 km</w:t>
      </w:r>
      <w:r w:rsidRPr="00730DE4">
        <w:rPr>
          <w:rStyle w:val="Strong"/>
          <w:vertAlign w:val="superscript"/>
        </w:rPr>
        <w:t>2</w:t>
      </w:r>
    </w:p>
    <w:p w14:paraId="36C2B4C6" w14:textId="77777777" w:rsidR="00FA2FF9" w:rsidRPr="00730DE4" w:rsidRDefault="00FA2FF9" w:rsidP="003D2369">
      <w:pPr>
        <w:pStyle w:val="ListBullet"/>
        <w:rPr>
          <w:b/>
          <w:bCs/>
        </w:rPr>
      </w:pPr>
      <w:r w:rsidRPr="00730DE4">
        <w:t xml:space="preserve">Population of Queensland: </w:t>
      </w:r>
      <w:r w:rsidRPr="00730DE4">
        <w:rPr>
          <w:rStyle w:val="Strong"/>
        </w:rPr>
        <w:t>0.20%*</w:t>
      </w:r>
    </w:p>
    <w:p w14:paraId="669DF036" w14:textId="77777777" w:rsidR="00FA2FF9" w:rsidRPr="00730DE4" w:rsidRDefault="00FA2FF9" w:rsidP="002B7001">
      <w:pPr>
        <w:pStyle w:val="Heading4"/>
      </w:pPr>
      <w:bookmarkStart w:id="601" w:name="_Toc180487427"/>
      <w:bookmarkStart w:id="602" w:name="_Toc180490633"/>
      <w:bookmarkStart w:id="603" w:name="_Toc180491666"/>
      <w:r w:rsidRPr="00730DE4">
        <w:t>Fast facts</w:t>
      </w:r>
      <w:bookmarkEnd w:id="601"/>
      <w:bookmarkEnd w:id="602"/>
      <w:bookmarkEnd w:id="603"/>
    </w:p>
    <w:p w14:paraId="5415311E" w14:textId="77777777" w:rsidR="00FA2FF9" w:rsidRPr="00730DE4" w:rsidRDefault="00FA2FF9" w:rsidP="003D2369">
      <w:pPr>
        <w:pStyle w:val="ListBullet"/>
      </w:pPr>
      <w:r w:rsidRPr="00730DE4">
        <w:t xml:space="preserve">State-controlled road**: </w:t>
      </w:r>
      <w:r w:rsidRPr="00730DE4">
        <w:rPr>
          <w:rStyle w:val="Strong"/>
        </w:rPr>
        <w:t>4385KM</w:t>
      </w:r>
    </w:p>
    <w:p w14:paraId="4C0A1C25" w14:textId="77777777" w:rsidR="00FA2FF9" w:rsidRPr="00730DE4" w:rsidRDefault="00FA2FF9" w:rsidP="003D2369">
      <w:pPr>
        <w:pStyle w:val="ListBullet"/>
      </w:pPr>
      <w:r w:rsidRPr="00730DE4">
        <w:t xml:space="preserve">National Land Transport Network**: </w:t>
      </w:r>
      <w:r w:rsidRPr="00730DE4">
        <w:rPr>
          <w:rStyle w:val="Strong"/>
        </w:rPr>
        <w:t>693KM</w:t>
      </w:r>
    </w:p>
    <w:p w14:paraId="3AE6A5E3" w14:textId="77777777" w:rsidR="00FA2FF9" w:rsidRPr="00730DE4" w:rsidRDefault="00FA2FF9" w:rsidP="003D2369">
      <w:pPr>
        <w:pStyle w:val="ListBullet"/>
      </w:pPr>
      <w:r w:rsidRPr="00730DE4">
        <w:t xml:space="preserve">Vehicle and machinery registrations: </w:t>
      </w:r>
      <w:r w:rsidRPr="00730DE4">
        <w:rPr>
          <w:rStyle w:val="Strong"/>
        </w:rPr>
        <w:t>21,256</w:t>
      </w:r>
    </w:p>
    <w:p w14:paraId="3D76C544" w14:textId="77777777" w:rsidR="00FA2FF9" w:rsidRPr="00730DE4" w:rsidRDefault="00FA2FF9" w:rsidP="003D2369">
      <w:pPr>
        <w:pStyle w:val="ListBullet"/>
      </w:pPr>
      <w:r w:rsidRPr="00730DE4">
        <w:t xml:space="preserve">Boating infrastructures: </w:t>
      </w:r>
      <w:r w:rsidRPr="00730DE4">
        <w:rPr>
          <w:rStyle w:val="Strong"/>
        </w:rPr>
        <w:t>1</w:t>
      </w:r>
    </w:p>
    <w:p w14:paraId="107A8657" w14:textId="77777777" w:rsidR="00FA2FF9" w:rsidRPr="00730DE4" w:rsidRDefault="00FA2FF9" w:rsidP="003D2369">
      <w:pPr>
        <w:pStyle w:val="ListBullet"/>
      </w:pPr>
      <w:r w:rsidRPr="00730DE4">
        <w:t xml:space="preserve">Community safety events held: </w:t>
      </w:r>
      <w:r w:rsidRPr="00730DE4">
        <w:rPr>
          <w:rStyle w:val="Strong"/>
        </w:rPr>
        <w:t>2</w:t>
      </w:r>
    </w:p>
    <w:p w14:paraId="478079C4" w14:textId="77777777" w:rsidR="00FA2FF9" w:rsidRPr="00730DE4" w:rsidRDefault="00FA2FF9" w:rsidP="003D2369">
      <w:pPr>
        <w:pStyle w:val="ListBullet"/>
      </w:pPr>
      <w:r w:rsidRPr="00730DE4">
        <w:t xml:space="preserve">Vehicle and machinery inspections completed: </w:t>
      </w:r>
      <w:r w:rsidRPr="00730DE4">
        <w:rPr>
          <w:rStyle w:val="Strong"/>
        </w:rPr>
        <w:t>1112</w:t>
      </w:r>
    </w:p>
    <w:p w14:paraId="26CC3CF4" w14:textId="77777777" w:rsidR="00FA2FF9" w:rsidRPr="00730DE4" w:rsidRDefault="00FA2FF9" w:rsidP="003D2369">
      <w:pPr>
        <w:pStyle w:val="ListBullet"/>
      </w:pPr>
      <w:r w:rsidRPr="00730DE4">
        <w:t xml:space="preserve">Bridges***: </w:t>
      </w:r>
      <w:r w:rsidRPr="00730DE4">
        <w:rPr>
          <w:rStyle w:val="Strong"/>
        </w:rPr>
        <w:t>80</w:t>
      </w:r>
    </w:p>
    <w:p w14:paraId="044B33F0" w14:textId="77777777" w:rsidR="00FA2FF9" w:rsidRPr="00730DE4" w:rsidRDefault="00FA2FF9" w:rsidP="003D2369">
      <w:pPr>
        <w:pStyle w:val="ListBullet"/>
      </w:pPr>
      <w:r w:rsidRPr="00730DE4">
        <w:t xml:space="preserve">Driver licence tests conducted: </w:t>
      </w:r>
      <w:r w:rsidRPr="00730DE4">
        <w:rPr>
          <w:rStyle w:val="Strong"/>
        </w:rPr>
        <w:t>377</w:t>
      </w:r>
    </w:p>
    <w:p w14:paraId="541422C0" w14:textId="77777777" w:rsidR="00FA2FF9" w:rsidRPr="00730DE4" w:rsidRDefault="00FA2FF9" w:rsidP="003D2369">
      <w:pPr>
        <w:pStyle w:val="ListBullet"/>
      </w:pPr>
      <w:r w:rsidRPr="00730DE4">
        <w:t xml:space="preserve">Customer face-to-face interactions: </w:t>
      </w:r>
      <w:r w:rsidRPr="00730DE4">
        <w:rPr>
          <w:rStyle w:val="Strong"/>
        </w:rPr>
        <w:t>10,796</w:t>
      </w:r>
    </w:p>
    <w:p w14:paraId="7C156413" w14:textId="77777777" w:rsidR="005628F2" w:rsidRPr="00730DE4" w:rsidRDefault="00FA2FF9" w:rsidP="005628F2">
      <w:pPr>
        <w:pStyle w:val="Caption"/>
        <w:rPr>
          <w:rStyle w:val="Strong"/>
        </w:rPr>
      </w:pPr>
      <w:r w:rsidRPr="00730DE4">
        <w:rPr>
          <w:rStyle w:val="Strong"/>
        </w:rPr>
        <w:t xml:space="preserve">Data source: </w:t>
      </w:r>
      <w:r w:rsidRPr="00730DE4">
        <w:t>*Queensland Government Statistician's Office (Queensland Treasury), Queensland Regional Profiles. www.qgso.qld.gov.au, July 2024</w:t>
      </w:r>
      <w:r w:rsidRPr="00730DE4">
        <w:rPr>
          <w:rStyle w:val="Strong"/>
        </w:rPr>
        <w:t xml:space="preserve"> </w:t>
      </w:r>
    </w:p>
    <w:p w14:paraId="35EAD6F6" w14:textId="77777777" w:rsidR="005628F2" w:rsidRPr="00730DE4" w:rsidRDefault="00FA2FF9" w:rsidP="005628F2">
      <w:pPr>
        <w:pStyle w:val="Caption"/>
      </w:pPr>
      <w:r w:rsidRPr="00730DE4">
        <w:rPr>
          <w:rStyle w:val="Strong"/>
        </w:rPr>
        <w:t>Data source:</w:t>
      </w:r>
      <w:r w:rsidRPr="00730DE4">
        <w:t xml:space="preserve"> **A Road Management Information System (ARMIS) 30 June 2024</w:t>
      </w:r>
    </w:p>
    <w:p w14:paraId="2386122B" w14:textId="0D45785B" w:rsidR="00FA2FF9" w:rsidRPr="00730DE4" w:rsidRDefault="00FA2FF9" w:rsidP="005628F2">
      <w:pPr>
        <w:pStyle w:val="Caption"/>
      </w:pPr>
      <w:r w:rsidRPr="00730DE4">
        <w:rPr>
          <w:rStyle w:val="Strong"/>
        </w:rPr>
        <w:t>Data source:</w:t>
      </w:r>
      <w:r w:rsidRPr="00730DE4">
        <w:t xml:space="preserve"> ***Bridge Information System (BIS), 30 June 2024</w:t>
      </w:r>
    </w:p>
    <w:p w14:paraId="6973BD1B" w14:textId="77777777" w:rsidR="00FA2FF9" w:rsidRPr="00730DE4" w:rsidRDefault="00FA2FF9" w:rsidP="002B7001">
      <w:pPr>
        <w:pStyle w:val="Heading4"/>
      </w:pPr>
      <w:bookmarkStart w:id="604" w:name="_Toc180487428"/>
      <w:bookmarkStart w:id="605" w:name="_Toc180490634"/>
      <w:bookmarkStart w:id="606" w:name="_Toc180491667"/>
      <w:r w:rsidRPr="00730DE4">
        <w:t>Priority road safety upgrades between Dajarra and Mount Isa</w:t>
      </w:r>
      <w:bookmarkEnd w:id="604"/>
      <w:bookmarkEnd w:id="605"/>
      <w:bookmarkEnd w:id="606"/>
    </w:p>
    <w:p w14:paraId="182AAB93" w14:textId="77777777" w:rsidR="00FA2FF9" w:rsidRPr="00730DE4" w:rsidRDefault="00FA2FF9" w:rsidP="00295E24">
      <w:r w:rsidRPr="00730DE4">
        <w:t>Detailed planning was completed in early-2024 on three targeted safety upgrade projects for the Diamantina Developmental Road (Dajarra–Mount Isa).</w:t>
      </w:r>
    </w:p>
    <w:p w14:paraId="3804D60F" w14:textId="77777777" w:rsidR="00FA2FF9" w:rsidRPr="00730DE4" w:rsidRDefault="00FA2FF9" w:rsidP="00295E24">
      <w:r w:rsidRPr="00730DE4">
        <w:t>The road provides remote communities with access to goods and essential services such as health, education, and employment.</w:t>
      </w:r>
    </w:p>
    <w:p w14:paraId="2C94C502" w14:textId="77777777" w:rsidR="00FA2FF9" w:rsidRPr="00730DE4" w:rsidRDefault="00FA2FF9" w:rsidP="00295E24">
      <w:r w:rsidRPr="00730DE4">
        <w:t>It also forms part of a key north-south connector that links Mount Isa with Charleville and is an important route for the movement of cattle and freight, mining, and outback tourism.</w:t>
      </w:r>
    </w:p>
    <w:p w14:paraId="6256A31C" w14:textId="77777777" w:rsidR="00FA2FF9" w:rsidRPr="00730DE4" w:rsidRDefault="00FA2FF9" w:rsidP="00295E24">
      <w:r w:rsidRPr="00730DE4">
        <w:t>The three safety projects include:</w:t>
      </w:r>
    </w:p>
    <w:p w14:paraId="30BC4AA8" w14:textId="77777777" w:rsidR="00FA2FF9" w:rsidRPr="00730DE4" w:rsidRDefault="00FA2FF9" w:rsidP="00295E24">
      <w:pPr>
        <w:pStyle w:val="ListBullet"/>
      </w:pPr>
      <w:r w:rsidRPr="00730DE4">
        <w:t>widening and strengthening a priority two kilometre section to provide additional overtaking opportunities, jointly funded with the Australian Government</w:t>
      </w:r>
    </w:p>
    <w:p w14:paraId="4288CE92" w14:textId="77777777" w:rsidR="00FA2FF9" w:rsidRPr="00730DE4" w:rsidRDefault="00FA2FF9" w:rsidP="00295E24">
      <w:pPr>
        <w:pStyle w:val="ListBullet"/>
      </w:pPr>
      <w:r w:rsidRPr="00730DE4">
        <w:t>widening approaches to Waverley Creek bridge</w:t>
      </w:r>
    </w:p>
    <w:p w14:paraId="15699214" w14:textId="77777777" w:rsidR="00FA2FF9" w:rsidRPr="00730DE4" w:rsidRDefault="00FA2FF9" w:rsidP="00295E24">
      <w:pPr>
        <w:pStyle w:val="ListBullet"/>
      </w:pPr>
      <w:r w:rsidRPr="00730DE4">
        <w:t>upgrading aged drainage structures to improve reliability and safety for all road users.</w:t>
      </w:r>
    </w:p>
    <w:p w14:paraId="0E15D758" w14:textId="77777777" w:rsidR="00FA2FF9" w:rsidRPr="00730DE4" w:rsidRDefault="00FA2FF9" w:rsidP="00295E24">
      <w:r w:rsidRPr="00730DE4">
        <w:t>The contract is expected to be awarded in late-2024 and works completed mid-2025, weather and construction conditions permitting.</w:t>
      </w:r>
    </w:p>
    <w:p w14:paraId="76F308C8" w14:textId="66111D11" w:rsidR="00FA2FF9" w:rsidRPr="00730DE4" w:rsidRDefault="00FA2FF9" w:rsidP="002B7001">
      <w:pPr>
        <w:pStyle w:val="Heading4"/>
      </w:pPr>
      <w:bookmarkStart w:id="607" w:name="_Toc180487429"/>
      <w:bookmarkStart w:id="608" w:name="_Toc180490635"/>
      <w:bookmarkStart w:id="609" w:name="_Toc180491668"/>
      <w:r w:rsidRPr="00730DE4">
        <w:t>Birdsville Developmental Road (Morney–Birdsville), formation resheeting</w:t>
      </w:r>
      <w:bookmarkEnd w:id="607"/>
      <w:bookmarkEnd w:id="608"/>
      <w:bookmarkEnd w:id="609"/>
    </w:p>
    <w:p w14:paraId="64A4DB3D" w14:textId="77777777" w:rsidR="00FA2FF9" w:rsidRPr="00730DE4" w:rsidRDefault="00FA2FF9" w:rsidP="00295E24">
      <w:r w:rsidRPr="00730DE4">
        <w:t>Safety improvements were delivered to more than 22 kilometres of unsealed sections of the Birdsville Developmental Road, between Morney and Birdsville. The improvements include applying gravel to the road surface to reinstate the correct height and improve the quality of the road surface. Drainage maintenance was also carried out, with guideposts, signs, and other road infrastructure repaired or replaced.</w:t>
      </w:r>
    </w:p>
    <w:p w14:paraId="237B934C" w14:textId="77777777" w:rsidR="00FA2FF9" w:rsidRPr="00730DE4" w:rsidRDefault="00FA2FF9" w:rsidP="00295E24">
      <w:r w:rsidRPr="00730DE4">
        <w:t>Spanning a total of 265 kilometres, the Birdsville Developmental Road forms a link between Birdsville and Windorah, promoting outback tourism by offering access to the far reaches of western Queensland.</w:t>
      </w:r>
    </w:p>
    <w:p w14:paraId="56CE7FCF" w14:textId="77777777" w:rsidR="00FA2FF9" w:rsidRPr="00730DE4" w:rsidRDefault="00FA2FF9" w:rsidP="00295E24">
      <w:r w:rsidRPr="00730DE4">
        <w:t>Although the road records an annual average of only 42 vehicles per day, traffic volumes surge during popular annual events. These improvements will enhance the travel experience and safety of all those using the road, including during times of increased demand.</w:t>
      </w:r>
    </w:p>
    <w:p w14:paraId="4B0A00B0" w14:textId="77777777" w:rsidR="00FA2FF9" w:rsidRPr="00730DE4" w:rsidRDefault="00FA2FF9" w:rsidP="00295E24">
      <w:r w:rsidRPr="00730DE4">
        <w:t>Commencing in February 2024, this project was completed in May 2024.</w:t>
      </w:r>
    </w:p>
    <w:p w14:paraId="59C94DA2" w14:textId="77777777" w:rsidR="00FA2FF9" w:rsidRPr="00730DE4" w:rsidRDefault="00FA2FF9" w:rsidP="00295E24">
      <w:r w:rsidRPr="00730DE4">
        <w:t>This $1.6 million project is jointly funded by the Australian and Queensland governments.</w:t>
      </w:r>
    </w:p>
    <w:p w14:paraId="1AB416B2" w14:textId="77777777" w:rsidR="00FA2FF9" w:rsidRPr="00730DE4" w:rsidRDefault="00FA2FF9" w:rsidP="002B7001">
      <w:pPr>
        <w:pStyle w:val="Heading4"/>
      </w:pPr>
      <w:bookmarkStart w:id="610" w:name="_Toc180487430"/>
      <w:bookmarkStart w:id="611" w:name="_Toc180490636"/>
      <w:bookmarkStart w:id="612" w:name="_Toc180491669"/>
      <w:r w:rsidRPr="00730DE4">
        <w:t>Cramsie–Muttaburra Road, rehabilitate and widen pavement</w:t>
      </w:r>
      <w:bookmarkEnd w:id="610"/>
      <w:bookmarkEnd w:id="611"/>
      <w:bookmarkEnd w:id="612"/>
    </w:p>
    <w:p w14:paraId="09D77226" w14:textId="77777777" w:rsidR="00FA2FF9" w:rsidRPr="00730DE4" w:rsidRDefault="00FA2FF9" w:rsidP="00295E24">
      <w:r w:rsidRPr="00730DE4">
        <w:t>Cramsie–Muttaburra Road, between Longreach and Muttaburra, is 115 kilometres long and enables surrounding communities to access education, employment, and recreation facilities. The road also forms part of a key link connecting central Queensland with northern and southern parts of Australia.</w:t>
      </w:r>
    </w:p>
    <w:p w14:paraId="2942DA39" w14:textId="77777777" w:rsidR="00FA2FF9" w:rsidRPr="00730DE4" w:rsidRDefault="00FA2FF9" w:rsidP="00295E24">
      <w:r w:rsidRPr="00730DE4">
        <w:t>With the road fully sealed in December 2022, the next step will progressively widen older, narrow sections of the road to achieve a consistent width of eight metres.</w:t>
      </w:r>
    </w:p>
    <w:p w14:paraId="0131D872" w14:textId="63CEBA29" w:rsidR="00FA2FF9" w:rsidRPr="00730DE4" w:rsidRDefault="00FA2FF9" w:rsidP="00295E24">
      <w:r w:rsidRPr="00730DE4">
        <w:t>In May 2024, works were completed to widen and rehabilitate another three-kilometre section of narrow, aged pavement on Cramsie–Muttaburra Road.</w:t>
      </w:r>
      <w:r w:rsidR="009510A5" w:rsidRPr="00730DE4">
        <w:t xml:space="preserve"> </w:t>
      </w:r>
      <w:r w:rsidRPr="00730DE4">
        <w:t>This improved width enables safer and more frequent overtaking opportunities while further improving reliability and travel times.</w:t>
      </w:r>
    </w:p>
    <w:p w14:paraId="7049459C" w14:textId="77777777" w:rsidR="00FA2FF9" w:rsidRPr="00730DE4" w:rsidRDefault="00FA2FF9" w:rsidP="00295E24">
      <w:r w:rsidRPr="00730DE4">
        <w:t>This project was fully funded by the Queensland Government through the TIDs.</w:t>
      </w:r>
    </w:p>
    <w:p w14:paraId="4600545B" w14:textId="77777777" w:rsidR="00FA2FF9" w:rsidRPr="00730DE4" w:rsidRDefault="00FA2FF9" w:rsidP="00295E24">
      <w:pPr>
        <w:pStyle w:val="MessageHeader"/>
      </w:pPr>
      <w:r w:rsidRPr="00730DE4">
        <w:t xml:space="preserve">For more information </w:t>
      </w:r>
      <w:r w:rsidRPr="00730DE4">
        <w:br/>
      </w:r>
      <w:hyperlink r:id="rId56" w:history="1">
        <w:r w:rsidRPr="00730DE4">
          <w:rPr>
            <w:rStyle w:val="Hyperlink"/>
          </w:rPr>
          <w:t>https://www.tmr.qld.gov.au/projects/cramsie-muttaburra-road-rehabilitate-and-widen-pavement</w:t>
        </w:r>
      </w:hyperlink>
    </w:p>
    <w:p w14:paraId="15B0EE9E" w14:textId="77777777" w:rsidR="00FA2FF9" w:rsidRPr="00730DE4" w:rsidRDefault="00FA2FF9" w:rsidP="002B7001">
      <w:pPr>
        <w:pStyle w:val="Heading4"/>
      </w:pPr>
      <w:bookmarkStart w:id="613" w:name="_Toc180487431"/>
      <w:bookmarkStart w:id="614" w:name="_Toc180490637"/>
      <w:bookmarkStart w:id="615" w:name="_Toc180491670"/>
      <w:r w:rsidRPr="00730DE4">
        <w:t>Richmond–Winton Road, pave and seal</w:t>
      </w:r>
      <w:bookmarkEnd w:id="613"/>
      <w:bookmarkEnd w:id="614"/>
      <w:bookmarkEnd w:id="615"/>
    </w:p>
    <w:p w14:paraId="3FBEE8C8" w14:textId="77777777" w:rsidR="00FA2FF9" w:rsidRPr="00730DE4" w:rsidRDefault="00FA2FF9" w:rsidP="00295E24">
      <w:r w:rsidRPr="00730DE4">
        <w:t>In October 2023, progress was made on sealing Richmond</w:t>
      </w:r>
      <w:r w:rsidRPr="00730DE4">
        <w:rPr>
          <w:rFonts w:ascii="Malgun Gothic" w:eastAsia="Malgun Gothic" w:hAnsi="Malgun Gothic" w:cs="Malgun Gothic" w:hint="eastAsia"/>
        </w:rPr>
        <w:t>–</w:t>
      </w:r>
      <w:r w:rsidRPr="00730DE4">
        <w:t>Winton Road near Winton, with the completion of works to seal another three kilometres.</w:t>
      </w:r>
    </w:p>
    <w:p w14:paraId="19F52224" w14:textId="77777777" w:rsidR="00FA2FF9" w:rsidRPr="00730DE4" w:rsidRDefault="00FA2FF9" w:rsidP="00295E24">
      <w:r w:rsidRPr="00730DE4">
        <w:t>This latest achievement is a continuation of the numerous projects delivered over recent years to progressively upgrade the road, improving safety, all weather access, and travel reliability for road users.</w:t>
      </w:r>
    </w:p>
    <w:p w14:paraId="6C2B7E9D" w14:textId="77777777" w:rsidR="00FA2FF9" w:rsidRPr="00730DE4" w:rsidRDefault="00FA2FF9" w:rsidP="00295E24">
      <w:r w:rsidRPr="00730DE4">
        <w:t>Richmond–Winton Road is 145 kilometres long with a mix of sealed and unsealed sections. Following completion of this latest sealing project, 17-kilometres of the road remains unsealed.</w:t>
      </w:r>
    </w:p>
    <w:p w14:paraId="6FBEECD6" w14:textId="07061B38" w:rsidR="00FA2FF9" w:rsidRPr="00730DE4" w:rsidRDefault="00FA2FF9" w:rsidP="00295E24">
      <w:r w:rsidRPr="00730DE4">
        <w:t>The road provides a crucial transport link for the movement of cattle, freight, food, and fuel, while also providing tourism access to world-famous attractions, including the Australian Dinosaur Trail.</w:t>
      </w:r>
      <w:r w:rsidR="009510A5" w:rsidRPr="00730DE4">
        <w:t xml:space="preserve"> </w:t>
      </w:r>
      <w:r w:rsidRPr="00730DE4">
        <w:t>This project was fully funded by the Queensland Government through the TIDS.</w:t>
      </w:r>
    </w:p>
    <w:p w14:paraId="0A90B8E5" w14:textId="77777777" w:rsidR="00FA2FF9" w:rsidRPr="00730DE4" w:rsidRDefault="00FA2FF9" w:rsidP="00073AAE">
      <w:pPr>
        <w:pStyle w:val="MessageHeader"/>
      </w:pPr>
      <w:r w:rsidRPr="00730DE4">
        <w:t xml:space="preserve">For more information </w:t>
      </w:r>
      <w:r w:rsidRPr="00730DE4">
        <w:br/>
      </w:r>
      <w:hyperlink r:id="rId57" w:history="1">
        <w:r w:rsidRPr="00730DE4">
          <w:rPr>
            <w:rStyle w:val="Hyperlink"/>
          </w:rPr>
          <w:t>https://www.tmr.qld.gov.au/projects/richmond-winton-road-pave-and-seal</w:t>
        </w:r>
      </w:hyperlink>
    </w:p>
    <w:p w14:paraId="2A440427" w14:textId="77777777" w:rsidR="00B13631" w:rsidRPr="00730DE4" w:rsidRDefault="00B13631">
      <w:pPr>
        <w:suppressAutoHyphens w:val="0"/>
        <w:spacing w:before="0" w:line="259" w:lineRule="auto"/>
        <w:rPr>
          <w:rFonts w:eastAsiaTheme="majorEastAsia" w:cstheme="majorBidi"/>
          <w:color w:val="080C0F" w:themeColor="text1"/>
          <w:sz w:val="44"/>
          <w:szCs w:val="28"/>
        </w:rPr>
      </w:pPr>
      <w:r w:rsidRPr="00730DE4">
        <w:br w:type="page"/>
      </w:r>
    </w:p>
    <w:p w14:paraId="6D11D313" w14:textId="5AC09C96" w:rsidR="00FA2FF9" w:rsidRPr="00730DE4" w:rsidRDefault="00FA2FF9" w:rsidP="002B7001">
      <w:pPr>
        <w:pStyle w:val="Heading3"/>
      </w:pPr>
      <w:bookmarkStart w:id="616" w:name="_Toc180487432"/>
      <w:bookmarkStart w:id="617" w:name="_Toc180490638"/>
      <w:bookmarkStart w:id="618" w:name="_Toc180491671"/>
      <w:r w:rsidRPr="00730DE4">
        <w:t>Fitzroy</w:t>
      </w:r>
      <w:bookmarkEnd w:id="616"/>
      <w:bookmarkEnd w:id="617"/>
      <w:bookmarkEnd w:id="618"/>
    </w:p>
    <w:p w14:paraId="5FDB6E58" w14:textId="77777777" w:rsidR="00FA2FF9" w:rsidRPr="00730DE4" w:rsidRDefault="00FA2FF9" w:rsidP="003D2369">
      <w:pPr>
        <w:pStyle w:val="ListBullet"/>
      </w:pPr>
      <w:r w:rsidRPr="00730DE4">
        <w:t xml:space="preserve">Area covered: </w:t>
      </w:r>
      <w:r w:rsidRPr="00730DE4">
        <w:rPr>
          <w:rStyle w:val="Strong"/>
        </w:rPr>
        <w:t>117,588 km</w:t>
      </w:r>
      <w:r w:rsidRPr="00730DE4">
        <w:rPr>
          <w:rStyle w:val="Strong"/>
          <w:vertAlign w:val="superscript"/>
        </w:rPr>
        <w:t>2</w:t>
      </w:r>
    </w:p>
    <w:p w14:paraId="00251C49" w14:textId="77777777" w:rsidR="00FA2FF9" w:rsidRPr="00730DE4" w:rsidRDefault="00FA2FF9" w:rsidP="003D2369">
      <w:pPr>
        <w:pStyle w:val="ListBullet"/>
        <w:rPr>
          <w:b/>
          <w:bCs/>
        </w:rPr>
      </w:pPr>
      <w:r w:rsidRPr="00730DE4">
        <w:t xml:space="preserve">Population of Queensland: </w:t>
      </w:r>
      <w:r w:rsidRPr="00730DE4">
        <w:rPr>
          <w:rStyle w:val="Strong"/>
        </w:rPr>
        <w:t>4.36%*</w:t>
      </w:r>
    </w:p>
    <w:p w14:paraId="2ABAC8BB" w14:textId="77777777" w:rsidR="00FA2FF9" w:rsidRPr="00730DE4" w:rsidRDefault="00FA2FF9" w:rsidP="002B7001">
      <w:pPr>
        <w:pStyle w:val="Heading4"/>
      </w:pPr>
      <w:bookmarkStart w:id="619" w:name="_Toc180487433"/>
      <w:bookmarkStart w:id="620" w:name="_Toc180490639"/>
      <w:bookmarkStart w:id="621" w:name="_Toc180491672"/>
      <w:r w:rsidRPr="00730DE4">
        <w:t>Fast facts</w:t>
      </w:r>
      <w:bookmarkEnd w:id="619"/>
      <w:bookmarkEnd w:id="620"/>
      <w:bookmarkEnd w:id="621"/>
    </w:p>
    <w:p w14:paraId="5AB367DA" w14:textId="77777777" w:rsidR="00FA2FF9" w:rsidRPr="00730DE4" w:rsidRDefault="00FA2FF9" w:rsidP="003D2369">
      <w:pPr>
        <w:pStyle w:val="ListBullet"/>
      </w:pPr>
      <w:r w:rsidRPr="00730DE4">
        <w:t xml:space="preserve">State-controlled road**: </w:t>
      </w:r>
      <w:r w:rsidRPr="00730DE4">
        <w:rPr>
          <w:rStyle w:val="Strong"/>
        </w:rPr>
        <w:t>3530KM</w:t>
      </w:r>
    </w:p>
    <w:p w14:paraId="2FA40E15" w14:textId="77777777" w:rsidR="00FA2FF9" w:rsidRPr="00730DE4" w:rsidRDefault="00FA2FF9" w:rsidP="003D2369">
      <w:pPr>
        <w:pStyle w:val="ListBullet"/>
      </w:pPr>
      <w:r w:rsidRPr="00730DE4">
        <w:t xml:space="preserve">National Land Transport Network**: </w:t>
      </w:r>
      <w:r w:rsidRPr="00730DE4">
        <w:rPr>
          <w:rStyle w:val="Strong"/>
        </w:rPr>
        <w:t>399KM</w:t>
      </w:r>
    </w:p>
    <w:p w14:paraId="43BD0715" w14:textId="77777777" w:rsidR="00FA2FF9" w:rsidRPr="00730DE4" w:rsidRDefault="00FA2FF9" w:rsidP="003D2369">
      <w:pPr>
        <w:pStyle w:val="ListBullet"/>
      </w:pPr>
      <w:r w:rsidRPr="00730DE4">
        <w:t xml:space="preserve">Vehicle and machinery registrations: </w:t>
      </w:r>
      <w:r w:rsidRPr="00730DE4">
        <w:rPr>
          <w:rStyle w:val="Strong"/>
        </w:rPr>
        <w:t>321,596</w:t>
      </w:r>
    </w:p>
    <w:p w14:paraId="45C58719" w14:textId="77777777" w:rsidR="00FA2FF9" w:rsidRPr="00730DE4" w:rsidRDefault="00FA2FF9" w:rsidP="003D2369">
      <w:pPr>
        <w:pStyle w:val="ListBullet"/>
      </w:pPr>
      <w:r w:rsidRPr="00730DE4">
        <w:t xml:space="preserve">Boating infrastructures: </w:t>
      </w:r>
      <w:r w:rsidRPr="00730DE4">
        <w:rPr>
          <w:rStyle w:val="Strong"/>
        </w:rPr>
        <w:t>57</w:t>
      </w:r>
    </w:p>
    <w:p w14:paraId="45DC9516" w14:textId="77777777" w:rsidR="00FA2FF9" w:rsidRPr="00730DE4" w:rsidRDefault="00FA2FF9" w:rsidP="003D2369">
      <w:pPr>
        <w:pStyle w:val="ListBullet"/>
      </w:pPr>
      <w:r w:rsidRPr="00730DE4">
        <w:t xml:space="preserve">Community safety events held: </w:t>
      </w:r>
      <w:r w:rsidRPr="00730DE4">
        <w:rPr>
          <w:rStyle w:val="Strong"/>
        </w:rPr>
        <w:t>28</w:t>
      </w:r>
    </w:p>
    <w:p w14:paraId="3A504003" w14:textId="77777777" w:rsidR="00FA2FF9" w:rsidRPr="00730DE4" w:rsidRDefault="00FA2FF9" w:rsidP="003D2369">
      <w:pPr>
        <w:pStyle w:val="ListBullet"/>
      </w:pPr>
      <w:r w:rsidRPr="00730DE4">
        <w:t xml:space="preserve">Vehicle and machinery inspections completed: </w:t>
      </w:r>
      <w:r w:rsidRPr="00730DE4">
        <w:rPr>
          <w:rStyle w:val="Strong"/>
        </w:rPr>
        <w:t>5860</w:t>
      </w:r>
    </w:p>
    <w:p w14:paraId="33B496D2" w14:textId="77777777" w:rsidR="00FA2FF9" w:rsidRPr="00730DE4" w:rsidRDefault="00FA2FF9" w:rsidP="003D2369">
      <w:pPr>
        <w:pStyle w:val="ListBullet"/>
      </w:pPr>
      <w:r w:rsidRPr="00730DE4">
        <w:t xml:space="preserve">Bridges***: </w:t>
      </w:r>
      <w:r w:rsidRPr="00730DE4">
        <w:rPr>
          <w:rStyle w:val="Strong"/>
        </w:rPr>
        <w:t>318</w:t>
      </w:r>
    </w:p>
    <w:p w14:paraId="320AC710" w14:textId="77777777" w:rsidR="00FA2FF9" w:rsidRPr="00730DE4" w:rsidRDefault="00FA2FF9" w:rsidP="003D2369">
      <w:pPr>
        <w:pStyle w:val="ListBullet"/>
      </w:pPr>
      <w:r w:rsidRPr="00730DE4">
        <w:t xml:space="preserve">Driver licence tests conducted: </w:t>
      </w:r>
      <w:r w:rsidRPr="00730DE4">
        <w:rPr>
          <w:rStyle w:val="Strong"/>
        </w:rPr>
        <w:t>7997</w:t>
      </w:r>
    </w:p>
    <w:p w14:paraId="6283834F" w14:textId="77777777" w:rsidR="00FA2FF9" w:rsidRPr="00730DE4" w:rsidRDefault="00FA2FF9" w:rsidP="003D2369">
      <w:pPr>
        <w:pStyle w:val="ListBullet"/>
      </w:pPr>
      <w:r w:rsidRPr="00730DE4">
        <w:t xml:space="preserve">Customer face-to-face interactions: </w:t>
      </w:r>
      <w:r w:rsidRPr="00730DE4">
        <w:rPr>
          <w:rStyle w:val="Strong"/>
        </w:rPr>
        <w:t>198,654</w:t>
      </w:r>
    </w:p>
    <w:p w14:paraId="6A514703" w14:textId="77777777" w:rsidR="00FA2FF9" w:rsidRPr="00730DE4" w:rsidRDefault="00FA2FF9" w:rsidP="003D2369">
      <w:pPr>
        <w:pStyle w:val="ListBullet"/>
        <w:rPr>
          <w:rStyle w:val="Strong"/>
          <w:b w:val="0"/>
          <w:bCs w:val="0"/>
        </w:rPr>
      </w:pPr>
      <w:r w:rsidRPr="00730DE4">
        <w:t xml:space="preserve">Priority-enabled intersections: </w:t>
      </w:r>
      <w:r w:rsidRPr="00730DE4">
        <w:rPr>
          <w:rStyle w:val="Strong"/>
        </w:rPr>
        <w:t>127</w:t>
      </w:r>
    </w:p>
    <w:p w14:paraId="3E208796" w14:textId="77777777" w:rsidR="005628F2" w:rsidRPr="00730DE4" w:rsidRDefault="00FA2FF9" w:rsidP="005628F2">
      <w:pPr>
        <w:pStyle w:val="Caption"/>
        <w:rPr>
          <w:rStyle w:val="Strong"/>
        </w:rPr>
      </w:pPr>
      <w:r w:rsidRPr="00730DE4">
        <w:rPr>
          <w:rStyle w:val="Strong"/>
        </w:rPr>
        <w:t xml:space="preserve">Data source: </w:t>
      </w:r>
      <w:r w:rsidRPr="00730DE4">
        <w:t>*Queensland Government Statistician's Office (Queensland Treasury), Queensland Regional Profiles. www.qgso.qld.gov.au, July 2024</w:t>
      </w:r>
      <w:r w:rsidRPr="00730DE4">
        <w:rPr>
          <w:rStyle w:val="Strong"/>
        </w:rPr>
        <w:t xml:space="preserve"> </w:t>
      </w:r>
    </w:p>
    <w:p w14:paraId="23A692AD" w14:textId="77777777" w:rsidR="005628F2" w:rsidRPr="00730DE4" w:rsidRDefault="00FA2FF9" w:rsidP="005628F2">
      <w:pPr>
        <w:pStyle w:val="Caption"/>
      </w:pPr>
      <w:r w:rsidRPr="00730DE4">
        <w:rPr>
          <w:rStyle w:val="Strong"/>
        </w:rPr>
        <w:t>Data source:</w:t>
      </w:r>
      <w:r w:rsidRPr="00730DE4">
        <w:t xml:space="preserve"> **A Road Management Information System (ARMIS) 30 June 2024</w:t>
      </w:r>
    </w:p>
    <w:p w14:paraId="4B1E2BB6" w14:textId="4855C60C" w:rsidR="00FA2FF9" w:rsidRPr="00730DE4" w:rsidRDefault="00FA2FF9" w:rsidP="005628F2">
      <w:pPr>
        <w:pStyle w:val="Caption"/>
      </w:pPr>
      <w:r w:rsidRPr="00730DE4">
        <w:rPr>
          <w:rStyle w:val="Strong"/>
        </w:rPr>
        <w:t>Data source:</w:t>
      </w:r>
      <w:r w:rsidRPr="00730DE4">
        <w:t xml:space="preserve"> ***Bridge Information System (BIS), 30 June 2024</w:t>
      </w:r>
    </w:p>
    <w:p w14:paraId="5F7FB4FD" w14:textId="77777777" w:rsidR="00FA2FF9" w:rsidRPr="00730DE4" w:rsidRDefault="00FA2FF9" w:rsidP="002B7001">
      <w:pPr>
        <w:pStyle w:val="Heading4"/>
      </w:pPr>
      <w:bookmarkStart w:id="622" w:name="_Toc180487434"/>
      <w:bookmarkStart w:id="623" w:name="_Toc180490640"/>
      <w:bookmarkStart w:id="624" w:name="_Toc180491673"/>
      <w:r w:rsidRPr="00730DE4">
        <w:t>Rockhampton Ring Road</w:t>
      </w:r>
      <w:bookmarkEnd w:id="622"/>
      <w:bookmarkEnd w:id="623"/>
      <w:bookmarkEnd w:id="624"/>
    </w:p>
    <w:p w14:paraId="414F3FE0" w14:textId="77777777" w:rsidR="00FA2FF9" w:rsidRPr="00730DE4" w:rsidRDefault="00FA2FF9" w:rsidP="00656BE7">
      <w:r w:rsidRPr="00730DE4">
        <w:t>Construction contracts for the long-term visionary Rockhampton Ring Road project were awarded in June 2023.</w:t>
      </w:r>
    </w:p>
    <w:p w14:paraId="185258C8" w14:textId="77777777" w:rsidR="00FA2FF9" w:rsidRPr="00730DE4" w:rsidRDefault="00FA2FF9" w:rsidP="00656BE7">
      <w:r w:rsidRPr="00730DE4">
        <w:t>By November 2023, works commenced on Package One, focusing on the section between the Bruce Highway/Rockhampton–Yeppoon Road intersection and the Monier Road embankment.</w:t>
      </w:r>
    </w:p>
    <w:p w14:paraId="2A24B36B" w14:textId="77777777" w:rsidR="00FA2FF9" w:rsidRPr="00730DE4" w:rsidRDefault="00FA2FF9" w:rsidP="00656BE7">
      <w:r w:rsidRPr="00730DE4">
        <w:t>This construction phase includes building a crossing at Limestone Creek, establishing local road connections into the Parkhurst industrial area, and providing access to the Dreamtime Cultural Centre and the Emergency Services precinct.</w:t>
      </w:r>
    </w:p>
    <w:p w14:paraId="5D03E3A4" w14:textId="77777777" w:rsidR="00FA2FF9" w:rsidRPr="00730DE4" w:rsidRDefault="00FA2FF9" w:rsidP="00656BE7">
      <w:r w:rsidRPr="00730DE4">
        <w:t>Additionally, a sealed sidetrack has been completed on Rockhampton–Ridgelands Road in West Rockhampton to facilitate the replacement of the Lion Creek Bridge. The Osborne Road roundabout is also taking shape, which will eventually connect with the West Rockhampton link to the new ring road alignment.</w:t>
      </w:r>
    </w:p>
    <w:p w14:paraId="7940E743" w14:textId="77777777" w:rsidR="00FA2FF9" w:rsidRPr="00730DE4" w:rsidRDefault="00FA2FF9" w:rsidP="00656BE7">
      <w:r w:rsidRPr="00730DE4">
        <w:t>In January 2024, the Australian and Queensland governments confirmed $1.73 billion in joint funding, ensuring the project's continuity. Package One is scheduled for completion in 2025.</w:t>
      </w:r>
    </w:p>
    <w:p w14:paraId="49F4E9A1" w14:textId="77777777" w:rsidR="00FA2FF9" w:rsidRPr="00730DE4" w:rsidRDefault="00FA2FF9" w:rsidP="00656BE7">
      <w:pPr>
        <w:pStyle w:val="MessageHeader"/>
      </w:pPr>
      <w:r w:rsidRPr="00730DE4">
        <w:t xml:space="preserve">For more information </w:t>
      </w:r>
      <w:r w:rsidRPr="00730DE4">
        <w:br/>
      </w:r>
      <w:hyperlink r:id="rId58" w:history="1">
        <w:r w:rsidRPr="00730DE4">
          <w:rPr>
            <w:rStyle w:val="Hyperlink"/>
          </w:rPr>
          <w:t>https://www.tmr.qld.gov.au/projects/Rockhampton-Ring-Road</w:t>
        </w:r>
      </w:hyperlink>
    </w:p>
    <w:p w14:paraId="53B39BBB" w14:textId="77777777" w:rsidR="00FA2FF9" w:rsidRPr="00730DE4" w:rsidRDefault="00FA2FF9" w:rsidP="002B7001">
      <w:pPr>
        <w:pStyle w:val="Heading4"/>
      </w:pPr>
      <w:bookmarkStart w:id="625" w:name="_Toc180487435"/>
      <w:bookmarkStart w:id="626" w:name="_Toc180490641"/>
      <w:bookmarkStart w:id="627" w:name="_Toc180491674"/>
      <w:r w:rsidRPr="00730DE4">
        <w:t>Rockhampton–Emu Park Road, upgrades including overtaking lanes and other priority safety and capacity improvements</w:t>
      </w:r>
      <w:bookmarkEnd w:id="625"/>
      <w:bookmarkEnd w:id="626"/>
      <w:bookmarkEnd w:id="627"/>
    </w:p>
    <w:p w14:paraId="2C6A3166" w14:textId="77777777" w:rsidR="00FA2FF9" w:rsidRPr="00730DE4" w:rsidRDefault="00FA2FF9" w:rsidP="00656BE7">
      <w:r w:rsidRPr="00730DE4">
        <w:t>Rockhampton–Emu Park Road forms part of the State Freight Network, linking the coastal community of Emu Park with Rockhampton. This road also serves traffic from various localities in the Livingstone Shire, including Tanby, Keppel Sands, and Cawarral.</w:t>
      </w:r>
    </w:p>
    <w:p w14:paraId="00F5CF14" w14:textId="77777777" w:rsidR="00FA2FF9" w:rsidRPr="00730DE4" w:rsidRDefault="00FA2FF9" w:rsidP="00656BE7">
      <w:r w:rsidRPr="00730DE4">
        <w:t>In February 2024, a four-kilometre stretch of the Rockhampton–Emu Park Road received important safety and capacity enhancements. These improvements support the region's freight, tourism, and growing commuter traffic demands.</w:t>
      </w:r>
    </w:p>
    <w:p w14:paraId="7115EE81" w14:textId="77777777" w:rsidR="00FA2FF9" w:rsidRPr="00730DE4" w:rsidRDefault="00FA2FF9" w:rsidP="00656BE7">
      <w:r w:rsidRPr="00730DE4">
        <w:t>The project included the construction of two new overtaking lanes, improvements to property access, widening treatments between Sleipner Road and Tuckers Road, and overall capacity upgrades.</w:t>
      </w:r>
    </w:p>
    <w:p w14:paraId="716BCC90" w14:textId="22EEAE65" w:rsidR="00FA2FF9" w:rsidRPr="00730DE4" w:rsidRDefault="00FA2FF9" w:rsidP="00656BE7">
      <w:r w:rsidRPr="00730DE4">
        <w:t>These efforts not only delivered safety improvements but also increased capacity and alleviated peak-hour congestion on this key connection to Rockhampton.</w:t>
      </w:r>
    </w:p>
    <w:p w14:paraId="4F93A5E0" w14:textId="77777777" w:rsidR="00FA2FF9" w:rsidRPr="00730DE4" w:rsidRDefault="00FA2FF9" w:rsidP="00656BE7">
      <w:r w:rsidRPr="00730DE4">
        <w:t>This project was fully funded by the Queensland Government under the State Road Network Upgrade Program.</w:t>
      </w:r>
    </w:p>
    <w:p w14:paraId="6E4F5C10" w14:textId="77777777" w:rsidR="00FA2FF9" w:rsidRPr="00730DE4" w:rsidRDefault="00FA2FF9" w:rsidP="00656BE7">
      <w:pPr>
        <w:pStyle w:val="MessageHeader"/>
      </w:pPr>
      <w:r w:rsidRPr="00730DE4">
        <w:t xml:space="preserve">For more information </w:t>
      </w:r>
      <w:r w:rsidRPr="00730DE4">
        <w:br/>
      </w:r>
      <w:hyperlink r:id="rId59" w:history="1">
        <w:r w:rsidRPr="00730DE4">
          <w:rPr>
            <w:rStyle w:val="Hyperlink"/>
          </w:rPr>
          <w:t>https://www.tmr.qld.gov.au/projects/rockhampton-emu-park-road-upgrades-including-overtaking-lanes-and-other-improvements</w:t>
        </w:r>
      </w:hyperlink>
    </w:p>
    <w:p w14:paraId="758BBBE8" w14:textId="77777777" w:rsidR="00FA2FF9" w:rsidRPr="00730DE4" w:rsidRDefault="00FA2FF9" w:rsidP="002B7001">
      <w:pPr>
        <w:pStyle w:val="Heading4"/>
      </w:pPr>
      <w:bookmarkStart w:id="628" w:name="_Toc180487436"/>
      <w:bookmarkStart w:id="629" w:name="_Toc180490642"/>
      <w:bookmarkStart w:id="630" w:name="_Toc180491675"/>
      <w:r w:rsidRPr="00730DE4">
        <w:t>Rockhampton–Yeppoon Road, Yeppoon Road Upgrade</w:t>
      </w:r>
      <w:bookmarkEnd w:id="628"/>
      <w:bookmarkEnd w:id="629"/>
      <w:bookmarkEnd w:id="630"/>
      <w:r w:rsidRPr="00730DE4">
        <w:t xml:space="preserve"> </w:t>
      </w:r>
    </w:p>
    <w:p w14:paraId="0CB4BB48" w14:textId="77777777" w:rsidR="00FA2FF9" w:rsidRPr="00730DE4" w:rsidRDefault="00FA2FF9" w:rsidP="00656BE7">
      <w:r w:rsidRPr="00730DE4">
        <w:t>Rockhampton–Yeppoon Road is being upgraded to improve road safety, efficiency, and route capacity to better support future growth in traffic volumes resulting from increased regional economic activity.</w:t>
      </w:r>
    </w:p>
    <w:p w14:paraId="0C816059" w14:textId="77777777" w:rsidR="00FA2FF9" w:rsidRPr="00730DE4" w:rsidRDefault="00FA2FF9" w:rsidP="00656BE7">
      <w:r w:rsidRPr="00730DE4">
        <w:t>Construction is underway to duplicate the section of road between Ironpot and Hedlow Creek and to upgrade three intersections. Works will reduce the risk of crashes, remove crossroad movements from Artillery Road to Dairy Inn Road, and provide safe turnaround points.</w:t>
      </w:r>
    </w:p>
    <w:p w14:paraId="46689C00" w14:textId="14469359" w:rsidR="00FA2FF9" w:rsidRPr="00730DE4" w:rsidRDefault="00FA2FF9" w:rsidP="00656BE7">
      <w:r w:rsidRPr="00730DE4">
        <w:t>As Rockhampton–Yeppoon Road is the principal route between Rockhampton and Yeppoon, the wider Capricorn Coast area, and the Bruce Highway, this upgrade is essential to better connect communities and to link regional businesses with local and international markets.</w:t>
      </w:r>
      <w:r w:rsidR="009510A5" w:rsidRPr="00730DE4">
        <w:t xml:space="preserve"> </w:t>
      </w:r>
      <w:r w:rsidRPr="00730DE4">
        <w:t>This $122 million project is jointly funded by the Australian and Queensland governments.</w:t>
      </w:r>
    </w:p>
    <w:p w14:paraId="36358983" w14:textId="77777777" w:rsidR="00FA2FF9" w:rsidRPr="00730DE4" w:rsidRDefault="00FA2FF9" w:rsidP="00656BE7">
      <w:pPr>
        <w:pStyle w:val="MessageHeader"/>
      </w:pPr>
      <w:r w:rsidRPr="00730DE4">
        <w:t xml:space="preserve">For more information </w:t>
      </w:r>
      <w:r w:rsidRPr="00730DE4">
        <w:br/>
      </w:r>
      <w:hyperlink r:id="rId60" w:history="1">
        <w:r w:rsidRPr="00730DE4">
          <w:rPr>
            <w:rStyle w:val="Hyperlink"/>
          </w:rPr>
          <w:t>https://www.tmr.qld.gov.au/projects/yeppoon-road-upgrade-project</w:t>
        </w:r>
      </w:hyperlink>
    </w:p>
    <w:p w14:paraId="3EE93471" w14:textId="77777777" w:rsidR="00FA2FF9" w:rsidRPr="00730DE4" w:rsidRDefault="00FA2FF9" w:rsidP="002B7001">
      <w:pPr>
        <w:pStyle w:val="Heading4"/>
      </w:pPr>
      <w:bookmarkStart w:id="631" w:name="_Toc180487437"/>
      <w:bookmarkStart w:id="632" w:name="_Toc180490643"/>
      <w:bookmarkStart w:id="633" w:name="_Toc180491676"/>
      <w:r w:rsidRPr="00730DE4">
        <w:t>Rockhampton Railyards Rejuvenation</w:t>
      </w:r>
      <w:bookmarkEnd w:id="631"/>
      <w:bookmarkEnd w:id="632"/>
      <w:bookmarkEnd w:id="633"/>
    </w:p>
    <w:p w14:paraId="138DA254" w14:textId="77777777" w:rsidR="00FA2FF9" w:rsidRPr="00730DE4" w:rsidRDefault="00FA2FF9" w:rsidP="00656BE7">
      <w:r w:rsidRPr="00730DE4">
        <w:t>The Rockhampton Railyards have been a cornerstone of Central Queensland for over a century. Detailed planning is now underway to transform the Railyards into a vibrant commercial hub featuring community and recreational spaces. The site includes rollingstock depots, sheds, workshops, and other rail infrastructure, with heritage-listed areas dating back to the early-1900s, including one of the last remaining full circle roundhouses in Australia.</w:t>
      </w:r>
    </w:p>
    <w:p w14:paraId="3B992ABC" w14:textId="77777777" w:rsidR="00FA2FF9" w:rsidRPr="00730DE4" w:rsidRDefault="00FA2FF9" w:rsidP="00656BE7">
      <w:r w:rsidRPr="00730DE4">
        <w:t>The 19 hectare site is divided into two distinct precincts.</w:t>
      </w:r>
    </w:p>
    <w:p w14:paraId="7E094D4D" w14:textId="77777777" w:rsidR="00FA2FF9" w:rsidRPr="00730DE4" w:rsidRDefault="00FA2FF9" w:rsidP="00656BE7">
      <w:r w:rsidRPr="00730DE4">
        <w:t>The Industrial Precinct is focused on commercial use and major supply chain opportunities for a wide range of industries, including rail, manufacturing, and maintenance. Technical specialists are conducting comprehensive assessments of the sheds and grounds, with various remediation works underway to revitalise the site. Two tenants have already been secured, with new tenants being introduced through a staged approach.</w:t>
      </w:r>
    </w:p>
    <w:p w14:paraId="45E78F77" w14:textId="77777777" w:rsidR="00FA2FF9" w:rsidRPr="00730DE4" w:rsidRDefault="00FA2FF9" w:rsidP="00656BE7">
      <w:r w:rsidRPr="00730DE4">
        <w:t>The Heritage Precinct includes the historic Roundhouse, listed on the Queensland Heritage Register. A Heritage Precinct Draft Master Plan aims to open up the Roundhouse to the community for the first time in the site's 100-year history. The plan proposes a rail museum connected to a heritage boardwalk, a family centric play area, and multi-use hospitality and event spaces. One tenant has been secured for this precinct.</w:t>
      </w:r>
    </w:p>
    <w:p w14:paraId="5F7791E2" w14:textId="77777777" w:rsidR="00FA2FF9" w:rsidRPr="00730DE4" w:rsidRDefault="00FA2FF9" w:rsidP="00656BE7">
      <w:r w:rsidRPr="00730DE4">
        <w:t>The concept-level plan was presented to key stakeholders and the local community for consultation throughout December 2023 and February 2024. The Master Plan will be advanced in accordance with a Conservation Management Plan, recognising the significant heritage value of the Roundhouse that must be preserved. The delivery of the Master Plan is subject to funding application, detailed design, and heritage approvals.</w:t>
      </w:r>
    </w:p>
    <w:p w14:paraId="09247A26" w14:textId="77777777" w:rsidR="00FA2FF9" w:rsidRPr="00730DE4" w:rsidRDefault="00FA2FF9" w:rsidP="00656BE7">
      <w:pPr>
        <w:pStyle w:val="MessageHeader"/>
      </w:pPr>
      <w:r w:rsidRPr="00730DE4">
        <w:t xml:space="preserve">For more information </w:t>
      </w:r>
      <w:r w:rsidRPr="00730DE4">
        <w:br/>
      </w:r>
      <w:hyperlink r:id="rId61" w:history="1">
        <w:r w:rsidRPr="00730DE4">
          <w:rPr>
            <w:rStyle w:val="Hyperlink"/>
          </w:rPr>
          <w:t>https://www.tmr.qld.gov.au/projects/rockhampton-railyards-rejuvenation</w:t>
        </w:r>
      </w:hyperlink>
    </w:p>
    <w:p w14:paraId="576EBE9F" w14:textId="3D299947" w:rsidR="00FA2FF9" w:rsidRPr="00730DE4" w:rsidRDefault="00FA2FF9" w:rsidP="002B7001">
      <w:pPr>
        <w:pStyle w:val="Heading4"/>
      </w:pPr>
      <w:bookmarkStart w:id="634" w:name="_Toc180487438"/>
      <w:bookmarkStart w:id="635" w:name="_Toc180490644"/>
      <w:bookmarkStart w:id="636" w:name="_Toc180491677"/>
      <w:r w:rsidRPr="00730DE4">
        <w:t>Disaster Relief Funding Arrangement Bruce Highway, Winton Works</w:t>
      </w:r>
      <w:bookmarkEnd w:id="634"/>
      <w:bookmarkEnd w:id="635"/>
      <w:bookmarkEnd w:id="636"/>
    </w:p>
    <w:p w14:paraId="4E93CA27" w14:textId="77777777" w:rsidR="00FA2FF9" w:rsidRPr="00730DE4" w:rsidRDefault="00FA2FF9" w:rsidP="006A2582">
      <w:r w:rsidRPr="00730DE4">
        <w:t xml:space="preserve">Recent events, such as the impact of Ex-Tropical Cyclone Kirrily in the Central West district, prompted the activation of financial relief measures under the DRFA program. In response, emergency works were swiftly undertaken on both national and state-controlled roads surrounding Winton, ensuring uninterrupted connectivity crucial for Queensland's resilience. The emergent works were completed in March 2024 with restoration works scope still to be finalised. </w:t>
      </w:r>
    </w:p>
    <w:p w14:paraId="16BF25B1" w14:textId="77777777" w:rsidR="00FA2FF9" w:rsidRPr="00730DE4" w:rsidRDefault="00FA2FF9" w:rsidP="006A2582">
      <w:r w:rsidRPr="00730DE4">
        <w:t>Similarly, within the Fitzroy district, following extreme rainfall and associated flooding in May 2022, reconstruction of Essential Public Assets financial relief measures were activated under the DRFA program. Emergency works were undertaken on both the national network and state-controlled roads surrounding Rockhampton and Gladstone, underscoring TMR's commitment to upholding Queensland's connectivity amidst adversity. The reconstruction works as a result of Tropical Cyclone Kirrily in Queensland were commenced in November 2023, with completion planned for September 2024.</w:t>
      </w:r>
    </w:p>
    <w:p w14:paraId="3E15C3E1" w14:textId="77777777" w:rsidR="00FA2FF9" w:rsidRPr="00730DE4" w:rsidRDefault="00FA2FF9" w:rsidP="006A2582">
      <w:pPr>
        <w:pStyle w:val="MessageHeader"/>
      </w:pPr>
      <w:r w:rsidRPr="00730DE4">
        <w:t xml:space="preserve">For more information </w:t>
      </w:r>
      <w:r w:rsidRPr="00730DE4">
        <w:br/>
      </w:r>
      <w:hyperlink r:id="rId62" w:history="1">
        <w:r w:rsidRPr="00730DE4">
          <w:rPr>
            <w:rStyle w:val="Hyperlink"/>
          </w:rPr>
          <w:t>https://www.qra.qld.gov.au/funding/drfa</w:t>
        </w:r>
      </w:hyperlink>
    </w:p>
    <w:p w14:paraId="19E9A90A" w14:textId="77777777" w:rsidR="00B13631" w:rsidRPr="00730DE4" w:rsidRDefault="00B13631">
      <w:pPr>
        <w:suppressAutoHyphens w:val="0"/>
        <w:spacing w:before="0" w:line="259" w:lineRule="auto"/>
        <w:rPr>
          <w:rFonts w:eastAsiaTheme="majorEastAsia" w:cstheme="majorBidi"/>
          <w:color w:val="080C0F" w:themeColor="text1"/>
          <w:sz w:val="44"/>
          <w:szCs w:val="28"/>
        </w:rPr>
      </w:pPr>
      <w:bookmarkStart w:id="637" w:name="_Hlk173147804"/>
      <w:r w:rsidRPr="00730DE4">
        <w:br w:type="page"/>
      </w:r>
    </w:p>
    <w:p w14:paraId="64085AA4" w14:textId="0E6027F5" w:rsidR="00FA2FF9" w:rsidRPr="00730DE4" w:rsidRDefault="00FA2FF9" w:rsidP="002B7001">
      <w:pPr>
        <w:pStyle w:val="Heading3"/>
      </w:pPr>
      <w:bookmarkStart w:id="638" w:name="_Toc180487439"/>
      <w:bookmarkStart w:id="639" w:name="_Toc180490645"/>
      <w:bookmarkStart w:id="640" w:name="_Toc180491678"/>
      <w:r w:rsidRPr="00730DE4">
        <w:t>Wide Bay Burnett</w:t>
      </w:r>
      <w:bookmarkEnd w:id="638"/>
      <w:bookmarkEnd w:id="639"/>
      <w:bookmarkEnd w:id="640"/>
    </w:p>
    <w:bookmarkEnd w:id="637"/>
    <w:p w14:paraId="2F8A1F7E" w14:textId="77777777" w:rsidR="00FA2FF9" w:rsidRPr="00730DE4" w:rsidRDefault="00FA2FF9" w:rsidP="003D2369">
      <w:pPr>
        <w:pStyle w:val="ListBullet"/>
      </w:pPr>
      <w:r w:rsidRPr="00730DE4">
        <w:t xml:space="preserve">Area covered: </w:t>
      </w:r>
      <w:r w:rsidRPr="00730DE4">
        <w:rPr>
          <w:rStyle w:val="Strong"/>
        </w:rPr>
        <w:t>48,503 km</w:t>
      </w:r>
      <w:r w:rsidRPr="00730DE4">
        <w:rPr>
          <w:rStyle w:val="Strong"/>
          <w:vertAlign w:val="superscript"/>
        </w:rPr>
        <w:t>2</w:t>
      </w:r>
    </w:p>
    <w:p w14:paraId="60E6FD69" w14:textId="77777777" w:rsidR="00FA2FF9" w:rsidRPr="00730DE4" w:rsidRDefault="00FA2FF9" w:rsidP="003D2369">
      <w:pPr>
        <w:pStyle w:val="ListBullet"/>
        <w:rPr>
          <w:b/>
          <w:bCs/>
        </w:rPr>
      </w:pPr>
      <w:r w:rsidRPr="00730DE4">
        <w:t xml:space="preserve">Population of Queensland: </w:t>
      </w:r>
      <w:r w:rsidRPr="00730DE4">
        <w:rPr>
          <w:rStyle w:val="Strong"/>
        </w:rPr>
        <w:t>5.94%*</w:t>
      </w:r>
    </w:p>
    <w:p w14:paraId="1894A0C7" w14:textId="77777777" w:rsidR="00FA2FF9" w:rsidRPr="00730DE4" w:rsidRDefault="00FA2FF9" w:rsidP="002B7001">
      <w:pPr>
        <w:pStyle w:val="Heading4"/>
      </w:pPr>
      <w:bookmarkStart w:id="641" w:name="_Toc180487440"/>
      <w:bookmarkStart w:id="642" w:name="_Toc180490646"/>
      <w:bookmarkStart w:id="643" w:name="_Toc180491679"/>
      <w:r w:rsidRPr="00730DE4">
        <w:t>Fast facts</w:t>
      </w:r>
      <w:bookmarkEnd w:id="641"/>
      <w:bookmarkEnd w:id="642"/>
      <w:bookmarkEnd w:id="643"/>
    </w:p>
    <w:p w14:paraId="18E8C0E5" w14:textId="77777777" w:rsidR="00FA2FF9" w:rsidRPr="00730DE4" w:rsidRDefault="00FA2FF9" w:rsidP="003D2369">
      <w:pPr>
        <w:pStyle w:val="ListBullet"/>
      </w:pPr>
      <w:r w:rsidRPr="00730DE4">
        <w:t xml:space="preserve">State-controlled road**: </w:t>
      </w:r>
      <w:r w:rsidRPr="00730DE4">
        <w:rPr>
          <w:rStyle w:val="Strong"/>
        </w:rPr>
        <w:t>2970KM</w:t>
      </w:r>
    </w:p>
    <w:p w14:paraId="343CD96C" w14:textId="77777777" w:rsidR="00FA2FF9" w:rsidRPr="00730DE4" w:rsidRDefault="00FA2FF9" w:rsidP="003D2369">
      <w:pPr>
        <w:pStyle w:val="ListBullet"/>
      </w:pPr>
      <w:r w:rsidRPr="00730DE4">
        <w:t xml:space="preserve">National Land Transport Network**: </w:t>
      </w:r>
      <w:r w:rsidRPr="00730DE4">
        <w:rPr>
          <w:rStyle w:val="Strong"/>
        </w:rPr>
        <w:t>271KM</w:t>
      </w:r>
    </w:p>
    <w:p w14:paraId="1D6DE1F9" w14:textId="77777777" w:rsidR="00FA2FF9" w:rsidRPr="00730DE4" w:rsidRDefault="00FA2FF9" w:rsidP="003D2369">
      <w:pPr>
        <w:pStyle w:val="ListBullet"/>
      </w:pPr>
      <w:r w:rsidRPr="00730DE4">
        <w:t xml:space="preserve">Vehicle and machinery registrations: </w:t>
      </w:r>
      <w:r w:rsidRPr="00730DE4">
        <w:rPr>
          <w:rStyle w:val="Strong"/>
        </w:rPr>
        <w:t>459,456</w:t>
      </w:r>
    </w:p>
    <w:p w14:paraId="1B82C9DA" w14:textId="77777777" w:rsidR="00FA2FF9" w:rsidRPr="00730DE4" w:rsidRDefault="00FA2FF9" w:rsidP="003D2369">
      <w:pPr>
        <w:pStyle w:val="ListBullet"/>
      </w:pPr>
      <w:r w:rsidRPr="00730DE4">
        <w:t xml:space="preserve">Boating infrastructures: </w:t>
      </w:r>
      <w:r w:rsidRPr="00730DE4">
        <w:rPr>
          <w:rStyle w:val="Strong"/>
        </w:rPr>
        <w:t>75</w:t>
      </w:r>
    </w:p>
    <w:p w14:paraId="0386731C" w14:textId="77777777" w:rsidR="00FA2FF9" w:rsidRPr="00730DE4" w:rsidRDefault="00FA2FF9" w:rsidP="003D2369">
      <w:pPr>
        <w:pStyle w:val="ListBullet"/>
      </w:pPr>
      <w:r w:rsidRPr="00730DE4">
        <w:t xml:space="preserve">Community safety events held: </w:t>
      </w:r>
      <w:r w:rsidRPr="00730DE4">
        <w:rPr>
          <w:rStyle w:val="Strong"/>
        </w:rPr>
        <w:t>10</w:t>
      </w:r>
    </w:p>
    <w:p w14:paraId="57FAB484" w14:textId="77777777" w:rsidR="00FA2FF9" w:rsidRPr="00730DE4" w:rsidRDefault="00FA2FF9" w:rsidP="003D2369">
      <w:pPr>
        <w:pStyle w:val="ListBullet"/>
      </w:pPr>
      <w:r w:rsidRPr="00730DE4">
        <w:t xml:space="preserve">Vehicle and machinery inspections completed: </w:t>
      </w:r>
      <w:r w:rsidRPr="00730DE4">
        <w:rPr>
          <w:rStyle w:val="Strong"/>
        </w:rPr>
        <w:t>4250</w:t>
      </w:r>
    </w:p>
    <w:p w14:paraId="47EC0066" w14:textId="77777777" w:rsidR="00FA2FF9" w:rsidRPr="00730DE4" w:rsidRDefault="00FA2FF9" w:rsidP="003D2369">
      <w:pPr>
        <w:pStyle w:val="ListBullet"/>
      </w:pPr>
      <w:r w:rsidRPr="00730DE4">
        <w:t xml:space="preserve">Bridges***: </w:t>
      </w:r>
      <w:r w:rsidRPr="00730DE4">
        <w:rPr>
          <w:rStyle w:val="Strong"/>
        </w:rPr>
        <w:t>299</w:t>
      </w:r>
    </w:p>
    <w:p w14:paraId="43D817BB" w14:textId="77777777" w:rsidR="00FA2FF9" w:rsidRPr="00730DE4" w:rsidRDefault="00FA2FF9" w:rsidP="003D2369">
      <w:pPr>
        <w:pStyle w:val="ListBullet"/>
      </w:pPr>
      <w:r w:rsidRPr="00730DE4">
        <w:t xml:space="preserve">Driver licence tests conducted: </w:t>
      </w:r>
      <w:r w:rsidRPr="00730DE4">
        <w:rPr>
          <w:rStyle w:val="Strong"/>
        </w:rPr>
        <w:t>8318</w:t>
      </w:r>
    </w:p>
    <w:p w14:paraId="54133022" w14:textId="77777777" w:rsidR="00FA2FF9" w:rsidRPr="00730DE4" w:rsidRDefault="00FA2FF9" w:rsidP="003D2369">
      <w:pPr>
        <w:pStyle w:val="ListBullet"/>
      </w:pPr>
      <w:r w:rsidRPr="00730DE4">
        <w:t xml:space="preserve">Customer face-to-face interactions: </w:t>
      </w:r>
      <w:r w:rsidRPr="00730DE4">
        <w:rPr>
          <w:rStyle w:val="Strong"/>
        </w:rPr>
        <w:t>284,366</w:t>
      </w:r>
    </w:p>
    <w:p w14:paraId="7F2A61F6" w14:textId="77777777" w:rsidR="00FA2FF9" w:rsidRPr="00730DE4" w:rsidRDefault="00FA2FF9" w:rsidP="003D2369">
      <w:pPr>
        <w:pStyle w:val="ListBullet"/>
        <w:rPr>
          <w:rStyle w:val="Strong"/>
          <w:b w:val="0"/>
          <w:bCs w:val="0"/>
        </w:rPr>
      </w:pPr>
      <w:r w:rsidRPr="00730DE4">
        <w:t xml:space="preserve">Priority-enabled intersections: </w:t>
      </w:r>
      <w:r w:rsidRPr="00730DE4">
        <w:rPr>
          <w:rStyle w:val="Strong"/>
        </w:rPr>
        <w:t>131</w:t>
      </w:r>
    </w:p>
    <w:p w14:paraId="0748CB85" w14:textId="77777777" w:rsidR="005628F2" w:rsidRPr="00730DE4" w:rsidRDefault="00FA2FF9" w:rsidP="005628F2">
      <w:pPr>
        <w:pStyle w:val="Caption"/>
        <w:rPr>
          <w:rStyle w:val="Strong"/>
        </w:rPr>
      </w:pPr>
      <w:r w:rsidRPr="00730DE4">
        <w:rPr>
          <w:rStyle w:val="Strong"/>
        </w:rPr>
        <w:t xml:space="preserve">Data source: </w:t>
      </w:r>
      <w:r w:rsidRPr="00730DE4">
        <w:t>*Queensland Government Statistician's Office (Queensland Treasury), Queensland Regional Profiles. www.qgso.qld.gov.au, July 2024</w:t>
      </w:r>
      <w:r w:rsidRPr="00730DE4">
        <w:rPr>
          <w:rStyle w:val="Strong"/>
        </w:rPr>
        <w:t xml:space="preserve"> </w:t>
      </w:r>
    </w:p>
    <w:p w14:paraId="567C5895" w14:textId="77777777" w:rsidR="005628F2" w:rsidRPr="00730DE4" w:rsidRDefault="00FA2FF9" w:rsidP="005628F2">
      <w:pPr>
        <w:pStyle w:val="Caption"/>
      </w:pPr>
      <w:r w:rsidRPr="00730DE4">
        <w:rPr>
          <w:rStyle w:val="Strong"/>
        </w:rPr>
        <w:t>Data source:</w:t>
      </w:r>
      <w:r w:rsidRPr="00730DE4">
        <w:t xml:space="preserve"> **A Road Management Information System (ARMIS) 30 June 2024</w:t>
      </w:r>
    </w:p>
    <w:p w14:paraId="17FD23DD" w14:textId="7B5F2909" w:rsidR="00FA2FF9" w:rsidRPr="00730DE4" w:rsidRDefault="00FA2FF9" w:rsidP="005628F2">
      <w:pPr>
        <w:pStyle w:val="Caption"/>
      </w:pPr>
      <w:r w:rsidRPr="00730DE4">
        <w:rPr>
          <w:rStyle w:val="Strong"/>
        </w:rPr>
        <w:t>Data source:</w:t>
      </w:r>
      <w:r w:rsidRPr="00730DE4">
        <w:t xml:space="preserve"> ***Bridge Information System (BIS), 30 June 2024</w:t>
      </w:r>
    </w:p>
    <w:p w14:paraId="655594BF" w14:textId="77777777" w:rsidR="00FA2FF9" w:rsidRPr="00730DE4" w:rsidRDefault="00FA2FF9" w:rsidP="002B7001">
      <w:pPr>
        <w:pStyle w:val="Heading4"/>
      </w:pPr>
      <w:bookmarkStart w:id="644" w:name="_Toc180487441"/>
      <w:bookmarkStart w:id="645" w:name="_Toc180490647"/>
      <w:bookmarkStart w:id="646" w:name="_Toc180491680"/>
      <w:r w:rsidRPr="00730DE4">
        <w:t>Bruce Highway Upgrade–Cooroy to Curra, Section D (Gympie Bypass)</w:t>
      </w:r>
      <w:bookmarkEnd w:id="644"/>
      <w:bookmarkEnd w:id="645"/>
      <w:bookmarkEnd w:id="646"/>
    </w:p>
    <w:p w14:paraId="1F385DD2" w14:textId="77777777" w:rsidR="00FA2FF9" w:rsidRPr="00730DE4" w:rsidRDefault="00FA2FF9" w:rsidP="002755FD">
      <w:r w:rsidRPr="00730DE4">
        <w:t>Construction has been underway on the 26-kilometre bypass of Gympie since October 2020.</w:t>
      </w:r>
    </w:p>
    <w:p w14:paraId="5074137C" w14:textId="77777777" w:rsidR="00FA2FF9" w:rsidRPr="00730DE4" w:rsidRDefault="00FA2FF9" w:rsidP="002755FD">
      <w:r w:rsidRPr="00730DE4">
        <w:t>The project addresses the current safety, flood immunity, and capacity issues on the existing highway through Gympie and will provide motorists with a free-flowing, high-speed, four-lane highway between Woondum and Curra.</w:t>
      </w:r>
    </w:p>
    <w:p w14:paraId="101C5FDB" w14:textId="77777777" w:rsidR="00FA2FF9" w:rsidRPr="00730DE4" w:rsidRDefault="00FA2FF9" w:rsidP="002755FD">
      <w:r w:rsidRPr="00730DE4">
        <w:t>There will be three new major interchanges, 43 bridges at 24 locations along the bypass, and more than six million cubic metres of earth has been moved to construct the road.</w:t>
      </w:r>
    </w:p>
    <w:p w14:paraId="2B9605F0" w14:textId="77777777" w:rsidR="00FA2FF9" w:rsidRPr="00730DE4" w:rsidRDefault="00FA2FF9" w:rsidP="002755FD">
      <w:r w:rsidRPr="00730DE4">
        <w:t>In May 2024, all bulk earthworks were completed and all local road overpasses opened to traffic.</w:t>
      </w:r>
    </w:p>
    <w:p w14:paraId="356E9690" w14:textId="77777777" w:rsidR="00FA2FF9" w:rsidRPr="00730DE4" w:rsidRDefault="00FA2FF9" w:rsidP="002755FD">
      <w:r w:rsidRPr="00730DE4">
        <w:t>The new Flood Road interchange and Curra interchange are both in use by local traffic (excluding the ramps to and from the new highway), and the Gympie interchange is almost complete.</w:t>
      </w:r>
    </w:p>
    <w:p w14:paraId="6E92EC00" w14:textId="77777777" w:rsidR="00FA2FF9" w:rsidRPr="00730DE4" w:rsidRDefault="00FA2FF9" w:rsidP="002755FD">
      <w:r w:rsidRPr="00730DE4">
        <w:t>Highway pavement works are nearing completion with line marking and highway finishing works underway. Works will be completed in late-2024, weather and construction conditions permitting.</w:t>
      </w:r>
    </w:p>
    <w:p w14:paraId="1574A61A" w14:textId="77777777" w:rsidR="00FA2FF9" w:rsidRPr="00730DE4" w:rsidRDefault="00FA2FF9" w:rsidP="002755FD">
      <w:r w:rsidRPr="00730DE4">
        <w:t>This $1.162 billion project is jointly funded by the Australian and Queensland governments.</w:t>
      </w:r>
    </w:p>
    <w:p w14:paraId="3714EEB7" w14:textId="77777777" w:rsidR="00FA2FF9" w:rsidRPr="00730DE4" w:rsidRDefault="00FA2FF9" w:rsidP="002755FD">
      <w:pPr>
        <w:pStyle w:val="MessageHeader"/>
      </w:pPr>
      <w:r w:rsidRPr="00730DE4">
        <w:t xml:space="preserve">For more information </w:t>
      </w:r>
      <w:r w:rsidRPr="00730DE4">
        <w:br/>
      </w:r>
      <w:hyperlink r:id="rId63" w:history="1">
        <w:r w:rsidRPr="00730DE4">
          <w:rPr>
            <w:rStyle w:val="Hyperlink"/>
          </w:rPr>
          <w:t>https://www.tmr.qld.gov.au/projects/bruce-highway-cooroy-to-curra/bruce-highway-cooroy-to-curra-section-d</w:t>
        </w:r>
      </w:hyperlink>
    </w:p>
    <w:p w14:paraId="3916AFF5" w14:textId="77777777" w:rsidR="00FA2FF9" w:rsidRPr="00730DE4" w:rsidRDefault="00FA2FF9" w:rsidP="002B7001">
      <w:pPr>
        <w:pStyle w:val="Heading4"/>
      </w:pPr>
      <w:bookmarkStart w:id="647" w:name="_Toc180487442"/>
      <w:bookmarkStart w:id="648" w:name="_Toc180490648"/>
      <w:bookmarkStart w:id="649" w:name="_Toc180491681"/>
      <w:r w:rsidRPr="00730DE4">
        <w:t>Torbanlea–Pialba Road, various locations, upgrade intersections and floodways</w:t>
      </w:r>
      <w:bookmarkEnd w:id="647"/>
      <w:bookmarkEnd w:id="648"/>
      <w:bookmarkEnd w:id="649"/>
    </w:p>
    <w:p w14:paraId="36691CCD" w14:textId="77777777" w:rsidR="00FA2FF9" w:rsidRPr="00730DE4" w:rsidRDefault="00FA2FF9" w:rsidP="002755FD">
      <w:r w:rsidRPr="00730DE4">
        <w:t>Works to improve the flood immunity and upgrade intersections along Torbanlea–Pialba Road between Beelbi Creek and Takura were completed in May 2024.</w:t>
      </w:r>
    </w:p>
    <w:p w14:paraId="7982B34B" w14:textId="77777777" w:rsidR="00FA2FF9" w:rsidRPr="00730DE4" w:rsidRDefault="00FA2FF9" w:rsidP="002755FD">
      <w:r w:rsidRPr="00730DE4">
        <w:t>The project improved road safety and flood resilience for Hervey Bay and surrounding communities and included the construction of a new four-span bridge across Beelbi Creek, which opened to traffic in February 2024.</w:t>
      </w:r>
    </w:p>
    <w:p w14:paraId="262547BF" w14:textId="77777777" w:rsidR="00FA2FF9" w:rsidRPr="00730DE4" w:rsidRDefault="00FA2FF9" w:rsidP="002755FD">
      <w:r w:rsidRPr="00730DE4">
        <w:t>Works also included upgrades to three floodways and intersection upgrades, including realignments and installation of separated turn lanes to improve safety.</w:t>
      </w:r>
    </w:p>
    <w:p w14:paraId="7F3E3BD5" w14:textId="77777777" w:rsidR="00FA2FF9" w:rsidRPr="00730DE4" w:rsidRDefault="00FA2FF9" w:rsidP="002755FD">
      <w:r w:rsidRPr="00730DE4">
        <w:t>Cultural heritage activities, including rehabilitation of disturbed ground, are being completed by the Traditional Owners as part of the project.</w:t>
      </w:r>
    </w:p>
    <w:p w14:paraId="118A453B" w14:textId="77777777" w:rsidR="00FA2FF9" w:rsidRPr="00730DE4" w:rsidRDefault="00FA2FF9" w:rsidP="002755FD">
      <w:r w:rsidRPr="00730DE4">
        <w:t>This project is jointly funded by the Australian and Queensland governments.</w:t>
      </w:r>
    </w:p>
    <w:p w14:paraId="008E9CD0" w14:textId="77777777" w:rsidR="00FA2FF9" w:rsidRPr="00730DE4" w:rsidRDefault="00FA2FF9" w:rsidP="002755FD">
      <w:pPr>
        <w:pStyle w:val="MessageHeader"/>
      </w:pPr>
      <w:r w:rsidRPr="00730DE4">
        <w:t xml:space="preserve">For more information </w:t>
      </w:r>
      <w:r w:rsidRPr="00730DE4">
        <w:br/>
      </w:r>
      <w:hyperlink r:id="rId64" w:history="1">
        <w:r w:rsidRPr="00730DE4">
          <w:rPr>
            <w:rStyle w:val="Hyperlink"/>
          </w:rPr>
          <w:t>https://www.tmr.qld.gov.au/projects/torbanlea-pialba-road-various-locations-upgrade-intersections-and-floodways</w:t>
        </w:r>
      </w:hyperlink>
    </w:p>
    <w:p w14:paraId="7A2289C3" w14:textId="7FEA18D9" w:rsidR="00FA2FF9" w:rsidRPr="00730DE4" w:rsidRDefault="00FA2FF9" w:rsidP="002B7001">
      <w:pPr>
        <w:pStyle w:val="Heading4"/>
      </w:pPr>
      <w:bookmarkStart w:id="650" w:name="_Toc180487443"/>
      <w:bookmarkStart w:id="651" w:name="_Toc180490649"/>
      <w:bookmarkStart w:id="652" w:name="_Toc180491682"/>
      <w:r w:rsidRPr="00730DE4">
        <w:t>Case study: Mundubbera–Durong Road, John Peterson Bridge (Boyne River), replace bridge</w:t>
      </w:r>
      <w:bookmarkEnd w:id="650"/>
      <w:bookmarkEnd w:id="651"/>
      <w:bookmarkEnd w:id="652"/>
    </w:p>
    <w:p w14:paraId="1A0BF282" w14:textId="77777777" w:rsidR="00FA2FF9" w:rsidRPr="00730DE4" w:rsidRDefault="00FA2FF9" w:rsidP="00D175D5">
      <w:r w:rsidRPr="00730DE4">
        <w:t>In late-2023, the new John Peterson Bridge and upgraded road approaches were officially opened, marking a significant milestone for the project and the North Burnett community.</w:t>
      </w:r>
    </w:p>
    <w:p w14:paraId="57631D32" w14:textId="77777777" w:rsidR="00FA2FF9" w:rsidRPr="00730DE4" w:rsidRDefault="00FA2FF9" w:rsidP="00D175D5">
      <w:r w:rsidRPr="00730DE4">
        <w:t xml:space="preserve">Traffic commenced using the new two-lane, eight-span concrete structure over the Boyne River in June 2023, delivering safety and economic benefits to Mundubbera and the wider community. </w:t>
      </w:r>
    </w:p>
    <w:p w14:paraId="1063FB4E" w14:textId="77777777" w:rsidR="00FA2FF9" w:rsidRPr="00730DE4" w:rsidRDefault="00FA2FF9" w:rsidP="00D175D5">
      <w:r w:rsidRPr="00730DE4">
        <w:t>The new bridge and road approaches were designed by TMR and replaced the old, single-lane, low-lying, flood-prone bridge on a new, straighter alignment of Mundubbera–Durong Road.</w:t>
      </w:r>
    </w:p>
    <w:p w14:paraId="66ACA7A4" w14:textId="77777777" w:rsidR="00FA2FF9" w:rsidRPr="00730DE4" w:rsidRDefault="00FA2FF9" w:rsidP="00D175D5">
      <w:r w:rsidRPr="00730DE4">
        <w:t>The new bridge was built about 500 metres west of the old bridge and significantly higher than the old structure, delivering improved flood immunity and reducing the likelihood of flood-related disruptions to freight and passenger traffic. The old bridge was demolished in July 2023 after the new bridge was opened to traffic.</w:t>
      </w:r>
    </w:p>
    <w:p w14:paraId="08A82349" w14:textId="77777777" w:rsidR="00FA2FF9" w:rsidRPr="00730DE4" w:rsidRDefault="00FA2FF9" w:rsidP="00D175D5">
      <w:r w:rsidRPr="00730DE4">
        <w:t>The project also included safety improvements to the Beeron Road and Hawkwood Road intersections.</w:t>
      </w:r>
    </w:p>
    <w:p w14:paraId="355E5FCB" w14:textId="77777777" w:rsidR="00FA2FF9" w:rsidRPr="00730DE4" w:rsidRDefault="00FA2FF9" w:rsidP="00D175D5">
      <w:r w:rsidRPr="00730DE4">
        <w:t>This project was jointly funded by the Australian and Queensland governments.</w:t>
      </w:r>
    </w:p>
    <w:p w14:paraId="008DB209" w14:textId="77777777" w:rsidR="00FA2FF9" w:rsidRPr="00730DE4" w:rsidRDefault="00FA2FF9" w:rsidP="002B7001">
      <w:pPr>
        <w:pStyle w:val="Heading4"/>
      </w:pPr>
      <w:bookmarkStart w:id="653" w:name="_Toc180487444"/>
      <w:bookmarkStart w:id="654" w:name="_Toc180490650"/>
      <w:bookmarkStart w:id="655" w:name="_Toc180491683"/>
      <w:r w:rsidRPr="00730DE4">
        <w:t>Goodwood Road, Washpool Creek—active transport crossings</w:t>
      </w:r>
      <w:bookmarkEnd w:id="653"/>
      <w:bookmarkEnd w:id="654"/>
      <w:bookmarkEnd w:id="655"/>
      <w:r w:rsidRPr="00730DE4">
        <w:t xml:space="preserve"> </w:t>
      </w:r>
    </w:p>
    <w:p w14:paraId="56F3BB17" w14:textId="77777777" w:rsidR="00FA2FF9" w:rsidRPr="00730DE4" w:rsidRDefault="00FA2FF9" w:rsidP="002755FD">
      <w:r w:rsidRPr="00730DE4">
        <w:t>In late-2023, works commenced to improve active transport crossings at Washpool Creek on Goodwood Road at Walkervale in Bundaberg.</w:t>
      </w:r>
    </w:p>
    <w:p w14:paraId="5F5D478F" w14:textId="77777777" w:rsidR="00FA2FF9" w:rsidRPr="00730DE4" w:rsidRDefault="00FA2FF9" w:rsidP="002755FD">
      <w:r w:rsidRPr="00730DE4">
        <w:t>The project was completed in April 2024 and works included:</w:t>
      </w:r>
    </w:p>
    <w:p w14:paraId="188F14F7" w14:textId="77777777" w:rsidR="00FA2FF9" w:rsidRPr="00730DE4" w:rsidRDefault="00FA2FF9" w:rsidP="002755FD">
      <w:pPr>
        <w:pStyle w:val="ListBullet"/>
      </w:pPr>
      <w:r w:rsidRPr="00730DE4">
        <w:t>two new three-metre wide prefabricated pedestrian and bike riding bridges over Washpool Creek</w:t>
      </w:r>
    </w:p>
    <w:p w14:paraId="4423FD4E" w14:textId="77777777" w:rsidR="00FA2FF9" w:rsidRPr="00730DE4" w:rsidRDefault="00FA2FF9" w:rsidP="002755FD">
      <w:pPr>
        <w:pStyle w:val="ListBullet"/>
      </w:pPr>
      <w:r w:rsidRPr="00730DE4">
        <w:t>connections to the existing bike and pedestrian paths on Goodwood Road</w:t>
      </w:r>
    </w:p>
    <w:p w14:paraId="33B96E4E" w14:textId="77777777" w:rsidR="00FA2FF9" w:rsidRPr="00730DE4" w:rsidRDefault="00FA2FF9" w:rsidP="002755FD">
      <w:pPr>
        <w:pStyle w:val="ListBullet"/>
      </w:pPr>
      <w:r w:rsidRPr="00730DE4">
        <w:t>closure of the left-turn into the nearby Colman Street to improve safety for all road users and address visibility concerns.</w:t>
      </w:r>
    </w:p>
    <w:p w14:paraId="6BC97F6C" w14:textId="77777777" w:rsidR="00FA2FF9" w:rsidRPr="00730DE4" w:rsidRDefault="00FA2FF9" w:rsidP="002755FD">
      <w:r w:rsidRPr="00730DE4">
        <w:t>Goodwood Road is a priority route on the Principal Cycle Network Plan for Wide Bay Burnett and plays a key role in connecting Bundaberg's southern suburbs with the central business district (CBD).</w:t>
      </w:r>
    </w:p>
    <w:p w14:paraId="2C2A5150" w14:textId="77777777" w:rsidR="00FA2FF9" w:rsidRPr="00730DE4" w:rsidRDefault="00FA2FF9" w:rsidP="002755FD">
      <w:r w:rsidRPr="00730DE4">
        <w:t>This project was fully funded by the Queensland Government.</w:t>
      </w:r>
    </w:p>
    <w:p w14:paraId="6E7E464C" w14:textId="39A50D97" w:rsidR="00FA2FF9" w:rsidRPr="00730DE4" w:rsidRDefault="00FA2FF9" w:rsidP="002B7001">
      <w:pPr>
        <w:pStyle w:val="Heading4"/>
      </w:pPr>
      <w:bookmarkStart w:id="656" w:name="_Toc180487445"/>
      <w:bookmarkStart w:id="657" w:name="_Toc180490651"/>
      <w:bookmarkStart w:id="658" w:name="_Toc180491684"/>
      <w:r w:rsidRPr="00730DE4">
        <w:t>Isis Highway (Bundaberg–Childers), various locations, improve safety</w:t>
      </w:r>
      <w:bookmarkEnd w:id="656"/>
      <w:bookmarkEnd w:id="657"/>
      <w:bookmarkEnd w:id="658"/>
    </w:p>
    <w:p w14:paraId="443FA4E5" w14:textId="5A2865CA" w:rsidR="00FA2FF9" w:rsidRPr="00730DE4" w:rsidRDefault="00FA2FF9" w:rsidP="002755FD">
      <w:r w:rsidRPr="00730DE4">
        <w:t>The Isis Highway (Bundaberg–Childers) is a significant corridor for vehicles travelling between Bundaberg and Childers and provides a link for vehicles travelling south from Bundaberg to the Bruce Highway.</w:t>
      </w:r>
      <w:r w:rsidR="00C5487B" w:rsidRPr="00730DE4">
        <w:t xml:space="preserve"> </w:t>
      </w:r>
      <w:r w:rsidRPr="00730DE4">
        <w:t>Works to design and upgrade priority sections of the Isis Highway continued throughout 2023, with the Isis Highway and Voss Road intersection upgrade completed in mid-2023.</w:t>
      </w:r>
    </w:p>
    <w:p w14:paraId="6BC64EBF" w14:textId="06C35D82" w:rsidR="00FA2FF9" w:rsidRPr="00730DE4" w:rsidRDefault="00FA2FF9" w:rsidP="002755FD">
      <w:r w:rsidRPr="00730DE4">
        <w:t>Detailed design for intersection upgrades and the installation of service roads between the Bundaberg Ring Road and Park Estate Drive, were completed in the first half of 2024. This $42 million project is fully funded by the Queensland Government's High Risk Roads Initiative as part of the Targeted Road Safety Program.</w:t>
      </w:r>
    </w:p>
    <w:p w14:paraId="31C7DD2A" w14:textId="77777777" w:rsidR="00FA2FF9" w:rsidRPr="00730DE4" w:rsidRDefault="00FA2FF9" w:rsidP="002755FD">
      <w:pPr>
        <w:pStyle w:val="MessageHeader"/>
      </w:pPr>
      <w:r w:rsidRPr="00730DE4">
        <w:t xml:space="preserve">For more information </w:t>
      </w:r>
      <w:r w:rsidRPr="00730DE4">
        <w:br/>
      </w:r>
      <w:hyperlink r:id="rId65" w:history="1">
        <w:r w:rsidRPr="00730DE4">
          <w:rPr>
            <w:rStyle w:val="Hyperlink"/>
          </w:rPr>
          <w:t>https://www.tmr.qld.gov.au/projects/isis-highway-bundaberg-childers-various-locations-improve-safety</w:t>
        </w:r>
      </w:hyperlink>
    </w:p>
    <w:p w14:paraId="5B7C5DC3" w14:textId="77777777" w:rsidR="00FA2FF9" w:rsidRPr="00730DE4" w:rsidRDefault="00FA2FF9" w:rsidP="002B7001">
      <w:pPr>
        <w:pStyle w:val="Heading4"/>
      </w:pPr>
      <w:bookmarkStart w:id="659" w:name="_Toc180487446"/>
      <w:bookmarkStart w:id="660" w:name="_Toc180490652"/>
      <w:bookmarkStart w:id="661" w:name="_Toc180491685"/>
      <w:bookmarkStart w:id="662" w:name="_Hlk173147863"/>
      <w:r w:rsidRPr="00730DE4">
        <w:t>Maryborough–Hervey Bay Road and Pialba–Burrum Heads Road, upgrade intersection</w:t>
      </w:r>
      <w:bookmarkEnd w:id="659"/>
      <w:bookmarkEnd w:id="660"/>
      <w:bookmarkEnd w:id="661"/>
    </w:p>
    <w:p w14:paraId="41804757" w14:textId="282FE34B" w:rsidR="00FA2FF9" w:rsidRPr="00730DE4" w:rsidRDefault="00FA2FF9" w:rsidP="001C57F8">
      <w:r w:rsidRPr="00730DE4">
        <w:t>The design for the Maryborough–Hervey Bay Road and Pialba–Burrum Heads Road intersection upgrade have been finalised, and the community was provided with the final layout in September 2023.</w:t>
      </w:r>
      <w:r w:rsidR="00C5487B" w:rsidRPr="00730DE4">
        <w:t xml:space="preserve"> </w:t>
      </w:r>
      <w:r w:rsidRPr="00730DE4">
        <w:t>The design included traffic signals at the intersection to improve traffic flow and road safety, and improvements to pedestrian and bike riding facilities on both roads.</w:t>
      </w:r>
    </w:p>
    <w:p w14:paraId="713D9DE2" w14:textId="77777777" w:rsidR="00FA2FF9" w:rsidRPr="00730DE4" w:rsidRDefault="00FA2FF9" w:rsidP="001C57F8">
      <w:r w:rsidRPr="00730DE4">
        <w:t>The design also included Maryborough–Hervey Bay Road on the southern approach to the intersection and Pialba–Burrum Heads Road west of the intersection being duplicated to four lanes to accommodate major traffic movements at the intersection.</w:t>
      </w:r>
    </w:p>
    <w:p w14:paraId="7751449E" w14:textId="4731E44A" w:rsidR="00FA2FF9" w:rsidRPr="00730DE4" w:rsidRDefault="00FA2FF9" w:rsidP="001C57F8">
      <w:r w:rsidRPr="00730DE4">
        <w:t>Pedestrian and bike riding facilities will also be upgraded to improve safety and connectivity for all road users. This includes shared paths and signalised crossings at the intersection.</w:t>
      </w:r>
      <w:r w:rsidR="00C5487B" w:rsidRPr="00730DE4">
        <w:t xml:space="preserve"> </w:t>
      </w:r>
      <w:r w:rsidRPr="00730DE4">
        <w:t>This $55.353 million project is jointly funded by the Australian and Queensland governments.</w:t>
      </w:r>
    </w:p>
    <w:p w14:paraId="03C256E4" w14:textId="77777777" w:rsidR="00FA2FF9" w:rsidRPr="00730DE4" w:rsidRDefault="00FA2FF9" w:rsidP="001C57F8">
      <w:pPr>
        <w:pStyle w:val="MessageHeader"/>
      </w:pPr>
      <w:r w:rsidRPr="00730DE4">
        <w:t xml:space="preserve">For more information </w:t>
      </w:r>
      <w:r w:rsidRPr="00730DE4">
        <w:br/>
      </w:r>
      <w:hyperlink r:id="rId66" w:history="1">
        <w:r w:rsidRPr="00730DE4">
          <w:rPr>
            <w:rStyle w:val="Hyperlink"/>
          </w:rPr>
          <w:t>https://www.tmr.qld.gov.au/projects/maryborough-hervey-bay-road-and-pialba-burrum-heads-road-upgrade-intersection</w:t>
        </w:r>
      </w:hyperlink>
    </w:p>
    <w:p w14:paraId="518C151C" w14:textId="77777777" w:rsidR="00FA2FF9" w:rsidRPr="00730DE4" w:rsidRDefault="00FA2FF9" w:rsidP="002B7001">
      <w:pPr>
        <w:pStyle w:val="Heading4"/>
      </w:pPr>
      <w:bookmarkStart w:id="663" w:name="_Toc180487447"/>
      <w:bookmarkStart w:id="664" w:name="_Toc180490653"/>
      <w:bookmarkStart w:id="665" w:name="_Toc180491686"/>
      <w:bookmarkStart w:id="666" w:name="_Hlk173147890"/>
      <w:bookmarkEnd w:id="662"/>
      <w:r w:rsidRPr="00730DE4">
        <w:t>Bruce Highway (Gympie–Maryborough), Tiaro Bypass, construct four lane bypass</w:t>
      </w:r>
      <w:bookmarkEnd w:id="663"/>
      <w:bookmarkEnd w:id="664"/>
      <w:bookmarkEnd w:id="665"/>
    </w:p>
    <w:p w14:paraId="0612BA6D" w14:textId="77777777" w:rsidR="00FA2FF9" w:rsidRPr="00730DE4" w:rsidRDefault="00FA2FF9" w:rsidP="002755FD">
      <w:r w:rsidRPr="00730DE4">
        <w:t>Detailed design is underway for a new highway bypass to the east of Tiaro.</w:t>
      </w:r>
    </w:p>
    <w:p w14:paraId="1786A69D" w14:textId="77777777" w:rsidR="00FA2FF9" w:rsidRPr="00730DE4" w:rsidRDefault="00FA2FF9" w:rsidP="002755FD">
      <w:r w:rsidRPr="00730DE4">
        <w:t>This includes a concrete centre median and two grade-separated interchange connections to Tiaro, one north and one south of the township.</w:t>
      </w:r>
    </w:p>
    <w:p w14:paraId="23B2A5A9" w14:textId="77777777" w:rsidR="00FA2FF9" w:rsidRPr="00730DE4" w:rsidRDefault="00FA2FF9" w:rsidP="002755FD">
      <w:r w:rsidRPr="00730DE4">
        <w:t>The detailed design phase includes:</w:t>
      </w:r>
    </w:p>
    <w:p w14:paraId="178A08F5" w14:textId="77777777" w:rsidR="00FA2FF9" w:rsidRPr="00730DE4" w:rsidRDefault="00FA2FF9" w:rsidP="002755FD">
      <w:pPr>
        <w:pStyle w:val="ListBullet"/>
      </w:pPr>
      <w:r w:rsidRPr="00730DE4">
        <w:t>further detailed investigations and assessments including environmental, hydraulics, noise, and geotechnical</w:t>
      </w:r>
    </w:p>
    <w:p w14:paraId="25865A33" w14:textId="77777777" w:rsidR="00FA2FF9" w:rsidRPr="00730DE4" w:rsidRDefault="00FA2FF9" w:rsidP="002755FD">
      <w:pPr>
        <w:pStyle w:val="ListBullet"/>
      </w:pPr>
      <w:r w:rsidRPr="00730DE4">
        <w:t>development of detailed design drawings including drainage, lighting, signage, property accesses, and public utility relocations</w:t>
      </w:r>
    </w:p>
    <w:p w14:paraId="2E3F1D09" w14:textId="77777777" w:rsidR="00FA2FF9" w:rsidRPr="00730DE4" w:rsidRDefault="00FA2FF9" w:rsidP="002755FD">
      <w:pPr>
        <w:pStyle w:val="ListBullet"/>
      </w:pPr>
      <w:r w:rsidRPr="00730DE4">
        <w:t>preparation of detailed cost estimates and contract documents for the construction phase.</w:t>
      </w:r>
    </w:p>
    <w:p w14:paraId="4649B930" w14:textId="77777777" w:rsidR="00FA2FF9" w:rsidRPr="00730DE4" w:rsidRDefault="00FA2FF9" w:rsidP="002755FD">
      <w:r w:rsidRPr="00730DE4">
        <w:t>Ongoing community consultation will occur throughout the detailed design phase as TMR continues working closely with Tiaro and surrounding communities.</w:t>
      </w:r>
    </w:p>
    <w:p w14:paraId="155234E4" w14:textId="77777777" w:rsidR="00FA2FF9" w:rsidRPr="00730DE4" w:rsidRDefault="00FA2FF9" w:rsidP="002755FD">
      <w:r w:rsidRPr="00730DE4">
        <w:t>This $336 million project is jointly funded by the Australian and Queensland governments.</w:t>
      </w:r>
    </w:p>
    <w:p w14:paraId="0DC3C920" w14:textId="77777777" w:rsidR="00FA2FF9" w:rsidRPr="00730DE4" w:rsidRDefault="00FA2FF9" w:rsidP="002755FD">
      <w:pPr>
        <w:pStyle w:val="MessageHeader"/>
      </w:pPr>
      <w:r w:rsidRPr="00730DE4">
        <w:t xml:space="preserve">For more information </w:t>
      </w:r>
      <w:r w:rsidRPr="00730DE4">
        <w:br/>
      </w:r>
      <w:hyperlink r:id="rId67" w:history="1">
        <w:r w:rsidRPr="00730DE4">
          <w:rPr>
            <w:rStyle w:val="Hyperlink"/>
          </w:rPr>
          <w:t>https://www.tmr.qld.gov.au/projects/bruce-highway-gympie-maryborough-tiaro-bypass-construct-four-lane-bypass</w:t>
        </w:r>
      </w:hyperlink>
    </w:p>
    <w:p w14:paraId="2B07903E" w14:textId="77777777" w:rsidR="00FA2FF9" w:rsidRPr="00730DE4" w:rsidRDefault="00FA2FF9" w:rsidP="002B7001">
      <w:pPr>
        <w:pStyle w:val="Heading4"/>
      </w:pPr>
      <w:bookmarkStart w:id="667" w:name="_Toc180487448"/>
      <w:bookmarkStart w:id="668" w:name="_Toc180490654"/>
      <w:bookmarkStart w:id="669" w:name="_Toc180491687"/>
      <w:bookmarkEnd w:id="666"/>
      <w:r w:rsidRPr="00730DE4">
        <w:t>Monto–Mount Perry Road progressive sealing</w:t>
      </w:r>
      <w:bookmarkEnd w:id="667"/>
      <w:bookmarkEnd w:id="668"/>
      <w:bookmarkEnd w:id="669"/>
    </w:p>
    <w:p w14:paraId="5C35562A" w14:textId="77777777" w:rsidR="00FA2FF9" w:rsidRPr="00730DE4" w:rsidRDefault="00FA2FF9" w:rsidP="001551CD">
      <w:r w:rsidRPr="00730DE4">
        <w:t>Detailed design to seal the final 5.1-kilometre gravel section of Monto–Mount Perry Road, between the Burnett Highway and the Burnett River, was completed in August 2023.</w:t>
      </w:r>
    </w:p>
    <w:p w14:paraId="05377994" w14:textId="77777777" w:rsidR="00FA2FF9" w:rsidRPr="00730DE4" w:rsidRDefault="00FA2FF9" w:rsidP="001551CD">
      <w:r w:rsidRPr="00730DE4">
        <w:t>In addition to the bitumen sealing on the unsealed gravel sections, the design included the replacement of Splinter Creek Bridge on a new alignment and the upgrade of the Burnett Highway and Monto–Mount Perry Road intersection.</w:t>
      </w:r>
    </w:p>
    <w:p w14:paraId="3C3FE0F5" w14:textId="77777777" w:rsidR="00FA2FF9" w:rsidRPr="00730DE4" w:rsidRDefault="00FA2FF9" w:rsidP="001551CD">
      <w:r w:rsidRPr="00730DE4">
        <w:t>These works commenced in May 2024 and, when complete, will improve safety on this vital link between North Burnett communities, reduce ongoing maintenance costs and enhance the economic benefits for the North Burnett.</w:t>
      </w:r>
    </w:p>
    <w:p w14:paraId="79A5E7B3" w14:textId="77777777" w:rsidR="00FA2FF9" w:rsidRPr="00730DE4" w:rsidRDefault="00FA2FF9" w:rsidP="001551CD">
      <w:r w:rsidRPr="00730DE4">
        <w:t xml:space="preserve">The $8 million Monto–Mount Perry, progressive sealing project is fully funded by the Queensland Government. The Monto–Mount Perry Road, Mail Bag Creek to Kerwee Road, upgrade to sealed standard (Stage One) and Monto–Mount Perry Road (Stage Two), upgrade to sealed standard projects were jointly funded by the Australian and Queensland governments. </w:t>
      </w:r>
    </w:p>
    <w:p w14:paraId="6CB6AFEA" w14:textId="77777777" w:rsidR="00FA2FF9" w:rsidRPr="00730DE4" w:rsidRDefault="00FA2FF9" w:rsidP="002755FD">
      <w:pPr>
        <w:pStyle w:val="MessageHeader"/>
      </w:pPr>
      <w:r w:rsidRPr="00730DE4">
        <w:t xml:space="preserve">For more information </w:t>
      </w:r>
      <w:r w:rsidRPr="00730DE4">
        <w:br/>
      </w:r>
      <w:hyperlink r:id="rId68" w:history="1">
        <w:r w:rsidRPr="00730DE4">
          <w:rPr>
            <w:rStyle w:val="Hyperlink"/>
          </w:rPr>
          <w:t>https://www.tmr.qld.gov.au/projects/monto-mount-perry-road-progressive-sealing</w:t>
        </w:r>
      </w:hyperlink>
    </w:p>
    <w:p w14:paraId="007A838B" w14:textId="77777777" w:rsidR="00EA1647" w:rsidRDefault="00EA1647" w:rsidP="002B7001">
      <w:pPr>
        <w:pStyle w:val="Heading4"/>
      </w:pPr>
      <w:bookmarkStart w:id="670" w:name="_Hlk173147919"/>
      <w:r>
        <w:br w:type="page"/>
      </w:r>
    </w:p>
    <w:p w14:paraId="3787A7CF" w14:textId="61331A08" w:rsidR="00FA2FF9" w:rsidRPr="00730DE4" w:rsidRDefault="00FA2FF9" w:rsidP="002B7001">
      <w:pPr>
        <w:pStyle w:val="Heading4"/>
      </w:pPr>
      <w:bookmarkStart w:id="671" w:name="_Toc180487449"/>
      <w:bookmarkStart w:id="672" w:name="_Toc180490655"/>
      <w:bookmarkStart w:id="673" w:name="_Toc180491688"/>
      <w:r w:rsidRPr="00730DE4">
        <w:t>Torbanlea—road infrastructure upgrade</w:t>
      </w:r>
      <w:bookmarkEnd w:id="671"/>
      <w:bookmarkEnd w:id="672"/>
      <w:bookmarkEnd w:id="673"/>
    </w:p>
    <w:p w14:paraId="6A3D7727" w14:textId="77777777" w:rsidR="00FA2FF9" w:rsidRPr="00730DE4" w:rsidRDefault="00FA2FF9" w:rsidP="002755FD">
      <w:r w:rsidRPr="00730DE4">
        <w:t>Major road infrastructure upgrades were completed by RoadTek in readiness for the start of construction on the new train manufacturing facility as part of the CRR Project. The overall value of the program of works in the package is almost $27 million.</w:t>
      </w:r>
    </w:p>
    <w:p w14:paraId="531113E5" w14:textId="77777777" w:rsidR="00FA2FF9" w:rsidRPr="00730DE4" w:rsidRDefault="00FA2FF9" w:rsidP="002755FD">
      <w:r w:rsidRPr="00730DE4">
        <w:t>Following the completion of upgrades to the Bruce Highway in 2022–23, attention shifted to other parts of the required infrastructure upgrades including:</w:t>
      </w:r>
    </w:p>
    <w:p w14:paraId="51351447" w14:textId="77777777" w:rsidR="00FA2FF9" w:rsidRPr="00730DE4" w:rsidRDefault="00FA2FF9" w:rsidP="002755FD">
      <w:pPr>
        <w:pStyle w:val="ListBullet"/>
      </w:pPr>
      <w:r w:rsidRPr="00730DE4">
        <w:t>Gympie Street minor pavement and asphalt works</w:t>
      </w:r>
    </w:p>
    <w:p w14:paraId="7C57CAB2" w14:textId="77777777" w:rsidR="00FA2FF9" w:rsidRPr="00730DE4" w:rsidRDefault="00FA2FF9" w:rsidP="002755FD">
      <w:pPr>
        <w:pStyle w:val="ListBullet"/>
      </w:pPr>
      <w:r w:rsidRPr="00730DE4">
        <w:t>Robertson Road landscaping works</w:t>
      </w:r>
    </w:p>
    <w:p w14:paraId="4F0805E0" w14:textId="77777777" w:rsidR="00FA2FF9" w:rsidRPr="00730DE4" w:rsidRDefault="00FA2FF9" w:rsidP="002755FD">
      <w:pPr>
        <w:pStyle w:val="ListBullet"/>
      </w:pPr>
      <w:r w:rsidRPr="00730DE4">
        <w:t>Gympie Street–Burgowan Road Intersection upgrade including the changed functioning of the intersection</w:t>
      </w:r>
    </w:p>
    <w:p w14:paraId="01D63BEB" w14:textId="77777777" w:rsidR="00FA2FF9" w:rsidRPr="00730DE4" w:rsidRDefault="00FA2FF9" w:rsidP="002755FD">
      <w:pPr>
        <w:pStyle w:val="ListBullet"/>
      </w:pPr>
      <w:r w:rsidRPr="00730DE4">
        <w:t>Construction of a two-lane sealed road on Ritchie Road which involved works over a 1.5 kilometre-long footprint.</w:t>
      </w:r>
    </w:p>
    <w:p w14:paraId="12C55C2C" w14:textId="77777777" w:rsidR="00FA2FF9" w:rsidRPr="00730DE4" w:rsidRDefault="00FA2FF9" w:rsidP="002755FD">
      <w:r w:rsidRPr="00730DE4">
        <w:t>The Ritchie Road works were a major undertaking and involved:</w:t>
      </w:r>
    </w:p>
    <w:p w14:paraId="386DC77F" w14:textId="77777777" w:rsidR="00FA2FF9" w:rsidRPr="00730DE4" w:rsidRDefault="00FA2FF9" w:rsidP="002755FD">
      <w:pPr>
        <w:pStyle w:val="ListBullet"/>
      </w:pPr>
      <w:r w:rsidRPr="00730DE4">
        <w:t>mass clearing of vegetation</w:t>
      </w:r>
    </w:p>
    <w:p w14:paraId="668B36DD" w14:textId="77777777" w:rsidR="00FA2FF9" w:rsidRPr="00730DE4" w:rsidRDefault="00FA2FF9" w:rsidP="002755FD">
      <w:pPr>
        <w:pStyle w:val="ListBullet"/>
      </w:pPr>
      <w:r w:rsidRPr="00730DE4">
        <w:t>bulk excavation</w:t>
      </w:r>
    </w:p>
    <w:p w14:paraId="05C4B36D" w14:textId="77777777" w:rsidR="00FA2FF9" w:rsidRPr="00730DE4" w:rsidRDefault="00FA2FF9" w:rsidP="002755FD">
      <w:pPr>
        <w:pStyle w:val="ListBullet"/>
      </w:pPr>
      <w:r w:rsidRPr="00730DE4">
        <w:t>construction of two layers of unbound pavement material</w:t>
      </w:r>
    </w:p>
    <w:p w14:paraId="662408BA" w14:textId="77777777" w:rsidR="00FA2FF9" w:rsidRPr="00730DE4" w:rsidRDefault="00FA2FF9" w:rsidP="002755FD">
      <w:pPr>
        <w:pStyle w:val="ListBullet"/>
      </w:pPr>
      <w:r w:rsidRPr="00730DE4">
        <w:t>installation of kerb and channel on both sides of the road</w:t>
      </w:r>
    </w:p>
    <w:p w14:paraId="0F6FC740" w14:textId="77777777" w:rsidR="00FA2FF9" w:rsidRPr="00730DE4" w:rsidRDefault="00FA2FF9" w:rsidP="002755FD">
      <w:pPr>
        <w:pStyle w:val="ListBullet"/>
      </w:pPr>
      <w:r w:rsidRPr="00730DE4">
        <w:t>installation of large scale erosion measures on the RHS drain</w:t>
      </w:r>
    </w:p>
    <w:p w14:paraId="4E3BA982" w14:textId="77777777" w:rsidR="00FA2FF9" w:rsidRPr="00730DE4" w:rsidRDefault="00FA2FF9" w:rsidP="002755FD">
      <w:pPr>
        <w:pStyle w:val="ListBullet"/>
      </w:pPr>
      <w:r w:rsidRPr="00730DE4">
        <w:t>construction of full-length 2.5 metre concrete footpath</w:t>
      </w:r>
    </w:p>
    <w:p w14:paraId="61E2B019" w14:textId="77777777" w:rsidR="00FA2FF9" w:rsidRPr="00730DE4" w:rsidRDefault="00FA2FF9" w:rsidP="002755FD">
      <w:pPr>
        <w:pStyle w:val="ListBullet"/>
      </w:pPr>
      <w:r w:rsidRPr="00730DE4">
        <w:t>upgrade of private access for nine properties.</w:t>
      </w:r>
    </w:p>
    <w:p w14:paraId="508AA10C" w14:textId="77777777" w:rsidR="00FA2FF9" w:rsidRPr="00730DE4" w:rsidRDefault="00FA2FF9" w:rsidP="002755FD">
      <w:r w:rsidRPr="00730DE4">
        <w:t>Additional works were completed in the township of Torbanlea to manage expected traffic increases during construction and operation of the facility.</w:t>
      </w:r>
    </w:p>
    <w:bookmarkEnd w:id="670"/>
    <w:p w14:paraId="7D25AEE8" w14:textId="77777777" w:rsidR="00B13631" w:rsidRPr="00730DE4" w:rsidRDefault="00B13631">
      <w:pPr>
        <w:suppressAutoHyphens w:val="0"/>
        <w:spacing w:before="0" w:line="259" w:lineRule="auto"/>
        <w:rPr>
          <w:rFonts w:eastAsiaTheme="majorEastAsia" w:cstheme="majorBidi"/>
          <w:color w:val="080C0F" w:themeColor="text1"/>
          <w:sz w:val="44"/>
          <w:szCs w:val="28"/>
        </w:rPr>
      </w:pPr>
      <w:r w:rsidRPr="00730DE4">
        <w:br w:type="page"/>
      </w:r>
    </w:p>
    <w:p w14:paraId="71512DC3" w14:textId="34069F9A" w:rsidR="00FA2FF9" w:rsidRPr="00730DE4" w:rsidRDefault="00FA2FF9" w:rsidP="002B7001">
      <w:pPr>
        <w:pStyle w:val="Heading3"/>
      </w:pPr>
      <w:bookmarkStart w:id="674" w:name="_Toc180487450"/>
      <w:bookmarkStart w:id="675" w:name="_Toc180490656"/>
      <w:bookmarkStart w:id="676" w:name="_Toc180491689"/>
      <w:r w:rsidRPr="00730DE4">
        <w:t>Darling Downs</w:t>
      </w:r>
      <w:bookmarkEnd w:id="674"/>
      <w:bookmarkEnd w:id="675"/>
      <w:bookmarkEnd w:id="676"/>
    </w:p>
    <w:p w14:paraId="52557AF7" w14:textId="77777777" w:rsidR="00FA2FF9" w:rsidRPr="00730DE4" w:rsidRDefault="00FA2FF9" w:rsidP="003D2369">
      <w:pPr>
        <w:pStyle w:val="ListBullet"/>
      </w:pPr>
      <w:r w:rsidRPr="00730DE4">
        <w:t xml:space="preserve">Area covered: </w:t>
      </w:r>
      <w:r w:rsidRPr="00730DE4">
        <w:rPr>
          <w:rStyle w:val="Strong"/>
        </w:rPr>
        <w:t>79,521 km</w:t>
      </w:r>
      <w:r w:rsidRPr="00730DE4">
        <w:rPr>
          <w:rStyle w:val="Strong"/>
          <w:vertAlign w:val="superscript"/>
        </w:rPr>
        <w:t>2</w:t>
      </w:r>
    </w:p>
    <w:p w14:paraId="345B2994" w14:textId="77777777" w:rsidR="00FA2FF9" w:rsidRPr="00730DE4" w:rsidRDefault="00FA2FF9" w:rsidP="003D2369">
      <w:pPr>
        <w:pStyle w:val="ListBullet"/>
        <w:rPr>
          <w:b/>
          <w:bCs/>
        </w:rPr>
      </w:pPr>
      <w:r w:rsidRPr="00730DE4">
        <w:t xml:space="preserve">Population of Queensland: </w:t>
      </w:r>
      <w:r w:rsidRPr="00730DE4">
        <w:rPr>
          <w:rStyle w:val="Strong"/>
        </w:rPr>
        <w:t>5.65%*</w:t>
      </w:r>
    </w:p>
    <w:p w14:paraId="2856D00F" w14:textId="77777777" w:rsidR="00FA2FF9" w:rsidRPr="00730DE4" w:rsidRDefault="00FA2FF9" w:rsidP="002B7001">
      <w:pPr>
        <w:pStyle w:val="Heading4"/>
      </w:pPr>
      <w:bookmarkStart w:id="677" w:name="_Toc180487451"/>
      <w:bookmarkStart w:id="678" w:name="_Toc180490657"/>
      <w:bookmarkStart w:id="679" w:name="_Toc180491690"/>
      <w:r w:rsidRPr="00730DE4">
        <w:t>Fast facts</w:t>
      </w:r>
      <w:bookmarkEnd w:id="677"/>
      <w:bookmarkEnd w:id="678"/>
      <w:bookmarkEnd w:id="679"/>
    </w:p>
    <w:p w14:paraId="25789941" w14:textId="77777777" w:rsidR="00FA2FF9" w:rsidRPr="00730DE4" w:rsidRDefault="00FA2FF9" w:rsidP="003D2369">
      <w:pPr>
        <w:pStyle w:val="ListBullet"/>
      </w:pPr>
      <w:r w:rsidRPr="00730DE4">
        <w:t xml:space="preserve">State-controlled road**: </w:t>
      </w:r>
      <w:r w:rsidRPr="00730DE4">
        <w:rPr>
          <w:rStyle w:val="Strong"/>
        </w:rPr>
        <w:t>4533KM</w:t>
      </w:r>
    </w:p>
    <w:p w14:paraId="1E9C293C" w14:textId="77777777" w:rsidR="00FA2FF9" w:rsidRPr="00730DE4" w:rsidRDefault="00FA2FF9" w:rsidP="003D2369">
      <w:pPr>
        <w:pStyle w:val="ListBullet"/>
      </w:pPr>
      <w:r w:rsidRPr="00730DE4">
        <w:t xml:space="preserve">National Land Transport Network**: </w:t>
      </w:r>
      <w:r w:rsidRPr="00730DE4">
        <w:rPr>
          <w:rStyle w:val="Strong"/>
        </w:rPr>
        <w:t>644KM</w:t>
      </w:r>
    </w:p>
    <w:p w14:paraId="67E6955F" w14:textId="77777777" w:rsidR="00FA2FF9" w:rsidRPr="00730DE4" w:rsidRDefault="00FA2FF9" w:rsidP="003D2369">
      <w:pPr>
        <w:pStyle w:val="ListBullet"/>
      </w:pPr>
      <w:r w:rsidRPr="00730DE4">
        <w:t xml:space="preserve">Vehicle and machinery registrations: </w:t>
      </w:r>
      <w:r w:rsidRPr="00730DE4">
        <w:rPr>
          <w:rStyle w:val="Strong"/>
        </w:rPr>
        <w:t>374,214</w:t>
      </w:r>
    </w:p>
    <w:p w14:paraId="13FD4EA8" w14:textId="77777777" w:rsidR="00FA2FF9" w:rsidRPr="00730DE4" w:rsidRDefault="00FA2FF9" w:rsidP="003D2369">
      <w:pPr>
        <w:pStyle w:val="ListBullet"/>
      </w:pPr>
      <w:r w:rsidRPr="00730DE4">
        <w:t xml:space="preserve">Boating infrastructures: </w:t>
      </w:r>
      <w:r w:rsidRPr="00730DE4">
        <w:rPr>
          <w:rStyle w:val="Strong"/>
        </w:rPr>
        <w:t>7</w:t>
      </w:r>
    </w:p>
    <w:p w14:paraId="77BF4125" w14:textId="77777777" w:rsidR="00FA2FF9" w:rsidRPr="00730DE4" w:rsidRDefault="00FA2FF9" w:rsidP="003D2369">
      <w:pPr>
        <w:pStyle w:val="ListBullet"/>
      </w:pPr>
      <w:r w:rsidRPr="00730DE4">
        <w:t xml:space="preserve">Community safety events held: </w:t>
      </w:r>
      <w:r w:rsidRPr="00730DE4">
        <w:rPr>
          <w:rStyle w:val="Strong"/>
        </w:rPr>
        <w:t>10</w:t>
      </w:r>
    </w:p>
    <w:p w14:paraId="7F331888" w14:textId="77777777" w:rsidR="00FA2FF9" w:rsidRPr="00730DE4" w:rsidRDefault="00FA2FF9" w:rsidP="003D2369">
      <w:pPr>
        <w:pStyle w:val="ListBullet"/>
      </w:pPr>
      <w:r w:rsidRPr="00730DE4">
        <w:t xml:space="preserve">Vehicle and machinery inspections completed: </w:t>
      </w:r>
      <w:r w:rsidRPr="00730DE4">
        <w:rPr>
          <w:rStyle w:val="Strong"/>
        </w:rPr>
        <w:t>8482</w:t>
      </w:r>
    </w:p>
    <w:p w14:paraId="66410F6B" w14:textId="77777777" w:rsidR="00FA2FF9" w:rsidRPr="00730DE4" w:rsidRDefault="00FA2FF9" w:rsidP="003D2369">
      <w:pPr>
        <w:pStyle w:val="ListBullet"/>
      </w:pPr>
      <w:r w:rsidRPr="00730DE4">
        <w:t xml:space="preserve">Bridges***: </w:t>
      </w:r>
      <w:r w:rsidRPr="00730DE4">
        <w:rPr>
          <w:rStyle w:val="Strong"/>
        </w:rPr>
        <w:t>226</w:t>
      </w:r>
    </w:p>
    <w:p w14:paraId="68F95901" w14:textId="77777777" w:rsidR="00FA2FF9" w:rsidRPr="00730DE4" w:rsidRDefault="00FA2FF9" w:rsidP="003D2369">
      <w:pPr>
        <w:pStyle w:val="ListBullet"/>
      </w:pPr>
      <w:r w:rsidRPr="00730DE4">
        <w:t xml:space="preserve">Driver licence tests conducted: </w:t>
      </w:r>
      <w:r w:rsidRPr="00730DE4">
        <w:rPr>
          <w:rStyle w:val="Strong"/>
        </w:rPr>
        <w:t>9522</w:t>
      </w:r>
    </w:p>
    <w:p w14:paraId="40D87319" w14:textId="77777777" w:rsidR="00FA2FF9" w:rsidRPr="00730DE4" w:rsidRDefault="00FA2FF9" w:rsidP="003D2369">
      <w:pPr>
        <w:pStyle w:val="ListBullet"/>
      </w:pPr>
      <w:r w:rsidRPr="00730DE4">
        <w:t xml:space="preserve">Customer face-to-face interactions: </w:t>
      </w:r>
      <w:r w:rsidRPr="00730DE4">
        <w:rPr>
          <w:rStyle w:val="Strong"/>
        </w:rPr>
        <w:t>289,767</w:t>
      </w:r>
    </w:p>
    <w:p w14:paraId="4AC469F6" w14:textId="77777777" w:rsidR="00FA2FF9" w:rsidRPr="00730DE4" w:rsidRDefault="00FA2FF9" w:rsidP="003D2369">
      <w:pPr>
        <w:pStyle w:val="ListBullet"/>
        <w:rPr>
          <w:rStyle w:val="Strong"/>
          <w:b w:val="0"/>
          <w:bCs w:val="0"/>
        </w:rPr>
      </w:pPr>
      <w:r w:rsidRPr="00730DE4">
        <w:t xml:space="preserve">Priority-enabled intersections: </w:t>
      </w:r>
      <w:r w:rsidRPr="00730DE4">
        <w:rPr>
          <w:rStyle w:val="Strong"/>
        </w:rPr>
        <w:t>141</w:t>
      </w:r>
    </w:p>
    <w:p w14:paraId="0BC701B2" w14:textId="77777777" w:rsidR="005628F2" w:rsidRPr="00730DE4" w:rsidRDefault="00FA2FF9" w:rsidP="005628F2">
      <w:pPr>
        <w:pStyle w:val="Caption"/>
        <w:rPr>
          <w:rStyle w:val="Strong"/>
        </w:rPr>
      </w:pPr>
      <w:r w:rsidRPr="00730DE4">
        <w:rPr>
          <w:rStyle w:val="Strong"/>
        </w:rPr>
        <w:t xml:space="preserve">Data source: </w:t>
      </w:r>
      <w:r w:rsidRPr="00730DE4">
        <w:t>*Queensland Government Statistician's Office (Queensland Treasury), Queensland Regional Profiles. www.qgso.qld.gov.au, July 2024</w:t>
      </w:r>
      <w:r w:rsidRPr="00730DE4">
        <w:rPr>
          <w:rStyle w:val="Strong"/>
        </w:rPr>
        <w:t xml:space="preserve"> </w:t>
      </w:r>
    </w:p>
    <w:p w14:paraId="79D5A5AB" w14:textId="77777777" w:rsidR="005628F2" w:rsidRPr="00730DE4" w:rsidRDefault="00FA2FF9" w:rsidP="005628F2">
      <w:pPr>
        <w:pStyle w:val="Caption"/>
      </w:pPr>
      <w:r w:rsidRPr="00730DE4">
        <w:rPr>
          <w:rStyle w:val="Strong"/>
        </w:rPr>
        <w:t>Data source:</w:t>
      </w:r>
      <w:r w:rsidRPr="00730DE4">
        <w:t xml:space="preserve"> **A Road Management Information System (ARMIS) 30 June 2024</w:t>
      </w:r>
    </w:p>
    <w:p w14:paraId="6C21E113" w14:textId="14419825" w:rsidR="00FA2FF9" w:rsidRPr="00730DE4" w:rsidRDefault="00FA2FF9" w:rsidP="005628F2">
      <w:pPr>
        <w:pStyle w:val="Caption"/>
      </w:pPr>
      <w:r w:rsidRPr="00730DE4">
        <w:rPr>
          <w:rStyle w:val="Strong"/>
        </w:rPr>
        <w:t>Data source:</w:t>
      </w:r>
      <w:r w:rsidRPr="00730DE4">
        <w:t xml:space="preserve"> ***Bridge Information System (BIS), 30 June 2024</w:t>
      </w:r>
    </w:p>
    <w:p w14:paraId="6AC48684" w14:textId="77777777" w:rsidR="00FA2FF9" w:rsidRPr="00730DE4" w:rsidRDefault="00FA2FF9" w:rsidP="002B7001">
      <w:pPr>
        <w:pStyle w:val="Heading4"/>
      </w:pPr>
      <w:bookmarkStart w:id="680" w:name="_Toc180487452"/>
      <w:bookmarkStart w:id="681" w:name="_Toc180490658"/>
      <w:bookmarkStart w:id="682" w:name="_Toc180491691"/>
      <w:r w:rsidRPr="00730DE4">
        <w:t>Natural disaster repairs in Darling Downs</w:t>
      </w:r>
      <w:bookmarkEnd w:id="680"/>
      <w:bookmarkEnd w:id="681"/>
      <w:bookmarkEnd w:id="682"/>
    </w:p>
    <w:p w14:paraId="10697675" w14:textId="77777777" w:rsidR="00FA2FF9" w:rsidRPr="00730DE4" w:rsidRDefault="00FA2FF9" w:rsidP="00A443E1">
      <w:r w:rsidRPr="00730DE4">
        <w:t>TMR continued delivering a significant program of more than 100 projects in the Darling Downs to repair state-controlled roads following severe weather events in 2021 and 2022.</w:t>
      </w:r>
    </w:p>
    <w:p w14:paraId="38F22DC3" w14:textId="77777777" w:rsidR="00FA2FF9" w:rsidRPr="00730DE4" w:rsidRDefault="00FA2FF9" w:rsidP="00A443E1">
      <w:r w:rsidRPr="00730DE4">
        <w:t>The flood recovery projects will repair:</w:t>
      </w:r>
    </w:p>
    <w:p w14:paraId="3DD261B7" w14:textId="77777777" w:rsidR="00FA2FF9" w:rsidRPr="00730DE4" w:rsidRDefault="00FA2FF9" w:rsidP="00A443E1">
      <w:pPr>
        <w:pStyle w:val="ListBullet"/>
      </w:pPr>
      <w:r w:rsidRPr="00730DE4">
        <w:t>sections of the Bunya, Leichhardt, Moonie, and Warrego highways in the Western Downs</w:t>
      </w:r>
    </w:p>
    <w:p w14:paraId="4AFB7515" w14:textId="77777777" w:rsidR="00FA2FF9" w:rsidRPr="00730DE4" w:rsidRDefault="00FA2FF9" w:rsidP="00A443E1">
      <w:pPr>
        <w:pStyle w:val="ListBullet"/>
      </w:pPr>
      <w:r w:rsidRPr="00730DE4">
        <w:t>sections of the Cunningham, Leichhardt, Gore, and Barwon highways in the Toowoomba region</w:t>
      </w:r>
    </w:p>
    <w:p w14:paraId="2BC78B09" w14:textId="77777777" w:rsidR="00FA2FF9" w:rsidRPr="00730DE4" w:rsidRDefault="00FA2FF9" w:rsidP="00A443E1">
      <w:pPr>
        <w:pStyle w:val="ListBullet"/>
      </w:pPr>
      <w:r w:rsidRPr="00730DE4">
        <w:t>sections of the Cunningham, Leichhardt, Gore, and Barwon highways in the Goondiwindi region</w:t>
      </w:r>
    </w:p>
    <w:p w14:paraId="212D9B08" w14:textId="77777777" w:rsidR="00FA2FF9" w:rsidRPr="00730DE4" w:rsidRDefault="00FA2FF9" w:rsidP="00A443E1">
      <w:pPr>
        <w:pStyle w:val="ListBullet"/>
      </w:pPr>
      <w:r w:rsidRPr="00730DE4">
        <w:t>state-controlled roads including sections of Mount Sylvia Road in the Lockyer Valley</w:t>
      </w:r>
    </w:p>
    <w:p w14:paraId="6DA155AC" w14:textId="77777777" w:rsidR="00FA2FF9" w:rsidRPr="00730DE4" w:rsidRDefault="00FA2FF9" w:rsidP="00A443E1">
      <w:pPr>
        <w:pStyle w:val="ListBullet"/>
      </w:pPr>
      <w:r w:rsidRPr="00730DE4">
        <w:t>roads connecting the towns of Stanthorpe, Warwick, Leyburn, Karara, and Allora in Southern Downs.</w:t>
      </w:r>
    </w:p>
    <w:p w14:paraId="6160AA88" w14:textId="77777777" w:rsidR="00FA2FF9" w:rsidRPr="00730DE4" w:rsidRDefault="00FA2FF9" w:rsidP="00A443E1">
      <w:r w:rsidRPr="00730DE4">
        <w:t>These recovery works are jointly funded by the Australian and Queensland governments through the DRFA.</w:t>
      </w:r>
    </w:p>
    <w:p w14:paraId="547B17C5" w14:textId="77777777" w:rsidR="00FA2FF9" w:rsidRPr="00730DE4" w:rsidRDefault="00FA2FF9" w:rsidP="00A443E1">
      <w:pPr>
        <w:pStyle w:val="MessageHeader"/>
      </w:pPr>
      <w:r w:rsidRPr="00730DE4">
        <w:t xml:space="preserve">For more information </w:t>
      </w:r>
      <w:r w:rsidRPr="00730DE4">
        <w:br/>
      </w:r>
      <w:hyperlink r:id="rId69" w:history="1">
        <w:r w:rsidRPr="00730DE4">
          <w:rPr>
            <w:rStyle w:val="Hyperlink"/>
          </w:rPr>
          <w:t>https://www.tmr.qld.gov.au/projects/southern-queensland-2022-flood-reconstruction-works</w:t>
        </w:r>
      </w:hyperlink>
    </w:p>
    <w:p w14:paraId="114BBDC8" w14:textId="77777777" w:rsidR="00FA2FF9" w:rsidRPr="00730DE4" w:rsidRDefault="00FA2FF9" w:rsidP="002B7001">
      <w:pPr>
        <w:pStyle w:val="Heading4"/>
      </w:pPr>
      <w:bookmarkStart w:id="683" w:name="_Toc180487453"/>
      <w:bookmarkStart w:id="684" w:name="_Toc180490659"/>
      <w:bookmarkStart w:id="685" w:name="_Toc180491692"/>
      <w:r w:rsidRPr="00730DE4">
        <w:t>Gore Highway (Millmerran–Goondiwindi), Wyaga Creek, upgrade floodway</w:t>
      </w:r>
      <w:bookmarkEnd w:id="683"/>
      <w:bookmarkEnd w:id="684"/>
      <w:bookmarkEnd w:id="685"/>
    </w:p>
    <w:p w14:paraId="21BC53A3" w14:textId="77777777" w:rsidR="00FA2FF9" w:rsidRPr="00730DE4" w:rsidRDefault="00FA2FF9" w:rsidP="00A443E1">
      <w:r w:rsidRPr="00730DE4">
        <w:t>A new bridge is nearing completion at the Wyaga Creek crossing on the Gore Highway to improve flood immunity, safety, and efficiency.</w:t>
      </w:r>
    </w:p>
    <w:p w14:paraId="50E14D9C" w14:textId="77777777" w:rsidR="00FA2FF9" w:rsidRPr="00730DE4" w:rsidRDefault="00FA2FF9" w:rsidP="00A443E1">
      <w:r w:rsidRPr="00730DE4">
        <w:t>The Gore Highway is part of the National Land Transport Network and a critical link for inter and intra-state travel in Queensland. However, its vulnerability to floods, particularly at the Wyaga Creek crossing, has been a persistent cause of extended traffic delays.</w:t>
      </w:r>
    </w:p>
    <w:p w14:paraId="6E6B38C1" w14:textId="77777777" w:rsidR="00FA2FF9" w:rsidRPr="00730DE4" w:rsidRDefault="00FA2FF9" w:rsidP="00A443E1">
      <w:r w:rsidRPr="00730DE4">
        <w:t>A flood study conducted in 2016 identified Wyaga Creek crossing at Kilbronae as the primary contributor to the annual average flood-related closure time.</w:t>
      </w:r>
    </w:p>
    <w:p w14:paraId="226D3136" w14:textId="77777777" w:rsidR="00FA2FF9" w:rsidRPr="00730DE4" w:rsidRDefault="00FA2FF9" w:rsidP="00A443E1">
      <w:r w:rsidRPr="00730DE4">
        <w:t>By raising the crossing by 1.44 metres, the new bridge will considerably reduce the annual average closure time of the Gore Highway.</w:t>
      </w:r>
    </w:p>
    <w:p w14:paraId="5205AA13" w14:textId="77777777" w:rsidR="00FA2FF9" w:rsidRPr="00730DE4" w:rsidRDefault="00FA2FF9" w:rsidP="00A443E1">
      <w:r w:rsidRPr="00730DE4">
        <w:t>Construction will be completed in late-2024, weather and construction conditions permitting.</w:t>
      </w:r>
    </w:p>
    <w:p w14:paraId="3E5A835A" w14:textId="77777777" w:rsidR="00FA2FF9" w:rsidRPr="00730DE4" w:rsidRDefault="00FA2FF9" w:rsidP="00A443E1">
      <w:r w:rsidRPr="00730DE4">
        <w:t>This $52.4 million project is jointly funded by the Australian and Queensland governments.</w:t>
      </w:r>
    </w:p>
    <w:p w14:paraId="316DF57A" w14:textId="77777777" w:rsidR="00FA2FF9" w:rsidRPr="00730DE4" w:rsidRDefault="00FA2FF9" w:rsidP="00A443E1">
      <w:pPr>
        <w:pStyle w:val="MessageHeader"/>
      </w:pPr>
      <w:r w:rsidRPr="00730DE4">
        <w:t xml:space="preserve">For more information </w:t>
      </w:r>
      <w:r w:rsidRPr="00730DE4">
        <w:br/>
      </w:r>
      <w:hyperlink r:id="rId70" w:history="1">
        <w:r w:rsidRPr="00730DE4">
          <w:rPr>
            <w:rStyle w:val="Hyperlink"/>
          </w:rPr>
          <w:t>https://www.tmr.qld.gov.au/projects/gore-highway-millmerran-goondiwindi-wyaga-creek-upgrade-floodway</w:t>
        </w:r>
      </w:hyperlink>
    </w:p>
    <w:p w14:paraId="626F24BB" w14:textId="77777777" w:rsidR="00FA2FF9" w:rsidRPr="00730DE4" w:rsidRDefault="00FA2FF9" w:rsidP="002B7001">
      <w:pPr>
        <w:pStyle w:val="Heading4"/>
      </w:pPr>
      <w:bookmarkStart w:id="686" w:name="_Toc180487454"/>
      <w:bookmarkStart w:id="687" w:name="_Toc180490660"/>
      <w:bookmarkStart w:id="688" w:name="_Toc180491693"/>
      <w:r w:rsidRPr="00730DE4">
        <w:t>New England Highway (Yarraman–Toowoomba), widening and resurfacing</w:t>
      </w:r>
      <w:bookmarkEnd w:id="686"/>
      <w:bookmarkEnd w:id="687"/>
      <w:bookmarkEnd w:id="688"/>
    </w:p>
    <w:p w14:paraId="5CE10AD9" w14:textId="77777777" w:rsidR="00FA2FF9" w:rsidRPr="00730DE4" w:rsidRDefault="00FA2FF9" w:rsidP="00A443E1">
      <w:r w:rsidRPr="00730DE4">
        <w:t>Construction to improve safety and freight efficiency on the New England Highway between Cooyar and Bum Bum Creek, south of Yarraman was completed in June 2024.</w:t>
      </w:r>
    </w:p>
    <w:p w14:paraId="406A1CC5" w14:textId="77777777" w:rsidR="00FA2FF9" w:rsidRPr="00730DE4" w:rsidRDefault="00FA2FF9" w:rsidP="00A443E1">
      <w:r w:rsidRPr="00730DE4">
        <w:t>The New England Highway (Yarraman–Toowoomba) is a key freight route for B-doubles and other heavy vehicles.</w:t>
      </w:r>
    </w:p>
    <w:p w14:paraId="4A55B4F3" w14:textId="550B9C0D" w:rsidR="00EA1647" w:rsidRDefault="00FA2FF9" w:rsidP="00A443E1">
      <w:r w:rsidRPr="00730DE4">
        <w:t>The project involved widening and resurfacing the road, upgrading drainage, and improving intersections.</w:t>
      </w:r>
      <w:r w:rsidR="00EA1647">
        <w:br w:type="page"/>
      </w:r>
    </w:p>
    <w:p w14:paraId="11072CEC" w14:textId="28F7ED42" w:rsidR="00FA2FF9" w:rsidRPr="00730DE4" w:rsidRDefault="00FA2FF9" w:rsidP="00A443E1">
      <w:r w:rsidRPr="00730DE4">
        <w:t>Key features of the project included:</w:t>
      </w:r>
    </w:p>
    <w:p w14:paraId="5B531AFF" w14:textId="77777777" w:rsidR="00FA2FF9" w:rsidRPr="00730DE4" w:rsidRDefault="00FA2FF9" w:rsidP="00A443E1">
      <w:pPr>
        <w:pStyle w:val="ListBullet"/>
      </w:pPr>
      <w:r w:rsidRPr="00730DE4">
        <w:t>increased road width to improve safety and reduce the risk of crashes</w:t>
      </w:r>
    </w:p>
    <w:p w14:paraId="1E3F8A7F" w14:textId="77777777" w:rsidR="00FA2FF9" w:rsidRPr="00730DE4" w:rsidRDefault="00FA2FF9" w:rsidP="00A443E1">
      <w:pPr>
        <w:pStyle w:val="ListBullet"/>
      </w:pPr>
      <w:r w:rsidRPr="00730DE4">
        <w:t>increased road strength to improve ride quality</w:t>
      </w:r>
    </w:p>
    <w:p w14:paraId="06B0E628" w14:textId="77777777" w:rsidR="00FA2FF9" w:rsidRPr="00730DE4" w:rsidRDefault="00FA2FF9" w:rsidP="00A443E1">
      <w:pPr>
        <w:pStyle w:val="ListBullet"/>
      </w:pPr>
      <w:r w:rsidRPr="00730DE4">
        <w:t>reduced travel times</w:t>
      </w:r>
    </w:p>
    <w:p w14:paraId="4B7A52F7" w14:textId="77777777" w:rsidR="00FA2FF9" w:rsidRPr="00730DE4" w:rsidRDefault="00FA2FF9" w:rsidP="00A443E1">
      <w:pPr>
        <w:pStyle w:val="ListBullet"/>
      </w:pPr>
      <w:r w:rsidRPr="00730DE4">
        <w:t>reduced ongoing maintenance</w:t>
      </w:r>
    </w:p>
    <w:p w14:paraId="2ECD9DAE" w14:textId="77777777" w:rsidR="00FA2FF9" w:rsidRPr="00730DE4" w:rsidRDefault="00FA2FF9" w:rsidP="00A443E1">
      <w:pPr>
        <w:pStyle w:val="ListBullet"/>
      </w:pPr>
      <w:r w:rsidRPr="00730DE4">
        <w:t>improved freight efficiency and productivity for B-doubles and other heavy vehicles.</w:t>
      </w:r>
    </w:p>
    <w:p w14:paraId="2126EEC9" w14:textId="77777777" w:rsidR="00FA2FF9" w:rsidRPr="00730DE4" w:rsidRDefault="00FA2FF9" w:rsidP="00A443E1">
      <w:r w:rsidRPr="00730DE4">
        <w:t>This project was fully funded by the Queensland Government through the State Road Network Upgrade Program.</w:t>
      </w:r>
    </w:p>
    <w:p w14:paraId="6DA34EF0" w14:textId="77777777" w:rsidR="00FA2FF9" w:rsidRPr="00730DE4" w:rsidRDefault="00FA2FF9" w:rsidP="00A443E1">
      <w:pPr>
        <w:pStyle w:val="MessageHeader"/>
      </w:pPr>
      <w:r w:rsidRPr="00730DE4">
        <w:t xml:space="preserve">For more information </w:t>
      </w:r>
      <w:r w:rsidRPr="00730DE4">
        <w:br/>
      </w:r>
      <w:hyperlink r:id="rId71" w:history="1">
        <w:r w:rsidRPr="00730DE4">
          <w:rPr>
            <w:rStyle w:val="Hyperlink"/>
          </w:rPr>
          <w:t>https://www.tmr.qld.gov.au/projects/new-england-highway-yarraman-toowoomba-widen-pavement</w:t>
        </w:r>
      </w:hyperlink>
    </w:p>
    <w:p w14:paraId="2D1836B0" w14:textId="77777777" w:rsidR="00FA2FF9" w:rsidRPr="00730DE4" w:rsidRDefault="00FA2FF9" w:rsidP="002B7001">
      <w:pPr>
        <w:pStyle w:val="Heading4"/>
      </w:pPr>
      <w:bookmarkStart w:id="689" w:name="_Toc180487455"/>
      <w:bookmarkStart w:id="690" w:name="_Toc180490661"/>
      <w:bookmarkStart w:id="691" w:name="_Toc180491694"/>
      <w:r w:rsidRPr="00730DE4">
        <w:t>Warwick Principal Cycle Network planning</w:t>
      </w:r>
      <w:bookmarkEnd w:id="689"/>
      <w:bookmarkEnd w:id="690"/>
      <w:bookmarkEnd w:id="691"/>
    </w:p>
    <w:p w14:paraId="14F6CE30" w14:textId="77777777" w:rsidR="00FA2FF9" w:rsidRPr="00730DE4" w:rsidRDefault="00FA2FF9" w:rsidP="00A443E1">
      <w:r w:rsidRPr="00730DE4">
        <w:t>The Warwick Principal Cycle Network plan is part of a statewide strategy to improve bicycle riding facilities and encourage active transport.</w:t>
      </w:r>
    </w:p>
    <w:p w14:paraId="5B50CF84" w14:textId="77777777" w:rsidR="00FA2FF9" w:rsidRPr="00730DE4" w:rsidRDefault="00FA2FF9" w:rsidP="00A443E1">
      <w:r w:rsidRPr="00730DE4">
        <w:t>TMR investigated options to create a safe, direct, and connected bicycle route through Warwick, in collaboration with Southern Downs Regional Council.</w:t>
      </w:r>
    </w:p>
    <w:p w14:paraId="4635F11D" w14:textId="77777777" w:rsidR="00FA2FF9" w:rsidRPr="00730DE4" w:rsidRDefault="00FA2FF9" w:rsidP="00A443E1">
      <w:r w:rsidRPr="00730DE4">
        <w:t>Concept designs were developed for bicycle riding facilities at the Cunningham Highway (Wood Street) and Dragon Street intersection and the New England Highway (Wallace Street) and Pratten Street intersection to connect with facilities being planned by council on Dragon, Pratten, and Easey streets.</w:t>
      </w:r>
    </w:p>
    <w:p w14:paraId="1E6FD089" w14:textId="77777777" w:rsidR="00FA2FF9" w:rsidRPr="00730DE4" w:rsidRDefault="00FA2FF9" w:rsidP="00A443E1">
      <w:r w:rsidRPr="00730DE4">
        <w:t>Community consultation was undertaken in October 2022 to gain feedback on concept designs and to understand the opportunities and challenges for bike riders in the area.</w:t>
      </w:r>
    </w:p>
    <w:p w14:paraId="429FD9EE" w14:textId="77777777" w:rsidR="00FA2FF9" w:rsidRPr="00730DE4" w:rsidRDefault="00FA2FF9" w:rsidP="00A443E1">
      <w:r w:rsidRPr="00730DE4">
        <w:t xml:space="preserve">The bicycle route is expected to be complete July 2023, weather and construction conditions permitting. </w:t>
      </w:r>
    </w:p>
    <w:p w14:paraId="09786837" w14:textId="77777777" w:rsidR="00FA2FF9" w:rsidRPr="00730DE4" w:rsidRDefault="00FA2FF9" w:rsidP="00A443E1">
      <w:r w:rsidRPr="00730DE4">
        <w:t xml:space="preserve">This planning project was fully funded by the Queensland Government. </w:t>
      </w:r>
    </w:p>
    <w:p w14:paraId="6B42B6E8" w14:textId="77777777" w:rsidR="00FA2FF9" w:rsidRPr="00730DE4" w:rsidRDefault="00FA2FF9" w:rsidP="00A443E1">
      <w:pPr>
        <w:pStyle w:val="MessageHeader"/>
      </w:pPr>
      <w:r w:rsidRPr="00730DE4">
        <w:t xml:space="preserve">For more information </w:t>
      </w:r>
      <w:r w:rsidRPr="00730DE4">
        <w:br/>
      </w:r>
      <w:hyperlink r:id="rId72" w:history="1">
        <w:r w:rsidRPr="00730DE4">
          <w:rPr>
            <w:rStyle w:val="Hyperlink"/>
          </w:rPr>
          <w:t>https://www.tmr.qld.gov.au/projects/warwick-principal-cycle-network-plan-business-case</w:t>
        </w:r>
      </w:hyperlink>
    </w:p>
    <w:p w14:paraId="7A07687F" w14:textId="77777777" w:rsidR="00B13631" w:rsidRPr="00730DE4" w:rsidRDefault="00B13631">
      <w:pPr>
        <w:suppressAutoHyphens w:val="0"/>
        <w:spacing w:before="0" w:line="259" w:lineRule="auto"/>
        <w:rPr>
          <w:rFonts w:eastAsiaTheme="majorEastAsia" w:cstheme="majorBidi"/>
          <w:color w:val="080C0F" w:themeColor="text1"/>
          <w:sz w:val="44"/>
          <w:szCs w:val="28"/>
        </w:rPr>
      </w:pPr>
      <w:r w:rsidRPr="00730DE4">
        <w:br w:type="page"/>
      </w:r>
    </w:p>
    <w:p w14:paraId="796FD392" w14:textId="29B403ED" w:rsidR="00FA2FF9" w:rsidRPr="00730DE4" w:rsidRDefault="00FA2FF9" w:rsidP="002B7001">
      <w:pPr>
        <w:pStyle w:val="Heading3"/>
      </w:pPr>
      <w:bookmarkStart w:id="692" w:name="_Toc180487456"/>
      <w:bookmarkStart w:id="693" w:name="_Toc180490662"/>
      <w:bookmarkStart w:id="694" w:name="_Toc180491695"/>
      <w:r w:rsidRPr="00730DE4">
        <w:t>South West</w:t>
      </w:r>
      <w:bookmarkEnd w:id="692"/>
      <w:bookmarkEnd w:id="693"/>
      <w:bookmarkEnd w:id="694"/>
    </w:p>
    <w:p w14:paraId="52147A74" w14:textId="77777777" w:rsidR="00FA2FF9" w:rsidRPr="00730DE4" w:rsidRDefault="00FA2FF9" w:rsidP="003D2369">
      <w:pPr>
        <w:pStyle w:val="ListBullet"/>
      </w:pPr>
      <w:r w:rsidRPr="00730DE4">
        <w:t xml:space="preserve">Area covered: </w:t>
      </w:r>
      <w:r w:rsidRPr="00730DE4">
        <w:rPr>
          <w:rStyle w:val="Strong"/>
        </w:rPr>
        <w:t>319,275 km</w:t>
      </w:r>
      <w:r w:rsidRPr="00730DE4">
        <w:rPr>
          <w:rStyle w:val="Strong"/>
          <w:vertAlign w:val="superscript"/>
        </w:rPr>
        <w:t>2</w:t>
      </w:r>
    </w:p>
    <w:p w14:paraId="76AA9C10" w14:textId="77777777" w:rsidR="00FA2FF9" w:rsidRPr="00730DE4" w:rsidRDefault="00FA2FF9" w:rsidP="003D2369">
      <w:pPr>
        <w:pStyle w:val="ListBullet"/>
        <w:rPr>
          <w:b/>
          <w:bCs/>
        </w:rPr>
      </w:pPr>
      <w:r w:rsidRPr="00730DE4">
        <w:t xml:space="preserve">Population of Queensland: </w:t>
      </w:r>
      <w:r w:rsidRPr="00730DE4">
        <w:rPr>
          <w:rStyle w:val="Strong"/>
        </w:rPr>
        <w:t>0.45%*</w:t>
      </w:r>
    </w:p>
    <w:p w14:paraId="0A320F8C" w14:textId="77777777" w:rsidR="00FA2FF9" w:rsidRPr="00730DE4" w:rsidRDefault="00FA2FF9" w:rsidP="002B7001">
      <w:pPr>
        <w:pStyle w:val="Heading4"/>
      </w:pPr>
      <w:bookmarkStart w:id="695" w:name="_Toc180487457"/>
      <w:bookmarkStart w:id="696" w:name="_Toc180490663"/>
      <w:bookmarkStart w:id="697" w:name="_Toc180491696"/>
      <w:r w:rsidRPr="00730DE4">
        <w:t>Fast facts</w:t>
      </w:r>
      <w:bookmarkEnd w:id="695"/>
      <w:bookmarkEnd w:id="696"/>
      <w:bookmarkEnd w:id="697"/>
    </w:p>
    <w:p w14:paraId="3D8B198B" w14:textId="77777777" w:rsidR="00FA2FF9" w:rsidRPr="00730DE4" w:rsidRDefault="00FA2FF9" w:rsidP="003D2369">
      <w:pPr>
        <w:pStyle w:val="ListBullet"/>
      </w:pPr>
      <w:r w:rsidRPr="00730DE4">
        <w:t xml:space="preserve">State-controlled road**: </w:t>
      </w:r>
      <w:r w:rsidRPr="00730DE4">
        <w:rPr>
          <w:rStyle w:val="Strong"/>
        </w:rPr>
        <w:t>3972KM</w:t>
      </w:r>
    </w:p>
    <w:p w14:paraId="1C5FBF5E" w14:textId="77777777" w:rsidR="00FA2FF9" w:rsidRPr="00730DE4" w:rsidRDefault="00FA2FF9" w:rsidP="003D2369">
      <w:pPr>
        <w:pStyle w:val="ListBullet"/>
      </w:pPr>
      <w:r w:rsidRPr="00730DE4">
        <w:t xml:space="preserve">National Land Transport Network**: </w:t>
      </w:r>
      <w:r w:rsidRPr="00730DE4">
        <w:rPr>
          <w:rStyle w:val="Strong"/>
        </w:rPr>
        <w:t>418KM</w:t>
      </w:r>
    </w:p>
    <w:p w14:paraId="203D32C5" w14:textId="77777777" w:rsidR="00FA2FF9" w:rsidRPr="00730DE4" w:rsidRDefault="00FA2FF9" w:rsidP="003D2369">
      <w:pPr>
        <w:pStyle w:val="ListBullet"/>
      </w:pPr>
      <w:r w:rsidRPr="00730DE4">
        <w:t xml:space="preserve">Vehicle and machinery registrations: </w:t>
      </w:r>
      <w:r w:rsidRPr="00730DE4">
        <w:rPr>
          <w:rStyle w:val="Strong"/>
        </w:rPr>
        <w:t>45,399</w:t>
      </w:r>
    </w:p>
    <w:p w14:paraId="66D17D31" w14:textId="77777777" w:rsidR="00FA2FF9" w:rsidRPr="00730DE4" w:rsidRDefault="00FA2FF9" w:rsidP="003D2369">
      <w:pPr>
        <w:pStyle w:val="ListBullet"/>
      </w:pPr>
      <w:r w:rsidRPr="00730DE4">
        <w:t xml:space="preserve">Boating infrastructures: </w:t>
      </w:r>
      <w:r w:rsidRPr="00730DE4">
        <w:rPr>
          <w:rStyle w:val="Strong"/>
        </w:rPr>
        <w:t>9</w:t>
      </w:r>
    </w:p>
    <w:p w14:paraId="0DBCA189" w14:textId="77777777" w:rsidR="00FA2FF9" w:rsidRPr="00730DE4" w:rsidRDefault="00FA2FF9" w:rsidP="003D2369">
      <w:pPr>
        <w:pStyle w:val="ListBullet"/>
      </w:pPr>
      <w:r w:rsidRPr="00730DE4">
        <w:t xml:space="preserve">Community safety events held: </w:t>
      </w:r>
      <w:r w:rsidRPr="00730DE4">
        <w:rPr>
          <w:rStyle w:val="Strong"/>
        </w:rPr>
        <w:t>24</w:t>
      </w:r>
    </w:p>
    <w:p w14:paraId="188DCB5B" w14:textId="77777777" w:rsidR="00FA2FF9" w:rsidRPr="00730DE4" w:rsidRDefault="00FA2FF9" w:rsidP="003D2369">
      <w:pPr>
        <w:pStyle w:val="ListBullet"/>
      </w:pPr>
      <w:r w:rsidRPr="00730DE4">
        <w:t xml:space="preserve">Vehicle and machinery inspections completed: </w:t>
      </w:r>
      <w:r w:rsidRPr="00730DE4">
        <w:rPr>
          <w:rStyle w:val="Strong"/>
        </w:rPr>
        <w:t>2141</w:t>
      </w:r>
    </w:p>
    <w:p w14:paraId="12BF1995" w14:textId="77777777" w:rsidR="00FA2FF9" w:rsidRPr="00730DE4" w:rsidRDefault="00FA2FF9" w:rsidP="003D2369">
      <w:pPr>
        <w:pStyle w:val="ListBullet"/>
      </w:pPr>
      <w:r w:rsidRPr="00730DE4">
        <w:t xml:space="preserve">Bridges***: </w:t>
      </w:r>
      <w:r w:rsidRPr="00730DE4">
        <w:rPr>
          <w:rStyle w:val="Strong"/>
        </w:rPr>
        <w:t>83</w:t>
      </w:r>
    </w:p>
    <w:p w14:paraId="48453375" w14:textId="77777777" w:rsidR="00FA2FF9" w:rsidRPr="00730DE4" w:rsidRDefault="00FA2FF9" w:rsidP="003D2369">
      <w:pPr>
        <w:pStyle w:val="ListBullet"/>
      </w:pPr>
      <w:r w:rsidRPr="00730DE4">
        <w:t xml:space="preserve">Driver licence tests conducted: </w:t>
      </w:r>
      <w:r w:rsidRPr="00730DE4">
        <w:rPr>
          <w:rStyle w:val="Strong"/>
        </w:rPr>
        <w:t>912</w:t>
      </w:r>
    </w:p>
    <w:p w14:paraId="21D3F08A" w14:textId="77777777" w:rsidR="00FA2FF9" w:rsidRPr="00730DE4" w:rsidRDefault="00FA2FF9" w:rsidP="003D2369">
      <w:pPr>
        <w:pStyle w:val="ListBullet"/>
      </w:pPr>
      <w:r w:rsidRPr="00730DE4">
        <w:t xml:space="preserve">Customer face-to-face interactions: </w:t>
      </w:r>
      <w:r w:rsidRPr="00730DE4">
        <w:rPr>
          <w:rStyle w:val="Strong"/>
        </w:rPr>
        <w:t>26,255</w:t>
      </w:r>
    </w:p>
    <w:p w14:paraId="5ABF9A39" w14:textId="77777777" w:rsidR="00FA2FF9" w:rsidRPr="00730DE4" w:rsidRDefault="00FA2FF9" w:rsidP="003D2369">
      <w:pPr>
        <w:pStyle w:val="ListBullet"/>
        <w:rPr>
          <w:rStyle w:val="Strong"/>
          <w:b w:val="0"/>
          <w:bCs w:val="0"/>
        </w:rPr>
      </w:pPr>
      <w:r w:rsidRPr="00730DE4">
        <w:t xml:space="preserve">Priority-enabled intersections: </w:t>
      </w:r>
      <w:r w:rsidRPr="00730DE4">
        <w:rPr>
          <w:rStyle w:val="Strong"/>
        </w:rPr>
        <w:t>1</w:t>
      </w:r>
    </w:p>
    <w:p w14:paraId="233A214A" w14:textId="77777777" w:rsidR="005628F2" w:rsidRPr="00730DE4" w:rsidRDefault="00FA2FF9" w:rsidP="005628F2">
      <w:pPr>
        <w:pStyle w:val="Caption"/>
        <w:rPr>
          <w:rStyle w:val="Strong"/>
        </w:rPr>
      </w:pPr>
      <w:r w:rsidRPr="00730DE4">
        <w:rPr>
          <w:rStyle w:val="Strong"/>
        </w:rPr>
        <w:t xml:space="preserve">Data source: </w:t>
      </w:r>
      <w:r w:rsidRPr="00730DE4">
        <w:t>*Queensland Government Statistician's Office (Queensland Treasury), Queensland Regional Profiles. www.qgso.qld.gov.au, July 2024</w:t>
      </w:r>
      <w:r w:rsidRPr="00730DE4">
        <w:rPr>
          <w:rStyle w:val="Strong"/>
        </w:rPr>
        <w:t xml:space="preserve"> </w:t>
      </w:r>
    </w:p>
    <w:p w14:paraId="6C0F4953" w14:textId="77777777" w:rsidR="005628F2" w:rsidRPr="00730DE4" w:rsidRDefault="00FA2FF9" w:rsidP="005628F2">
      <w:pPr>
        <w:pStyle w:val="Caption"/>
      </w:pPr>
      <w:r w:rsidRPr="00730DE4">
        <w:rPr>
          <w:rStyle w:val="Strong"/>
        </w:rPr>
        <w:t>Data source:</w:t>
      </w:r>
      <w:r w:rsidRPr="00730DE4">
        <w:t xml:space="preserve"> **A Road Management Information System (ARMIS) 30 June 2024</w:t>
      </w:r>
    </w:p>
    <w:p w14:paraId="038C707A" w14:textId="217CDC08" w:rsidR="00FA2FF9" w:rsidRPr="00730DE4" w:rsidRDefault="00FA2FF9" w:rsidP="005628F2">
      <w:pPr>
        <w:pStyle w:val="Caption"/>
      </w:pPr>
      <w:r w:rsidRPr="00730DE4">
        <w:rPr>
          <w:rStyle w:val="Strong"/>
        </w:rPr>
        <w:t>Data source:</w:t>
      </w:r>
      <w:r w:rsidRPr="00730DE4">
        <w:t xml:space="preserve"> ***Bridge Information System (BIS), 30 June 2024</w:t>
      </w:r>
    </w:p>
    <w:p w14:paraId="3DC39DC9" w14:textId="77777777" w:rsidR="00FA2FF9" w:rsidRPr="00730DE4" w:rsidRDefault="00FA2FF9" w:rsidP="002B7001">
      <w:pPr>
        <w:pStyle w:val="Heading4"/>
      </w:pPr>
      <w:bookmarkStart w:id="698" w:name="_Toc180487458"/>
      <w:bookmarkStart w:id="699" w:name="_Toc180490664"/>
      <w:bookmarkStart w:id="700" w:name="_Toc180491697"/>
      <w:bookmarkStart w:id="701" w:name="_Hlk173226040"/>
      <w:r w:rsidRPr="00730DE4">
        <w:t>Carnarvon Highway (Injune–Rolleston), Dawson River Bridge upgrade</w:t>
      </w:r>
      <w:bookmarkEnd w:id="698"/>
      <w:bookmarkEnd w:id="699"/>
      <w:bookmarkEnd w:id="700"/>
    </w:p>
    <w:bookmarkEnd w:id="701"/>
    <w:p w14:paraId="1488FAF8" w14:textId="77777777" w:rsidR="00FA2FF9" w:rsidRPr="00730DE4" w:rsidRDefault="00FA2FF9" w:rsidP="00FA56FA">
      <w:r w:rsidRPr="00730DE4">
        <w:t>The Carnarvon Highway (Injune–Rolleston), Dawson River Bridge upgrade project will improve safety and network efficiencies by realigning the approaches and widening the existing bridge structure.</w:t>
      </w:r>
    </w:p>
    <w:p w14:paraId="6610B27D" w14:textId="77777777" w:rsidR="00FA2FF9" w:rsidRPr="00730DE4" w:rsidRDefault="00FA2FF9" w:rsidP="00FA56FA">
      <w:r w:rsidRPr="00730DE4">
        <w:t>This project is planned to support a viable future north-south alternative to the Bruce Highway and is being delivered as part of the Inland Freight Route Early Works Package.</w:t>
      </w:r>
    </w:p>
    <w:p w14:paraId="299C60AB" w14:textId="77777777" w:rsidR="00FA2FF9" w:rsidRPr="00730DE4" w:rsidRDefault="00FA2FF9" w:rsidP="00FA56FA">
      <w:r w:rsidRPr="00730DE4">
        <w:t>Construction started in October 2023 and is expected to be completed by late-2024, weather and construction conditions permitting.</w:t>
      </w:r>
    </w:p>
    <w:p w14:paraId="6F35523D" w14:textId="77777777" w:rsidR="00FA2FF9" w:rsidRPr="00730DE4" w:rsidRDefault="00FA2FF9" w:rsidP="00FA56FA">
      <w:r w:rsidRPr="00730DE4">
        <w:t>This $19.71 million project is fully funded by the Queensland Government.</w:t>
      </w:r>
    </w:p>
    <w:p w14:paraId="6BA0F15B" w14:textId="77777777" w:rsidR="00FA2FF9" w:rsidRPr="00730DE4" w:rsidRDefault="00FA2FF9" w:rsidP="00FA56FA">
      <w:pPr>
        <w:pStyle w:val="MessageHeader"/>
      </w:pPr>
      <w:r w:rsidRPr="00730DE4">
        <w:t xml:space="preserve">For more information </w:t>
      </w:r>
      <w:r w:rsidRPr="00730DE4">
        <w:br/>
      </w:r>
      <w:hyperlink r:id="rId73" w:history="1">
        <w:r w:rsidRPr="00730DE4">
          <w:rPr>
            <w:rStyle w:val="Hyperlink"/>
          </w:rPr>
          <w:t>https://www.tmr.qld.gov.au/projects/carnarvon-highway-injune-rolleston-dawson-river-bridge-upgrade</w:t>
        </w:r>
      </w:hyperlink>
    </w:p>
    <w:p w14:paraId="1858325D" w14:textId="77777777" w:rsidR="00FA2FF9" w:rsidRPr="00730DE4" w:rsidRDefault="00FA2FF9" w:rsidP="002B7001">
      <w:pPr>
        <w:pStyle w:val="Heading4"/>
      </w:pPr>
      <w:bookmarkStart w:id="702" w:name="_Toc180487459"/>
      <w:bookmarkStart w:id="703" w:name="_Toc180490665"/>
      <w:bookmarkStart w:id="704" w:name="_Toc180491698"/>
      <w:bookmarkStart w:id="705" w:name="_Hlk173226248"/>
      <w:r w:rsidRPr="00730DE4">
        <w:t>Carnarvon Highway (Roma–Injune), Roma Principal Cycle Network</w:t>
      </w:r>
      <w:bookmarkEnd w:id="702"/>
      <w:bookmarkEnd w:id="703"/>
      <w:bookmarkEnd w:id="704"/>
    </w:p>
    <w:bookmarkEnd w:id="705"/>
    <w:p w14:paraId="0A90C878" w14:textId="77777777" w:rsidR="00FA2FF9" w:rsidRPr="00730DE4" w:rsidRDefault="00FA2FF9" w:rsidP="00FA56FA">
      <w:r w:rsidRPr="00730DE4">
        <w:t>During the financial years of 2021–22 to 2022–23, the Transport System Planning Program allocated funding to conduct planning for a section of the Principal Cycle Network which follows the Carnarvon Highway (Roma–Injune), from May Street to Airport Drive in Roma.</w:t>
      </w:r>
    </w:p>
    <w:p w14:paraId="6F675D49" w14:textId="77777777" w:rsidR="00FA2FF9" w:rsidRPr="00730DE4" w:rsidRDefault="00FA2FF9" w:rsidP="00FA56FA">
      <w:r w:rsidRPr="00730DE4">
        <w:t>TMR initiated community engagement processes in the later part of 2022, with the planning finalised in January 2024.</w:t>
      </w:r>
    </w:p>
    <w:p w14:paraId="6B72B479" w14:textId="77777777" w:rsidR="00FA2FF9" w:rsidRPr="00730DE4" w:rsidRDefault="00FA2FF9" w:rsidP="00FA56FA">
      <w:r w:rsidRPr="00730DE4">
        <w:t>A two-stage approach was recommended to implement the active transport infrastructure, should future funding become available:</w:t>
      </w:r>
    </w:p>
    <w:p w14:paraId="2A828902" w14:textId="77777777" w:rsidR="00FA2FF9" w:rsidRPr="00730DE4" w:rsidRDefault="00FA2FF9" w:rsidP="00FA56FA">
      <w:pPr>
        <w:pStyle w:val="ListBullet"/>
      </w:pPr>
      <w:r w:rsidRPr="00730DE4">
        <w:t>Stage One—construct a shared path that would benefit both bike riders and pedestrians.</w:t>
      </w:r>
    </w:p>
    <w:p w14:paraId="6CCEDFB9" w14:textId="77777777" w:rsidR="00FA2FF9" w:rsidRPr="00730DE4" w:rsidRDefault="00FA2FF9" w:rsidP="00FA56FA">
      <w:pPr>
        <w:pStyle w:val="ListBullet"/>
      </w:pPr>
      <w:r w:rsidRPr="00730DE4">
        <w:t>Stage Two—construct an on-road bicycle path to separate bike riders and pedestrians.</w:t>
      </w:r>
    </w:p>
    <w:p w14:paraId="5769BFC8" w14:textId="77777777" w:rsidR="00FA2FF9" w:rsidRPr="00730DE4" w:rsidRDefault="00FA2FF9" w:rsidP="00FA56FA">
      <w:r w:rsidRPr="00730DE4">
        <w:t>This project was fully funded by the Queensland Government.</w:t>
      </w:r>
    </w:p>
    <w:p w14:paraId="0EEF3400" w14:textId="77777777" w:rsidR="00FA2FF9" w:rsidRPr="00730DE4" w:rsidRDefault="00FA2FF9" w:rsidP="002B7001">
      <w:pPr>
        <w:pStyle w:val="Heading4"/>
      </w:pPr>
      <w:bookmarkStart w:id="706" w:name="_Toc180487460"/>
      <w:bookmarkStart w:id="707" w:name="_Toc180490666"/>
      <w:bookmarkStart w:id="708" w:name="_Toc180491699"/>
      <w:r w:rsidRPr="00730DE4">
        <w:t>Diamantina Developmental Road (Quilpie–Windorah), widen and seal</w:t>
      </w:r>
      <w:bookmarkEnd w:id="706"/>
      <w:bookmarkEnd w:id="707"/>
      <w:bookmarkEnd w:id="708"/>
    </w:p>
    <w:p w14:paraId="09AA9D66" w14:textId="77777777" w:rsidR="00FA2FF9" w:rsidRPr="00730DE4" w:rsidRDefault="00FA2FF9" w:rsidP="00FA56FA">
      <w:r w:rsidRPr="00730DE4">
        <w:t>At the end of 2023, TMR completed shoulder widening works of 4.7 kilometres of road 30 kilometres west of Quilpie.</w:t>
      </w:r>
    </w:p>
    <w:p w14:paraId="71650AC6" w14:textId="77777777" w:rsidR="00FA2FF9" w:rsidRPr="00730DE4" w:rsidRDefault="00FA2FF9" w:rsidP="00FA56FA">
      <w:r w:rsidRPr="00730DE4">
        <w:t>The Regional Economic Enabling Fund (REEF) is a package of projects delivering works including progressive sealing, pavement strengthening and widening, and bridge and floodway upgrades across remote, rural, and regional Queensland. These works have improved safety and network efficiencies.</w:t>
      </w:r>
    </w:p>
    <w:p w14:paraId="4C5B3B06" w14:textId="77777777" w:rsidR="00FA2FF9" w:rsidRPr="00730DE4" w:rsidRDefault="00FA2FF9" w:rsidP="00FA56FA">
      <w:r w:rsidRPr="00730DE4">
        <w:t>This project was jointly funded by the Australian and Queensland governments through REEF.</w:t>
      </w:r>
    </w:p>
    <w:p w14:paraId="62F44100" w14:textId="77777777" w:rsidR="00FA2FF9" w:rsidRPr="00730DE4" w:rsidRDefault="00FA2FF9" w:rsidP="00FA56FA">
      <w:pPr>
        <w:pStyle w:val="MessageHeader"/>
      </w:pPr>
      <w:r w:rsidRPr="00730DE4">
        <w:t xml:space="preserve">For more information </w:t>
      </w:r>
      <w:r w:rsidRPr="00730DE4">
        <w:br/>
      </w:r>
      <w:hyperlink r:id="rId74" w:history="1">
        <w:r w:rsidRPr="00730DE4">
          <w:rPr>
            <w:rStyle w:val="Hyperlink"/>
          </w:rPr>
          <w:t>https://www.tmr.qld.gov.au/projects/diamantina-developmental-road-quilpie-windorah-widen-and-seal</w:t>
        </w:r>
      </w:hyperlink>
    </w:p>
    <w:p w14:paraId="146BE377" w14:textId="77777777" w:rsidR="00B13631" w:rsidRPr="00730DE4" w:rsidRDefault="00B13631">
      <w:pPr>
        <w:suppressAutoHyphens w:val="0"/>
        <w:spacing w:before="0" w:line="259" w:lineRule="auto"/>
        <w:rPr>
          <w:rFonts w:eastAsiaTheme="majorEastAsia" w:cstheme="majorBidi"/>
          <w:color w:val="080C0F" w:themeColor="text1"/>
          <w:sz w:val="44"/>
          <w:szCs w:val="28"/>
        </w:rPr>
      </w:pPr>
      <w:r w:rsidRPr="00730DE4">
        <w:br w:type="page"/>
      </w:r>
    </w:p>
    <w:p w14:paraId="4F6E8573" w14:textId="0940C255" w:rsidR="00FA2FF9" w:rsidRPr="00730DE4" w:rsidRDefault="00FA2FF9" w:rsidP="002B7001">
      <w:pPr>
        <w:pStyle w:val="Heading3"/>
      </w:pPr>
      <w:bookmarkStart w:id="709" w:name="_Toc180487461"/>
      <w:bookmarkStart w:id="710" w:name="_Toc180490667"/>
      <w:bookmarkStart w:id="711" w:name="_Toc180491700"/>
      <w:r w:rsidRPr="00730DE4">
        <w:t>North Coast</w:t>
      </w:r>
      <w:bookmarkEnd w:id="709"/>
      <w:bookmarkEnd w:id="710"/>
      <w:bookmarkEnd w:id="711"/>
    </w:p>
    <w:p w14:paraId="5E026E8F" w14:textId="77777777" w:rsidR="00FA2FF9" w:rsidRPr="00730DE4" w:rsidRDefault="00FA2FF9" w:rsidP="003D2369">
      <w:pPr>
        <w:pStyle w:val="ListBullet"/>
      </w:pPr>
      <w:r w:rsidRPr="00730DE4">
        <w:t xml:space="preserve">Area covered: </w:t>
      </w:r>
      <w:r w:rsidRPr="00730DE4">
        <w:rPr>
          <w:rStyle w:val="Strong"/>
        </w:rPr>
        <w:t>10,539 km</w:t>
      </w:r>
      <w:r w:rsidRPr="00730DE4">
        <w:rPr>
          <w:rStyle w:val="Strong"/>
          <w:vertAlign w:val="superscript"/>
        </w:rPr>
        <w:t>2</w:t>
      </w:r>
    </w:p>
    <w:p w14:paraId="1E583F5D" w14:textId="77777777" w:rsidR="00FA2FF9" w:rsidRPr="00730DE4" w:rsidRDefault="00FA2FF9" w:rsidP="003D2369">
      <w:pPr>
        <w:pStyle w:val="ListBullet"/>
        <w:rPr>
          <w:b/>
          <w:bCs/>
        </w:rPr>
      </w:pPr>
      <w:r w:rsidRPr="00730DE4">
        <w:t xml:space="preserve">Population of Queensland: </w:t>
      </w:r>
      <w:r w:rsidRPr="00730DE4">
        <w:rPr>
          <w:rStyle w:val="Strong"/>
        </w:rPr>
        <w:t>17.59%*</w:t>
      </w:r>
    </w:p>
    <w:p w14:paraId="3A839D57" w14:textId="77777777" w:rsidR="00FA2FF9" w:rsidRPr="00730DE4" w:rsidRDefault="00FA2FF9" w:rsidP="002B7001">
      <w:pPr>
        <w:pStyle w:val="Heading4"/>
      </w:pPr>
      <w:bookmarkStart w:id="712" w:name="_Toc180487462"/>
      <w:bookmarkStart w:id="713" w:name="_Toc180490668"/>
      <w:bookmarkStart w:id="714" w:name="_Toc180491701"/>
      <w:r w:rsidRPr="00730DE4">
        <w:t>Fast facts</w:t>
      </w:r>
      <w:bookmarkEnd w:id="712"/>
      <w:bookmarkEnd w:id="713"/>
      <w:bookmarkEnd w:id="714"/>
    </w:p>
    <w:p w14:paraId="6637E22D" w14:textId="77777777" w:rsidR="00FA2FF9" w:rsidRPr="00730DE4" w:rsidRDefault="00FA2FF9" w:rsidP="003D2369">
      <w:pPr>
        <w:pStyle w:val="ListBullet"/>
      </w:pPr>
      <w:r w:rsidRPr="00730DE4">
        <w:t xml:space="preserve">State-controlled road**: </w:t>
      </w:r>
      <w:r w:rsidRPr="00730DE4">
        <w:rPr>
          <w:rStyle w:val="Strong"/>
        </w:rPr>
        <w:t>1381KM</w:t>
      </w:r>
    </w:p>
    <w:p w14:paraId="08ECD4CF" w14:textId="77777777" w:rsidR="00FA2FF9" w:rsidRPr="00730DE4" w:rsidRDefault="00FA2FF9" w:rsidP="003D2369">
      <w:pPr>
        <w:pStyle w:val="ListBullet"/>
      </w:pPr>
      <w:r w:rsidRPr="00730DE4">
        <w:t xml:space="preserve">National Land Transport Network**: </w:t>
      </w:r>
      <w:r w:rsidRPr="00730DE4">
        <w:rPr>
          <w:rStyle w:val="Strong"/>
        </w:rPr>
        <w:t>129KM</w:t>
      </w:r>
    </w:p>
    <w:p w14:paraId="00ACB15D" w14:textId="77777777" w:rsidR="00FA2FF9" w:rsidRPr="00730DE4" w:rsidRDefault="00FA2FF9" w:rsidP="003D2369">
      <w:pPr>
        <w:pStyle w:val="ListBullet"/>
      </w:pPr>
      <w:r w:rsidRPr="00730DE4">
        <w:t xml:space="preserve">Vehicle and machinery registrations: </w:t>
      </w:r>
      <w:r w:rsidRPr="00730DE4">
        <w:rPr>
          <w:rStyle w:val="Strong"/>
        </w:rPr>
        <w:t>1,072,458</w:t>
      </w:r>
    </w:p>
    <w:p w14:paraId="7C1CFE0B" w14:textId="77777777" w:rsidR="00FA2FF9" w:rsidRPr="00730DE4" w:rsidRDefault="00FA2FF9" w:rsidP="003D2369">
      <w:pPr>
        <w:pStyle w:val="ListBullet"/>
      </w:pPr>
      <w:r w:rsidRPr="00730DE4">
        <w:t xml:space="preserve">Boating infrastructures: </w:t>
      </w:r>
      <w:r w:rsidRPr="00730DE4">
        <w:rPr>
          <w:rStyle w:val="Strong"/>
        </w:rPr>
        <w:t>69</w:t>
      </w:r>
    </w:p>
    <w:p w14:paraId="7F4AF437" w14:textId="77777777" w:rsidR="00FA2FF9" w:rsidRPr="00730DE4" w:rsidRDefault="00FA2FF9" w:rsidP="003D2369">
      <w:pPr>
        <w:pStyle w:val="ListBullet"/>
      </w:pPr>
      <w:r w:rsidRPr="00730DE4">
        <w:t xml:space="preserve">Community safety events held: </w:t>
      </w:r>
      <w:r w:rsidRPr="00730DE4">
        <w:rPr>
          <w:rStyle w:val="Strong"/>
        </w:rPr>
        <w:t>51</w:t>
      </w:r>
    </w:p>
    <w:p w14:paraId="7987CFE6" w14:textId="77777777" w:rsidR="00FA2FF9" w:rsidRPr="00730DE4" w:rsidRDefault="00FA2FF9" w:rsidP="003D2369">
      <w:pPr>
        <w:pStyle w:val="ListBullet"/>
      </w:pPr>
      <w:r w:rsidRPr="00730DE4">
        <w:t xml:space="preserve">Vehicle and machinery inspections completed: </w:t>
      </w:r>
      <w:r w:rsidRPr="00730DE4">
        <w:rPr>
          <w:rStyle w:val="Strong"/>
        </w:rPr>
        <w:t>6243</w:t>
      </w:r>
    </w:p>
    <w:p w14:paraId="6A3F9660" w14:textId="77777777" w:rsidR="00FA2FF9" w:rsidRPr="00730DE4" w:rsidRDefault="00FA2FF9" w:rsidP="003D2369">
      <w:pPr>
        <w:pStyle w:val="ListBullet"/>
      </w:pPr>
      <w:r w:rsidRPr="00730DE4">
        <w:t xml:space="preserve">Bridges***: </w:t>
      </w:r>
      <w:r w:rsidRPr="00730DE4">
        <w:rPr>
          <w:rStyle w:val="Strong"/>
        </w:rPr>
        <w:t>425</w:t>
      </w:r>
    </w:p>
    <w:p w14:paraId="2478C967" w14:textId="77777777" w:rsidR="00FA2FF9" w:rsidRPr="00730DE4" w:rsidRDefault="00FA2FF9" w:rsidP="003D2369">
      <w:pPr>
        <w:pStyle w:val="ListBullet"/>
      </w:pPr>
      <w:r w:rsidRPr="00730DE4">
        <w:t xml:space="preserve">Driver licence tests conducted: </w:t>
      </w:r>
      <w:r w:rsidRPr="00730DE4">
        <w:rPr>
          <w:rStyle w:val="Strong"/>
        </w:rPr>
        <w:t>28,081</w:t>
      </w:r>
    </w:p>
    <w:p w14:paraId="48D336CE" w14:textId="77777777" w:rsidR="00FA2FF9" w:rsidRPr="00730DE4" w:rsidRDefault="00FA2FF9" w:rsidP="003D2369">
      <w:pPr>
        <w:pStyle w:val="ListBullet"/>
      </w:pPr>
      <w:r w:rsidRPr="00730DE4">
        <w:t xml:space="preserve">Customer face-to-face interactions: </w:t>
      </w:r>
      <w:r w:rsidRPr="00730DE4">
        <w:rPr>
          <w:rStyle w:val="Strong"/>
        </w:rPr>
        <w:t>542,722</w:t>
      </w:r>
    </w:p>
    <w:p w14:paraId="69EA5420" w14:textId="77777777" w:rsidR="00FA2FF9" w:rsidRPr="00730DE4" w:rsidRDefault="00FA2FF9" w:rsidP="003D2369">
      <w:pPr>
        <w:pStyle w:val="ListBullet"/>
        <w:rPr>
          <w:rStyle w:val="Strong"/>
          <w:b w:val="0"/>
          <w:bCs w:val="0"/>
        </w:rPr>
      </w:pPr>
      <w:r w:rsidRPr="00730DE4">
        <w:t xml:space="preserve">Priority-enabled intersections: </w:t>
      </w:r>
      <w:r w:rsidRPr="00730DE4">
        <w:rPr>
          <w:rStyle w:val="Strong"/>
        </w:rPr>
        <w:t>557</w:t>
      </w:r>
    </w:p>
    <w:p w14:paraId="1F584447" w14:textId="77777777" w:rsidR="005628F2" w:rsidRPr="00730DE4" w:rsidRDefault="00FA2FF9" w:rsidP="005628F2">
      <w:pPr>
        <w:pStyle w:val="Caption"/>
        <w:rPr>
          <w:rStyle w:val="Strong"/>
        </w:rPr>
      </w:pPr>
      <w:r w:rsidRPr="00730DE4">
        <w:rPr>
          <w:rStyle w:val="Strong"/>
        </w:rPr>
        <w:t xml:space="preserve">Data source: </w:t>
      </w:r>
      <w:r w:rsidRPr="00730DE4">
        <w:t>*Queensland Government Statistician's Office (Queensland Treasury), Queensland Regional Profiles. www.qgso.qld.gov.au, July 2024</w:t>
      </w:r>
      <w:r w:rsidRPr="00730DE4">
        <w:rPr>
          <w:rStyle w:val="Strong"/>
        </w:rPr>
        <w:t xml:space="preserve"> </w:t>
      </w:r>
    </w:p>
    <w:p w14:paraId="4E31D831" w14:textId="77777777" w:rsidR="005628F2" w:rsidRPr="00730DE4" w:rsidRDefault="00FA2FF9" w:rsidP="005628F2">
      <w:pPr>
        <w:pStyle w:val="Caption"/>
      </w:pPr>
      <w:r w:rsidRPr="00730DE4">
        <w:rPr>
          <w:rStyle w:val="Strong"/>
        </w:rPr>
        <w:t>Data source:</w:t>
      </w:r>
      <w:r w:rsidRPr="00730DE4">
        <w:t xml:space="preserve"> **A Road Management Information System (ARMIS) 30 June 2024</w:t>
      </w:r>
    </w:p>
    <w:p w14:paraId="5DAA40EA" w14:textId="693FBC85" w:rsidR="00FA2FF9" w:rsidRPr="00730DE4" w:rsidRDefault="00FA2FF9" w:rsidP="005628F2">
      <w:pPr>
        <w:pStyle w:val="Caption"/>
      </w:pPr>
      <w:r w:rsidRPr="00730DE4">
        <w:rPr>
          <w:rStyle w:val="Strong"/>
        </w:rPr>
        <w:t>Data source:</w:t>
      </w:r>
      <w:r w:rsidRPr="00730DE4">
        <w:t xml:space="preserve"> ***Bridge Information System (BIS), 30 June 2024</w:t>
      </w:r>
    </w:p>
    <w:p w14:paraId="6789436C" w14:textId="77777777" w:rsidR="00FA2FF9" w:rsidRPr="00730DE4" w:rsidRDefault="00FA2FF9" w:rsidP="002B7001">
      <w:pPr>
        <w:pStyle w:val="Heading4"/>
      </w:pPr>
      <w:bookmarkStart w:id="715" w:name="_Toc180487463"/>
      <w:bookmarkStart w:id="716" w:name="_Toc180490669"/>
      <w:bookmarkStart w:id="717" w:name="_Toc180491702"/>
      <w:r w:rsidRPr="00730DE4">
        <w:t>Bruce Highway (Brisbane–Gympie), Caboolture–Bribie Island Road to Steve Irwin Way upgrade</w:t>
      </w:r>
      <w:bookmarkEnd w:id="715"/>
      <w:bookmarkEnd w:id="716"/>
      <w:bookmarkEnd w:id="717"/>
    </w:p>
    <w:p w14:paraId="17EC6E16" w14:textId="77777777" w:rsidR="00FA2FF9" w:rsidRPr="00730DE4" w:rsidRDefault="00FA2FF9" w:rsidP="00BD04FA">
      <w:r w:rsidRPr="00730DE4">
        <w:t>Major construction was completed in April 2024 for the segment of the Bruce Highway between Caboolture–Bribie Island Road and Steve Irwin Way at Exit 163.</w:t>
      </w:r>
    </w:p>
    <w:p w14:paraId="64481263" w14:textId="77777777" w:rsidR="00FA2FF9" w:rsidRPr="00730DE4" w:rsidRDefault="00FA2FF9" w:rsidP="00BD04FA">
      <w:r w:rsidRPr="00730DE4">
        <w:t>The upgrade substantially enhanced the safety, capacity, and flood immunity of this section of the Bruce Highway.</w:t>
      </w:r>
    </w:p>
    <w:p w14:paraId="3BF65C59" w14:textId="77777777" w:rsidR="00FA2FF9" w:rsidRPr="00730DE4" w:rsidRDefault="00FA2FF9" w:rsidP="00BD04FA">
      <w:r w:rsidRPr="00730DE4">
        <w:t>The project widened 11 kilometres of the Bruce Highway from four to six lanes, and upgraded ten bridges at five creek crossings to provide higher, wider, and safer structures capable of withstanding a 1-in-100-year flood event.</w:t>
      </w:r>
    </w:p>
    <w:p w14:paraId="4A1805EC" w14:textId="16A80535" w:rsidR="00EA1647" w:rsidRDefault="00FA2FF9" w:rsidP="00BD04FA">
      <w:r w:rsidRPr="00730DE4">
        <w:t>Other features delivered by the project included modifications at the Caboolture–Bribie Island Road southbound exit ramp to reduce weaving and allow for ramp metering. The northbound exit ramp was separated at Caboolture–Bribie Island Road and D'Aguilar Highway interchange to provide two consecutive ramps. New Intelligent Transport Systems Infrastructure, including ramp metering, variable speed limit and message signs, vehicle detection systems and CCTV cameras were also provided to help manage highway traffic flow.</w:t>
      </w:r>
      <w:r w:rsidR="00EA1647">
        <w:br w:type="page"/>
      </w:r>
    </w:p>
    <w:p w14:paraId="6E53B536" w14:textId="02B08CD9" w:rsidR="00FA2FF9" w:rsidRPr="00730DE4" w:rsidRDefault="00FA2FF9" w:rsidP="00BD04FA">
      <w:r w:rsidRPr="00730DE4">
        <w:t>This project was jointly funded by the Australian and Queensland governments.</w:t>
      </w:r>
    </w:p>
    <w:p w14:paraId="1C5BBA40" w14:textId="77777777" w:rsidR="00FA2FF9" w:rsidRPr="00730DE4" w:rsidRDefault="00FA2FF9" w:rsidP="00BD04FA">
      <w:pPr>
        <w:pStyle w:val="MessageHeader"/>
      </w:pPr>
      <w:r w:rsidRPr="00730DE4">
        <w:t xml:space="preserve">For more information </w:t>
      </w:r>
      <w:r w:rsidRPr="00730DE4">
        <w:br/>
      </w:r>
      <w:hyperlink r:id="rId75" w:history="1">
        <w:r w:rsidRPr="00730DE4">
          <w:rPr>
            <w:rStyle w:val="Hyperlink"/>
          </w:rPr>
          <w:t>https://www.tmr.qld.gov.au/projects/bruce-highway-brisbane-gympie-caboolture-bribie-island-road-to-steve-irwin-way-upgrade</w:t>
        </w:r>
      </w:hyperlink>
    </w:p>
    <w:p w14:paraId="0604F6CE" w14:textId="77777777" w:rsidR="00FA2FF9" w:rsidRPr="00730DE4" w:rsidRDefault="00FA2FF9" w:rsidP="002B7001">
      <w:pPr>
        <w:pStyle w:val="Heading4"/>
      </w:pPr>
      <w:bookmarkStart w:id="718" w:name="_Toc180487464"/>
      <w:bookmarkStart w:id="719" w:name="_Toc180490670"/>
      <w:bookmarkStart w:id="720" w:name="_Toc180491703"/>
      <w:r w:rsidRPr="00730DE4">
        <w:t>Direct Sunshine Coast Rail Line</w:t>
      </w:r>
      <w:bookmarkEnd w:id="718"/>
      <w:bookmarkEnd w:id="719"/>
      <w:bookmarkEnd w:id="720"/>
    </w:p>
    <w:p w14:paraId="077CF03E" w14:textId="77777777" w:rsidR="00FA2FF9" w:rsidRPr="00730DE4" w:rsidRDefault="00FA2FF9" w:rsidP="007F7917">
      <w:r w:rsidRPr="00730DE4">
        <w:t xml:space="preserve">The Australian and Queensland governments have committed funding of $5.5 billion towards delivery of Stage One of the Direct Sunshine Coast Rail Line. </w:t>
      </w:r>
    </w:p>
    <w:p w14:paraId="5F191EDD" w14:textId="77777777" w:rsidR="00FA2FF9" w:rsidRPr="00730DE4" w:rsidRDefault="00FA2FF9" w:rsidP="007F7917">
      <w:r w:rsidRPr="00730DE4">
        <w:t>Stage One of the project includes:</w:t>
      </w:r>
    </w:p>
    <w:p w14:paraId="61C1E1CB" w14:textId="77777777" w:rsidR="00FA2FF9" w:rsidRPr="00730DE4" w:rsidRDefault="00FA2FF9" w:rsidP="007F7917">
      <w:pPr>
        <w:pStyle w:val="ListBullet"/>
      </w:pPr>
      <w:r w:rsidRPr="00730DE4">
        <w:t>delivering a 19-kilometre dual-track rail line to Caloundra</w:t>
      </w:r>
    </w:p>
    <w:p w14:paraId="66001CF5" w14:textId="77777777" w:rsidR="00FA2FF9" w:rsidRPr="00730DE4" w:rsidRDefault="00FA2FF9" w:rsidP="007F7917">
      <w:pPr>
        <w:pStyle w:val="ListBullet"/>
      </w:pPr>
      <w:r w:rsidRPr="00730DE4">
        <w:t>protecting an updated rail corridor from Beerwah to Maroochydore</w:t>
      </w:r>
    </w:p>
    <w:p w14:paraId="2D63D8A5" w14:textId="77777777" w:rsidR="00FA2FF9" w:rsidRPr="00730DE4" w:rsidRDefault="00FA2FF9" w:rsidP="007F7917">
      <w:pPr>
        <w:pStyle w:val="ListBullet"/>
      </w:pPr>
      <w:r w:rsidRPr="00730DE4">
        <w:t>pre-delivery work and a commitment to working with industry to explore opportunities to accelerate delivery of the rail line to Birtinya</w:t>
      </w:r>
    </w:p>
    <w:p w14:paraId="6A7AEC29" w14:textId="77777777" w:rsidR="00FA2FF9" w:rsidRPr="00730DE4" w:rsidRDefault="00FA2FF9" w:rsidP="007F7917">
      <w:pPr>
        <w:pStyle w:val="ListBullet"/>
      </w:pPr>
      <w:r w:rsidRPr="00730DE4">
        <w:t>an enhanced bus network to ensure communities around the Sunshine Coast have convenient and reliable connections to stations</w:t>
      </w:r>
    </w:p>
    <w:p w14:paraId="08C2BFE8" w14:textId="77777777" w:rsidR="00FA2FF9" w:rsidRPr="00730DE4" w:rsidRDefault="00FA2FF9" w:rsidP="007F7917">
      <w:pPr>
        <w:pStyle w:val="ListBullet"/>
      </w:pPr>
      <w:r w:rsidRPr="00730DE4">
        <w:t>new active travel options, meaning people can also choose to walk or ride to their nearest station.</w:t>
      </w:r>
    </w:p>
    <w:p w14:paraId="3248E70C" w14:textId="77777777" w:rsidR="00FA2FF9" w:rsidRPr="00730DE4" w:rsidRDefault="00FA2FF9" w:rsidP="007F7917">
      <w:r w:rsidRPr="00730DE4">
        <w:t>Stage One is anticipated to cost between $5.5 billion and $7 billion, with cost estimates to be finalised following further design development, market engagement, and procurement.</w:t>
      </w:r>
    </w:p>
    <w:p w14:paraId="31D480F1" w14:textId="77777777" w:rsidR="00FA2FF9" w:rsidRPr="00730DE4" w:rsidRDefault="00FA2FF9" w:rsidP="004B6711">
      <w:r w:rsidRPr="00730DE4">
        <w:t>The Direct Sunshine Coast Rail Line project will enable fast, reliable, and sustainable movement of people between the Sunshine Coast, Moreton Bay, and Brisbane.  When services commence, a trip on the Direct Sunshine Coast Rail Line between Brisbane and the Sunshine Coast is forecast to be approximately 45 minutes faster than driving in peak.</w:t>
      </w:r>
    </w:p>
    <w:p w14:paraId="40635F43" w14:textId="77777777" w:rsidR="00FA2FF9" w:rsidRPr="00730DE4" w:rsidRDefault="00FA2FF9" w:rsidP="00BD04FA">
      <w:pPr>
        <w:pStyle w:val="MessageHeader"/>
      </w:pPr>
      <w:r w:rsidRPr="00730DE4">
        <w:t xml:space="preserve">For more information </w:t>
      </w:r>
      <w:r w:rsidRPr="00730DE4">
        <w:br/>
      </w:r>
      <w:hyperlink r:id="rId76" w:history="1">
        <w:r w:rsidRPr="00730DE4">
          <w:rPr>
            <w:rStyle w:val="Hyperlink"/>
          </w:rPr>
          <w:t>https://www.tmr.qld.gov.au/projects/direct-sunshine-coast-rail-line-planning</w:t>
        </w:r>
      </w:hyperlink>
    </w:p>
    <w:p w14:paraId="2D5821C8" w14:textId="77777777" w:rsidR="00EA1647" w:rsidRDefault="00EA1647" w:rsidP="002B7001">
      <w:pPr>
        <w:pStyle w:val="Heading4"/>
      </w:pPr>
      <w:r>
        <w:br w:type="page"/>
      </w:r>
    </w:p>
    <w:p w14:paraId="3F4A72A5" w14:textId="13D6AA83" w:rsidR="00FA2FF9" w:rsidRPr="00730DE4" w:rsidRDefault="00FA2FF9" w:rsidP="002B7001">
      <w:pPr>
        <w:pStyle w:val="Heading4"/>
      </w:pPr>
      <w:bookmarkStart w:id="721" w:name="_Toc180487465"/>
      <w:bookmarkStart w:id="722" w:name="_Toc180490671"/>
      <w:bookmarkStart w:id="723" w:name="_Toc180491704"/>
      <w:r w:rsidRPr="00730DE4">
        <w:t>Case study: Southern Sunshine Coast Roads Improvement Study</w:t>
      </w:r>
      <w:bookmarkEnd w:id="721"/>
      <w:bookmarkEnd w:id="722"/>
      <w:bookmarkEnd w:id="723"/>
    </w:p>
    <w:p w14:paraId="261CED99" w14:textId="77777777" w:rsidR="00FA2FF9" w:rsidRPr="00730DE4" w:rsidRDefault="00FA2FF9" w:rsidP="00020AB7">
      <w:r w:rsidRPr="00730DE4">
        <w:t>The Southern Sunshine Coast Roads Improvement Study is prioritising road upgrades that will contribute to a multi-modal approach servicing the growing transport needs for the southern Sunshine Coast.</w:t>
      </w:r>
    </w:p>
    <w:p w14:paraId="3ED3CF43" w14:textId="77777777" w:rsidR="00FA2FF9" w:rsidRPr="00730DE4" w:rsidRDefault="00FA2FF9" w:rsidP="00020AB7">
      <w:r w:rsidRPr="00730DE4">
        <w:t>The study includes two business cases. Caloundra Road, Kawana Way Link Road, and Bells Creek Arterial intersection which will be completed in late-2024, and Kawana Motorway which will be completed in mid-2025. Both business cases form part of a new north-south intra-regional motorway spine running from the Bruce Highway to the Sunshine Motorway, and will include active transport infrastructure to improve safety and encourage increased active transport.</w:t>
      </w:r>
    </w:p>
    <w:p w14:paraId="5EC31E85" w14:textId="77777777" w:rsidR="00FA2FF9" w:rsidRPr="00730DE4" w:rsidRDefault="00FA2FF9" w:rsidP="00020AB7">
      <w:r w:rsidRPr="00730DE4">
        <w:t>The business cases propose staged upgrades to the Caloundra Road, Kawana Way Link Road, and Bells Creek Arterial Road intersection, and a new Kawana Motorway that will provide a direct connection between Parrearra and Meridan Plains, parallel to Kawana Way.</w:t>
      </w:r>
    </w:p>
    <w:p w14:paraId="7E76C4B5" w14:textId="77777777" w:rsidR="00FA2FF9" w:rsidRPr="00730DE4" w:rsidRDefault="00FA2FF9" w:rsidP="00020AB7">
      <w:r w:rsidRPr="00730DE4">
        <w:t>This project study is jointly funded by the Australian and Queensland governments.</w:t>
      </w:r>
    </w:p>
    <w:p w14:paraId="2D653F47" w14:textId="77777777" w:rsidR="00FA2FF9" w:rsidRPr="00730DE4" w:rsidRDefault="00FA2FF9" w:rsidP="00020AB7">
      <w:pPr>
        <w:pStyle w:val="MessageHeader"/>
      </w:pPr>
      <w:r w:rsidRPr="00730DE4">
        <w:t xml:space="preserve">For more information </w:t>
      </w:r>
      <w:r w:rsidRPr="00730DE4">
        <w:br/>
      </w:r>
      <w:hyperlink r:id="rId77" w:history="1">
        <w:r w:rsidRPr="00730DE4">
          <w:rPr>
            <w:rStyle w:val="Hyperlink"/>
          </w:rPr>
          <w:t>https://www.tmr.qld.gov.au/projects/southern-sunshine-coast-roads-improvement-study</w:t>
        </w:r>
      </w:hyperlink>
    </w:p>
    <w:p w14:paraId="20395372" w14:textId="77777777" w:rsidR="00FA2FF9" w:rsidRPr="00730DE4" w:rsidRDefault="00FA2FF9" w:rsidP="002B7001">
      <w:pPr>
        <w:pStyle w:val="Heading4"/>
      </w:pPr>
      <w:bookmarkStart w:id="724" w:name="_Toc180487466"/>
      <w:bookmarkStart w:id="725" w:name="_Toc180490672"/>
      <w:bookmarkStart w:id="726" w:name="_Toc180491705"/>
      <w:r w:rsidRPr="00730DE4">
        <w:t>Bruce Highway, Anzac Avenue to Caboolture–Bribie Island Road planning</w:t>
      </w:r>
      <w:bookmarkEnd w:id="724"/>
      <w:bookmarkEnd w:id="725"/>
      <w:bookmarkEnd w:id="726"/>
    </w:p>
    <w:p w14:paraId="52430F49" w14:textId="77777777" w:rsidR="00FA2FF9" w:rsidRPr="00730DE4" w:rsidRDefault="00FA2FF9" w:rsidP="00BD04FA">
      <w:r w:rsidRPr="00730DE4">
        <w:t>Planning is underway for staged improvements to the Bruce Highway. The planning will confirm the preferred solutions for upgrades between North Lakes and Caboolture to meet future traffic growth, reduce congestion, and improve reliability, safety, and flood immunity.</w:t>
      </w:r>
    </w:p>
    <w:p w14:paraId="71AE394F" w14:textId="77777777" w:rsidR="00FA2FF9" w:rsidRPr="00730DE4" w:rsidRDefault="00FA2FF9" w:rsidP="00BD04FA">
      <w:r w:rsidRPr="00730DE4">
        <w:t>Between Anzac Avenue and Uhlmann Road, the existing median will be used to provide additional lanes in each direction.</w:t>
      </w:r>
    </w:p>
    <w:p w14:paraId="43D98B14" w14:textId="77777777" w:rsidR="00FA2FF9" w:rsidRPr="00730DE4" w:rsidRDefault="00FA2FF9" w:rsidP="00BD04FA">
      <w:r w:rsidRPr="00730DE4">
        <w:t>Options are being investigated to either add lanes; or add one-way, two-lane collector-distributor roads on both sides of the existing Bruce Highway between Uhlmann and Caboolture–Bribie Island roads.</w:t>
      </w:r>
    </w:p>
    <w:p w14:paraId="0BB95004" w14:textId="77777777" w:rsidR="00FA2FF9" w:rsidRPr="00730DE4" w:rsidRDefault="00FA2FF9" w:rsidP="00BD04FA">
      <w:r w:rsidRPr="00730DE4">
        <w:t>Planning includes interchange upgrades to Uhlmann, Buchanan, and Caboolture–Bribie Island roads, along with active transport provisions connected to local networks.</w:t>
      </w:r>
    </w:p>
    <w:p w14:paraId="318EC3EE" w14:textId="77777777" w:rsidR="00EA1647" w:rsidRDefault="00EA1647" w:rsidP="00BD04FA">
      <w:r>
        <w:br w:type="page"/>
      </w:r>
    </w:p>
    <w:p w14:paraId="5F3F6372" w14:textId="1D0A5C97" w:rsidR="00FA2FF9" w:rsidRPr="00730DE4" w:rsidRDefault="00FA2FF9" w:rsidP="00BD04FA">
      <w:r w:rsidRPr="00730DE4">
        <w:t>Planning is expected to be completed in 2025.</w:t>
      </w:r>
    </w:p>
    <w:p w14:paraId="1DD6FCE2" w14:textId="77777777" w:rsidR="00FA2FF9" w:rsidRPr="00730DE4" w:rsidRDefault="00FA2FF9" w:rsidP="00BD04FA">
      <w:r w:rsidRPr="00730DE4">
        <w:t>These $34 million planning projects are jointly funded by the Australian and Queensland governments.</w:t>
      </w:r>
    </w:p>
    <w:p w14:paraId="5BB0363A" w14:textId="77777777" w:rsidR="00FA2FF9" w:rsidRPr="00730DE4" w:rsidRDefault="00FA2FF9" w:rsidP="00BD04FA">
      <w:pPr>
        <w:pStyle w:val="MessageHeader"/>
      </w:pPr>
      <w:r w:rsidRPr="00730DE4">
        <w:t xml:space="preserve">For more information </w:t>
      </w:r>
      <w:r w:rsidRPr="00730DE4">
        <w:br/>
      </w:r>
      <w:hyperlink r:id="rId78" w:history="1">
        <w:r w:rsidRPr="00730DE4">
          <w:rPr>
            <w:rStyle w:val="Hyperlink"/>
          </w:rPr>
          <w:t>https://www.tmr.qld.gov.au/projects/programs/Bruce-Highway-Upgrade-Anzac-Avenue-to-Caboolture-Bribie-Island-Road</w:t>
        </w:r>
      </w:hyperlink>
    </w:p>
    <w:p w14:paraId="121D3DE4" w14:textId="77777777" w:rsidR="00FA2FF9" w:rsidRPr="00730DE4" w:rsidRDefault="00FA2FF9" w:rsidP="002B7001">
      <w:pPr>
        <w:pStyle w:val="Heading4"/>
      </w:pPr>
      <w:bookmarkStart w:id="727" w:name="_Toc180487467"/>
      <w:bookmarkStart w:id="728" w:name="_Toc180490673"/>
      <w:bookmarkStart w:id="729" w:name="_Toc180491706"/>
      <w:r w:rsidRPr="00730DE4">
        <w:t>Sunshine Coast Public Transport, business case</w:t>
      </w:r>
      <w:bookmarkEnd w:id="727"/>
      <w:bookmarkEnd w:id="728"/>
      <w:bookmarkEnd w:id="729"/>
    </w:p>
    <w:p w14:paraId="06DC201C" w14:textId="77777777" w:rsidR="00FA2FF9" w:rsidRPr="00730DE4" w:rsidRDefault="00FA2FF9" w:rsidP="00BD04FA">
      <w:r w:rsidRPr="00730DE4">
        <w:t>A detailed business case is underway for an enhanced public transport connection between Maroochydore and the Sunshine Coast University Hospital at Birtinya (Stage One), with a possible extension to Caloundra.</w:t>
      </w:r>
    </w:p>
    <w:p w14:paraId="45C88233" w14:textId="77777777" w:rsidR="00FA2FF9" w:rsidRPr="00730DE4" w:rsidRDefault="00FA2FF9" w:rsidP="00BD04FA">
      <w:r w:rsidRPr="00730DE4">
        <w:t>The business case process involves assessing potential transport modes and investigating all components of the project. This will assist in understanding and demonstrating the economic, social, environmental, and financial viability of the project to deliver an integrated transport solution.</w:t>
      </w:r>
    </w:p>
    <w:p w14:paraId="3837C8ED" w14:textId="77777777" w:rsidR="00FA2FF9" w:rsidRPr="00730DE4" w:rsidRDefault="00FA2FF9" w:rsidP="00BD04FA">
      <w:r w:rsidRPr="00730DE4">
        <w:t>This work builds on the Sunshine Coast Mass Transit Project undertaken by the Sunshine Coast Council. The council's Mass Transit Options Analysis, endorsed in October 2021, compared five options including bus rapid transit, light rail, wireless light rail, trackless tram, and a quality bus corridor.</w:t>
      </w:r>
    </w:p>
    <w:p w14:paraId="4F24033D" w14:textId="77777777" w:rsidR="00FA2FF9" w:rsidRPr="00730DE4" w:rsidRDefault="00FA2FF9" w:rsidP="00BD04FA">
      <w:r w:rsidRPr="00730DE4">
        <w:t>In December 2023, 'bus rapid transit' was announced as the preferred vehicle option for the Sunshine Coast Public Transport project.</w:t>
      </w:r>
    </w:p>
    <w:p w14:paraId="339D1E84" w14:textId="77777777" w:rsidR="00FA2FF9" w:rsidRPr="00730DE4" w:rsidRDefault="00FA2FF9" w:rsidP="00BD04FA">
      <w:r w:rsidRPr="00730DE4">
        <w:t>The $16.5 million project business case is jointly funded by the Australian Government, the Queensland Government, and Sunshine Coast Council.</w:t>
      </w:r>
    </w:p>
    <w:p w14:paraId="2DA88240" w14:textId="77777777" w:rsidR="00FA2FF9" w:rsidRPr="00730DE4" w:rsidRDefault="00FA2FF9" w:rsidP="00BD04FA">
      <w:pPr>
        <w:pStyle w:val="MessageHeader"/>
      </w:pPr>
      <w:r w:rsidRPr="00730DE4">
        <w:t xml:space="preserve">For more information </w:t>
      </w:r>
      <w:r w:rsidRPr="00730DE4">
        <w:br/>
      </w:r>
      <w:hyperlink r:id="rId79" w:history="1">
        <w:r w:rsidRPr="00730DE4">
          <w:rPr>
            <w:rStyle w:val="Hyperlink"/>
          </w:rPr>
          <w:t>https://www.tmr.qld.gov.au/sunshinecoastpublictransport</w:t>
        </w:r>
      </w:hyperlink>
    </w:p>
    <w:p w14:paraId="74976EFD" w14:textId="77777777" w:rsidR="00EA1647" w:rsidRDefault="00EA1647" w:rsidP="002B7001">
      <w:pPr>
        <w:pStyle w:val="Heading4"/>
      </w:pPr>
      <w:bookmarkStart w:id="730" w:name="_Hlk173148771"/>
      <w:r>
        <w:br w:type="page"/>
      </w:r>
    </w:p>
    <w:p w14:paraId="349991FD" w14:textId="78872B5C" w:rsidR="00FA2FF9" w:rsidRPr="00730DE4" w:rsidRDefault="00FA2FF9" w:rsidP="002B7001">
      <w:pPr>
        <w:pStyle w:val="Heading4"/>
      </w:pPr>
      <w:bookmarkStart w:id="731" w:name="_Toc180487468"/>
      <w:bookmarkStart w:id="732" w:name="_Toc180490674"/>
      <w:bookmarkStart w:id="733" w:name="_Toc180491707"/>
      <w:r w:rsidRPr="00730DE4">
        <w:t>North Brisbane Bruce Highway Western Alternative planning project</w:t>
      </w:r>
      <w:bookmarkEnd w:id="731"/>
      <w:bookmarkEnd w:id="732"/>
      <w:bookmarkEnd w:id="733"/>
    </w:p>
    <w:p w14:paraId="02826E5B" w14:textId="77777777" w:rsidR="00FA2FF9" w:rsidRPr="00730DE4" w:rsidRDefault="00FA2FF9" w:rsidP="00BD04FA">
      <w:r w:rsidRPr="00730DE4">
        <w:t>TMR is reserving land for a new transport corridor from north Brisbane to Beerburrum. The reserved land will accommodate the Moreton Motorway connecting new and existing communities, with future town centres to be planned around future transport infrastructure.</w:t>
      </w:r>
    </w:p>
    <w:p w14:paraId="60D04B8F" w14:textId="77777777" w:rsidR="00FA2FF9" w:rsidRPr="00730DE4" w:rsidRDefault="00FA2FF9" w:rsidP="00BD04FA">
      <w:r w:rsidRPr="00730DE4">
        <w:t>Feedback from local governments, other state government agencies, and the community is shaping the planning, which is progressing in four stages.</w:t>
      </w:r>
    </w:p>
    <w:p w14:paraId="31EF9720" w14:textId="77777777" w:rsidR="00FA2FF9" w:rsidRPr="00730DE4" w:rsidRDefault="00FA2FF9" w:rsidP="00BD04FA">
      <w:r w:rsidRPr="00730DE4">
        <w:t>Early planning for stages one and two between Narangba and Moodlu is complete. The next priority is to complete early planning for Stage Four between Moodlu and Beerburrum, followed by early planning for Stage three between Bald Hills and Narangba.</w:t>
      </w:r>
    </w:p>
    <w:p w14:paraId="4F857FDD" w14:textId="77777777" w:rsidR="00FA2FF9" w:rsidRPr="00730DE4" w:rsidRDefault="00FA2FF9" w:rsidP="00BD04FA">
      <w:r w:rsidRPr="00730DE4">
        <w:t>The Moreton Motorway will reduce travel time and improve transport network reliability and resilience. It will preserve the Bruce Highway’s important role as part of the National Land Transport Network, and support future economic growth and major expansion areas identified in the South East Queensland Regional Plan.</w:t>
      </w:r>
    </w:p>
    <w:p w14:paraId="4F8727F0" w14:textId="77777777" w:rsidR="00FA2FF9" w:rsidRPr="00730DE4" w:rsidRDefault="00FA2FF9" w:rsidP="00BD04FA">
      <w:r w:rsidRPr="00730DE4">
        <w:t>This $20 million project study is part of a package of works jointly funded by the Australian and Queensland governments.</w:t>
      </w:r>
    </w:p>
    <w:p w14:paraId="0F13F62F" w14:textId="77777777" w:rsidR="00FA2FF9" w:rsidRPr="00730DE4" w:rsidRDefault="00FA2FF9" w:rsidP="00BD04FA">
      <w:pPr>
        <w:pStyle w:val="MessageHeader"/>
      </w:pPr>
      <w:r w:rsidRPr="00730DE4">
        <w:t xml:space="preserve">For more information </w:t>
      </w:r>
      <w:r w:rsidRPr="00730DE4">
        <w:br/>
      </w:r>
      <w:hyperlink r:id="rId80" w:history="1">
        <w:r w:rsidRPr="00730DE4">
          <w:rPr>
            <w:rStyle w:val="Hyperlink"/>
          </w:rPr>
          <w:t>https://www.tmr.qld.gov.au/projects/north-brisbane-bruce-highway-western-alternative-planning</w:t>
        </w:r>
      </w:hyperlink>
    </w:p>
    <w:p w14:paraId="0BD8344E" w14:textId="77777777" w:rsidR="00FA2FF9" w:rsidRPr="00730DE4" w:rsidRDefault="00FA2FF9" w:rsidP="002B7001">
      <w:pPr>
        <w:pStyle w:val="Heading4"/>
      </w:pPr>
      <w:bookmarkStart w:id="734" w:name="_Toc180487469"/>
      <w:bookmarkStart w:id="735" w:name="_Toc180490675"/>
      <w:bookmarkStart w:id="736" w:name="_Toc180491708"/>
      <w:bookmarkEnd w:id="730"/>
      <w:r w:rsidRPr="00730DE4">
        <w:t>Clontarf—Anzac Avenue (Elizabeth Avenue), construct active transport overpass</w:t>
      </w:r>
      <w:bookmarkEnd w:id="734"/>
      <w:bookmarkEnd w:id="735"/>
      <w:bookmarkEnd w:id="736"/>
    </w:p>
    <w:p w14:paraId="005B55E7" w14:textId="77777777" w:rsidR="00FA2FF9" w:rsidRPr="00730DE4" w:rsidRDefault="00FA2FF9" w:rsidP="00BD04FA">
      <w:r w:rsidRPr="00730DE4">
        <w:t>The construction of a new pedestrian overpass over Elizabeth Avenue was completed in February 2024, providing a safe crossing facility between the Clontarf Beach State High School main campus and the adjacent Department of Education's sports field.</w:t>
      </w:r>
    </w:p>
    <w:p w14:paraId="4AFB2FEC" w14:textId="77777777" w:rsidR="00FA2FF9" w:rsidRPr="00730DE4" w:rsidRDefault="00FA2FF9" w:rsidP="00BD04FA">
      <w:r w:rsidRPr="00730DE4">
        <w:t>With the highest level of student protection, it effectively eliminates potential conflicts between vehicles and students. The school campuses, divided by a busy four-lane, high-speed road, are now seamlessly connected by this overpass.</w:t>
      </w:r>
    </w:p>
    <w:p w14:paraId="216A42A2" w14:textId="77777777" w:rsidR="00FA2FF9" w:rsidRPr="00730DE4" w:rsidRDefault="00FA2FF9" w:rsidP="00BD04FA">
      <w:r w:rsidRPr="00730DE4">
        <w:t>Pedestrians, including the elderly and those with limited mobility, and bike riders and mobility device users, can now move more safely using the overpass. This improvement benefits both school students and the community.</w:t>
      </w:r>
    </w:p>
    <w:p w14:paraId="048B172C" w14:textId="77777777" w:rsidR="00FA2FF9" w:rsidRPr="00730DE4" w:rsidRDefault="00FA2FF9" w:rsidP="00BD04FA">
      <w:r w:rsidRPr="00730DE4">
        <w:t>Additionally, TMR implemented significant fauna safety measures, including the installation of fauna fencing to enhance conditions for Hays Inlet koalas and prevent native wildlife from accessing the road, making it a comprehensive project.</w:t>
      </w:r>
    </w:p>
    <w:p w14:paraId="6704B00D" w14:textId="77777777" w:rsidR="00FA2FF9" w:rsidRPr="00730DE4" w:rsidRDefault="00FA2FF9" w:rsidP="00BD04FA">
      <w:r w:rsidRPr="00730DE4">
        <w:t>This project was jointly funded by the Australian and Queensland governments.</w:t>
      </w:r>
    </w:p>
    <w:p w14:paraId="39E2BDFC" w14:textId="77777777" w:rsidR="00FA2FF9" w:rsidRPr="00730DE4" w:rsidRDefault="00FA2FF9" w:rsidP="00BD04FA">
      <w:pPr>
        <w:pStyle w:val="MessageHeader"/>
      </w:pPr>
      <w:r w:rsidRPr="00730DE4">
        <w:t xml:space="preserve">For more information </w:t>
      </w:r>
      <w:r w:rsidRPr="00730DE4">
        <w:br/>
      </w:r>
      <w:hyperlink r:id="rId81" w:history="1">
        <w:r w:rsidRPr="00730DE4">
          <w:rPr>
            <w:rStyle w:val="Hyperlink"/>
          </w:rPr>
          <w:t>https://www.tmr.qld.gov.au/projects/elizabeth-avenue-clontarf-construct-active-transport-overpass</w:t>
        </w:r>
      </w:hyperlink>
    </w:p>
    <w:p w14:paraId="4A9F4F87" w14:textId="77777777" w:rsidR="00FA2FF9" w:rsidRPr="00730DE4" w:rsidRDefault="00FA2FF9" w:rsidP="002B7001">
      <w:pPr>
        <w:pStyle w:val="Heading4"/>
      </w:pPr>
      <w:bookmarkStart w:id="737" w:name="_Toc180487470"/>
      <w:bookmarkStart w:id="738" w:name="_Toc180490676"/>
      <w:bookmarkStart w:id="739" w:name="_Toc180491709"/>
      <w:bookmarkStart w:id="740" w:name="_Hlk173148812"/>
      <w:r w:rsidRPr="00730DE4">
        <w:t>Case study: Bribie Island bridge planning</w:t>
      </w:r>
      <w:bookmarkEnd w:id="737"/>
      <w:bookmarkEnd w:id="738"/>
      <w:bookmarkEnd w:id="739"/>
    </w:p>
    <w:p w14:paraId="5CBAC5DC" w14:textId="77777777" w:rsidR="00FA2FF9" w:rsidRPr="00730DE4" w:rsidRDefault="00FA2FF9" w:rsidP="00F25AFE">
      <w:r w:rsidRPr="00730DE4">
        <w:t>The proposed concept design for a new bridge to Bribie Island was released in January 2024 for community feedback. The future of the existing bridge is also being considered.</w:t>
      </w:r>
    </w:p>
    <w:p w14:paraId="04455E45" w14:textId="77777777" w:rsidR="00FA2FF9" w:rsidRPr="00730DE4" w:rsidRDefault="00FA2FF9" w:rsidP="00F25AFE">
      <w:r w:rsidRPr="00730DE4">
        <w:t>The proposed concept design, informed by technical investigations and community consultation, outlines a new bridge featuring two eastbound traffic lanes and a dedicated active transport path for bike riders, pedestrians, and mobility devices.</w:t>
      </w:r>
    </w:p>
    <w:p w14:paraId="743E2C45" w14:textId="77777777" w:rsidR="00FA2FF9" w:rsidRPr="00730DE4" w:rsidRDefault="00FA2FF9" w:rsidP="00F25AFE">
      <w:r w:rsidRPr="00730DE4">
        <w:t>A detailed assessment found the existing bridge can continue carrying traffic for the foreseeable future. The concept design proposes to fully utilise the existing bridge as a traffic asset by using it for two westbound traffic lanes.</w:t>
      </w:r>
    </w:p>
    <w:p w14:paraId="10353D8B" w14:textId="77777777" w:rsidR="00FA2FF9" w:rsidRPr="00730DE4" w:rsidRDefault="00FA2FF9" w:rsidP="00F25AFE">
      <w:r w:rsidRPr="00730DE4">
        <w:t>The proposal includes widening Caboolture–Bribie Island Road to four lanes between Bestmann Road East and Benabrow Avenue, and realigning the Sylvan Beach Esplanade intersection.</w:t>
      </w:r>
    </w:p>
    <w:p w14:paraId="6586B551" w14:textId="77777777" w:rsidR="00FA2FF9" w:rsidRPr="00730DE4" w:rsidRDefault="00FA2FF9" w:rsidP="00F25AFE">
      <w:r w:rsidRPr="00730DE4">
        <w:t>The concept design is a sustainable, flexible, and cost-effective solution and aligns with the future vision of four lanes on Caboolture–Bribie Island Road.</w:t>
      </w:r>
    </w:p>
    <w:p w14:paraId="7BE6CAA0" w14:textId="77777777" w:rsidR="00FA2FF9" w:rsidRPr="00730DE4" w:rsidRDefault="00FA2FF9" w:rsidP="00F25AFE">
      <w:r w:rsidRPr="00730DE4">
        <w:t>This $5.232 million planning project is fully funded by the Queensland Government.</w:t>
      </w:r>
    </w:p>
    <w:p w14:paraId="5FF85309" w14:textId="77777777" w:rsidR="00FA2FF9" w:rsidRPr="00730DE4" w:rsidRDefault="00FA2FF9" w:rsidP="00F25AFE">
      <w:pPr>
        <w:pStyle w:val="MessageHeader"/>
      </w:pPr>
      <w:r w:rsidRPr="00730DE4">
        <w:t xml:space="preserve">For more information </w:t>
      </w:r>
      <w:r w:rsidRPr="00730DE4">
        <w:br/>
      </w:r>
      <w:hyperlink r:id="rId82" w:history="1">
        <w:r w:rsidRPr="00730DE4">
          <w:rPr>
            <w:rStyle w:val="Hyperlink"/>
          </w:rPr>
          <w:t>https://www.tmr.qld.gov.au/projects/caboolture-bribie-island-road-bribie-island-bridge-planning</w:t>
        </w:r>
      </w:hyperlink>
    </w:p>
    <w:bookmarkEnd w:id="740"/>
    <w:p w14:paraId="3B18C7E8" w14:textId="77777777" w:rsidR="00EA1647" w:rsidRDefault="00EA1647" w:rsidP="002B7001">
      <w:pPr>
        <w:pStyle w:val="Heading4"/>
      </w:pPr>
      <w:r>
        <w:br w:type="page"/>
      </w:r>
    </w:p>
    <w:p w14:paraId="5496644C" w14:textId="75B4FB47" w:rsidR="00FA2FF9" w:rsidRPr="00730DE4" w:rsidRDefault="00FA2FF9" w:rsidP="002B7001">
      <w:pPr>
        <w:pStyle w:val="Heading4"/>
      </w:pPr>
      <w:bookmarkStart w:id="741" w:name="_Toc180487471"/>
      <w:bookmarkStart w:id="742" w:name="_Toc180490677"/>
      <w:bookmarkStart w:id="743" w:name="_Toc180491710"/>
      <w:r w:rsidRPr="00730DE4">
        <w:t>Strathpine–Samford Road (Eatons Crossing Road and Mount Samson Road), improve intersection and route safety</w:t>
      </w:r>
      <w:bookmarkEnd w:id="741"/>
      <w:bookmarkEnd w:id="742"/>
      <w:bookmarkEnd w:id="743"/>
    </w:p>
    <w:p w14:paraId="2892A442" w14:textId="77777777" w:rsidR="00FA2FF9" w:rsidRPr="00730DE4" w:rsidRDefault="00FA2FF9" w:rsidP="005F7EAC">
      <w:r w:rsidRPr="00730DE4">
        <w:t>Construction commenced in August 2023 for safety improvements on Strathpine–Samford Road between Eatons Hill and Samford Valley.</w:t>
      </w:r>
    </w:p>
    <w:p w14:paraId="1CB439FE" w14:textId="77777777" w:rsidR="00FA2FF9" w:rsidRPr="00730DE4" w:rsidRDefault="00FA2FF9" w:rsidP="005F7EAC">
      <w:r w:rsidRPr="00730DE4">
        <w:t>A route safety study of the full length of Strathpine–Samford Road, finalised in late-2019, recommended a number of safety treatments to form the Strathpine–Samford Road Route Safety Project.</w:t>
      </w:r>
    </w:p>
    <w:p w14:paraId="492179B9" w14:textId="77777777" w:rsidR="00FA2FF9" w:rsidRPr="00730DE4" w:rsidRDefault="00FA2FF9" w:rsidP="005F7EAC">
      <w:r w:rsidRPr="00730DE4">
        <w:t>The project includes an upgrade to the intersection of Eatons Crossing Road and Lilley Road to a signal-controlled intersection, as well as safety improvements to a number of other intersections along the corridor.</w:t>
      </w:r>
    </w:p>
    <w:p w14:paraId="24478DBE" w14:textId="77777777" w:rsidR="00FA2FF9" w:rsidRPr="00730DE4" w:rsidRDefault="00FA2FF9" w:rsidP="005F7EAC">
      <w:r w:rsidRPr="00730DE4">
        <w:t>The project aims to improve safety, increase traffic flow, provide better active transport, and improve network efficiency. Key safety improvements to be constructed include:</w:t>
      </w:r>
    </w:p>
    <w:p w14:paraId="68157C33" w14:textId="77777777" w:rsidR="00FA2FF9" w:rsidRPr="00730DE4" w:rsidRDefault="00FA2FF9" w:rsidP="005F7EAC">
      <w:pPr>
        <w:pStyle w:val="ListBullet"/>
      </w:pPr>
      <w:r w:rsidRPr="00730DE4">
        <w:t>installing a wide centre line treatment</w:t>
      </w:r>
    </w:p>
    <w:p w14:paraId="1B4AA9FD" w14:textId="77777777" w:rsidR="00FA2FF9" w:rsidRPr="00730DE4" w:rsidRDefault="00FA2FF9" w:rsidP="005F7EAC">
      <w:pPr>
        <w:pStyle w:val="ListBullet"/>
      </w:pPr>
      <w:r w:rsidRPr="00730DE4">
        <w:t>shoulder widening</w:t>
      </w:r>
    </w:p>
    <w:p w14:paraId="1A68133F" w14:textId="77777777" w:rsidR="00FA2FF9" w:rsidRPr="00730DE4" w:rsidRDefault="00FA2FF9" w:rsidP="005F7EAC">
      <w:pPr>
        <w:pStyle w:val="ListBullet"/>
      </w:pPr>
      <w:r w:rsidRPr="00730DE4">
        <w:t>providing safety barriers</w:t>
      </w:r>
    </w:p>
    <w:p w14:paraId="25B7248A" w14:textId="77777777" w:rsidR="00FA2FF9" w:rsidRPr="00730DE4" w:rsidRDefault="00FA2FF9" w:rsidP="005F7EAC">
      <w:pPr>
        <w:pStyle w:val="ListBullet"/>
      </w:pPr>
      <w:r w:rsidRPr="00730DE4">
        <w:t>widening of the road at specific locations</w:t>
      </w:r>
    </w:p>
    <w:p w14:paraId="7E019500" w14:textId="77777777" w:rsidR="00FA2FF9" w:rsidRPr="00730DE4" w:rsidRDefault="00FA2FF9" w:rsidP="005F7EAC">
      <w:pPr>
        <w:pStyle w:val="ListBullet"/>
      </w:pPr>
      <w:r w:rsidRPr="00730DE4">
        <w:t>modifications of several intersections</w:t>
      </w:r>
    </w:p>
    <w:p w14:paraId="1DBE1D29" w14:textId="77777777" w:rsidR="00FA2FF9" w:rsidRPr="00730DE4" w:rsidRDefault="00FA2FF9" w:rsidP="005F7EAC">
      <w:pPr>
        <w:pStyle w:val="ListBullet"/>
      </w:pPr>
      <w:r w:rsidRPr="00730DE4">
        <w:t xml:space="preserve">improved bike rider safety with two-metre wide shoulders </w:t>
      </w:r>
    </w:p>
    <w:p w14:paraId="217160A0" w14:textId="77777777" w:rsidR="00FA2FF9" w:rsidRPr="00730DE4" w:rsidRDefault="00FA2FF9" w:rsidP="005F7EAC">
      <w:pPr>
        <w:pStyle w:val="ListBullet"/>
      </w:pPr>
      <w:r w:rsidRPr="00730DE4">
        <w:t>provision of new police enforcement bays at identified locations.</w:t>
      </w:r>
    </w:p>
    <w:p w14:paraId="15948C7B" w14:textId="77777777" w:rsidR="00FA2FF9" w:rsidRPr="00730DE4" w:rsidRDefault="00FA2FF9" w:rsidP="005F7EAC">
      <w:r w:rsidRPr="00730DE4">
        <w:t>This $75.2 million project is fully funded by the Queensland Government under the Targeted Road Safety Program.</w:t>
      </w:r>
    </w:p>
    <w:p w14:paraId="7EDE008E" w14:textId="77777777" w:rsidR="00FA2FF9" w:rsidRPr="00730DE4" w:rsidRDefault="00FA2FF9" w:rsidP="005F7EAC">
      <w:pPr>
        <w:pStyle w:val="MessageHeader"/>
      </w:pPr>
      <w:r w:rsidRPr="00730DE4">
        <w:t xml:space="preserve">For more information </w:t>
      </w:r>
      <w:r w:rsidRPr="00730DE4">
        <w:br/>
      </w:r>
      <w:hyperlink r:id="rId83" w:history="1">
        <w:r w:rsidRPr="00730DE4">
          <w:rPr>
            <w:rStyle w:val="Hyperlink"/>
          </w:rPr>
          <w:t>www.tmr.qld.gov.au/projects/strathpine-samford-road-eatons-crossing-road-and-mount-samson-road-improve-intersection</w:t>
        </w:r>
      </w:hyperlink>
    </w:p>
    <w:p w14:paraId="25C8386E" w14:textId="77777777" w:rsidR="00FA2FF9" w:rsidRPr="00730DE4" w:rsidRDefault="00FA2FF9" w:rsidP="002B7001">
      <w:pPr>
        <w:pStyle w:val="Heading4"/>
      </w:pPr>
      <w:bookmarkStart w:id="744" w:name="_Toc180487472"/>
      <w:bookmarkStart w:id="745" w:name="_Toc180490678"/>
      <w:bookmarkStart w:id="746" w:name="_Toc180491711"/>
      <w:bookmarkStart w:id="747" w:name="_Hlk173148799"/>
      <w:r w:rsidRPr="00730DE4">
        <w:t>Kin Kin Road, Six Mile Creek: replace timber bridge</w:t>
      </w:r>
      <w:bookmarkEnd w:id="744"/>
      <w:bookmarkEnd w:id="745"/>
      <w:bookmarkEnd w:id="746"/>
    </w:p>
    <w:p w14:paraId="0D299CB8" w14:textId="77777777" w:rsidR="00FA2FF9" w:rsidRPr="00730DE4" w:rsidRDefault="00FA2FF9" w:rsidP="00BD04FA">
      <w:r w:rsidRPr="00730DE4">
        <w:t>Construction was completed on the Six Mile Creek Bridge replacement project on Kin Kin Road, Pomona in April 2024. The new bridge was fully opened to traffic in late-2023, with finishing works continuing until April 2024.</w:t>
      </w:r>
    </w:p>
    <w:p w14:paraId="106E00A2" w14:textId="77777777" w:rsidR="00FA2FF9" w:rsidRPr="00730DE4" w:rsidRDefault="00FA2FF9" w:rsidP="00BD04FA">
      <w:r w:rsidRPr="00730DE4">
        <w:t>The project significantly improved safety, network efficiency, traffic flow, and flood immunity of this section of Kin Kin Road.</w:t>
      </w:r>
    </w:p>
    <w:p w14:paraId="671B0CC2" w14:textId="77777777" w:rsidR="00FA2FF9" w:rsidRPr="00730DE4" w:rsidRDefault="00FA2FF9" w:rsidP="00BD04FA">
      <w:r w:rsidRPr="00730DE4">
        <w:t>The new concrete bridge structure replaced the original timber bridge over Six Mile Creek and has a wider bridge deck allowing for two traffic lanes and wider shoulders to improve accessibility for active transport users. It will withstand more significant flood events, reducing the frequency and duration of closures.</w:t>
      </w:r>
    </w:p>
    <w:p w14:paraId="13C55A60" w14:textId="77777777" w:rsidR="00FA2FF9" w:rsidRPr="00730DE4" w:rsidRDefault="00FA2FF9" w:rsidP="00BD04FA">
      <w:r w:rsidRPr="00730DE4">
        <w:t>The old single-lane timber structure was built in 1934 and was decommissioned in mid-November 2023 with 80 per cent of the recyclable timber salvaged, to be re-used to repair existing timber bridges on the state-controlled network.</w:t>
      </w:r>
    </w:p>
    <w:p w14:paraId="1528DDEF" w14:textId="77777777" w:rsidR="00FA2FF9" w:rsidRPr="00730DE4" w:rsidRDefault="00FA2FF9" w:rsidP="00BD04FA">
      <w:r w:rsidRPr="00730DE4">
        <w:t>This project was fully funded by the Queensland Government.</w:t>
      </w:r>
    </w:p>
    <w:p w14:paraId="5BD6D11F" w14:textId="77777777" w:rsidR="00FA2FF9" w:rsidRPr="00730DE4" w:rsidRDefault="00FA2FF9" w:rsidP="00BD04FA">
      <w:pPr>
        <w:pStyle w:val="MessageHeader"/>
      </w:pPr>
      <w:r w:rsidRPr="00730DE4">
        <w:t xml:space="preserve">For more information </w:t>
      </w:r>
      <w:r w:rsidRPr="00730DE4">
        <w:br/>
      </w:r>
      <w:hyperlink r:id="rId84" w:history="1">
        <w:r w:rsidRPr="00730DE4">
          <w:rPr>
            <w:rStyle w:val="Hyperlink"/>
          </w:rPr>
          <w:t>https://www.tmr.qld.gov.au/projects/kin-kin-road-six-mile-creek-replace-timber-bridge</w:t>
        </w:r>
      </w:hyperlink>
    </w:p>
    <w:p w14:paraId="5B216E0C" w14:textId="77777777" w:rsidR="00FA2FF9" w:rsidRPr="00730DE4" w:rsidRDefault="00FA2FF9" w:rsidP="002B7001">
      <w:pPr>
        <w:pStyle w:val="Heading4"/>
      </w:pPr>
      <w:bookmarkStart w:id="748" w:name="_Toc180487473"/>
      <w:bookmarkStart w:id="749" w:name="_Toc180490679"/>
      <w:bookmarkStart w:id="750" w:name="_Toc180491712"/>
      <w:bookmarkEnd w:id="747"/>
      <w:r w:rsidRPr="00730DE4">
        <w:t>Beerburrum to Nambour Rail Upgrade</w:t>
      </w:r>
      <w:bookmarkEnd w:id="748"/>
      <w:bookmarkEnd w:id="749"/>
      <w:bookmarkEnd w:id="750"/>
    </w:p>
    <w:p w14:paraId="2C87AFC2" w14:textId="77777777" w:rsidR="00FA2FF9" w:rsidRPr="00730DE4" w:rsidRDefault="00FA2FF9" w:rsidP="00BD04FA">
      <w:r w:rsidRPr="00730DE4">
        <w:t>The Beerburrum to Nambour (B2N) Rail Upgrade will provide additional capacity on the North Coast Line to ensure freight trains and passenger trains have enough space to pass each other, delivering greater efficiency and reliability.</w:t>
      </w:r>
    </w:p>
    <w:p w14:paraId="6C6E6071" w14:textId="77777777" w:rsidR="00FA2FF9" w:rsidRPr="00730DE4" w:rsidRDefault="00FA2FF9" w:rsidP="00BD04FA">
      <w:r w:rsidRPr="00730DE4">
        <w:t>Stage One will involve the duplication of the North Coast Line between Beerburrum and Beerwah, address level crossings, expand park 'n' ride facilities, and construct a new bus interchange on the eastern side of Landsborough station.</w:t>
      </w:r>
    </w:p>
    <w:p w14:paraId="6176CD61" w14:textId="77777777" w:rsidR="00FA2FF9" w:rsidRPr="00730DE4" w:rsidRDefault="00FA2FF9" w:rsidP="00BD04FA">
      <w:r w:rsidRPr="00730DE4">
        <w:t>Early works for the project were completed in August 2023. Works expanded the park 'n' ride facilities at Nambour (50 spaces) and Landsborough (300 spaces), constructed the new Landsborough bus interchange, and realigned a one-kilometre section of Steve Irwin Way to make way for the duplicated rail line.</w:t>
      </w:r>
    </w:p>
    <w:p w14:paraId="25B1E5AC" w14:textId="77777777" w:rsidR="00FA2FF9" w:rsidRPr="00730DE4" w:rsidRDefault="00FA2FF9" w:rsidP="00BD04FA">
      <w:r w:rsidRPr="00730DE4">
        <w:t>Preconstruction and design activities are currently underway with construction expected to be completed in 2027, weather and construction conditions permitting.</w:t>
      </w:r>
    </w:p>
    <w:p w14:paraId="34C4AC62" w14:textId="77777777" w:rsidR="00FA2FF9" w:rsidRPr="00730DE4" w:rsidRDefault="00FA2FF9" w:rsidP="00BD04FA">
      <w:r w:rsidRPr="00730DE4">
        <w:t>The total $1.004 billion Stage One of this project is jointly funded by the Australian and Queensland governments.</w:t>
      </w:r>
    </w:p>
    <w:p w14:paraId="78160E94" w14:textId="77777777" w:rsidR="00FA2FF9" w:rsidRPr="00730DE4" w:rsidRDefault="00FA2FF9" w:rsidP="00BD04FA">
      <w:pPr>
        <w:pStyle w:val="MessageHeader"/>
      </w:pPr>
      <w:r w:rsidRPr="00730DE4">
        <w:t xml:space="preserve">For more information </w:t>
      </w:r>
      <w:r w:rsidRPr="00730DE4">
        <w:br/>
      </w:r>
      <w:hyperlink r:id="rId85" w:history="1">
        <w:r w:rsidRPr="00730DE4">
          <w:rPr>
            <w:rStyle w:val="Hyperlink"/>
          </w:rPr>
          <w:t>https://www.tmr.qld.gov.au/projects/beerburrum-to-nambour-rail-upgrade-stage-1</w:t>
        </w:r>
      </w:hyperlink>
    </w:p>
    <w:p w14:paraId="0A2BAF63" w14:textId="77777777" w:rsidR="00B13631" w:rsidRPr="00730DE4" w:rsidRDefault="00B13631">
      <w:pPr>
        <w:suppressAutoHyphens w:val="0"/>
        <w:spacing w:before="0" w:line="259" w:lineRule="auto"/>
        <w:rPr>
          <w:rFonts w:eastAsiaTheme="majorEastAsia" w:cstheme="majorBidi"/>
          <w:color w:val="080C0F" w:themeColor="text1"/>
          <w:sz w:val="44"/>
          <w:szCs w:val="28"/>
        </w:rPr>
      </w:pPr>
      <w:r w:rsidRPr="00730DE4">
        <w:br w:type="page"/>
      </w:r>
    </w:p>
    <w:p w14:paraId="013A41F3" w14:textId="0A0202A2" w:rsidR="00FA2FF9" w:rsidRPr="00730DE4" w:rsidRDefault="00FA2FF9" w:rsidP="002B7001">
      <w:pPr>
        <w:pStyle w:val="Heading3"/>
      </w:pPr>
      <w:bookmarkStart w:id="751" w:name="_Toc180487474"/>
      <w:bookmarkStart w:id="752" w:name="_Toc180490680"/>
      <w:bookmarkStart w:id="753" w:name="_Toc180491713"/>
      <w:r w:rsidRPr="00730DE4">
        <w:t>Metropolitan</w:t>
      </w:r>
      <w:bookmarkEnd w:id="751"/>
      <w:bookmarkEnd w:id="752"/>
      <w:bookmarkEnd w:id="753"/>
    </w:p>
    <w:p w14:paraId="3300B642" w14:textId="77777777" w:rsidR="00FA2FF9" w:rsidRPr="00730DE4" w:rsidRDefault="00FA2FF9" w:rsidP="003D2369">
      <w:pPr>
        <w:pStyle w:val="ListBullet"/>
      </w:pPr>
      <w:r w:rsidRPr="00730DE4">
        <w:t xml:space="preserve">Area covered: </w:t>
      </w:r>
      <w:r w:rsidRPr="00730DE4">
        <w:rPr>
          <w:rStyle w:val="Strong"/>
        </w:rPr>
        <w:t>2974 km</w:t>
      </w:r>
      <w:r w:rsidRPr="00730DE4">
        <w:rPr>
          <w:rStyle w:val="Strong"/>
          <w:vertAlign w:val="superscript"/>
        </w:rPr>
        <w:t>2</w:t>
      </w:r>
    </w:p>
    <w:p w14:paraId="3D5CD78C" w14:textId="77777777" w:rsidR="00FA2FF9" w:rsidRPr="00730DE4" w:rsidRDefault="00FA2FF9" w:rsidP="003D2369">
      <w:pPr>
        <w:pStyle w:val="ListBullet"/>
        <w:rPr>
          <w:b/>
          <w:bCs/>
        </w:rPr>
      </w:pPr>
      <w:r w:rsidRPr="00730DE4">
        <w:t xml:space="preserve">Population of Queensland: </w:t>
      </w:r>
      <w:r w:rsidRPr="00730DE4">
        <w:rPr>
          <w:rStyle w:val="Strong"/>
        </w:rPr>
        <w:t>31.89%*</w:t>
      </w:r>
    </w:p>
    <w:p w14:paraId="2DC5E579" w14:textId="77777777" w:rsidR="00FA2FF9" w:rsidRPr="00730DE4" w:rsidRDefault="00FA2FF9" w:rsidP="002B7001">
      <w:pPr>
        <w:pStyle w:val="Heading4"/>
      </w:pPr>
      <w:bookmarkStart w:id="754" w:name="_Toc180487475"/>
      <w:bookmarkStart w:id="755" w:name="_Toc180490681"/>
      <w:bookmarkStart w:id="756" w:name="_Toc180491714"/>
      <w:r w:rsidRPr="00730DE4">
        <w:t>Fast facts</w:t>
      </w:r>
      <w:bookmarkEnd w:id="754"/>
      <w:bookmarkEnd w:id="755"/>
      <w:bookmarkEnd w:id="756"/>
    </w:p>
    <w:p w14:paraId="1C011964" w14:textId="77777777" w:rsidR="00FA2FF9" w:rsidRPr="00730DE4" w:rsidRDefault="00FA2FF9" w:rsidP="003D2369">
      <w:pPr>
        <w:pStyle w:val="ListBullet"/>
      </w:pPr>
      <w:r w:rsidRPr="00730DE4">
        <w:t xml:space="preserve">State-controlled road**: </w:t>
      </w:r>
      <w:r w:rsidRPr="00730DE4">
        <w:rPr>
          <w:rStyle w:val="Strong"/>
        </w:rPr>
        <w:t>527KM</w:t>
      </w:r>
    </w:p>
    <w:p w14:paraId="7137E146" w14:textId="77777777" w:rsidR="00FA2FF9" w:rsidRPr="00730DE4" w:rsidRDefault="00FA2FF9" w:rsidP="003D2369">
      <w:pPr>
        <w:pStyle w:val="ListBullet"/>
      </w:pPr>
      <w:r w:rsidRPr="00730DE4">
        <w:t xml:space="preserve">National Land Transport Network**: </w:t>
      </w:r>
      <w:r w:rsidRPr="00730DE4">
        <w:rPr>
          <w:rStyle w:val="Strong"/>
        </w:rPr>
        <w:t>90KM</w:t>
      </w:r>
    </w:p>
    <w:p w14:paraId="07CA335E" w14:textId="77777777" w:rsidR="00FA2FF9" w:rsidRPr="00730DE4" w:rsidRDefault="00FA2FF9" w:rsidP="003D2369">
      <w:pPr>
        <w:pStyle w:val="ListBullet"/>
      </w:pPr>
      <w:r w:rsidRPr="00730DE4">
        <w:t xml:space="preserve">Vehicle and machinery registrations: </w:t>
      </w:r>
      <w:r w:rsidRPr="00730DE4">
        <w:rPr>
          <w:rStyle w:val="Strong"/>
        </w:rPr>
        <w:t>1,739,629</w:t>
      </w:r>
    </w:p>
    <w:p w14:paraId="73215737" w14:textId="77777777" w:rsidR="00FA2FF9" w:rsidRPr="00730DE4" w:rsidRDefault="00FA2FF9" w:rsidP="003D2369">
      <w:pPr>
        <w:pStyle w:val="ListBullet"/>
      </w:pPr>
      <w:r w:rsidRPr="00730DE4">
        <w:t xml:space="preserve">Boating infrastructures: </w:t>
      </w:r>
      <w:r w:rsidRPr="00730DE4">
        <w:rPr>
          <w:rStyle w:val="Strong"/>
        </w:rPr>
        <w:t>76</w:t>
      </w:r>
    </w:p>
    <w:p w14:paraId="611BD06A" w14:textId="77777777" w:rsidR="00FA2FF9" w:rsidRPr="00730DE4" w:rsidRDefault="00FA2FF9" w:rsidP="003D2369">
      <w:pPr>
        <w:pStyle w:val="ListBullet"/>
      </w:pPr>
      <w:r w:rsidRPr="00730DE4">
        <w:t xml:space="preserve">Community safety events held: </w:t>
      </w:r>
      <w:r w:rsidRPr="00730DE4">
        <w:rPr>
          <w:rStyle w:val="Strong"/>
        </w:rPr>
        <w:t>118</w:t>
      </w:r>
    </w:p>
    <w:p w14:paraId="03176108" w14:textId="77777777" w:rsidR="00FA2FF9" w:rsidRPr="00730DE4" w:rsidRDefault="00FA2FF9" w:rsidP="003D2369">
      <w:pPr>
        <w:pStyle w:val="ListBullet"/>
      </w:pPr>
      <w:r w:rsidRPr="00730DE4">
        <w:t xml:space="preserve">Vehicle and machinery inspections completed: </w:t>
      </w:r>
      <w:r w:rsidRPr="00730DE4">
        <w:rPr>
          <w:rStyle w:val="Strong"/>
        </w:rPr>
        <w:t>14,769</w:t>
      </w:r>
    </w:p>
    <w:p w14:paraId="32F22050" w14:textId="77777777" w:rsidR="00FA2FF9" w:rsidRPr="00730DE4" w:rsidRDefault="00FA2FF9" w:rsidP="003D2369">
      <w:pPr>
        <w:pStyle w:val="ListBullet"/>
      </w:pPr>
      <w:r w:rsidRPr="00730DE4">
        <w:t xml:space="preserve">Bridges***: </w:t>
      </w:r>
      <w:r w:rsidRPr="00730DE4">
        <w:rPr>
          <w:rStyle w:val="Strong"/>
        </w:rPr>
        <w:t>467</w:t>
      </w:r>
    </w:p>
    <w:p w14:paraId="0DCE5D95" w14:textId="77777777" w:rsidR="00FA2FF9" w:rsidRPr="00730DE4" w:rsidRDefault="00FA2FF9" w:rsidP="003D2369">
      <w:pPr>
        <w:pStyle w:val="ListBullet"/>
      </w:pPr>
      <w:r w:rsidRPr="00730DE4">
        <w:t xml:space="preserve">Driver licence tests conducted: </w:t>
      </w:r>
      <w:r w:rsidRPr="00730DE4">
        <w:rPr>
          <w:rStyle w:val="Strong"/>
        </w:rPr>
        <w:t>50,884</w:t>
      </w:r>
    </w:p>
    <w:p w14:paraId="40E8D04E" w14:textId="77777777" w:rsidR="00FA2FF9" w:rsidRPr="00730DE4" w:rsidRDefault="00FA2FF9" w:rsidP="003D2369">
      <w:pPr>
        <w:pStyle w:val="ListBullet"/>
      </w:pPr>
      <w:r w:rsidRPr="00730DE4">
        <w:t xml:space="preserve">Customer face-to-face interactions: </w:t>
      </w:r>
      <w:r w:rsidRPr="00730DE4">
        <w:rPr>
          <w:rStyle w:val="Strong"/>
        </w:rPr>
        <w:t>945,527</w:t>
      </w:r>
    </w:p>
    <w:p w14:paraId="3E8C1C80" w14:textId="77777777" w:rsidR="00FA2FF9" w:rsidRPr="00730DE4" w:rsidRDefault="00FA2FF9" w:rsidP="003D2369">
      <w:pPr>
        <w:pStyle w:val="ListBullet"/>
        <w:rPr>
          <w:rStyle w:val="Strong"/>
          <w:b w:val="0"/>
          <w:bCs w:val="0"/>
        </w:rPr>
      </w:pPr>
      <w:r w:rsidRPr="00730DE4">
        <w:t xml:space="preserve">Priority-enabled intersections: </w:t>
      </w:r>
      <w:r w:rsidRPr="00730DE4">
        <w:rPr>
          <w:rStyle w:val="Strong"/>
        </w:rPr>
        <w:t>530</w:t>
      </w:r>
    </w:p>
    <w:p w14:paraId="5557B2B2" w14:textId="77777777" w:rsidR="005628F2" w:rsidRPr="00730DE4" w:rsidRDefault="00FA2FF9" w:rsidP="005628F2">
      <w:pPr>
        <w:pStyle w:val="Caption"/>
        <w:rPr>
          <w:rStyle w:val="Strong"/>
        </w:rPr>
      </w:pPr>
      <w:r w:rsidRPr="00730DE4">
        <w:rPr>
          <w:rStyle w:val="Strong"/>
        </w:rPr>
        <w:t xml:space="preserve">Data source: </w:t>
      </w:r>
      <w:r w:rsidRPr="00730DE4">
        <w:t>*Queensland Government Statistician's Office (Queensland Treasury), Queensland Regional Profiles. www.qgso.qld.gov.au, July 2024</w:t>
      </w:r>
      <w:r w:rsidRPr="00730DE4">
        <w:rPr>
          <w:rStyle w:val="Strong"/>
        </w:rPr>
        <w:t xml:space="preserve"> </w:t>
      </w:r>
    </w:p>
    <w:p w14:paraId="5DF11951" w14:textId="77777777" w:rsidR="005628F2" w:rsidRPr="00730DE4" w:rsidRDefault="00FA2FF9" w:rsidP="005628F2">
      <w:pPr>
        <w:pStyle w:val="Caption"/>
      </w:pPr>
      <w:r w:rsidRPr="00730DE4">
        <w:rPr>
          <w:rStyle w:val="Strong"/>
        </w:rPr>
        <w:t>Data source:</w:t>
      </w:r>
      <w:r w:rsidRPr="00730DE4">
        <w:t xml:space="preserve"> **A Road Management Information System (ARMIS) 30 June 2024</w:t>
      </w:r>
    </w:p>
    <w:p w14:paraId="202E1E03" w14:textId="0565285F" w:rsidR="00FA2FF9" w:rsidRPr="00730DE4" w:rsidRDefault="00FA2FF9" w:rsidP="005628F2">
      <w:pPr>
        <w:pStyle w:val="Caption"/>
      </w:pPr>
      <w:r w:rsidRPr="00730DE4">
        <w:rPr>
          <w:rStyle w:val="Strong"/>
        </w:rPr>
        <w:t>Data source:</w:t>
      </w:r>
      <w:r w:rsidRPr="00730DE4">
        <w:t xml:space="preserve"> ***Bridge Information System (BIS), 30 June 2024</w:t>
      </w:r>
    </w:p>
    <w:p w14:paraId="244225D2" w14:textId="77777777" w:rsidR="00FA2FF9" w:rsidRPr="00730DE4" w:rsidRDefault="00FA2FF9" w:rsidP="002B7001">
      <w:pPr>
        <w:pStyle w:val="Heading4"/>
      </w:pPr>
      <w:bookmarkStart w:id="757" w:name="_Toc180487476"/>
      <w:bookmarkStart w:id="758" w:name="_Toc180490682"/>
      <w:bookmarkStart w:id="759" w:name="_Toc180491715"/>
      <w:r w:rsidRPr="00730DE4">
        <w:t>Beams Road (Carseldine and Fitzgibbon), rail level crossing</w:t>
      </w:r>
      <w:bookmarkEnd w:id="757"/>
      <w:bookmarkEnd w:id="758"/>
      <w:bookmarkEnd w:id="759"/>
    </w:p>
    <w:p w14:paraId="18B19CC4" w14:textId="77777777" w:rsidR="00FA2FF9" w:rsidRPr="00730DE4" w:rsidRDefault="00FA2FF9" w:rsidP="005E6EDB">
      <w:r w:rsidRPr="00730DE4">
        <w:t>Construction on the Beams Road rail level crossing project, replacing the current rail level crossing with an overpass to separate road and rail, commenced in March 2024.</w:t>
      </w:r>
    </w:p>
    <w:p w14:paraId="70D7DCDF" w14:textId="77777777" w:rsidR="00FA2FF9" w:rsidRPr="00730DE4" w:rsidRDefault="00FA2FF9" w:rsidP="005E6EDB">
      <w:r w:rsidRPr="00730DE4">
        <w:t>Beams Road is an important local road connecting communities in the northern suburbs of Brisbane. It currently experiences significant congestion at the rail level crossing, particularly during peak hours.</w:t>
      </w:r>
    </w:p>
    <w:p w14:paraId="244156C4" w14:textId="77777777" w:rsidR="00FA2FF9" w:rsidRPr="00730DE4" w:rsidRDefault="00FA2FF9" w:rsidP="005E6EDB">
      <w:r w:rsidRPr="00730DE4">
        <w:t>An overpass upgrade to the rail level crossing will:</w:t>
      </w:r>
    </w:p>
    <w:p w14:paraId="79AA6B80" w14:textId="77777777" w:rsidR="00FA2FF9" w:rsidRPr="00730DE4" w:rsidRDefault="00FA2FF9" w:rsidP="005E6EDB">
      <w:pPr>
        <w:pStyle w:val="ListBullet"/>
      </w:pPr>
      <w:r w:rsidRPr="00730DE4">
        <w:t>improve travel times and reliability for rail and road users</w:t>
      </w:r>
    </w:p>
    <w:p w14:paraId="19EB0696" w14:textId="77777777" w:rsidR="00FA2FF9" w:rsidRPr="00730DE4" w:rsidRDefault="00FA2FF9" w:rsidP="005E6EDB">
      <w:pPr>
        <w:pStyle w:val="ListBullet"/>
      </w:pPr>
      <w:r w:rsidRPr="00730DE4">
        <w:t>reduce congestion</w:t>
      </w:r>
    </w:p>
    <w:p w14:paraId="68687059" w14:textId="77777777" w:rsidR="00FA2FF9" w:rsidRPr="00730DE4" w:rsidRDefault="00FA2FF9" w:rsidP="005E6EDB">
      <w:pPr>
        <w:pStyle w:val="ListBullet"/>
      </w:pPr>
      <w:r w:rsidRPr="00730DE4">
        <w:t>improve safety and access.</w:t>
      </w:r>
    </w:p>
    <w:p w14:paraId="09AAE798" w14:textId="77777777" w:rsidR="00FA2FF9" w:rsidRPr="00730DE4" w:rsidRDefault="00FA2FF9" w:rsidP="005E6EDB">
      <w:r w:rsidRPr="00730DE4">
        <w:t>This $235 million project is jointly funded by the Australian Government, the Queensland Government, and Brisbane City Council.</w:t>
      </w:r>
    </w:p>
    <w:p w14:paraId="7C835CD9" w14:textId="77777777" w:rsidR="00FA2FF9" w:rsidRPr="00730DE4" w:rsidRDefault="00FA2FF9" w:rsidP="005E6EDB">
      <w:pPr>
        <w:pStyle w:val="MessageHeader"/>
      </w:pPr>
      <w:r w:rsidRPr="00730DE4">
        <w:t xml:space="preserve">For more information </w:t>
      </w:r>
      <w:r w:rsidRPr="00730DE4">
        <w:br/>
      </w:r>
      <w:hyperlink r:id="rId86" w:history="1">
        <w:r w:rsidRPr="00730DE4">
          <w:rPr>
            <w:rStyle w:val="Hyperlink"/>
          </w:rPr>
          <w:t>https://www.tmr.qld.gov.au/projects/beams-road-carseldine-and-fitzgibbon-rail-level-crossing</w:t>
        </w:r>
      </w:hyperlink>
    </w:p>
    <w:p w14:paraId="568DFE98" w14:textId="77777777" w:rsidR="00FA2FF9" w:rsidRPr="00730DE4" w:rsidRDefault="00FA2FF9" w:rsidP="002B7001">
      <w:pPr>
        <w:pStyle w:val="Heading4"/>
      </w:pPr>
      <w:bookmarkStart w:id="760" w:name="_Toc180487477"/>
      <w:bookmarkStart w:id="761" w:name="_Toc180490683"/>
      <w:bookmarkStart w:id="762" w:name="_Toc180491716"/>
      <w:bookmarkStart w:id="763" w:name="_Hlk173149209"/>
      <w:r w:rsidRPr="00730DE4">
        <w:t>Veloway 1 O'Keefe Street</w:t>
      </w:r>
      <w:bookmarkEnd w:id="760"/>
      <w:bookmarkEnd w:id="761"/>
      <w:bookmarkEnd w:id="762"/>
    </w:p>
    <w:p w14:paraId="206D0089" w14:textId="77777777" w:rsidR="00FA2FF9" w:rsidRPr="00730DE4" w:rsidRDefault="00FA2FF9" w:rsidP="005E6EDB">
      <w:r w:rsidRPr="00730DE4">
        <w:t>TMR delivered a new V1 connection with the completion of the velobridge at O'Keefe Street, Woolloongabba in mid-2024.</w:t>
      </w:r>
    </w:p>
    <w:p w14:paraId="10BA5027" w14:textId="77777777" w:rsidR="00FA2FF9" w:rsidRPr="00730DE4" w:rsidRDefault="00FA2FF9" w:rsidP="005E6EDB">
      <w:r w:rsidRPr="00730DE4">
        <w:t>The bridge improves safety and network efficiency by removing the need for bike riders to cross at nearby Carl Street and at the lights east and west of the M1 on O'Keefe Street.</w:t>
      </w:r>
    </w:p>
    <w:p w14:paraId="56A1AD7A" w14:textId="77777777" w:rsidR="00FA2FF9" w:rsidRPr="00730DE4" w:rsidRDefault="00FA2FF9" w:rsidP="005E6EDB">
      <w:r w:rsidRPr="00730DE4">
        <w:t>Motorists and pedestrians will also benefit from fewer pauses in traffic flow and less crowded footpaths.</w:t>
      </w:r>
    </w:p>
    <w:p w14:paraId="1388FBD6" w14:textId="77777777" w:rsidR="00FA2FF9" w:rsidRPr="00730DE4" w:rsidRDefault="00FA2FF9" w:rsidP="005E6EDB">
      <w:r w:rsidRPr="00730DE4">
        <w:t>Following community feedback, the final project design was amended to include a reconfigured ramp on the northern side of O'Keefe Street to support access to local amenities.</w:t>
      </w:r>
    </w:p>
    <w:p w14:paraId="09320468" w14:textId="77777777" w:rsidR="00FA2FF9" w:rsidRPr="00730DE4" w:rsidRDefault="00FA2FF9" w:rsidP="005E6EDB">
      <w:r w:rsidRPr="00730DE4">
        <w:t>Both the velobridge and the northern access ramp are now open for use.</w:t>
      </w:r>
    </w:p>
    <w:p w14:paraId="5EDFBE14" w14:textId="77777777" w:rsidR="00FA2FF9" w:rsidRPr="00730DE4" w:rsidRDefault="00FA2FF9" w:rsidP="005E6EDB">
      <w:r w:rsidRPr="00730DE4">
        <w:t>This project was fully funded by the Queensland Government through the Active Transport Investment Program.</w:t>
      </w:r>
    </w:p>
    <w:p w14:paraId="488BFD3A" w14:textId="77777777" w:rsidR="00FA2FF9" w:rsidRPr="00730DE4" w:rsidRDefault="00FA2FF9" w:rsidP="005E6EDB">
      <w:pPr>
        <w:pStyle w:val="MessageHeader"/>
      </w:pPr>
      <w:r w:rsidRPr="00730DE4">
        <w:t xml:space="preserve">For more information </w:t>
      </w:r>
      <w:r w:rsidRPr="00730DE4">
        <w:br/>
      </w:r>
      <w:hyperlink r:id="rId87" w:history="1">
        <w:r w:rsidRPr="00730DE4">
          <w:rPr>
            <w:rStyle w:val="Hyperlink"/>
          </w:rPr>
          <w:t>https://www.tmr.qld.gov.au/projects/veloway-1-v1-cycleway-okeefe-street-construct-bridge-approaches</w:t>
        </w:r>
      </w:hyperlink>
    </w:p>
    <w:p w14:paraId="3D7E6C7E" w14:textId="77777777" w:rsidR="00FA2FF9" w:rsidRPr="00730DE4" w:rsidRDefault="00FA2FF9" w:rsidP="002B7001">
      <w:pPr>
        <w:pStyle w:val="Heading4"/>
      </w:pPr>
      <w:bookmarkStart w:id="764" w:name="_Toc180487478"/>
      <w:bookmarkStart w:id="765" w:name="_Toc180490684"/>
      <w:bookmarkStart w:id="766" w:name="_Toc180491717"/>
      <w:bookmarkStart w:id="767" w:name="_Hlk173149313"/>
      <w:bookmarkEnd w:id="763"/>
      <w:r w:rsidRPr="00730DE4">
        <w:t>Case study: Centenary Bridge Upgrade project</w:t>
      </w:r>
      <w:bookmarkEnd w:id="764"/>
      <w:bookmarkEnd w:id="765"/>
      <w:bookmarkEnd w:id="766"/>
    </w:p>
    <w:p w14:paraId="3614F01F" w14:textId="77777777" w:rsidR="00FA2FF9" w:rsidRPr="00730DE4" w:rsidRDefault="00FA2FF9" w:rsidP="00CA11B8">
      <w:r w:rsidRPr="00730DE4">
        <w:t>The Centenary Bridge Upgrade project at Jindalee, expanding capacity and improving safety over the Brisbane River, made significant progress this year. The project entails a new three-lane northbound bridge, refurbishing and reconfiguring the existing structure for three southbound lanes, and an improved active transport corridor.</w:t>
      </w:r>
    </w:p>
    <w:p w14:paraId="5C4CA0A3" w14:textId="77777777" w:rsidR="00FA2FF9" w:rsidRPr="00730DE4" w:rsidRDefault="00FA2FF9" w:rsidP="00CA11B8">
      <w:r w:rsidRPr="00730DE4">
        <w:t>Introducing extra lanes will create safer and longer merging lanes for entry and exit ramps, leading to improved efficiency and a decrease in the rate and severity of crashes on the bridge. The project will also improve safety and connectivity for pedestrians and people riding bikes by delivering upgrades to active transport facilities over the Brisbane River.</w:t>
      </w:r>
    </w:p>
    <w:p w14:paraId="44D59E76" w14:textId="77777777" w:rsidR="00EA1647" w:rsidRDefault="00EA1647" w:rsidP="00CA11B8">
      <w:r>
        <w:br w:type="page"/>
      </w:r>
    </w:p>
    <w:p w14:paraId="02BB8315" w14:textId="36A72224" w:rsidR="00FA2FF9" w:rsidRPr="00730DE4" w:rsidRDefault="00FA2FF9" w:rsidP="00CA11B8">
      <w:r w:rsidRPr="00730DE4">
        <w:t>This extra capacity will provide greater efficiency and travel time reliability between Brisbane's CBD, western suburbs, and along the entire Centenary Motorway.</w:t>
      </w:r>
    </w:p>
    <w:p w14:paraId="6EA06563" w14:textId="77777777" w:rsidR="00FA2FF9" w:rsidRPr="00730DE4" w:rsidRDefault="00FA2FF9" w:rsidP="00CA11B8">
      <w:r w:rsidRPr="00730DE4">
        <w:t>This $298.5 million project is jointly funded by the Australian and Queensland governments.</w:t>
      </w:r>
    </w:p>
    <w:p w14:paraId="1A5E7FFB" w14:textId="77777777" w:rsidR="00FA2FF9" w:rsidRPr="00730DE4" w:rsidRDefault="00FA2FF9" w:rsidP="00CA11B8">
      <w:pPr>
        <w:pStyle w:val="MessageHeader"/>
      </w:pPr>
      <w:r w:rsidRPr="00730DE4">
        <w:t xml:space="preserve">For more information </w:t>
      </w:r>
      <w:r w:rsidRPr="00730DE4">
        <w:br/>
      </w:r>
      <w:hyperlink r:id="rId88" w:history="1">
        <w:r w:rsidRPr="00730DE4">
          <w:rPr>
            <w:rStyle w:val="Hyperlink"/>
          </w:rPr>
          <w:t>https://www.tmr.qld.gov.au/projects/centenary-bridge-upgrade</w:t>
        </w:r>
      </w:hyperlink>
      <w:bookmarkEnd w:id="767"/>
    </w:p>
    <w:p w14:paraId="366071B6" w14:textId="77777777" w:rsidR="00FA2FF9" w:rsidRPr="00730DE4" w:rsidRDefault="00FA2FF9" w:rsidP="002B7001">
      <w:pPr>
        <w:pStyle w:val="Heading4"/>
      </w:pPr>
      <w:bookmarkStart w:id="768" w:name="_Toc180487479"/>
      <w:bookmarkStart w:id="769" w:name="_Toc180490685"/>
      <w:bookmarkStart w:id="770" w:name="_Toc180491718"/>
      <w:r w:rsidRPr="00730DE4">
        <w:t>Cleveland–Redland Bay Road Corridor Investment Upgrade</w:t>
      </w:r>
      <w:bookmarkEnd w:id="768"/>
      <w:bookmarkEnd w:id="769"/>
      <w:bookmarkEnd w:id="770"/>
    </w:p>
    <w:p w14:paraId="2CF72F6E" w14:textId="77777777" w:rsidR="00FA2FF9" w:rsidRPr="00730DE4" w:rsidRDefault="00FA2FF9" w:rsidP="001B3C8E">
      <w:r w:rsidRPr="00730DE4">
        <w:t>Construction is underway to duplicate Cleveland–Redland Bay Road from two to four lanes between Anita Street in Redland Bay and Magnolia Parade in Victoria Point.</w:t>
      </w:r>
    </w:p>
    <w:p w14:paraId="21E36069" w14:textId="77777777" w:rsidR="00FA2FF9" w:rsidRPr="00730DE4" w:rsidRDefault="00FA2FF9" w:rsidP="001B3C8E">
      <w:r w:rsidRPr="00730DE4">
        <w:t>The upgrade will reduce congestion, improve traffic flow, and increase safety for all road users. New on and off-road active transport infrastructure will also improve connectivity for pedestrians and bike riders.</w:t>
      </w:r>
    </w:p>
    <w:p w14:paraId="2AF660A1" w14:textId="77777777" w:rsidR="00FA2FF9" w:rsidRPr="00730DE4" w:rsidRDefault="00FA2FF9" w:rsidP="001B3C8E">
      <w:r w:rsidRPr="00730DE4">
        <w:t>This project is part of a $84.3 million package of works to upgrade Cleveland–Redland Bay Road.</w:t>
      </w:r>
    </w:p>
    <w:p w14:paraId="48E5DB14" w14:textId="77777777" w:rsidR="00FA2FF9" w:rsidRPr="00730DE4" w:rsidRDefault="00FA2FF9" w:rsidP="001B3C8E">
      <w:pPr>
        <w:pStyle w:val="MessageHeader"/>
      </w:pPr>
      <w:r w:rsidRPr="00730DE4">
        <w:t xml:space="preserve">For more information </w:t>
      </w:r>
      <w:r w:rsidRPr="00730DE4">
        <w:br/>
      </w:r>
      <w:hyperlink r:id="rId89" w:history="1">
        <w:r w:rsidRPr="00730DE4">
          <w:rPr>
            <w:rStyle w:val="Hyperlink"/>
          </w:rPr>
          <w:t>https://www.tmr.qld.gov.au/projects/Cleveland-Redland%20Bay%20Road%20upgrade</w:t>
        </w:r>
      </w:hyperlink>
    </w:p>
    <w:p w14:paraId="351258E5" w14:textId="77777777" w:rsidR="00FA2FF9" w:rsidRPr="00730DE4" w:rsidRDefault="00FA2FF9" w:rsidP="002B7001">
      <w:pPr>
        <w:pStyle w:val="Heading4"/>
      </w:pPr>
      <w:bookmarkStart w:id="771" w:name="_Toc180487480"/>
      <w:bookmarkStart w:id="772" w:name="_Toc180490686"/>
      <w:bookmarkStart w:id="773" w:name="_Toc180491719"/>
      <w:r w:rsidRPr="00730DE4">
        <w:t>ODIN Pass: Australia's largest multi-modal transport subscription trial</w:t>
      </w:r>
      <w:bookmarkEnd w:id="771"/>
      <w:bookmarkEnd w:id="772"/>
      <w:bookmarkEnd w:id="773"/>
    </w:p>
    <w:p w14:paraId="1BE91FBC" w14:textId="77777777" w:rsidR="00FA2FF9" w:rsidRPr="00730DE4" w:rsidRDefault="00FA2FF9" w:rsidP="005E6EDB">
      <w:r w:rsidRPr="00730DE4">
        <w:t>ODIN Pass is TMR’s large-scale multi-modal research trial and is a partnership with UQ, supported by iMOVE Cooperative Research Centre. Commencing in July 2021, the trial is the largest real-world MaaS trial undertaken in Australia.</w:t>
      </w:r>
    </w:p>
    <w:p w14:paraId="59734144" w14:textId="77777777" w:rsidR="00FA2FF9" w:rsidRPr="00730DE4" w:rsidRDefault="00FA2FF9" w:rsidP="005E6EDB">
      <w:r w:rsidRPr="00730DE4">
        <w:t>In 2023–24, the research trial finalised the data collection phase, with operations continuing to enable UQ staff and students access to a range of multi-modal service plans provided on subscription. The ODIN Pass plans combine up to nine modes of transport accessed on a smartphone app allowing users to plan, book, and pay for their journeys digitally.</w:t>
      </w:r>
    </w:p>
    <w:p w14:paraId="359BC2F8" w14:textId="77777777" w:rsidR="00FA2FF9" w:rsidRPr="00730DE4" w:rsidRDefault="00FA2FF9" w:rsidP="002A25A0">
      <w:r w:rsidRPr="00730DE4">
        <w:t xml:space="preserve">The trial confirmed that customers like subscription-based service plans with over 12,000 users participating in the trial in 2023–24.  </w:t>
      </w:r>
    </w:p>
    <w:p w14:paraId="0F90FF33" w14:textId="77777777" w:rsidR="00EA1647" w:rsidRDefault="00EA1647" w:rsidP="002A25A0">
      <w:r>
        <w:br w:type="page"/>
      </w:r>
    </w:p>
    <w:p w14:paraId="339361D6" w14:textId="221EB84C" w:rsidR="00FA2FF9" w:rsidRPr="00730DE4" w:rsidRDefault="00FA2FF9" w:rsidP="002A25A0">
      <w:r w:rsidRPr="00730DE4">
        <w:t>Trial achievements since inception in 2021:</w:t>
      </w:r>
    </w:p>
    <w:p w14:paraId="381D1BFE" w14:textId="77777777" w:rsidR="00FA2FF9" w:rsidRPr="00730DE4" w:rsidRDefault="00FA2FF9" w:rsidP="002A25A0">
      <w:pPr>
        <w:pStyle w:val="ListBullet"/>
      </w:pPr>
      <w:r w:rsidRPr="00730DE4">
        <w:t>12,324 users participated in the trial.</w:t>
      </w:r>
    </w:p>
    <w:p w14:paraId="4FC7C387" w14:textId="77777777" w:rsidR="00FA2FF9" w:rsidRPr="00730DE4" w:rsidRDefault="00FA2FF9" w:rsidP="002A25A0">
      <w:pPr>
        <w:pStyle w:val="ListBullet"/>
      </w:pPr>
      <w:r w:rsidRPr="00730DE4">
        <w:t>62,620 mobility bundles where purchased.</w:t>
      </w:r>
    </w:p>
    <w:p w14:paraId="3DA4ED3B" w14:textId="77777777" w:rsidR="00FA2FF9" w:rsidRPr="00730DE4" w:rsidRDefault="00FA2FF9" w:rsidP="002A25A0">
      <w:pPr>
        <w:pStyle w:val="ListBullet"/>
      </w:pPr>
      <w:r w:rsidRPr="00730DE4">
        <w:t>2,630,733 public transport trips were taken through the ODIN Pass app.</w:t>
      </w:r>
    </w:p>
    <w:p w14:paraId="7B2DCC71" w14:textId="77777777" w:rsidR="00FA2FF9" w:rsidRPr="00730DE4" w:rsidRDefault="00FA2FF9" w:rsidP="002A25A0">
      <w:pPr>
        <w:pStyle w:val="ListBullet"/>
      </w:pPr>
      <w:r w:rsidRPr="00730DE4">
        <w:t>63 per cent of trial participants purchased two or more bundles.</w:t>
      </w:r>
    </w:p>
    <w:p w14:paraId="27090D5A" w14:textId="77777777" w:rsidR="00FA2FF9" w:rsidRPr="00730DE4" w:rsidRDefault="00FA2FF9" w:rsidP="002A25A0">
      <w:pPr>
        <w:pStyle w:val="ListBullet"/>
      </w:pPr>
      <w:r w:rsidRPr="00730DE4">
        <w:t>51 per cent of trial participants said they were more likely to use public transport, with 54 per cent deciding to leave their car at home.</w:t>
      </w:r>
    </w:p>
    <w:p w14:paraId="21520ABE" w14:textId="77777777" w:rsidR="00FA2FF9" w:rsidRPr="00730DE4" w:rsidRDefault="00FA2FF9" w:rsidP="002A25A0">
      <w:r w:rsidRPr="00730DE4">
        <w:t>A new research trial for Griffith University Gold Coast students is planned to run from August 2024 to September 2026 to test the findings from the initial UQ trial and understand how packaged transport pricing could encourage a greater shift towards active, shared, and public transport.</w:t>
      </w:r>
    </w:p>
    <w:p w14:paraId="6372D4B7" w14:textId="77777777" w:rsidR="00FA2FF9" w:rsidRPr="00730DE4" w:rsidRDefault="00FA2FF9" w:rsidP="002B7001">
      <w:pPr>
        <w:pStyle w:val="Heading4"/>
      </w:pPr>
      <w:bookmarkStart w:id="774" w:name="_Toc180487481"/>
      <w:bookmarkStart w:id="775" w:name="_Toc180490687"/>
      <w:bookmarkStart w:id="776" w:name="_Toc180491720"/>
      <w:r w:rsidRPr="00730DE4">
        <w:t>Gateway Motorway and Bruce Highway Upgrades</w:t>
      </w:r>
      <w:bookmarkEnd w:id="774"/>
      <w:bookmarkEnd w:id="775"/>
      <w:bookmarkEnd w:id="776"/>
    </w:p>
    <w:p w14:paraId="47576B70" w14:textId="77777777" w:rsidR="00FA2FF9" w:rsidRPr="00730DE4" w:rsidRDefault="00FA2FF9" w:rsidP="00E56388">
      <w:r w:rsidRPr="00730DE4">
        <w:t xml:space="preserve">TMR has completed integrated planning to develop a whole-of-network solution to ease congestion and improve safety on the Gateway Motorway and Bruce Highway corridor in north Brisbane and the Moreton Bay Region. </w:t>
      </w:r>
      <w:r w:rsidRPr="00730DE4">
        <w:rPr>
          <w:bCs/>
        </w:rPr>
        <w:t>TMR is delivering</w:t>
      </w:r>
      <w:r w:rsidRPr="00730DE4">
        <w:t xml:space="preserve"> these projects in stages, based on available funding.</w:t>
      </w:r>
    </w:p>
    <w:p w14:paraId="7FC1844C" w14:textId="77777777" w:rsidR="00FA2FF9" w:rsidRPr="00730DE4" w:rsidRDefault="00FA2FF9" w:rsidP="00E56388">
      <w:r w:rsidRPr="00730DE4">
        <w:t>The Bruce Highway (Brisbane–Gympie), Dohles Rocks Road to Anzac Avenue upgrade (Stage One) involves installing a new southbound exit ramp at Dohles Rocks Road interchange, which will extend as an auxiliary lane on the Bruce Highway through to Anzac Avenue. Construction early works commenced June 2024.</w:t>
      </w:r>
    </w:p>
    <w:p w14:paraId="3DFD44EE" w14:textId="77777777" w:rsidR="00FA2FF9" w:rsidRPr="00730DE4" w:rsidRDefault="00FA2FF9" w:rsidP="00E56388">
      <w:pPr>
        <w:rPr>
          <w:rFonts w:cs="Arial"/>
          <w:color w:val="auto"/>
          <w:szCs w:val="24"/>
        </w:rPr>
      </w:pPr>
      <w:r w:rsidRPr="00730DE4">
        <w:rPr>
          <w:rFonts w:cs="Arial"/>
          <w:color w:val="auto"/>
          <w:szCs w:val="24"/>
        </w:rPr>
        <w:t>Delivered as one stage the Gateway Motorway, Bracken Ridge to Pine River upgrade and Bruce Highway (Brisbane–Gympie), Gateway Motorway to Dohles Rocks Road upgrade (Stage One) will involve:</w:t>
      </w:r>
    </w:p>
    <w:p w14:paraId="384A38E6" w14:textId="77777777" w:rsidR="00FA2FF9" w:rsidRPr="00730DE4" w:rsidRDefault="00FA2FF9" w:rsidP="00E56388">
      <w:pPr>
        <w:pStyle w:val="ListBullet"/>
      </w:pPr>
      <w:r w:rsidRPr="00730DE4">
        <w:t>providing additional lanes on the Gateway Motorway from Bracken Ridge through to the Bruce Highway</w:t>
      </w:r>
    </w:p>
    <w:p w14:paraId="1275B29D" w14:textId="77777777" w:rsidR="00FA2FF9" w:rsidRPr="00730DE4" w:rsidRDefault="00FA2FF9" w:rsidP="00E56388">
      <w:pPr>
        <w:pStyle w:val="ListBullet"/>
      </w:pPr>
      <w:r w:rsidRPr="00730DE4">
        <w:t>upgrading the Gateway Motorway curve and interchange and Bracken Ridge</w:t>
      </w:r>
    </w:p>
    <w:p w14:paraId="4851E975" w14:textId="77777777" w:rsidR="00FA2FF9" w:rsidRPr="00730DE4" w:rsidRDefault="00FA2FF9" w:rsidP="00E56388">
      <w:pPr>
        <w:pStyle w:val="ListBullet"/>
      </w:pPr>
      <w:r w:rsidRPr="00730DE4">
        <w:t xml:space="preserve">staged improvements to the major interchange where the Gateway Motorway and Gympie Arterial Road join the Bruce Highway. </w:t>
      </w:r>
    </w:p>
    <w:p w14:paraId="0975FEBB" w14:textId="77777777" w:rsidR="00FA2FF9" w:rsidRPr="00730DE4" w:rsidRDefault="00FA2FF9" w:rsidP="00E56388">
      <w:pPr>
        <w:pStyle w:val="ListBullet"/>
        <w:rPr>
          <w:color w:val="auto"/>
        </w:rPr>
      </w:pPr>
      <w:r w:rsidRPr="00730DE4">
        <w:rPr>
          <w:color w:val="auto"/>
        </w:rPr>
        <w:t>Procurement for a design and construct contractor for this stage will progress from early-September 2024.</w:t>
      </w:r>
    </w:p>
    <w:p w14:paraId="0EB9FB84" w14:textId="77777777" w:rsidR="00FA2FF9" w:rsidRPr="00730DE4" w:rsidRDefault="00FA2FF9" w:rsidP="00E56388">
      <w:pPr>
        <w:rPr>
          <w:rFonts w:cs="Arial"/>
          <w:color w:val="auto"/>
          <w:szCs w:val="24"/>
        </w:rPr>
      </w:pPr>
      <w:r w:rsidRPr="00730DE4">
        <w:rPr>
          <w:rFonts w:cs="Arial"/>
          <w:color w:val="auto"/>
          <w:szCs w:val="24"/>
        </w:rPr>
        <w:t xml:space="preserve">The Bruce Highway, (Brisbane–Gympie), Gateway Motorway to Dohles Rocks Road upgrade (Stage Two) is the next priority section to be delivered upgrading the Bruce Highway from the Pine River to Dohles Rocks Road. This stage includes building two new bridges and providing an active transport connection across the Pine River, and installing collector-distributor roads on either side of the Bruce Highway between the Gateway Motorway and Dohles Rocks Road. Procurement for design only will progress from mid-September 2024. </w:t>
      </w:r>
    </w:p>
    <w:p w14:paraId="0FF2B78B" w14:textId="77777777" w:rsidR="00FA2FF9" w:rsidRPr="00730DE4" w:rsidRDefault="00FA2FF9" w:rsidP="00E56388">
      <w:pPr>
        <w:rPr>
          <w:rFonts w:cs="Arial"/>
          <w:bCs/>
          <w:szCs w:val="24"/>
        </w:rPr>
      </w:pPr>
      <w:r w:rsidRPr="00730DE4">
        <w:rPr>
          <w:color w:val="auto"/>
          <w:szCs w:val="24"/>
        </w:rPr>
        <w:t xml:space="preserve">These projects are jointly funded by the Australian and Queensland governments. </w:t>
      </w:r>
      <w:r w:rsidRPr="00730DE4">
        <w:rPr>
          <w:rFonts w:cs="Arial"/>
          <w:bCs/>
          <w:color w:val="auto"/>
          <w:szCs w:val="24"/>
        </w:rPr>
        <w:t xml:space="preserve"> </w:t>
      </w:r>
    </w:p>
    <w:p w14:paraId="6D781900" w14:textId="77777777" w:rsidR="00FA2FF9" w:rsidRPr="00730DE4" w:rsidRDefault="00FA2FF9" w:rsidP="005E6EDB">
      <w:pPr>
        <w:pStyle w:val="MessageHeader"/>
      </w:pPr>
      <w:r w:rsidRPr="00730DE4">
        <w:t xml:space="preserve">For more information </w:t>
      </w:r>
      <w:r w:rsidRPr="00730DE4">
        <w:br/>
      </w:r>
      <w:hyperlink r:id="rId90" w:history="1">
        <w:r w:rsidRPr="00730DE4">
          <w:rPr>
            <w:rStyle w:val="Hyperlink"/>
          </w:rPr>
          <w:t>https://www.tmr.qld.gov.au/projects/programs/gateway-motorway-and-bruce-highway-upgrades</w:t>
        </w:r>
      </w:hyperlink>
    </w:p>
    <w:p w14:paraId="3363F61C" w14:textId="77777777" w:rsidR="00FA2FF9" w:rsidRPr="00730DE4" w:rsidRDefault="00FA2FF9" w:rsidP="002B7001">
      <w:pPr>
        <w:pStyle w:val="Heading4"/>
      </w:pPr>
      <w:bookmarkStart w:id="777" w:name="_Toc180487482"/>
      <w:bookmarkStart w:id="778" w:name="_Toc180490688"/>
      <w:bookmarkStart w:id="779" w:name="_Toc180491721"/>
      <w:r w:rsidRPr="00730DE4">
        <w:t>Carseldine train station, upgrade to existing park 'n' ride</w:t>
      </w:r>
      <w:bookmarkEnd w:id="777"/>
      <w:bookmarkEnd w:id="778"/>
      <w:bookmarkEnd w:id="779"/>
      <w:r w:rsidRPr="00730DE4">
        <w:t xml:space="preserve"> </w:t>
      </w:r>
    </w:p>
    <w:p w14:paraId="1CE5533C" w14:textId="77777777" w:rsidR="00FA2FF9" w:rsidRPr="00730DE4" w:rsidRDefault="00FA2FF9" w:rsidP="005E6EDB">
      <w:r w:rsidRPr="00730DE4">
        <w:t>The upgrade of the existing Carseldine station park 'n' ride was completed in November 2023.</w:t>
      </w:r>
    </w:p>
    <w:p w14:paraId="24B6EE14" w14:textId="77777777" w:rsidR="00FA2FF9" w:rsidRPr="00730DE4" w:rsidRDefault="00FA2FF9" w:rsidP="005E6EDB">
      <w:r w:rsidRPr="00730DE4">
        <w:t>Works included building a new entry on Balcara Avenue to minimise disruption for park 'n' ride customers once construction of the Beams Road overpass commenced.</w:t>
      </w:r>
    </w:p>
    <w:p w14:paraId="18D84178" w14:textId="77777777" w:rsidR="00FA2FF9" w:rsidRPr="00730DE4" w:rsidRDefault="00FA2FF9" w:rsidP="005E6EDB">
      <w:r w:rsidRPr="00730DE4">
        <w:t>The existing bus stops, kiss 'n' ride, and bike facilities were also upgraded.</w:t>
      </w:r>
    </w:p>
    <w:p w14:paraId="3B546805" w14:textId="77777777" w:rsidR="00FA2FF9" w:rsidRPr="00730DE4" w:rsidRDefault="00FA2FF9" w:rsidP="005E6EDB">
      <w:r w:rsidRPr="00730DE4">
        <w:t>A new car park was constructed on the eastern side of the station in 2021. The upgrade of the existing car park increased the total parking capacity at Carseldine station (east and west) to around 370 car spaces and nine dedicated accessible spaces.</w:t>
      </w:r>
    </w:p>
    <w:p w14:paraId="30274FF9" w14:textId="77777777" w:rsidR="00FA2FF9" w:rsidRPr="00730DE4" w:rsidRDefault="00FA2FF9" w:rsidP="005E6EDB">
      <w:r w:rsidRPr="00730DE4">
        <w:t>This project was fully funded by the Queensland Government.</w:t>
      </w:r>
    </w:p>
    <w:p w14:paraId="6F33DA39" w14:textId="77777777" w:rsidR="00FA2FF9" w:rsidRPr="00730DE4" w:rsidRDefault="00FA2FF9" w:rsidP="002B7001">
      <w:pPr>
        <w:pStyle w:val="Heading4"/>
      </w:pPr>
      <w:bookmarkStart w:id="780" w:name="_Toc180487483"/>
      <w:bookmarkStart w:id="781" w:name="_Toc180490689"/>
      <w:bookmarkStart w:id="782" w:name="_Toc180491722"/>
      <w:bookmarkStart w:id="783" w:name="_Hlk173149286"/>
      <w:r w:rsidRPr="00730DE4">
        <w:t>Logan and Gold Coast Faster Rail</w:t>
      </w:r>
      <w:bookmarkEnd w:id="780"/>
      <w:bookmarkEnd w:id="781"/>
      <w:bookmarkEnd w:id="782"/>
    </w:p>
    <w:p w14:paraId="3347A396" w14:textId="77777777" w:rsidR="00FA2FF9" w:rsidRPr="00730DE4" w:rsidRDefault="00FA2FF9" w:rsidP="005E6EDB">
      <w:r w:rsidRPr="00730DE4">
        <w:t>The LGC project will deliver improved rail infrastructure and services between Brisbane, Logan, and the Gold Coast, in response to continued population growth and demand for public transport services in the region.</w:t>
      </w:r>
    </w:p>
    <w:p w14:paraId="5E5B741A" w14:textId="77777777" w:rsidR="00FA2FF9" w:rsidRPr="00730DE4" w:rsidRDefault="00FA2FF9" w:rsidP="005E6EDB">
      <w:r w:rsidRPr="00730DE4">
        <w:t>Key features of the project include:</w:t>
      </w:r>
    </w:p>
    <w:p w14:paraId="7581F5A4" w14:textId="77777777" w:rsidR="00FA2FF9" w:rsidRPr="00730DE4" w:rsidRDefault="00FA2FF9" w:rsidP="005E6EDB">
      <w:pPr>
        <w:pStyle w:val="ListBullet"/>
      </w:pPr>
      <w:r w:rsidRPr="00730DE4">
        <w:t>approximately 20 kilometres of new tracks and rail systems between Kuraby and Beenleigh station, doubling the corridor from two to four tracks and removing a critical network bottleneck</w:t>
      </w:r>
    </w:p>
    <w:p w14:paraId="15B97982" w14:textId="77777777" w:rsidR="00FA2FF9" w:rsidRPr="00730DE4" w:rsidRDefault="00FA2FF9" w:rsidP="005E6EDB">
      <w:pPr>
        <w:pStyle w:val="ListBullet"/>
      </w:pPr>
      <w:r w:rsidRPr="00730DE4">
        <w:t>improved customer accessibility with upgrades to stations, bus stops, and park 'n' ride facilities between Kuraby and Beenleigh, including Loganlea, to be delivered as part of the Loganlea Station Relocation (LSR) project</w:t>
      </w:r>
    </w:p>
    <w:p w14:paraId="07773D7B" w14:textId="77777777" w:rsidR="00FA2FF9" w:rsidRPr="00730DE4" w:rsidRDefault="00FA2FF9" w:rsidP="005E6EDB">
      <w:pPr>
        <w:pStyle w:val="ListBullet"/>
      </w:pPr>
      <w:r w:rsidRPr="00730DE4">
        <w:t>significant safety improvements with five level crossing removals at Kuraby, Woodridge, Bethania, Holmview, and Beenleigh, and new road infrastructure</w:t>
      </w:r>
    </w:p>
    <w:p w14:paraId="047E5594" w14:textId="77777777" w:rsidR="00FA2FF9" w:rsidRPr="00730DE4" w:rsidRDefault="00FA2FF9" w:rsidP="005E6EDB">
      <w:pPr>
        <w:pStyle w:val="ListBullet"/>
      </w:pPr>
      <w:r w:rsidRPr="00730DE4">
        <w:t>new and improved active transport facilities and pathways linking to stations and local communities.</w:t>
      </w:r>
    </w:p>
    <w:p w14:paraId="3B0472A0" w14:textId="77777777" w:rsidR="00EA1647" w:rsidRDefault="00EA1647" w:rsidP="005E6EDB">
      <w:r>
        <w:br w:type="page"/>
      </w:r>
    </w:p>
    <w:p w14:paraId="7DA5C396" w14:textId="7BB071A3" w:rsidR="00FA2FF9" w:rsidRPr="00730DE4" w:rsidRDefault="00FA2FF9" w:rsidP="005E6EDB">
      <w:r w:rsidRPr="00730DE4">
        <w:t>In 2023–24, the community was invited to provide feedback on the refined reference design for LGC and the detailed design for LSR. Local insights will help to inform current procurement activities and future design development once contractors are appointed.</w:t>
      </w:r>
    </w:p>
    <w:p w14:paraId="5B4D53DE" w14:textId="77777777" w:rsidR="00FA2FF9" w:rsidRPr="00730DE4" w:rsidRDefault="00FA2FF9" w:rsidP="005E6EDB">
      <w:r w:rsidRPr="00730DE4">
        <w:t>Procurement of major works packages was a key focus following the Registration of Interest and Request for Proposal phases in 2023, shortlisted proponents for the LGC Rail Package, Open Level Crossing Removal Package, and LSR Package commenced the final stage of procurement in March 2024.</w:t>
      </w:r>
    </w:p>
    <w:p w14:paraId="40974796" w14:textId="77777777" w:rsidR="00FA2FF9" w:rsidRPr="00730DE4" w:rsidRDefault="00FA2FF9" w:rsidP="005E6EDB">
      <w:r w:rsidRPr="00730DE4">
        <w:t>Other project activities in 2023–24 included:</w:t>
      </w:r>
    </w:p>
    <w:p w14:paraId="06A21A77" w14:textId="77777777" w:rsidR="00FA2FF9" w:rsidRPr="00730DE4" w:rsidRDefault="00FA2FF9" w:rsidP="005E6EDB">
      <w:pPr>
        <w:pStyle w:val="ListBullet"/>
      </w:pPr>
      <w:r w:rsidRPr="00730DE4">
        <w:t>continuing to secure land along the project corridor</w:t>
      </w:r>
    </w:p>
    <w:p w14:paraId="13DDF9F6" w14:textId="77777777" w:rsidR="00FA2FF9" w:rsidRPr="00730DE4" w:rsidRDefault="00FA2FF9" w:rsidP="005E6EDB">
      <w:pPr>
        <w:pStyle w:val="ListBullet"/>
      </w:pPr>
      <w:r w:rsidRPr="00730DE4">
        <w:t>undertaking survey and geotechnical investigations</w:t>
      </w:r>
    </w:p>
    <w:p w14:paraId="45CB04B8" w14:textId="77777777" w:rsidR="00FA2FF9" w:rsidRPr="00730DE4" w:rsidRDefault="00FA2FF9" w:rsidP="005E6EDB">
      <w:pPr>
        <w:pStyle w:val="ListBullet"/>
      </w:pPr>
      <w:r w:rsidRPr="00730DE4">
        <w:t>submitting the preliminary documentation for federal environmental approvals</w:t>
      </w:r>
    </w:p>
    <w:p w14:paraId="1880E315" w14:textId="77777777" w:rsidR="00FA2FF9" w:rsidRPr="00730DE4" w:rsidRDefault="00FA2FF9" w:rsidP="005E6EDB">
      <w:pPr>
        <w:pStyle w:val="ListBullet"/>
      </w:pPr>
      <w:r w:rsidRPr="00730DE4">
        <w:t>ongoing engagement with Queensland Rail and other key stakeholders.</w:t>
      </w:r>
    </w:p>
    <w:p w14:paraId="2394671C" w14:textId="77777777" w:rsidR="00FA2FF9" w:rsidRPr="00730DE4" w:rsidRDefault="00FA2FF9" w:rsidP="005E6EDB">
      <w:r w:rsidRPr="00730DE4">
        <w:t>The $173.76 million LSR project is part of the $5.75 billion LGC project, jointly funded by the Australian and Queensland governments.</w:t>
      </w:r>
    </w:p>
    <w:p w14:paraId="0F4465C8" w14:textId="77777777" w:rsidR="00FA2FF9" w:rsidRPr="00730DE4" w:rsidRDefault="00FA2FF9" w:rsidP="005E6EDB">
      <w:pPr>
        <w:pStyle w:val="MessageHeader"/>
      </w:pPr>
      <w:r w:rsidRPr="00730DE4">
        <w:t>For more information</w:t>
      </w:r>
      <w:r w:rsidRPr="00730DE4">
        <w:br/>
      </w:r>
      <w:hyperlink r:id="rId91" w:history="1">
        <w:r w:rsidRPr="00730DE4">
          <w:rPr>
            <w:rStyle w:val="Hyperlink"/>
          </w:rPr>
          <w:t>https://www.tmr.qld.gov.au/projects/programs/logan-and-gold-coast-faster-rail</w:t>
        </w:r>
      </w:hyperlink>
    </w:p>
    <w:bookmarkEnd w:id="783"/>
    <w:p w14:paraId="56CBDA0B" w14:textId="77777777" w:rsidR="00B13631" w:rsidRPr="00730DE4" w:rsidRDefault="00B13631">
      <w:pPr>
        <w:suppressAutoHyphens w:val="0"/>
        <w:spacing w:before="0" w:line="259" w:lineRule="auto"/>
        <w:rPr>
          <w:rFonts w:eastAsiaTheme="majorEastAsia" w:cstheme="majorBidi"/>
          <w:color w:val="080C0F" w:themeColor="text1"/>
          <w:sz w:val="44"/>
          <w:szCs w:val="28"/>
        </w:rPr>
      </w:pPr>
      <w:r w:rsidRPr="00730DE4">
        <w:br w:type="page"/>
      </w:r>
    </w:p>
    <w:p w14:paraId="4E015D82" w14:textId="48F414B9" w:rsidR="00FA2FF9" w:rsidRPr="00730DE4" w:rsidRDefault="00FA2FF9" w:rsidP="002B7001">
      <w:pPr>
        <w:pStyle w:val="Heading3"/>
      </w:pPr>
      <w:bookmarkStart w:id="784" w:name="_Toc180487484"/>
      <w:bookmarkStart w:id="785" w:name="_Toc180490690"/>
      <w:bookmarkStart w:id="786" w:name="_Toc180491723"/>
      <w:r w:rsidRPr="00730DE4">
        <w:t>South Coast</w:t>
      </w:r>
      <w:bookmarkEnd w:id="784"/>
      <w:bookmarkEnd w:id="785"/>
      <w:bookmarkEnd w:id="786"/>
    </w:p>
    <w:p w14:paraId="256D1261" w14:textId="77777777" w:rsidR="00FA2FF9" w:rsidRPr="00730DE4" w:rsidRDefault="00FA2FF9" w:rsidP="003D2369">
      <w:pPr>
        <w:pStyle w:val="ListBullet"/>
      </w:pPr>
      <w:r w:rsidRPr="00730DE4">
        <w:t xml:space="preserve">Area covered: </w:t>
      </w:r>
      <w:r w:rsidRPr="00730DE4">
        <w:rPr>
          <w:rStyle w:val="Strong"/>
        </w:rPr>
        <w:t>6535 km</w:t>
      </w:r>
      <w:r w:rsidRPr="00730DE4">
        <w:rPr>
          <w:rStyle w:val="Strong"/>
          <w:vertAlign w:val="superscript"/>
        </w:rPr>
        <w:t>2</w:t>
      </w:r>
    </w:p>
    <w:p w14:paraId="6466D805" w14:textId="77777777" w:rsidR="00FA2FF9" w:rsidRPr="00730DE4" w:rsidRDefault="00FA2FF9" w:rsidP="003D2369">
      <w:pPr>
        <w:pStyle w:val="ListBullet"/>
        <w:rPr>
          <w:b/>
          <w:bCs/>
        </w:rPr>
      </w:pPr>
      <w:r w:rsidRPr="00730DE4">
        <w:t xml:space="preserve">Population of Queensland: </w:t>
      </w:r>
      <w:r w:rsidRPr="00730DE4">
        <w:rPr>
          <w:rStyle w:val="Strong"/>
        </w:rPr>
        <w:t>19.95%*</w:t>
      </w:r>
    </w:p>
    <w:p w14:paraId="587A2E47" w14:textId="77777777" w:rsidR="00FA2FF9" w:rsidRPr="00730DE4" w:rsidRDefault="00FA2FF9" w:rsidP="002B7001">
      <w:pPr>
        <w:pStyle w:val="Heading4"/>
      </w:pPr>
      <w:bookmarkStart w:id="787" w:name="_Toc180487485"/>
      <w:bookmarkStart w:id="788" w:name="_Toc180490691"/>
      <w:bookmarkStart w:id="789" w:name="_Toc180491724"/>
      <w:r w:rsidRPr="00730DE4">
        <w:t>Fast facts</w:t>
      </w:r>
      <w:bookmarkEnd w:id="787"/>
      <w:bookmarkEnd w:id="788"/>
      <w:bookmarkEnd w:id="789"/>
    </w:p>
    <w:p w14:paraId="624E3A4D" w14:textId="77777777" w:rsidR="00FA2FF9" w:rsidRPr="00730DE4" w:rsidRDefault="00FA2FF9" w:rsidP="003D2369">
      <w:pPr>
        <w:pStyle w:val="ListBullet"/>
      </w:pPr>
      <w:r w:rsidRPr="00730DE4">
        <w:t xml:space="preserve">State-controlled road**: </w:t>
      </w:r>
      <w:r w:rsidRPr="00730DE4">
        <w:rPr>
          <w:rStyle w:val="Strong"/>
        </w:rPr>
        <w:t>1047KM</w:t>
      </w:r>
    </w:p>
    <w:p w14:paraId="6E1F7403" w14:textId="77777777" w:rsidR="00FA2FF9" w:rsidRPr="00730DE4" w:rsidRDefault="00FA2FF9" w:rsidP="003D2369">
      <w:pPr>
        <w:pStyle w:val="ListBullet"/>
      </w:pPr>
      <w:r w:rsidRPr="00730DE4">
        <w:t xml:space="preserve">National Land Transport Network**: </w:t>
      </w:r>
      <w:r w:rsidRPr="00730DE4">
        <w:rPr>
          <w:rStyle w:val="Strong"/>
        </w:rPr>
        <w:t>179KM</w:t>
      </w:r>
    </w:p>
    <w:p w14:paraId="47B28157" w14:textId="77777777" w:rsidR="00FA2FF9" w:rsidRPr="00730DE4" w:rsidRDefault="00FA2FF9" w:rsidP="003D2369">
      <w:pPr>
        <w:pStyle w:val="ListBullet"/>
      </w:pPr>
      <w:r w:rsidRPr="00730DE4">
        <w:t xml:space="preserve">Vehicle and machinery registrations: </w:t>
      </w:r>
      <w:r w:rsidRPr="00730DE4">
        <w:rPr>
          <w:rStyle w:val="Strong"/>
        </w:rPr>
        <w:t>1,157,092</w:t>
      </w:r>
    </w:p>
    <w:p w14:paraId="2618AFF6" w14:textId="77777777" w:rsidR="00FA2FF9" w:rsidRPr="00730DE4" w:rsidRDefault="00FA2FF9" w:rsidP="003D2369">
      <w:pPr>
        <w:pStyle w:val="ListBullet"/>
      </w:pPr>
      <w:r w:rsidRPr="00730DE4">
        <w:t xml:space="preserve">Boating infrastructures: </w:t>
      </w:r>
      <w:r w:rsidRPr="00730DE4">
        <w:rPr>
          <w:rStyle w:val="Strong"/>
        </w:rPr>
        <w:t>8</w:t>
      </w:r>
    </w:p>
    <w:p w14:paraId="1C23438A" w14:textId="77777777" w:rsidR="00FA2FF9" w:rsidRPr="00730DE4" w:rsidRDefault="00FA2FF9" w:rsidP="003D2369">
      <w:pPr>
        <w:pStyle w:val="ListBullet"/>
      </w:pPr>
      <w:r w:rsidRPr="00730DE4">
        <w:t xml:space="preserve">Community safety events held: </w:t>
      </w:r>
      <w:r w:rsidRPr="00730DE4">
        <w:rPr>
          <w:rStyle w:val="Strong"/>
        </w:rPr>
        <w:t>19</w:t>
      </w:r>
    </w:p>
    <w:p w14:paraId="0FE2D070" w14:textId="77777777" w:rsidR="00FA2FF9" w:rsidRPr="00730DE4" w:rsidRDefault="00FA2FF9" w:rsidP="003D2369">
      <w:pPr>
        <w:pStyle w:val="ListBullet"/>
      </w:pPr>
      <w:r w:rsidRPr="00730DE4">
        <w:t xml:space="preserve">Vehicle and machinery inspections completed: </w:t>
      </w:r>
      <w:r w:rsidRPr="00730DE4">
        <w:rPr>
          <w:rStyle w:val="Strong"/>
        </w:rPr>
        <w:t>7288</w:t>
      </w:r>
    </w:p>
    <w:p w14:paraId="0B632139" w14:textId="77777777" w:rsidR="00FA2FF9" w:rsidRPr="00730DE4" w:rsidRDefault="00FA2FF9" w:rsidP="003D2369">
      <w:pPr>
        <w:pStyle w:val="ListBullet"/>
      </w:pPr>
      <w:r w:rsidRPr="00730DE4">
        <w:t xml:space="preserve">Bridges***: </w:t>
      </w:r>
      <w:r w:rsidRPr="00730DE4">
        <w:rPr>
          <w:rStyle w:val="Strong"/>
        </w:rPr>
        <w:t>341</w:t>
      </w:r>
    </w:p>
    <w:p w14:paraId="74FE3496" w14:textId="77777777" w:rsidR="00FA2FF9" w:rsidRPr="00730DE4" w:rsidRDefault="00FA2FF9" w:rsidP="003D2369">
      <w:pPr>
        <w:pStyle w:val="ListBullet"/>
      </w:pPr>
      <w:r w:rsidRPr="00730DE4">
        <w:t xml:space="preserve">Driver licence tests conducted: </w:t>
      </w:r>
      <w:r w:rsidRPr="00730DE4">
        <w:rPr>
          <w:rStyle w:val="Strong"/>
        </w:rPr>
        <w:t>47,991</w:t>
      </w:r>
    </w:p>
    <w:p w14:paraId="57345720" w14:textId="77777777" w:rsidR="00FA2FF9" w:rsidRPr="00730DE4" w:rsidRDefault="00FA2FF9" w:rsidP="003D2369">
      <w:pPr>
        <w:pStyle w:val="ListBullet"/>
      </w:pPr>
      <w:r w:rsidRPr="00730DE4">
        <w:t xml:space="preserve">Customer face-to-face interactions: </w:t>
      </w:r>
      <w:r w:rsidRPr="00730DE4">
        <w:rPr>
          <w:rStyle w:val="Strong"/>
        </w:rPr>
        <w:t>746,831</w:t>
      </w:r>
    </w:p>
    <w:p w14:paraId="0DFF518D" w14:textId="77777777" w:rsidR="00FA2FF9" w:rsidRPr="00730DE4" w:rsidRDefault="00FA2FF9" w:rsidP="003D2369">
      <w:pPr>
        <w:pStyle w:val="ListBullet"/>
        <w:rPr>
          <w:rStyle w:val="Strong"/>
          <w:b w:val="0"/>
          <w:bCs w:val="0"/>
        </w:rPr>
      </w:pPr>
      <w:r w:rsidRPr="00730DE4">
        <w:t xml:space="preserve">Priority-enabled intersections: </w:t>
      </w:r>
      <w:r w:rsidRPr="00730DE4">
        <w:rPr>
          <w:rStyle w:val="Strong"/>
        </w:rPr>
        <w:t>710</w:t>
      </w:r>
    </w:p>
    <w:p w14:paraId="3E8D2130" w14:textId="77777777" w:rsidR="005628F2" w:rsidRPr="00730DE4" w:rsidRDefault="00FA2FF9" w:rsidP="005628F2">
      <w:pPr>
        <w:pStyle w:val="Caption"/>
        <w:rPr>
          <w:rStyle w:val="Strong"/>
        </w:rPr>
      </w:pPr>
      <w:r w:rsidRPr="00730DE4">
        <w:rPr>
          <w:rStyle w:val="Strong"/>
        </w:rPr>
        <w:t xml:space="preserve">Data source: </w:t>
      </w:r>
      <w:r w:rsidRPr="00730DE4">
        <w:t>*Queensland Government Statistician's Office (Queensland Treasury), Queensland Regional Profiles. www.qgso.qld.gov.au, July 2024</w:t>
      </w:r>
      <w:r w:rsidRPr="00730DE4">
        <w:rPr>
          <w:rStyle w:val="Strong"/>
        </w:rPr>
        <w:t xml:space="preserve"> </w:t>
      </w:r>
    </w:p>
    <w:p w14:paraId="28D7E59D" w14:textId="77777777" w:rsidR="005628F2" w:rsidRPr="00730DE4" w:rsidRDefault="00FA2FF9" w:rsidP="005628F2">
      <w:pPr>
        <w:pStyle w:val="Caption"/>
      </w:pPr>
      <w:r w:rsidRPr="00730DE4">
        <w:rPr>
          <w:rStyle w:val="Strong"/>
        </w:rPr>
        <w:t>Data source:</w:t>
      </w:r>
      <w:r w:rsidRPr="00730DE4">
        <w:t xml:space="preserve"> **A Road Management Information System (ARMIS) 30 June 2024</w:t>
      </w:r>
    </w:p>
    <w:p w14:paraId="0AB46E50" w14:textId="7D908907" w:rsidR="005628F2" w:rsidRPr="00730DE4" w:rsidRDefault="00FA2FF9" w:rsidP="005628F2">
      <w:pPr>
        <w:pStyle w:val="Caption"/>
      </w:pPr>
      <w:r w:rsidRPr="00730DE4">
        <w:rPr>
          <w:rStyle w:val="Strong"/>
        </w:rPr>
        <w:t>Data source:</w:t>
      </w:r>
      <w:r w:rsidRPr="00730DE4">
        <w:t xml:space="preserve"> ***Bridge Information System (BIS), 30 June 2024</w:t>
      </w:r>
    </w:p>
    <w:p w14:paraId="68555460" w14:textId="77777777" w:rsidR="00FA2FF9" w:rsidRPr="00730DE4" w:rsidRDefault="00FA2FF9" w:rsidP="002B7001">
      <w:pPr>
        <w:pStyle w:val="Heading4"/>
      </w:pPr>
      <w:bookmarkStart w:id="790" w:name="_Toc180487486"/>
      <w:bookmarkStart w:id="791" w:name="_Toc180490692"/>
      <w:bookmarkStart w:id="792" w:name="_Toc180491725"/>
      <w:r w:rsidRPr="00730DE4">
        <w:t>Coomera Connector Stage One</w:t>
      </w:r>
      <w:bookmarkEnd w:id="790"/>
      <w:bookmarkEnd w:id="791"/>
      <w:bookmarkEnd w:id="792"/>
    </w:p>
    <w:p w14:paraId="2C92E428" w14:textId="77777777" w:rsidR="00FA2FF9" w:rsidRPr="00730DE4" w:rsidRDefault="00FA2FF9" w:rsidP="00816234">
      <w:r w:rsidRPr="00730DE4">
        <w:t>As a new north-south high-speed motorway, the Coomera Connector will help reduce M1 congestion by providing an alternative route for growing northern Gold Coast communities. Motorists will benefit from more reliable travel times between the Gold Coast and Brisbane and increased safety on the M1.</w:t>
      </w:r>
    </w:p>
    <w:p w14:paraId="1A47A0FC" w14:textId="77777777" w:rsidR="00FA2FF9" w:rsidRPr="00730DE4" w:rsidRDefault="00FA2FF9" w:rsidP="00816234">
      <w:r w:rsidRPr="00730DE4">
        <w:t>The Stage One corridor has been identified as the priority and construction on this 16-kilometre section from Coomera to Nerang is well underway.</w:t>
      </w:r>
    </w:p>
    <w:p w14:paraId="48F79DD7" w14:textId="77777777" w:rsidR="00FA2FF9" w:rsidRPr="00730DE4" w:rsidRDefault="00FA2FF9" w:rsidP="00816234">
      <w:r w:rsidRPr="00730DE4">
        <w:t>The project is being delivered in three separate packages and includes new bridge crossings at the Coomera and Nerang rivers. Active transport is a key feature of the Coomera Connector and a new shared path along the Stage One route will provide opportunities for the community that have previously been unavailable.</w:t>
      </w:r>
    </w:p>
    <w:p w14:paraId="5E6F2715" w14:textId="77777777" w:rsidR="00FA2FF9" w:rsidRPr="00730DE4" w:rsidRDefault="00FA2FF9" w:rsidP="00816234">
      <w:r w:rsidRPr="00730DE4">
        <w:t>This $3.026 billion project is expected to progressively open to traffic from late-2025 and is jointly funded by the Australian and Queensland governments.</w:t>
      </w:r>
    </w:p>
    <w:p w14:paraId="693B32A2" w14:textId="77777777" w:rsidR="00FA2FF9" w:rsidRPr="00730DE4" w:rsidRDefault="00FA2FF9" w:rsidP="00816234">
      <w:pPr>
        <w:pStyle w:val="MessageHeader"/>
      </w:pPr>
      <w:r w:rsidRPr="00730DE4">
        <w:t xml:space="preserve">For more information </w:t>
      </w:r>
      <w:r w:rsidRPr="00730DE4">
        <w:br/>
      </w:r>
      <w:hyperlink r:id="rId92" w:history="1">
        <w:r w:rsidRPr="00730DE4">
          <w:rPr>
            <w:rStyle w:val="Hyperlink"/>
          </w:rPr>
          <w:t>https://www.tmr.qld.gov.au/projects/programs/coomera-connector</w:t>
        </w:r>
      </w:hyperlink>
    </w:p>
    <w:p w14:paraId="1F12612C" w14:textId="77777777" w:rsidR="00FA2FF9" w:rsidRPr="00730DE4" w:rsidRDefault="00FA2FF9" w:rsidP="002B7001">
      <w:pPr>
        <w:pStyle w:val="Heading4"/>
      </w:pPr>
      <w:bookmarkStart w:id="793" w:name="_Toc180487487"/>
      <w:bookmarkStart w:id="794" w:name="_Toc180490693"/>
      <w:bookmarkStart w:id="795" w:name="_Toc180491726"/>
      <w:r w:rsidRPr="00730DE4">
        <w:t>M1 Program</w:t>
      </w:r>
      <w:bookmarkEnd w:id="793"/>
      <w:bookmarkEnd w:id="794"/>
      <w:bookmarkEnd w:id="795"/>
    </w:p>
    <w:p w14:paraId="1F26932D" w14:textId="77777777" w:rsidR="00FA2FF9" w:rsidRPr="00730DE4" w:rsidRDefault="00FA2FF9" w:rsidP="00816234">
      <w:r w:rsidRPr="00730DE4">
        <w:t>The M1 between Brisbane and the southern Gold Coast is being upgraded and widened in a series of stages.</w:t>
      </w:r>
    </w:p>
    <w:p w14:paraId="25E8F60C" w14:textId="77777777" w:rsidR="00FA2FF9" w:rsidRPr="00730DE4" w:rsidRDefault="00FA2FF9" w:rsidP="00816234">
      <w:r w:rsidRPr="00730DE4">
        <w:t>Two of four packages of the M1 North Eight Mile Plains to Daisy Hill upgrade are now complete, and construction is ongoing for the remainder of works, including the South East Busway. The business case for the ten-kilometre Daisy Hill to Logan Motorway section is under review.</w:t>
      </w:r>
    </w:p>
    <w:p w14:paraId="7533F5E2" w14:textId="77777777" w:rsidR="00FA2FF9" w:rsidRPr="00730DE4" w:rsidRDefault="00FA2FF9" w:rsidP="00816234">
      <w:r w:rsidRPr="00730DE4">
        <w:t>In the M1 Central area, work is progressing on the Exit 49 interchange upgrade at Pimpama.</w:t>
      </w:r>
    </w:p>
    <w:p w14:paraId="656CE2E6" w14:textId="77777777" w:rsidR="00FA2FF9" w:rsidRPr="00730DE4" w:rsidRDefault="00FA2FF9" w:rsidP="00816234">
      <w:r w:rsidRPr="00730DE4">
        <w:t>The M1 South upgrade from Varsity Lakes to Burleigh is complete and the upgrade between Burleigh and Tugun is progressing with the bridge and carriageway construction continuing.</w:t>
      </w:r>
    </w:p>
    <w:p w14:paraId="1D497EE1" w14:textId="77777777" w:rsidR="00FA2FF9" w:rsidRPr="00730DE4" w:rsidRDefault="00FA2FF9" w:rsidP="00816234">
      <w:r w:rsidRPr="00730DE4">
        <w:t>This program is jointly funded by the Australian and Queensland governments.</w:t>
      </w:r>
    </w:p>
    <w:p w14:paraId="279531BE" w14:textId="77777777" w:rsidR="00FA2FF9" w:rsidRPr="00730DE4" w:rsidRDefault="00FA2FF9" w:rsidP="00816234">
      <w:pPr>
        <w:pStyle w:val="MessageHeader"/>
      </w:pPr>
      <w:r w:rsidRPr="00730DE4">
        <w:t xml:space="preserve">For more information </w:t>
      </w:r>
      <w:r w:rsidRPr="00730DE4">
        <w:br/>
      </w:r>
      <w:hyperlink r:id="rId93" w:history="1">
        <w:r w:rsidRPr="00730DE4">
          <w:rPr>
            <w:rStyle w:val="Hyperlink"/>
          </w:rPr>
          <w:t>https://www.tmr.qld.gov.au/projects/programs/pacific-motorway-m1-upgrade-program</w:t>
        </w:r>
      </w:hyperlink>
    </w:p>
    <w:p w14:paraId="21A1FBC0" w14:textId="77777777" w:rsidR="00FA2FF9" w:rsidRPr="00730DE4" w:rsidRDefault="00FA2FF9" w:rsidP="002B7001">
      <w:pPr>
        <w:pStyle w:val="Heading4"/>
      </w:pPr>
      <w:bookmarkStart w:id="796" w:name="_Toc180487488"/>
      <w:bookmarkStart w:id="797" w:name="_Toc180490694"/>
      <w:bookmarkStart w:id="798" w:name="_Toc180491727"/>
      <w:r w:rsidRPr="00730DE4">
        <w:t>Case study: Cunninghams Gap Reconstruction Project and the Queensland Trucking Association</w:t>
      </w:r>
      <w:bookmarkEnd w:id="796"/>
      <w:bookmarkEnd w:id="797"/>
      <w:bookmarkEnd w:id="798"/>
    </w:p>
    <w:p w14:paraId="5E43B14A" w14:textId="77777777" w:rsidR="00FA2FF9" w:rsidRPr="00730DE4" w:rsidRDefault="00FA2FF9" w:rsidP="004C216F">
      <w:bookmarkStart w:id="799" w:name="_Hlk171067961"/>
      <w:r w:rsidRPr="00730DE4">
        <w:t>Following severe bushfires in 2019–20, significant slope damage occurred at Cunninghams Gap. TMR is continuing to repair a two-kilometre section of the Cunningham Highway to maintain highway safety and safeguard the surrounding environment.</w:t>
      </w:r>
    </w:p>
    <w:bookmarkEnd w:id="799"/>
    <w:p w14:paraId="65F55B17" w14:textId="77777777" w:rsidR="00FA2FF9" w:rsidRPr="00730DE4" w:rsidRDefault="00FA2FF9" w:rsidP="004C216F">
      <w:r w:rsidRPr="00730DE4">
        <w:t>The Cunningham Highway is a National Freight Route that carries a high volume of heavy vehicles. Any traffic impacts on this route have the potential to significantly affect heavy vehicle operators. To ensure the heavy vehicle industry is considered throughout the project, TMR regularly engages with the Queensland Trucking Association on proposed traffic changes and some design elements.</w:t>
      </w:r>
    </w:p>
    <w:p w14:paraId="10B48130" w14:textId="77777777" w:rsidR="00FA2FF9" w:rsidRPr="00730DE4" w:rsidRDefault="00FA2FF9" w:rsidP="004C216F">
      <w:r w:rsidRPr="00730DE4">
        <w:t>In addition, TMR partnered with the Queensland Trucking Association to produce industry educational videos for the Cunninghams Gap Reconstruction Project.</w:t>
      </w:r>
    </w:p>
    <w:p w14:paraId="77CCBD44" w14:textId="77777777" w:rsidR="00FA2FF9" w:rsidRPr="00730DE4" w:rsidRDefault="00FA2FF9" w:rsidP="004C216F">
      <w:r w:rsidRPr="00730DE4">
        <w:t>The videos demonstrate TMR's understanding of the crucial role freight movement plays along the Cunningham Highway and how TMR can assist heavy vehicles to travel safely through major roadworks at Cunninghams Gap.</w:t>
      </w:r>
    </w:p>
    <w:p w14:paraId="7E5E0C7D" w14:textId="77777777" w:rsidR="00EA1647" w:rsidRDefault="00EA1647" w:rsidP="004C216F">
      <w:r>
        <w:br w:type="page"/>
      </w:r>
    </w:p>
    <w:p w14:paraId="0485C7B4" w14:textId="1AF68521" w:rsidR="00FA2FF9" w:rsidRPr="00730DE4" w:rsidRDefault="00FA2FF9" w:rsidP="004C216F">
      <w:r w:rsidRPr="00730DE4">
        <w:t>TMR and the Queensland Trucking Association will continue to develop additional educational videos throughout the project to inform and educate industry.</w:t>
      </w:r>
    </w:p>
    <w:p w14:paraId="1B4AEA62" w14:textId="77777777" w:rsidR="00FA2FF9" w:rsidRPr="00730DE4" w:rsidRDefault="00FA2FF9" w:rsidP="004C216F">
      <w:r w:rsidRPr="00730DE4">
        <w:t>These recovery works are jointly funded by the Australian and Queensland governments through the DRFA.</w:t>
      </w:r>
    </w:p>
    <w:p w14:paraId="240E689A" w14:textId="77777777" w:rsidR="00FA2FF9" w:rsidRPr="00730DE4" w:rsidRDefault="00FA2FF9" w:rsidP="004C216F">
      <w:pPr>
        <w:pStyle w:val="MessageHeader"/>
      </w:pPr>
      <w:r w:rsidRPr="00730DE4">
        <w:t xml:space="preserve">For more information </w:t>
      </w:r>
      <w:r w:rsidRPr="00730DE4">
        <w:br/>
      </w:r>
      <w:hyperlink r:id="rId94" w:history="1">
        <w:r w:rsidRPr="00730DE4">
          <w:rPr>
            <w:rStyle w:val="Hyperlink"/>
          </w:rPr>
          <w:t>https://www.tmr.qld.gov.au/projects/cunningham-highway-ipswich-warwick-2020-disaster-recovery-funding-arrangements-reconstruction-works</w:t>
        </w:r>
      </w:hyperlink>
      <w:r w:rsidRPr="00730DE4">
        <w:br/>
      </w:r>
      <w:hyperlink r:id="rId95" w:history="1">
        <w:r w:rsidRPr="00730DE4">
          <w:rPr>
            <w:rStyle w:val="Hyperlink"/>
          </w:rPr>
          <w:t>https://www.youtube.com/playlist?list=PLCK8wjaTpQ_oqs_rQFcMAemSOpfn7DP_Q</w:t>
        </w:r>
      </w:hyperlink>
    </w:p>
    <w:p w14:paraId="57CF9BDC" w14:textId="77777777" w:rsidR="00FA2FF9" w:rsidRPr="00730DE4" w:rsidRDefault="00FA2FF9" w:rsidP="002B7001">
      <w:pPr>
        <w:pStyle w:val="Heading4"/>
      </w:pPr>
      <w:bookmarkStart w:id="800" w:name="_Toc180487489"/>
      <w:bookmarkStart w:id="801" w:name="_Toc180490695"/>
      <w:bookmarkStart w:id="802" w:name="_Toc180491728"/>
      <w:r w:rsidRPr="00730DE4">
        <w:t>Mount Lindesay Highway</w:t>
      </w:r>
      <w:bookmarkEnd w:id="800"/>
      <w:bookmarkEnd w:id="801"/>
      <w:bookmarkEnd w:id="802"/>
      <w:r w:rsidRPr="00730DE4">
        <w:t xml:space="preserve"> </w:t>
      </w:r>
    </w:p>
    <w:p w14:paraId="529B1E70" w14:textId="77777777" w:rsidR="00FA2FF9" w:rsidRPr="00730DE4" w:rsidRDefault="00FA2FF9" w:rsidP="00E31DB2">
      <w:r w:rsidRPr="00730DE4">
        <w:t>TMR has a ten-year strategic plan for the Mount Lindesay Highway between Browns Plains and Beaudesert.</w:t>
      </w:r>
    </w:p>
    <w:p w14:paraId="23EB8E86" w14:textId="77777777" w:rsidR="00FA2FF9" w:rsidRPr="00730DE4" w:rsidRDefault="00FA2FF9" w:rsidP="00E31DB2">
      <w:r w:rsidRPr="00730DE4">
        <w:t xml:space="preserve">Construction is complete on nine of the 17 projects listed in the </w:t>
      </w:r>
      <w:r w:rsidRPr="00730DE4">
        <w:rPr>
          <w:rStyle w:val="Emphasis"/>
        </w:rPr>
        <w:t>Mount Lindesay Highway 10 Year Forward Plan (2018–2028)</w:t>
      </w:r>
      <w:r w:rsidRPr="00730DE4">
        <w:t>.</w:t>
      </w:r>
    </w:p>
    <w:p w14:paraId="1EC76A5F" w14:textId="77777777" w:rsidR="00FA2FF9" w:rsidRPr="00730DE4" w:rsidRDefault="00FA2FF9" w:rsidP="00E31DB2">
      <w:r w:rsidRPr="00730DE4">
        <w:t>Of the remaining projects in the plan, one has allocated construction funding and three are funded planning projects.</w:t>
      </w:r>
    </w:p>
    <w:p w14:paraId="6348811F" w14:textId="77777777" w:rsidR="00FA2FF9" w:rsidRPr="00730DE4" w:rsidRDefault="00FA2FF9" w:rsidP="00E31DB2">
      <w:r w:rsidRPr="00730DE4">
        <w:t>Detailed design and localised early works are now complete on the Mount Lindesay Highway–Johanna Street to South Street upgrade to duplicate the highway from two to four lanes, improve safety, and create new active transport connections around Jimboomba. This project is expected to start construction in late-2024.</w:t>
      </w:r>
    </w:p>
    <w:p w14:paraId="6F8E6E75" w14:textId="77777777" w:rsidR="00FA2FF9" w:rsidRPr="00730DE4" w:rsidRDefault="00FA2FF9" w:rsidP="00E31DB2">
      <w:r w:rsidRPr="00730DE4">
        <w:t>Early planning is also underway for future highway upgrades between the Logan Motorway and Park Ridge Road, North McLean and Jimboomba, and South Street to Cedar Vale Road. Key benefits being considered for future upgrades include lane duplication, environmental protections, and safety improvements.</w:t>
      </w:r>
    </w:p>
    <w:p w14:paraId="4630636F" w14:textId="77777777" w:rsidR="00FA2FF9" w:rsidRPr="00730DE4" w:rsidRDefault="00FA2FF9" w:rsidP="00E31DB2">
      <w:r w:rsidRPr="00730DE4">
        <w:t>This $95 million project is jointly funded by the Australian and Queensland governments. The planning projects are fully funded by the Queensland Government.</w:t>
      </w:r>
    </w:p>
    <w:p w14:paraId="49636693" w14:textId="77777777" w:rsidR="00FA2FF9" w:rsidRPr="00730DE4" w:rsidRDefault="00FA2FF9" w:rsidP="00E31DB2">
      <w:pPr>
        <w:pStyle w:val="MessageHeader"/>
      </w:pPr>
      <w:r w:rsidRPr="00730DE4">
        <w:t xml:space="preserve">For more information </w:t>
      </w:r>
      <w:r w:rsidRPr="00730DE4">
        <w:br/>
      </w:r>
      <w:hyperlink r:id="rId96" w:history="1">
        <w:r w:rsidRPr="00730DE4">
          <w:rPr>
            <w:rStyle w:val="Hyperlink"/>
          </w:rPr>
          <w:t>https://www.tmr.qld.gov.au/projects/programs/mount-lindesay-highway-upgrade-program</w:t>
        </w:r>
      </w:hyperlink>
    </w:p>
    <w:p w14:paraId="0562F9A9" w14:textId="77777777" w:rsidR="00FA2FF9" w:rsidRPr="00730DE4" w:rsidRDefault="00FA2FF9" w:rsidP="002B7001">
      <w:pPr>
        <w:pStyle w:val="Heading4"/>
      </w:pPr>
      <w:bookmarkStart w:id="803" w:name="_Toc180487490"/>
      <w:bookmarkStart w:id="804" w:name="_Toc180490696"/>
      <w:bookmarkStart w:id="805" w:name="_Toc180491729"/>
      <w:r w:rsidRPr="00730DE4">
        <w:t>Case study: Coomera Connector Stage One Koala Management Plan</w:t>
      </w:r>
      <w:bookmarkEnd w:id="803"/>
      <w:bookmarkEnd w:id="804"/>
      <w:bookmarkEnd w:id="805"/>
    </w:p>
    <w:p w14:paraId="41107D38" w14:textId="77777777" w:rsidR="00FA2FF9" w:rsidRPr="00730DE4" w:rsidRDefault="00FA2FF9" w:rsidP="001723B9">
      <w:r w:rsidRPr="00730DE4">
        <w:t>To ensure Coomera Connector Stage One is designed and delivered in an environmentally sensitive manner, TMR investigated a range of measures including widespread koala surveys to avoid and mitigate environmental impacts.</w:t>
      </w:r>
    </w:p>
    <w:p w14:paraId="30A0A95B" w14:textId="77777777" w:rsidR="00FA2FF9" w:rsidRPr="00730DE4" w:rsidRDefault="00FA2FF9" w:rsidP="001723B9">
      <w:r w:rsidRPr="00730DE4">
        <w:t>TMR partnered with koala ecologists and veterinary specialists for these investigations, which informed the Coomera Connector Stage One Koala Management Plan, a critical document that helped secure federal environmental approvals in March 2023.</w:t>
      </w:r>
    </w:p>
    <w:p w14:paraId="1E8DE3FF" w14:textId="77777777" w:rsidR="00FA2FF9" w:rsidRPr="00730DE4" w:rsidRDefault="00FA2FF9" w:rsidP="001723B9">
      <w:r w:rsidRPr="00730DE4">
        <w:t>Work completed under the Koala Management Plan include:</w:t>
      </w:r>
    </w:p>
    <w:p w14:paraId="4470829B" w14:textId="77777777" w:rsidR="00FA2FF9" w:rsidRPr="00730DE4" w:rsidRDefault="00FA2FF9" w:rsidP="001723B9">
      <w:pPr>
        <w:pStyle w:val="ListBullet"/>
      </w:pPr>
      <w:r w:rsidRPr="00730DE4">
        <w:t>more than 700 hectares of habitat surveyed within and adjacent to the corridor</w:t>
      </w:r>
    </w:p>
    <w:p w14:paraId="2B4F4D66" w14:textId="77777777" w:rsidR="00FA2FF9" w:rsidRPr="00730DE4" w:rsidRDefault="00FA2FF9" w:rsidP="001723B9">
      <w:pPr>
        <w:pStyle w:val="ListBullet"/>
      </w:pPr>
      <w:r w:rsidRPr="00730DE4">
        <w:t>almost 30,000 field events completed for koala tagging, tracking, and monitoring</w:t>
      </w:r>
    </w:p>
    <w:p w14:paraId="1C591AC6" w14:textId="77777777" w:rsidR="00FA2FF9" w:rsidRPr="00730DE4" w:rsidRDefault="00FA2FF9" w:rsidP="001723B9">
      <w:pPr>
        <w:pStyle w:val="ListBullet"/>
      </w:pPr>
      <w:r w:rsidRPr="00730DE4">
        <w:t>more than 2800 vet exams undertaken</w:t>
      </w:r>
    </w:p>
    <w:p w14:paraId="2164D3CE" w14:textId="77777777" w:rsidR="00FA2FF9" w:rsidRPr="00730DE4" w:rsidRDefault="00FA2FF9" w:rsidP="001723B9">
      <w:pPr>
        <w:pStyle w:val="ListBullet"/>
      </w:pPr>
      <w:r w:rsidRPr="00730DE4">
        <w:t>more than 260 koalas admitted to the clinic, with 82 per cent being for the treatment of chlamydial infection or disease</w:t>
      </w:r>
    </w:p>
    <w:p w14:paraId="341E5051" w14:textId="77777777" w:rsidR="00FA2FF9" w:rsidRPr="00730DE4" w:rsidRDefault="00FA2FF9" w:rsidP="001723B9">
      <w:pPr>
        <w:pStyle w:val="ListBullet"/>
      </w:pPr>
      <w:r w:rsidRPr="00730DE4">
        <w:t>a significant reduction of diseased koalas due to this treatment, with 53 per cent of diseased koalas in the Pimpama River Conservation Area now down to 3.6 per cent.</w:t>
      </w:r>
    </w:p>
    <w:p w14:paraId="09FBFC09" w14:textId="77777777" w:rsidR="00FA2FF9" w:rsidRPr="00730DE4" w:rsidRDefault="00FA2FF9" w:rsidP="001723B9">
      <w:r w:rsidRPr="00730DE4">
        <w:t>This project is also contributing more than $500,000 to valuable Australian University research programs including testing vaccines and developing a rapid antigen test to improve chlamydia detection.</w:t>
      </w:r>
    </w:p>
    <w:p w14:paraId="2300991F" w14:textId="77777777" w:rsidR="00FA2FF9" w:rsidRPr="00730DE4" w:rsidRDefault="00FA2FF9" w:rsidP="001723B9">
      <w:pPr>
        <w:pStyle w:val="MessageHeader"/>
      </w:pPr>
      <w:r w:rsidRPr="00730DE4">
        <w:t xml:space="preserve">For more information </w:t>
      </w:r>
      <w:r w:rsidRPr="00730DE4">
        <w:br/>
      </w:r>
      <w:hyperlink r:id="rId97" w:history="1">
        <w:r w:rsidRPr="00730DE4">
          <w:rPr>
            <w:rStyle w:val="Hyperlink"/>
          </w:rPr>
          <w:t>https://www.tmr.qld.gov.au/projects/programs/coomera-connector</w:t>
        </w:r>
      </w:hyperlink>
    </w:p>
    <w:p w14:paraId="68FF0869" w14:textId="77777777" w:rsidR="00FA2FF9" w:rsidRPr="00730DE4" w:rsidRDefault="00FA2FF9" w:rsidP="002B7001">
      <w:pPr>
        <w:pStyle w:val="Heading4"/>
      </w:pPr>
      <w:bookmarkStart w:id="806" w:name="_Toc180487491"/>
      <w:bookmarkStart w:id="807" w:name="_Toc180490697"/>
      <w:bookmarkStart w:id="808" w:name="_Toc180491730"/>
      <w:r w:rsidRPr="00730DE4">
        <w:t>Gold Coast Light Rail</w:t>
      </w:r>
      <w:bookmarkEnd w:id="806"/>
      <w:bookmarkEnd w:id="807"/>
      <w:bookmarkEnd w:id="808"/>
      <w:r w:rsidRPr="00730DE4">
        <w:t xml:space="preserve"> </w:t>
      </w:r>
    </w:p>
    <w:p w14:paraId="1AF28F4B" w14:textId="77777777" w:rsidR="00FA2FF9" w:rsidRPr="00730DE4" w:rsidRDefault="00FA2FF9" w:rsidP="00816234">
      <w:r w:rsidRPr="00730DE4">
        <w:t>Gold Coast Light Rail is a city-shaping critical infrastructure project supporting the Gold Coast and its projected population growth for the next two decades.</w:t>
      </w:r>
    </w:p>
    <w:p w14:paraId="66700058" w14:textId="77777777" w:rsidR="00FA2FF9" w:rsidRPr="00730DE4" w:rsidRDefault="00FA2FF9" w:rsidP="00816234">
      <w:r w:rsidRPr="00730DE4">
        <w:t>Major construction is underway on the Gold Coast Light Rail Stage Three, which will extend the light rail system 6.7 kilometres from Broadbeach South to Burleigh Heads and include eight new stations. Stage Three is anticipated to be in testing and commissioning by late-2025. Key project milestones to date include:</w:t>
      </w:r>
    </w:p>
    <w:p w14:paraId="71CA1079" w14:textId="77777777" w:rsidR="00FA2FF9" w:rsidRPr="00730DE4" w:rsidRDefault="00FA2FF9" w:rsidP="00816234">
      <w:pPr>
        <w:pStyle w:val="ListBullet"/>
      </w:pPr>
      <w:r w:rsidRPr="00730DE4">
        <w:t>first piece of track installed at Broadbeach South Station in October 2023</w:t>
      </w:r>
    </w:p>
    <w:p w14:paraId="6FE6F05C" w14:textId="77777777" w:rsidR="00FA2FF9" w:rsidRPr="00730DE4" w:rsidRDefault="00FA2FF9" w:rsidP="00816234">
      <w:pPr>
        <w:pStyle w:val="ListBullet"/>
      </w:pPr>
      <w:r w:rsidRPr="00730DE4">
        <w:t>19 kilometres of underground utilities relocated and upgraded</w:t>
      </w:r>
    </w:p>
    <w:p w14:paraId="099FE3C0" w14:textId="77777777" w:rsidR="00FA2FF9" w:rsidRPr="00730DE4" w:rsidRDefault="00FA2FF9" w:rsidP="00816234">
      <w:pPr>
        <w:pStyle w:val="ListBullet"/>
      </w:pPr>
      <w:r w:rsidRPr="00730DE4">
        <w:t>two new traction power substations installed</w:t>
      </w:r>
    </w:p>
    <w:p w14:paraId="55F0E6A2" w14:textId="77777777" w:rsidR="00FA2FF9" w:rsidRPr="00730DE4" w:rsidRDefault="00FA2FF9" w:rsidP="00816234">
      <w:pPr>
        <w:pStyle w:val="ListBullet"/>
      </w:pPr>
      <w:r w:rsidRPr="00730DE4">
        <w:t>five new trams procured to be put into service in July 2024.</w:t>
      </w:r>
    </w:p>
    <w:p w14:paraId="15CCC34C" w14:textId="77777777" w:rsidR="00FA2FF9" w:rsidRPr="00730DE4" w:rsidRDefault="00FA2FF9" w:rsidP="00816234">
      <w:r w:rsidRPr="00730DE4">
        <w:t>Stage Three $1.219 billion is jointly funded by the Australian Government, the Queensland Government, and Gold Coast City Council.</w:t>
      </w:r>
    </w:p>
    <w:p w14:paraId="6B6D0A68" w14:textId="77777777" w:rsidR="00FA2FF9" w:rsidRPr="00730DE4" w:rsidRDefault="00FA2FF9" w:rsidP="00816234">
      <w:r w:rsidRPr="00730DE4">
        <w:t>The Gold Coast Light Rail Stage Four project will extend the light rail a further 13 kilometres, connecting Burleigh Heads to Coolangatta, via the Gold Coast Airport. The preliminary evaluation was completed in June 2023, following extensive community consultation in 2020, 2021, and 2022.</w:t>
      </w:r>
    </w:p>
    <w:p w14:paraId="513522C7" w14:textId="77777777" w:rsidR="00FA2FF9" w:rsidRPr="00730DE4" w:rsidRDefault="00FA2FF9" w:rsidP="00816234">
      <w:r w:rsidRPr="00730DE4">
        <w:t>Planning for the $30 million Stage Four project is jointly funded by the Queensland Government and Gold Coast City Council.</w:t>
      </w:r>
    </w:p>
    <w:p w14:paraId="7E8414D0" w14:textId="77777777" w:rsidR="00FA2FF9" w:rsidRPr="00730DE4" w:rsidRDefault="00FA2FF9" w:rsidP="00816234">
      <w:pPr>
        <w:pStyle w:val="MessageHeader"/>
      </w:pPr>
      <w:r w:rsidRPr="00730DE4">
        <w:t xml:space="preserve">For more information </w:t>
      </w:r>
      <w:r w:rsidRPr="00730DE4">
        <w:br/>
      </w:r>
      <w:hyperlink r:id="rId98" w:history="1">
        <w:r w:rsidRPr="00730DE4">
          <w:rPr>
            <w:rStyle w:val="Hyperlink"/>
          </w:rPr>
          <w:t>https://www.tmr.qld.gov.au/projects/gold-coast-light-rail-stage-4</w:t>
        </w:r>
      </w:hyperlink>
      <w:r w:rsidRPr="00730DE4">
        <w:t xml:space="preserve"> </w:t>
      </w:r>
      <w:r w:rsidRPr="00730DE4">
        <w:br/>
      </w:r>
      <w:hyperlink r:id="rId99" w:history="1">
        <w:r w:rsidRPr="00730DE4">
          <w:rPr>
            <w:rStyle w:val="Hyperlink"/>
          </w:rPr>
          <w:t>https://www.tmr.qld.gov.au/projects/gold-coast-light-rail</w:t>
        </w:r>
      </w:hyperlink>
      <w:r w:rsidRPr="00730DE4">
        <w:t xml:space="preserve"> </w:t>
      </w:r>
      <w:r w:rsidRPr="00730DE4">
        <w:br/>
      </w:r>
      <w:hyperlink r:id="rId100" w:history="1">
        <w:r w:rsidRPr="00730DE4">
          <w:rPr>
            <w:rStyle w:val="Hyperlink"/>
          </w:rPr>
          <w:t>https://www.gclr3.com.au/goldlinq/gclr3</w:t>
        </w:r>
      </w:hyperlink>
    </w:p>
    <w:p w14:paraId="2C1F7EAD" w14:textId="77777777" w:rsidR="00FA2FF9" w:rsidRPr="00730DE4" w:rsidRDefault="00FA2FF9" w:rsidP="002B7001">
      <w:pPr>
        <w:pStyle w:val="Heading4"/>
      </w:pPr>
      <w:bookmarkStart w:id="809" w:name="_Toc180487492"/>
      <w:bookmarkStart w:id="810" w:name="_Toc180490698"/>
      <w:bookmarkStart w:id="811" w:name="_Toc180491731"/>
      <w:r w:rsidRPr="00730DE4">
        <w:t>Cunninghams Gap Reconstruction Project</w:t>
      </w:r>
      <w:bookmarkEnd w:id="809"/>
      <w:bookmarkEnd w:id="810"/>
      <w:bookmarkEnd w:id="811"/>
    </w:p>
    <w:p w14:paraId="4F4B8A4A" w14:textId="77777777" w:rsidR="00FA2FF9" w:rsidRPr="00730DE4" w:rsidRDefault="00FA2FF9" w:rsidP="00816234">
      <w:r w:rsidRPr="00730DE4">
        <w:t xml:space="preserve">Work is continuing to repair a </w:t>
      </w:r>
      <w:bookmarkStart w:id="812" w:name="_Hlk171070185"/>
      <w:r w:rsidRPr="00730DE4">
        <w:t>two-kilometre section of the Cunningham Highway</w:t>
      </w:r>
      <w:bookmarkEnd w:id="812"/>
      <w:r w:rsidRPr="00730DE4">
        <w:t xml:space="preserve"> at Cunninghams Gap, where severe bushfires caused significant slope damage in 2019–20.</w:t>
      </w:r>
    </w:p>
    <w:p w14:paraId="200511C0" w14:textId="77777777" w:rsidR="00FA2FF9" w:rsidRPr="00730DE4" w:rsidRDefault="00FA2FF9" w:rsidP="00816234">
      <w:r w:rsidRPr="00730DE4">
        <w:t>Batter slope scaling and stabilisation works commenced in January 2023 and are continuing on the slope above the road to reduce the risk of rockfalls during reconstruction works.</w:t>
      </w:r>
    </w:p>
    <w:p w14:paraId="7D86B68F" w14:textId="77777777" w:rsidR="00FA2FF9" w:rsidRPr="00730DE4" w:rsidRDefault="00FA2FF9" w:rsidP="00816234">
      <w:r w:rsidRPr="00730DE4">
        <w:t>Key project features include scaling loose material and installing rockfall protection mesh on the upslope, installing fencing and concrete barriers at road level, installing retaining walls on the downslope, major reconstruction works at the Gap cutting, pavement works, and installing slope monitoring technology.</w:t>
      </w:r>
    </w:p>
    <w:p w14:paraId="3416748D" w14:textId="77777777" w:rsidR="00FA2FF9" w:rsidRPr="00730DE4" w:rsidRDefault="00FA2FF9" w:rsidP="00816234">
      <w:r w:rsidRPr="00730DE4">
        <w:t>Following extensive engagement with the freight, agriculture, livestock, tourism, and construction industries, local businesses, and neighbouring communities, some elements of the project were reviewed to minimise disruption to road users.</w:t>
      </w:r>
    </w:p>
    <w:p w14:paraId="5C820E93" w14:textId="77777777" w:rsidR="00FA2FF9" w:rsidRPr="00730DE4" w:rsidRDefault="00FA2FF9" w:rsidP="00816234">
      <w:r w:rsidRPr="00730DE4">
        <w:t>These $134.4 million recovery works are jointly funded by the Australian and Queensland governments through the DRFA.</w:t>
      </w:r>
    </w:p>
    <w:p w14:paraId="38491F9D" w14:textId="77777777" w:rsidR="00EA1647" w:rsidRDefault="00EA1647" w:rsidP="002B7001">
      <w:pPr>
        <w:pStyle w:val="Heading4"/>
      </w:pPr>
      <w:r>
        <w:br w:type="page"/>
      </w:r>
    </w:p>
    <w:p w14:paraId="047616F1" w14:textId="4737872A" w:rsidR="00FA2FF9" w:rsidRPr="00730DE4" w:rsidRDefault="00FA2FF9" w:rsidP="002B7001">
      <w:pPr>
        <w:pStyle w:val="Heading4"/>
      </w:pPr>
      <w:bookmarkStart w:id="813" w:name="_Toc180487493"/>
      <w:bookmarkStart w:id="814" w:name="_Toc180490699"/>
      <w:bookmarkStart w:id="815" w:name="_Toc180491732"/>
      <w:r w:rsidRPr="00730DE4">
        <w:t>Case study: Pacific Motorway M1 Varsity Lakes to Tugun upgrade</w:t>
      </w:r>
      <w:bookmarkEnd w:id="813"/>
      <w:bookmarkEnd w:id="814"/>
      <w:bookmarkEnd w:id="815"/>
    </w:p>
    <w:p w14:paraId="415AC07E" w14:textId="77777777" w:rsidR="00FA2FF9" w:rsidRPr="00730DE4" w:rsidRDefault="00FA2FF9" w:rsidP="00DC3029">
      <w:r w:rsidRPr="00730DE4">
        <w:t>The Pacific Motorway M1 between Varsity Lakes and Tugun is being upgraded and widened. The section between Varsity Lakes and Burleigh opened at the end of 2022 and construction is continuing between Burleigh and Tugun.</w:t>
      </w:r>
    </w:p>
    <w:p w14:paraId="51976A4E" w14:textId="77777777" w:rsidR="00FA2FF9" w:rsidRPr="00730DE4" w:rsidRDefault="00FA2FF9" w:rsidP="005947E9">
      <w:r w:rsidRPr="00730DE4">
        <w:t>In line with the TMR’s sustainability objective, oyster shells have been installed in a tributary of Saltwater Creek in Currumbin to assist with water filtration.</w:t>
      </w:r>
    </w:p>
    <w:p w14:paraId="38D60595" w14:textId="77777777" w:rsidR="00FA2FF9" w:rsidRPr="00730DE4" w:rsidRDefault="00FA2FF9" w:rsidP="005947E9">
      <w:r w:rsidRPr="00730DE4">
        <w:t>The oyster shells are expected help establish the shellfish and encourage further growth in Saltwater Creek. This initiative aims to enhance biodiversity and improve water quality with each adult oyster capable of filtering up to 150 litres of water per day.</w:t>
      </w:r>
    </w:p>
    <w:p w14:paraId="05A0F767" w14:textId="77777777" w:rsidR="00FA2FF9" w:rsidRPr="00730DE4" w:rsidRDefault="00FA2FF9" w:rsidP="005947E9">
      <w:r w:rsidRPr="00730DE4">
        <w:t xml:space="preserve">This is the first time this environmental treatment has been used in association with a road upgrade project in Australia—it is just one of many innovative environmental initiatives being implemented. </w:t>
      </w:r>
    </w:p>
    <w:p w14:paraId="0B3FEED5" w14:textId="77777777" w:rsidR="00FA2FF9" w:rsidRPr="00730DE4" w:rsidRDefault="00FA2FF9" w:rsidP="0089248F">
      <w:r w:rsidRPr="00730DE4">
        <w:t xml:space="preserve">This project is jointly funded by the Australian and Queensland governments. </w:t>
      </w:r>
    </w:p>
    <w:p w14:paraId="6298CCEC" w14:textId="77777777" w:rsidR="00B13631" w:rsidRPr="00730DE4" w:rsidRDefault="00B13631">
      <w:pPr>
        <w:suppressAutoHyphens w:val="0"/>
        <w:spacing w:before="0" w:line="259" w:lineRule="auto"/>
        <w:rPr>
          <w:rFonts w:eastAsiaTheme="majorEastAsia" w:cstheme="majorBidi"/>
          <w:b/>
          <w:color w:val="080C0F" w:themeColor="text1"/>
          <w:sz w:val="72"/>
          <w:szCs w:val="36"/>
        </w:rPr>
      </w:pPr>
      <w:r w:rsidRPr="00730DE4">
        <w:br w:type="page"/>
      </w:r>
    </w:p>
    <w:p w14:paraId="2B78E35D" w14:textId="6578B3DB" w:rsidR="00FA2FF9" w:rsidRPr="00730DE4" w:rsidRDefault="00FA2FF9" w:rsidP="002B7001">
      <w:pPr>
        <w:pStyle w:val="Heading1"/>
      </w:pPr>
      <w:bookmarkStart w:id="816" w:name="_Toc180490700"/>
      <w:bookmarkStart w:id="817" w:name="_Toc180491733"/>
      <w:r w:rsidRPr="00730DE4">
        <w:t>Accessible to Everyone</w:t>
      </w:r>
      <w:bookmarkEnd w:id="816"/>
      <w:bookmarkEnd w:id="817"/>
    </w:p>
    <w:p w14:paraId="6C7A995D" w14:textId="49FD2C09" w:rsidR="007F5591" w:rsidRPr="00730DE4" w:rsidRDefault="007F5591" w:rsidP="007F5591">
      <w:r w:rsidRPr="00730DE4">
        <w:t>To read more about the strategies and indicators of success linked to these strategic priorities, see page 19–30.</w:t>
      </w:r>
    </w:p>
    <w:p w14:paraId="57B72E6A" w14:textId="77777777" w:rsidR="00FA2FF9" w:rsidRPr="00730DE4" w:rsidRDefault="00FA2FF9" w:rsidP="002B7001">
      <w:pPr>
        <w:pStyle w:val="Heading2"/>
      </w:pPr>
      <w:bookmarkStart w:id="818" w:name="_Toc180490701"/>
      <w:bookmarkStart w:id="819" w:name="_Toc180491734"/>
      <w:r w:rsidRPr="00730DE4">
        <w:t>Highlights</w:t>
      </w:r>
      <w:bookmarkEnd w:id="818"/>
      <w:bookmarkEnd w:id="819"/>
    </w:p>
    <w:p w14:paraId="297C8B3A" w14:textId="77777777" w:rsidR="00FA2FF9" w:rsidRPr="00730DE4" w:rsidRDefault="00FA2FF9" w:rsidP="00046B94">
      <w:pPr>
        <w:pStyle w:val="ListBullet"/>
      </w:pPr>
      <w:r w:rsidRPr="00730DE4">
        <w:t>The QLD</w:t>
      </w:r>
      <w:r w:rsidRPr="00730DE4">
        <w:rPr>
          <w:rStyle w:val="Emphasis"/>
        </w:rPr>
        <w:t>Traffic</w:t>
      </w:r>
      <w:r w:rsidRPr="00730DE4">
        <w:t xml:space="preserve"> app was downloaded over 97,000 times, the QLD</w:t>
      </w:r>
      <w:r w:rsidRPr="00730DE4">
        <w:rPr>
          <w:rStyle w:val="Emphasis"/>
        </w:rPr>
        <w:t>Traffic</w:t>
      </w:r>
      <w:r w:rsidRPr="00730DE4">
        <w:t xml:space="preserve"> website was accessed nearly 3.6 million times, and more than 177,000 phone calls were made to the 13 19 40 phone service.</w:t>
      </w:r>
    </w:p>
    <w:p w14:paraId="29F5E712" w14:textId="77777777" w:rsidR="00FA2FF9" w:rsidRPr="00730DE4" w:rsidRDefault="00FA2FF9" w:rsidP="00046B94">
      <w:pPr>
        <w:pStyle w:val="ListBullet"/>
      </w:pPr>
      <w:r w:rsidRPr="00730DE4">
        <w:t xml:space="preserve">Recorded more than 15 million customer trips using new Smart Ticketing payments across </w:t>
      </w:r>
      <w:r w:rsidRPr="00730DE4">
        <w:rPr>
          <w:lang w:val="en-US"/>
        </w:rPr>
        <w:t>South East Queensland's train, tram, and river ferry network</w:t>
      </w:r>
      <w:r w:rsidRPr="00730DE4">
        <w:t>.</w:t>
      </w:r>
    </w:p>
    <w:p w14:paraId="59AE5D74" w14:textId="77777777" w:rsidR="00FA2FF9" w:rsidRPr="00730DE4" w:rsidRDefault="00FA2FF9" w:rsidP="00046B94">
      <w:pPr>
        <w:pStyle w:val="ListBullet"/>
      </w:pPr>
      <w:r w:rsidRPr="00730DE4">
        <w:t>Deployed 96 'smartloop' countertop Hearing Augmentation Loop Devices (HALD) to all TMR Customer Service Centres (CSC).</w:t>
      </w:r>
    </w:p>
    <w:p w14:paraId="114402A9" w14:textId="77777777" w:rsidR="00FA2FF9" w:rsidRPr="00730DE4" w:rsidRDefault="00FA2FF9" w:rsidP="00046B94">
      <w:pPr>
        <w:pStyle w:val="ListBullet"/>
      </w:pPr>
      <w:r w:rsidRPr="00730DE4">
        <w:t>Increased the number of online services available to customers to 73, adding at least 46 new services over the past ten years.</w:t>
      </w:r>
    </w:p>
    <w:p w14:paraId="7926C6DD" w14:textId="77777777" w:rsidR="00FA2FF9" w:rsidRPr="00730DE4" w:rsidRDefault="00FA2FF9" w:rsidP="00046B94">
      <w:pPr>
        <w:pStyle w:val="ListBullet"/>
      </w:pPr>
      <w:r w:rsidRPr="00730DE4">
        <w:t>Opened a brand-new CSC in Bethania, showcasing a modern design focused on accessibility and functionality.</w:t>
      </w:r>
    </w:p>
    <w:p w14:paraId="5FA7F256" w14:textId="77777777" w:rsidR="00FA2FF9" w:rsidRPr="00730DE4" w:rsidRDefault="00FA2FF9" w:rsidP="00BE659E">
      <w:pPr>
        <w:pStyle w:val="ListBullet"/>
      </w:pPr>
      <w:r w:rsidRPr="00730DE4">
        <w:t>Smart Service Queensland managed over 1.85 million inbound and outbound calls and 117 million visits to qld.gov.au.</w:t>
      </w:r>
    </w:p>
    <w:p w14:paraId="4908B65E" w14:textId="77777777" w:rsidR="00FA2FF9" w:rsidRPr="00730DE4" w:rsidRDefault="00FA2FF9" w:rsidP="00BE659E">
      <w:pPr>
        <w:pStyle w:val="ListBullet"/>
      </w:pPr>
      <w:bookmarkStart w:id="820" w:name="_Hlk174087189"/>
      <w:r w:rsidRPr="00730DE4">
        <w:t>QGCDG continues to support the operations of two community-owned and controlled, and commercially sustainable, Digital Service Centres in remote Aboriginal and Torres Strait Islander communities, Cherbourg and Palm Island.</w:t>
      </w:r>
    </w:p>
    <w:bookmarkEnd w:id="820"/>
    <w:p w14:paraId="6E4907EA" w14:textId="77777777" w:rsidR="00FA2FF9" w:rsidRPr="00730DE4" w:rsidRDefault="00FA2FF9" w:rsidP="00BE659E">
      <w:pPr>
        <w:pStyle w:val="ListBullet"/>
      </w:pPr>
      <w:r w:rsidRPr="00730DE4">
        <w:t>Over 550,000 customers have obtained their Digital Licence.</w:t>
      </w:r>
    </w:p>
    <w:p w14:paraId="02C19F10" w14:textId="77777777" w:rsidR="00FA2FF9" w:rsidRPr="00730DE4" w:rsidRDefault="00FA2FF9" w:rsidP="000C6F47">
      <w:pPr>
        <w:pStyle w:val="ListBullet"/>
      </w:pPr>
      <w:r w:rsidRPr="00730DE4">
        <w:t>Leveraged robotic process automation technology to streamline processes, improve communication, and help reduce 'no-shows' for PDT.</w:t>
      </w:r>
    </w:p>
    <w:p w14:paraId="58FFD073" w14:textId="77777777" w:rsidR="00FA2FF9" w:rsidRPr="00730DE4" w:rsidRDefault="00FA2FF9" w:rsidP="000C6F47">
      <w:pPr>
        <w:pStyle w:val="ListBullet"/>
      </w:pPr>
      <w:r w:rsidRPr="00730DE4">
        <w:t>Queensland Rural and Industry Development Authority opened applications for retailers to participate in the Remote Communities Freight Assistance Scheme to ease freight related cost of living pressures in the Northern Peninsula, Torres Strait, and Gulf region.</w:t>
      </w:r>
    </w:p>
    <w:p w14:paraId="68ECA8FD" w14:textId="77777777" w:rsidR="00FA2FF9" w:rsidRPr="00730DE4" w:rsidRDefault="00FA2FF9" w:rsidP="000C6F47">
      <w:pPr>
        <w:pStyle w:val="ListBullet"/>
      </w:pPr>
      <w:r w:rsidRPr="00730DE4">
        <w:t>More than $1 billion worth of contracts have already been awarded on the QTMP for construction of both facilities and rollingstock.</w:t>
      </w:r>
    </w:p>
    <w:p w14:paraId="5A1BE141" w14:textId="77777777" w:rsidR="00FA2FF9" w:rsidRPr="00730DE4" w:rsidRDefault="00FA2FF9" w:rsidP="0072464B">
      <w:pPr>
        <w:pStyle w:val="ListBullet"/>
      </w:pPr>
      <w:r w:rsidRPr="00730DE4">
        <w:t>The Roads and Transport Alliance partnership between TMR and Queensland local governments 220 delivered across the state, representing a joint investment of more than $120 million.</w:t>
      </w:r>
    </w:p>
    <w:p w14:paraId="7A9D514D" w14:textId="77777777" w:rsidR="00FA2FF9" w:rsidRPr="00730DE4" w:rsidRDefault="00FA2FF9" w:rsidP="006F4832">
      <w:pPr>
        <w:pStyle w:val="ListBullet"/>
      </w:pPr>
      <w:r w:rsidRPr="00730DE4">
        <w:t>TMR’s StreetSmarts initiative delivered a series of innovative campaigns targeting critical issues on the road network to improve road safety, including the In Your Hands’ Drink Driving campaign and an anti-speeding campaign designed by young people through the Co-Lab Youth Road Safety Challenge.</w:t>
      </w:r>
    </w:p>
    <w:p w14:paraId="0044FD40" w14:textId="77777777" w:rsidR="00FA2FF9" w:rsidRPr="00730DE4" w:rsidRDefault="00FA2FF9" w:rsidP="00380DB7">
      <w:pPr>
        <w:pStyle w:val="ListBullet"/>
        <w:rPr>
          <w:lang w:val="en-US"/>
        </w:rPr>
      </w:pPr>
      <w:bookmarkStart w:id="821" w:name="_Hlk174039367"/>
      <w:bookmarkStart w:id="822" w:name="_Hlk174039094"/>
      <w:r w:rsidRPr="00730DE4">
        <w:rPr>
          <w:lang w:val="en-US"/>
        </w:rPr>
        <w:t>War on Wrecks initiative resulted in 225 fewer derelict vessels</w:t>
      </w:r>
      <w:bookmarkEnd w:id="821"/>
      <w:r w:rsidRPr="00730DE4">
        <w:rPr>
          <w:lang w:val="en-US"/>
        </w:rPr>
        <w:t>, with MSQ and its partners removing 134, and 51 being removed or resolved by owners or others.</w:t>
      </w:r>
    </w:p>
    <w:bookmarkEnd w:id="822"/>
    <w:p w14:paraId="71B4208B" w14:textId="77777777" w:rsidR="00FA2FF9" w:rsidRPr="00730DE4" w:rsidRDefault="00FA2FF9" w:rsidP="006F4832">
      <w:pPr>
        <w:pStyle w:val="ListBullet"/>
      </w:pPr>
      <w:r w:rsidRPr="00730DE4">
        <w:t xml:space="preserve">The Cooperative and Highly Automated Driving pilot successfully delivered its final dynamic demonstration of its Cooperative and Automated Vehicle, ZOE2, in </w:t>
      </w:r>
      <w:r w:rsidRPr="00730DE4">
        <w:rPr>
          <w:lang w:val="en-US"/>
        </w:rPr>
        <w:t>Mount Isa</w:t>
      </w:r>
      <w:r w:rsidRPr="00730DE4">
        <w:t>.</w:t>
      </w:r>
    </w:p>
    <w:p w14:paraId="2651595A" w14:textId="77777777" w:rsidR="00FA2FF9" w:rsidRPr="00730DE4" w:rsidRDefault="00FA2FF9" w:rsidP="009109B9">
      <w:pPr>
        <w:pStyle w:val="ListBullet"/>
      </w:pPr>
      <w:r w:rsidRPr="00730DE4">
        <w:t>Exercise Sky Scriber brought together 115 staff from 20 departments and six supporting areas to evaluate the new Queensland Government Cyber Security Arrangements.</w:t>
      </w:r>
    </w:p>
    <w:p w14:paraId="19DDA64B" w14:textId="77777777" w:rsidR="00FA2FF9" w:rsidRPr="00730DE4" w:rsidRDefault="00FA2FF9" w:rsidP="009109B9">
      <w:pPr>
        <w:pStyle w:val="ListBullet"/>
      </w:pPr>
      <w:r w:rsidRPr="00730DE4">
        <w:t xml:space="preserve"> The Queensland Government, in partnership with Queensland-based not-for-profit LiteHaus International, delivered 4000 refurbished devices to rural and remote students.</w:t>
      </w:r>
    </w:p>
    <w:p w14:paraId="6741417E" w14:textId="77777777" w:rsidR="00FA2FF9" w:rsidRPr="00730DE4" w:rsidRDefault="00FA2FF9" w:rsidP="009109B9">
      <w:pPr>
        <w:pStyle w:val="ListBullet"/>
      </w:pPr>
      <w:r w:rsidRPr="00730DE4">
        <w:t>Delivered in partnership with Microsoft, celebrated the graduation of the first six trainees from the First Nations Digital Careers Program in December 2023.</w:t>
      </w:r>
    </w:p>
    <w:p w14:paraId="10E65A42" w14:textId="77777777" w:rsidR="00B13631" w:rsidRPr="00730DE4" w:rsidRDefault="00B13631">
      <w:pPr>
        <w:suppressAutoHyphens w:val="0"/>
        <w:spacing w:before="0" w:line="259" w:lineRule="auto"/>
        <w:rPr>
          <w:rFonts w:eastAsiaTheme="majorEastAsia" w:cstheme="majorBidi"/>
          <w:color w:val="080C0F" w:themeColor="text1"/>
          <w:sz w:val="60"/>
          <w:szCs w:val="32"/>
        </w:rPr>
      </w:pPr>
      <w:r w:rsidRPr="00730DE4">
        <w:br w:type="page"/>
      </w:r>
    </w:p>
    <w:p w14:paraId="4D7A6C18" w14:textId="1AFA56F3" w:rsidR="00FA2FF9" w:rsidRPr="00730DE4" w:rsidRDefault="00FA2FF9" w:rsidP="002B7001">
      <w:pPr>
        <w:pStyle w:val="Heading2"/>
      </w:pPr>
      <w:bookmarkStart w:id="823" w:name="_Toc180490702"/>
      <w:bookmarkStart w:id="824" w:name="_Toc180491735"/>
      <w:r w:rsidRPr="00730DE4">
        <w:t>Shaping our products and services with a customer focus</w:t>
      </w:r>
      <w:bookmarkEnd w:id="823"/>
      <w:bookmarkEnd w:id="824"/>
    </w:p>
    <w:p w14:paraId="6C91AF14" w14:textId="77777777" w:rsidR="00FA2FF9" w:rsidRPr="00730DE4" w:rsidRDefault="00FA2FF9" w:rsidP="002B7001">
      <w:pPr>
        <w:pStyle w:val="Heading3"/>
        <w:rPr>
          <w:lang w:val="en-US"/>
        </w:rPr>
      </w:pPr>
      <w:bookmarkStart w:id="825" w:name="_Toc180487497"/>
      <w:bookmarkStart w:id="826" w:name="_Toc180490703"/>
      <w:bookmarkStart w:id="827" w:name="_Toc180491736"/>
      <w:r w:rsidRPr="00730DE4">
        <w:rPr>
          <w:lang w:val="en-US"/>
        </w:rPr>
        <w:t>International Customer Service Standard 2020–2025 (ICSS) re-accreditation</w:t>
      </w:r>
      <w:bookmarkEnd w:id="825"/>
      <w:bookmarkEnd w:id="826"/>
      <w:bookmarkEnd w:id="827"/>
    </w:p>
    <w:p w14:paraId="2BF694B8" w14:textId="77777777" w:rsidR="00FA2FF9" w:rsidRPr="00730DE4" w:rsidRDefault="00FA2FF9" w:rsidP="00B93938">
      <w:pPr>
        <w:rPr>
          <w:lang w:val="en-US"/>
        </w:rPr>
      </w:pPr>
      <w:r w:rsidRPr="00730DE4">
        <w:rPr>
          <w:lang w:val="en-US"/>
        </w:rPr>
        <w:t xml:space="preserve">TMR continues to be a ‘Certified Customer Service Organisation’ against the </w:t>
      </w:r>
      <w:r w:rsidRPr="00730DE4">
        <w:rPr>
          <w:rStyle w:val="Emphasis"/>
        </w:rPr>
        <w:t>International Customer Service Standard 2020–2025</w:t>
      </w:r>
      <w:r w:rsidRPr="00730DE4">
        <w:rPr>
          <w:lang w:val="en-US"/>
        </w:rPr>
        <w:t xml:space="preserve"> (ICSS). </w:t>
      </w:r>
    </w:p>
    <w:p w14:paraId="2DB41376" w14:textId="77777777" w:rsidR="00FA2FF9" w:rsidRPr="00730DE4" w:rsidRDefault="00FA2FF9" w:rsidP="00B93938">
      <w:pPr>
        <w:rPr>
          <w:lang w:val="en-US"/>
        </w:rPr>
      </w:pPr>
      <w:r w:rsidRPr="00730DE4">
        <w:rPr>
          <w:lang w:val="en-US"/>
        </w:rPr>
        <w:t xml:space="preserve">TMR's certification results reflect TMR’s approach to co-designing solutions with customers, embracing innovation, harnessing technology, and working with stakeholders and industry partners to deliver excellent service. </w:t>
      </w:r>
    </w:p>
    <w:p w14:paraId="705B6DAE" w14:textId="77777777" w:rsidR="00FA2FF9" w:rsidRPr="00730DE4" w:rsidRDefault="00FA2FF9" w:rsidP="00B93938">
      <w:pPr>
        <w:rPr>
          <w:lang w:val="en-US"/>
        </w:rPr>
      </w:pPr>
      <w:r w:rsidRPr="00730DE4">
        <w:rPr>
          <w:lang w:val="en-US"/>
        </w:rPr>
        <w:t>TMR has been ICSS certified since 2017, with results placing the department in the top tier of organisations in Australia benchmarked against the standard.</w:t>
      </w:r>
    </w:p>
    <w:p w14:paraId="7E8BA7EA" w14:textId="77777777" w:rsidR="00FA2FF9" w:rsidRPr="00730DE4" w:rsidRDefault="00FA2FF9" w:rsidP="002B7001">
      <w:pPr>
        <w:pStyle w:val="Heading3"/>
      </w:pPr>
      <w:bookmarkStart w:id="828" w:name="_Toc180487498"/>
      <w:bookmarkStart w:id="829" w:name="_Toc180490704"/>
      <w:bookmarkStart w:id="830" w:name="_Toc180491737"/>
      <w:r w:rsidRPr="00730DE4">
        <w:t>QLD</w:t>
      </w:r>
      <w:r w:rsidRPr="00730DE4">
        <w:rPr>
          <w:rStyle w:val="Emphasis"/>
        </w:rPr>
        <w:t>Traffic</w:t>
      </w:r>
      <w:r w:rsidRPr="00730DE4">
        <w:t xml:space="preserve"> improvements</w:t>
      </w:r>
      <w:bookmarkEnd w:id="828"/>
      <w:bookmarkEnd w:id="829"/>
      <w:bookmarkEnd w:id="830"/>
    </w:p>
    <w:p w14:paraId="4EB5B803" w14:textId="77777777" w:rsidR="00FA2FF9" w:rsidRPr="00730DE4" w:rsidRDefault="00FA2FF9" w:rsidP="00B93938">
      <w:pPr>
        <w:rPr>
          <w:lang w:val="en-US"/>
        </w:rPr>
      </w:pPr>
      <w:r w:rsidRPr="00730DE4">
        <w:rPr>
          <w:lang w:val="en-US"/>
        </w:rPr>
        <w:t>The QLD</w:t>
      </w:r>
      <w:r w:rsidRPr="00730DE4">
        <w:rPr>
          <w:rStyle w:val="Emphasis"/>
        </w:rPr>
        <w:t>Traffic</w:t>
      </w:r>
      <w:r w:rsidRPr="00730DE4">
        <w:rPr>
          <w:lang w:val="en-US"/>
        </w:rPr>
        <w:t xml:space="preserve"> suite of services continued to expand during 2023–24 providing travellers in Queensland with up-to-date traffic and road condition information, enabling informed journey decisions.</w:t>
      </w:r>
    </w:p>
    <w:p w14:paraId="2C613C9C" w14:textId="77777777" w:rsidR="00FA2FF9" w:rsidRPr="00730DE4" w:rsidRDefault="00FA2FF9" w:rsidP="00B93938">
      <w:pPr>
        <w:rPr>
          <w:lang w:val="en-US"/>
        </w:rPr>
      </w:pPr>
      <w:bookmarkStart w:id="831" w:name="_Hlk128388366"/>
      <w:r w:rsidRPr="00730DE4">
        <w:rPr>
          <w:lang w:val="en-US"/>
        </w:rPr>
        <w:t>QLD</w:t>
      </w:r>
      <w:r w:rsidRPr="00730DE4">
        <w:rPr>
          <w:rStyle w:val="Emphasis"/>
        </w:rPr>
        <w:t>Traffic</w:t>
      </w:r>
      <w:bookmarkEnd w:id="831"/>
      <w:r w:rsidRPr="00730DE4">
        <w:rPr>
          <w:lang w:val="en-US"/>
        </w:rPr>
        <w:t>’s suite of services include:</w:t>
      </w:r>
    </w:p>
    <w:p w14:paraId="295EE744" w14:textId="77777777" w:rsidR="00FA2FF9" w:rsidRPr="00730DE4" w:rsidRDefault="00FA2FF9" w:rsidP="00B93938">
      <w:pPr>
        <w:pStyle w:val="ListBullet"/>
        <w:rPr>
          <w:lang w:val="en-US"/>
        </w:rPr>
      </w:pPr>
      <w:r w:rsidRPr="00730DE4">
        <w:rPr>
          <w:lang w:val="en-US"/>
        </w:rPr>
        <w:t>QLD</w:t>
      </w:r>
      <w:r w:rsidRPr="00730DE4">
        <w:rPr>
          <w:rStyle w:val="Emphasis"/>
        </w:rPr>
        <w:t>Traffic</w:t>
      </w:r>
      <w:r w:rsidRPr="00730DE4">
        <w:rPr>
          <w:lang w:val="en-US"/>
        </w:rPr>
        <w:t xml:space="preserve"> website</w:t>
      </w:r>
    </w:p>
    <w:p w14:paraId="38DAF731" w14:textId="77777777" w:rsidR="00FA2FF9" w:rsidRPr="00730DE4" w:rsidRDefault="00FA2FF9" w:rsidP="00B93938">
      <w:pPr>
        <w:pStyle w:val="ListBullet"/>
      </w:pPr>
      <w:r w:rsidRPr="00730DE4">
        <w:t>iPhone and Android smartphone applications</w:t>
      </w:r>
    </w:p>
    <w:p w14:paraId="4349E453" w14:textId="77777777" w:rsidR="00FA2FF9" w:rsidRPr="00730DE4" w:rsidRDefault="00FA2FF9" w:rsidP="00B93938">
      <w:pPr>
        <w:pStyle w:val="ListBullet"/>
      </w:pPr>
      <w:r w:rsidRPr="00730DE4">
        <w:t>13 19 40 phone service</w:t>
      </w:r>
    </w:p>
    <w:p w14:paraId="04C90F9C" w14:textId="77777777" w:rsidR="00FA2FF9" w:rsidRPr="00730DE4" w:rsidRDefault="00FA2FF9" w:rsidP="00B93938">
      <w:pPr>
        <w:pStyle w:val="ListBullet"/>
      </w:pPr>
      <w:r w:rsidRPr="00730DE4">
        <w:t>X (formerly Twitter) service</w:t>
      </w:r>
    </w:p>
    <w:p w14:paraId="306883C7" w14:textId="77777777" w:rsidR="00FA2FF9" w:rsidRPr="00730DE4" w:rsidRDefault="00FA2FF9" w:rsidP="00B93938">
      <w:pPr>
        <w:pStyle w:val="ListBullet"/>
      </w:pPr>
      <w:r w:rsidRPr="00730DE4">
        <w:t xml:space="preserve">open data </w:t>
      </w:r>
      <w:r w:rsidRPr="00730DE4">
        <w:rPr>
          <w:lang w:val="en-US"/>
        </w:rPr>
        <w:t>APIs</w:t>
      </w:r>
      <w:r w:rsidRPr="00730DE4">
        <w:t>.</w:t>
      </w:r>
    </w:p>
    <w:p w14:paraId="3494344C" w14:textId="77777777" w:rsidR="00FA2FF9" w:rsidRPr="00730DE4" w:rsidRDefault="00FA2FF9" w:rsidP="00B93938">
      <w:r w:rsidRPr="00730DE4">
        <w:t xml:space="preserve">Key </w:t>
      </w:r>
      <w:r w:rsidRPr="00730DE4">
        <w:rPr>
          <w:lang w:val="en-US"/>
        </w:rPr>
        <w:t>areas of focus</w:t>
      </w:r>
      <w:r w:rsidRPr="00730DE4">
        <w:t xml:space="preserve"> during 2023–24 included:</w:t>
      </w:r>
    </w:p>
    <w:p w14:paraId="34A71AA2" w14:textId="77777777" w:rsidR="00FA2FF9" w:rsidRPr="00730DE4" w:rsidRDefault="00FA2FF9" w:rsidP="00B93938">
      <w:pPr>
        <w:pStyle w:val="ListBullet"/>
        <w:rPr>
          <w:lang w:val="en-US"/>
        </w:rPr>
      </w:pPr>
      <w:r w:rsidRPr="00730DE4">
        <w:rPr>
          <w:lang w:val="en-US"/>
        </w:rPr>
        <w:t>expanding flood camera images available to the public on the QLD</w:t>
      </w:r>
      <w:r w:rsidRPr="00730DE4">
        <w:rPr>
          <w:rStyle w:val="Emphasis"/>
        </w:rPr>
        <w:t>Traffic</w:t>
      </w:r>
      <w:r w:rsidRPr="00730DE4">
        <w:rPr>
          <w:lang w:val="en-US"/>
        </w:rPr>
        <w:t xml:space="preserve"> website</w:t>
      </w:r>
    </w:p>
    <w:p w14:paraId="09B57639" w14:textId="77777777" w:rsidR="00FA2FF9" w:rsidRPr="00730DE4" w:rsidRDefault="00FA2FF9" w:rsidP="00B93938">
      <w:pPr>
        <w:pStyle w:val="ListBullet"/>
        <w:rPr>
          <w:lang w:val="en-US"/>
        </w:rPr>
      </w:pPr>
      <w:r w:rsidRPr="00730DE4">
        <w:rPr>
          <w:lang w:val="en-US"/>
        </w:rPr>
        <w:t>increasing the consistency of customer information by integrating local government sources on QLD</w:t>
      </w:r>
      <w:r w:rsidRPr="00730DE4">
        <w:rPr>
          <w:rStyle w:val="Emphasis"/>
        </w:rPr>
        <w:t>Traffic</w:t>
      </w:r>
      <w:r w:rsidRPr="00730DE4">
        <w:rPr>
          <w:lang w:val="en-US"/>
        </w:rPr>
        <w:t>, creating a single source of truth for information that can be shared on council disaster dashboards</w:t>
      </w:r>
    </w:p>
    <w:p w14:paraId="1185131F" w14:textId="77777777" w:rsidR="00FA2FF9" w:rsidRPr="00730DE4" w:rsidRDefault="00FA2FF9" w:rsidP="00B93938">
      <w:pPr>
        <w:pStyle w:val="ListBullet"/>
        <w:rPr>
          <w:lang w:val="en-US"/>
        </w:rPr>
      </w:pPr>
      <w:r w:rsidRPr="00730DE4">
        <w:rPr>
          <w:lang w:val="en-US"/>
        </w:rPr>
        <w:t>increasing accuracy of data by working with third party data users to ensure data specifications meet industry requirements.</w:t>
      </w:r>
    </w:p>
    <w:p w14:paraId="393B3865" w14:textId="77777777" w:rsidR="00FA2FF9" w:rsidRPr="00730DE4" w:rsidRDefault="00FA2FF9" w:rsidP="00B93938">
      <w:pPr>
        <w:rPr>
          <w:lang w:val="en-US"/>
        </w:rPr>
      </w:pPr>
      <w:r w:rsidRPr="00730DE4">
        <w:rPr>
          <w:lang w:val="en-US"/>
        </w:rPr>
        <w:t>During 2023–24, the QLD</w:t>
      </w:r>
      <w:r w:rsidRPr="00730DE4">
        <w:rPr>
          <w:rStyle w:val="Emphasis"/>
        </w:rPr>
        <w:t>Traffic</w:t>
      </w:r>
      <w:r w:rsidRPr="00730DE4">
        <w:rPr>
          <w:lang w:val="en-US"/>
        </w:rPr>
        <w:t xml:space="preserve"> application was downloaded over 97,000 times, the QLD</w:t>
      </w:r>
      <w:r w:rsidRPr="00730DE4">
        <w:rPr>
          <w:rStyle w:val="Emphasis"/>
        </w:rPr>
        <w:t>Traffic</w:t>
      </w:r>
      <w:r w:rsidRPr="00730DE4">
        <w:rPr>
          <w:lang w:val="en-US"/>
        </w:rPr>
        <w:t xml:space="preserve"> website was accessed nearly 3.6 million times, and more than 177,000 phone calls were made to the 13 19 40 phone service.</w:t>
      </w:r>
    </w:p>
    <w:p w14:paraId="2FEF5402" w14:textId="77777777" w:rsidR="00FA2FF9" w:rsidRPr="00730DE4" w:rsidRDefault="00FA2FF9" w:rsidP="00B93938">
      <w:pPr>
        <w:rPr>
          <w:lang w:val="en-US"/>
        </w:rPr>
      </w:pPr>
      <w:r w:rsidRPr="00730DE4">
        <w:rPr>
          <w:lang w:val="en-US"/>
        </w:rPr>
        <w:t>QLD</w:t>
      </w:r>
      <w:r w:rsidRPr="00730DE4">
        <w:rPr>
          <w:rStyle w:val="Emphasis"/>
        </w:rPr>
        <w:t>Traffic</w:t>
      </w:r>
      <w:r w:rsidRPr="00730DE4">
        <w:rPr>
          <w:lang w:val="en-US"/>
        </w:rPr>
        <w:t xml:space="preserve"> published more than 48,000 posts on X. Customer engagement through </w:t>
      </w:r>
      <w:bookmarkStart w:id="832" w:name="_Hlk130306816"/>
      <w:r w:rsidRPr="00730DE4">
        <w:rPr>
          <w:lang w:val="en-US"/>
        </w:rPr>
        <w:t>the QLD</w:t>
      </w:r>
      <w:r w:rsidRPr="00730DE4">
        <w:rPr>
          <w:rStyle w:val="Emphasis"/>
        </w:rPr>
        <w:t>Traffic</w:t>
      </w:r>
      <w:bookmarkEnd w:id="832"/>
      <w:r w:rsidRPr="00730DE4">
        <w:rPr>
          <w:lang w:val="en-US"/>
        </w:rPr>
        <w:t xml:space="preserve"> X account is consistently high, indicating that this is a valuable service for many Queenslanders.</w:t>
      </w:r>
    </w:p>
    <w:p w14:paraId="0B7697FD" w14:textId="77777777" w:rsidR="00FA2FF9" w:rsidRPr="00730DE4" w:rsidRDefault="00FA2FF9" w:rsidP="00066151">
      <w:pPr>
        <w:pStyle w:val="MessageHeader"/>
        <w:rPr>
          <w:lang w:val="en-US"/>
        </w:rPr>
      </w:pPr>
      <w:r w:rsidRPr="00730DE4">
        <w:rPr>
          <w:lang w:val="en-US"/>
        </w:rPr>
        <w:t>For more information:</w:t>
      </w:r>
      <w:r w:rsidRPr="00730DE4">
        <w:rPr>
          <w:lang w:val="en-US"/>
        </w:rPr>
        <w:br/>
      </w:r>
      <w:hyperlink r:id="rId101" w:history="1">
        <w:r w:rsidRPr="00730DE4">
          <w:rPr>
            <w:rStyle w:val="Hyperlink"/>
            <w:lang w:val="en-US"/>
          </w:rPr>
          <w:t>https://qldtraffic.qld.gov.au</w:t>
        </w:r>
      </w:hyperlink>
    </w:p>
    <w:p w14:paraId="5FB16E6B" w14:textId="77777777" w:rsidR="00FA2FF9" w:rsidRPr="00730DE4" w:rsidRDefault="00FA2FF9" w:rsidP="002B7001">
      <w:pPr>
        <w:pStyle w:val="Heading3"/>
        <w:rPr>
          <w:lang w:val="en-US"/>
        </w:rPr>
      </w:pPr>
      <w:bookmarkStart w:id="833" w:name="_Toc180487499"/>
      <w:bookmarkStart w:id="834" w:name="_Toc180490705"/>
      <w:bookmarkStart w:id="835" w:name="_Toc180491738"/>
      <w:r w:rsidRPr="00730DE4">
        <w:rPr>
          <w:lang w:val="en-US"/>
        </w:rPr>
        <w:t>School Bus Upgrade Scheme (SchoolBUS)</w:t>
      </w:r>
      <w:bookmarkEnd w:id="833"/>
      <w:bookmarkEnd w:id="834"/>
      <w:bookmarkEnd w:id="835"/>
    </w:p>
    <w:p w14:paraId="34E5F0D7" w14:textId="77777777" w:rsidR="00FA2FF9" w:rsidRPr="00730DE4" w:rsidRDefault="00FA2FF9" w:rsidP="00C41C6F">
      <w:r w:rsidRPr="00730DE4">
        <w:t>In 2023–24, TMR contributed approximately $13.68 million to the purchase of 47 school buses and 42 Specialist School Transport buses for Students with Disability through the School Bus Upgrade Scheme (SchoolBUS).</w:t>
      </w:r>
    </w:p>
    <w:p w14:paraId="74552625" w14:textId="77777777" w:rsidR="00FA2FF9" w:rsidRPr="00730DE4" w:rsidRDefault="00FA2FF9" w:rsidP="00B93938">
      <w:pPr>
        <w:rPr>
          <w:lang w:val="en-US"/>
        </w:rPr>
      </w:pPr>
      <w:r w:rsidRPr="00730DE4">
        <w:rPr>
          <w:lang w:val="en-US"/>
        </w:rPr>
        <w:t>SchoolBUS provides capital funding to assist contracted school bus service providers to replace school buses before they reach their maximum operating age. This supports increasing capacity needs with buses that meet the latest safety standards. This ensures increased safety for Queensland students travelling to and from school on contracted services.</w:t>
      </w:r>
    </w:p>
    <w:p w14:paraId="01A54292" w14:textId="77777777" w:rsidR="00FA2FF9" w:rsidRPr="00730DE4" w:rsidRDefault="00FA2FF9" w:rsidP="00B93938">
      <w:pPr>
        <w:pStyle w:val="MessageHeader"/>
        <w:rPr>
          <w:lang w:val="en-US"/>
        </w:rPr>
      </w:pPr>
      <w:r w:rsidRPr="00730DE4">
        <w:rPr>
          <w:lang w:val="en-US"/>
        </w:rPr>
        <w:t xml:space="preserve">For more information </w:t>
      </w:r>
      <w:r w:rsidRPr="00730DE4">
        <w:rPr>
          <w:lang w:val="en-US"/>
        </w:rPr>
        <w:br/>
      </w:r>
      <w:hyperlink r:id="rId102" w:history="1">
        <w:r w:rsidRPr="00730DE4">
          <w:rPr>
            <w:rStyle w:val="Hyperlink"/>
            <w:lang w:val="en-US"/>
          </w:rPr>
          <w:t>https://www.tmr.qld.gov.au/Travel-and-transport/School-transport/Assistance-schemes/School-Bus-Upgrade-Scheme.aspx</w:t>
        </w:r>
      </w:hyperlink>
    </w:p>
    <w:p w14:paraId="3BF78885" w14:textId="77777777" w:rsidR="00FA2FF9" w:rsidRPr="00730DE4" w:rsidRDefault="00FA2FF9" w:rsidP="002B7001">
      <w:pPr>
        <w:pStyle w:val="Heading3"/>
        <w:rPr>
          <w:lang w:val="en-US"/>
        </w:rPr>
      </w:pPr>
      <w:bookmarkStart w:id="836" w:name="_Toc180487500"/>
      <w:bookmarkStart w:id="837" w:name="_Toc180490706"/>
      <w:bookmarkStart w:id="838" w:name="_Toc180491739"/>
      <w:r w:rsidRPr="00730DE4">
        <w:rPr>
          <w:lang w:val="en-US"/>
        </w:rPr>
        <w:t>Taxi Subsidy Scheme</w:t>
      </w:r>
      <w:bookmarkEnd w:id="836"/>
      <w:bookmarkEnd w:id="837"/>
      <w:bookmarkEnd w:id="838"/>
    </w:p>
    <w:p w14:paraId="223D39F9" w14:textId="77777777" w:rsidR="00FA2FF9" w:rsidRPr="00730DE4" w:rsidRDefault="00FA2FF9" w:rsidP="00B93938">
      <w:pPr>
        <w:rPr>
          <w:lang w:val="en-US"/>
        </w:rPr>
      </w:pPr>
      <w:r w:rsidRPr="00730DE4">
        <w:rPr>
          <w:lang w:val="en-US"/>
        </w:rPr>
        <w:t>The Taxi Subsidy Scheme is an initiative designed to provide an affordable and accessible transport option for people with severe disability. The scheme includes a subsidy paid by the Queensland Government of half the total taxi fare, up to a maximum of $30 per trip, and access to subsidised taxi travel in other Australian states and territories.</w:t>
      </w:r>
    </w:p>
    <w:p w14:paraId="21E5DABA" w14:textId="77777777" w:rsidR="00FA2FF9" w:rsidRPr="00730DE4" w:rsidRDefault="00FA2FF9" w:rsidP="00B93938">
      <w:pPr>
        <w:rPr>
          <w:lang w:val="en-US"/>
        </w:rPr>
      </w:pPr>
      <w:r w:rsidRPr="00730DE4">
        <w:rPr>
          <w:lang w:val="en-US"/>
        </w:rPr>
        <w:t xml:space="preserve">In 2023–24, the scheme assisted 48,058 Queenslanders to access more affordable taxi travel. During 2023–24, </w:t>
      </w:r>
      <w:r w:rsidRPr="00730DE4">
        <w:t xml:space="preserve">1,199,805 </w:t>
      </w:r>
      <w:r w:rsidRPr="00730DE4">
        <w:rPr>
          <w:lang w:val="en-US"/>
        </w:rPr>
        <w:t xml:space="preserve">subsidised taxi trips were taken by Taxi Subsidy Scheme members, with subsidies of more than </w:t>
      </w:r>
      <w:r w:rsidRPr="00730DE4">
        <w:t xml:space="preserve">$13.2 million </w:t>
      </w:r>
      <w:r w:rsidRPr="00730DE4">
        <w:rPr>
          <w:lang w:val="en-US"/>
        </w:rPr>
        <w:t xml:space="preserve">(excluding GST) paid. As at 30 June 2024, TMR paid an average subsidy of </w:t>
      </w:r>
      <w:r w:rsidRPr="00730DE4">
        <w:t>$11.08</w:t>
      </w:r>
      <w:r w:rsidRPr="00730DE4">
        <w:rPr>
          <w:lang w:val="en-US"/>
        </w:rPr>
        <w:t xml:space="preserve"> (excluding GST) per trip.</w:t>
      </w:r>
    </w:p>
    <w:p w14:paraId="0A04E02C" w14:textId="77777777" w:rsidR="00FA2FF9" w:rsidRPr="00730DE4" w:rsidRDefault="00FA2FF9" w:rsidP="00B93938">
      <w:pPr>
        <w:rPr>
          <w:lang w:val="en-US"/>
        </w:rPr>
      </w:pPr>
      <w:r w:rsidRPr="00730DE4">
        <w:rPr>
          <w:lang w:val="en-US"/>
        </w:rPr>
        <w:t>The Queensland Government also allocated $7.4 million to the lift payments incentive for drivers of Wheelchair Accessible Taxis to prioritise services to members identified as requiring a wheelchair to travel. This lift payment incentive is paid in addition to the Taxi Subsidy Scheme payment. Over 2023–24, 370,323 trips attracted the lift payment incentive for Wheelchair Accessible Taxis.</w:t>
      </w:r>
    </w:p>
    <w:p w14:paraId="7818C036" w14:textId="77777777" w:rsidR="00FA2FF9" w:rsidRPr="00730DE4" w:rsidRDefault="00FA2FF9" w:rsidP="00B93938">
      <w:pPr>
        <w:pStyle w:val="MessageHeader"/>
        <w:rPr>
          <w:lang w:val="en-US"/>
        </w:rPr>
      </w:pPr>
      <w:r w:rsidRPr="00730DE4">
        <w:rPr>
          <w:lang w:val="en-US"/>
        </w:rPr>
        <w:t xml:space="preserve">For more information </w:t>
      </w:r>
      <w:r w:rsidRPr="00730DE4">
        <w:rPr>
          <w:lang w:val="en-US"/>
        </w:rPr>
        <w:br/>
      </w:r>
      <w:hyperlink r:id="rId103" w:history="1">
        <w:r w:rsidRPr="00730DE4">
          <w:rPr>
            <w:rStyle w:val="Hyperlink"/>
            <w:lang w:val="en-US"/>
          </w:rPr>
          <w:t>https://www.qld.gov.au/disability/out-and-about/subsidies-concessions-passes/taxi-subsidy</w:t>
        </w:r>
      </w:hyperlink>
    </w:p>
    <w:p w14:paraId="6892DBB7" w14:textId="77777777" w:rsidR="00FA2FF9" w:rsidRPr="00730DE4" w:rsidRDefault="00FA2FF9" w:rsidP="002B7001">
      <w:pPr>
        <w:pStyle w:val="Heading3"/>
        <w:rPr>
          <w:lang w:val="en-US"/>
        </w:rPr>
      </w:pPr>
      <w:bookmarkStart w:id="839" w:name="_Toc180487501"/>
      <w:bookmarkStart w:id="840" w:name="_Toc180490707"/>
      <w:bookmarkStart w:id="841" w:name="_Toc180491740"/>
      <w:bookmarkStart w:id="842" w:name="_Hlk172272004"/>
      <w:r w:rsidRPr="00730DE4">
        <w:rPr>
          <w:lang w:val="en-US"/>
        </w:rPr>
        <w:t>Smart Ticketing</w:t>
      </w:r>
      <w:bookmarkEnd w:id="839"/>
      <w:bookmarkEnd w:id="840"/>
      <w:bookmarkEnd w:id="841"/>
    </w:p>
    <w:p w14:paraId="6503DE4F" w14:textId="77777777" w:rsidR="00FA2FF9" w:rsidRPr="00730DE4" w:rsidRDefault="00FA2FF9" w:rsidP="008F6A06">
      <w:pPr>
        <w:rPr>
          <w:lang w:val="en-US"/>
        </w:rPr>
      </w:pPr>
      <w:r w:rsidRPr="00730DE4">
        <w:rPr>
          <w:lang w:val="en-US"/>
        </w:rPr>
        <w:t>Following a successful rollout across the entire South East Queensland train and tram network, Smart Ticketing tests and trials progressed during 2023–24 with the addition of Brisbane City Council ferries. The Smart Ticketing project is responding to customer needs by providing more choice in how customers plan and pay for their public transport journeys.</w:t>
      </w:r>
    </w:p>
    <w:p w14:paraId="60746CF1" w14:textId="77777777" w:rsidR="00FA2FF9" w:rsidRPr="00730DE4" w:rsidRDefault="00FA2FF9" w:rsidP="008F6A06">
      <w:pPr>
        <w:rPr>
          <w:lang w:val="en-US"/>
        </w:rPr>
      </w:pPr>
      <w:r w:rsidRPr="00730DE4">
        <w:rPr>
          <w:lang w:val="en-US"/>
        </w:rPr>
        <w:t xml:space="preserve">In addition to </w:t>
      </w:r>
      <w:r w:rsidRPr="00730DE4">
        <w:rPr>
          <w:rStyle w:val="Emphasis"/>
        </w:rPr>
        <w:t>go</w:t>
      </w:r>
      <w:r w:rsidRPr="00730DE4">
        <w:rPr>
          <w:lang w:val="en-US"/>
        </w:rPr>
        <w:t xml:space="preserve"> card and paper tickets, customers can pay using their Visa, Mastercard, and American Express debit and credit cards, including cards in the digital wallet of their smartphone, smart watch, or other smart device.</w:t>
      </w:r>
    </w:p>
    <w:p w14:paraId="6D843722" w14:textId="77777777" w:rsidR="00FA2FF9" w:rsidRPr="00730DE4" w:rsidRDefault="00FA2FF9" w:rsidP="008F6A06">
      <w:pPr>
        <w:rPr>
          <w:lang w:val="en-US"/>
        </w:rPr>
      </w:pPr>
      <w:r w:rsidRPr="00730DE4">
        <w:rPr>
          <w:lang w:val="en-US"/>
        </w:rPr>
        <w:t>With one of the fastest and highest uptakes of open loop contactless payment systems globally, TMR’s 2023–24 Smart Ticketing achievements included:</w:t>
      </w:r>
    </w:p>
    <w:p w14:paraId="04440E8A" w14:textId="77777777" w:rsidR="00FA2FF9" w:rsidRPr="00730DE4" w:rsidRDefault="00FA2FF9" w:rsidP="008F6A06">
      <w:pPr>
        <w:pStyle w:val="ListBullet"/>
        <w:rPr>
          <w:lang w:val="en-US"/>
        </w:rPr>
      </w:pPr>
      <w:r w:rsidRPr="00730DE4">
        <w:rPr>
          <w:lang w:val="en-US"/>
        </w:rPr>
        <w:t>by February 2024, all 2600 buses and 37 ferries in South East Queensland were equipped with new Smart Ticketing equipment following a year of progressive installation</w:t>
      </w:r>
    </w:p>
    <w:p w14:paraId="41EE68EC" w14:textId="77777777" w:rsidR="00FA2FF9" w:rsidRPr="00730DE4" w:rsidRDefault="00FA2FF9" w:rsidP="008F6A06">
      <w:pPr>
        <w:pStyle w:val="ListBullet"/>
        <w:rPr>
          <w:lang w:val="en-US"/>
        </w:rPr>
      </w:pPr>
      <w:r w:rsidRPr="00730DE4">
        <w:rPr>
          <w:lang w:val="en-US"/>
        </w:rPr>
        <w:t>in April 2024, the customer trial of new Smart Ticketing payments was launched on Brisbane City Council ferries</w:t>
      </w:r>
    </w:p>
    <w:p w14:paraId="723C06B0" w14:textId="77777777" w:rsidR="00FA2FF9" w:rsidRPr="00730DE4" w:rsidRDefault="00FA2FF9" w:rsidP="008F6A06">
      <w:pPr>
        <w:pStyle w:val="ListBullet"/>
        <w:rPr>
          <w:lang w:val="en-US"/>
        </w:rPr>
      </w:pPr>
      <w:r w:rsidRPr="00730DE4">
        <w:rPr>
          <w:lang w:val="en-US"/>
        </w:rPr>
        <w:t>in June 2024, Smart Ticketing payment methods were being used by almost 30 per cent of eligible customers across South East Queensland's train, tram, and river ferry network—with more than 15 million customer trips using new Smart Ticketing payments recorded as the customer adoption rate continues to strengthen</w:t>
      </w:r>
    </w:p>
    <w:p w14:paraId="03D98FCB" w14:textId="77777777" w:rsidR="00FA2FF9" w:rsidRPr="00730DE4" w:rsidRDefault="00FA2FF9" w:rsidP="008F6A06">
      <w:pPr>
        <w:pStyle w:val="ListBullet"/>
        <w:rPr>
          <w:lang w:val="en-US"/>
        </w:rPr>
      </w:pPr>
      <w:r w:rsidRPr="00730DE4">
        <w:rPr>
          <w:lang w:val="en-US"/>
        </w:rPr>
        <w:t>planning and stakeholder engagement to support the launch of Smart Ticketing payment methods on South East Queensland's buses and the Southern Moreton Bay Island ferries remains ongoing during the project's delivery phase.</w:t>
      </w:r>
    </w:p>
    <w:p w14:paraId="4C6E09FB" w14:textId="77777777" w:rsidR="00FA2FF9" w:rsidRPr="00730DE4" w:rsidRDefault="00FA2FF9" w:rsidP="00B93938">
      <w:pPr>
        <w:pStyle w:val="MessageHeader"/>
        <w:rPr>
          <w:lang w:val="en-US"/>
        </w:rPr>
      </w:pPr>
      <w:r w:rsidRPr="00730DE4">
        <w:rPr>
          <w:lang w:val="en-US"/>
        </w:rPr>
        <w:t xml:space="preserve">For more information </w:t>
      </w:r>
      <w:r w:rsidRPr="00730DE4">
        <w:rPr>
          <w:lang w:val="en-US"/>
        </w:rPr>
        <w:br/>
      </w:r>
      <w:hyperlink r:id="rId104" w:history="1">
        <w:r w:rsidRPr="00730DE4">
          <w:rPr>
            <w:rStyle w:val="Hyperlink"/>
            <w:lang w:val="en-US"/>
          </w:rPr>
          <w:t>https://translink.com.au/about-translink/projects-and-initiatives/smart-ticketing</w:t>
        </w:r>
      </w:hyperlink>
    </w:p>
    <w:p w14:paraId="3481B49B" w14:textId="77777777" w:rsidR="00FA2FF9" w:rsidRPr="00730DE4" w:rsidRDefault="00FA2FF9" w:rsidP="002B7001">
      <w:pPr>
        <w:pStyle w:val="Heading3"/>
        <w:rPr>
          <w:lang w:val="en-US"/>
        </w:rPr>
      </w:pPr>
      <w:bookmarkStart w:id="843" w:name="_Toc180487502"/>
      <w:bookmarkStart w:id="844" w:name="_Toc180490708"/>
      <w:bookmarkStart w:id="845" w:name="_Toc180491741"/>
      <w:bookmarkEnd w:id="842"/>
      <w:r w:rsidRPr="00730DE4">
        <w:rPr>
          <w:lang w:val="en-US"/>
        </w:rPr>
        <w:t>On Demand Transport</w:t>
      </w:r>
      <w:bookmarkEnd w:id="843"/>
      <w:bookmarkEnd w:id="844"/>
      <w:bookmarkEnd w:id="845"/>
    </w:p>
    <w:p w14:paraId="6EFA70A7" w14:textId="77777777" w:rsidR="00FA2FF9" w:rsidRPr="00730DE4" w:rsidRDefault="00FA2FF9" w:rsidP="00B93938">
      <w:pPr>
        <w:rPr>
          <w:lang w:val="en-US"/>
        </w:rPr>
      </w:pPr>
      <w:r w:rsidRPr="00730DE4">
        <w:rPr>
          <w:lang w:val="en-US"/>
        </w:rPr>
        <w:t>As the transport environment evolves, TMR continues to look for new mobility options to support the delivery of a single integrated network accessible to everyone.</w:t>
      </w:r>
    </w:p>
    <w:p w14:paraId="18C0A869" w14:textId="77777777" w:rsidR="00FA2FF9" w:rsidRPr="00730DE4" w:rsidRDefault="00FA2FF9" w:rsidP="00B93938">
      <w:pPr>
        <w:rPr>
          <w:lang w:val="en-US"/>
        </w:rPr>
      </w:pPr>
      <w:r w:rsidRPr="00730DE4">
        <w:rPr>
          <w:lang w:val="en-US"/>
        </w:rPr>
        <w:t>Translink On Demand Transport provides flexible, booked, and shared transport for people who are looking to travel around the same time within defined operating areas.</w:t>
      </w:r>
    </w:p>
    <w:p w14:paraId="320993CB" w14:textId="77777777" w:rsidR="00FA2FF9" w:rsidRPr="00730DE4" w:rsidRDefault="00FA2FF9" w:rsidP="00B93938">
      <w:pPr>
        <w:rPr>
          <w:lang w:val="en-US"/>
        </w:rPr>
      </w:pPr>
      <w:r w:rsidRPr="00730DE4">
        <w:rPr>
          <w:lang w:val="en-US"/>
        </w:rPr>
        <w:t xml:space="preserve">In September 2023, On Demand Transport replaced the existing Kan-go service in Toowoomba. Customers in Rangeville and parts of East Toowoomba can use this service to travel to and from essential services including shopping, healthcare, education, and employment locations. There have been over </w:t>
      </w:r>
      <w:r w:rsidRPr="00730DE4">
        <w:t xml:space="preserve">9000 </w:t>
      </w:r>
      <w:r w:rsidRPr="00730DE4">
        <w:rPr>
          <w:lang w:val="en-US"/>
        </w:rPr>
        <w:t>trips on the Toowoomba On Demand Transport as of 30 June 2024.</w:t>
      </w:r>
    </w:p>
    <w:p w14:paraId="3477AFCF" w14:textId="77777777" w:rsidR="00FA2FF9" w:rsidRPr="00730DE4" w:rsidRDefault="00FA2FF9" w:rsidP="00B93938">
      <w:pPr>
        <w:rPr>
          <w:lang w:val="en-US"/>
        </w:rPr>
      </w:pPr>
      <w:r w:rsidRPr="00730DE4">
        <w:rPr>
          <w:lang w:val="en-US"/>
        </w:rPr>
        <w:t xml:space="preserve">Hervey Bay's On Demand Transport continues to perform well, with over </w:t>
      </w:r>
      <w:r w:rsidRPr="00730DE4">
        <w:t xml:space="preserve">27,000 trips </w:t>
      </w:r>
      <w:r w:rsidRPr="00730DE4">
        <w:rPr>
          <w:lang w:val="en-US"/>
        </w:rPr>
        <w:t>since launch on 20 February 2023.</w:t>
      </w:r>
    </w:p>
    <w:p w14:paraId="6EA0629A" w14:textId="77777777" w:rsidR="00FA2FF9" w:rsidRPr="00730DE4" w:rsidRDefault="00FA2FF9" w:rsidP="00B93938">
      <w:pPr>
        <w:rPr>
          <w:lang w:val="en-US"/>
        </w:rPr>
      </w:pPr>
      <w:r w:rsidRPr="00730DE4">
        <w:rPr>
          <w:lang w:val="en-US"/>
        </w:rPr>
        <w:t xml:space="preserve">Local communities also continue to support the trial for On Demand Transport on the Gold Coast at Nerang, Highland Park, and Pacific Pines, with more than </w:t>
      </w:r>
      <w:r w:rsidRPr="00730DE4">
        <w:t>180,000 trips completed</w:t>
      </w:r>
      <w:r w:rsidRPr="00730DE4">
        <w:rPr>
          <w:lang w:val="en-US"/>
        </w:rPr>
        <w:t xml:space="preserve"> since its launch in March 2022.</w:t>
      </w:r>
    </w:p>
    <w:p w14:paraId="19F395F3" w14:textId="77777777" w:rsidR="00FA2FF9" w:rsidRPr="00730DE4" w:rsidRDefault="00FA2FF9" w:rsidP="00B93938">
      <w:pPr>
        <w:pStyle w:val="MessageHeader"/>
        <w:rPr>
          <w:lang w:val="en-US"/>
        </w:rPr>
      </w:pPr>
      <w:r w:rsidRPr="00730DE4">
        <w:rPr>
          <w:lang w:val="en-US"/>
        </w:rPr>
        <w:t xml:space="preserve">For more information </w:t>
      </w:r>
      <w:r w:rsidRPr="00730DE4">
        <w:rPr>
          <w:lang w:val="en-US"/>
        </w:rPr>
        <w:br/>
      </w:r>
      <w:hyperlink r:id="rId105" w:history="1">
        <w:r w:rsidRPr="00730DE4">
          <w:rPr>
            <w:rStyle w:val="Hyperlink"/>
            <w:lang w:val="en-US"/>
          </w:rPr>
          <w:t>https://translink.com.au/travel-with-us/on-demand</w:t>
        </w:r>
      </w:hyperlink>
    </w:p>
    <w:p w14:paraId="30CC4340" w14:textId="77777777" w:rsidR="00FA2FF9" w:rsidRPr="00730DE4" w:rsidRDefault="00FA2FF9" w:rsidP="002B7001">
      <w:pPr>
        <w:pStyle w:val="Heading3"/>
        <w:rPr>
          <w:lang w:val="en-US"/>
        </w:rPr>
      </w:pPr>
      <w:bookmarkStart w:id="846" w:name="_Toc180487503"/>
      <w:bookmarkStart w:id="847" w:name="_Toc180490709"/>
      <w:bookmarkStart w:id="848" w:name="_Toc180491742"/>
      <w:r w:rsidRPr="00730DE4">
        <w:rPr>
          <w:lang w:val="en-US"/>
        </w:rPr>
        <w:t>Concessional fares for disadvantaged community members</w:t>
      </w:r>
      <w:bookmarkEnd w:id="846"/>
      <w:bookmarkEnd w:id="847"/>
      <w:bookmarkEnd w:id="848"/>
    </w:p>
    <w:p w14:paraId="273CBC07" w14:textId="77777777" w:rsidR="00FA2FF9" w:rsidRPr="00730DE4" w:rsidRDefault="00FA2FF9" w:rsidP="00B93938">
      <w:pPr>
        <w:rPr>
          <w:lang w:val="en-US"/>
        </w:rPr>
      </w:pPr>
      <w:r w:rsidRPr="00730DE4">
        <w:rPr>
          <w:lang w:val="en-US"/>
        </w:rPr>
        <w:t>TMR continued to provide concessional fares on rail, ferry, bus, and light rail services supporting mobility and access across Queensland for those in the community who are disadvantaged through age, disability, income, and isolation. Concessions include a 50 per cent discount on a full fare, or, for some groups, free travel.</w:t>
      </w:r>
    </w:p>
    <w:p w14:paraId="600620D9" w14:textId="77777777" w:rsidR="00FA2FF9" w:rsidRPr="00730DE4" w:rsidRDefault="00FA2FF9" w:rsidP="00B93938">
      <w:pPr>
        <w:rPr>
          <w:lang w:val="en-US"/>
        </w:rPr>
      </w:pPr>
      <w:r w:rsidRPr="00730DE4">
        <w:rPr>
          <w:lang w:val="en-US"/>
        </w:rPr>
        <w:t>Reduced fares benefit pensioners and seniors, veterans, students, people with disability and their carers, job seekers, and asylum seekers.</w:t>
      </w:r>
    </w:p>
    <w:p w14:paraId="66270989" w14:textId="77777777" w:rsidR="00FA2FF9" w:rsidRPr="00730DE4" w:rsidRDefault="00FA2FF9" w:rsidP="00B93938">
      <w:pPr>
        <w:rPr>
          <w:lang w:val="en-US"/>
        </w:rPr>
      </w:pPr>
      <w:r w:rsidRPr="00730DE4">
        <w:rPr>
          <w:lang w:val="en-US"/>
        </w:rPr>
        <w:t>TMR provided $348.66 million in concessions and assistance in 2023–24 to make public transport more affordable. Assistance ranges from public transport concessions, ticketing products, and subsidised transport schemes. TMR continued to engage with industry and other key stakeholders on bus safety issues and best practice initiatives to keep bus travel safe for everyone.</w:t>
      </w:r>
    </w:p>
    <w:p w14:paraId="02A5AB68" w14:textId="77777777" w:rsidR="00FA2FF9" w:rsidRPr="00730DE4" w:rsidRDefault="00FA2FF9" w:rsidP="00B93938">
      <w:pPr>
        <w:pStyle w:val="MessageHeader"/>
        <w:rPr>
          <w:lang w:val="en-US"/>
        </w:rPr>
      </w:pPr>
      <w:r w:rsidRPr="00730DE4">
        <w:rPr>
          <w:lang w:val="en-US"/>
        </w:rPr>
        <w:t xml:space="preserve">For more information </w:t>
      </w:r>
      <w:r w:rsidRPr="00730DE4">
        <w:rPr>
          <w:lang w:val="en-US"/>
        </w:rPr>
        <w:br/>
      </w:r>
      <w:hyperlink r:id="rId106" w:history="1">
        <w:r w:rsidRPr="00730DE4">
          <w:rPr>
            <w:rStyle w:val="Hyperlink"/>
            <w:lang w:val="en-US"/>
          </w:rPr>
          <w:t>https://translink.com.au/tickets-and-fares/concessions</w:t>
        </w:r>
      </w:hyperlink>
    </w:p>
    <w:p w14:paraId="28AD7812" w14:textId="77777777" w:rsidR="00FA2FF9" w:rsidRPr="00730DE4" w:rsidRDefault="00FA2FF9" w:rsidP="002B7001">
      <w:pPr>
        <w:pStyle w:val="Heading3"/>
        <w:rPr>
          <w:lang w:val="en-US"/>
        </w:rPr>
      </w:pPr>
      <w:bookmarkStart w:id="849" w:name="_Toc180487504"/>
      <w:bookmarkStart w:id="850" w:name="_Toc180490710"/>
      <w:bookmarkStart w:id="851" w:name="_Toc180491743"/>
      <w:r w:rsidRPr="00730DE4">
        <w:rPr>
          <w:lang w:val="en-US"/>
        </w:rPr>
        <w:t>School Transport Assistance Scheme</w:t>
      </w:r>
      <w:bookmarkEnd w:id="849"/>
      <w:bookmarkEnd w:id="850"/>
      <w:bookmarkEnd w:id="851"/>
    </w:p>
    <w:p w14:paraId="21E4025D" w14:textId="77777777" w:rsidR="00FA2FF9" w:rsidRPr="00730DE4" w:rsidRDefault="00FA2FF9" w:rsidP="00FD71F2">
      <w:pPr>
        <w:rPr>
          <w:lang w:val="en-US"/>
        </w:rPr>
      </w:pPr>
      <w:r w:rsidRPr="00730DE4">
        <w:rPr>
          <w:lang w:val="en-US"/>
        </w:rPr>
        <w:t>The School Transport Assistance Scheme (STAS) helps eligible students travel to and from school on rail, bus, ferry, and tram services. Approximately $200 million of funding was provided in 2023–24, and about 122,000 eligible recipients travelled on STAS eligible service types during the 2023 school year—making it one of the largest Queensland Government transport schemes.</w:t>
      </w:r>
    </w:p>
    <w:p w14:paraId="433B80A1" w14:textId="77777777" w:rsidR="00FA2FF9" w:rsidRPr="00730DE4" w:rsidRDefault="00FA2FF9" w:rsidP="00FD71F2">
      <w:pPr>
        <w:rPr>
          <w:lang w:val="en-US"/>
        </w:rPr>
      </w:pPr>
      <w:r w:rsidRPr="00730DE4">
        <w:rPr>
          <w:lang w:val="en-US"/>
        </w:rPr>
        <w:t>The scheme can cover all or part of a student’s transport costs between home and school, with the focus on assisting those students who do not have a school in their local area, students living in isolated areas of the state, and low-income families who reside close to their nearest school and do not meet the STAS distance criteria.</w:t>
      </w:r>
    </w:p>
    <w:p w14:paraId="5CC267F8" w14:textId="77777777" w:rsidR="00FA2FF9" w:rsidRPr="00730DE4" w:rsidRDefault="00FA2FF9" w:rsidP="00FD71F2">
      <w:pPr>
        <w:rPr>
          <w:lang w:val="en-US"/>
        </w:rPr>
      </w:pPr>
      <w:r w:rsidRPr="00730DE4">
        <w:rPr>
          <w:lang w:val="en-US"/>
        </w:rPr>
        <w:t>To deliver STAS, TMR works with about 410 delivery partners in providing around 1200 STAS designated bus routes administered through approximately 1020 prescribed school service contracts.</w:t>
      </w:r>
    </w:p>
    <w:p w14:paraId="291B79E0" w14:textId="77777777" w:rsidR="00FA2FF9" w:rsidRPr="00730DE4" w:rsidRDefault="00FA2FF9" w:rsidP="00B93938">
      <w:pPr>
        <w:pStyle w:val="MessageHeader"/>
        <w:rPr>
          <w:lang w:val="en-US"/>
        </w:rPr>
      </w:pPr>
      <w:r w:rsidRPr="00730DE4">
        <w:rPr>
          <w:lang w:val="en-US"/>
        </w:rPr>
        <w:t xml:space="preserve">For more information </w:t>
      </w:r>
      <w:r w:rsidRPr="00730DE4">
        <w:rPr>
          <w:lang w:val="en-US"/>
        </w:rPr>
        <w:br/>
      </w:r>
      <w:hyperlink r:id="rId107" w:history="1">
        <w:r w:rsidRPr="00730DE4">
          <w:rPr>
            <w:rStyle w:val="Hyperlink"/>
            <w:lang w:val="en-US"/>
          </w:rPr>
          <w:t>https://www.qld.gov.au/transport/public/school/school-transport-assistance</w:t>
        </w:r>
      </w:hyperlink>
    </w:p>
    <w:p w14:paraId="1E1F459E" w14:textId="77777777" w:rsidR="00FA2FF9" w:rsidRPr="00730DE4" w:rsidRDefault="00FA2FF9" w:rsidP="002B7001">
      <w:pPr>
        <w:pStyle w:val="Heading3"/>
        <w:rPr>
          <w:lang w:val="en-US"/>
        </w:rPr>
      </w:pPr>
      <w:bookmarkStart w:id="852" w:name="_Toc180487505"/>
      <w:bookmarkStart w:id="853" w:name="_Toc180490711"/>
      <w:bookmarkStart w:id="854" w:name="_Toc180491744"/>
      <w:r w:rsidRPr="00730DE4">
        <w:rPr>
          <w:lang w:val="en-US"/>
        </w:rPr>
        <w:t>School transport operator payments</w:t>
      </w:r>
      <w:bookmarkEnd w:id="852"/>
      <w:bookmarkEnd w:id="853"/>
      <w:bookmarkEnd w:id="854"/>
    </w:p>
    <w:p w14:paraId="30BE7D90" w14:textId="77777777" w:rsidR="00FA2FF9" w:rsidRPr="00730DE4" w:rsidRDefault="00FA2FF9" w:rsidP="00B93938">
      <w:pPr>
        <w:rPr>
          <w:lang w:val="en-US"/>
        </w:rPr>
      </w:pPr>
      <w:r w:rsidRPr="00730DE4">
        <w:rPr>
          <w:lang w:val="en-US"/>
        </w:rPr>
        <w:t>TMR provided funding assistance to 410 private operators to deliver school transport services in regional Queensland. Payments for these services in 2023–24 totalled $</w:t>
      </w:r>
      <w:r w:rsidRPr="00730DE4">
        <w:t xml:space="preserve">190.6 </w:t>
      </w:r>
      <w:r w:rsidRPr="00730DE4">
        <w:rPr>
          <w:lang w:val="en-US"/>
        </w:rPr>
        <w:t>million (excluding GST).</w:t>
      </w:r>
    </w:p>
    <w:p w14:paraId="16E3DBE0" w14:textId="77777777" w:rsidR="00FA2FF9" w:rsidRPr="00730DE4" w:rsidRDefault="00FA2FF9" w:rsidP="00B93938">
      <w:pPr>
        <w:rPr>
          <w:lang w:val="en-US"/>
        </w:rPr>
      </w:pPr>
      <w:r w:rsidRPr="00730DE4">
        <w:rPr>
          <w:lang w:val="en-US"/>
        </w:rPr>
        <w:t>South East Queensland school transport services are paid as part of integrated urban and school transport service contracts and are included in payments listed in Appendix 4.</w:t>
      </w:r>
    </w:p>
    <w:p w14:paraId="3E76DCB1" w14:textId="77777777" w:rsidR="00FA2FF9" w:rsidRPr="00730DE4" w:rsidRDefault="00FA2FF9" w:rsidP="00B93938">
      <w:pPr>
        <w:pStyle w:val="MessageHeader"/>
        <w:rPr>
          <w:lang w:val="en-US"/>
        </w:rPr>
      </w:pPr>
      <w:r w:rsidRPr="00730DE4">
        <w:rPr>
          <w:lang w:val="en-US"/>
        </w:rPr>
        <w:t>A full list of school transport operators in regional Queensland and payments is available on the Queensland Government Open Data Portal</w:t>
      </w:r>
      <w:r w:rsidRPr="00730DE4">
        <w:t xml:space="preserve"> </w:t>
      </w:r>
      <w:r w:rsidRPr="00730DE4">
        <w:rPr>
          <w:lang w:val="en-US"/>
        </w:rPr>
        <w:br/>
      </w:r>
      <w:hyperlink r:id="rId108" w:history="1">
        <w:r w:rsidRPr="00730DE4">
          <w:rPr>
            <w:rStyle w:val="Hyperlink"/>
            <w:lang w:val="en-US"/>
          </w:rPr>
          <w:t>https://www.data.qld.gov.au</w:t>
        </w:r>
      </w:hyperlink>
    </w:p>
    <w:p w14:paraId="70FD549B" w14:textId="77777777" w:rsidR="00FA2FF9" w:rsidRPr="00730DE4" w:rsidRDefault="00FA2FF9" w:rsidP="002B7001">
      <w:pPr>
        <w:pStyle w:val="Heading3"/>
        <w:rPr>
          <w:lang w:val="en-US"/>
        </w:rPr>
      </w:pPr>
      <w:bookmarkStart w:id="855" w:name="_Toc180487506"/>
      <w:bookmarkStart w:id="856" w:name="_Toc180490712"/>
      <w:bookmarkStart w:id="857" w:name="_Toc180491745"/>
      <w:r w:rsidRPr="00730DE4">
        <w:rPr>
          <w:lang w:val="en-US"/>
        </w:rPr>
        <w:t>Disability Action Plan</w:t>
      </w:r>
      <w:bookmarkEnd w:id="855"/>
      <w:bookmarkEnd w:id="856"/>
      <w:bookmarkEnd w:id="857"/>
    </w:p>
    <w:p w14:paraId="41A3A423" w14:textId="77777777" w:rsidR="00FA2FF9" w:rsidRPr="00730DE4" w:rsidRDefault="00FA2FF9" w:rsidP="00B93938">
      <w:pPr>
        <w:rPr>
          <w:lang w:val="en-US"/>
        </w:rPr>
      </w:pPr>
      <w:r w:rsidRPr="00730DE4">
        <w:rPr>
          <w:lang w:val="en-US"/>
        </w:rPr>
        <w:t xml:space="preserve">The TMR </w:t>
      </w:r>
      <w:r w:rsidRPr="00730DE4">
        <w:rPr>
          <w:rStyle w:val="Emphasis"/>
        </w:rPr>
        <w:t>Interim Disability Action Plan 2023–2024</w:t>
      </w:r>
      <w:r w:rsidRPr="00730DE4">
        <w:rPr>
          <w:lang w:val="en-US"/>
        </w:rPr>
        <w:t xml:space="preserve"> includes 12 actions to improve accessibility for people with disability using the Queensland passenger transport network. In this plan, TMR is committed to developing a new co-designed TMR Disability Action Plan in consultation with people with disability. TMR has commenced the process of co-designing the new Disability Action Plan and bringing together a representative range of stakeholders, including people living with disability, disability advocates, industry sector, and other government agencies to develop the plan.</w:t>
      </w:r>
    </w:p>
    <w:p w14:paraId="3DDCA6DC" w14:textId="77777777" w:rsidR="00FA2FF9" w:rsidRPr="00730DE4" w:rsidRDefault="00FA2FF9" w:rsidP="00B93938">
      <w:pPr>
        <w:rPr>
          <w:lang w:val="en-US"/>
        </w:rPr>
      </w:pPr>
      <w:r w:rsidRPr="00730DE4">
        <w:rPr>
          <w:lang w:val="en-US"/>
        </w:rPr>
        <w:t xml:space="preserve">Progress and achievements on some key actions from the </w:t>
      </w:r>
      <w:r w:rsidRPr="00730DE4">
        <w:rPr>
          <w:rStyle w:val="Emphasis"/>
        </w:rPr>
        <w:t>Interim Disability Action Plan 2023–2024</w:t>
      </w:r>
      <w:r w:rsidRPr="00730DE4">
        <w:rPr>
          <w:lang w:val="en-US"/>
        </w:rPr>
        <w:t xml:space="preserve"> include:</w:t>
      </w:r>
    </w:p>
    <w:p w14:paraId="54FA1F16" w14:textId="77777777" w:rsidR="00FA2FF9" w:rsidRPr="00730DE4" w:rsidRDefault="00FA2FF9" w:rsidP="00B93938">
      <w:pPr>
        <w:pStyle w:val="ListBullet"/>
        <w:rPr>
          <w:lang w:val="en-US"/>
        </w:rPr>
      </w:pPr>
      <w:r w:rsidRPr="00730DE4">
        <w:rPr>
          <w:lang w:val="en-US"/>
        </w:rPr>
        <w:t>leading the development of transport strategy and plans to deliver accessible transport solutions for the Brisbane 2032 Olympic and Paralympic Games. TMR is also providing input to Games venue designs to embed safe, efficient, and inclusive access for all</w:t>
      </w:r>
    </w:p>
    <w:p w14:paraId="1A876EAE" w14:textId="77777777" w:rsidR="00FA2FF9" w:rsidRPr="00730DE4" w:rsidRDefault="00FA2FF9" w:rsidP="003462DF">
      <w:pPr>
        <w:pStyle w:val="ListBullet"/>
        <w:rPr>
          <w:lang w:val="en-US"/>
        </w:rPr>
      </w:pPr>
      <w:bookmarkStart w:id="858" w:name="_Hlk161664279"/>
      <w:r w:rsidRPr="00730DE4">
        <w:rPr>
          <w:lang w:val="en-US"/>
        </w:rPr>
        <w:t>delivered initiatives under the co-designed Accessible Taxi Services Working Group Action Plan to deliver improved personalised transport accessibility outcomes, an extension and increase of funding through the Wheelchair Accessible Taxi Grant Scheme, and an increase to the driver lift payment for eligible wheelchair trips</w:t>
      </w:r>
    </w:p>
    <w:p w14:paraId="58ADBAF6" w14:textId="77777777" w:rsidR="00FA2FF9" w:rsidRPr="00730DE4" w:rsidRDefault="00FA2FF9" w:rsidP="00B93938">
      <w:pPr>
        <w:pStyle w:val="ListBullet"/>
        <w:rPr>
          <w:lang w:val="en-US"/>
        </w:rPr>
      </w:pPr>
      <w:r w:rsidRPr="00730DE4">
        <w:rPr>
          <w:lang w:val="en-US"/>
        </w:rPr>
        <w:t>provision of $4.7 million in grant funding for local governments to assist with accessibility upgrades through the Passenger Transport Accessible Infrastructure Program such as bus stops, long distance coach stops, ferry pontoons and jetties, and remote aerodrome terminals</w:t>
      </w:r>
    </w:p>
    <w:p w14:paraId="1BEA6096" w14:textId="77777777" w:rsidR="00FA2FF9" w:rsidRPr="00730DE4" w:rsidRDefault="00FA2FF9" w:rsidP="00B93938">
      <w:pPr>
        <w:pStyle w:val="ListBullet"/>
        <w:rPr>
          <w:lang w:val="en-US"/>
        </w:rPr>
      </w:pPr>
      <w:r w:rsidRPr="00730DE4">
        <w:rPr>
          <w:lang w:val="en-US"/>
        </w:rPr>
        <w:t>accessibility upgrades delivered as part of other new and upgraded infrastructure projects funded through the Passenger Transport Infrastructure Investment Program</w:t>
      </w:r>
      <w:bookmarkEnd w:id="858"/>
    </w:p>
    <w:p w14:paraId="09881F94" w14:textId="77777777" w:rsidR="00FA2FF9" w:rsidRPr="00730DE4" w:rsidRDefault="00FA2FF9" w:rsidP="00B93938">
      <w:pPr>
        <w:pStyle w:val="ListBullet"/>
        <w:rPr>
          <w:lang w:val="en-US"/>
        </w:rPr>
      </w:pPr>
      <w:r w:rsidRPr="00730DE4">
        <w:rPr>
          <w:lang w:val="en-US"/>
        </w:rPr>
        <w:t>facilitation of five TMR Accessibility Reference Group meetings, that includes membership across the disability community, industry partners, and government. The reference group provided valuable advice and feedback on key Queensland passenger transport projects such as improving rail and transit legibility, EV charging station design, Queensland digital licensing, On Demand Transport, and Zero Emissions Bus design.</w:t>
      </w:r>
    </w:p>
    <w:p w14:paraId="46303660" w14:textId="77777777" w:rsidR="00FA2FF9" w:rsidRPr="00730DE4" w:rsidRDefault="00FA2FF9" w:rsidP="00B93938">
      <w:pPr>
        <w:pStyle w:val="MessageHeader"/>
        <w:rPr>
          <w:lang w:val="en-US"/>
        </w:rPr>
      </w:pPr>
      <w:r w:rsidRPr="00730DE4">
        <w:rPr>
          <w:lang w:val="en-US"/>
        </w:rPr>
        <w:t xml:space="preserve">For more information </w:t>
      </w:r>
      <w:r w:rsidRPr="00730DE4">
        <w:rPr>
          <w:lang w:val="en-US"/>
        </w:rPr>
        <w:br/>
      </w:r>
      <w:hyperlink r:id="rId109" w:history="1">
        <w:r w:rsidRPr="00730DE4">
          <w:rPr>
            <w:rStyle w:val="Hyperlink"/>
            <w:lang w:val="en-US"/>
          </w:rPr>
          <w:t>https://www.tmr.qld.gov.au/Travel-and-transport/Disability-access-and-mobility/Disability-Action-Plan</w:t>
        </w:r>
      </w:hyperlink>
    </w:p>
    <w:p w14:paraId="42A2D0E6" w14:textId="77777777" w:rsidR="00FA2FF9" w:rsidRPr="00730DE4" w:rsidRDefault="00FA2FF9" w:rsidP="002B7001">
      <w:pPr>
        <w:pStyle w:val="Heading3"/>
        <w:rPr>
          <w:lang w:val="en-US"/>
        </w:rPr>
      </w:pPr>
      <w:bookmarkStart w:id="859" w:name="_Toc180487507"/>
      <w:bookmarkStart w:id="860" w:name="_Toc180490713"/>
      <w:bookmarkStart w:id="861" w:name="_Toc180491746"/>
      <w:r w:rsidRPr="00730DE4">
        <w:rPr>
          <w:lang w:val="en-US"/>
        </w:rPr>
        <w:t>Passenger Transport Accessible Infrastructure program</w:t>
      </w:r>
      <w:bookmarkEnd w:id="859"/>
      <w:bookmarkEnd w:id="860"/>
      <w:bookmarkEnd w:id="861"/>
    </w:p>
    <w:p w14:paraId="7B34E117" w14:textId="77777777" w:rsidR="00FA2FF9" w:rsidRPr="00730DE4" w:rsidRDefault="00FA2FF9" w:rsidP="00C45FE7">
      <w:pPr>
        <w:rPr>
          <w:lang w:val="en-US"/>
        </w:rPr>
      </w:pPr>
      <w:r w:rsidRPr="00730DE4">
        <w:rPr>
          <w:lang w:val="en-US"/>
        </w:rPr>
        <w:t xml:space="preserve">The Passenger Transport Accessible Infrastructure grants program provides funding assistance to local governments upgrading their existing passenger transport facilities to comply with the </w:t>
      </w:r>
      <w:r w:rsidRPr="00730DE4">
        <w:rPr>
          <w:rStyle w:val="Emphasis"/>
        </w:rPr>
        <w:t>Disability Discrimination Act 1992</w:t>
      </w:r>
      <w:r w:rsidRPr="00730DE4">
        <w:rPr>
          <w:lang w:val="en-US"/>
        </w:rPr>
        <w:t xml:space="preserve"> (Cth).</w:t>
      </w:r>
    </w:p>
    <w:p w14:paraId="36AC31E2" w14:textId="77777777" w:rsidR="00FA2FF9" w:rsidRPr="00730DE4" w:rsidRDefault="00FA2FF9" w:rsidP="00C45FE7">
      <w:pPr>
        <w:rPr>
          <w:lang w:val="en-US"/>
        </w:rPr>
      </w:pPr>
      <w:r w:rsidRPr="00730DE4">
        <w:rPr>
          <w:lang w:val="en-US"/>
        </w:rPr>
        <w:t>These funding contributions allow local governments to:</w:t>
      </w:r>
    </w:p>
    <w:p w14:paraId="07026EC4" w14:textId="77777777" w:rsidR="00FA2FF9" w:rsidRPr="00730DE4" w:rsidRDefault="00FA2FF9" w:rsidP="00C45FE7">
      <w:pPr>
        <w:pStyle w:val="ListBullet"/>
        <w:rPr>
          <w:lang w:val="en-US"/>
        </w:rPr>
      </w:pPr>
      <w:r w:rsidRPr="00730DE4">
        <w:rPr>
          <w:lang w:val="en-US"/>
        </w:rPr>
        <w:t>enhance safety and accessibility of the transport network for everyone</w:t>
      </w:r>
    </w:p>
    <w:p w14:paraId="03600982" w14:textId="77777777" w:rsidR="00FA2FF9" w:rsidRPr="00730DE4" w:rsidRDefault="00FA2FF9" w:rsidP="00C45FE7">
      <w:pPr>
        <w:pStyle w:val="ListBullet"/>
        <w:rPr>
          <w:lang w:val="en-US"/>
        </w:rPr>
      </w:pPr>
      <w:r w:rsidRPr="00730DE4">
        <w:rPr>
          <w:lang w:val="en-US"/>
        </w:rPr>
        <w:t xml:space="preserve">modernise passenger transport facilities to comply with the </w:t>
      </w:r>
      <w:r w:rsidRPr="00730DE4">
        <w:rPr>
          <w:rStyle w:val="Emphasis"/>
        </w:rPr>
        <w:t>Disability Discrimination Act 1992</w:t>
      </w:r>
      <w:r w:rsidRPr="00730DE4">
        <w:rPr>
          <w:lang w:val="en-US"/>
        </w:rPr>
        <w:t xml:space="preserve"> (Cth)</w:t>
      </w:r>
    </w:p>
    <w:p w14:paraId="16596B77" w14:textId="77777777" w:rsidR="00FA2FF9" w:rsidRPr="00730DE4" w:rsidRDefault="00FA2FF9" w:rsidP="00C45FE7">
      <w:pPr>
        <w:pStyle w:val="ListBullet"/>
        <w:rPr>
          <w:lang w:val="en-US"/>
        </w:rPr>
      </w:pPr>
      <w:r w:rsidRPr="00730DE4">
        <w:rPr>
          <w:lang w:val="en-US"/>
        </w:rPr>
        <w:t>apply consistent design standards across the passenger transport network.</w:t>
      </w:r>
    </w:p>
    <w:p w14:paraId="7F7C6049" w14:textId="77777777" w:rsidR="00FA2FF9" w:rsidRPr="00730DE4" w:rsidRDefault="00FA2FF9" w:rsidP="00C45FE7">
      <w:pPr>
        <w:rPr>
          <w:lang w:val="en-US"/>
        </w:rPr>
      </w:pPr>
      <w:r w:rsidRPr="00730DE4">
        <w:rPr>
          <w:lang w:val="en-US"/>
        </w:rPr>
        <w:t>In 2023–24, funding assistance was provided to 14 local governments across Queensland to support more than 300 bus stop upgrades to meet accessibility standards. In addition, funding assistance was also provided towards upgrading long-distance coach stops in regional and remote areas, ferry pontoons and jetties, and remote aerodrome terminals.</w:t>
      </w:r>
    </w:p>
    <w:p w14:paraId="6186C93A" w14:textId="77777777" w:rsidR="00FA2FF9" w:rsidRPr="00730DE4" w:rsidRDefault="00FA2FF9" w:rsidP="00C45FE7">
      <w:pPr>
        <w:rPr>
          <w:lang w:val="en-US"/>
        </w:rPr>
      </w:pPr>
      <w:r w:rsidRPr="00730DE4">
        <w:rPr>
          <w:lang w:val="en-US"/>
        </w:rPr>
        <w:t>The success of the program is built on the partnership approach, with local governments and other state government agencies working together to deliver a single integrated network accessible to everyone.</w:t>
      </w:r>
    </w:p>
    <w:p w14:paraId="0AE2A7E4" w14:textId="77777777" w:rsidR="00FA2FF9" w:rsidRPr="00730DE4" w:rsidRDefault="00FA2FF9" w:rsidP="00C45FE7">
      <w:pPr>
        <w:pStyle w:val="MessageHeader"/>
        <w:rPr>
          <w:lang w:val="en-US"/>
        </w:rPr>
      </w:pPr>
      <w:r w:rsidRPr="00730DE4">
        <w:rPr>
          <w:lang w:val="en-US"/>
        </w:rPr>
        <w:t xml:space="preserve">For more information </w:t>
      </w:r>
      <w:r w:rsidRPr="00730DE4">
        <w:rPr>
          <w:lang w:val="en-US"/>
        </w:rPr>
        <w:br/>
      </w:r>
      <w:hyperlink r:id="rId110" w:history="1">
        <w:r w:rsidRPr="00730DE4">
          <w:rPr>
            <w:rStyle w:val="Hyperlink"/>
            <w:lang w:val="en-US"/>
          </w:rPr>
          <w:t>https://www.tmr.qld.gov.au/Travel-and-transport/Public-transport/Public-transport-infrastructure-grants</w:t>
        </w:r>
      </w:hyperlink>
    </w:p>
    <w:p w14:paraId="344F85EF" w14:textId="77777777" w:rsidR="00FA2FF9" w:rsidRPr="00730DE4" w:rsidRDefault="00FA2FF9" w:rsidP="002B7001">
      <w:pPr>
        <w:pStyle w:val="Heading3"/>
        <w:rPr>
          <w:lang w:val="en-US"/>
        </w:rPr>
      </w:pPr>
      <w:bookmarkStart w:id="862" w:name="_Toc180487508"/>
      <w:bookmarkStart w:id="863" w:name="_Toc180490714"/>
      <w:bookmarkStart w:id="864" w:name="_Toc180491747"/>
      <w:bookmarkStart w:id="865" w:name="_Hlk173151794"/>
      <w:r w:rsidRPr="00730DE4">
        <w:rPr>
          <w:lang w:val="en-US"/>
        </w:rPr>
        <w:t>Accessibility and inclusion journey</w:t>
      </w:r>
      <w:bookmarkEnd w:id="862"/>
      <w:bookmarkEnd w:id="863"/>
      <w:bookmarkEnd w:id="864"/>
      <w:r w:rsidRPr="00730DE4">
        <w:rPr>
          <w:lang w:val="en-US"/>
        </w:rPr>
        <w:t xml:space="preserve"> </w:t>
      </w:r>
    </w:p>
    <w:p w14:paraId="69D1ECD3" w14:textId="77777777" w:rsidR="00FA2FF9" w:rsidRPr="00730DE4" w:rsidRDefault="00FA2FF9" w:rsidP="00C45FE7">
      <w:pPr>
        <w:rPr>
          <w:lang w:val="en-US"/>
        </w:rPr>
      </w:pPr>
      <w:bookmarkStart w:id="866" w:name="_Hlk170301868"/>
      <w:r w:rsidRPr="00730DE4">
        <w:rPr>
          <w:lang w:val="en-US"/>
        </w:rPr>
        <w:t xml:space="preserve">TMR is committed to delivering accessible and inclusive transport products, services, information, and infrastructure for all Queenslanders. TMR's </w:t>
      </w:r>
      <w:r w:rsidRPr="00730DE4">
        <w:rPr>
          <w:rStyle w:val="Emphasis"/>
        </w:rPr>
        <w:t>Accessibility and Inclusion Strategy</w:t>
      </w:r>
      <w:r w:rsidRPr="00730DE4">
        <w:rPr>
          <w:lang w:val="en-US"/>
        </w:rPr>
        <w:t xml:space="preserve"> drives the program to achieve this goal and deliver TMR’s vision of creating an integrated network, accessible to everyone. </w:t>
      </w:r>
    </w:p>
    <w:p w14:paraId="3577540A" w14:textId="77777777" w:rsidR="00FA2FF9" w:rsidRPr="00730DE4" w:rsidRDefault="00FA2FF9" w:rsidP="00C45FE7">
      <w:pPr>
        <w:rPr>
          <w:lang w:val="en-US"/>
        </w:rPr>
      </w:pPr>
      <w:r w:rsidRPr="00730DE4">
        <w:rPr>
          <w:lang w:val="en-US"/>
        </w:rPr>
        <w:t xml:space="preserve">Accessible transport services and precincts are a fundamental human right, enabling everyone to have dignified access to employment, health services, education, recreation, and cultural activities. </w:t>
      </w:r>
    </w:p>
    <w:p w14:paraId="3DDFC100" w14:textId="77777777" w:rsidR="00FA2FF9" w:rsidRPr="00730DE4" w:rsidRDefault="00FA2FF9" w:rsidP="00C45FE7">
      <w:pPr>
        <w:rPr>
          <w:lang w:val="en-US"/>
        </w:rPr>
      </w:pPr>
      <w:r w:rsidRPr="00730DE4">
        <w:rPr>
          <w:lang w:val="en-US"/>
        </w:rPr>
        <w:t xml:space="preserve">Significant work has been undertaken to improve the accessibility of TMR communication channels, create inclusive recruitment pathways, provide tools and technical resources, develop guidelines around universal design and co-design, deliver accessibility and inclusion training to TMR employees, and research accessible autonomous vehicles. </w:t>
      </w:r>
    </w:p>
    <w:p w14:paraId="4BFBEDC6" w14:textId="77777777" w:rsidR="00FA2FF9" w:rsidRPr="00730DE4" w:rsidRDefault="00FA2FF9" w:rsidP="00C45FE7">
      <w:pPr>
        <w:rPr>
          <w:lang w:val="en-US"/>
        </w:rPr>
      </w:pPr>
      <w:r w:rsidRPr="00730DE4">
        <w:rPr>
          <w:lang w:val="en-US"/>
        </w:rPr>
        <w:t xml:space="preserve">The next phase of our journey is a time for critical reflection on our systems, structures, attitudes, and behaviours—implementing further actions to embed diversity and inclusion into everything we do through deliberate decisions and actions. </w:t>
      </w:r>
    </w:p>
    <w:p w14:paraId="1ADD976E" w14:textId="77777777" w:rsidR="00FA2FF9" w:rsidRPr="00730DE4" w:rsidRDefault="00FA2FF9" w:rsidP="00C45FE7">
      <w:pPr>
        <w:rPr>
          <w:lang w:val="en-US"/>
        </w:rPr>
      </w:pPr>
      <w:r w:rsidRPr="00730DE4">
        <w:rPr>
          <w:lang w:val="en-US"/>
        </w:rPr>
        <w:t xml:space="preserve">By embedding co-design and universal design across our business, we are working with customers at every stage of projects to make sure products and services meet their needs. It also builds employee understanding, confidence, and capability, and models the behaviours of diversity and inclusion. </w:t>
      </w:r>
    </w:p>
    <w:bookmarkEnd w:id="866"/>
    <w:p w14:paraId="420709EA" w14:textId="77777777" w:rsidR="00FA2FF9" w:rsidRPr="00730DE4" w:rsidRDefault="00FA2FF9" w:rsidP="00C45FE7">
      <w:pPr>
        <w:pStyle w:val="MessageHeader"/>
        <w:rPr>
          <w:lang w:val="en-US"/>
        </w:rPr>
      </w:pPr>
      <w:r w:rsidRPr="00730DE4">
        <w:rPr>
          <w:lang w:val="en-US"/>
        </w:rPr>
        <w:t xml:space="preserve">For more information </w:t>
      </w:r>
      <w:r w:rsidRPr="00730DE4">
        <w:rPr>
          <w:lang w:val="en-US"/>
        </w:rPr>
        <w:br/>
      </w:r>
      <w:hyperlink r:id="rId111" w:history="1">
        <w:r w:rsidRPr="00730DE4">
          <w:rPr>
            <w:rStyle w:val="Hyperlink"/>
            <w:lang w:val="en-US"/>
          </w:rPr>
          <w:t>https://www.tmr.qld.gov.au/about-us/our-organisation/accessibility-and-inclusion</w:t>
        </w:r>
      </w:hyperlink>
    </w:p>
    <w:p w14:paraId="23141D44" w14:textId="77777777" w:rsidR="00FA2FF9" w:rsidRPr="00730DE4" w:rsidRDefault="00FA2FF9" w:rsidP="002B7001">
      <w:pPr>
        <w:pStyle w:val="Heading3"/>
      </w:pPr>
      <w:bookmarkStart w:id="867" w:name="_Toc180487509"/>
      <w:bookmarkStart w:id="868" w:name="_Toc180490715"/>
      <w:bookmarkStart w:id="869" w:name="_Toc180491748"/>
      <w:bookmarkEnd w:id="865"/>
      <w:r w:rsidRPr="00730DE4">
        <w:t>Case study: First Nations Digital Service Centres</w:t>
      </w:r>
      <w:bookmarkEnd w:id="867"/>
      <w:bookmarkEnd w:id="868"/>
      <w:bookmarkEnd w:id="869"/>
    </w:p>
    <w:p w14:paraId="55B38993" w14:textId="77777777" w:rsidR="00FA2FF9" w:rsidRPr="00730DE4" w:rsidRDefault="00FA2FF9" w:rsidP="00934D48">
      <w:r w:rsidRPr="00730DE4">
        <w:t xml:space="preserve">QGCDG continues to support the operations of two Digital Service Centres in remote Aboriginal communities, with more to follow. </w:t>
      </w:r>
    </w:p>
    <w:p w14:paraId="63B1BE5E" w14:textId="77777777" w:rsidR="00FA2FF9" w:rsidRPr="00730DE4" w:rsidRDefault="00FA2FF9" w:rsidP="00934D48">
      <w:r w:rsidRPr="00730DE4">
        <w:t>The centres are community-owned and controlled and commercially sustainable, providing services for industry and government with the overarching goal to create a strong local digital economy through local digital jobs and careers as well as a broader digital transformation of the community. ​</w:t>
      </w:r>
    </w:p>
    <w:p w14:paraId="34E1008E" w14:textId="77777777" w:rsidR="00FA2FF9" w:rsidRPr="00730DE4" w:rsidRDefault="00FA2FF9" w:rsidP="00934D48">
      <w:r w:rsidRPr="00730DE4">
        <w:t>Digital Service Centres offer unique benefits to regional and remote communities through the creation of new jobs, new skills, and economic diversification. ​</w:t>
      </w:r>
    </w:p>
    <w:p w14:paraId="36DF0A59" w14:textId="77777777" w:rsidR="00FA2FF9" w:rsidRPr="00730DE4" w:rsidRDefault="00FA2FF9" w:rsidP="00934D48">
      <w:r w:rsidRPr="00730DE4">
        <w:t>Each centre provides a culturally safe place that delivers tailored digital training, upskilling, and employment opportunities to local people, building community confidence, capacity, and capability.​</w:t>
      </w:r>
    </w:p>
    <w:p w14:paraId="259CCC1B" w14:textId="77777777" w:rsidR="00FA2FF9" w:rsidRPr="00730DE4" w:rsidRDefault="00FA2FF9" w:rsidP="00934D48">
      <w:r w:rsidRPr="00730DE4">
        <w:t>The first centre opened in March 2022 in Cherbourg and is a partnership between Cherbourg Aboriginal Shire Council, Fujitsu, and the Queensland Government. It was the first digital service centre opened in an Aboriginal community in Australia.​</w:t>
      </w:r>
    </w:p>
    <w:p w14:paraId="0B4EDE23" w14:textId="77777777" w:rsidR="00FA2FF9" w:rsidRPr="00730DE4" w:rsidRDefault="00FA2FF9" w:rsidP="00934D48">
      <w:r w:rsidRPr="00730DE4">
        <w:t>A second centre was established in June 2023 on Palm Island which employs local community members who completed a pre-employment work readiness skills bootcamp to prepare them to deliver digital call centre services to Telstra customers. Digital Service Centre employees will continue completing a Certificate 3 in Business with TAFE Queensland while they are working.​</w:t>
      </w:r>
    </w:p>
    <w:p w14:paraId="6BAC8C46" w14:textId="77777777" w:rsidR="00FA2FF9" w:rsidRPr="00730DE4" w:rsidRDefault="00FA2FF9" w:rsidP="00934D48">
      <w:r w:rsidRPr="00730DE4">
        <w:t>The centre is a partnership between the Queensland Government, Telstra, Palm Island Community Company, and Palm Island Aboriginal Shire Council​ and is supported by TAFE Queensland.</w:t>
      </w:r>
    </w:p>
    <w:p w14:paraId="558E5609" w14:textId="77777777" w:rsidR="00FA2FF9" w:rsidRPr="00730DE4" w:rsidRDefault="00FA2FF9" w:rsidP="002B7001">
      <w:pPr>
        <w:pStyle w:val="Heading3"/>
        <w:rPr>
          <w:lang w:val="en-US"/>
        </w:rPr>
      </w:pPr>
      <w:bookmarkStart w:id="870" w:name="_Toc180487510"/>
      <w:bookmarkStart w:id="871" w:name="_Toc180490716"/>
      <w:bookmarkStart w:id="872" w:name="_Toc180491749"/>
      <w:r w:rsidRPr="00730DE4">
        <w:rPr>
          <w:lang w:val="en-US"/>
        </w:rPr>
        <w:t>Accessibility and inclusion improvements for our customers</w:t>
      </w:r>
      <w:bookmarkEnd w:id="870"/>
      <w:bookmarkEnd w:id="871"/>
      <w:bookmarkEnd w:id="872"/>
    </w:p>
    <w:p w14:paraId="508773CE" w14:textId="77777777" w:rsidR="00FA2FF9" w:rsidRPr="00730DE4" w:rsidRDefault="00FA2FF9" w:rsidP="00C45FE7">
      <w:pPr>
        <w:rPr>
          <w:lang w:val="en-US"/>
        </w:rPr>
      </w:pPr>
      <w:r w:rsidRPr="00730DE4">
        <w:rPr>
          <w:lang w:val="en-US"/>
        </w:rPr>
        <w:t>Access to information and communication is a fundamental human right. Yet, individuals with hearing loss often face significant barriers in accessing services. In Queensland, where over one in six Australians are affected by hearing loss, addressing this prevalent but non-visible disability is crucial.</w:t>
      </w:r>
    </w:p>
    <w:p w14:paraId="77728C2F" w14:textId="77777777" w:rsidR="00FA2FF9" w:rsidRPr="00730DE4" w:rsidRDefault="00FA2FF9" w:rsidP="00C45FE7">
      <w:pPr>
        <w:rPr>
          <w:lang w:val="en-US"/>
        </w:rPr>
      </w:pPr>
      <w:r w:rsidRPr="00730DE4">
        <w:rPr>
          <w:lang w:val="en-US"/>
        </w:rPr>
        <w:t>To enhance accessibility across our network, TMR, in partnership with Better Hearing Australia (BHA), has taken significant steps. At the end of 2023, TMR deployed 96 'smartloop' countertop HALD—also known as Audio Frequency Induction Loops (AFIL)—to all TMR CSCs. These devices enable customers with hearing aids or cochlear implants to connect via Telecoil technology, reducing background noise and improving speech clarity. This makes it easier for them to communicate with staff and access information.</w:t>
      </w:r>
    </w:p>
    <w:p w14:paraId="0078EBED" w14:textId="77777777" w:rsidR="00FA2FF9" w:rsidRPr="00730DE4" w:rsidRDefault="00FA2FF9" w:rsidP="00C45FE7">
      <w:pPr>
        <w:rPr>
          <w:lang w:val="en-US"/>
        </w:rPr>
      </w:pPr>
      <w:r w:rsidRPr="00730DE4">
        <w:rPr>
          <w:lang w:val="en-US"/>
        </w:rPr>
        <w:t>TMR is dedicated to providing accessible and inclusive services for all Queenslanders. With services reaching over 3.5 million customers annually across the state, the rollout of HALDs marks an important step in ensuring everyone can effectively access services and communicate with staff.</w:t>
      </w:r>
    </w:p>
    <w:p w14:paraId="39FF9886" w14:textId="77777777" w:rsidR="00FA2FF9" w:rsidRPr="00730DE4" w:rsidRDefault="00FA2FF9" w:rsidP="002B7001">
      <w:pPr>
        <w:pStyle w:val="Heading3"/>
        <w:rPr>
          <w:lang w:val="en-US"/>
        </w:rPr>
      </w:pPr>
      <w:bookmarkStart w:id="873" w:name="_Toc180487511"/>
      <w:bookmarkStart w:id="874" w:name="_Toc180490717"/>
      <w:bookmarkStart w:id="875" w:name="_Toc180491750"/>
      <w:r w:rsidRPr="00730DE4">
        <w:rPr>
          <w:lang w:val="en-US"/>
        </w:rPr>
        <w:t>Improving customer experience online</w:t>
      </w:r>
      <w:bookmarkEnd w:id="873"/>
      <w:bookmarkEnd w:id="874"/>
      <w:bookmarkEnd w:id="875"/>
    </w:p>
    <w:p w14:paraId="1D8B13B7" w14:textId="77777777" w:rsidR="00FA2FF9" w:rsidRPr="00730DE4" w:rsidRDefault="00FA2FF9" w:rsidP="00C45FE7">
      <w:r w:rsidRPr="00730DE4">
        <w:t>TMR has made significant strides in its continuous improvement of the digital service delivery channel during the 202</w:t>
      </w:r>
      <w:r w:rsidRPr="00730DE4">
        <w:rPr>
          <w:lang w:val="en-US"/>
        </w:rPr>
        <w:t>3–</w:t>
      </w:r>
      <w:r w:rsidRPr="00730DE4">
        <w:t>2</w:t>
      </w:r>
      <w:r w:rsidRPr="00730DE4">
        <w:rPr>
          <w:lang w:val="en-US"/>
        </w:rPr>
        <w:t>4</w:t>
      </w:r>
      <w:r w:rsidRPr="00730DE4">
        <w:t xml:space="preserve"> financial year. These efforts have resulted in a significantly enhanced customer experience, contributing to the growth of this channel.</w:t>
      </w:r>
    </w:p>
    <w:p w14:paraId="7B8019E9" w14:textId="77777777" w:rsidR="00FA2FF9" w:rsidRPr="00730DE4" w:rsidRDefault="00FA2FF9" w:rsidP="00C45FE7">
      <w:r w:rsidRPr="00730DE4">
        <w:rPr>
          <w:lang w:val="en-US"/>
        </w:rPr>
        <w:t>TMR has now increased the number of online services available to customers to 73, adding at least 46 new services over the past ten years.</w:t>
      </w:r>
    </w:p>
    <w:p w14:paraId="7C6EF5F4" w14:textId="77777777" w:rsidR="00FA2FF9" w:rsidRPr="00730DE4" w:rsidRDefault="00FA2FF9" w:rsidP="00C45FE7">
      <w:r w:rsidRPr="00730DE4">
        <w:rPr>
          <w:lang w:val="en-US"/>
        </w:rPr>
        <w:t xml:space="preserve">The ability for a customer to </w:t>
      </w:r>
      <w:r w:rsidRPr="00730DE4">
        <w:t>transfer</w:t>
      </w:r>
      <w:r w:rsidRPr="00730DE4">
        <w:rPr>
          <w:lang w:val="en-US"/>
        </w:rPr>
        <w:t xml:space="preserve"> their</w:t>
      </w:r>
      <w:r w:rsidRPr="00730DE4">
        <w:t xml:space="preserve"> registration </w:t>
      </w:r>
      <w:r w:rsidRPr="00730DE4">
        <w:rPr>
          <w:lang w:val="en-US"/>
        </w:rPr>
        <w:t xml:space="preserve">online is one of the new options </w:t>
      </w:r>
      <w:r w:rsidRPr="00730DE4">
        <w:t xml:space="preserve">added </w:t>
      </w:r>
      <w:r w:rsidRPr="00730DE4">
        <w:rPr>
          <w:lang w:val="en-US"/>
        </w:rPr>
        <w:t xml:space="preserve">to our </w:t>
      </w:r>
      <w:r w:rsidRPr="00730DE4">
        <w:t>online service</w:t>
      </w:r>
      <w:r w:rsidRPr="00730DE4">
        <w:rPr>
          <w:lang w:val="en-US"/>
        </w:rPr>
        <w:t xml:space="preserve">, and, to date, </w:t>
      </w:r>
      <w:r w:rsidRPr="00730DE4">
        <w:t>over 3000 customers have been able to use the service instead of visit</w:t>
      </w:r>
      <w:r w:rsidRPr="00730DE4">
        <w:rPr>
          <w:lang w:val="en-US"/>
        </w:rPr>
        <w:t xml:space="preserve">ing </w:t>
      </w:r>
      <w:r w:rsidRPr="00730DE4">
        <w:t xml:space="preserve">a </w:t>
      </w:r>
      <w:r w:rsidRPr="00730DE4">
        <w:rPr>
          <w:lang w:val="en-US"/>
        </w:rPr>
        <w:t xml:space="preserve">CSC </w:t>
      </w:r>
      <w:r w:rsidRPr="00730DE4">
        <w:t>in person to complete their registration transfer.</w:t>
      </w:r>
    </w:p>
    <w:p w14:paraId="47DE8AA6" w14:textId="77777777" w:rsidR="00FA2FF9" w:rsidRPr="00730DE4" w:rsidRDefault="00FA2FF9" w:rsidP="00C45FE7">
      <w:r w:rsidRPr="00730DE4">
        <w:t xml:space="preserve">Infringement services have also been added online to allow customers to easily pay and manage their fines. </w:t>
      </w:r>
    </w:p>
    <w:p w14:paraId="3F79E9A2" w14:textId="77777777" w:rsidR="00FA2FF9" w:rsidRPr="00730DE4" w:rsidRDefault="00FA2FF9" w:rsidP="00C45FE7">
      <w:r w:rsidRPr="00730DE4">
        <w:t>Overall, TMR's commitment to continuous improvement of the digital service delivery channel has resulted in a significantly enhanced customer experience. These efforts have contributed to the growth of this channel, providing a more accessible,</w:t>
      </w:r>
      <w:r w:rsidRPr="00730DE4">
        <w:rPr>
          <w:lang w:val="en-US"/>
        </w:rPr>
        <w:t xml:space="preserve"> </w:t>
      </w:r>
      <w:r w:rsidRPr="00730DE4">
        <w:t>efficient, and convenient service to the Queensland community.</w:t>
      </w:r>
    </w:p>
    <w:p w14:paraId="4304B1D6" w14:textId="77777777" w:rsidR="00FA2FF9" w:rsidRPr="00730DE4" w:rsidRDefault="00FA2FF9" w:rsidP="002B7001">
      <w:pPr>
        <w:pStyle w:val="Heading3"/>
        <w:rPr>
          <w:lang w:val="en-US"/>
        </w:rPr>
      </w:pPr>
      <w:bookmarkStart w:id="876" w:name="_Toc180487512"/>
      <w:bookmarkStart w:id="877" w:name="_Toc180490718"/>
      <w:bookmarkStart w:id="878" w:name="_Toc180491751"/>
      <w:r w:rsidRPr="00730DE4">
        <w:rPr>
          <w:lang w:val="en-US"/>
        </w:rPr>
        <w:t>Customer Service Centre at Bethania</w:t>
      </w:r>
      <w:bookmarkEnd w:id="876"/>
      <w:bookmarkEnd w:id="877"/>
      <w:bookmarkEnd w:id="878"/>
    </w:p>
    <w:p w14:paraId="26272B3F" w14:textId="77777777" w:rsidR="00FA2FF9" w:rsidRPr="00730DE4" w:rsidRDefault="00FA2FF9" w:rsidP="00C45FE7">
      <w:pPr>
        <w:rPr>
          <w:lang w:val="en-US"/>
        </w:rPr>
      </w:pPr>
      <w:r w:rsidRPr="00730DE4">
        <w:rPr>
          <w:lang w:val="en-US"/>
        </w:rPr>
        <w:t>In February 2024, a brand-new CSC opened in Bethania, setting a new benchmark in customer service delivery. Showcasing a modern design focused on accessibility and functionality, this centre exemplifies TMR's commitment to inclusivity and ease of access for all customers.</w:t>
      </w:r>
    </w:p>
    <w:p w14:paraId="47B2D4D2" w14:textId="77777777" w:rsidR="00FA2FF9" w:rsidRPr="00730DE4" w:rsidRDefault="00FA2FF9" w:rsidP="00C45FE7">
      <w:pPr>
        <w:rPr>
          <w:lang w:val="en-US"/>
        </w:rPr>
      </w:pPr>
      <w:r w:rsidRPr="00730DE4">
        <w:rPr>
          <w:lang w:val="en-US"/>
        </w:rPr>
        <w:t>Key features of the Bethania CSC include low-set counters, which have replaced traditional high-set counters to accommodate individuals of all heights and abilities. Additionally, a hearing loop device is available for customers with hearing impairments, complemented by clear signage for easy identification.</w:t>
      </w:r>
    </w:p>
    <w:p w14:paraId="329B5A53" w14:textId="77777777" w:rsidR="00FA2FF9" w:rsidRPr="00730DE4" w:rsidRDefault="00FA2FF9" w:rsidP="00C45FE7">
      <w:pPr>
        <w:rPr>
          <w:lang w:val="en-US"/>
        </w:rPr>
      </w:pPr>
      <w:r w:rsidRPr="00730DE4">
        <w:rPr>
          <w:lang w:val="en-US"/>
        </w:rPr>
        <w:t>Accessibility and functionality have been seamlessly integrated into the overall design, ensuring the centre meets the diverse needs of the community. The Bethania CSC serves as a blueprint for future CSC modernisation projects across the network, reflecting TMR's dedication to innovation and excellence in customer service.</w:t>
      </w:r>
    </w:p>
    <w:p w14:paraId="0CE4FA6C" w14:textId="77777777" w:rsidR="00FA2FF9" w:rsidRPr="00730DE4" w:rsidRDefault="00FA2FF9" w:rsidP="002B7001">
      <w:pPr>
        <w:pStyle w:val="Heading3"/>
        <w:rPr>
          <w:lang w:val="en-US"/>
        </w:rPr>
      </w:pPr>
      <w:bookmarkStart w:id="879" w:name="_Toc180487513"/>
      <w:bookmarkStart w:id="880" w:name="_Toc180490719"/>
      <w:bookmarkStart w:id="881" w:name="_Toc180491752"/>
      <w:bookmarkStart w:id="882" w:name="_Hlk173152406"/>
      <w:r w:rsidRPr="00730DE4">
        <w:rPr>
          <w:lang w:val="en-US"/>
        </w:rPr>
        <w:t>Tell Us Once: improving government services</w:t>
      </w:r>
      <w:bookmarkEnd w:id="879"/>
      <w:bookmarkEnd w:id="880"/>
      <w:bookmarkEnd w:id="881"/>
    </w:p>
    <w:p w14:paraId="4767B3A9" w14:textId="77777777" w:rsidR="00FA2FF9" w:rsidRPr="00730DE4" w:rsidRDefault="00FA2FF9" w:rsidP="00C72439">
      <w:r w:rsidRPr="00730DE4">
        <w:t>The Queensland Government is striving to provide contemporary digital government services that put people and businesses at the heart of operations, so that services are trusted, easy to use, and deliver the best outcomes.</w:t>
      </w:r>
    </w:p>
    <w:p w14:paraId="70643D99" w14:textId="77777777" w:rsidR="00FA2FF9" w:rsidRPr="00730DE4" w:rsidRDefault="00FA2FF9" w:rsidP="00C72439">
      <w:r w:rsidRPr="00730DE4">
        <w:t xml:space="preserve">Since its launch, the Tell Us Once platform has facilitated over 34 million logins and provides a single sign-on experience, reducing the need for multiple passwords and simplifying identity management. This allows Queenslanders seamless access to over 160 government online services, including applications for Seniors Cards and rental bond lodgments. </w:t>
      </w:r>
    </w:p>
    <w:p w14:paraId="509C034D" w14:textId="77777777" w:rsidR="00FA2FF9" w:rsidRPr="00730DE4" w:rsidRDefault="00FA2FF9" w:rsidP="00C72439">
      <w:r w:rsidRPr="00730DE4">
        <w:t>Responding to feedback from customers who seek more digital options, we are developing new digital service platform capabilities. We are enhancing the Queensland Government website, qld.gov.au, and integrating it with other customer channels. A new digital design system, aligned with the Queensland Government's digital service standards, is being implemented across all government services to deliver an improved customer experience and ensure consistent look and feel.</w:t>
      </w:r>
    </w:p>
    <w:p w14:paraId="0C379065" w14:textId="77777777" w:rsidR="00FA2FF9" w:rsidRPr="00730DE4" w:rsidRDefault="00FA2FF9" w:rsidP="00C72439">
      <w:r w:rsidRPr="00730DE4">
        <w:t>Additionally, work is underway on a mobile app to support Queenslanders in crisis, enabling efficient support and payments during disaster events or times of hardship.</w:t>
      </w:r>
    </w:p>
    <w:p w14:paraId="4AAB29FD" w14:textId="77777777" w:rsidR="00FA2FF9" w:rsidRPr="00730DE4" w:rsidRDefault="00FA2FF9" w:rsidP="00C72439">
      <w:r w:rsidRPr="00730DE4">
        <w:t>These customer-centric initiatives aim to improve accessibility, usability, and reliability of government digital services, to better suit the needs of Queenslanders.</w:t>
      </w:r>
    </w:p>
    <w:p w14:paraId="1834C77C" w14:textId="77777777" w:rsidR="00EA1647" w:rsidRDefault="00EA1647" w:rsidP="002B7001">
      <w:pPr>
        <w:pStyle w:val="Heading3"/>
        <w:rPr>
          <w:lang w:val="en-US"/>
        </w:rPr>
      </w:pPr>
      <w:r>
        <w:rPr>
          <w:lang w:val="en-US"/>
        </w:rPr>
        <w:br w:type="page"/>
      </w:r>
    </w:p>
    <w:p w14:paraId="2376AAB3" w14:textId="2AF1C58F" w:rsidR="00FA2FF9" w:rsidRPr="00730DE4" w:rsidRDefault="00FA2FF9" w:rsidP="002B7001">
      <w:pPr>
        <w:pStyle w:val="Heading3"/>
        <w:rPr>
          <w:lang w:val="en-US"/>
        </w:rPr>
      </w:pPr>
      <w:bookmarkStart w:id="883" w:name="_Toc180487514"/>
      <w:bookmarkStart w:id="884" w:name="_Toc180490720"/>
      <w:bookmarkStart w:id="885" w:name="_Toc180491753"/>
      <w:r w:rsidRPr="00730DE4">
        <w:rPr>
          <w:lang w:val="en-US"/>
        </w:rPr>
        <w:t>Smart Service Queensland</w:t>
      </w:r>
      <w:bookmarkEnd w:id="883"/>
      <w:bookmarkEnd w:id="884"/>
      <w:bookmarkEnd w:id="885"/>
    </w:p>
    <w:p w14:paraId="1A7F5C10" w14:textId="77777777" w:rsidR="00FA2FF9" w:rsidRPr="00730DE4" w:rsidRDefault="00FA2FF9" w:rsidP="00C45FE7">
      <w:pPr>
        <w:rPr>
          <w:lang w:val="en-US"/>
        </w:rPr>
      </w:pPr>
      <w:r w:rsidRPr="00730DE4">
        <w:rPr>
          <w:lang w:val="en-US"/>
        </w:rPr>
        <w:t>Smart Service Queensland, allows Queenslanders to access hundreds of services, 24 hours a day, seven days a week, via phone (13QGOV), online (qld.gov.au), and the Queensland Government Service Centres and Queensland Government Agent Program offices (counters).</w:t>
      </w:r>
    </w:p>
    <w:p w14:paraId="22FB8CC8" w14:textId="77777777" w:rsidR="00FA2FF9" w:rsidRPr="00730DE4" w:rsidRDefault="00FA2FF9" w:rsidP="00C45FE7">
      <w:pPr>
        <w:rPr>
          <w:lang w:val="en-US"/>
        </w:rPr>
      </w:pPr>
      <w:r w:rsidRPr="00730DE4">
        <w:rPr>
          <w:lang w:val="en-US"/>
        </w:rPr>
        <w:t>The team is critical in Queensland’s response to disasters such as severe weather events, taking calls for State Emergency Services and the Community Recovery Hotline.</w:t>
      </w:r>
    </w:p>
    <w:p w14:paraId="2754ACA0" w14:textId="77777777" w:rsidR="00FA2FF9" w:rsidRPr="00730DE4" w:rsidRDefault="00FA2FF9" w:rsidP="00C45FE7">
      <w:pPr>
        <w:rPr>
          <w:lang w:val="en-US"/>
        </w:rPr>
      </w:pPr>
      <w:r w:rsidRPr="00730DE4">
        <w:rPr>
          <w:lang w:val="en-US"/>
        </w:rPr>
        <w:t xml:space="preserve">Accessibility to Queensland Government services remains a key focus for Smart Service Queensland by maintaining best practice in service design, inclusive qld.gov.au content, access to interpreter services, and in-person services in remote areas throughout the Queensland Government Agent Program network. </w:t>
      </w:r>
    </w:p>
    <w:p w14:paraId="766F330A" w14:textId="77777777" w:rsidR="00FA2FF9" w:rsidRPr="00730DE4" w:rsidRDefault="00FA2FF9" w:rsidP="00C45FE7">
      <w:pPr>
        <w:rPr>
          <w:lang w:val="en-US"/>
        </w:rPr>
      </w:pPr>
      <w:r w:rsidRPr="00730DE4">
        <w:rPr>
          <w:lang w:val="en-US"/>
        </w:rPr>
        <w:t xml:space="preserve">Work is also underway on a new digital service delivery platform that will provide customer-centric digital services that are trusted, easy to use, and accessible for all Queenslanders across Queensland Government channels including apps, portal, online, chat, website, phone, and counter channels. </w:t>
      </w:r>
    </w:p>
    <w:p w14:paraId="2305FA53" w14:textId="77777777" w:rsidR="00FA2FF9" w:rsidRPr="00730DE4" w:rsidRDefault="00FA2FF9" w:rsidP="00C45FE7">
      <w:pPr>
        <w:rPr>
          <w:lang w:val="en-US"/>
        </w:rPr>
      </w:pPr>
      <w:r w:rsidRPr="00730DE4">
        <w:rPr>
          <w:lang w:val="en-US"/>
        </w:rPr>
        <w:t>During 2023–24, Smart Service Queensland managed over:</w:t>
      </w:r>
    </w:p>
    <w:p w14:paraId="37610703" w14:textId="77777777" w:rsidR="00FA2FF9" w:rsidRPr="00730DE4" w:rsidRDefault="00FA2FF9" w:rsidP="00C45FE7">
      <w:pPr>
        <w:pStyle w:val="ListBullet"/>
        <w:rPr>
          <w:lang w:val="en-US"/>
        </w:rPr>
      </w:pPr>
      <w:r w:rsidRPr="00730DE4">
        <w:rPr>
          <w:lang w:val="en-US"/>
        </w:rPr>
        <w:t>1.85 million inbound and outbound calls</w:t>
      </w:r>
    </w:p>
    <w:p w14:paraId="2056D529" w14:textId="77777777" w:rsidR="00FA2FF9" w:rsidRPr="00730DE4" w:rsidRDefault="00FA2FF9" w:rsidP="00C45FE7">
      <w:pPr>
        <w:pStyle w:val="ListBullet"/>
        <w:rPr>
          <w:lang w:val="en-US"/>
        </w:rPr>
      </w:pPr>
      <w:r w:rsidRPr="00730DE4">
        <w:rPr>
          <w:lang w:val="en-US"/>
        </w:rPr>
        <w:t>117 million visits to qld.gov.au</w:t>
      </w:r>
    </w:p>
    <w:p w14:paraId="3E3C3BEB" w14:textId="77777777" w:rsidR="00FA2FF9" w:rsidRPr="00730DE4" w:rsidRDefault="00FA2FF9" w:rsidP="00C45FE7">
      <w:pPr>
        <w:pStyle w:val="ListBullet"/>
        <w:rPr>
          <w:lang w:val="en-US"/>
        </w:rPr>
      </w:pPr>
      <w:r w:rsidRPr="00730DE4">
        <w:rPr>
          <w:lang w:val="en-US"/>
        </w:rPr>
        <w:t>8 million concession interactions to over 2 million beneficiaries</w:t>
      </w:r>
    </w:p>
    <w:p w14:paraId="27D37ECA" w14:textId="77777777" w:rsidR="00FA2FF9" w:rsidRPr="00730DE4" w:rsidRDefault="00FA2FF9" w:rsidP="00C45FE7">
      <w:pPr>
        <w:pStyle w:val="ListBullet"/>
        <w:rPr>
          <w:lang w:val="en-US"/>
        </w:rPr>
      </w:pPr>
      <w:r w:rsidRPr="00730DE4">
        <w:rPr>
          <w:lang w:val="en-US"/>
        </w:rPr>
        <w:t>220,000 transactions via three Queensland Government Service Centres and over 85 Queensland Government Agent Program offices.</w:t>
      </w:r>
    </w:p>
    <w:p w14:paraId="77B3CBBE" w14:textId="77777777" w:rsidR="00FA2FF9" w:rsidRPr="00730DE4" w:rsidRDefault="00FA2FF9" w:rsidP="00C45FE7">
      <w:pPr>
        <w:rPr>
          <w:lang w:val="en-US"/>
        </w:rPr>
      </w:pPr>
      <w:r w:rsidRPr="00730DE4">
        <w:rPr>
          <w:lang w:val="en-US"/>
        </w:rPr>
        <w:t>The team is critical in Queensland's response to disasters such as severe weather events, taking calls for State Emergency Services and the Community Recovery Hotline.</w:t>
      </w:r>
    </w:p>
    <w:p w14:paraId="479C3959" w14:textId="77777777" w:rsidR="00FA2FF9" w:rsidRPr="00730DE4" w:rsidRDefault="00FA2FF9" w:rsidP="002B7001">
      <w:pPr>
        <w:pStyle w:val="Heading3"/>
      </w:pPr>
      <w:bookmarkStart w:id="886" w:name="_Toc180487515"/>
      <w:bookmarkStart w:id="887" w:name="_Toc180490721"/>
      <w:bookmarkStart w:id="888" w:name="_Toc180491754"/>
      <w:bookmarkEnd w:id="882"/>
      <w:r w:rsidRPr="00730DE4">
        <w:t>Case study:</w:t>
      </w:r>
      <w:bookmarkStart w:id="889" w:name="_Hlk162340505"/>
      <w:r w:rsidRPr="00730DE4">
        <w:t xml:space="preserve"> e-mobility parking trial</w:t>
      </w:r>
      <w:bookmarkEnd w:id="886"/>
      <w:bookmarkEnd w:id="887"/>
      <w:bookmarkEnd w:id="888"/>
    </w:p>
    <w:p w14:paraId="4F50F8F4" w14:textId="77777777" w:rsidR="00FA2FF9" w:rsidRPr="00730DE4" w:rsidRDefault="00FA2FF9" w:rsidP="00064527">
      <w:pPr>
        <w:rPr>
          <w:lang w:val="en-US"/>
        </w:rPr>
      </w:pPr>
      <w:r w:rsidRPr="00730DE4">
        <w:rPr>
          <w:lang w:val="en-US"/>
        </w:rPr>
        <w:t>TMR partnered with industry, local government, and academia to address parking of shared e-mobility devices at our busway stations. A 12-month trial involved introducing parking hubs at three busway stations to understand:</w:t>
      </w:r>
    </w:p>
    <w:p w14:paraId="706B7883" w14:textId="77777777" w:rsidR="00FA2FF9" w:rsidRPr="00730DE4" w:rsidRDefault="00FA2FF9" w:rsidP="00064527">
      <w:pPr>
        <w:pStyle w:val="ListBullet"/>
        <w:rPr>
          <w:lang w:val="en-US"/>
        </w:rPr>
      </w:pPr>
      <w:r w:rsidRPr="00730DE4">
        <w:rPr>
          <w:lang w:val="en-US"/>
        </w:rPr>
        <w:t xml:space="preserve">customer acceptance of parking areas </w:t>
      </w:r>
    </w:p>
    <w:p w14:paraId="65FB2B8E" w14:textId="77777777" w:rsidR="00FA2FF9" w:rsidRPr="00730DE4" w:rsidRDefault="00FA2FF9" w:rsidP="00064527">
      <w:pPr>
        <w:pStyle w:val="ListBullet"/>
        <w:rPr>
          <w:lang w:val="en-US"/>
        </w:rPr>
      </w:pPr>
      <w:r w:rsidRPr="00730DE4">
        <w:rPr>
          <w:lang w:val="en-US"/>
        </w:rPr>
        <w:t>whether parking hubs for e-mobility devices can improve access, amenity, and safety</w:t>
      </w:r>
    </w:p>
    <w:p w14:paraId="6FC2CB10" w14:textId="77777777" w:rsidR="00FA2FF9" w:rsidRPr="00730DE4" w:rsidRDefault="00FA2FF9" w:rsidP="00064527">
      <w:pPr>
        <w:pStyle w:val="ListBullet"/>
        <w:rPr>
          <w:lang w:val="en-US"/>
        </w:rPr>
      </w:pPr>
      <w:r w:rsidRPr="00730DE4">
        <w:rPr>
          <w:lang w:val="en-US"/>
        </w:rPr>
        <w:t>risks and issues associated between physically signed parking areas versus virtual (geo-fenced) parking zones</w:t>
      </w:r>
    </w:p>
    <w:p w14:paraId="1EF514E8" w14:textId="77777777" w:rsidR="00FA2FF9" w:rsidRPr="00730DE4" w:rsidRDefault="00FA2FF9" w:rsidP="00064527">
      <w:pPr>
        <w:pStyle w:val="ListBullet"/>
        <w:rPr>
          <w:lang w:val="en-US"/>
        </w:rPr>
      </w:pPr>
      <w:r w:rsidRPr="00730DE4">
        <w:rPr>
          <w:lang w:val="en-US"/>
        </w:rPr>
        <w:t xml:space="preserve">impact on busway catchment size and potential transport modal shift as a result of using the devices. </w:t>
      </w:r>
    </w:p>
    <w:p w14:paraId="3B2FD7EE" w14:textId="77777777" w:rsidR="00FA2FF9" w:rsidRPr="00730DE4" w:rsidRDefault="00FA2FF9" w:rsidP="00C45FE7">
      <w:pPr>
        <w:rPr>
          <w:lang w:val="en-US"/>
        </w:rPr>
      </w:pPr>
      <w:r w:rsidRPr="00730DE4">
        <w:rPr>
          <w:lang w:val="en-US"/>
        </w:rPr>
        <w:t xml:space="preserve">The trial, a partnership with the Brisbane City Council, shared e-mobility operators, Beam, and Neuron completed its data collection phase in November 2023. Academic research was also completed in partnership with Griffith University. </w:t>
      </w:r>
    </w:p>
    <w:p w14:paraId="357BA286" w14:textId="77777777" w:rsidR="00FA2FF9" w:rsidRPr="00730DE4" w:rsidRDefault="00FA2FF9" w:rsidP="00C45FE7">
      <w:pPr>
        <w:rPr>
          <w:lang w:val="en-US"/>
        </w:rPr>
      </w:pPr>
      <w:r w:rsidRPr="00730DE4">
        <w:rPr>
          <w:lang w:val="en-US"/>
        </w:rPr>
        <w:t xml:space="preserve">Results from the trial were positive, affirming the concept that signed dedicated parking areas at transport hubs reduce customer complaints and encourage multi-modal journeys. </w:t>
      </w:r>
    </w:p>
    <w:bookmarkEnd w:id="889"/>
    <w:p w14:paraId="6316B915" w14:textId="77777777" w:rsidR="00FA2FF9" w:rsidRPr="00730DE4" w:rsidRDefault="00FA2FF9" w:rsidP="00064527">
      <w:pPr>
        <w:rPr>
          <w:lang w:val="en-US"/>
        </w:rPr>
      </w:pPr>
      <w:r w:rsidRPr="00730DE4">
        <w:rPr>
          <w:lang w:val="en-US"/>
        </w:rPr>
        <w:t>Across the trial, 143,687 e-mobility trips either started or ended at the busway stations. Of people surveyed within the academic survey, 100 per cent either agreed or were neutral in supporting signed, designated parking for shared e-mobility at those stations.</w:t>
      </w:r>
    </w:p>
    <w:p w14:paraId="79C742A0" w14:textId="77777777" w:rsidR="00FA2FF9" w:rsidRPr="00730DE4" w:rsidRDefault="00FA2FF9" w:rsidP="00064527">
      <w:pPr>
        <w:rPr>
          <w:lang w:val="en-US"/>
        </w:rPr>
      </w:pPr>
      <w:r w:rsidRPr="00730DE4">
        <w:rPr>
          <w:lang w:val="en-US"/>
        </w:rPr>
        <w:t>TMR continues to work with Brisbane City Council to assess other transport hubs that may benefit from designated e-mobility designated parking, and improved public transport access.</w:t>
      </w:r>
    </w:p>
    <w:p w14:paraId="6C53F8D2" w14:textId="77777777" w:rsidR="00FA2FF9" w:rsidRPr="00730DE4" w:rsidRDefault="00FA2FF9" w:rsidP="002B7001">
      <w:pPr>
        <w:pStyle w:val="Heading3"/>
        <w:rPr>
          <w:lang w:val="en-US"/>
        </w:rPr>
      </w:pPr>
      <w:bookmarkStart w:id="890" w:name="_Toc180487516"/>
      <w:bookmarkStart w:id="891" w:name="_Toc180490722"/>
      <w:bookmarkStart w:id="892" w:name="_Toc180491755"/>
      <w:r w:rsidRPr="00730DE4">
        <w:rPr>
          <w:lang w:val="en-US"/>
        </w:rPr>
        <w:t>Progressing Queensland's Digital Economy Strategy</w:t>
      </w:r>
      <w:bookmarkEnd w:id="890"/>
      <w:bookmarkEnd w:id="891"/>
      <w:bookmarkEnd w:id="892"/>
    </w:p>
    <w:p w14:paraId="6C7D8480" w14:textId="77777777" w:rsidR="00FA2FF9" w:rsidRPr="00730DE4" w:rsidRDefault="00FA2FF9" w:rsidP="0050356D">
      <w:pPr>
        <w:rPr>
          <w:lang w:val="en-US"/>
        </w:rPr>
      </w:pPr>
      <w:r w:rsidRPr="00730DE4">
        <w:rPr>
          <w:rStyle w:val="Emphasis"/>
        </w:rPr>
        <w:t>Our Thriving Digital Future: Queensland Government's Digital Economy Strategy</w:t>
      </w:r>
      <w:r w:rsidRPr="00730DE4">
        <w:rPr>
          <w:lang w:val="en-US"/>
        </w:rPr>
        <w:t xml:space="preserve"> is Queensland's plan to boost digital transformation through investment in digital skills, technology, and services to ensure we all thrive in an increasingly digital world.</w:t>
      </w:r>
    </w:p>
    <w:p w14:paraId="26511837" w14:textId="77777777" w:rsidR="00FA2FF9" w:rsidRPr="00730DE4" w:rsidRDefault="00FA2FF9" w:rsidP="0050356D">
      <w:pPr>
        <w:rPr>
          <w:lang w:val="en-US"/>
        </w:rPr>
      </w:pPr>
      <w:r w:rsidRPr="00730DE4">
        <w:rPr>
          <w:lang w:val="en-US"/>
        </w:rPr>
        <w:t xml:space="preserve">The strategy has three focus areas: </w:t>
      </w:r>
    </w:p>
    <w:p w14:paraId="101AB73F" w14:textId="77777777" w:rsidR="00FA2FF9" w:rsidRPr="00730DE4" w:rsidRDefault="00FA2FF9" w:rsidP="0050356D">
      <w:pPr>
        <w:pStyle w:val="ListBullet"/>
        <w:rPr>
          <w:lang w:val="en-US"/>
        </w:rPr>
      </w:pPr>
      <w:r w:rsidRPr="00730DE4">
        <w:rPr>
          <w:rStyle w:val="Strong"/>
        </w:rPr>
        <w:t>Digital Customer</w:t>
      </w:r>
      <w:r w:rsidRPr="00730DE4">
        <w:rPr>
          <w:lang w:val="en-US"/>
        </w:rPr>
        <w:br/>
        <w:t>Prioritising closing the digital divide so that all Queenslanders are able to enjoy the economic and social benefits of a digitally-enabled economy. Working to create contemporary digital government services to put people and businesses at the heart of government services.</w:t>
      </w:r>
    </w:p>
    <w:p w14:paraId="6BF4A761" w14:textId="77777777" w:rsidR="00FA2FF9" w:rsidRPr="00730DE4" w:rsidRDefault="00FA2FF9" w:rsidP="0050356D">
      <w:pPr>
        <w:pStyle w:val="ListBullet"/>
        <w:rPr>
          <w:lang w:val="en-US"/>
        </w:rPr>
      </w:pPr>
      <w:r w:rsidRPr="00730DE4">
        <w:rPr>
          <w:rStyle w:val="Strong"/>
        </w:rPr>
        <w:t>Digital Market/Economy</w:t>
      </w:r>
      <w:r w:rsidRPr="00730DE4">
        <w:rPr>
          <w:lang w:val="en-US"/>
        </w:rPr>
        <w:br/>
        <w:t>Improving regional connectivity, assisting Queensland businesses to excel through digital technologies, and improving the pipeline of digital skills across Queensland.</w:t>
      </w:r>
    </w:p>
    <w:p w14:paraId="23C6169F" w14:textId="77777777" w:rsidR="00FA2FF9" w:rsidRPr="00730DE4" w:rsidRDefault="00FA2FF9" w:rsidP="0050356D">
      <w:pPr>
        <w:pStyle w:val="ListBullet"/>
        <w:rPr>
          <w:lang w:val="en-US"/>
        </w:rPr>
      </w:pPr>
      <w:r w:rsidRPr="00730DE4">
        <w:rPr>
          <w:rStyle w:val="Strong"/>
        </w:rPr>
        <w:t>Digital Government</w:t>
      </w:r>
      <w:r w:rsidRPr="00730DE4">
        <w:rPr>
          <w:lang w:val="en-US"/>
        </w:rPr>
        <w:br/>
        <w:t>Ensuring that the Queensland Government is digitally adept and enabled to transform the way government leverages digital technologies.</w:t>
      </w:r>
    </w:p>
    <w:p w14:paraId="015E9846" w14:textId="77777777" w:rsidR="00FA2FF9" w:rsidRPr="00730DE4" w:rsidRDefault="00FA2FF9" w:rsidP="00B93938">
      <w:r w:rsidRPr="00730DE4">
        <w:rPr>
          <w:lang w:val="en-US"/>
        </w:rPr>
        <w:t xml:space="preserve">In 2023–24, key achievements under </w:t>
      </w:r>
      <w:r w:rsidRPr="00730DE4">
        <w:t>the 2023–26 Action Plan included:</w:t>
      </w:r>
    </w:p>
    <w:p w14:paraId="250465FC" w14:textId="77777777" w:rsidR="00FA2FF9" w:rsidRPr="00730DE4" w:rsidRDefault="00FA2FF9" w:rsidP="00B1433B">
      <w:pPr>
        <w:pStyle w:val="ListBullet"/>
        <w:ind w:left="284" w:hanging="284"/>
      </w:pPr>
      <w:r w:rsidRPr="00730DE4">
        <w:t>co-contribution of $2.912 million (including GST) to improve the resilience of telecommunications infrastructure through the Australian Government’s Telecommunications Disaster Resiliency Innovation, Peri-Urban Mobile Round Two and Mobile Network Hardening Round Two programs </w:t>
      </w:r>
    </w:p>
    <w:p w14:paraId="34C94300" w14:textId="77777777" w:rsidR="00FA2FF9" w:rsidRPr="00730DE4" w:rsidRDefault="00FA2FF9" w:rsidP="00203E35">
      <w:pPr>
        <w:pStyle w:val="ListBullet"/>
        <w:ind w:left="284" w:hanging="284"/>
      </w:pPr>
      <w:r w:rsidRPr="00730DE4">
        <w:t xml:space="preserve">delivered the $8 million </w:t>
      </w:r>
      <w:r w:rsidRPr="00730DE4">
        <w:rPr>
          <w:i/>
          <w:iCs/>
        </w:rPr>
        <w:t>Digital Professional Workforce Action Plan 2020–24</w:t>
      </w:r>
      <w:r w:rsidRPr="00730DE4">
        <w:t xml:space="preserve"> to increase the pipeline of digital professionals and address the digital skills shortage in Queensland</w:t>
      </w:r>
    </w:p>
    <w:p w14:paraId="281C1CCC" w14:textId="77777777" w:rsidR="00FA2FF9" w:rsidRPr="00730DE4" w:rsidRDefault="00FA2FF9" w:rsidP="00203E35">
      <w:pPr>
        <w:pStyle w:val="ListBullet"/>
        <w:ind w:left="284" w:hanging="284"/>
      </w:pPr>
      <w:r w:rsidRPr="00730DE4">
        <w:t>publication of the Queensland Government Design system to ensure consistent, user-centric digital experiences</w:t>
      </w:r>
    </w:p>
    <w:p w14:paraId="59898C5F" w14:textId="77777777" w:rsidR="00FA2FF9" w:rsidRPr="00730DE4" w:rsidRDefault="00FA2FF9" w:rsidP="00203E35">
      <w:pPr>
        <w:pStyle w:val="ListBullet"/>
        <w:ind w:left="284" w:hanging="284"/>
      </w:pPr>
      <w:r w:rsidRPr="00730DE4">
        <w:t>delivered 14 LEO satellite trials for five Queensland Government and Local Government Authorities using two StarLink retail providers</w:t>
      </w:r>
    </w:p>
    <w:p w14:paraId="0CDAFAEF" w14:textId="77777777" w:rsidR="00FA2FF9" w:rsidRPr="00730DE4" w:rsidRDefault="00FA2FF9" w:rsidP="00203E35">
      <w:pPr>
        <w:pStyle w:val="ListBullet"/>
        <w:ind w:left="284" w:hanging="284"/>
      </w:pPr>
      <w:r w:rsidRPr="00730DE4">
        <w:t>four cohorts of trainees participating in the First Nations Digital Careers Program, resulting in employment for 46 individuals across government and industry</w:t>
      </w:r>
    </w:p>
    <w:p w14:paraId="47D95986" w14:textId="77777777" w:rsidR="00FA2FF9" w:rsidRPr="00730DE4" w:rsidRDefault="00FA2FF9" w:rsidP="00203E35">
      <w:pPr>
        <w:pStyle w:val="ListBullet"/>
        <w:ind w:left="284" w:hanging="284"/>
      </w:pPr>
      <w:r w:rsidRPr="00730DE4">
        <w:t>collaborating with Safe Food Queensland to demonstrate how RegTech can make it easier for small business to engage with government</w:t>
      </w:r>
    </w:p>
    <w:p w14:paraId="784C3415" w14:textId="77777777" w:rsidR="00FA2FF9" w:rsidRPr="00730DE4" w:rsidRDefault="00FA2FF9" w:rsidP="00203E35">
      <w:pPr>
        <w:pStyle w:val="ListBullet"/>
        <w:ind w:left="284" w:hanging="284"/>
      </w:pPr>
      <w:r w:rsidRPr="00730DE4">
        <w:t>development of a native mobile application to make it easier for Queenslanders to access hardship payments</w:t>
      </w:r>
    </w:p>
    <w:p w14:paraId="1E76F1A2" w14:textId="77777777" w:rsidR="00FA2FF9" w:rsidRPr="00730DE4" w:rsidRDefault="00FA2FF9" w:rsidP="00203E35">
      <w:pPr>
        <w:pStyle w:val="ListBullet"/>
        <w:ind w:left="284" w:hanging="284"/>
      </w:pPr>
      <w:r w:rsidRPr="00730DE4">
        <w:t xml:space="preserve">agreement with the Department of Tourism and Sport to implement the Digitising Small to Medium Enterprises program, in partnership with Queensland Tourism Industry Council, to facilitate the uptake of digital technology and innovation by tourism operators </w:t>
      </w:r>
    </w:p>
    <w:p w14:paraId="54208BD2" w14:textId="77777777" w:rsidR="00FA2FF9" w:rsidRPr="00730DE4" w:rsidRDefault="00FA2FF9" w:rsidP="00203E35">
      <w:pPr>
        <w:pStyle w:val="ListBullet"/>
        <w:ind w:left="284" w:hanging="284"/>
      </w:pPr>
      <w:r w:rsidRPr="00730DE4">
        <w:t>establishing a new framework to guide digital investment across the sector.</w:t>
      </w:r>
    </w:p>
    <w:p w14:paraId="48EECE98" w14:textId="77777777" w:rsidR="00B13631" w:rsidRPr="00730DE4" w:rsidRDefault="00B13631">
      <w:pPr>
        <w:suppressAutoHyphens w:val="0"/>
        <w:spacing w:before="0" w:line="259" w:lineRule="auto"/>
        <w:rPr>
          <w:rFonts w:eastAsiaTheme="majorEastAsia" w:cstheme="majorBidi"/>
          <w:color w:val="080C0F" w:themeColor="text1"/>
          <w:sz w:val="60"/>
          <w:szCs w:val="32"/>
          <w:lang w:val="en-US"/>
        </w:rPr>
      </w:pPr>
      <w:r w:rsidRPr="00730DE4">
        <w:rPr>
          <w:lang w:val="en-US"/>
        </w:rPr>
        <w:br w:type="page"/>
      </w:r>
    </w:p>
    <w:p w14:paraId="7FA0EB6D" w14:textId="70214F5E" w:rsidR="00FA2FF9" w:rsidRPr="00730DE4" w:rsidRDefault="00FA2FF9" w:rsidP="002B7001">
      <w:pPr>
        <w:pStyle w:val="Heading2"/>
        <w:rPr>
          <w:lang w:val="en-US"/>
        </w:rPr>
      </w:pPr>
      <w:bookmarkStart w:id="893" w:name="_Toc180490723"/>
      <w:bookmarkStart w:id="894" w:name="_Toc180491756"/>
      <w:r w:rsidRPr="00730DE4">
        <w:rPr>
          <w:lang w:val="en-US"/>
        </w:rPr>
        <w:t>Digitising customer interactions</w:t>
      </w:r>
      <w:bookmarkEnd w:id="893"/>
      <w:bookmarkEnd w:id="894"/>
    </w:p>
    <w:p w14:paraId="5B74A344" w14:textId="77777777" w:rsidR="00FA2FF9" w:rsidRPr="00730DE4" w:rsidRDefault="00FA2FF9" w:rsidP="002B7001">
      <w:pPr>
        <w:pStyle w:val="Heading3"/>
        <w:rPr>
          <w:lang w:val="en-US"/>
        </w:rPr>
      </w:pPr>
      <w:bookmarkStart w:id="895" w:name="_Toc180487518"/>
      <w:bookmarkStart w:id="896" w:name="_Toc180490724"/>
      <w:bookmarkStart w:id="897" w:name="_Toc180491757"/>
      <w:r w:rsidRPr="00730DE4">
        <w:rPr>
          <w:lang w:val="en-US"/>
        </w:rPr>
        <w:t>Modernising the app experience</w:t>
      </w:r>
      <w:bookmarkEnd w:id="895"/>
      <w:bookmarkEnd w:id="896"/>
      <w:bookmarkEnd w:id="897"/>
    </w:p>
    <w:p w14:paraId="24A84C7C" w14:textId="77777777" w:rsidR="00FA2FF9" w:rsidRPr="00730DE4" w:rsidRDefault="00FA2FF9" w:rsidP="009B5DA4">
      <w:pPr>
        <w:rPr>
          <w:lang w:val="en-US"/>
        </w:rPr>
      </w:pPr>
      <w:r w:rsidRPr="00730DE4">
        <w:rPr>
          <w:lang w:val="en-US"/>
        </w:rPr>
        <w:t>In 2023–24, the Translink website, Journey Planner website, and Translink app continued to provide customers with accessible, reliable, and easy-to-use journey planning, timetables, and passenger information.</w:t>
      </w:r>
    </w:p>
    <w:p w14:paraId="678AF049" w14:textId="77777777" w:rsidR="00FA2FF9" w:rsidRPr="00730DE4" w:rsidRDefault="00FA2FF9" w:rsidP="009B5DA4">
      <w:pPr>
        <w:rPr>
          <w:lang w:val="en-US"/>
        </w:rPr>
      </w:pPr>
      <w:r w:rsidRPr="00730DE4">
        <w:rPr>
          <w:lang w:val="en-US"/>
        </w:rPr>
        <w:t>Customers have increasingly used Translink’s digital channels, completing a combined 73 million sessions, a ten per cent increase from last year.</w:t>
      </w:r>
    </w:p>
    <w:p w14:paraId="5831060C" w14:textId="77777777" w:rsidR="00FA2FF9" w:rsidRPr="00730DE4" w:rsidRDefault="00FA2FF9" w:rsidP="009B5DA4">
      <w:pPr>
        <w:rPr>
          <w:lang w:val="en-US"/>
        </w:rPr>
      </w:pPr>
      <w:r w:rsidRPr="00730DE4">
        <w:rPr>
          <w:lang w:val="en-US"/>
        </w:rPr>
        <w:t>After ten successful years and over three million downloads, the MyTranslink app is being replaced by a new, modern app. Rolling out in 2024, the new Translink app will pave the way for new travel modes and journey planning customer experience improvements.</w:t>
      </w:r>
    </w:p>
    <w:p w14:paraId="6BC1D8EB" w14:textId="77777777" w:rsidR="00FA2FF9" w:rsidRPr="00730DE4" w:rsidRDefault="00FA2FF9" w:rsidP="009B5DA4">
      <w:pPr>
        <w:pStyle w:val="MessageHeader"/>
        <w:rPr>
          <w:lang w:val="en-US"/>
        </w:rPr>
      </w:pPr>
      <w:r w:rsidRPr="00730DE4">
        <w:rPr>
          <w:lang w:val="en-US"/>
        </w:rPr>
        <w:t xml:space="preserve">For more information </w:t>
      </w:r>
      <w:r w:rsidRPr="00730DE4">
        <w:rPr>
          <w:lang w:val="en-US"/>
        </w:rPr>
        <w:br/>
      </w:r>
      <w:hyperlink r:id="rId112" w:history="1">
        <w:r w:rsidRPr="00730DE4">
          <w:rPr>
            <w:rStyle w:val="Hyperlink"/>
            <w:lang w:val="en-US"/>
          </w:rPr>
          <w:t>https://www.translink.com.au</w:t>
        </w:r>
      </w:hyperlink>
    </w:p>
    <w:p w14:paraId="06AB920E" w14:textId="77777777" w:rsidR="00FA2FF9" w:rsidRPr="00730DE4" w:rsidRDefault="00FA2FF9" w:rsidP="002B7001">
      <w:pPr>
        <w:pStyle w:val="Heading3"/>
        <w:rPr>
          <w:lang w:val="en-US"/>
        </w:rPr>
      </w:pPr>
      <w:bookmarkStart w:id="898" w:name="_Toc180487519"/>
      <w:bookmarkStart w:id="899" w:name="_Toc180490725"/>
      <w:bookmarkStart w:id="900" w:name="_Toc180491758"/>
      <w:r w:rsidRPr="00730DE4">
        <w:rPr>
          <w:lang w:val="en-US"/>
        </w:rPr>
        <w:t>Queensland Digital Licence</w:t>
      </w:r>
      <w:bookmarkEnd w:id="898"/>
      <w:bookmarkEnd w:id="899"/>
      <w:bookmarkEnd w:id="900"/>
    </w:p>
    <w:p w14:paraId="7F0EDF1A" w14:textId="77777777" w:rsidR="00FA2FF9" w:rsidRPr="00730DE4" w:rsidRDefault="00FA2FF9" w:rsidP="002A24FB">
      <w:pPr>
        <w:rPr>
          <w:lang w:val="en-US"/>
        </w:rPr>
      </w:pPr>
      <w:r w:rsidRPr="00730DE4">
        <w:rPr>
          <w:lang w:val="en-US"/>
        </w:rPr>
        <w:t>Queensland’s first Digital Licence was announced as available to download statewide from 1 November 2023. As at 30 June 2024, over 550,000 customers have obtained their Digital Licence. Anyone with a driver licence, marine licence, or photo identification card can download and use the app. Legislation passed in July 2020 allows the Digital Licence to be used and recognised as equivalent to the physical version.</w:t>
      </w:r>
    </w:p>
    <w:p w14:paraId="7891D53D" w14:textId="77777777" w:rsidR="00FA2FF9" w:rsidRPr="00730DE4" w:rsidRDefault="00FA2FF9" w:rsidP="002A24FB">
      <w:pPr>
        <w:rPr>
          <w:lang w:val="en-US"/>
        </w:rPr>
      </w:pPr>
      <w:r w:rsidRPr="00730DE4">
        <w:rPr>
          <w:lang w:val="en-US"/>
        </w:rPr>
        <w:t>The Queensland Digital Licence is compliant with the International Standard for mobile Driving Licences (ISO IEC 18013–5). This ensures that mobile Driver Licences are interoperable, allowing them to be scanned and verified by other compliant mobile Driver Licences and/or verifier devices.</w:t>
      </w:r>
    </w:p>
    <w:p w14:paraId="0DAE7B7A" w14:textId="77777777" w:rsidR="00FA2FF9" w:rsidRPr="00730DE4" w:rsidRDefault="00FA2FF9" w:rsidP="002A24FB">
      <w:pPr>
        <w:rPr>
          <w:lang w:val="en-US"/>
        </w:rPr>
      </w:pPr>
      <w:r w:rsidRPr="00730DE4">
        <w:rPr>
          <w:lang w:val="en-US"/>
        </w:rPr>
        <w:t>The Digital Licence is not mandatory. It will allow customers the choice to opt in to store their licences and credentials on their mobile phone or tablet.</w:t>
      </w:r>
    </w:p>
    <w:p w14:paraId="79C3A39A" w14:textId="77777777" w:rsidR="00FA2FF9" w:rsidRPr="00730DE4" w:rsidRDefault="00FA2FF9" w:rsidP="002A24FB">
      <w:pPr>
        <w:rPr>
          <w:lang w:val="en-US"/>
        </w:rPr>
      </w:pPr>
      <w:r w:rsidRPr="00730DE4">
        <w:rPr>
          <w:lang w:val="en-US"/>
        </w:rPr>
        <w:t>The Digital Licence will eventually be integrated into a Queensland Digital Wallet, which will host other government agency credentials and licences.</w:t>
      </w:r>
    </w:p>
    <w:p w14:paraId="61683232" w14:textId="77777777" w:rsidR="00FA2FF9" w:rsidRPr="00730DE4" w:rsidRDefault="00FA2FF9" w:rsidP="002A24FB">
      <w:pPr>
        <w:pStyle w:val="MessageHeader"/>
        <w:rPr>
          <w:lang w:val="en-US"/>
        </w:rPr>
      </w:pPr>
      <w:r w:rsidRPr="00730DE4">
        <w:rPr>
          <w:lang w:val="en-US"/>
        </w:rPr>
        <w:t xml:space="preserve">For more information </w:t>
      </w:r>
      <w:r w:rsidRPr="00730DE4">
        <w:rPr>
          <w:lang w:val="en-US"/>
        </w:rPr>
        <w:br/>
      </w:r>
      <w:hyperlink r:id="rId113" w:history="1">
        <w:r w:rsidRPr="00730DE4">
          <w:rPr>
            <w:rStyle w:val="Hyperlink"/>
            <w:lang w:val="en-US"/>
          </w:rPr>
          <w:t>https://www.qld.gov.au/transport/projects/digital-licence</w:t>
        </w:r>
      </w:hyperlink>
    </w:p>
    <w:p w14:paraId="755A8DB0" w14:textId="0DE5477A" w:rsidR="00FA2FF9" w:rsidRPr="00730DE4" w:rsidRDefault="00FA2FF9" w:rsidP="002B7001">
      <w:pPr>
        <w:pStyle w:val="Heading3"/>
        <w:rPr>
          <w:lang w:val="en-US"/>
        </w:rPr>
      </w:pPr>
      <w:bookmarkStart w:id="901" w:name="_Toc180487520"/>
      <w:bookmarkStart w:id="902" w:name="_Toc180490726"/>
      <w:bookmarkStart w:id="903" w:name="_Toc180491759"/>
      <w:r w:rsidRPr="00730DE4">
        <w:rPr>
          <w:lang w:val="en-US"/>
        </w:rPr>
        <w:t>Leveraging robotic process automation technology to improve customer service</w:t>
      </w:r>
      <w:bookmarkEnd w:id="901"/>
      <w:bookmarkEnd w:id="902"/>
      <w:bookmarkEnd w:id="903"/>
    </w:p>
    <w:p w14:paraId="2DFA9DDD" w14:textId="77777777" w:rsidR="00FA2FF9" w:rsidRPr="00730DE4" w:rsidRDefault="00FA2FF9" w:rsidP="002A24FB">
      <w:pPr>
        <w:rPr>
          <w:lang w:val="en-US"/>
        </w:rPr>
      </w:pPr>
      <w:r w:rsidRPr="00730DE4">
        <w:rPr>
          <w:lang w:val="en-US"/>
        </w:rPr>
        <w:t>TMR is investing in innovative technology to enhance customer service in Queensland by leveraging robotic process automation. This technology streamlines processes, improves communication, and helps reduce 'no-shows' for PDT.</w:t>
      </w:r>
    </w:p>
    <w:p w14:paraId="0286E3C2" w14:textId="77777777" w:rsidR="00FA2FF9" w:rsidRPr="00730DE4" w:rsidRDefault="00FA2FF9" w:rsidP="002A24FB">
      <w:pPr>
        <w:rPr>
          <w:lang w:val="en-US"/>
        </w:rPr>
      </w:pPr>
      <w:r w:rsidRPr="00730DE4">
        <w:rPr>
          <w:lang w:val="en-US"/>
        </w:rPr>
        <w:t>Data shows that around 300 applicants each month attend their PDT without a pre-approved logbook, leading to frequent cancellations and extended wait times. Further investigations revealed that up to 900 driving tests cannot proceed each month due to customers not arriving for their PDT.</w:t>
      </w:r>
    </w:p>
    <w:p w14:paraId="0BDC2CFF" w14:textId="77777777" w:rsidR="00FA2FF9" w:rsidRPr="00730DE4" w:rsidRDefault="00FA2FF9" w:rsidP="002A24FB">
      <w:pPr>
        <w:rPr>
          <w:lang w:val="en-US"/>
        </w:rPr>
      </w:pPr>
      <w:r w:rsidRPr="00730DE4">
        <w:rPr>
          <w:lang w:val="en-US"/>
        </w:rPr>
        <w:t>To tackle this issue, robotic process automation bots are being utilised to automatically check the logbook status for upcoming test bookings. Two weeks before their test, applicants whose logbooks have not yet been approved receive automated SMS and email alerts. Additionally, the system sends a booking reminder the day before the applicant's PDT.</w:t>
      </w:r>
    </w:p>
    <w:p w14:paraId="18B6E9DD" w14:textId="77777777" w:rsidR="00FA2FF9" w:rsidRPr="00730DE4" w:rsidRDefault="00FA2FF9" w:rsidP="00EA4BF0">
      <w:pPr>
        <w:rPr>
          <w:lang w:val="en-US"/>
        </w:rPr>
      </w:pPr>
      <w:r w:rsidRPr="00730DE4">
        <w:rPr>
          <w:lang w:val="en-US"/>
        </w:rPr>
        <w:t>By automating routine processes, our staff are freed up to assist customers and focus on high-value tasks.</w:t>
      </w:r>
    </w:p>
    <w:p w14:paraId="0761EAC2" w14:textId="77777777" w:rsidR="00B13631" w:rsidRPr="00730DE4" w:rsidRDefault="00B13631">
      <w:pPr>
        <w:suppressAutoHyphens w:val="0"/>
        <w:spacing w:before="0" w:line="259" w:lineRule="auto"/>
        <w:rPr>
          <w:rFonts w:eastAsiaTheme="majorEastAsia" w:cstheme="majorBidi"/>
          <w:color w:val="080C0F" w:themeColor="text1"/>
          <w:sz w:val="60"/>
          <w:szCs w:val="32"/>
        </w:rPr>
      </w:pPr>
      <w:r w:rsidRPr="00730DE4">
        <w:br w:type="page"/>
      </w:r>
    </w:p>
    <w:p w14:paraId="3C3688BC" w14:textId="0C788A65" w:rsidR="00FA2FF9" w:rsidRPr="00730DE4" w:rsidRDefault="00FA2FF9" w:rsidP="002B7001">
      <w:pPr>
        <w:pStyle w:val="Heading2"/>
      </w:pPr>
      <w:bookmarkStart w:id="904" w:name="_Toc180490727"/>
      <w:bookmarkStart w:id="905" w:name="_Toc180491760"/>
      <w:r w:rsidRPr="00730DE4">
        <w:t>Engaging with industry</w:t>
      </w:r>
      <w:bookmarkEnd w:id="904"/>
      <w:bookmarkEnd w:id="905"/>
    </w:p>
    <w:p w14:paraId="13286D81" w14:textId="77777777" w:rsidR="00FA2FF9" w:rsidRPr="00730DE4" w:rsidRDefault="00FA2FF9" w:rsidP="002B7001">
      <w:pPr>
        <w:pStyle w:val="Heading3"/>
        <w:rPr>
          <w:lang w:val="en-US"/>
        </w:rPr>
      </w:pPr>
      <w:bookmarkStart w:id="906" w:name="_Toc180487522"/>
      <w:bookmarkStart w:id="907" w:name="_Toc180490728"/>
      <w:bookmarkStart w:id="908" w:name="_Toc180491761"/>
      <w:r w:rsidRPr="00730DE4">
        <w:rPr>
          <w:lang w:val="en-US"/>
        </w:rPr>
        <w:t>Remote Communities Freight Assistance Scheme for Northern Peninsula Torres Strait and Gulf region</w:t>
      </w:r>
      <w:bookmarkEnd w:id="906"/>
      <w:bookmarkEnd w:id="907"/>
      <w:bookmarkEnd w:id="908"/>
    </w:p>
    <w:p w14:paraId="10FD9787" w14:textId="77777777" w:rsidR="00FA2FF9" w:rsidRPr="00730DE4" w:rsidRDefault="00FA2FF9" w:rsidP="00117DEE">
      <w:pPr>
        <w:rPr>
          <w:lang w:val="en-US"/>
        </w:rPr>
      </w:pPr>
      <w:r w:rsidRPr="00730DE4">
        <w:rPr>
          <w:lang w:val="en-US"/>
        </w:rPr>
        <w:t>Following the Cost of Living Summit on Thursday Island in March 2023, TMR has developed a new approach to ease freight</w:t>
      </w:r>
      <w:r w:rsidRPr="00730DE4">
        <w:rPr>
          <w:lang w:val="en-US"/>
        </w:rPr>
        <w:noBreakHyphen/>
        <w:t>related cost of living pressures in the Northern Peninsula, Torres Strait, and Gulf region.</w:t>
      </w:r>
    </w:p>
    <w:p w14:paraId="6BAAC937" w14:textId="77777777" w:rsidR="00FA2FF9" w:rsidRPr="00730DE4" w:rsidRDefault="00FA2FF9" w:rsidP="00117DEE">
      <w:pPr>
        <w:rPr>
          <w:lang w:val="en-US"/>
        </w:rPr>
      </w:pPr>
      <w:r w:rsidRPr="00730DE4">
        <w:rPr>
          <w:lang w:val="en-US"/>
        </w:rPr>
        <w:t>The Queensland Government sought and received stakeholder feedback, which informed an innovative approach to applying freight funding assistance through a percentage discount at the cash register at participating retailers.</w:t>
      </w:r>
    </w:p>
    <w:p w14:paraId="11F64582" w14:textId="77777777" w:rsidR="00FA2FF9" w:rsidRPr="00730DE4" w:rsidRDefault="00FA2FF9" w:rsidP="00117DEE">
      <w:r w:rsidRPr="00730DE4">
        <w:rPr>
          <w:lang w:val="en-US"/>
        </w:rPr>
        <w:t xml:space="preserve">In January 2024, the Queensland Rural and Industry Development Authority opened applications for retailers to participate </w:t>
      </w:r>
      <w:r w:rsidRPr="00730DE4">
        <w:t>in the Remote Communities Freight Assistance Scheme.</w:t>
      </w:r>
    </w:p>
    <w:p w14:paraId="2FD54FE3" w14:textId="77777777" w:rsidR="00FA2FF9" w:rsidRPr="00730DE4" w:rsidRDefault="00FA2FF9" w:rsidP="00117DEE">
      <w:pPr>
        <w:rPr>
          <w:lang w:val="en-US"/>
        </w:rPr>
      </w:pPr>
      <w:r w:rsidRPr="00730DE4">
        <w:rPr>
          <w:lang w:val="en-US"/>
        </w:rPr>
        <w:t>The discount applies to essential goods, such as fruit, vegetables, fresh meat, dairy, frozen goods, and groceries. There are some exceptions such as alcohol, tobacco, confectionery, hardware, clothing, fuel, furniture, and whitegoods.</w:t>
      </w:r>
    </w:p>
    <w:p w14:paraId="25669221" w14:textId="77777777" w:rsidR="00FA2FF9" w:rsidRPr="00730DE4" w:rsidRDefault="00FA2FF9" w:rsidP="00117DEE">
      <w:pPr>
        <w:rPr>
          <w:lang w:val="en-US"/>
        </w:rPr>
      </w:pPr>
      <w:r w:rsidRPr="00730DE4">
        <w:rPr>
          <w:lang w:val="en-US"/>
        </w:rPr>
        <w:t>The scheme is designed to reduce the weekly financial burden of additional freight costs in moving essential goods to these remote communities.</w:t>
      </w:r>
    </w:p>
    <w:p w14:paraId="6B00CD95" w14:textId="77777777" w:rsidR="00FA2FF9" w:rsidRPr="00730DE4" w:rsidRDefault="00FA2FF9" w:rsidP="00117DEE">
      <w:pPr>
        <w:pStyle w:val="MessageHeader"/>
        <w:rPr>
          <w:lang w:val="en-US"/>
        </w:rPr>
      </w:pPr>
      <w:r w:rsidRPr="00730DE4">
        <w:rPr>
          <w:lang w:val="en-US"/>
        </w:rPr>
        <w:t xml:space="preserve">For more information </w:t>
      </w:r>
      <w:r w:rsidRPr="00730DE4">
        <w:rPr>
          <w:lang w:val="en-US"/>
        </w:rPr>
        <w:br/>
      </w:r>
      <w:hyperlink r:id="rId114" w:history="1">
        <w:r w:rsidRPr="00730DE4">
          <w:rPr>
            <w:rStyle w:val="Hyperlink"/>
            <w:lang w:val="en-US"/>
          </w:rPr>
          <w:t>https://qrida.qld.gov.au</w:t>
        </w:r>
      </w:hyperlink>
      <w:r w:rsidRPr="00730DE4">
        <w:rPr>
          <w:lang w:val="en-US"/>
        </w:rPr>
        <w:t xml:space="preserve"> </w:t>
      </w:r>
    </w:p>
    <w:p w14:paraId="18DBC5EB" w14:textId="77777777" w:rsidR="00FA2FF9" w:rsidRPr="00730DE4" w:rsidRDefault="00FA2FF9" w:rsidP="002B7001">
      <w:pPr>
        <w:pStyle w:val="Heading3"/>
        <w:rPr>
          <w:lang w:val="en-US"/>
        </w:rPr>
      </w:pPr>
      <w:bookmarkStart w:id="909" w:name="_Toc180487523"/>
      <w:bookmarkStart w:id="910" w:name="_Toc180490729"/>
      <w:bookmarkStart w:id="911" w:name="_Toc180491762"/>
      <w:r w:rsidRPr="00730DE4">
        <w:rPr>
          <w:lang w:val="en-US"/>
        </w:rPr>
        <w:t>National services transition to the National Heavy Vehicle Regulator</w:t>
      </w:r>
      <w:bookmarkEnd w:id="909"/>
      <w:bookmarkEnd w:id="910"/>
      <w:bookmarkEnd w:id="911"/>
    </w:p>
    <w:p w14:paraId="4244745B" w14:textId="77777777" w:rsidR="00FA2FF9" w:rsidRPr="00730DE4" w:rsidRDefault="00FA2FF9" w:rsidP="00117DEE">
      <w:pPr>
        <w:rPr>
          <w:lang w:val="en-US"/>
        </w:rPr>
      </w:pPr>
      <w:r w:rsidRPr="00730DE4">
        <w:rPr>
          <w:lang w:val="en-US"/>
        </w:rPr>
        <w:t>TMR transitioned heavy vehicle compliance activities to the National Heavy Vehicle Regulator (NHVR) on 20 April 2024 as part of a national reform program to improve road safety outcomes.</w:t>
      </w:r>
    </w:p>
    <w:p w14:paraId="5730926F" w14:textId="77777777" w:rsidR="00FA2FF9" w:rsidRPr="00730DE4" w:rsidRDefault="00FA2FF9" w:rsidP="00117DEE">
      <w:pPr>
        <w:rPr>
          <w:lang w:val="en-US"/>
        </w:rPr>
      </w:pPr>
      <w:r w:rsidRPr="00730DE4">
        <w:rPr>
          <w:lang w:val="en-US"/>
        </w:rPr>
        <w:t>The transition ensures a consistent approach to compliance and enforcement nationally and will deliver a best practice regulatory approach across all jurisdictions.</w:t>
      </w:r>
    </w:p>
    <w:p w14:paraId="7D6EA22F" w14:textId="77777777" w:rsidR="00FA2FF9" w:rsidRPr="00730DE4" w:rsidRDefault="00FA2FF9" w:rsidP="00117DEE">
      <w:pPr>
        <w:rPr>
          <w:lang w:val="en-US"/>
        </w:rPr>
      </w:pPr>
      <w:r w:rsidRPr="00730DE4">
        <w:rPr>
          <w:lang w:val="en-US"/>
        </w:rPr>
        <w:t>Queensland is the final jurisdiction to transition these services apart from Western Australia and the Northern Territory, who have chosen not to adopt the Heavy Vehicle National Law.</w:t>
      </w:r>
    </w:p>
    <w:p w14:paraId="1850DA91" w14:textId="77777777" w:rsidR="00FA2FF9" w:rsidRPr="00730DE4" w:rsidRDefault="00FA2FF9" w:rsidP="00117DEE">
      <w:pPr>
        <w:rPr>
          <w:lang w:val="en-US"/>
        </w:rPr>
      </w:pPr>
      <w:r w:rsidRPr="00730DE4">
        <w:rPr>
          <w:lang w:val="en-US"/>
        </w:rPr>
        <w:t>After transition, TMR will continue to be responsible for regulatory and compliance activities for light vehicles under 4.5 tonnes, including passenger vehicles and tow trucks.</w:t>
      </w:r>
    </w:p>
    <w:p w14:paraId="70DD98F5" w14:textId="77777777" w:rsidR="00FA2FF9" w:rsidRPr="00730DE4" w:rsidRDefault="00FA2FF9" w:rsidP="00117DEE">
      <w:pPr>
        <w:rPr>
          <w:lang w:val="en-US"/>
        </w:rPr>
      </w:pPr>
      <w:r w:rsidRPr="00730DE4">
        <w:rPr>
          <w:lang w:val="en-US"/>
        </w:rPr>
        <w:t>After the Queensland Government approved the NHVR’s proposed future state model in February 2023, considerable consultation was undertaken with the Together Queensland Union and TMR employees to ensure the best possible outcomes for the transfer of regulatory services, employees, and assets.</w:t>
      </w:r>
    </w:p>
    <w:p w14:paraId="0041D642" w14:textId="77777777" w:rsidR="00FA2FF9" w:rsidRPr="00730DE4" w:rsidRDefault="00FA2FF9" w:rsidP="002B7001">
      <w:pPr>
        <w:pStyle w:val="Heading3"/>
        <w:rPr>
          <w:lang w:val="en-US"/>
        </w:rPr>
      </w:pPr>
      <w:bookmarkStart w:id="912" w:name="_Toc180487524"/>
      <w:bookmarkStart w:id="913" w:name="_Toc180490730"/>
      <w:bookmarkStart w:id="914" w:name="_Toc180491763"/>
      <w:r w:rsidRPr="00730DE4">
        <w:rPr>
          <w:lang w:val="en-US"/>
        </w:rPr>
        <w:t>Geoscience Australia data sharing for a location-enabled Australia</w:t>
      </w:r>
      <w:bookmarkEnd w:id="912"/>
      <w:bookmarkEnd w:id="913"/>
      <w:bookmarkEnd w:id="914"/>
    </w:p>
    <w:p w14:paraId="78C56123" w14:textId="77777777" w:rsidR="00FA2FF9" w:rsidRPr="00730DE4" w:rsidRDefault="00FA2FF9" w:rsidP="00117DEE">
      <w:pPr>
        <w:rPr>
          <w:lang w:val="en-US"/>
        </w:rPr>
      </w:pPr>
      <w:r w:rsidRPr="00730DE4">
        <w:rPr>
          <w:lang w:val="en-US"/>
        </w:rPr>
        <w:t>In 2020–21, TMR commenced a data-sharing agreement with Geoscience Australia to better enable global positioning services across Queensland.</w:t>
      </w:r>
    </w:p>
    <w:p w14:paraId="472C80A4" w14:textId="77777777" w:rsidR="00FA2FF9" w:rsidRPr="00730DE4" w:rsidRDefault="00FA2FF9" w:rsidP="00117DEE">
      <w:pPr>
        <w:rPr>
          <w:lang w:val="en-US"/>
        </w:rPr>
      </w:pPr>
      <w:r w:rsidRPr="00730DE4">
        <w:rPr>
          <w:lang w:val="en-US"/>
        </w:rPr>
        <w:t>A key component of this agreement is TMR’s Continually Operating Reference Station (CORS) network. Through a series of global positioning sites across Queensland, the CORS network provides reliable, accurate spatial data which supports surveying, mapping, remotely piloted aircraft systems, construction, and cooperative vehicle trials, enhancing ongoing operational and maintenance activity efficiencies.</w:t>
      </w:r>
    </w:p>
    <w:p w14:paraId="114FDE49" w14:textId="77777777" w:rsidR="00FA2FF9" w:rsidRPr="00730DE4" w:rsidRDefault="00FA2FF9" w:rsidP="00117DEE">
      <w:pPr>
        <w:rPr>
          <w:lang w:val="en-US"/>
        </w:rPr>
      </w:pPr>
      <w:r w:rsidRPr="00730DE4">
        <w:rPr>
          <w:lang w:val="en-US"/>
        </w:rPr>
        <w:t>TMR is the fifth largest CORS Station contributor to the Positioning Australia CORS network and is now ranked third with relation to providing access to legal traceability for position. TMR installed six new sites this year, bringing TMR's total to 50, providing greater coverage and more accurate mapping data. TMR will continue expanding this network over the next 12 months.</w:t>
      </w:r>
    </w:p>
    <w:p w14:paraId="400F4DAB" w14:textId="77777777" w:rsidR="00FA2FF9" w:rsidRPr="00730DE4" w:rsidRDefault="00FA2FF9" w:rsidP="002B7001">
      <w:pPr>
        <w:pStyle w:val="Heading3"/>
        <w:rPr>
          <w:lang w:val="en-US"/>
        </w:rPr>
      </w:pPr>
      <w:bookmarkStart w:id="915" w:name="_Toc180487525"/>
      <w:bookmarkStart w:id="916" w:name="_Toc180490731"/>
      <w:bookmarkStart w:id="917" w:name="_Toc180491764"/>
      <w:r w:rsidRPr="00730DE4">
        <w:rPr>
          <w:lang w:val="en-US"/>
        </w:rPr>
        <w:t>Class 1 Vehicle Access Regime Program</w:t>
      </w:r>
      <w:bookmarkEnd w:id="915"/>
      <w:bookmarkEnd w:id="916"/>
      <w:bookmarkEnd w:id="917"/>
    </w:p>
    <w:p w14:paraId="262366F9" w14:textId="77777777" w:rsidR="00FA2FF9" w:rsidRPr="00730DE4" w:rsidRDefault="00FA2FF9" w:rsidP="00117DEE">
      <w:pPr>
        <w:rPr>
          <w:lang w:val="en-US"/>
        </w:rPr>
      </w:pPr>
      <w:bookmarkStart w:id="918" w:name="_Hlk161146110"/>
      <w:r w:rsidRPr="00730DE4">
        <w:rPr>
          <w:lang w:val="en-US"/>
        </w:rPr>
        <w:t>TMR has initiated an extensive revision of heavy vehicle access management for low loaders, load platforms, and mobile cranes.</w:t>
      </w:r>
    </w:p>
    <w:p w14:paraId="37322DBB" w14:textId="77777777" w:rsidR="00FA2FF9" w:rsidRPr="00730DE4" w:rsidRDefault="00FA2FF9" w:rsidP="00117DEE">
      <w:pPr>
        <w:rPr>
          <w:lang w:val="en-US"/>
        </w:rPr>
      </w:pPr>
      <w:r w:rsidRPr="00730DE4">
        <w:rPr>
          <w:lang w:val="en-US"/>
        </w:rPr>
        <w:t>Due to their significant weight concentration, access for these vehicles must be carefully managed to mitigate the potential risk to roads and bridges. Several aspects of the current management approach have proven unsustainable and pose challenges to industry operations.</w:t>
      </w:r>
    </w:p>
    <w:p w14:paraId="4534E8B5" w14:textId="6482A09F" w:rsidR="00EA1647" w:rsidRDefault="00FA2FF9" w:rsidP="00117DEE">
      <w:pPr>
        <w:rPr>
          <w:lang w:val="en-US"/>
        </w:rPr>
      </w:pPr>
      <w:r w:rsidRPr="00730DE4">
        <w:rPr>
          <w:lang w:val="en-US"/>
        </w:rPr>
        <w:t>Together with an industry working group, TMR has co-designed a new regime to optimise safe and sustainable access while acknowledging the importance of industry productivity and community safety.</w:t>
      </w:r>
      <w:r w:rsidR="00EA1647">
        <w:rPr>
          <w:lang w:val="en-US"/>
        </w:rPr>
        <w:br w:type="page"/>
      </w:r>
    </w:p>
    <w:p w14:paraId="7FBE89F5" w14:textId="0A8C58BC" w:rsidR="00FA2FF9" w:rsidRPr="00730DE4" w:rsidRDefault="00FA2FF9" w:rsidP="00117DEE">
      <w:pPr>
        <w:rPr>
          <w:lang w:val="en-US"/>
        </w:rPr>
      </w:pPr>
      <w:r w:rsidRPr="00730DE4">
        <w:rPr>
          <w:lang w:val="en-US"/>
        </w:rPr>
        <w:t>This collaborative approach, which includes input from local governments and ports, ensures that all perspectives are considered, resulting in a comprehensive and robust regime that meets the needs of both industry and road managers.</w:t>
      </w:r>
    </w:p>
    <w:p w14:paraId="4BBF887E" w14:textId="77777777" w:rsidR="00FA2FF9" w:rsidRPr="00730DE4" w:rsidRDefault="00FA2FF9" w:rsidP="00117DEE">
      <w:pPr>
        <w:rPr>
          <w:lang w:val="en-US"/>
        </w:rPr>
      </w:pPr>
      <w:r w:rsidRPr="00730DE4">
        <w:rPr>
          <w:lang w:val="en-US"/>
        </w:rPr>
        <w:t>Leveraging combined knowledge and experience, the redesigned regime provides consistency, timeliness, certainty, transparency, and a customer-focused approach to access—aligning with national heavy vehicle access initiatives.</w:t>
      </w:r>
      <w:bookmarkEnd w:id="918"/>
    </w:p>
    <w:p w14:paraId="59D11B35" w14:textId="77777777" w:rsidR="00B13631" w:rsidRPr="00730DE4" w:rsidRDefault="00B13631">
      <w:pPr>
        <w:suppressAutoHyphens w:val="0"/>
        <w:spacing w:before="0" w:line="259" w:lineRule="auto"/>
        <w:rPr>
          <w:rFonts w:eastAsiaTheme="majorEastAsia" w:cstheme="majorBidi"/>
          <w:color w:val="080C0F" w:themeColor="text1"/>
          <w:sz w:val="60"/>
          <w:szCs w:val="32"/>
        </w:rPr>
      </w:pPr>
      <w:r w:rsidRPr="00730DE4">
        <w:br w:type="page"/>
      </w:r>
    </w:p>
    <w:p w14:paraId="0DE439CB" w14:textId="5277D271" w:rsidR="00FA2FF9" w:rsidRPr="00730DE4" w:rsidRDefault="00FA2FF9" w:rsidP="002B7001">
      <w:pPr>
        <w:pStyle w:val="Heading2"/>
      </w:pPr>
      <w:bookmarkStart w:id="919" w:name="_Toc180490732"/>
      <w:bookmarkStart w:id="920" w:name="_Toc180491765"/>
      <w:r w:rsidRPr="00730DE4">
        <w:t>Delivering with partners</w:t>
      </w:r>
      <w:bookmarkEnd w:id="919"/>
      <w:bookmarkEnd w:id="920"/>
    </w:p>
    <w:p w14:paraId="0789E96E" w14:textId="77777777" w:rsidR="00FA2FF9" w:rsidRPr="00730DE4" w:rsidRDefault="00FA2FF9" w:rsidP="002B7001">
      <w:pPr>
        <w:pStyle w:val="Heading3"/>
        <w:rPr>
          <w:lang w:val="en-US"/>
        </w:rPr>
      </w:pPr>
      <w:bookmarkStart w:id="921" w:name="_Toc180487527"/>
      <w:bookmarkStart w:id="922" w:name="_Toc180490733"/>
      <w:bookmarkStart w:id="923" w:name="_Toc180491766"/>
      <w:r w:rsidRPr="00730DE4">
        <w:rPr>
          <w:lang w:val="en-US"/>
        </w:rPr>
        <w:t>Wheelchair Accessible Taxi Grant Scheme</w:t>
      </w:r>
      <w:bookmarkEnd w:id="921"/>
      <w:bookmarkEnd w:id="922"/>
      <w:bookmarkEnd w:id="923"/>
    </w:p>
    <w:p w14:paraId="50CCDBC7" w14:textId="77777777" w:rsidR="00FA2FF9" w:rsidRPr="00730DE4" w:rsidRDefault="00FA2FF9" w:rsidP="0035528B">
      <w:pPr>
        <w:rPr>
          <w:lang w:val="en-US"/>
        </w:rPr>
      </w:pPr>
      <w:r w:rsidRPr="00730DE4">
        <w:rPr>
          <w:lang w:val="en-US"/>
        </w:rPr>
        <w:t>The Wheelchair Accessible Taxi Funding program continues to modernise Queensland’s fleet of wheelchair accessible taxis since it opened to applications in December 2019.</w:t>
      </w:r>
    </w:p>
    <w:p w14:paraId="5E1851AF" w14:textId="77777777" w:rsidR="00FA2FF9" w:rsidRPr="00730DE4" w:rsidRDefault="00FA2FF9" w:rsidP="0035528B">
      <w:pPr>
        <w:rPr>
          <w:lang w:val="en-US"/>
        </w:rPr>
      </w:pPr>
      <w:r w:rsidRPr="00730DE4">
        <w:rPr>
          <w:lang w:val="en-US"/>
        </w:rPr>
        <w:t>The $21 million program supports the taxi industry by providing accessible transport options for people with reduced mobility.</w:t>
      </w:r>
    </w:p>
    <w:p w14:paraId="66029218" w14:textId="77777777" w:rsidR="00FA2FF9" w:rsidRPr="00730DE4" w:rsidRDefault="00FA2FF9" w:rsidP="0035528B">
      <w:pPr>
        <w:rPr>
          <w:lang w:val="en-US"/>
        </w:rPr>
      </w:pPr>
      <w:r w:rsidRPr="00730DE4">
        <w:rPr>
          <w:lang w:val="en-US"/>
        </w:rPr>
        <w:t>In 2023–24, funding continued to be provided for new wheelchair accessible taxis to replace ageing vehicles. A total of 98 applications were received from across Queensland in 2023–24, of which 91 were approved. In total, since inception, 450 applications have been received, 400 approved with 285 fulfilled and vehicles operating.</w:t>
      </w:r>
    </w:p>
    <w:p w14:paraId="0BAB95AA" w14:textId="77777777" w:rsidR="00FA2FF9" w:rsidRPr="00730DE4" w:rsidRDefault="00FA2FF9" w:rsidP="0035528B">
      <w:pPr>
        <w:rPr>
          <w:lang w:val="en-US"/>
        </w:rPr>
      </w:pPr>
      <w:r w:rsidRPr="00730DE4">
        <w:rPr>
          <w:lang w:val="en-US"/>
        </w:rPr>
        <w:t>The program also offers funding for replacing a conventional taxi with a wheelchair accessible taxi in some areas. Eligible taxi operators could apply for 50 per cent funding (a maximum of $45,000) towards the purchase of a new vehicle.</w:t>
      </w:r>
    </w:p>
    <w:p w14:paraId="5099404C" w14:textId="77777777" w:rsidR="00FA2FF9" w:rsidRPr="00730DE4" w:rsidRDefault="00FA2FF9" w:rsidP="0035528B">
      <w:pPr>
        <w:rPr>
          <w:lang w:val="en-US"/>
        </w:rPr>
      </w:pPr>
      <w:r w:rsidRPr="00730DE4">
        <w:rPr>
          <w:lang w:val="en-US"/>
        </w:rPr>
        <w:t>The scheme has been extended an additional year, to expire on 30 June 2025 with minor amendments, including an increase to the maximum funding ceiling from $45,000 to $55,000 to reflect the increase in vehicle costs and modifications.</w:t>
      </w:r>
    </w:p>
    <w:p w14:paraId="22447D87" w14:textId="77777777" w:rsidR="00FA2FF9" w:rsidRPr="00730DE4" w:rsidRDefault="00FA2FF9" w:rsidP="0035528B">
      <w:pPr>
        <w:rPr>
          <w:lang w:val="en-US"/>
        </w:rPr>
      </w:pPr>
      <w:r w:rsidRPr="00730DE4">
        <w:rPr>
          <w:lang w:val="en-US"/>
        </w:rPr>
        <w:t>The scheme is administered by the Queensland Rural and Industry Development Authority.</w:t>
      </w:r>
    </w:p>
    <w:p w14:paraId="38905652" w14:textId="77777777" w:rsidR="00FA2FF9" w:rsidRPr="00730DE4" w:rsidRDefault="00FA2FF9" w:rsidP="00251325">
      <w:pPr>
        <w:pStyle w:val="MessageHeader"/>
        <w:rPr>
          <w:lang w:val="en-US"/>
        </w:rPr>
      </w:pPr>
      <w:r w:rsidRPr="00730DE4">
        <w:rPr>
          <w:lang w:val="en-US"/>
        </w:rPr>
        <w:t xml:space="preserve">For more information </w:t>
      </w:r>
      <w:r w:rsidRPr="00730DE4">
        <w:rPr>
          <w:lang w:val="en-US"/>
        </w:rPr>
        <w:br/>
      </w:r>
      <w:hyperlink r:id="rId115" w:history="1">
        <w:r w:rsidRPr="00730DE4">
          <w:rPr>
            <w:rStyle w:val="Hyperlink"/>
            <w:lang w:val="en-US"/>
          </w:rPr>
          <w:t>https://www.tmr.qld.gov.au/business-industry/Taxi-and-limousine/Industry-information/Taxi/Wheelchair-accessible-taxis</w:t>
        </w:r>
      </w:hyperlink>
    </w:p>
    <w:p w14:paraId="144C5D0F" w14:textId="77777777" w:rsidR="00FA2FF9" w:rsidRPr="00730DE4" w:rsidRDefault="00FA2FF9" w:rsidP="002B7001">
      <w:pPr>
        <w:pStyle w:val="Heading3"/>
        <w:rPr>
          <w:lang w:val="en-US"/>
        </w:rPr>
      </w:pPr>
      <w:bookmarkStart w:id="924" w:name="_Toc180487528"/>
      <w:bookmarkStart w:id="925" w:name="_Toc180490734"/>
      <w:bookmarkStart w:id="926" w:name="_Toc180491767"/>
      <w:r w:rsidRPr="00730DE4">
        <w:rPr>
          <w:lang w:val="en-US"/>
        </w:rPr>
        <w:t>Bus driver safety initiatives</w:t>
      </w:r>
      <w:bookmarkEnd w:id="924"/>
      <w:bookmarkEnd w:id="925"/>
      <w:bookmarkEnd w:id="926"/>
    </w:p>
    <w:p w14:paraId="509AD70C" w14:textId="77777777" w:rsidR="00FA2FF9" w:rsidRPr="00730DE4" w:rsidRDefault="00FA2FF9" w:rsidP="004C3FF7">
      <w:pPr>
        <w:rPr>
          <w:lang w:val="en-US"/>
        </w:rPr>
      </w:pPr>
      <w:r w:rsidRPr="00730DE4">
        <w:rPr>
          <w:lang w:val="en-US"/>
        </w:rPr>
        <w:t>Following the completion of the Queensland Bus Driver Safety Scheme in 2020, TMR has continued to work with the bus industry to deliver improved safety measures such as deploying Network Officers, installing driver barriers, and providing de-escalation training.</w:t>
      </w:r>
    </w:p>
    <w:p w14:paraId="5F38D5F4" w14:textId="77777777" w:rsidR="00FA2FF9" w:rsidRPr="00730DE4" w:rsidRDefault="00FA2FF9" w:rsidP="004C3FF7">
      <w:pPr>
        <w:rPr>
          <w:lang w:val="en-US"/>
        </w:rPr>
      </w:pPr>
      <w:r w:rsidRPr="00730DE4">
        <w:rPr>
          <w:lang w:val="en-US"/>
        </w:rPr>
        <w:t>TMR is investing $60.7 million over five years to deploy additional Network Officers and provide further police assistance on public transport. As well as focusing on safety, Network Officers have powers to enforce conditions of travel and will issue infringement notices, including fines for public transport offences such as fare evasion.</w:t>
      </w:r>
    </w:p>
    <w:p w14:paraId="2274CF61" w14:textId="77777777" w:rsidR="00FA2FF9" w:rsidRPr="00730DE4" w:rsidRDefault="00FA2FF9" w:rsidP="004C3FF7">
      <w:pPr>
        <w:rPr>
          <w:lang w:val="en-US"/>
        </w:rPr>
      </w:pPr>
      <w:r w:rsidRPr="00730DE4">
        <w:rPr>
          <w:lang w:val="en-US"/>
        </w:rPr>
        <w:t>There are 69 Network Officers deployed on the Gold Coast, Sunshine Coast, Logan, northern Brisbane, Cairns, and Townsville networks.</w:t>
      </w:r>
    </w:p>
    <w:p w14:paraId="764478A1" w14:textId="77777777" w:rsidR="00FA2FF9" w:rsidRPr="00730DE4" w:rsidRDefault="00FA2FF9" w:rsidP="004C3FF7">
      <w:pPr>
        <w:rPr>
          <w:lang w:val="en-US"/>
        </w:rPr>
      </w:pPr>
      <w:r w:rsidRPr="00730DE4">
        <w:rPr>
          <w:lang w:val="en-US"/>
        </w:rPr>
        <w:t>Additional Network Officers will be rolled out across the transport network in the coming months to increase the numbers of Network officers.</w:t>
      </w:r>
    </w:p>
    <w:p w14:paraId="3BD4A1C3" w14:textId="77777777" w:rsidR="00FA2FF9" w:rsidRPr="00730DE4" w:rsidRDefault="00FA2FF9" w:rsidP="004C3FF7">
      <w:pPr>
        <w:rPr>
          <w:lang w:val="en-US"/>
        </w:rPr>
      </w:pPr>
      <w:r w:rsidRPr="00730DE4">
        <w:rPr>
          <w:lang w:val="en-US"/>
        </w:rPr>
        <w:t>Translink recruited an additional nine Senior Network Officers. The new officers were deployed on the network in June 2024.</w:t>
      </w:r>
    </w:p>
    <w:p w14:paraId="674E979F" w14:textId="77777777" w:rsidR="00FA2FF9" w:rsidRPr="00730DE4" w:rsidRDefault="00FA2FF9" w:rsidP="004C3FF7">
      <w:pPr>
        <w:rPr>
          <w:lang w:val="en-US"/>
        </w:rPr>
      </w:pPr>
      <w:r w:rsidRPr="00730DE4">
        <w:rPr>
          <w:lang w:val="en-US"/>
        </w:rPr>
        <w:t>These frontline staff operate across all modes of public transport and play an important role in targeting fare evasion hot spots, providing customer service, and keeping our transport network safe.</w:t>
      </w:r>
    </w:p>
    <w:p w14:paraId="4D1B8A2C" w14:textId="77777777" w:rsidR="00FA2FF9" w:rsidRPr="00730DE4" w:rsidRDefault="00FA2FF9" w:rsidP="004C3FF7">
      <w:pPr>
        <w:rPr>
          <w:lang w:val="en-US"/>
        </w:rPr>
      </w:pPr>
      <w:r w:rsidRPr="00730DE4">
        <w:rPr>
          <w:lang w:val="en-US"/>
        </w:rPr>
        <w:t>Translink also deployed resources from the Police Service Protective Services Group. The Senior Protective Service Officers are trained and authorised as Transit Officers to provide safety and security at key transport infrastructure locations.</w:t>
      </w:r>
    </w:p>
    <w:p w14:paraId="3490AAE7" w14:textId="77777777" w:rsidR="00FA2FF9" w:rsidRPr="00730DE4" w:rsidRDefault="00FA2FF9" w:rsidP="004C3FF7">
      <w:pPr>
        <w:rPr>
          <w:lang w:val="en-US"/>
        </w:rPr>
      </w:pPr>
      <w:r w:rsidRPr="00730DE4">
        <w:rPr>
          <w:lang w:val="en-US"/>
        </w:rPr>
        <w:t xml:space="preserve">TMR invested almost $4 million over 2022–23 and 2023–24 in rolling out more full protection bus driver barriers across the public transport network. </w:t>
      </w:r>
    </w:p>
    <w:p w14:paraId="2CF92F7E" w14:textId="77777777" w:rsidR="00FA2FF9" w:rsidRPr="00730DE4" w:rsidRDefault="00FA2FF9" w:rsidP="004C3FF7">
      <w:pPr>
        <w:rPr>
          <w:lang w:val="en-US"/>
        </w:rPr>
      </w:pPr>
      <w:r w:rsidRPr="00730DE4">
        <w:rPr>
          <w:lang w:val="en-US"/>
        </w:rPr>
        <w:t>In partnership with the Queensland Bus Industry Council and Griffith University, the Minimising Passenger Hostility de-escalation training program continued to be available to assist drivers in managing customer aggression.</w:t>
      </w:r>
    </w:p>
    <w:p w14:paraId="6E9FCADD" w14:textId="77777777" w:rsidR="00FA2FF9" w:rsidRPr="00730DE4" w:rsidRDefault="00FA2FF9" w:rsidP="004C3FF7">
      <w:pPr>
        <w:rPr>
          <w:lang w:val="en-US"/>
        </w:rPr>
      </w:pPr>
      <w:r w:rsidRPr="00730DE4">
        <w:rPr>
          <w:lang w:val="en-US"/>
        </w:rPr>
        <w:t>Bus driver safety also continued to be supported through:</w:t>
      </w:r>
    </w:p>
    <w:p w14:paraId="0336752D" w14:textId="77777777" w:rsidR="00FA2FF9" w:rsidRPr="00730DE4" w:rsidRDefault="00FA2FF9" w:rsidP="004C3FF7">
      <w:pPr>
        <w:pStyle w:val="ListBullet"/>
        <w:rPr>
          <w:lang w:val="en-US"/>
        </w:rPr>
      </w:pPr>
      <w:r w:rsidRPr="00730DE4">
        <w:rPr>
          <w:lang w:val="en-US"/>
        </w:rPr>
        <w:t>implementing a Smart Ticketing system that is limiting the driver’s role in cash handling across Queensland</w:t>
      </w:r>
    </w:p>
    <w:p w14:paraId="5B3A009C" w14:textId="77777777" w:rsidR="00FA2FF9" w:rsidRPr="00730DE4" w:rsidRDefault="00FA2FF9" w:rsidP="004C3FF7">
      <w:pPr>
        <w:pStyle w:val="ListBullet"/>
        <w:rPr>
          <w:lang w:val="en-US"/>
        </w:rPr>
      </w:pPr>
      <w:r w:rsidRPr="00730DE4">
        <w:rPr>
          <w:lang w:val="en-US"/>
        </w:rPr>
        <w:t>delivering a refreshed step-up initiative in schools to promote appropriate behaviour on public transport to school students.</w:t>
      </w:r>
    </w:p>
    <w:p w14:paraId="5B364287" w14:textId="77777777" w:rsidR="00FA2FF9" w:rsidRPr="00730DE4" w:rsidRDefault="00FA2FF9" w:rsidP="004C3FF7">
      <w:pPr>
        <w:rPr>
          <w:lang w:val="en-US"/>
        </w:rPr>
      </w:pPr>
      <w:r w:rsidRPr="00730DE4">
        <w:rPr>
          <w:lang w:val="en-US"/>
        </w:rPr>
        <w:t>TMR continues to engage with industry and other key stakeholders on bus safety issues and best practice initiatives to keep bus travel safe for everyone, including through the Queensland Bus Safety Forum, which met three times in 2023–24, on 30 August and 10 November 2023 and on 15 April 2024.</w:t>
      </w:r>
    </w:p>
    <w:p w14:paraId="4BA32E6D" w14:textId="77777777" w:rsidR="00FA2FF9" w:rsidRPr="00730DE4" w:rsidRDefault="00FA2FF9" w:rsidP="00251325">
      <w:pPr>
        <w:pStyle w:val="MessageHeader"/>
        <w:rPr>
          <w:lang w:val="en-US"/>
        </w:rPr>
      </w:pPr>
      <w:r w:rsidRPr="00730DE4">
        <w:rPr>
          <w:lang w:val="en-US"/>
        </w:rPr>
        <w:t xml:space="preserve">For more information </w:t>
      </w:r>
      <w:r w:rsidRPr="00730DE4">
        <w:rPr>
          <w:lang w:val="en-US"/>
        </w:rPr>
        <w:br/>
      </w:r>
      <w:hyperlink r:id="rId116" w:history="1">
        <w:r w:rsidRPr="00730DE4">
          <w:rPr>
            <w:rStyle w:val="Hyperlink"/>
            <w:lang w:val="en-US"/>
          </w:rPr>
          <w:t>https://translink.com.au/about-translink/projects-and-initiatives/bus-driver-safety-review</w:t>
        </w:r>
      </w:hyperlink>
    </w:p>
    <w:p w14:paraId="4E38EF54" w14:textId="77777777" w:rsidR="00FA2FF9" w:rsidRPr="00730DE4" w:rsidRDefault="00FA2FF9" w:rsidP="002B7001">
      <w:pPr>
        <w:pStyle w:val="Heading3"/>
        <w:rPr>
          <w:lang w:val="en-US"/>
        </w:rPr>
      </w:pPr>
      <w:bookmarkStart w:id="927" w:name="_Toc180487529"/>
      <w:bookmarkStart w:id="928" w:name="_Toc180490735"/>
      <w:bookmarkStart w:id="929" w:name="_Toc180491768"/>
      <w:r w:rsidRPr="00730DE4">
        <w:rPr>
          <w:lang w:val="en-US"/>
        </w:rPr>
        <w:t>Bus Driver of the Year Awards</w:t>
      </w:r>
      <w:bookmarkEnd w:id="927"/>
      <w:bookmarkEnd w:id="928"/>
      <w:bookmarkEnd w:id="929"/>
    </w:p>
    <w:p w14:paraId="79423A49" w14:textId="77777777" w:rsidR="00FA2FF9" w:rsidRPr="00730DE4" w:rsidRDefault="00FA2FF9" w:rsidP="007959AF">
      <w:r w:rsidRPr="00730DE4">
        <w:t>The 2023 Bus Driver of the Year Awards continued the department's long-standing partnership with the Queensland Bus Industry Council to celebrate outstanding service by Queensland's top bus drivers.</w:t>
      </w:r>
    </w:p>
    <w:p w14:paraId="7CC2FB60" w14:textId="77777777" w:rsidR="00FA2FF9" w:rsidRPr="00730DE4" w:rsidRDefault="00FA2FF9" w:rsidP="007959AF">
      <w:r w:rsidRPr="00730DE4">
        <w:t>The winners were announced at the Queensland Bus Industry Council’s annual conference in April 2024.</w:t>
      </w:r>
    </w:p>
    <w:p w14:paraId="5F3291A0" w14:textId="77777777" w:rsidR="00FA2FF9" w:rsidRPr="00730DE4" w:rsidRDefault="00FA2FF9" w:rsidP="007959AF">
      <w:r w:rsidRPr="00730DE4">
        <w:t>The winners of each category were:</w:t>
      </w:r>
    </w:p>
    <w:p w14:paraId="32099BCA" w14:textId="77777777" w:rsidR="00FA2FF9" w:rsidRPr="00730DE4" w:rsidRDefault="00FA2FF9" w:rsidP="007959AF">
      <w:pPr>
        <w:pStyle w:val="ListBullet"/>
      </w:pPr>
      <w:r w:rsidRPr="00730DE4">
        <w:t>South East Queensland Bus Driver of the Year</w:t>
      </w:r>
    </w:p>
    <w:p w14:paraId="35AA671B" w14:textId="77777777" w:rsidR="00FA2FF9" w:rsidRPr="00730DE4" w:rsidRDefault="00FA2FF9" w:rsidP="00491E3D">
      <w:pPr>
        <w:pStyle w:val="ListBullet2"/>
      </w:pPr>
      <w:r w:rsidRPr="00730DE4">
        <w:t>Luluu Berns—Hornibrook Buslines (Clontarf)</w:t>
      </w:r>
    </w:p>
    <w:p w14:paraId="65423EAA" w14:textId="77777777" w:rsidR="00FA2FF9" w:rsidRPr="00730DE4" w:rsidRDefault="00FA2FF9" w:rsidP="007959AF">
      <w:pPr>
        <w:pStyle w:val="ListBullet"/>
      </w:pPr>
      <w:r w:rsidRPr="00730DE4">
        <w:t>Regional Queensland Bus Driver of the Year</w:t>
      </w:r>
    </w:p>
    <w:p w14:paraId="396AE104" w14:textId="77777777" w:rsidR="00FA2FF9" w:rsidRPr="00730DE4" w:rsidRDefault="00FA2FF9" w:rsidP="00491E3D">
      <w:pPr>
        <w:pStyle w:val="ListBullet2"/>
      </w:pPr>
      <w:r w:rsidRPr="00730DE4">
        <w:t>John Christensen—Christensen's Bus and Coach (Kilcoy)</w:t>
      </w:r>
    </w:p>
    <w:p w14:paraId="54472773" w14:textId="77777777" w:rsidR="00FA2FF9" w:rsidRPr="00730DE4" w:rsidRDefault="00FA2FF9" w:rsidP="007959AF">
      <w:pPr>
        <w:pStyle w:val="ListBullet"/>
      </w:pPr>
      <w:bookmarkStart w:id="930" w:name="_Hlk159417009"/>
      <w:r w:rsidRPr="00730DE4">
        <w:t>School Services Bus Driver of the Year</w:t>
      </w:r>
    </w:p>
    <w:p w14:paraId="48C14E2E" w14:textId="77777777" w:rsidR="00FA2FF9" w:rsidRPr="00730DE4" w:rsidRDefault="00FA2FF9" w:rsidP="00491E3D">
      <w:pPr>
        <w:pStyle w:val="ListBullet2"/>
      </w:pPr>
      <w:r w:rsidRPr="00730DE4">
        <w:t>Mark Nel—CDC Queensland (Yeppoon)</w:t>
      </w:r>
    </w:p>
    <w:bookmarkEnd w:id="930"/>
    <w:p w14:paraId="3AE107AA" w14:textId="77777777" w:rsidR="00FA2FF9" w:rsidRPr="00730DE4" w:rsidRDefault="00FA2FF9" w:rsidP="007959AF">
      <w:r w:rsidRPr="00730DE4">
        <w:t>A record-breaking 1860 public nominations and more than 13,000 public votes were received for the 2023 awards. The awards celebrated drivers who went above and beyond to deliver excellent customer service getting people to work, school, or wherever they needed to go.</w:t>
      </w:r>
    </w:p>
    <w:p w14:paraId="65EFCD23" w14:textId="77777777" w:rsidR="00FA2FF9" w:rsidRPr="00730DE4" w:rsidRDefault="00FA2FF9" w:rsidP="00251325">
      <w:pPr>
        <w:pStyle w:val="MessageHeader"/>
        <w:rPr>
          <w:lang w:val="en-US"/>
        </w:rPr>
      </w:pPr>
      <w:r w:rsidRPr="00730DE4">
        <w:rPr>
          <w:lang w:val="en-US"/>
        </w:rPr>
        <w:t xml:space="preserve">For more information </w:t>
      </w:r>
      <w:r w:rsidRPr="00730DE4">
        <w:rPr>
          <w:lang w:val="en-US"/>
        </w:rPr>
        <w:br/>
      </w:r>
      <w:hyperlink r:id="rId117" w:history="1">
        <w:r w:rsidRPr="00730DE4">
          <w:rPr>
            <w:rStyle w:val="Hyperlink"/>
            <w:lang w:val="en-US"/>
          </w:rPr>
          <w:t>https://translink.com.au/news-and-media/competitions-and-offers/bus-driver-awards</w:t>
        </w:r>
      </w:hyperlink>
    </w:p>
    <w:p w14:paraId="3B9DA363" w14:textId="77777777" w:rsidR="00FA2FF9" w:rsidRPr="00730DE4" w:rsidRDefault="00FA2FF9" w:rsidP="002B7001">
      <w:pPr>
        <w:pStyle w:val="Heading3"/>
        <w:rPr>
          <w:lang w:val="en-US"/>
        </w:rPr>
      </w:pPr>
      <w:bookmarkStart w:id="931" w:name="_Toc180487530"/>
      <w:bookmarkStart w:id="932" w:name="_Toc180490736"/>
      <w:bookmarkStart w:id="933" w:name="_Toc180491769"/>
      <w:r w:rsidRPr="00730DE4">
        <w:rPr>
          <w:lang w:val="en-US"/>
        </w:rPr>
        <w:t>Brisbane’s first all-electric bus depot</w:t>
      </w:r>
      <w:bookmarkEnd w:id="931"/>
      <w:bookmarkEnd w:id="932"/>
      <w:bookmarkEnd w:id="933"/>
    </w:p>
    <w:p w14:paraId="2991E77B" w14:textId="77777777" w:rsidR="00FA2FF9" w:rsidRPr="00730DE4" w:rsidRDefault="00FA2FF9" w:rsidP="005A7550">
      <w:pPr>
        <w:rPr>
          <w:lang w:val="en-US"/>
        </w:rPr>
      </w:pPr>
      <w:r w:rsidRPr="00730DE4">
        <w:rPr>
          <w:lang w:val="en-US"/>
        </w:rPr>
        <w:t>In December 2023, TMR, in partnership with Keolis Downer, opened the first all-electric bus depot at the Hornibrook Bus Lines depot at North Lakes.</w:t>
      </w:r>
    </w:p>
    <w:p w14:paraId="5D6A1D58" w14:textId="77777777" w:rsidR="00FA2FF9" w:rsidRPr="00730DE4" w:rsidRDefault="00FA2FF9" w:rsidP="005A7550">
      <w:pPr>
        <w:rPr>
          <w:lang w:val="en-US"/>
        </w:rPr>
      </w:pPr>
      <w:r w:rsidRPr="00730DE4">
        <w:rPr>
          <w:lang w:val="en-US"/>
        </w:rPr>
        <w:t>The depot was converted from diesel to full electric to power a zero emission fleet, using 100 per cent renewable energy.</w:t>
      </w:r>
    </w:p>
    <w:p w14:paraId="4AF493A2" w14:textId="77777777" w:rsidR="00FA2FF9" w:rsidRPr="00730DE4" w:rsidRDefault="00FA2FF9" w:rsidP="005A7550">
      <w:pPr>
        <w:rPr>
          <w:lang w:val="en-US"/>
        </w:rPr>
      </w:pPr>
      <w:r w:rsidRPr="00730DE4">
        <w:rPr>
          <w:lang w:val="en-US"/>
        </w:rPr>
        <w:t>The modern facility includes:</w:t>
      </w:r>
    </w:p>
    <w:p w14:paraId="23D07F73" w14:textId="77777777" w:rsidR="00FA2FF9" w:rsidRPr="00730DE4" w:rsidRDefault="00FA2FF9" w:rsidP="005A7550">
      <w:pPr>
        <w:pStyle w:val="ListBullet"/>
        <w:rPr>
          <w:lang w:val="en-US"/>
        </w:rPr>
      </w:pPr>
      <w:r w:rsidRPr="00730DE4">
        <w:rPr>
          <w:lang w:val="en-US"/>
        </w:rPr>
        <w:t>16 zero emission electric buses in operation—the buses have travelled approximately 700,000 kilometres since they joined the network</w:t>
      </w:r>
    </w:p>
    <w:p w14:paraId="10B63134" w14:textId="77777777" w:rsidR="00FA2FF9" w:rsidRPr="00730DE4" w:rsidRDefault="00FA2FF9" w:rsidP="005A7550">
      <w:pPr>
        <w:pStyle w:val="ListBullet"/>
        <w:rPr>
          <w:lang w:val="en-US"/>
        </w:rPr>
      </w:pPr>
      <w:r w:rsidRPr="00730DE4">
        <w:rPr>
          <w:lang w:val="en-US"/>
        </w:rPr>
        <w:t>charging infrastructure with new DC fast chargers.</w:t>
      </w:r>
    </w:p>
    <w:p w14:paraId="388A43E0" w14:textId="77777777" w:rsidR="00FA2FF9" w:rsidRPr="00730DE4" w:rsidRDefault="00FA2FF9" w:rsidP="002B7001">
      <w:pPr>
        <w:pStyle w:val="Heading3"/>
        <w:rPr>
          <w:lang w:val="en-US"/>
        </w:rPr>
      </w:pPr>
      <w:bookmarkStart w:id="934" w:name="_Toc180487531"/>
      <w:bookmarkStart w:id="935" w:name="_Toc180490737"/>
      <w:bookmarkStart w:id="936" w:name="_Toc180491770"/>
      <w:r w:rsidRPr="00730DE4">
        <w:rPr>
          <w:lang w:val="en-US"/>
        </w:rPr>
        <w:t>European Train Control System Program</w:t>
      </w:r>
      <w:bookmarkEnd w:id="934"/>
      <w:bookmarkEnd w:id="935"/>
      <w:bookmarkEnd w:id="936"/>
    </w:p>
    <w:p w14:paraId="2B5AB3C1" w14:textId="77777777" w:rsidR="00FA2FF9" w:rsidRPr="00730DE4" w:rsidRDefault="00FA2FF9" w:rsidP="00F57C85">
      <w:r w:rsidRPr="00730DE4">
        <w:t xml:space="preserve">The ETCS will transform the rail network, increase </w:t>
      </w:r>
      <w:r w:rsidRPr="00730DE4">
        <w:rPr>
          <w:lang w:val="en-US"/>
        </w:rPr>
        <w:t xml:space="preserve">both safety and </w:t>
      </w:r>
      <w:r w:rsidRPr="00730DE4">
        <w:t>network capacity</w:t>
      </w:r>
      <w:r w:rsidRPr="00730DE4">
        <w:rPr>
          <w:lang w:val="en-US"/>
        </w:rPr>
        <w:t>,</w:t>
      </w:r>
      <w:r w:rsidRPr="00730DE4">
        <w:t xml:space="preserve"> and modernise the signalling system.</w:t>
      </w:r>
    </w:p>
    <w:p w14:paraId="51AEC29D" w14:textId="77777777" w:rsidR="00FA2FF9" w:rsidRPr="00730DE4" w:rsidRDefault="00FA2FF9" w:rsidP="00F57C85">
      <w:pPr>
        <w:rPr>
          <w:lang w:val="en-US"/>
        </w:rPr>
      </w:pPr>
      <w:r w:rsidRPr="00730DE4">
        <w:rPr>
          <w:lang w:val="en-US"/>
        </w:rPr>
        <w:t xml:space="preserve">While the existing rail </w:t>
      </w:r>
      <w:r w:rsidRPr="00730DE4">
        <w:t xml:space="preserve">signalling </w:t>
      </w:r>
      <w:r w:rsidRPr="00730DE4">
        <w:rPr>
          <w:lang w:val="en-US"/>
        </w:rPr>
        <w:t xml:space="preserve">in South East Queensland is safe and is able to meet current network demands, </w:t>
      </w:r>
      <w:r w:rsidRPr="00730DE4">
        <w:t>modernisation</w:t>
      </w:r>
      <w:r w:rsidRPr="00730DE4">
        <w:rPr>
          <w:lang w:val="en-US"/>
        </w:rPr>
        <w:t xml:space="preserve"> is required in order to meet the future demands that will result from South East Queensland's unprecedented population growth. ETCS will be a vital part of Queensland’s rail network as it continues to grow.</w:t>
      </w:r>
    </w:p>
    <w:p w14:paraId="386CD029" w14:textId="77777777" w:rsidR="00FA2FF9" w:rsidRPr="00730DE4" w:rsidRDefault="00FA2FF9" w:rsidP="00F57C85">
      <w:r w:rsidRPr="00730DE4">
        <w:t>ETCS increases network capacity by providing oversight and control of trains as they are in operation.</w:t>
      </w:r>
      <w:r w:rsidRPr="00730DE4">
        <w:rPr>
          <w:lang w:val="en-US"/>
        </w:rPr>
        <w:t xml:space="preserve"> </w:t>
      </w:r>
      <w:r w:rsidRPr="00730DE4">
        <w:t>This increases network capacity by safely controlling the proximity of trains to each other as they run more frequently and closer together on the network.</w:t>
      </w:r>
    </w:p>
    <w:p w14:paraId="417A878A" w14:textId="77777777" w:rsidR="00FA2FF9" w:rsidRPr="00730DE4" w:rsidRDefault="00FA2FF9" w:rsidP="00F57C85">
      <w:r w:rsidRPr="00730DE4">
        <w:t>This modern ETCS technology is widely used overseas</w:t>
      </w:r>
      <w:r w:rsidRPr="00730DE4">
        <w:rPr>
          <w:lang w:val="en-US"/>
        </w:rPr>
        <w:t xml:space="preserve">, </w:t>
      </w:r>
      <w:r w:rsidRPr="00730DE4">
        <w:t xml:space="preserve">and is a </w:t>
      </w:r>
      <w:r w:rsidRPr="00730DE4">
        <w:rPr>
          <w:lang w:val="en-US"/>
        </w:rPr>
        <w:t xml:space="preserve">dependable, </w:t>
      </w:r>
      <w:r w:rsidRPr="00730DE4">
        <w:t>world-class signalling technology.</w:t>
      </w:r>
      <w:r w:rsidRPr="00730DE4">
        <w:rPr>
          <w:lang w:val="en-US"/>
        </w:rPr>
        <w:t xml:space="preserve"> </w:t>
      </w:r>
      <w:r w:rsidRPr="00730DE4">
        <w:t>It is also continually reviewed to ensure it has the best cyber security possible.</w:t>
      </w:r>
    </w:p>
    <w:p w14:paraId="14AEA063" w14:textId="77777777" w:rsidR="00FA2FF9" w:rsidRPr="00730DE4" w:rsidRDefault="00FA2FF9" w:rsidP="00F57C85">
      <w:pPr>
        <w:rPr>
          <w:lang w:val="en-US"/>
        </w:rPr>
      </w:pPr>
      <w:r w:rsidRPr="00730DE4">
        <w:rPr>
          <w:lang w:val="en-US"/>
        </w:rPr>
        <w:t>The CRR project is deploying ETCS through the twin tunnels initially and then as far south as Moorooka. Once complete, this will be the first deployment of ETCS on the network. ETCS will increase CRR capacity, efficiency, and reliability, whilst also maintaining safety—particularly important for tunnel operations. Within the CRR environment, ETCS also informs the operation of many other systems including the platform screen doors and the tunnel ventilation.</w:t>
      </w:r>
    </w:p>
    <w:p w14:paraId="0A4BB4FC" w14:textId="77777777" w:rsidR="00FA2FF9" w:rsidRPr="00730DE4" w:rsidRDefault="00FA2FF9" w:rsidP="00F57C85">
      <w:r w:rsidRPr="00730DE4">
        <w:t>Subsequent ETCS deployments are under development on the Logan and Gold Coast Faster Rail project, which will ultimately extend the ETCS network from the southern end of C</w:t>
      </w:r>
      <w:r w:rsidRPr="00730DE4">
        <w:rPr>
          <w:lang w:val="en-US"/>
        </w:rPr>
        <w:t>RR</w:t>
      </w:r>
      <w:r w:rsidRPr="00730DE4">
        <w:t xml:space="preserve"> down to Varsity Lakes.</w:t>
      </w:r>
    </w:p>
    <w:p w14:paraId="156AD1CF" w14:textId="77777777" w:rsidR="00FA2FF9" w:rsidRPr="00730DE4" w:rsidRDefault="00FA2FF9" w:rsidP="00094599">
      <w:r w:rsidRPr="00730DE4">
        <w:t xml:space="preserve">TMR has planned the strategic priorities for rail network development to ensure that future ETCS rollouts align with TMR and government objectives, including </w:t>
      </w:r>
      <w:r w:rsidRPr="00730DE4">
        <w:rPr>
          <w:rStyle w:val="Emphasis"/>
        </w:rPr>
        <w:t>SEQ Rail Connect</w:t>
      </w:r>
      <w:r w:rsidRPr="00730DE4">
        <w:t>.</w:t>
      </w:r>
    </w:p>
    <w:p w14:paraId="3DFFB6C2" w14:textId="77777777" w:rsidR="00FA2FF9" w:rsidRPr="00730DE4" w:rsidRDefault="00FA2FF9" w:rsidP="00094599">
      <w:r w:rsidRPr="00730DE4">
        <w:t xml:space="preserve">TMR’s planning has identified Sector One (Sunshine Coast to the Gold Coast via the Cross River Tunnel) of the South East Queensland rail network as the priority sector requiring a network capacity uplift. </w:t>
      </w:r>
    </w:p>
    <w:p w14:paraId="16131209" w14:textId="77777777" w:rsidR="00FA2FF9" w:rsidRPr="00730DE4" w:rsidRDefault="00FA2FF9" w:rsidP="00094599">
      <w:r w:rsidRPr="00730DE4">
        <w:rPr>
          <w:lang w:val="en-US"/>
        </w:rPr>
        <w:t>ETCS will achieve that capacity uplift and TMR has identified Sector One North (from the northern CRR tunnel portal to Beerwah) as the next priority ETCS deployment. This is now in the planning stage and will link up with Stage One of the Direct Sunshine Coast Rail Line to secure the continuous deployment of ETCS Level Two from Caloundra to Varsity Lakes in time for the Brisbane 2032 Olympic and Paralympic Games.</w:t>
      </w:r>
    </w:p>
    <w:p w14:paraId="74A7A9C6" w14:textId="77777777" w:rsidR="00FA2FF9" w:rsidRPr="00730DE4" w:rsidRDefault="00FA2FF9" w:rsidP="002B7001">
      <w:pPr>
        <w:pStyle w:val="Heading3"/>
        <w:rPr>
          <w:lang w:val="en-US"/>
        </w:rPr>
      </w:pPr>
      <w:bookmarkStart w:id="937" w:name="_Toc180487532"/>
      <w:bookmarkStart w:id="938" w:name="_Toc180490738"/>
      <w:bookmarkStart w:id="939" w:name="_Toc180491771"/>
      <w:r w:rsidRPr="00730DE4">
        <w:rPr>
          <w:lang w:val="en-US"/>
        </w:rPr>
        <w:t>New Generation Rollingstock</w:t>
      </w:r>
      <w:bookmarkEnd w:id="937"/>
      <w:bookmarkEnd w:id="938"/>
      <w:bookmarkEnd w:id="939"/>
    </w:p>
    <w:p w14:paraId="5F290E35" w14:textId="77777777" w:rsidR="00FA2FF9" w:rsidRPr="00730DE4" w:rsidRDefault="00FA2FF9" w:rsidP="00E31628">
      <w:pPr>
        <w:rPr>
          <w:lang w:val="en-US"/>
        </w:rPr>
      </w:pPr>
      <w:r w:rsidRPr="00730DE4">
        <w:rPr>
          <w:lang w:val="en-US"/>
        </w:rPr>
        <w:t>The NGR fleet has provided reliable public transport for South East Queensland since it was introduced in 2017, delivering 783,975 passenger services. The fleet consistently achieves more than 99 per cent availability for day-to-day passenger services.</w:t>
      </w:r>
    </w:p>
    <w:p w14:paraId="4512FC11" w14:textId="77777777" w:rsidR="00FA2FF9" w:rsidRPr="00730DE4" w:rsidRDefault="00FA2FF9" w:rsidP="00E31628">
      <w:pPr>
        <w:rPr>
          <w:lang w:val="en-US"/>
        </w:rPr>
      </w:pPr>
      <w:r w:rsidRPr="00730DE4">
        <w:rPr>
          <w:lang w:val="en-US"/>
        </w:rPr>
        <w:t>The $335.7 million NGR accessibility upgrade program is delivering the most accessible rail fleet Queensland has ever seen. There are now 71 NGR trains with accessibility upgrades running passenger services in South East Queensland. The upgrade of the fleet is being delivered at the Downer facility in Maryborough, with the remaining four NGR trains undergoing testing prior to returning to passenger service.</w:t>
      </w:r>
    </w:p>
    <w:p w14:paraId="045CF8D6" w14:textId="77777777" w:rsidR="00FA2FF9" w:rsidRPr="00730DE4" w:rsidRDefault="00FA2FF9" w:rsidP="00E31628">
      <w:pPr>
        <w:rPr>
          <w:lang w:val="en-US"/>
        </w:rPr>
      </w:pPr>
      <w:r w:rsidRPr="00730DE4">
        <w:rPr>
          <w:lang w:val="en-US"/>
        </w:rPr>
        <w:t>The NGR accessibility upgrades include:</w:t>
      </w:r>
    </w:p>
    <w:p w14:paraId="7DC2E95A" w14:textId="77777777" w:rsidR="00FA2FF9" w:rsidRPr="00730DE4" w:rsidRDefault="00FA2FF9" w:rsidP="00E31628">
      <w:pPr>
        <w:pStyle w:val="ListBullet"/>
        <w:rPr>
          <w:lang w:val="en-US"/>
        </w:rPr>
      </w:pPr>
      <w:r w:rsidRPr="00730DE4">
        <w:rPr>
          <w:lang w:val="en-US"/>
        </w:rPr>
        <w:t>two accessible toilet modules in every NGR train with a ten per cent increase in circulation space inside the toilet modules</w:t>
      </w:r>
    </w:p>
    <w:p w14:paraId="397F2A11" w14:textId="77777777" w:rsidR="00FA2FF9" w:rsidRPr="00730DE4" w:rsidRDefault="00FA2FF9" w:rsidP="00E31628">
      <w:pPr>
        <w:pStyle w:val="ListBullet"/>
        <w:rPr>
          <w:lang w:val="en-US"/>
        </w:rPr>
      </w:pPr>
      <w:r w:rsidRPr="00730DE4">
        <w:rPr>
          <w:lang w:val="en-US"/>
        </w:rPr>
        <w:t>improved sink design</w:t>
      </w:r>
    </w:p>
    <w:p w14:paraId="5E7D9821" w14:textId="77777777" w:rsidR="00FA2FF9" w:rsidRPr="00730DE4" w:rsidRDefault="00FA2FF9" w:rsidP="00E31628">
      <w:pPr>
        <w:pStyle w:val="ListBullet"/>
        <w:rPr>
          <w:lang w:val="en-US"/>
        </w:rPr>
      </w:pPr>
      <w:r w:rsidRPr="00730DE4">
        <w:rPr>
          <w:lang w:val="en-US"/>
        </w:rPr>
        <w:t>more grab/handrails</w:t>
      </w:r>
    </w:p>
    <w:p w14:paraId="13420E8C" w14:textId="77777777" w:rsidR="00FA2FF9" w:rsidRPr="00730DE4" w:rsidRDefault="00FA2FF9" w:rsidP="000C28F4">
      <w:pPr>
        <w:pStyle w:val="ListBullet"/>
        <w:rPr>
          <w:lang w:val="en-US"/>
        </w:rPr>
      </w:pPr>
      <w:r w:rsidRPr="00730DE4">
        <w:rPr>
          <w:lang w:val="en-US"/>
        </w:rPr>
        <w:t>priority seats increased from 24 to 88 per train.</w:t>
      </w:r>
    </w:p>
    <w:p w14:paraId="6834BB31" w14:textId="77777777" w:rsidR="00FA2FF9" w:rsidRPr="00730DE4" w:rsidRDefault="00FA2FF9" w:rsidP="000C28F4">
      <w:pPr>
        <w:rPr>
          <w:lang w:val="en-US"/>
        </w:rPr>
      </w:pPr>
      <w:r w:rsidRPr="00730DE4">
        <w:rPr>
          <w:lang w:val="en-US"/>
        </w:rPr>
        <w:t>The design of the upgrades came after intensive consultation with a Project Working Group from the disability sector, using an innovative co-design process. The department is continuing to engage with the disability sector throughout the upgrade process. NGR systems upgrades will be installed across the NGR fleet to enable them to deliver services on the future CRR infrastructure.</w:t>
      </w:r>
    </w:p>
    <w:p w14:paraId="49FE38B1" w14:textId="77777777" w:rsidR="00FA2FF9" w:rsidRPr="00730DE4" w:rsidRDefault="00FA2FF9" w:rsidP="00E31628">
      <w:pPr>
        <w:rPr>
          <w:lang w:val="en-US"/>
        </w:rPr>
      </w:pPr>
      <w:r w:rsidRPr="00730DE4">
        <w:rPr>
          <w:lang w:val="en-US"/>
        </w:rPr>
        <w:t xml:space="preserve">These include the following hardware and software upgrades across the entire NGR fleet: </w:t>
      </w:r>
    </w:p>
    <w:p w14:paraId="38D1BBBD" w14:textId="77777777" w:rsidR="00FA2FF9" w:rsidRPr="00730DE4" w:rsidRDefault="00FA2FF9" w:rsidP="00E31628">
      <w:pPr>
        <w:pStyle w:val="ListBullet"/>
        <w:rPr>
          <w:lang w:val="en-US"/>
        </w:rPr>
      </w:pPr>
      <w:r w:rsidRPr="00730DE4">
        <w:rPr>
          <w:lang w:val="en-US"/>
        </w:rPr>
        <w:t>ETCS Level Two</w:t>
      </w:r>
    </w:p>
    <w:p w14:paraId="611C088A" w14:textId="77777777" w:rsidR="00FA2FF9" w:rsidRPr="00730DE4" w:rsidRDefault="00FA2FF9" w:rsidP="00E31628">
      <w:pPr>
        <w:pStyle w:val="ListBullet"/>
        <w:rPr>
          <w:lang w:val="en-US"/>
        </w:rPr>
      </w:pPr>
      <w:r w:rsidRPr="00730DE4">
        <w:rPr>
          <w:lang w:val="en-US"/>
        </w:rPr>
        <w:t>Automatic Train Operation</w:t>
      </w:r>
    </w:p>
    <w:p w14:paraId="0B808FE5" w14:textId="77777777" w:rsidR="00FA2FF9" w:rsidRPr="00730DE4" w:rsidRDefault="00FA2FF9" w:rsidP="000C28F4">
      <w:pPr>
        <w:pStyle w:val="ListBullet"/>
        <w:rPr>
          <w:lang w:val="en-US"/>
        </w:rPr>
      </w:pPr>
      <w:r w:rsidRPr="00730DE4">
        <w:rPr>
          <w:lang w:val="en-US"/>
        </w:rPr>
        <w:t>Platform Screen Doors</w:t>
      </w:r>
    </w:p>
    <w:p w14:paraId="5E1CFE09" w14:textId="77777777" w:rsidR="00FA2FF9" w:rsidRPr="00730DE4" w:rsidRDefault="00FA2FF9" w:rsidP="000C28F4">
      <w:pPr>
        <w:rPr>
          <w:lang w:val="en-US"/>
        </w:rPr>
      </w:pPr>
      <w:r w:rsidRPr="00730DE4">
        <w:rPr>
          <w:lang w:val="en-US"/>
        </w:rPr>
        <w:t>These upgrades will be delivered in time for the start of services on the CRR infrastructure.</w:t>
      </w:r>
    </w:p>
    <w:p w14:paraId="194A81CE" w14:textId="77777777" w:rsidR="00FA2FF9" w:rsidRPr="00730DE4" w:rsidRDefault="00FA2FF9" w:rsidP="00F57C85">
      <w:pPr>
        <w:pStyle w:val="MessageHeader"/>
        <w:rPr>
          <w:lang w:val="en-US"/>
        </w:rPr>
      </w:pPr>
      <w:r w:rsidRPr="00730DE4">
        <w:rPr>
          <w:lang w:val="en-US"/>
        </w:rPr>
        <w:t xml:space="preserve">For more information </w:t>
      </w:r>
      <w:r w:rsidRPr="00730DE4">
        <w:rPr>
          <w:lang w:val="en-US"/>
        </w:rPr>
        <w:br/>
      </w:r>
      <w:hyperlink r:id="rId118" w:history="1">
        <w:r w:rsidRPr="00730DE4">
          <w:rPr>
            <w:rStyle w:val="Hyperlink"/>
            <w:lang w:val="en-US"/>
          </w:rPr>
          <w:t>https://www.tmr.qld.gov.au/NGR</w:t>
        </w:r>
      </w:hyperlink>
    </w:p>
    <w:p w14:paraId="1698302C" w14:textId="77777777" w:rsidR="00EA1647" w:rsidRDefault="00EA1647" w:rsidP="002B7001">
      <w:pPr>
        <w:pStyle w:val="Heading3"/>
        <w:rPr>
          <w:lang w:val="en-US"/>
        </w:rPr>
      </w:pPr>
      <w:r>
        <w:rPr>
          <w:lang w:val="en-US"/>
        </w:rPr>
        <w:br w:type="page"/>
      </w:r>
    </w:p>
    <w:p w14:paraId="5A6269D7" w14:textId="290742BE" w:rsidR="00FA2FF9" w:rsidRPr="00730DE4" w:rsidRDefault="00FA2FF9" w:rsidP="002B7001">
      <w:pPr>
        <w:pStyle w:val="Heading3"/>
        <w:rPr>
          <w:lang w:val="en-US"/>
        </w:rPr>
      </w:pPr>
      <w:bookmarkStart w:id="940" w:name="_Toc180487533"/>
      <w:bookmarkStart w:id="941" w:name="_Toc180490739"/>
      <w:bookmarkStart w:id="942" w:name="_Toc180491772"/>
      <w:r w:rsidRPr="00730DE4">
        <w:rPr>
          <w:lang w:val="en-US"/>
        </w:rPr>
        <w:t>Queensland Train Manufacturing Program</w:t>
      </w:r>
      <w:bookmarkEnd w:id="940"/>
      <w:bookmarkEnd w:id="941"/>
      <w:bookmarkEnd w:id="942"/>
    </w:p>
    <w:p w14:paraId="0C834B2E" w14:textId="77777777" w:rsidR="00FA2FF9" w:rsidRPr="00730DE4" w:rsidRDefault="00FA2FF9" w:rsidP="00851DF4">
      <w:pPr>
        <w:rPr>
          <w:lang w:val="en-US"/>
        </w:rPr>
      </w:pPr>
      <w:r w:rsidRPr="00730DE4">
        <w:rPr>
          <w:lang w:val="en-US"/>
        </w:rPr>
        <w:t>The QTMP was established to meet the increasing demand on rail transport in South East Queensland over the next ten years.</w:t>
      </w:r>
    </w:p>
    <w:p w14:paraId="23E7D0AC" w14:textId="77777777" w:rsidR="00FA2FF9" w:rsidRPr="00730DE4" w:rsidRDefault="00FA2FF9" w:rsidP="00851DF4">
      <w:pPr>
        <w:rPr>
          <w:lang w:val="en-US"/>
        </w:rPr>
      </w:pPr>
      <w:r w:rsidRPr="00730DE4">
        <w:rPr>
          <w:lang w:val="en-US"/>
        </w:rPr>
        <w:t>The QTMP will build 65 new six-car passenger trains at a purpose-built manufacturing facility at Torbanlea, in the Fraser Coast region. As part of the program, a new rail facility is being constructed in Ormeau, in the Gold Coast region.</w:t>
      </w:r>
    </w:p>
    <w:p w14:paraId="0F3D095D" w14:textId="77777777" w:rsidR="00FA2FF9" w:rsidRPr="00730DE4" w:rsidRDefault="00FA2FF9" w:rsidP="00851DF4">
      <w:pPr>
        <w:rPr>
          <w:lang w:val="en-US"/>
        </w:rPr>
      </w:pPr>
      <w:r w:rsidRPr="00730DE4">
        <w:rPr>
          <w:lang w:val="en-US"/>
        </w:rPr>
        <w:t>More than $1 billion worth of contracts have already been awarded on QTMP for construction of both facilities and rollingstock.</w:t>
      </w:r>
    </w:p>
    <w:p w14:paraId="339CF513" w14:textId="77777777" w:rsidR="00FA2FF9" w:rsidRPr="00730DE4" w:rsidRDefault="00FA2FF9" w:rsidP="00851DF4">
      <w:pPr>
        <w:rPr>
          <w:lang w:val="en-US"/>
        </w:rPr>
      </w:pPr>
      <w:r w:rsidRPr="00730DE4">
        <w:rPr>
          <w:lang w:val="en-US"/>
        </w:rPr>
        <w:t>A co-design process is ongoing with the disability sector to inform the design of the new rollingstock. This is shaping the design of the 65 new passenger trains to ensure they are compliant, functional, and accessible for all passengers.</w:t>
      </w:r>
    </w:p>
    <w:p w14:paraId="2772ADE6" w14:textId="77777777" w:rsidR="00FA2FF9" w:rsidRPr="00730DE4" w:rsidRDefault="00FA2FF9" w:rsidP="00851DF4">
      <w:pPr>
        <w:rPr>
          <w:lang w:val="en-US"/>
        </w:rPr>
      </w:pPr>
      <w:r w:rsidRPr="00730DE4">
        <w:rPr>
          <w:lang w:val="en-US"/>
        </w:rPr>
        <w:t>Construction of the Torbanlea train manufacturing facility is progressing with earthworks well underway and internal haul roads under construction. The new rail facility in Ormeau, for train maintenance and stabling, is progressing well, with a new heavy vehicle access recently opening to construction traffic, to reduce traffic impacts on the local community.</w:t>
      </w:r>
    </w:p>
    <w:p w14:paraId="75861BC8" w14:textId="77777777" w:rsidR="00FA2FF9" w:rsidRPr="00730DE4" w:rsidRDefault="00FA2FF9" w:rsidP="00851DF4">
      <w:pPr>
        <w:rPr>
          <w:lang w:val="en-US"/>
        </w:rPr>
      </w:pPr>
      <w:r w:rsidRPr="00730DE4">
        <w:rPr>
          <w:lang w:val="en-US"/>
        </w:rPr>
        <w:t>The QTMP Project Information Centre was opened to the public on 15 May 2024. Located in the heart of Maryborough, the centre is a one-stop-shop for all things QTMP with information about the project, history of rail in the Fraser Coast region, and an interactive kid's corner with a 'Build the Train' game. The centre is experiencing significant interest with more than 400 people visiting in the first month.</w:t>
      </w:r>
    </w:p>
    <w:p w14:paraId="34E4AF95" w14:textId="77777777" w:rsidR="00FA2FF9" w:rsidRPr="00730DE4" w:rsidRDefault="00FA2FF9" w:rsidP="00F57C85">
      <w:pPr>
        <w:pStyle w:val="MessageHeader"/>
        <w:rPr>
          <w:lang w:val="en-US"/>
        </w:rPr>
      </w:pPr>
      <w:r w:rsidRPr="00730DE4">
        <w:rPr>
          <w:lang w:val="en-US"/>
        </w:rPr>
        <w:t xml:space="preserve">For more information </w:t>
      </w:r>
      <w:r w:rsidRPr="00730DE4">
        <w:rPr>
          <w:lang w:val="en-US"/>
        </w:rPr>
        <w:br/>
      </w:r>
      <w:hyperlink r:id="rId119" w:history="1">
        <w:r w:rsidRPr="00730DE4">
          <w:rPr>
            <w:rStyle w:val="Hyperlink"/>
            <w:lang w:val="en-US"/>
          </w:rPr>
          <w:t>https://www.tmr.qld.gov.au/trainmanufacturing</w:t>
        </w:r>
      </w:hyperlink>
    </w:p>
    <w:p w14:paraId="4430BE92" w14:textId="77777777" w:rsidR="00FA2FF9" w:rsidRPr="00730DE4" w:rsidRDefault="00FA2FF9" w:rsidP="002B7001">
      <w:pPr>
        <w:pStyle w:val="Heading3"/>
        <w:rPr>
          <w:lang w:val="en-US"/>
        </w:rPr>
      </w:pPr>
      <w:bookmarkStart w:id="943" w:name="_Toc180487534"/>
      <w:bookmarkStart w:id="944" w:name="_Toc180490740"/>
      <w:bookmarkStart w:id="945" w:name="_Toc180491773"/>
      <w:r w:rsidRPr="00730DE4">
        <w:rPr>
          <w:lang w:val="en-US"/>
        </w:rPr>
        <w:t>Roads and Transport Alliance/Transport Infrastructure Development Scheme</w:t>
      </w:r>
      <w:bookmarkEnd w:id="943"/>
      <w:bookmarkEnd w:id="944"/>
      <w:bookmarkEnd w:id="945"/>
    </w:p>
    <w:p w14:paraId="1D0BBFE8" w14:textId="77777777" w:rsidR="00FA2FF9" w:rsidRPr="00730DE4" w:rsidRDefault="00FA2FF9" w:rsidP="008F0791">
      <w:pPr>
        <w:rPr>
          <w:lang w:val="en-US"/>
        </w:rPr>
      </w:pPr>
      <w:r w:rsidRPr="00730DE4">
        <w:rPr>
          <w:lang w:val="en-US"/>
        </w:rPr>
        <w:t>The Roads and Transport Alliance is a partnership between TMR and Queensland local governments</w:t>
      </w:r>
      <w:bookmarkStart w:id="946" w:name="_Hlk159404358"/>
      <w:bookmarkStart w:id="947" w:name="_Hlk159404447"/>
      <w:r w:rsidRPr="00730DE4">
        <w:rPr>
          <w:lang w:val="en-US"/>
        </w:rPr>
        <w:t>.</w:t>
      </w:r>
    </w:p>
    <w:p w14:paraId="66CDEB17" w14:textId="77777777" w:rsidR="00FA2FF9" w:rsidRPr="00730DE4" w:rsidRDefault="00FA2FF9" w:rsidP="008F0791">
      <w:pPr>
        <w:rPr>
          <w:lang w:val="en-US"/>
        </w:rPr>
      </w:pPr>
      <w:r w:rsidRPr="00730DE4">
        <w:rPr>
          <w:lang w:val="en-US"/>
        </w:rPr>
        <w:t>Central to this alliance are 17 Regional Roads and Transport Group</w:t>
      </w:r>
      <w:bookmarkEnd w:id="946"/>
      <w:bookmarkEnd w:id="947"/>
      <w:r w:rsidRPr="00730DE4">
        <w:rPr>
          <w:lang w:val="en-US"/>
        </w:rPr>
        <w:t>s (RRTG), representing 68 local governments including eight Aboriginal and Torres Strait Islander local governments.</w:t>
      </w:r>
    </w:p>
    <w:p w14:paraId="04C0B9F6" w14:textId="77777777" w:rsidR="00FA2FF9" w:rsidRPr="00730DE4" w:rsidRDefault="00FA2FF9" w:rsidP="008F0791">
      <w:pPr>
        <w:rPr>
          <w:lang w:val="en-US"/>
        </w:rPr>
      </w:pPr>
      <w:r w:rsidRPr="00730DE4">
        <w:rPr>
          <w:lang w:val="en-US"/>
        </w:rPr>
        <w:t>The Alliance is underpin</w:t>
      </w:r>
      <w:r w:rsidRPr="00730DE4">
        <w:t>ned by the TIDS</w:t>
      </w:r>
      <w:r w:rsidRPr="00730DE4">
        <w:rPr>
          <w:lang w:val="en-US"/>
        </w:rPr>
        <w:t xml:space="preserve"> which provides funding to local government for targeted investment in transport related infrastructure. RRTGs are the primary decision-making bodies that determine regionally prioritised improvements to their communities' transport related infrastructure.</w:t>
      </w:r>
    </w:p>
    <w:p w14:paraId="70AAB55B" w14:textId="77777777" w:rsidR="00FA2FF9" w:rsidRPr="00730DE4" w:rsidRDefault="00FA2FF9" w:rsidP="008F0791">
      <w:pPr>
        <w:rPr>
          <w:lang w:val="en-US"/>
        </w:rPr>
      </w:pPr>
      <w:r w:rsidRPr="00730DE4">
        <w:rPr>
          <w:lang w:val="en-US"/>
        </w:rPr>
        <w:t>In 2023–24, 220 projects were delivered across the state, representing a joint investment of more than $120 million. Projects included:</w:t>
      </w:r>
    </w:p>
    <w:p w14:paraId="5FFC5D97" w14:textId="77777777" w:rsidR="00FA2FF9" w:rsidRPr="00730DE4" w:rsidRDefault="00FA2FF9" w:rsidP="008F0791">
      <w:pPr>
        <w:pStyle w:val="ListBullet"/>
        <w:rPr>
          <w:lang w:val="en-US"/>
        </w:rPr>
      </w:pPr>
      <w:r w:rsidRPr="00730DE4">
        <w:rPr>
          <w:lang w:val="en-US"/>
        </w:rPr>
        <w:t>Bowen Basin RRTG, Central Highlands Regional Council—Arcadia Valley Road pave and seal</w:t>
      </w:r>
    </w:p>
    <w:p w14:paraId="6F9F5BAB" w14:textId="77777777" w:rsidR="00FA2FF9" w:rsidRPr="00730DE4" w:rsidRDefault="00FA2FF9" w:rsidP="008F0791">
      <w:pPr>
        <w:pStyle w:val="ListBullet"/>
        <w:rPr>
          <w:lang w:val="en-US"/>
        </w:rPr>
      </w:pPr>
      <w:r w:rsidRPr="00730DE4">
        <w:rPr>
          <w:lang w:val="en-US"/>
        </w:rPr>
        <w:t>Far North Queensland RRTG, Douglas Shire Council—Front Street footpath construction</w:t>
      </w:r>
    </w:p>
    <w:p w14:paraId="4F8CABF3" w14:textId="77777777" w:rsidR="00FA2FF9" w:rsidRPr="00730DE4" w:rsidRDefault="00FA2FF9" w:rsidP="008F0791">
      <w:pPr>
        <w:pStyle w:val="ListBullet"/>
        <w:rPr>
          <w:lang w:val="en-US"/>
        </w:rPr>
      </w:pPr>
      <w:r w:rsidRPr="00730DE4">
        <w:rPr>
          <w:lang w:val="en-US"/>
        </w:rPr>
        <w:t>Outback RRTG, Barcoo Shire Council—Windorah Airport runway repairs</w:t>
      </w:r>
    </w:p>
    <w:p w14:paraId="62AD7ACB" w14:textId="77777777" w:rsidR="00FA2FF9" w:rsidRPr="00730DE4" w:rsidRDefault="00FA2FF9" w:rsidP="008F0791">
      <w:pPr>
        <w:pStyle w:val="ListBullet"/>
        <w:rPr>
          <w:lang w:val="en-US"/>
        </w:rPr>
      </w:pPr>
      <w:r w:rsidRPr="00730DE4">
        <w:rPr>
          <w:lang w:val="en-US"/>
        </w:rPr>
        <w:t>South West RRTG, Balonne Shire Council—Jakelwar–Goodooga Road construction to sealed standard</w:t>
      </w:r>
    </w:p>
    <w:p w14:paraId="344C9EB4" w14:textId="77777777" w:rsidR="00FA2FF9" w:rsidRPr="00730DE4" w:rsidRDefault="00FA2FF9" w:rsidP="008F0791">
      <w:pPr>
        <w:pStyle w:val="ListBullet"/>
        <w:rPr>
          <w:lang w:val="en-US"/>
        </w:rPr>
      </w:pPr>
      <w:r w:rsidRPr="00730DE4">
        <w:rPr>
          <w:lang w:val="en-US"/>
        </w:rPr>
        <w:t>Wide Bay Burnett RRTG, Fraser Coast Regional Council—Edward Street, Urangan Point State School pathway construction.</w:t>
      </w:r>
    </w:p>
    <w:p w14:paraId="7A713AE0" w14:textId="77777777" w:rsidR="00FA2FF9" w:rsidRPr="00730DE4" w:rsidRDefault="00FA2FF9" w:rsidP="008F0791">
      <w:pPr>
        <w:pStyle w:val="MessageHeader"/>
      </w:pPr>
      <w:r w:rsidRPr="00730DE4">
        <w:rPr>
          <w:lang w:val="en-US"/>
        </w:rPr>
        <w:t xml:space="preserve">For more information </w:t>
      </w:r>
      <w:r w:rsidRPr="00730DE4">
        <w:rPr>
          <w:lang w:val="en-US"/>
        </w:rPr>
        <w:br/>
      </w:r>
      <w:hyperlink r:id="rId120" w:history="1">
        <w:r w:rsidRPr="00730DE4">
          <w:rPr>
            <w:rStyle w:val="Hyperlink"/>
          </w:rPr>
          <w:t>https://www.tmr.qld.gov.au/rrtg</w:t>
        </w:r>
      </w:hyperlink>
    </w:p>
    <w:p w14:paraId="64EC9B42" w14:textId="77777777" w:rsidR="00FA2FF9" w:rsidRPr="00730DE4" w:rsidRDefault="00FA2FF9" w:rsidP="002B7001">
      <w:pPr>
        <w:pStyle w:val="Heading3"/>
        <w:rPr>
          <w:lang w:val="en-US"/>
        </w:rPr>
      </w:pPr>
      <w:bookmarkStart w:id="948" w:name="_Toc180487535"/>
      <w:bookmarkStart w:id="949" w:name="_Toc180490741"/>
      <w:bookmarkStart w:id="950" w:name="_Toc180491774"/>
      <w:r w:rsidRPr="00730DE4">
        <w:rPr>
          <w:lang w:val="en-US"/>
        </w:rPr>
        <w:t>Digitisation of design and asset data</w:t>
      </w:r>
      <w:bookmarkEnd w:id="948"/>
      <w:bookmarkEnd w:id="949"/>
      <w:bookmarkEnd w:id="950"/>
    </w:p>
    <w:p w14:paraId="640D24CA" w14:textId="77777777" w:rsidR="00FA2FF9" w:rsidRPr="00730DE4" w:rsidRDefault="00FA2FF9" w:rsidP="008F0791">
      <w:pPr>
        <w:rPr>
          <w:lang w:val="en-US"/>
        </w:rPr>
      </w:pPr>
      <w:r w:rsidRPr="00730DE4">
        <w:rPr>
          <w:lang w:val="en-US"/>
        </w:rPr>
        <w:t>Building Information Modelling (BIM) for TMR is an established digital engineering process that digitally captures information about a transport-related asset. It is a digital representation of the asset, including data relating to its design, construction, and operation.</w:t>
      </w:r>
    </w:p>
    <w:p w14:paraId="67495636" w14:textId="77777777" w:rsidR="00FA2FF9" w:rsidRPr="00730DE4" w:rsidRDefault="00FA2FF9" w:rsidP="008F0791">
      <w:pPr>
        <w:rPr>
          <w:lang w:val="en-US"/>
        </w:rPr>
      </w:pPr>
      <w:r w:rsidRPr="00730DE4">
        <w:rPr>
          <w:lang w:val="en-US"/>
        </w:rPr>
        <w:t>With ongoing development and refinement over the years, BIM has been incorporated into more than 60 projects since its inception, resulting in a richer asset dataset for TMR.</w:t>
      </w:r>
    </w:p>
    <w:p w14:paraId="037D46FD" w14:textId="77777777" w:rsidR="00FA2FF9" w:rsidRPr="00730DE4" w:rsidRDefault="00FA2FF9" w:rsidP="008F0791">
      <w:pPr>
        <w:rPr>
          <w:lang w:val="en-US"/>
        </w:rPr>
      </w:pPr>
      <w:r w:rsidRPr="00730DE4">
        <w:rPr>
          <w:lang w:val="en-US"/>
        </w:rPr>
        <w:t>It allows for greater information sharing and collaboration, better informed decision-making about TMR’s assets’, and provides greater certainty in the assets’ planning, design, and construction.</w:t>
      </w:r>
    </w:p>
    <w:p w14:paraId="78190490" w14:textId="77777777" w:rsidR="00FA2FF9" w:rsidRPr="00730DE4" w:rsidRDefault="00FA2FF9" w:rsidP="008F0791">
      <w:pPr>
        <w:rPr>
          <w:lang w:val="en-US"/>
        </w:rPr>
      </w:pPr>
      <w:r w:rsidRPr="00730DE4">
        <w:rPr>
          <w:lang w:val="en-US"/>
        </w:rPr>
        <w:t>This past year, TMR has expanded internal capability on the adoption of BIM practices across the state, especially in project delivery. TMR is also working closely with external stakeholders to strengthen BIM capability within industry.</w:t>
      </w:r>
    </w:p>
    <w:p w14:paraId="72D11267" w14:textId="77777777" w:rsidR="00FA2FF9" w:rsidRPr="00730DE4" w:rsidRDefault="00FA2FF9" w:rsidP="002B7001">
      <w:pPr>
        <w:pStyle w:val="Heading3"/>
        <w:rPr>
          <w:lang w:val="en-US"/>
        </w:rPr>
      </w:pPr>
      <w:bookmarkStart w:id="951" w:name="_Toc180487536"/>
      <w:bookmarkStart w:id="952" w:name="_Toc180490742"/>
      <w:bookmarkStart w:id="953" w:name="_Toc180491775"/>
      <w:r w:rsidRPr="00730DE4">
        <w:rPr>
          <w:lang w:val="en-US"/>
        </w:rPr>
        <w:t>Slope risk analysis training course</w:t>
      </w:r>
      <w:bookmarkEnd w:id="951"/>
      <w:bookmarkEnd w:id="952"/>
      <w:bookmarkEnd w:id="953"/>
    </w:p>
    <w:p w14:paraId="59BBF0A1" w14:textId="77777777" w:rsidR="00FA2FF9" w:rsidRPr="00730DE4" w:rsidRDefault="00FA2FF9" w:rsidP="008F0791">
      <w:pPr>
        <w:rPr>
          <w:lang w:val="en-US"/>
        </w:rPr>
      </w:pPr>
      <w:r w:rsidRPr="00730DE4">
        <w:rPr>
          <w:lang w:val="en-US"/>
        </w:rPr>
        <w:t>TMR ran a five-day practical field slope risk analysis training course in November 2023 for engineering geologists and geotechnical engineers from industry across Queensland.</w:t>
      </w:r>
    </w:p>
    <w:p w14:paraId="1A0B2A08" w14:textId="77777777" w:rsidR="00FA2FF9" w:rsidRPr="00730DE4" w:rsidRDefault="00FA2FF9" w:rsidP="008F0791">
      <w:pPr>
        <w:rPr>
          <w:lang w:val="en-US"/>
        </w:rPr>
      </w:pPr>
      <w:r w:rsidRPr="00730DE4">
        <w:rPr>
          <w:lang w:val="en-US"/>
        </w:rPr>
        <w:t>To ensure quality and safety, the course was delivered in collaboration with experienced accredited instructors.</w:t>
      </w:r>
    </w:p>
    <w:p w14:paraId="39582AB5" w14:textId="77777777" w:rsidR="00FA2FF9" w:rsidRPr="00730DE4" w:rsidRDefault="00FA2FF9" w:rsidP="008F0791">
      <w:pPr>
        <w:rPr>
          <w:lang w:val="en-US"/>
        </w:rPr>
      </w:pPr>
      <w:r w:rsidRPr="00730DE4">
        <w:rPr>
          <w:lang w:val="en-US"/>
        </w:rPr>
        <w:t>During the course, trainees practiced the slope risk analysis process under guidance at numerous field sites across multiple TMR districts and submitted assessment tasks for accreditation.</w:t>
      </w:r>
    </w:p>
    <w:p w14:paraId="066B2545" w14:textId="77777777" w:rsidR="00FA2FF9" w:rsidRPr="00730DE4" w:rsidRDefault="00FA2FF9" w:rsidP="008F0791">
      <w:pPr>
        <w:rPr>
          <w:lang w:val="en-US"/>
        </w:rPr>
      </w:pPr>
      <w:r w:rsidRPr="00730DE4">
        <w:rPr>
          <w:lang w:val="en-US"/>
        </w:rPr>
        <w:t>All trainees successfully completed the course and gained the necessary accreditation to assist TMR's ongoing slope data collection program.</w:t>
      </w:r>
    </w:p>
    <w:p w14:paraId="57816E6E" w14:textId="77777777" w:rsidR="00FA2FF9" w:rsidRPr="00730DE4" w:rsidRDefault="00FA2FF9" w:rsidP="008F0791">
      <w:pPr>
        <w:rPr>
          <w:lang w:val="en-US"/>
        </w:rPr>
      </w:pPr>
      <w:r w:rsidRPr="00730DE4">
        <w:rPr>
          <w:lang w:val="en-US"/>
        </w:rPr>
        <w:t>Over 3600 slopes will require risk analysis over the coming years along TMR's network. The newly accredited assessors can assist TMR in completing this very challenging task, in addition to supporting any disaster response.</w:t>
      </w:r>
    </w:p>
    <w:p w14:paraId="12929FC2" w14:textId="77777777" w:rsidR="00B13631" w:rsidRPr="00730DE4" w:rsidRDefault="00B13631">
      <w:pPr>
        <w:suppressAutoHyphens w:val="0"/>
        <w:spacing w:before="0" w:line="259" w:lineRule="auto"/>
        <w:rPr>
          <w:rFonts w:eastAsiaTheme="majorEastAsia" w:cstheme="majorBidi"/>
          <w:color w:val="080C0F" w:themeColor="text1"/>
          <w:sz w:val="60"/>
          <w:szCs w:val="32"/>
        </w:rPr>
      </w:pPr>
      <w:r w:rsidRPr="00730DE4">
        <w:br w:type="page"/>
      </w:r>
    </w:p>
    <w:p w14:paraId="5788A839" w14:textId="460D9825" w:rsidR="00FA2FF9" w:rsidRPr="00730DE4" w:rsidRDefault="00FA2FF9" w:rsidP="002B7001">
      <w:pPr>
        <w:pStyle w:val="Heading2"/>
      </w:pPr>
      <w:bookmarkStart w:id="954" w:name="_Toc180490743"/>
      <w:bookmarkStart w:id="955" w:name="_Toc180491776"/>
      <w:r w:rsidRPr="00730DE4">
        <w:t>Preserving our history and heritage</w:t>
      </w:r>
      <w:bookmarkEnd w:id="954"/>
      <w:bookmarkEnd w:id="955"/>
    </w:p>
    <w:p w14:paraId="30AA685A" w14:textId="77777777" w:rsidR="00FA2FF9" w:rsidRPr="00730DE4" w:rsidRDefault="00FA2FF9" w:rsidP="002B7001">
      <w:pPr>
        <w:pStyle w:val="Heading3"/>
        <w:rPr>
          <w:lang w:val="en-US"/>
        </w:rPr>
      </w:pPr>
      <w:bookmarkStart w:id="956" w:name="_Toc180487538"/>
      <w:bookmarkStart w:id="957" w:name="_Toc180490744"/>
      <w:bookmarkStart w:id="958" w:name="_Toc180491777"/>
      <w:r w:rsidRPr="00730DE4">
        <w:rPr>
          <w:lang w:val="en-US"/>
        </w:rPr>
        <w:t>Proactively monitoring the federal and state reviews of cultural heritage legislation</w:t>
      </w:r>
      <w:bookmarkEnd w:id="956"/>
      <w:bookmarkEnd w:id="957"/>
      <w:bookmarkEnd w:id="958"/>
    </w:p>
    <w:p w14:paraId="14720FC7" w14:textId="77777777" w:rsidR="00FA2FF9" w:rsidRPr="00730DE4" w:rsidRDefault="00FA2FF9" w:rsidP="00FA6EEA">
      <w:pPr>
        <w:rPr>
          <w:lang w:val="en-US"/>
        </w:rPr>
      </w:pPr>
      <w:r w:rsidRPr="00730DE4">
        <w:rPr>
          <w:lang w:val="en-US"/>
        </w:rPr>
        <w:t>The Australia and Queensland governments are continuing to review the legal protections for Aboriginal and Torres Strait Islander People’s heritage, with legislative amendments likely to occur in 2024–25. These represent the first major amendments to Aboriginal and Torres Strait Islander heritage protection in 20 years.</w:t>
      </w:r>
    </w:p>
    <w:p w14:paraId="76D3F8EA" w14:textId="77777777" w:rsidR="00FA2FF9" w:rsidRPr="00730DE4" w:rsidRDefault="00FA2FF9" w:rsidP="00FA6EEA">
      <w:pPr>
        <w:rPr>
          <w:lang w:val="en-US"/>
        </w:rPr>
      </w:pPr>
      <w:r w:rsidRPr="00730DE4">
        <w:rPr>
          <w:lang w:val="en-US"/>
        </w:rPr>
        <w:t>The Australian Government reviews include improvements to the consultation processes with First Nations peoples, including the Indigenous Advisory Committee and national standards for engagement, as well as new national heritage protection laws.</w:t>
      </w:r>
    </w:p>
    <w:p w14:paraId="3D012EFB" w14:textId="77777777" w:rsidR="00FA2FF9" w:rsidRPr="00730DE4" w:rsidRDefault="00FA2FF9" w:rsidP="00FA6EEA">
      <w:pPr>
        <w:rPr>
          <w:lang w:val="en-US"/>
        </w:rPr>
      </w:pPr>
      <w:r w:rsidRPr="00730DE4">
        <w:rPr>
          <w:lang w:val="en-US"/>
        </w:rPr>
        <w:t>TMR regularly liaises with state and federal heritage counterparts to ensure awareness of upcoming legislative amendments and community requirements for the Cultural Heritage Policy and Process Manual.</w:t>
      </w:r>
    </w:p>
    <w:p w14:paraId="71742454" w14:textId="77777777" w:rsidR="00FA2FF9" w:rsidRPr="00730DE4" w:rsidRDefault="00FA2FF9" w:rsidP="002B7001">
      <w:pPr>
        <w:pStyle w:val="Heading3"/>
        <w:rPr>
          <w:lang w:val="en-US"/>
        </w:rPr>
      </w:pPr>
      <w:bookmarkStart w:id="959" w:name="_Toc180487539"/>
      <w:bookmarkStart w:id="960" w:name="_Toc180490745"/>
      <w:bookmarkStart w:id="961" w:name="_Toc180491778"/>
      <w:r w:rsidRPr="00730DE4">
        <w:rPr>
          <w:lang w:val="en-US"/>
        </w:rPr>
        <w:t>Cultural Heritage data collection program under Element 70</w:t>
      </w:r>
      <w:bookmarkEnd w:id="959"/>
      <w:bookmarkEnd w:id="960"/>
      <w:bookmarkEnd w:id="961"/>
    </w:p>
    <w:p w14:paraId="0FA29FDB" w14:textId="77777777" w:rsidR="00FA2FF9" w:rsidRPr="00730DE4" w:rsidRDefault="00FA2FF9" w:rsidP="00FA6EEA">
      <w:pPr>
        <w:rPr>
          <w:lang w:val="en-US"/>
        </w:rPr>
      </w:pPr>
      <w:r w:rsidRPr="00730DE4">
        <w:rPr>
          <w:lang w:val="en-US"/>
        </w:rPr>
        <w:t>In 2023–24, TMR invested $94,125.49 in heritage data collection under the Maintenance, Preservation, and Operation Program's Element 70 (Statewide Data Collection). The data collection utilised TMR's Environment and Cultural Heritage Observations app and involved Cultural Heritage Officers surveying land to record Aboriginal, Torres Strait Islander, and historical heritage places.</w:t>
      </w:r>
    </w:p>
    <w:p w14:paraId="6CDB596A" w14:textId="77777777" w:rsidR="00FA2FF9" w:rsidRPr="00730DE4" w:rsidRDefault="00FA2FF9" w:rsidP="00FA6EEA">
      <w:pPr>
        <w:rPr>
          <w:lang w:val="en-US"/>
        </w:rPr>
      </w:pPr>
      <w:r w:rsidRPr="00730DE4">
        <w:rPr>
          <w:lang w:val="en-US"/>
        </w:rPr>
        <w:t>TMR recorded 363 new places in 2023–24. These included artefact scatters, scarred trees, monuments, survey trees, historical bridges, and war memorials. TMR has conducted this collection since 2019–20, with 4002 heritage places recorded.</w:t>
      </w:r>
    </w:p>
    <w:p w14:paraId="360234F0" w14:textId="77777777" w:rsidR="00FA2FF9" w:rsidRPr="00730DE4" w:rsidRDefault="00FA2FF9" w:rsidP="00FA6EEA">
      <w:pPr>
        <w:rPr>
          <w:lang w:val="en-US"/>
        </w:rPr>
      </w:pPr>
      <w:r w:rsidRPr="00730DE4">
        <w:rPr>
          <w:lang w:val="en-US"/>
        </w:rPr>
        <w:t>TMR's data collection supplements the Queensland Aboriginal and Torres Strait Islander heritage database managed by the Department of Treaty, Aboriginal and Torres Strait Islander Partnerships, Communities and the Arts, and the Queensland Heritage Register, managed by the Department of Environment, Science and Innovation. This provides a better understanding of heritage places that exist on TMR land and will improve heritage protection during project delivery.</w:t>
      </w:r>
    </w:p>
    <w:p w14:paraId="0DB5B7BA" w14:textId="77777777" w:rsidR="00FA2FF9" w:rsidRPr="00730DE4" w:rsidRDefault="00FA2FF9" w:rsidP="002B7001">
      <w:pPr>
        <w:pStyle w:val="Heading3"/>
        <w:rPr>
          <w:lang w:val="en-US"/>
        </w:rPr>
      </w:pPr>
      <w:bookmarkStart w:id="962" w:name="_Toc180487540"/>
      <w:bookmarkStart w:id="963" w:name="_Toc180490746"/>
      <w:bookmarkStart w:id="964" w:name="_Toc180491779"/>
      <w:r w:rsidRPr="00730DE4">
        <w:rPr>
          <w:lang w:val="en-US"/>
        </w:rPr>
        <w:t>Element 4 Heritage Preservation Projects</w:t>
      </w:r>
      <w:bookmarkEnd w:id="962"/>
      <w:bookmarkEnd w:id="963"/>
      <w:bookmarkEnd w:id="964"/>
    </w:p>
    <w:p w14:paraId="0F561A90" w14:textId="77777777" w:rsidR="00FA2FF9" w:rsidRPr="00730DE4" w:rsidRDefault="00FA2FF9" w:rsidP="00FA6EEA">
      <w:pPr>
        <w:rPr>
          <w:lang w:val="en-US"/>
        </w:rPr>
      </w:pPr>
      <w:r w:rsidRPr="00730DE4">
        <w:rPr>
          <w:lang w:val="en-US"/>
        </w:rPr>
        <w:t>TMR operates an annual heritage conservation program under the Maintenance, Preservation, and Operations Program. The program focuses on the maintenance of Aboriginal, Torres Strait Islander, and historical heritage places on TMR roads and land. In 2023–24, TMR invested $999,393 in heritage conservation across Queensland.</w:t>
      </w:r>
    </w:p>
    <w:p w14:paraId="7545BE6E" w14:textId="77777777" w:rsidR="00FA2FF9" w:rsidRPr="00730DE4" w:rsidRDefault="00FA2FF9" w:rsidP="00FA6EEA">
      <w:pPr>
        <w:rPr>
          <w:lang w:val="en-US"/>
        </w:rPr>
      </w:pPr>
      <w:r w:rsidRPr="00730DE4">
        <w:rPr>
          <w:lang w:val="en-US"/>
        </w:rPr>
        <w:t>Projects included:</w:t>
      </w:r>
    </w:p>
    <w:p w14:paraId="0FA7840A" w14:textId="77777777" w:rsidR="00FA2FF9" w:rsidRPr="00730DE4" w:rsidRDefault="00FA2FF9" w:rsidP="00FA6EEA">
      <w:pPr>
        <w:pStyle w:val="ListBullet"/>
        <w:rPr>
          <w:lang w:val="en-US"/>
        </w:rPr>
      </w:pPr>
      <w:r w:rsidRPr="00730DE4">
        <w:rPr>
          <w:lang w:val="en-US"/>
        </w:rPr>
        <w:t>finalising a Cultural Heritage Study on Round Mountain site</w:t>
      </w:r>
    </w:p>
    <w:p w14:paraId="288133B3" w14:textId="77777777" w:rsidR="00FA2FF9" w:rsidRPr="00730DE4" w:rsidRDefault="00FA2FF9" w:rsidP="00FA6EEA">
      <w:pPr>
        <w:pStyle w:val="ListBullet"/>
        <w:rPr>
          <w:lang w:val="en-US"/>
        </w:rPr>
      </w:pPr>
      <w:r w:rsidRPr="00730DE4">
        <w:rPr>
          <w:lang w:val="en-US"/>
        </w:rPr>
        <w:t>updating Conservation Management Plans in Metropolitan Region for Coorparoo Substation, Hornibrook Portals, and Albion Fire Station</w:t>
      </w:r>
    </w:p>
    <w:p w14:paraId="7FA9191D" w14:textId="77777777" w:rsidR="00FA2FF9" w:rsidRPr="00730DE4" w:rsidRDefault="00FA2FF9" w:rsidP="00FA6EEA">
      <w:pPr>
        <w:pStyle w:val="ListBullet"/>
        <w:rPr>
          <w:lang w:val="en-US"/>
        </w:rPr>
      </w:pPr>
      <w:r w:rsidRPr="00730DE4">
        <w:rPr>
          <w:lang w:val="en-US"/>
        </w:rPr>
        <w:t>assessing and managing the Sentinel rock feature on Tamborine Road</w:t>
      </w:r>
    </w:p>
    <w:p w14:paraId="15356B7E" w14:textId="77777777" w:rsidR="00FA2FF9" w:rsidRPr="00730DE4" w:rsidRDefault="00FA2FF9" w:rsidP="00FA6EEA">
      <w:pPr>
        <w:pStyle w:val="ListBullet"/>
        <w:rPr>
          <w:lang w:val="en-US"/>
        </w:rPr>
      </w:pPr>
      <w:r w:rsidRPr="00730DE4">
        <w:rPr>
          <w:lang w:val="en-US"/>
        </w:rPr>
        <w:t>assessing and recording historical heritage features in North West District</w:t>
      </w:r>
    </w:p>
    <w:p w14:paraId="3D69814A" w14:textId="77777777" w:rsidR="00FA2FF9" w:rsidRPr="00730DE4" w:rsidRDefault="00FA2FF9" w:rsidP="00FA6EEA">
      <w:pPr>
        <w:pStyle w:val="ListBullet"/>
        <w:rPr>
          <w:lang w:val="en-US"/>
        </w:rPr>
      </w:pPr>
      <w:r w:rsidRPr="00730DE4">
        <w:rPr>
          <w:lang w:val="en-US"/>
        </w:rPr>
        <w:t>finalising a Conservation Management Plan for Gatton–Clifton Road features</w:t>
      </w:r>
    </w:p>
    <w:p w14:paraId="1391B66C" w14:textId="77777777" w:rsidR="00FA2FF9" w:rsidRPr="00730DE4" w:rsidRDefault="00FA2FF9" w:rsidP="00FA6EEA">
      <w:pPr>
        <w:pStyle w:val="ListBullet"/>
        <w:rPr>
          <w:lang w:val="en-US"/>
        </w:rPr>
      </w:pPr>
      <w:r w:rsidRPr="00730DE4">
        <w:rPr>
          <w:lang w:val="en-US"/>
        </w:rPr>
        <w:t>maintenance of heritage features on Springbrook Road</w:t>
      </w:r>
    </w:p>
    <w:p w14:paraId="58100C19" w14:textId="77777777" w:rsidR="00FA2FF9" w:rsidRPr="00730DE4" w:rsidRDefault="00FA2FF9" w:rsidP="00FA6EEA">
      <w:pPr>
        <w:pStyle w:val="ListBullet"/>
        <w:rPr>
          <w:lang w:val="en-US"/>
        </w:rPr>
      </w:pPr>
      <w:r w:rsidRPr="00730DE4">
        <w:rPr>
          <w:lang w:val="en-US"/>
        </w:rPr>
        <w:t>updating the Conservation Management Plan for Picnic Bay Jetty, Magnetic Island</w:t>
      </w:r>
    </w:p>
    <w:p w14:paraId="7AAD0421" w14:textId="77777777" w:rsidR="00FA2FF9" w:rsidRPr="00730DE4" w:rsidRDefault="00FA2FF9" w:rsidP="00FA6EEA">
      <w:pPr>
        <w:pStyle w:val="ListBullet"/>
        <w:rPr>
          <w:lang w:val="en-US"/>
        </w:rPr>
      </w:pPr>
      <w:r w:rsidRPr="00730DE4">
        <w:rPr>
          <w:lang w:val="en-US"/>
        </w:rPr>
        <w:t>Far North District Cultural Modified Tree recording program</w:t>
      </w:r>
    </w:p>
    <w:p w14:paraId="5A845927" w14:textId="77777777" w:rsidR="00FA2FF9" w:rsidRPr="00730DE4" w:rsidRDefault="00FA2FF9" w:rsidP="00FA6EEA">
      <w:pPr>
        <w:pStyle w:val="ListBullet"/>
        <w:rPr>
          <w:lang w:val="en-US"/>
        </w:rPr>
      </w:pPr>
      <w:r w:rsidRPr="00730DE4">
        <w:rPr>
          <w:lang w:val="en-US"/>
        </w:rPr>
        <w:t xml:space="preserve">Annan River Bridge restoration </w:t>
      </w:r>
    </w:p>
    <w:p w14:paraId="225D0E0D" w14:textId="77777777" w:rsidR="00FA2FF9" w:rsidRPr="00730DE4" w:rsidRDefault="00FA2FF9" w:rsidP="00FA6EEA">
      <w:pPr>
        <w:pStyle w:val="ListBullet"/>
        <w:rPr>
          <w:lang w:val="en-US"/>
        </w:rPr>
      </w:pPr>
      <w:r w:rsidRPr="00730DE4">
        <w:rPr>
          <w:lang w:val="en-US"/>
        </w:rPr>
        <w:t>maintenance of the Walkerston War Memorial</w:t>
      </w:r>
    </w:p>
    <w:p w14:paraId="66F0DD3D" w14:textId="77777777" w:rsidR="00FA2FF9" w:rsidRPr="00730DE4" w:rsidRDefault="00FA2FF9" w:rsidP="00FA6EEA">
      <w:pPr>
        <w:pStyle w:val="ListBullet"/>
        <w:rPr>
          <w:lang w:val="en-US"/>
        </w:rPr>
      </w:pPr>
      <w:r w:rsidRPr="00730DE4">
        <w:rPr>
          <w:lang w:val="en-US"/>
        </w:rPr>
        <w:t>Anzac Avenue tree maintenance</w:t>
      </w:r>
    </w:p>
    <w:p w14:paraId="4164692B" w14:textId="77777777" w:rsidR="00FA2FF9" w:rsidRPr="00730DE4" w:rsidRDefault="00FA2FF9" w:rsidP="00FA6EEA">
      <w:pPr>
        <w:pStyle w:val="ListBullet"/>
        <w:rPr>
          <w:lang w:val="en-US"/>
        </w:rPr>
      </w:pPr>
      <w:r w:rsidRPr="00730DE4">
        <w:rPr>
          <w:lang w:val="en-US"/>
        </w:rPr>
        <w:t>North Coast Shell Midden study</w:t>
      </w:r>
    </w:p>
    <w:p w14:paraId="442361B3" w14:textId="77777777" w:rsidR="00FA2FF9" w:rsidRPr="00730DE4" w:rsidRDefault="00FA2FF9" w:rsidP="00FA6EEA">
      <w:pPr>
        <w:pStyle w:val="ListBullet"/>
        <w:rPr>
          <w:lang w:val="en-US"/>
        </w:rPr>
      </w:pPr>
      <w:r w:rsidRPr="00730DE4">
        <w:rPr>
          <w:lang w:val="en-US"/>
        </w:rPr>
        <w:t>Wide Bay Rowland Creek native well assessment.</w:t>
      </w:r>
    </w:p>
    <w:p w14:paraId="1C67EA05" w14:textId="77777777" w:rsidR="00FA2FF9" w:rsidRPr="00730DE4" w:rsidRDefault="00FA2FF9" w:rsidP="002B7001">
      <w:pPr>
        <w:pStyle w:val="Heading3"/>
        <w:rPr>
          <w:lang w:val="en-US"/>
        </w:rPr>
      </w:pPr>
      <w:bookmarkStart w:id="965" w:name="_Toc180487541"/>
      <w:bookmarkStart w:id="966" w:name="_Toc180490747"/>
      <w:bookmarkStart w:id="967" w:name="_Toc180491780"/>
      <w:r w:rsidRPr="00730DE4">
        <w:rPr>
          <w:lang w:val="en-US"/>
        </w:rPr>
        <w:t>Edmonton to Gordonvale social sustainability successes</w:t>
      </w:r>
      <w:bookmarkEnd w:id="965"/>
      <w:bookmarkEnd w:id="966"/>
      <w:bookmarkEnd w:id="967"/>
    </w:p>
    <w:p w14:paraId="59897B0F" w14:textId="77777777" w:rsidR="00FA2FF9" w:rsidRPr="00730DE4" w:rsidRDefault="00FA2FF9" w:rsidP="00FA6EEA">
      <w:pPr>
        <w:rPr>
          <w:lang w:val="en-US"/>
        </w:rPr>
      </w:pPr>
      <w:r w:rsidRPr="00730DE4">
        <w:rPr>
          <w:lang w:val="en-US"/>
        </w:rPr>
        <w:t>The Bruce Highway, Cairns Southern Access Corridor (Stage Three), Edmonton to Gordonvale (E2G) project used social sustainability in its operations, leaving a lasting impact. The project focused on collaborating with the local community, preserving cultural heritage, upskilling local businesses and workforce, and promoting education.</w:t>
      </w:r>
    </w:p>
    <w:p w14:paraId="0A42E5F7" w14:textId="77777777" w:rsidR="00FA2FF9" w:rsidRPr="00730DE4" w:rsidRDefault="00FA2FF9" w:rsidP="00FA6EEA">
      <w:pPr>
        <w:rPr>
          <w:lang w:val="en-US"/>
        </w:rPr>
      </w:pPr>
      <w:r w:rsidRPr="00730DE4">
        <w:rPr>
          <w:lang w:val="en-US"/>
        </w:rPr>
        <w:t>E2G and local Traditional Owners collaborated closely. This synergy led to the discovery of protected Aboriginal and Torres Strait Islander artifacts and cultural sites. Moreover, efforts to educate about these cultures were made through art, lessons, and infrastructure naming.</w:t>
      </w:r>
    </w:p>
    <w:p w14:paraId="437CDD57" w14:textId="77777777" w:rsidR="00FA2FF9" w:rsidRPr="00730DE4" w:rsidRDefault="00FA2FF9" w:rsidP="00FA6EEA">
      <w:pPr>
        <w:rPr>
          <w:lang w:val="en-US"/>
        </w:rPr>
      </w:pPr>
      <w:r w:rsidRPr="00730DE4">
        <w:rPr>
          <w:lang w:val="en-US"/>
        </w:rPr>
        <w:t>Of the total contract value, 79.6 per cent was spent within the local region, and 4.5 per cent with First Nations-owned businesses. E2G's training initiatives exceeded targets and upskilled the community, notably with 64 per cent of training hours dedicated to Aboriginal and Torres Strait Islander people.</w:t>
      </w:r>
    </w:p>
    <w:p w14:paraId="28443DAE" w14:textId="77777777" w:rsidR="00FA2FF9" w:rsidRPr="00730DE4" w:rsidRDefault="00FA2FF9" w:rsidP="00FA6EEA">
      <w:pPr>
        <w:rPr>
          <w:lang w:val="en-US"/>
        </w:rPr>
      </w:pPr>
      <w:r w:rsidRPr="00730DE4">
        <w:rPr>
          <w:lang w:val="en-US"/>
        </w:rPr>
        <w:t>The project's work with local schools also offered mentoring and experiential learning for students.</w:t>
      </w:r>
    </w:p>
    <w:p w14:paraId="5CFF0557" w14:textId="77777777" w:rsidR="00FA2FF9" w:rsidRPr="00730DE4" w:rsidRDefault="00FA2FF9" w:rsidP="00FA6EEA">
      <w:pPr>
        <w:rPr>
          <w:lang w:val="en-US"/>
        </w:rPr>
      </w:pPr>
      <w:r w:rsidRPr="00730DE4">
        <w:rPr>
          <w:lang w:val="en-US"/>
        </w:rPr>
        <w:t>Through these initiatives, E2G created a sustainable legacy, demonstrating social value excellence and positive community impacts.</w:t>
      </w:r>
    </w:p>
    <w:p w14:paraId="3E7CBF3C" w14:textId="77777777" w:rsidR="00FA2FF9" w:rsidRPr="00730DE4" w:rsidRDefault="00FA2FF9" w:rsidP="002B7001">
      <w:pPr>
        <w:pStyle w:val="Heading3"/>
        <w:rPr>
          <w:lang w:val="en-US"/>
        </w:rPr>
      </w:pPr>
      <w:bookmarkStart w:id="968" w:name="_Toc180487542"/>
      <w:bookmarkStart w:id="969" w:name="_Toc180490748"/>
      <w:bookmarkStart w:id="970" w:name="_Toc180491781"/>
      <w:r w:rsidRPr="00730DE4">
        <w:rPr>
          <w:lang w:val="en-US"/>
        </w:rPr>
        <w:t>Zero Emission Buses</w:t>
      </w:r>
      <w:bookmarkEnd w:id="968"/>
      <w:bookmarkEnd w:id="969"/>
      <w:bookmarkEnd w:id="970"/>
    </w:p>
    <w:p w14:paraId="52C13876" w14:textId="77777777" w:rsidR="00FA2FF9" w:rsidRPr="00730DE4" w:rsidRDefault="00FA2FF9" w:rsidP="00FA6EEA">
      <w:pPr>
        <w:rPr>
          <w:lang w:val="en-US"/>
        </w:rPr>
      </w:pPr>
      <w:r w:rsidRPr="00730DE4">
        <w:rPr>
          <w:lang w:val="en-US"/>
        </w:rPr>
        <w:t xml:space="preserve">As set out in </w:t>
      </w:r>
      <w:r w:rsidRPr="00730DE4">
        <w:rPr>
          <w:rStyle w:val="Emphasis"/>
        </w:rPr>
        <w:t>Queensland’s Zero Emission Vehicle Strategy 2022–2032</w:t>
      </w:r>
      <w:r w:rsidRPr="00730DE4">
        <w:rPr>
          <w:lang w:val="en-US"/>
        </w:rPr>
        <w:t>, TMR has made a commitment that, from 2025, all new urban buses in South East Queensland will be zero emission buses, and for regional Queensland, implementation will begin between 2025–30.</w:t>
      </w:r>
    </w:p>
    <w:p w14:paraId="599FF4A3" w14:textId="77777777" w:rsidR="00FA2FF9" w:rsidRPr="00730DE4" w:rsidRDefault="00FA2FF9" w:rsidP="00FA6EEA">
      <w:pPr>
        <w:rPr>
          <w:lang w:val="en-US"/>
        </w:rPr>
      </w:pPr>
      <w:r w:rsidRPr="00730DE4">
        <w:rPr>
          <w:lang w:val="en-US"/>
        </w:rPr>
        <w:t>Zero emission buses were introduced to the South East Queensland bus network in April 2021. The following battery electric buses are operating across the Translink network:</w:t>
      </w:r>
    </w:p>
    <w:p w14:paraId="6878EF06" w14:textId="77777777" w:rsidR="00FA2FF9" w:rsidRPr="00730DE4" w:rsidRDefault="00FA2FF9" w:rsidP="00FA6EEA">
      <w:pPr>
        <w:pStyle w:val="ListBullet"/>
        <w:rPr>
          <w:lang w:val="en-US"/>
        </w:rPr>
      </w:pPr>
      <w:r w:rsidRPr="00730DE4">
        <w:rPr>
          <w:lang w:val="en-US"/>
        </w:rPr>
        <w:t>11 buses on the Sunshine Coast</w:t>
      </w:r>
    </w:p>
    <w:p w14:paraId="0276A2E8" w14:textId="77777777" w:rsidR="00FA2FF9" w:rsidRPr="00730DE4" w:rsidRDefault="00FA2FF9" w:rsidP="00FA6EEA">
      <w:pPr>
        <w:pStyle w:val="ListBullet"/>
        <w:rPr>
          <w:lang w:val="en-US"/>
        </w:rPr>
      </w:pPr>
      <w:r w:rsidRPr="00730DE4">
        <w:rPr>
          <w:lang w:val="en-US"/>
        </w:rPr>
        <w:t>10 buses on the Gold Coast</w:t>
      </w:r>
    </w:p>
    <w:p w14:paraId="1C545D13" w14:textId="77777777" w:rsidR="00FA2FF9" w:rsidRPr="00730DE4" w:rsidRDefault="00FA2FF9" w:rsidP="00FA6EEA">
      <w:pPr>
        <w:pStyle w:val="ListBullet"/>
        <w:rPr>
          <w:lang w:val="en-US"/>
        </w:rPr>
      </w:pPr>
      <w:r w:rsidRPr="00730DE4">
        <w:rPr>
          <w:lang w:val="en-US"/>
        </w:rPr>
        <w:t>5 buses in Cairns</w:t>
      </w:r>
    </w:p>
    <w:p w14:paraId="6B835D9F" w14:textId="77777777" w:rsidR="00FA2FF9" w:rsidRPr="00730DE4" w:rsidRDefault="00FA2FF9" w:rsidP="00FA6EEA">
      <w:pPr>
        <w:pStyle w:val="ListBullet"/>
        <w:rPr>
          <w:lang w:val="en-US"/>
        </w:rPr>
      </w:pPr>
      <w:r w:rsidRPr="00730DE4">
        <w:rPr>
          <w:lang w:val="en-US"/>
        </w:rPr>
        <w:t>2 buses in Yarrabilba</w:t>
      </w:r>
    </w:p>
    <w:p w14:paraId="29AB84B0" w14:textId="77777777" w:rsidR="00FA2FF9" w:rsidRPr="00730DE4" w:rsidRDefault="00FA2FF9" w:rsidP="00FA6EEA">
      <w:pPr>
        <w:pStyle w:val="ListBullet"/>
        <w:rPr>
          <w:lang w:val="en-US"/>
        </w:rPr>
      </w:pPr>
      <w:r w:rsidRPr="00730DE4">
        <w:rPr>
          <w:lang w:val="en-US"/>
        </w:rPr>
        <w:t>19 buses in Redland Bay</w:t>
      </w:r>
    </w:p>
    <w:p w14:paraId="340E2B61" w14:textId="77777777" w:rsidR="00FA2FF9" w:rsidRPr="00730DE4" w:rsidRDefault="00FA2FF9" w:rsidP="00FA6EEA">
      <w:pPr>
        <w:pStyle w:val="ListBullet"/>
        <w:rPr>
          <w:lang w:val="en-US"/>
        </w:rPr>
      </w:pPr>
      <w:r w:rsidRPr="00730DE4">
        <w:rPr>
          <w:lang w:val="en-US"/>
        </w:rPr>
        <w:t>6 buses in Spring Hill and Brisbane City</w:t>
      </w:r>
    </w:p>
    <w:p w14:paraId="1EA3011B" w14:textId="77777777" w:rsidR="00FA2FF9" w:rsidRPr="00730DE4" w:rsidRDefault="00FA2FF9" w:rsidP="00FA6EEA">
      <w:pPr>
        <w:pStyle w:val="ListBullet"/>
        <w:rPr>
          <w:lang w:val="en-US"/>
        </w:rPr>
      </w:pPr>
      <w:r w:rsidRPr="00730DE4">
        <w:rPr>
          <w:lang w:val="en-US"/>
        </w:rPr>
        <w:t>10 buses in Logan</w:t>
      </w:r>
    </w:p>
    <w:p w14:paraId="6E6E2C9E" w14:textId="77777777" w:rsidR="00FA2FF9" w:rsidRPr="00730DE4" w:rsidRDefault="00FA2FF9" w:rsidP="00FA6EEA">
      <w:pPr>
        <w:pStyle w:val="ListBullet"/>
        <w:rPr>
          <w:lang w:val="en-US"/>
        </w:rPr>
      </w:pPr>
      <w:r w:rsidRPr="00730DE4">
        <w:rPr>
          <w:lang w:val="en-US"/>
        </w:rPr>
        <w:t>16 buses in Moreton Bay.</w:t>
      </w:r>
    </w:p>
    <w:p w14:paraId="13B29200" w14:textId="77777777" w:rsidR="00FA2FF9" w:rsidRPr="00730DE4" w:rsidRDefault="00FA2FF9" w:rsidP="00FA6EEA">
      <w:pPr>
        <w:rPr>
          <w:lang w:val="en-US"/>
        </w:rPr>
      </w:pPr>
      <w:r w:rsidRPr="00730DE4">
        <w:rPr>
          <w:lang w:val="en-US"/>
        </w:rPr>
        <w:t>In February 2024, the Queensland Government announced a plan to deliver zero emission buses through direct government procurement, with more than 400 buses to be locally manufactured.</w:t>
      </w:r>
    </w:p>
    <w:p w14:paraId="4497D35B" w14:textId="77777777" w:rsidR="00FA2FF9" w:rsidRPr="00730DE4" w:rsidRDefault="00FA2FF9" w:rsidP="00FA6EEA">
      <w:pPr>
        <w:pStyle w:val="MessageHeader"/>
        <w:rPr>
          <w:lang w:val="en-US"/>
        </w:rPr>
      </w:pPr>
      <w:r w:rsidRPr="00730DE4">
        <w:rPr>
          <w:lang w:val="en-US"/>
        </w:rPr>
        <w:t xml:space="preserve">For more information </w:t>
      </w:r>
      <w:r w:rsidRPr="00730DE4">
        <w:rPr>
          <w:lang w:val="en-US"/>
        </w:rPr>
        <w:br/>
      </w:r>
      <w:hyperlink r:id="rId121" w:history="1">
        <w:r w:rsidRPr="00730DE4">
          <w:rPr>
            <w:rStyle w:val="Hyperlink"/>
            <w:lang w:val="en-US"/>
          </w:rPr>
          <w:t>https://www.qld.gov.au/transport/projects/electricvehicles/zero-emission-strategy</w:t>
        </w:r>
      </w:hyperlink>
      <w:r w:rsidRPr="00730DE4">
        <w:rPr>
          <w:lang w:val="en-US"/>
        </w:rPr>
        <w:br/>
      </w:r>
      <w:r w:rsidRPr="00730DE4">
        <w:rPr>
          <w:lang w:val="en-US"/>
        </w:rPr>
        <w:br/>
      </w:r>
      <w:hyperlink r:id="rId122" w:history="1">
        <w:r w:rsidRPr="00730DE4">
          <w:rPr>
            <w:rStyle w:val="Hyperlink"/>
            <w:lang w:val="en-US"/>
          </w:rPr>
          <w:t>https://www.qld.gov.au/transport/projects/electricvehicles/zero-emission-bus-program</w:t>
        </w:r>
      </w:hyperlink>
    </w:p>
    <w:p w14:paraId="0F941D3B" w14:textId="77777777" w:rsidR="00FA2FF9" w:rsidRPr="00730DE4" w:rsidRDefault="00FA2FF9" w:rsidP="002B7001">
      <w:pPr>
        <w:pStyle w:val="Heading3"/>
      </w:pPr>
      <w:bookmarkStart w:id="971" w:name="_Toc180487543"/>
      <w:bookmarkStart w:id="972" w:name="_Toc180490749"/>
      <w:bookmarkStart w:id="973" w:name="_Toc180491782"/>
      <w:bookmarkStart w:id="974" w:name="_Hlk163136653"/>
      <w:r w:rsidRPr="00730DE4">
        <w:t>Case study: eMesh used on the Edmonton to Gordonvale Project</w:t>
      </w:r>
      <w:bookmarkEnd w:id="971"/>
      <w:bookmarkEnd w:id="972"/>
      <w:bookmarkEnd w:id="973"/>
    </w:p>
    <w:bookmarkEnd w:id="974"/>
    <w:p w14:paraId="40322BBD" w14:textId="77777777" w:rsidR="00FA2FF9" w:rsidRPr="00730DE4" w:rsidRDefault="00FA2FF9" w:rsidP="00FA6EEA">
      <w:pPr>
        <w:rPr>
          <w:lang w:val="en-US"/>
        </w:rPr>
      </w:pPr>
      <w:r w:rsidRPr="00730DE4">
        <w:rPr>
          <w:lang w:val="en-US"/>
        </w:rPr>
        <w:t>TMR pioneered an Australian-first method to reduce raw material consumption that was developed with the project's concrete supplier for the Bruce Highway, Cairns Southern Access Corridor (Stage Three), E2G project.</w:t>
      </w:r>
    </w:p>
    <w:p w14:paraId="5FC4BA30" w14:textId="77777777" w:rsidR="00FA2FF9" w:rsidRPr="00730DE4" w:rsidRDefault="00FA2FF9" w:rsidP="00FA6EEA">
      <w:pPr>
        <w:rPr>
          <w:lang w:val="en-US"/>
        </w:rPr>
      </w:pPr>
      <w:r w:rsidRPr="00730DE4">
        <w:rPr>
          <w:lang w:val="en-US"/>
        </w:rPr>
        <w:t>The project involved the construction of more than ten kilometres of concrete pavements for cycleways, footpaths, and shared paths using a concrete extruding slipform paver with a custom mould and a 100 per cent recycled plastic fibre reinforcement product called eMesh.</w:t>
      </w:r>
    </w:p>
    <w:p w14:paraId="1927BD0C" w14:textId="77777777" w:rsidR="00FA2FF9" w:rsidRPr="00730DE4" w:rsidRDefault="00FA2FF9" w:rsidP="00FA6EEA">
      <w:pPr>
        <w:rPr>
          <w:lang w:val="en-US"/>
        </w:rPr>
      </w:pPr>
      <w:r w:rsidRPr="00730DE4">
        <w:rPr>
          <w:lang w:val="en-US"/>
        </w:rPr>
        <w:t>The slipform paver was used to mechanically place the concrete during pavement construction reducing project construction times and lowering greenhouse gas footprints. This innovation resulted in a reduction of raw material consumption, significantly increased productivity, enhanced personnel safety, and supported waste repurposing.</w:t>
      </w:r>
    </w:p>
    <w:p w14:paraId="248C47A2" w14:textId="77777777" w:rsidR="00FA2FF9" w:rsidRPr="00730DE4" w:rsidRDefault="00FA2FF9" w:rsidP="00FA6EEA">
      <w:pPr>
        <w:rPr>
          <w:lang w:val="en-US"/>
        </w:rPr>
      </w:pPr>
      <w:r w:rsidRPr="00730DE4">
        <w:rPr>
          <w:lang w:val="en-US"/>
        </w:rPr>
        <w:t>The eMesh product aligns with circular economy principles, repurposing waste into new products, diverting waste from landfills, and strengthening the market for sustainable materials.</w:t>
      </w:r>
    </w:p>
    <w:p w14:paraId="34A4D643" w14:textId="77777777" w:rsidR="00FA2FF9" w:rsidRPr="00730DE4" w:rsidRDefault="00FA2FF9" w:rsidP="00FA6EEA">
      <w:pPr>
        <w:pStyle w:val="MessageHeader"/>
      </w:pPr>
      <w:r w:rsidRPr="00730DE4">
        <w:rPr>
          <w:lang w:val="en-US"/>
        </w:rPr>
        <w:t>For more information</w:t>
      </w:r>
      <w:r w:rsidRPr="00730DE4">
        <w:rPr>
          <w:lang w:val="en-US"/>
        </w:rPr>
        <w:br/>
      </w:r>
      <w:hyperlink r:id="rId123" w:history="1">
        <w:r w:rsidRPr="00730DE4">
          <w:rPr>
            <w:rStyle w:val="Hyperlink"/>
            <w:lang w:val="en-US"/>
          </w:rPr>
          <w:t>https://www.tmr.qld.gov.au/projects/bruce-highway-cairns-southern-access-corridor-stage-3-edmonton-to-gordonvale</w:t>
        </w:r>
      </w:hyperlink>
    </w:p>
    <w:p w14:paraId="20DBD8CD" w14:textId="77777777" w:rsidR="00B13631" w:rsidRPr="00730DE4" w:rsidRDefault="00B13631">
      <w:pPr>
        <w:suppressAutoHyphens w:val="0"/>
        <w:spacing w:before="0" w:line="259" w:lineRule="auto"/>
        <w:rPr>
          <w:rFonts w:eastAsiaTheme="majorEastAsia" w:cstheme="majorBidi"/>
          <w:color w:val="080C0F" w:themeColor="text1"/>
          <w:sz w:val="60"/>
          <w:szCs w:val="32"/>
        </w:rPr>
      </w:pPr>
      <w:r w:rsidRPr="00730DE4">
        <w:br w:type="page"/>
      </w:r>
    </w:p>
    <w:p w14:paraId="32BC9BF6" w14:textId="1E078090" w:rsidR="00FA2FF9" w:rsidRPr="00730DE4" w:rsidRDefault="00FA2FF9" w:rsidP="002B7001">
      <w:pPr>
        <w:pStyle w:val="Heading2"/>
      </w:pPr>
      <w:bookmarkStart w:id="975" w:name="_Toc180490750"/>
      <w:bookmarkStart w:id="976" w:name="_Toc180491783"/>
      <w:r w:rsidRPr="00730DE4">
        <w:t>Road safety</w:t>
      </w:r>
      <w:bookmarkEnd w:id="975"/>
      <w:bookmarkEnd w:id="976"/>
    </w:p>
    <w:p w14:paraId="08B7FB1F" w14:textId="77777777" w:rsidR="00FA2FF9" w:rsidRPr="00730DE4" w:rsidRDefault="00FA2FF9" w:rsidP="002B7001">
      <w:pPr>
        <w:pStyle w:val="Heading3"/>
        <w:rPr>
          <w:lang w:val="en-US"/>
        </w:rPr>
      </w:pPr>
      <w:bookmarkStart w:id="977" w:name="_Toc180487545"/>
      <w:bookmarkStart w:id="978" w:name="_Toc180490751"/>
      <w:bookmarkStart w:id="979" w:name="_Toc180491784"/>
      <w:r w:rsidRPr="00730DE4">
        <w:rPr>
          <w:lang w:val="en-US"/>
        </w:rPr>
        <w:t>Queensland road safety governance</w:t>
      </w:r>
      <w:bookmarkEnd w:id="977"/>
      <w:bookmarkEnd w:id="978"/>
      <w:bookmarkEnd w:id="979"/>
    </w:p>
    <w:p w14:paraId="15298412" w14:textId="77777777" w:rsidR="00FA2FF9" w:rsidRPr="00730DE4" w:rsidRDefault="00FA2FF9" w:rsidP="00BA494E">
      <w:pPr>
        <w:rPr>
          <w:lang w:val="en-US"/>
        </w:rPr>
      </w:pPr>
      <w:r w:rsidRPr="00730DE4">
        <w:rPr>
          <w:lang w:val="en-US"/>
        </w:rPr>
        <w:t xml:space="preserve">The Queensland Road Safety (QRS) Program was established to ensure there is a strong and effective governance framework in place to support the Queensland Government in achieving the ambitious road safety targets outlined in the </w:t>
      </w:r>
      <w:r w:rsidRPr="00730DE4">
        <w:rPr>
          <w:rStyle w:val="Emphasis"/>
        </w:rPr>
        <w:t>Queensland Road Safety Strategy 2022–31</w:t>
      </w:r>
      <w:r w:rsidRPr="00730DE4">
        <w:rPr>
          <w:lang w:val="en-US"/>
        </w:rPr>
        <w:t>. The strategy aims to cut road fatalities by 50 per cent and serious road injuries by 30 per cent by 2031.</w:t>
      </w:r>
    </w:p>
    <w:p w14:paraId="74BC55AB" w14:textId="77777777" w:rsidR="00FA2FF9" w:rsidRPr="00730DE4" w:rsidRDefault="00FA2FF9" w:rsidP="00BA494E">
      <w:pPr>
        <w:rPr>
          <w:lang w:val="en-US"/>
        </w:rPr>
      </w:pPr>
      <w:r w:rsidRPr="00730DE4">
        <w:rPr>
          <w:lang w:val="en-US"/>
        </w:rPr>
        <w:t>The QRS Program is fostering a cultural shift in the government’s approach to road safety investment. It promotes collaboration and outcomes-based strategies to ensure progress towards these targets. The inaugural QRS Board meeting, chaired by TMR's Deputy Director-General (Customer Services, Safety and Regulation), met five times in 2023–24. This strategic leadership group includes representatives from TMR, QPS, and the Queensland Revenue Office.</w:t>
      </w:r>
    </w:p>
    <w:p w14:paraId="782F649F" w14:textId="77777777" w:rsidR="00FA2FF9" w:rsidRPr="00730DE4" w:rsidRDefault="00FA2FF9" w:rsidP="00BA494E">
      <w:pPr>
        <w:rPr>
          <w:lang w:val="en-US"/>
        </w:rPr>
      </w:pPr>
      <w:r w:rsidRPr="00730DE4">
        <w:rPr>
          <w:lang w:val="en-US"/>
        </w:rPr>
        <w:t>The Board is responsible for implementing the QRS Strategy, exploring opportunities for broader collaboration with other agencies, industry, and local governments, and expanding the scope of safety considerations beyond the traditional transport sector. This initiative builds upon the Safe System foundations, promoting innovative thinking in road safety.</w:t>
      </w:r>
    </w:p>
    <w:p w14:paraId="4D34305B" w14:textId="77777777" w:rsidR="00FA2FF9" w:rsidRPr="00730DE4" w:rsidRDefault="00FA2FF9" w:rsidP="002B7001">
      <w:pPr>
        <w:pStyle w:val="Heading3"/>
        <w:rPr>
          <w:lang w:val="en-US"/>
        </w:rPr>
      </w:pPr>
      <w:bookmarkStart w:id="980" w:name="_Toc180487546"/>
      <w:bookmarkStart w:id="981" w:name="_Toc180490752"/>
      <w:bookmarkStart w:id="982" w:name="_Toc180491785"/>
      <w:r w:rsidRPr="00730DE4">
        <w:rPr>
          <w:lang w:val="en-US"/>
        </w:rPr>
        <w:t>Queensland Road Safety Strategy and Action Plan</w:t>
      </w:r>
      <w:bookmarkEnd w:id="980"/>
      <w:bookmarkEnd w:id="981"/>
      <w:bookmarkEnd w:id="982"/>
    </w:p>
    <w:p w14:paraId="662FF1FE" w14:textId="77777777" w:rsidR="00FA2FF9" w:rsidRPr="00730DE4" w:rsidRDefault="00FA2FF9" w:rsidP="00BA494E">
      <w:pPr>
        <w:rPr>
          <w:lang w:val="en-US"/>
        </w:rPr>
      </w:pPr>
      <w:r w:rsidRPr="00730DE4">
        <w:rPr>
          <w:lang w:val="en-US"/>
        </w:rPr>
        <w:t xml:space="preserve">The </w:t>
      </w:r>
      <w:r w:rsidRPr="00730DE4">
        <w:rPr>
          <w:rStyle w:val="Emphasis"/>
        </w:rPr>
        <w:t>Queensland Road Safety Strategy 2022−31</w:t>
      </w:r>
      <w:r w:rsidRPr="00730DE4">
        <w:rPr>
          <w:lang w:val="en-US"/>
        </w:rPr>
        <w:t xml:space="preserve"> and </w:t>
      </w:r>
      <w:r w:rsidRPr="00730DE4">
        <w:rPr>
          <w:rStyle w:val="Emphasis"/>
        </w:rPr>
        <w:t>Queensland Road Safety Action Plan 2022−24</w:t>
      </w:r>
      <w:r w:rsidRPr="00730DE4">
        <w:rPr>
          <w:lang w:val="en-US"/>
        </w:rPr>
        <w:t xml:space="preserve"> were released in April 2022, reaffirming Queensland's commitment to a vision of zero serious road trauma by 2050. The strategy takes a new approach to road safety that considers the complex social factors contributing to road trauma and places emphasis on responding to community needs at the local level.</w:t>
      </w:r>
    </w:p>
    <w:p w14:paraId="58637C6E" w14:textId="77777777" w:rsidR="00FA2FF9" w:rsidRPr="00730DE4" w:rsidRDefault="00FA2FF9" w:rsidP="00BA494E">
      <w:pPr>
        <w:rPr>
          <w:lang w:val="en-US"/>
        </w:rPr>
      </w:pPr>
      <w:r w:rsidRPr="00730DE4">
        <w:rPr>
          <w:lang w:val="en-US"/>
        </w:rPr>
        <w:t xml:space="preserve">Priority actions </w:t>
      </w:r>
      <w:r w:rsidRPr="00730DE4" w:rsidDel="00771818">
        <w:rPr>
          <w:lang w:val="en-US"/>
        </w:rPr>
        <w:t>d</w:t>
      </w:r>
      <w:r w:rsidRPr="00730DE4">
        <w:rPr>
          <w:lang w:val="en-US"/>
        </w:rPr>
        <w:t>elivered this year include:</w:t>
      </w:r>
    </w:p>
    <w:p w14:paraId="7BA97C06" w14:textId="77777777" w:rsidR="00FA2FF9" w:rsidRPr="00730DE4" w:rsidRDefault="00FA2FF9" w:rsidP="00BA494E">
      <w:pPr>
        <w:pStyle w:val="ListBullet"/>
        <w:rPr>
          <w:lang w:val="en-US"/>
        </w:rPr>
      </w:pPr>
      <w:r w:rsidRPr="00730DE4">
        <w:rPr>
          <w:lang w:val="en-US"/>
        </w:rPr>
        <w:t>launch of the Ride to Zero program to improve motorcycle safety</w:t>
      </w:r>
    </w:p>
    <w:p w14:paraId="3007D9E2" w14:textId="77777777" w:rsidR="00FA2FF9" w:rsidRPr="00730DE4" w:rsidRDefault="00FA2FF9" w:rsidP="00BA494E">
      <w:pPr>
        <w:pStyle w:val="ListBullet"/>
        <w:rPr>
          <w:lang w:val="en-US"/>
        </w:rPr>
      </w:pPr>
      <w:r w:rsidRPr="00730DE4">
        <w:rPr>
          <w:lang w:val="en-US"/>
        </w:rPr>
        <w:t>expansion of the roadside drug testing program to include cocaine</w:t>
      </w:r>
    </w:p>
    <w:p w14:paraId="383E7590" w14:textId="77777777" w:rsidR="00FA2FF9" w:rsidRPr="00730DE4" w:rsidRDefault="00FA2FF9" w:rsidP="00BA494E">
      <w:pPr>
        <w:pStyle w:val="ListBullet"/>
        <w:rPr>
          <w:lang w:val="en-US"/>
        </w:rPr>
      </w:pPr>
      <w:r w:rsidRPr="00730DE4">
        <w:rPr>
          <w:lang w:val="en-US"/>
        </w:rPr>
        <w:t xml:space="preserve">release of child restraint video guides for parents and carers </w:t>
      </w:r>
    </w:p>
    <w:p w14:paraId="4F30F392" w14:textId="77777777" w:rsidR="00FA2FF9" w:rsidRPr="00730DE4" w:rsidRDefault="00FA2FF9" w:rsidP="00BA494E">
      <w:pPr>
        <w:pStyle w:val="ListBullet"/>
        <w:rPr>
          <w:lang w:val="en-US"/>
        </w:rPr>
      </w:pPr>
      <w:r w:rsidRPr="00730DE4">
        <w:rPr>
          <w:lang w:val="en-US"/>
        </w:rPr>
        <w:t>roll out of speed cameras in road work zones and school zones</w:t>
      </w:r>
    </w:p>
    <w:p w14:paraId="23FD1536" w14:textId="77777777" w:rsidR="00FA2FF9" w:rsidRPr="00730DE4" w:rsidRDefault="00FA2FF9" w:rsidP="00BA494E">
      <w:pPr>
        <w:pStyle w:val="ListBullet"/>
        <w:rPr>
          <w:lang w:val="en-US"/>
        </w:rPr>
      </w:pPr>
      <w:r w:rsidRPr="00730DE4">
        <w:rPr>
          <w:lang w:val="en-US"/>
        </w:rPr>
        <w:t>expansion of the mobile phone and seatbelt cameras and transportable road safety cameras in regional Queensland</w:t>
      </w:r>
    </w:p>
    <w:p w14:paraId="3F23850B" w14:textId="77777777" w:rsidR="00FA2FF9" w:rsidRPr="00730DE4" w:rsidRDefault="00FA2FF9" w:rsidP="00BA494E">
      <w:pPr>
        <w:pStyle w:val="ListBullet"/>
        <w:rPr>
          <w:lang w:val="en-US"/>
        </w:rPr>
      </w:pPr>
      <w:r w:rsidRPr="00730DE4">
        <w:rPr>
          <w:lang w:val="en-US"/>
        </w:rPr>
        <w:t>launch of the Community Road Safety Motorcycle Grants stream</w:t>
      </w:r>
    </w:p>
    <w:p w14:paraId="50B3DB53" w14:textId="77777777" w:rsidR="00FA2FF9" w:rsidRPr="00730DE4" w:rsidRDefault="00FA2FF9" w:rsidP="00BA494E">
      <w:pPr>
        <w:pStyle w:val="ListBullet"/>
        <w:rPr>
          <w:lang w:val="en-US"/>
        </w:rPr>
      </w:pPr>
      <w:r w:rsidRPr="00730DE4">
        <w:rPr>
          <w:lang w:val="en-US"/>
        </w:rPr>
        <w:t>boost to the Community Road Safety Grants scheme targeting regional areas.</w:t>
      </w:r>
    </w:p>
    <w:p w14:paraId="1EF1E150" w14:textId="77777777" w:rsidR="00FA2FF9" w:rsidRPr="00730DE4" w:rsidRDefault="00FA2FF9" w:rsidP="00BA494E">
      <w:pPr>
        <w:rPr>
          <w:lang w:val="en-US"/>
        </w:rPr>
      </w:pPr>
      <w:r w:rsidRPr="00730DE4">
        <w:rPr>
          <w:lang w:val="en-US"/>
        </w:rPr>
        <w:t>These initiatives build upon ongoing investment into road safety infrastructure through the Targeted Road Safety Program, which funds treatments such as intersection upgrades, shoulder widening, safer roadsides, barrier installation, flashing school zone signs, and wide center line treatments.</w:t>
      </w:r>
    </w:p>
    <w:p w14:paraId="405D6B97" w14:textId="77777777" w:rsidR="00FA2FF9" w:rsidRPr="00730DE4" w:rsidRDefault="00FA2FF9" w:rsidP="002B7001">
      <w:pPr>
        <w:pStyle w:val="Heading3"/>
        <w:rPr>
          <w:lang w:val="en-US"/>
        </w:rPr>
      </w:pPr>
      <w:bookmarkStart w:id="983" w:name="_Toc180487547"/>
      <w:bookmarkStart w:id="984" w:name="_Toc180490753"/>
      <w:bookmarkStart w:id="985" w:name="_Toc180491786"/>
      <w:r w:rsidRPr="00730DE4">
        <w:rPr>
          <w:lang w:val="en-US"/>
        </w:rPr>
        <w:t>Community Road Safety Grants Scheme</w:t>
      </w:r>
      <w:bookmarkEnd w:id="983"/>
      <w:bookmarkEnd w:id="984"/>
      <w:bookmarkEnd w:id="985"/>
    </w:p>
    <w:p w14:paraId="5AF55C2A" w14:textId="77777777" w:rsidR="00FA2FF9" w:rsidRPr="00730DE4" w:rsidRDefault="00FA2FF9" w:rsidP="00BA494E">
      <w:pPr>
        <w:rPr>
          <w:lang w:val="en-US"/>
        </w:rPr>
      </w:pPr>
      <w:r w:rsidRPr="00730DE4">
        <w:rPr>
          <w:lang w:val="en-US"/>
        </w:rPr>
        <w:t xml:space="preserve">In 2023–24, </w:t>
      </w:r>
      <w:r w:rsidRPr="00730DE4">
        <w:t>the Community Road Safety Grants Scheme awarded</w:t>
      </w:r>
      <w:r w:rsidRPr="00730DE4">
        <w:rPr>
          <w:lang w:val="en-US"/>
        </w:rPr>
        <w:t xml:space="preserve"> $</w:t>
      </w:r>
      <w:r w:rsidRPr="00730DE4">
        <w:t xml:space="preserve">7,837,123 </w:t>
      </w:r>
      <w:r w:rsidRPr="00730DE4">
        <w:rPr>
          <w:lang w:val="en-US"/>
        </w:rPr>
        <w:t>to support 72 community organisations to develop and deliver effective road safety education initiatives supporting people to be safer road users. This included more than $5 million to expand eight existing recurrent, long term learner driver mentor and road safety education programs into regional Queensland through to 30 June 2026.</w:t>
      </w:r>
    </w:p>
    <w:p w14:paraId="11DDAF12" w14:textId="77777777" w:rsidR="00FA2FF9" w:rsidRPr="00730DE4" w:rsidRDefault="00FA2FF9" w:rsidP="00BA494E">
      <w:pPr>
        <w:rPr>
          <w:lang w:val="en-US"/>
        </w:rPr>
      </w:pPr>
      <w:r w:rsidRPr="00730DE4">
        <w:rPr>
          <w:lang w:val="en-US"/>
        </w:rPr>
        <w:t>The scheme also introduced the Motorcycle</w:t>
      </w:r>
      <w:r w:rsidRPr="00730DE4">
        <w:t xml:space="preserve"> Ride to Zero Grants</w:t>
      </w:r>
      <w:r w:rsidRPr="00730DE4">
        <w:rPr>
          <w:lang w:val="en-US"/>
        </w:rPr>
        <w:t xml:space="preserve"> in 2023–24, with </w:t>
      </w:r>
      <w:r w:rsidRPr="00730DE4">
        <w:t xml:space="preserve">$350,000 </w:t>
      </w:r>
      <w:r w:rsidRPr="00730DE4">
        <w:rPr>
          <w:lang w:val="en-US"/>
        </w:rPr>
        <w:t>awarded to 22 organisations to support over 2000 motorcycle riders to undertake post-licence training courses to improve their safe riding skills and on-road behaviours.</w:t>
      </w:r>
    </w:p>
    <w:p w14:paraId="00920A07" w14:textId="77777777" w:rsidR="00FA2FF9" w:rsidRPr="00730DE4" w:rsidRDefault="00FA2FF9" w:rsidP="00BA494E">
      <w:pPr>
        <w:rPr>
          <w:lang w:val="en-US"/>
        </w:rPr>
      </w:pPr>
      <w:r w:rsidRPr="00730DE4">
        <w:rPr>
          <w:lang w:val="en-US"/>
        </w:rPr>
        <w:t>Since 2013, the scheme has awarded more than $53 million to 629 community-based road safety education initiatives.</w:t>
      </w:r>
    </w:p>
    <w:p w14:paraId="7D9762C4" w14:textId="77777777" w:rsidR="00FA2FF9" w:rsidRPr="00730DE4" w:rsidRDefault="00FA2FF9" w:rsidP="00BA494E">
      <w:pPr>
        <w:rPr>
          <w:lang w:val="en-US"/>
        </w:rPr>
      </w:pPr>
      <w:r w:rsidRPr="00730DE4">
        <w:rPr>
          <w:lang w:val="en-US"/>
        </w:rPr>
        <w:t>Examples of grants awarded in 2023–24 include:</w:t>
      </w:r>
    </w:p>
    <w:p w14:paraId="33B4EA32" w14:textId="77777777" w:rsidR="00FA2FF9" w:rsidRPr="00730DE4" w:rsidRDefault="00FA2FF9" w:rsidP="00BA494E">
      <w:pPr>
        <w:pStyle w:val="ListBullet"/>
        <w:rPr>
          <w:lang w:val="en-US"/>
        </w:rPr>
      </w:pPr>
      <w:r w:rsidRPr="00730DE4">
        <w:rPr>
          <w:lang w:val="en-US"/>
        </w:rPr>
        <w:t>$17,500 to Queensland Motorcycle Council Inc to deliver motorcycle rider post-licence training courses</w:t>
      </w:r>
    </w:p>
    <w:p w14:paraId="3E89623F" w14:textId="77777777" w:rsidR="00FA2FF9" w:rsidRPr="00730DE4" w:rsidRDefault="00FA2FF9" w:rsidP="00BA494E">
      <w:pPr>
        <w:pStyle w:val="ListBullet"/>
        <w:rPr>
          <w:lang w:val="en-US"/>
        </w:rPr>
      </w:pPr>
      <w:r w:rsidRPr="00730DE4">
        <w:rPr>
          <w:lang w:val="en-US"/>
        </w:rPr>
        <w:t>$5250 to Darling Downs HOG Chapter Inc to deliver motorcycle rider post-licence training courses</w:t>
      </w:r>
    </w:p>
    <w:p w14:paraId="378ADBCF" w14:textId="77777777" w:rsidR="00FA2FF9" w:rsidRPr="00730DE4" w:rsidRDefault="00FA2FF9" w:rsidP="00BA494E">
      <w:pPr>
        <w:pStyle w:val="ListBullet"/>
        <w:rPr>
          <w:lang w:val="en-US"/>
        </w:rPr>
      </w:pPr>
      <w:r w:rsidRPr="00730DE4">
        <w:rPr>
          <w:lang w:val="en-US"/>
        </w:rPr>
        <w:t>$21,949 to Road Accident Action Group Inc for a digital media campaign targeting e-scooter rider safety</w:t>
      </w:r>
    </w:p>
    <w:p w14:paraId="651F74A1" w14:textId="77777777" w:rsidR="00FA2FF9" w:rsidRPr="00730DE4" w:rsidRDefault="00FA2FF9" w:rsidP="00BA494E">
      <w:pPr>
        <w:pStyle w:val="ListBullet"/>
        <w:rPr>
          <w:lang w:val="en-US"/>
        </w:rPr>
      </w:pPr>
      <w:r w:rsidRPr="00730DE4">
        <w:rPr>
          <w:lang w:val="en-US"/>
        </w:rPr>
        <w:t>$18,000 to Charters Towers State High School to deliver young driver road safety education</w:t>
      </w:r>
    </w:p>
    <w:p w14:paraId="02CA3BEE" w14:textId="77777777" w:rsidR="00FA2FF9" w:rsidRPr="00730DE4" w:rsidRDefault="00FA2FF9" w:rsidP="00BA494E">
      <w:pPr>
        <w:pStyle w:val="ListBullet"/>
      </w:pPr>
      <w:r w:rsidRPr="00730DE4">
        <w:rPr>
          <w:lang w:val="en-US"/>
        </w:rPr>
        <w:t>$4925 to Kyabra Community Association Inc. for child car restraint education</w:t>
      </w:r>
    </w:p>
    <w:p w14:paraId="2369BB1B" w14:textId="77777777" w:rsidR="00FA2FF9" w:rsidRPr="00730DE4" w:rsidRDefault="00FA2FF9" w:rsidP="00BA494E">
      <w:pPr>
        <w:pStyle w:val="ListBullet"/>
      </w:pPr>
      <w:r w:rsidRPr="00730DE4">
        <w:rPr>
          <w:lang w:val="en-US"/>
        </w:rPr>
        <w:t xml:space="preserve">$16,431 to </w:t>
      </w:r>
      <w:r w:rsidRPr="00730DE4">
        <w:t>Multicultural Australia Ltd</w:t>
      </w:r>
      <w:r w:rsidRPr="00730DE4">
        <w:rPr>
          <w:lang w:val="en-US"/>
        </w:rPr>
        <w:t xml:space="preserve"> to deliver road safety education workshops.</w:t>
      </w:r>
    </w:p>
    <w:p w14:paraId="2A3BC3A5" w14:textId="77777777" w:rsidR="00FA2FF9" w:rsidRPr="00730DE4" w:rsidRDefault="00FA2FF9" w:rsidP="00BA494E">
      <w:pPr>
        <w:pStyle w:val="MessageHeader"/>
        <w:rPr>
          <w:lang w:val="en-US"/>
        </w:rPr>
      </w:pPr>
      <w:r w:rsidRPr="00730DE4">
        <w:rPr>
          <w:lang w:val="en-US"/>
        </w:rPr>
        <w:t xml:space="preserve">For more information </w:t>
      </w:r>
      <w:r w:rsidRPr="00730DE4">
        <w:rPr>
          <w:lang w:val="en-US"/>
        </w:rPr>
        <w:br/>
      </w:r>
      <w:hyperlink r:id="rId124" w:history="1">
        <w:r w:rsidRPr="00730DE4">
          <w:rPr>
            <w:rStyle w:val="Hyperlink"/>
            <w:lang w:val="en-US"/>
          </w:rPr>
          <w:t>https://www.qld.gov.au/transport/safety/road-safety/community-road-safety-grants</w:t>
        </w:r>
      </w:hyperlink>
    </w:p>
    <w:p w14:paraId="489F62B1" w14:textId="77777777" w:rsidR="00EA1647" w:rsidRDefault="00EA1647" w:rsidP="002B7001">
      <w:pPr>
        <w:pStyle w:val="Heading3"/>
        <w:rPr>
          <w:lang w:val="en-US"/>
        </w:rPr>
      </w:pPr>
      <w:r>
        <w:rPr>
          <w:lang w:val="en-US"/>
        </w:rPr>
        <w:br w:type="page"/>
      </w:r>
    </w:p>
    <w:p w14:paraId="51CD4A56" w14:textId="36251B91" w:rsidR="00FA2FF9" w:rsidRPr="00730DE4" w:rsidRDefault="00FA2FF9" w:rsidP="002B7001">
      <w:pPr>
        <w:pStyle w:val="Heading3"/>
        <w:rPr>
          <w:lang w:val="en-US"/>
        </w:rPr>
      </w:pPr>
      <w:bookmarkStart w:id="986" w:name="_Toc180487548"/>
      <w:bookmarkStart w:id="987" w:name="_Toc180490754"/>
      <w:bookmarkStart w:id="988" w:name="_Toc180491787"/>
      <w:r w:rsidRPr="00730DE4">
        <w:rPr>
          <w:lang w:val="en-US"/>
        </w:rPr>
        <w:t>Targeted Road Safety Program</w:t>
      </w:r>
      <w:bookmarkEnd w:id="986"/>
      <w:bookmarkEnd w:id="987"/>
      <w:bookmarkEnd w:id="988"/>
    </w:p>
    <w:p w14:paraId="4BA9A453" w14:textId="77777777" w:rsidR="00FA2FF9" w:rsidRPr="00730DE4" w:rsidRDefault="00FA2FF9" w:rsidP="00BA494E">
      <w:pPr>
        <w:rPr>
          <w:lang w:val="en-US"/>
        </w:rPr>
      </w:pPr>
      <w:r w:rsidRPr="00730DE4">
        <w:rPr>
          <w:lang w:val="en-US"/>
        </w:rPr>
        <w:t>The Targeted Road Safety Program delivers cost-effective, high-benefit road infrastructure interventions to improve network safety and reduce the impact of road trauma for all road users.</w:t>
      </w:r>
    </w:p>
    <w:p w14:paraId="4611F13F" w14:textId="77777777" w:rsidR="00FA2FF9" w:rsidRPr="00730DE4" w:rsidRDefault="00FA2FF9" w:rsidP="00C210E4">
      <w:pPr>
        <w:rPr>
          <w:lang w:val="en-US"/>
        </w:rPr>
      </w:pPr>
      <w:r w:rsidRPr="00730DE4">
        <w:rPr>
          <w:lang w:val="en-US"/>
        </w:rPr>
        <w:t>The Targeted R</w:t>
      </w:r>
      <w:r w:rsidRPr="00730DE4">
        <w:t>oad Safety Program is funded primarily by the Camera Detected Offence Program and the Australian Government Road Safety Program and consists</w:t>
      </w:r>
      <w:r w:rsidRPr="00730DE4">
        <w:rPr>
          <w:lang w:val="en-US"/>
        </w:rPr>
        <w:t xml:space="preserve"> of multiple sub-</w:t>
      </w:r>
      <w:r w:rsidRPr="00730DE4">
        <w:t>programs, includ</w:t>
      </w:r>
      <w:r w:rsidRPr="00730DE4">
        <w:rPr>
          <w:lang w:val="en-US"/>
        </w:rPr>
        <w:t>ing:</w:t>
      </w:r>
    </w:p>
    <w:p w14:paraId="3960E9B6" w14:textId="77777777" w:rsidR="00FA2FF9" w:rsidRPr="00730DE4" w:rsidRDefault="00FA2FF9" w:rsidP="00BA494E">
      <w:pPr>
        <w:pStyle w:val="ListBullet"/>
        <w:rPr>
          <w:lang w:val="en-US"/>
        </w:rPr>
      </w:pPr>
      <w:r w:rsidRPr="00730DE4">
        <w:rPr>
          <w:lang w:val="en-US"/>
        </w:rPr>
        <w:t xml:space="preserve">Safer Roads Sooner </w:t>
      </w:r>
    </w:p>
    <w:p w14:paraId="55F2AD34" w14:textId="77777777" w:rsidR="00FA2FF9" w:rsidRPr="00730DE4" w:rsidRDefault="00FA2FF9" w:rsidP="00BA494E">
      <w:pPr>
        <w:pStyle w:val="ListBullet"/>
        <w:rPr>
          <w:lang w:val="en-US"/>
        </w:rPr>
      </w:pPr>
      <w:r w:rsidRPr="00730DE4">
        <w:rPr>
          <w:lang w:val="en-US"/>
        </w:rPr>
        <w:t>Black Spot Program</w:t>
      </w:r>
    </w:p>
    <w:p w14:paraId="59EB85AC" w14:textId="77777777" w:rsidR="00FA2FF9" w:rsidRPr="00730DE4" w:rsidRDefault="00FA2FF9" w:rsidP="00BA494E">
      <w:pPr>
        <w:pStyle w:val="ListBullet"/>
        <w:rPr>
          <w:lang w:val="en-US"/>
        </w:rPr>
      </w:pPr>
      <w:r w:rsidRPr="00730DE4">
        <w:rPr>
          <w:lang w:val="en-US"/>
        </w:rPr>
        <w:t>Mass Action Initiatives</w:t>
      </w:r>
    </w:p>
    <w:p w14:paraId="3B73F2E6" w14:textId="77777777" w:rsidR="00FA2FF9" w:rsidRPr="00730DE4" w:rsidRDefault="00FA2FF9" w:rsidP="00BA494E">
      <w:pPr>
        <w:pStyle w:val="ListBullet"/>
        <w:rPr>
          <w:lang w:val="en-US"/>
        </w:rPr>
      </w:pPr>
      <w:r w:rsidRPr="00730DE4">
        <w:rPr>
          <w:lang w:val="en-US"/>
        </w:rPr>
        <w:t>Route Actions</w:t>
      </w:r>
    </w:p>
    <w:p w14:paraId="6A3A2C1B" w14:textId="77777777" w:rsidR="00FA2FF9" w:rsidRPr="00730DE4" w:rsidRDefault="00FA2FF9" w:rsidP="00BA494E">
      <w:pPr>
        <w:pStyle w:val="ListBullet"/>
        <w:rPr>
          <w:lang w:val="en-US"/>
        </w:rPr>
      </w:pPr>
      <w:r w:rsidRPr="00730DE4">
        <w:rPr>
          <w:lang w:val="en-US"/>
        </w:rPr>
        <w:t>School Transport Infrastructure Program</w:t>
      </w:r>
    </w:p>
    <w:p w14:paraId="54BAFDBF" w14:textId="77777777" w:rsidR="00FA2FF9" w:rsidRPr="00730DE4" w:rsidRDefault="00FA2FF9" w:rsidP="00BA494E">
      <w:pPr>
        <w:pStyle w:val="ListBullet"/>
        <w:rPr>
          <w:lang w:val="en-US"/>
        </w:rPr>
      </w:pPr>
      <w:r w:rsidRPr="00730DE4">
        <w:rPr>
          <w:lang w:val="en-US"/>
        </w:rPr>
        <w:t>Vulnerable Users.</w:t>
      </w:r>
    </w:p>
    <w:p w14:paraId="24A55E7B" w14:textId="77777777" w:rsidR="00FA2FF9" w:rsidRPr="00730DE4" w:rsidRDefault="00FA2FF9" w:rsidP="00BA494E">
      <w:pPr>
        <w:rPr>
          <w:lang w:val="en-US"/>
        </w:rPr>
      </w:pPr>
      <w:r w:rsidRPr="00730DE4">
        <w:rPr>
          <w:lang w:val="en-US"/>
        </w:rPr>
        <w:t xml:space="preserve">During 2023–24, the </w:t>
      </w:r>
      <w:r w:rsidRPr="00730DE4">
        <w:t>Targeted Road Safety Program delivered</w:t>
      </w:r>
      <w:r w:rsidRPr="00730DE4">
        <w:rPr>
          <w:lang w:val="en-US"/>
        </w:rPr>
        <w:t xml:space="preserve"> $311.7 million in safety treatments across Queensland to remedy locations with a significant crash history or other identified safety issues.</w:t>
      </w:r>
    </w:p>
    <w:p w14:paraId="77266335" w14:textId="77777777" w:rsidR="00FA2FF9" w:rsidRPr="00730DE4" w:rsidRDefault="00FA2FF9" w:rsidP="00BA494E">
      <w:pPr>
        <w:rPr>
          <w:lang w:val="en-US"/>
        </w:rPr>
      </w:pPr>
      <w:r w:rsidRPr="00730DE4">
        <w:rPr>
          <w:lang w:val="en-US"/>
        </w:rPr>
        <w:t>Major Targeted Road Safety Program projects delivered in 2023–24 include:</w:t>
      </w:r>
    </w:p>
    <w:p w14:paraId="16B8CFE2" w14:textId="77777777" w:rsidR="00FA2FF9" w:rsidRPr="00730DE4" w:rsidRDefault="00FA2FF9" w:rsidP="00BA494E">
      <w:pPr>
        <w:pStyle w:val="ListBullet"/>
        <w:rPr>
          <w:lang w:val="en-US"/>
        </w:rPr>
      </w:pPr>
      <w:r w:rsidRPr="00730DE4">
        <w:rPr>
          <w:lang w:val="en-US"/>
        </w:rPr>
        <w:t>upgrade the intersection of Cleveland Sub-Arterial Road and New Cleveland Road</w:t>
      </w:r>
    </w:p>
    <w:p w14:paraId="4B0BCCAB" w14:textId="77777777" w:rsidR="00FA2FF9" w:rsidRPr="00730DE4" w:rsidRDefault="00FA2FF9" w:rsidP="00BA494E">
      <w:pPr>
        <w:pStyle w:val="ListBullet"/>
        <w:rPr>
          <w:lang w:val="en-US"/>
        </w:rPr>
      </w:pPr>
      <w:r w:rsidRPr="00730DE4">
        <w:rPr>
          <w:lang w:val="en-US"/>
        </w:rPr>
        <w:t>widen pavement on Kin Kin Road</w:t>
      </w:r>
    </w:p>
    <w:p w14:paraId="1EB7A579" w14:textId="77777777" w:rsidR="00FA2FF9" w:rsidRPr="00730DE4" w:rsidRDefault="00FA2FF9" w:rsidP="00BA494E">
      <w:pPr>
        <w:pStyle w:val="ListBullet"/>
        <w:rPr>
          <w:lang w:val="en-US"/>
        </w:rPr>
      </w:pPr>
      <w:r w:rsidRPr="00730DE4">
        <w:rPr>
          <w:lang w:val="en-US"/>
        </w:rPr>
        <w:t>undertake safety improvements at the intersection of Southport–Nerang Road and Stewart Parade</w:t>
      </w:r>
    </w:p>
    <w:p w14:paraId="0653D546" w14:textId="77777777" w:rsidR="00FA2FF9" w:rsidRPr="00730DE4" w:rsidRDefault="00FA2FF9" w:rsidP="00BA494E">
      <w:pPr>
        <w:pStyle w:val="ListBullet"/>
        <w:rPr>
          <w:lang w:val="en-US"/>
        </w:rPr>
      </w:pPr>
      <w:r w:rsidRPr="00730DE4">
        <w:rPr>
          <w:lang w:val="en-US"/>
        </w:rPr>
        <w:t>undertake safety improvements on Marlborough–Sarina Road between Clarke Creek and the Bruce Highway.</w:t>
      </w:r>
    </w:p>
    <w:p w14:paraId="59298863" w14:textId="77777777" w:rsidR="00FA2FF9" w:rsidRPr="00730DE4" w:rsidRDefault="00FA2FF9" w:rsidP="002B7001">
      <w:pPr>
        <w:pStyle w:val="Heading3"/>
        <w:rPr>
          <w:lang w:val="en-US"/>
        </w:rPr>
      </w:pPr>
      <w:bookmarkStart w:id="989" w:name="_Toc180487549"/>
      <w:bookmarkStart w:id="990" w:name="_Toc180490755"/>
      <w:bookmarkStart w:id="991" w:name="_Toc180491788"/>
      <w:r w:rsidRPr="00730DE4">
        <w:rPr>
          <w:lang w:val="en-US"/>
        </w:rPr>
        <w:t>School Transport Infrastructure Program</w:t>
      </w:r>
      <w:bookmarkEnd w:id="989"/>
      <w:bookmarkEnd w:id="990"/>
      <w:bookmarkEnd w:id="991"/>
    </w:p>
    <w:p w14:paraId="29623361" w14:textId="77777777" w:rsidR="00FA2FF9" w:rsidRPr="00730DE4" w:rsidRDefault="00FA2FF9" w:rsidP="00BA494E">
      <w:pPr>
        <w:rPr>
          <w:lang w:val="en-US"/>
        </w:rPr>
      </w:pPr>
      <w:r w:rsidRPr="00730DE4">
        <w:rPr>
          <w:lang w:val="en-US"/>
        </w:rPr>
        <w:t>The School Transport Infrastructure Program (STIP) provides funding to improve the safety and operation at schools through new or improved infrastructure at schools and on the surrounding road network. The state-funded initiative aims to provide long-term solutions to protect one of Queensland’s most vulnerable road user groups, school children.</w:t>
      </w:r>
    </w:p>
    <w:p w14:paraId="3759DBEB" w14:textId="77777777" w:rsidR="00FA2FF9" w:rsidRPr="00730DE4" w:rsidRDefault="00FA2FF9" w:rsidP="00BA494E">
      <w:pPr>
        <w:rPr>
          <w:lang w:val="en-US"/>
        </w:rPr>
      </w:pPr>
      <w:r w:rsidRPr="00730DE4">
        <w:rPr>
          <w:lang w:val="en-US"/>
        </w:rPr>
        <w:t>In 2022, the Queensland Government committed $40 million to deliver STIP projects from 2022–23 to 2025–26. Since STIP began in 2018–19, 127 projects have been delivered, including upgrades to carparks and construction of stop, drop, and go facilities, bus stops, and footpaths. In 2023–24, a further 87 new projects were approved for delivery.</w:t>
      </w:r>
    </w:p>
    <w:p w14:paraId="5DEEBE70" w14:textId="77777777" w:rsidR="00EA1647" w:rsidRDefault="00EA1647" w:rsidP="00BA494E">
      <w:r>
        <w:br w:type="page"/>
      </w:r>
    </w:p>
    <w:p w14:paraId="0D568B62" w14:textId="3153263D" w:rsidR="00FA2FF9" w:rsidRPr="00730DE4" w:rsidRDefault="00FA2FF9" w:rsidP="00BA494E">
      <w:pPr>
        <w:rPr>
          <w:lang w:val="en-US"/>
        </w:rPr>
      </w:pPr>
      <w:r w:rsidRPr="00730DE4">
        <w:t>The STIP complements</w:t>
      </w:r>
      <w:r w:rsidRPr="00730DE4">
        <w:rPr>
          <w:lang w:val="en-US"/>
        </w:rPr>
        <w:t xml:space="preserve"> other ongoing Queensland Government initiatives to improve safety at and around Queensland schools, including the Flashing School Zone Signs program, the School Crossing Supervisor Scheme, and the Community Road Safety Grants Program.</w:t>
      </w:r>
    </w:p>
    <w:p w14:paraId="4C2DED3E" w14:textId="77777777" w:rsidR="00FA2FF9" w:rsidRPr="00730DE4" w:rsidRDefault="00FA2FF9" w:rsidP="00BA494E">
      <w:pPr>
        <w:rPr>
          <w:lang w:val="en-US"/>
        </w:rPr>
      </w:pPr>
      <w:r w:rsidRPr="00730DE4">
        <w:rPr>
          <w:lang w:val="en-US"/>
        </w:rPr>
        <w:t>The program also complements the TIDS, which funds local governments for road and transport-related initiatives including safe school travel infrastructure.</w:t>
      </w:r>
    </w:p>
    <w:p w14:paraId="18F337AC" w14:textId="77777777" w:rsidR="00FA2FF9" w:rsidRPr="00730DE4" w:rsidRDefault="00FA2FF9" w:rsidP="00BA494E">
      <w:pPr>
        <w:rPr>
          <w:lang w:val="en-US"/>
        </w:rPr>
      </w:pPr>
      <w:r w:rsidRPr="00730DE4">
        <w:rPr>
          <w:lang w:val="en-US"/>
        </w:rPr>
        <w:t>STIP projects delivered in 2023–24 include:</w:t>
      </w:r>
    </w:p>
    <w:p w14:paraId="45AB7449" w14:textId="77777777" w:rsidR="00FA2FF9" w:rsidRPr="00730DE4" w:rsidRDefault="00FA2FF9" w:rsidP="00BA494E">
      <w:pPr>
        <w:pStyle w:val="ListBullet"/>
        <w:rPr>
          <w:lang w:val="en-US"/>
        </w:rPr>
      </w:pPr>
      <w:r w:rsidRPr="00730DE4">
        <w:rPr>
          <w:lang w:val="en-US"/>
        </w:rPr>
        <w:t>upgrade of carpark facilities at Gilroy Santa Maria College</w:t>
      </w:r>
    </w:p>
    <w:p w14:paraId="5D98F434" w14:textId="77777777" w:rsidR="00FA2FF9" w:rsidRPr="00730DE4" w:rsidRDefault="00FA2FF9" w:rsidP="00BA494E">
      <w:pPr>
        <w:pStyle w:val="ListBullet"/>
        <w:rPr>
          <w:lang w:val="en-US"/>
        </w:rPr>
      </w:pPr>
      <w:r w:rsidRPr="00730DE4">
        <w:rPr>
          <w:lang w:val="en-US"/>
        </w:rPr>
        <w:t>construction of footpaths and kerb at North Rockhampton State High School</w:t>
      </w:r>
    </w:p>
    <w:p w14:paraId="4FDD4701" w14:textId="77777777" w:rsidR="00FA2FF9" w:rsidRPr="00730DE4" w:rsidRDefault="00FA2FF9" w:rsidP="00BA494E">
      <w:pPr>
        <w:pStyle w:val="ListBullet"/>
        <w:rPr>
          <w:lang w:val="en-US"/>
        </w:rPr>
      </w:pPr>
      <w:r w:rsidRPr="00730DE4">
        <w:rPr>
          <w:lang w:val="en-US"/>
        </w:rPr>
        <w:t>installation of enhanced flashing school zone signs at Clontarf Beach State High School</w:t>
      </w:r>
    </w:p>
    <w:p w14:paraId="76F9E294" w14:textId="77777777" w:rsidR="00FA2FF9" w:rsidRPr="00730DE4" w:rsidRDefault="00FA2FF9" w:rsidP="00BA494E">
      <w:pPr>
        <w:pStyle w:val="ListBullet"/>
        <w:rPr>
          <w:lang w:val="en-US"/>
        </w:rPr>
      </w:pPr>
      <w:r w:rsidRPr="00730DE4">
        <w:rPr>
          <w:lang w:val="en-US"/>
        </w:rPr>
        <w:t xml:space="preserve">upgrade passenger set-down facilities at Hope Adventist School. </w:t>
      </w:r>
    </w:p>
    <w:p w14:paraId="6B763336" w14:textId="77777777" w:rsidR="00FA2FF9" w:rsidRPr="00730DE4" w:rsidRDefault="00FA2FF9" w:rsidP="002B7001">
      <w:pPr>
        <w:pStyle w:val="Heading3"/>
        <w:rPr>
          <w:lang w:val="en-US"/>
        </w:rPr>
      </w:pPr>
      <w:bookmarkStart w:id="992" w:name="_Toc180487550"/>
      <w:bookmarkStart w:id="993" w:name="_Toc180490756"/>
      <w:bookmarkStart w:id="994" w:name="_Toc180491789"/>
      <w:r w:rsidRPr="00730DE4">
        <w:rPr>
          <w:lang w:val="en-US"/>
        </w:rPr>
        <w:t>Flashing school zone signs</w:t>
      </w:r>
      <w:bookmarkEnd w:id="992"/>
      <w:bookmarkEnd w:id="993"/>
      <w:bookmarkEnd w:id="994"/>
    </w:p>
    <w:p w14:paraId="30978ABD" w14:textId="77777777" w:rsidR="00FA2FF9" w:rsidRPr="00730DE4" w:rsidRDefault="00FA2FF9" w:rsidP="00BA494E">
      <w:pPr>
        <w:rPr>
          <w:lang w:val="en-US"/>
        </w:rPr>
      </w:pPr>
      <w:r w:rsidRPr="00730DE4">
        <w:rPr>
          <w:lang w:val="en-US"/>
        </w:rPr>
        <w:t xml:space="preserve">Children are safer travelling to and from school thanks to flashing school zone signs now operating in </w:t>
      </w:r>
      <w:r w:rsidRPr="00730DE4">
        <w:t xml:space="preserve">1426 </w:t>
      </w:r>
      <w:r w:rsidRPr="00730DE4">
        <w:rPr>
          <w:lang w:val="en-US"/>
        </w:rPr>
        <w:t>school zones across Queensland.</w:t>
      </w:r>
    </w:p>
    <w:p w14:paraId="40B252B2" w14:textId="77777777" w:rsidR="00FA2FF9" w:rsidRPr="00730DE4" w:rsidRDefault="00FA2FF9" w:rsidP="00BA494E">
      <w:pPr>
        <w:rPr>
          <w:lang w:val="en-US"/>
        </w:rPr>
      </w:pPr>
      <w:r w:rsidRPr="00730DE4">
        <w:rPr>
          <w:lang w:val="en-US"/>
        </w:rPr>
        <w:t>Funded by the Camera Detected Offence Program, flashing school zone signs were approved for 100 sites across the state in 2023–24, including:</w:t>
      </w:r>
    </w:p>
    <w:p w14:paraId="141B4EEF" w14:textId="77777777" w:rsidR="00FA2FF9" w:rsidRPr="00730DE4" w:rsidRDefault="00FA2FF9" w:rsidP="00BA494E">
      <w:pPr>
        <w:pStyle w:val="ListBullet"/>
        <w:rPr>
          <w:lang w:val="en-US"/>
        </w:rPr>
      </w:pPr>
      <w:r w:rsidRPr="00730DE4">
        <w:rPr>
          <w:lang w:val="en-US"/>
        </w:rPr>
        <w:t>Agnes Water State School</w:t>
      </w:r>
    </w:p>
    <w:p w14:paraId="76AFD93F" w14:textId="77777777" w:rsidR="00FA2FF9" w:rsidRPr="00730DE4" w:rsidRDefault="00FA2FF9" w:rsidP="00BA494E">
      <w:pPr>
        <w:pStyle w:val="ListBullet"/>
        <w:rPr>
          <w:lang w:val="en-US"/>
        </w:rPr>
      </w:pPr>
      <w:r w:rsidRPr="00730DE4">
        <w:rPr>
          <w:lang w:val="en-US"/>
        </w:rPr>
        <w:t>Highfields State Secondary College</w:t>
      </w:r>
    </w:p>
    <w:p w14:paraId="532E4F74" w14:textId="77777777" w:rsidR="00FA2FF9" w:rsidRPr="00730DE4" w:rsidRDefault="00FA2FF9" w:rsidP="00BA494E">
      <w:pPr>
        <w:pStyle w:val="ListBullet"/>
        <w:rPr>
          <w:lang w:val="en-US"/>
        </w:rPr>
      </w:pPr>
      <w:r w:rsidRPr="00730DE4">
        <w:rPr>
          <w:lang w:val="en-US"/>
        </w:rPr>
        <w:t>St Joseph's Parish School in Weipa</w:t>
      </w:r>
    </w:p>
    <w:p w14:paraId="32AB01DD" w14:textId="77777777" w:rsidR="00FA2FF9" w:rsidRPr="00730DE4" w:rsidRDefault="00FA2FF9" w:rsidP="00BA494E">
      <w:pPr>
        <w:pStyle w:val="ListBullet"/>
        <w:rPr>
          <w:lang w:val="en-US"/>
        </w:rPr>
      </w:pPr>
      <w:r w:rsidRPr="00730DE4">
        <w:rPr>
          <w:lang w:val="en-US"/>
        </w:rPr>
        <w:t>St Ursula's College in Yeppoon</w:t>
      </w:r>
    </w:p>
    <w:p w14:paraId="65734443" w14:textId="77777777" w:rsidR="00FA2FF9" w:rsidRPr="00730DE4" w:rsidRDefault="00FA2FF9" w:rsidP="00BA494E">
      <w:pPr>
        <w:pStyle w:val="ListBullet"/>
        <w:rPr>
          <w:lang w:val="en-US"/>
        </w:rPr>
      </w:pPr>
      <w:r w:rsidRPr="00730DE4">
        <w:rPr>
          <w:lang w:val="en-US"/>
        </w:rPr>
        <w:t>Windera State School</w:t>
      </w:r>
    </w:p>
    <w:p w14:paraId="120EBB66" w14:textId="77777777" w:rsidR="00FA2FF9" w:rsidRPr="00730DE4" w:rsidRDefault="00FA2FF9" w:rsidP="00BA494E">
      <w:pPr>
        <w:pStyle w:val="ListBullet"/>
        <w:rPr>
          <w:lang w:val="en-US"/>
        </w:rPr>
      </w:pPr>
      <w:r w:rsidRPr="00730DE4">
        <w:rPr>
          <w:lang w:val="en-US"/>
        </w:rPr>
        <w:t>60 sites in South East Queensland.</w:t>
      </w:r>
    </w:p>
    <w:p w14:paraId="5A37F199" w14:textId="77777777" w:rsidR="00FA2FF9" w:rsidRPr="00730DE4" w:rsidRDefault="00FA2FF9" w:rsidP="00BA494E">
      <w:pPr>
        <w:rPr>
          <w:lang w:val="en-US"/>
        </w:rPr>
      </w:pPr>
      <w:r w:rsidRPr="00730DE4">
        <w:rPr>
          <w:lang w:val="en-US"/>
        </w:rPr>
        <w:t>An additional 102 school zones are scheduled for signs in 2024–25.</w:t>
      </w:r>
    </w:p>
    <w:p w14:paraId="2F3C679B" w14:textId="77777777" w:rsidR="00FA2FF9" w:rsidRPr="00730DE4" w:rsidRDefault="00FA2FF9" w:rsidP="00BA494E">
      <w:pPr>
        <w:rPr>
          <w:lang w:val="en-US"/>
        </w:rPr>
      </w:pPr>
      <w:r w:rsidRPr="00730DE4">
        <w:rPr>
          <w:lang w:val="en-US"/>
        </w:rPr>
        <w:t>In response to many drivers detected to be travelling over 20 kilometres per hour more than the speed limit in Queensland school zones, in August 2023 TMR began piloting new roadways behaviour monitoring system speed camera technology built into flashing school zone signs. These portable cameras are being rotated around 24 high-risk school zones.</w:t>
      </w:r>
    </w:p>
    <w:p w14:paraId="588DDAF2" w14:textId="77777777" w:rsidR="00EA1647" w:rsidRDefault="00EA1647" w:rsidP="002B7001">
      <w:pPr>
        <w:pStyle w:val="Heading3"/>
        <w:rPr>
          <w:lang w:val="en-US"/>
        </w:rPr>
      </w:pPr>
      <w:r>
        <w:rPr>
          <w:lang w:val="en-US"/>
        </w:rPr>
        <w:br w:type="page"/>
      </w:r>
    </w:p>
    <w:p w14:paraId="3B5F63CD" w14:textId="1DE796B8" w:rsidR="00FA2FF9" w:rsidRPr="00730DE4" w:rsidRDefault="00FA2FF9" w:rsidP="002B7001">
      <w:pPr>
        <w:pStyle w:val="Heading3"/>
        <w:rPr>
          <w:lang w:val="en-US"/>
        </w:rPr>
      </w:pPr>
      <w:bookmarkStart w:id="995" w:name="_Toc180487551"/>
      <w:bookmarkStart w:id="996" w:name="_Toc180490757"/>
      <w:bookmarkStart w:id="997" w:name="_Toc180491790"/>
      <w:r w:rsidRPr="00730DE4">
        <w:rPr>
          <w:lang w:val="en-US"/>
        </w:rPr>
        <w:t>Queensland Road Safety Week</w:t>
      </w:r>
      <w:bookmarkEnd w:id="995"/>
      <w:bookmarkEnd w:id="996"/>
      <w:bookmarkEnd w:id="997"/>
    </w:p>
    <w:p w14:paraId="558475AE" w14:textId="77777777" w:rsidR="00FA2FF9" w:rsidRPr="00730DE4" w:rsidRDefault="00FA2FF9" w:rsidP="00BA494E">
      <w:pPr>
        <w:rPr>
          <w:lang w:val="en-US"/>
        </w:rPr>
      </w:pPr>
      <w:r w:rsidRPr="00730DE4">
        <w:rPr>
          <w:lang w:val="en-US"/>
        </w:rPr>
        <w:t>The ninth Queensland Road Safety Week, held 21 to 25 August 2023, was a chance to celebrate safe driving through the theme 'Road safety starts with me'.</w:t>
      </w:r>
    </w:p>
    <w:p w14:paraId="55A3759E" w14:textId="77777777" w:rsidR="00FA2FF9" w:rsidRPr="00730DE4" w:rsidRDefault="00FA2FF9" w:rsidP="00BA494E">
      <w:pPr>
        <w:rPr>
          <w:lang w:val="en-US"/>
        </w:rPr>
      </w:pPr>
      <w:r w:rsidRPr="00730DE4">
        <w:rPr>
          <w:lang w:val="en-US"/>
        </w:rPr>
        <w:t>Major landmarks were lit yellow as a prominent declaration to Queenslanders, and supporters were encouraged to wear yellow to raise awareness and invite conversations around road safety.</w:t>
      </w:r>
    </w:p>
    <w:p w14:paraId="7AE40D54" w14:textId="77777777" w:rsidR="00FA2FF9" w:rsidRPr="00730DE4" w:rsidRDefault="00FA2FF9" w:rsidP="00BA494E">
      <w:pPr>
        <w:rPr>
          <w:lang w:val="en-US"/>
        </w:rPr>
      </w:pPr>
      <w:r w:rsidRPr="00730DE4">
        <w:rPr>
          <w:lang w:val="en-US"/>
        </w:rPr>
        <w:t>Local media covered the initiative strongly, with 217 mentions reaching over 1.7 million people, and social media posts reaching more than 1.4 million individuals and organisations with celebrations of the safest drivers and positive driving behaviours.</w:t>
      </w:r>
    </w:p>
    <w:p w14:paraId="19E0550A" w14:textId="77777777" w:rsidR="00FA2FF9" w:rsidRPr="00730DE4" w:rsidRDefault="00FA2FF9" w:rsidP="00BA494E">
      <w:pPr>
        <w:rPr>
          <w:lang w:val="en-US"/>
        </w:rPr>
      </w:pPr>
      <w:r w:rsidRPr="00730DE4">
        <w:rPr>
          <w:lang w:val="en-US"/>
        </w:rPr>
        <w:t>User-generated content was very strong, with over 300 posts supporting road safety on social media.</w:t>
      </w:r>
    </w:p>
    <w:p w14:paraId="4E2B2E7C" w14:textId="77777777" w:rsidR="00FA2FF9" w:rsidRPr="00730DE4" w:rsidRDefault="00FA2FF9" w:rsidP="00BA494E">
      <w:pPr>
        <w:rPr>
          <w:lang w:val="en-US"/>
        </w:rPr>
      </w:pPr>
      <w:r w:rsidRPr="00730DE4">
        <w:rPr>
          <w:lang w:val="en-US"/>
        </w:rPr>
        <w:t>TMR's partner, QPS, promoted the program through blog and social media posts, plus a series of videos and useful tips on avoiding the Fatal Five to further encourage personal responsibility on the roads.</w:t>
      </w:r>
    </w:p>
    <w:p w14:paraId="69A31A52" w14:textId="77777777" w:rsidR="00FA2FF9" w:rsidRPr="00730DE4" w:rsidRDefault="00FA2FF9" w:rsidP="002B7001">
      <w:pPr>
        <w:pStyle w:val="Heading3"/>
        <w:rPr>
          <w:lang w:val="en-US"/>
        </w:rPr>
      </w:pPr>
      <w:bookmarkStart w:id="998" w:name="_Toc180487552"/>
      <w:bookmarkStart w:id="999" w:name="_Toc180490758"/>
      <w:bookmarkStart w:id="1000" w:name="_Toc180491791"/>
      <w:r w:rsidRPr="00730DE4">
        <w:rPr>
          <w:lang w:val="en-US"/>
        </w:rPr>
        <w:t>Road Safety Data Bureau</w:t>
      </w:r>
      <w:bookmarkEnd w:id="998"/>
      <w:bookmarkEnd w:id="999"/>
      <w:bookmarkEnd w:id="1000"/>
    </w:p>
    <w:p w14:paraId="31359C5F" w14:textId="77777777" w:rsidR="00FA2FF9" w:rsidRPr="00730DE4" w:rsidRDefault="00FA2FF9" w:rsidP="00BA494E">
      <w:pPr>
        <w:rPr>
          <w:lang w:val="en-US"/>
        </w:rPr>
      </w:pPr>
      <w:r w:rsidRPr="00730DE4">
        <w:rPr>
          <w:lang w:val="en-US"/>
        </w:rPr>
        <w:t>To better understand the impact of road trauma in Queensland, the Road Safety Data Bureau was established in 2019. This bureau analyses road safety data from various government agencies to inform whole-of-government decision making and approaches to road safety policy and programs.</w:t>
      </w:r>
    </w:p>
    <w:p w14:paraId="70BCC785" w14:textId="77777777" w:rsidR="00FA2FF9" w:rsidRPr="00730DE4" w:rsidRDefault="00FA2FF9" w:rsidP="00BA494E">
      <w:pPr>
        <w:rPr>
          <w:lang w:val="en-US"/>
        </w:rPr>
      </w:pPr>
      <w:r w:rsidRPr="00730DE4">
        <w:rPr>
          <w:lang w:val="en-US"/>
        </w:rPr>
        <w:t>The bureau includes representatives from TMR, QPS, Motor Accident Insurance Commission (MAIC), and Queensland Health through the Jamieson Trauma Institute.</w:t>
      </w:r>
    </w:p>
    <w:p w14:paraId="153F1F72" w14:textId="77777777" w:rsidR="00FA2FF9" w:rsidRPr="00730DE4" w:rsidRDefault="00FA2FF9" w:rsidP="00BA494E">
      <w:pPr>
        <w:rPr>
          <w:lang w:val="en-US"/>
        </w:rPr>
      </w:pPr>
      <w:r w:rsidRPr="00730DE4">
        <w:rPr>
          <w:lang w:val="en-US"/>
        </w:rPr>
        <w:t>In 2023–24, the bureau achieved several significant milestones:</w:t>
      </w:r>
    </w:p>
    <w:p w14:paraId="31A62212" w14:textId="77777777" w:rsidR="00FA2FF9" w:rsidRPr="00730DE4" w:rsidRDefault="00FA2FF9" w:rsidP="00D04779">
      <w:pPr>
        <w:pStyle w:val="ListBullet"/>
        <w:rPr>
          <w:lang w:val="en-US"/>
        </w:rPr>
      </w:pPr>
      <w:r w:rsidRPr="00730DE4">
        <w:rPr>
          <w:rStyle w:val="Strong"/>
          <w:lang w:val="en-US"/>
        </w:rPr>
        <w:t>Senior adult road users data scoping</w:t>
      </w:r>
      <w:r w:rsidRPr="00730DE4">
        <w:rPr>
          <w:lang w:val="en-US"/>
        </w:rPr>
        <w:br/>
        <w:t>This project explored the feasibility and value of accessing location, mobility, accessibility, and safety datasets for senior adult road users within Queensland.</w:t>
      </w:r>
    </w:p>
    <w:p w14:paraId="4D75D538" w14:textId="77777777" w:rsidR="00FA2FF9" w:rsidRPr="00730DE4" w:rsidRDefault="00FA2FF9" w:rsidP="00D04779">
      <w:pPr>
        <w:pStyle w:val="ListBullet"/>
        <w:rPr>
          <w:lang w:val="en-US"/>
        </w:rPr>
      </w:pPr>
      <w:r w:rsidRPr="00730DE4">
        <w:rPr>
          <w:rStyle w:val="Strong"/>
          <w:lang w:val="en-US"/>
        </w:rPr>
        <w:t>Motorcycle fatalities monitoring</w:t>
      </w:r>
      <w:r w:rsidRPr="00730DE4">
        <w:rPr>
          <w:lang w:val="en-US"/>
        </w:rPr>
        <w:br/>
        <w:t>This project reviewed motorcycle rider/pillion fatalities from 1 January to 31 December 2023, providing stakeholders with a comprehensive understanding of the nature and characteristics of these fatalities.</w:t>
      </w:r>
    </w:p>
    <w:p w14:paraId="3C81A687" w14:textId="77777777" w:rsidR="00FA2FF9" w:rsidRPr="00730DE4" w:rsidRDefault="00FA2FF9" w:rsidP="00D04779">
      <w:pPr>
        <w:pStyle w:val="ListBullet"/>
        <w:rPr>
          <w:lang w:val="en-US"/>
        </w:rPr>
      </w:pPr>
      <w:r w:rsidRPr="00730DE4">
        <w:rPr>
          <w:rStyle w:val="Strong"/>
          <w:lang w:val="en-US"/>
        </w:rPr>
        <w:t>Linked data from multiple sources</w:t>
      </w:r>
      <w:r w:rsidRPr="00730DE4">
        <w:rPr>
          <w:lang w:val="en-US"/>
        </w:rPr>
        <w:br/>
        <w:t>TMR received data from Queensland Health, MAIC, and Queensland Ambulance for the period 1 January 2015 to 31 December 2021. This data will shed light on the under-reporting of road crash injuries, particularly among bicycle and motorcycle riders, and provide insights into the interaction between crash, infrastructure, person, and vehicle characteristics on the severity of road crash injuries.</w:t>
      </w:r>
    </w:p>
    <w:p w14:paraId="54DE5312" w14:textId="77777777" w:rsidR="00FA2FF9" w:rsidRPr="00730DE4" w:rsidRDefault="00FA2FF9" w:rsidP="002B7001">
      <w:pPr>
        <w:pStyle w:val="Heading3"/>
        <w:rPr>
          <w:lang w:val="en-US"/>
        </w:rPr>
      </w:pPr>
      <w:bookmarkStart w:id="1001" w:name="_Toc180487553"/>
      <w:bookmarkStart w:id="1002" w:name="_Toc180490759"/>
      <w:bookmarkStart w:id="1003" w:name="_Toc180491792"/>
      <w:r w:rsidRPr="00730DE4">
        <w:rPr>
          <w:lang w:val="en-US"/>
        </w:rPr>
        <w:t>Improving e-scooter safety—new rules for riders</w:t>
      </w:r>
      <w:bookmarkEnd w:id="1001"/>
      <w:bookmarkEnd w:id="1002"/>
      <w:bookmarkEnd w:id="1003"/>
    </w:p>
    <w:p w14:paraId="7025C50F" w14:textId="77777777" w:rsidR="00FA2FF9" w:rsidRPr="00730DE4" w:rsidRDefault="00FA2FF9" w:rsidP="00D26B8A">
      <w:pPr>
        <w:rPr>
          <w:lang w:val="en-US"/>
        </w:rPr>
      </w:pPr>
      <w:r w:rsidRPr="00730DE4">
        <w:rPr>
          <w:lang w:val="en-US"/>
        </w:rPr>
        <w:t>On 19 February 2024, new laws came into effect to enhance the safety of e-scooter and bike riders, as well as other members of the public they interact with. These changes build on the nation-leading e-scooter safety reforms introduced in 2022 and apply significant road safety offences to all riders and drivers, regardless of location or type of vehicle.</w:t>
      </w:r>
    </w:p>
    <w:p w14:paraId="7405C363" w14:textId="77777777" w:rsidR="00FA2FF9" w:rsidRPr="00730DE4" w:rsidRDefault="00FA2FF9" w:rsidP="00D26B8A">
      <w:pPr>
        <w:rPr>
          <w:lang w:val="en-US"/>
        </w:rPr>
      </w:pPr>
      <w:r w:rsidRPr="00730DE4">
        <w:rPr>
          <w:lang w:val="en-US"/>
        </w:rPr>
        <w:t>The new laws include:</w:t>
      </w:r>
    </w:p>
    <w:p w14:paraId="1C259F62" w14:textId="77777777" w:rsidR="00FA2FF9" w:rsidRPr="00730DE4" w:rsidRDefault="00FA2FF9" w:rsidP="00D26B8A">
      <w:pPr>
        <w:pStyle w:val="ListBullet"/>
        <w:rPr>
          <w:lang w:val="en-US"/>
        </w:rPr>
      </w:pPr>
      <w:r w:rsidRPr="00730DE4">
        <w:rPr>
          <w:lang w:val="en-US"/>
        </w:rPr>
        <w:t>making it an offence for e-scooter and bike riders to ride without due care and attention on road-related areas, such as footpaths or shared paths</w:t>
      </w:r>
    </w:p>
    <w:p w14:paraId="6A603429" w14:textId="77777777" w:rsidR="00FA2FF9" w:rsidRPr="00730DE4" w:rsidRDefault="00FA2FF9" w:rsidP="00D26B8A">
      <w:pPr>
        <w:pStyle w:val="ListBullet"/>
        <w:rPr>
          <w:lang w:val="en-US"/>
        </w:rPr>
      </w:pPr>
      <w:r w:rsidRPr="00730DE4">
        <w:rPr>
          <w:lang w:val="en-US"/>
        </w:rPr>
        <w:t>requiring all drivers and riders involved in a crash on a road-related area to stop, remain at the scene, and render any necessary medical assistance to any injured person</w:t>
      </w:r>
    </w:p>
    <w:p w14:paraId="07BE06A1" w14:textId="77777777" w:rsidR="00FA2FF9" w:rsidRPr="00730DE4" w:rsidRDefault="00FA2FF9" w:rsidP="00D26B8A">
      <w:pPr>
        <w:pStyle w:val="ListBullet"/>
        <w:rPr>
          <w:lang w:val="en-US"/>
        </w:rPr>
      </w:pPr>
      <w:r w:rsidRPr="00730DE4">
        <w:rPr>
          <w:lang w:val="en-US"/>
        </w:rPr>
        <w:t>mandating that all parties involved in a crash exchange personal information.</w:t>
      </w:r>
    </w:p>
    <w:p w14:paraId="2010FA06" w14:textId="77777777" w:rsidR="00FA2FF9" w:rsidRPr="00730DE4" w:rsidRDefault="00FA2FF9" w:rsidP="00D26B8A">
      <w:pPr>
        <w:rPr>
          <w:lang w:val="en-US"/>
        </w:rPr>
      </w:pPr>
      <w:r w:rsidRPr="00730DE4">
        <w:rPr>
          <w:lang w:val="en-US"/>
        </w:rPr>
        <w:t>These measures are designed to improve overall road safety and ensure a higher level of accountability among all road users.</w:t>
      </w:r>
    </w:p>
    <w:p w14:paraId="4654801C" w14:textId="77777777" w:rsidR="00FA2FF9" w:rsidRPr="00730DE4" w:rsidRDefault="00FA2FF9" w:rsidP="00D26B8A">
      <w:pPr>
        <w:pStyle w:val="MessageHeader"/>
        <w:rPr>
          <w:lang w:val="en-US"/>
        </w:rPr>
      </w:pPr>
      <w:r w:rsidRPr="00730DE4">
        <w:rPr>
          <w:lang w:val="en-US"/>
        </w:rPr>
        <w:t xml:space="preserve">For more information </w:t>
      </w:r>
      <w:r w:rsidRPr="00730DE4">
        <w:rPr>
          <w:lang w:val="en-US"/>
        </w:rPr>
        <w:br/>
      </w:r>
      <w:hyperlink r:id="rId125" w:anchor="takecare" w:history="1">
        <w:r w:rsidRPr="00730DE4">
          <w:rPr>
            <w:rStyle w:val="Hyperlink"/>
            <w:lang w:val="en-US"/>
          </w:rPr>
          <w:t>https://www.qld.gov.au/transport/safety/rules/wheeled-devices/personal-mobility-devices#takecare</w:t>
        </w:r>
      </w:hyperlink>
      <w:r w:rsidRPr="00730DE4">
        <w:rPr>
          <w:lang w:val="en-US"/>
        </w:rPr>
        <w:t xml:space="preserve"> </w:t>
      </w:r>
    </w:p>
    <w:p w14:paraId="32C39A66" w14:textId="77777777" w:rsidR="00FA2FF9" w:rsidRPr="00730DE4" w:rsidRDefault="00FA2FF9" w:rsidP="002B7001">
      <w:pPr>
        <w:pStyle w:val="Heading3"/>
        <w:rPr>
          <w:lang w:val="en-US"/>
        </w:rPr>
      </w:pPr>
      <w:bookmarkStart w:id="1004" w:name="_Toc180487554"/>
      <w:bookmarkStart w:id="1005" w:name="_Toc180490760"/>
      <w:bookmarkStart w:id="1006" w:name="_Toc180491793"/>
      <w:r w:rsidRPr="00730DE4">
        <w:rPr>
          <w:lang w:val="en-US"/>
        </w:rPr>
        <w:t>StreetSmarts road safety campaigns</w:t>
      </w:r>
      <w:bookmarkEnd w:id="1004"/>
      <w:bookmarkEnd w:id="1005"/>
      <w:bookmarkEnd w:id="1006"/>
    </w:p>
    <w:p w14:paraId="150707EF" w14:textId="77777777" w:rsidR="00FA2FF9" w:rsidRPr="00730DE4" w:rsidRDefault="00FA2FF9" w:rsidP="00CD1B8C">
      <w:pPr>
        <w:rPr>
          <w:lang w:val="en-US"/>
        </w:rPr>
      </w:pPr>
      <w:r w:rsidRPr="00730DE4">
        <w:rPr>
          <w:lang w:val="en-US"/>
        </w:rPr>
        <w:t>During 2023–24, TMR’s StreetSmarts initiative focused on improving road safety through a series of innovative campaigns targeting critical issues on the road network.</w:t>
      </w:r>
    </w:p>
    <w:p w14:paraId="49C81D3D" w14:textId="77777777" w:rsidR="00FA2FF9" w:rsidRPr="00730DE4" w:rsidRDefault="00FA2FF9" w:rsidP="00CD1B8C">
      <w:pPr>
        <w:rPr>
          <w:lang w:val="en-US"/>
        </w:rPr>
      </w:pPr>
      <w:r w:rsidRPr="00730DE4">
        <w:rPr>
          <w:lang w:val="en-US"/>
        </w:rPr>
        <w:t>With over 170,000 followers, StreetSmarts shares road safety messages across social and digital platforms, reaching around 1.5 million individuals monthly. Partnerships with the Gold Coast SUNS, Queensland Cricket, Caravanning Queensland, and the North Queensland Cowboys further amplify the message.</w:t>
      </w:r>
    </w:p>
    <w:p w14:paraId="1D167698" w14:textId="77777777" w:rsidR="00FA2FF9" w:rsidRPr="00730DE4" w:rsidRDefault="00FA2FF9" w:rsidP="00CD1B8C">
      <w:pPr>
        <w:rPr>
          <w:lang w:val="en-US"/>
        </w:rPr>
      </w:pPr>
      <w:r w:rsidRPr="00730DE4">
        <w:rPr>
          <w:lang w:val="en-US"/>
        </w:rPr>
        <w:t>Key campaigns included:</w:t>
      </w:r>
    </w:p>
    <w:p w14:paraId="01D05900" w14:textId="77777777" w:rsidR="00FA2FF9" w:rsidRPr="00730DE4" w:rsidRDefault="00FA2FF9" w:rsidP="00CD1B8C">
      <w:pPr>
        <w:pStyle w:val="ListBullet"/>
        <w:rPr>
          <w:lang w:val="en-US"/>
        </w:rPr>
      </w:pPr>
      <w:r w:rsidRPr="00730DE4">
        <w:rPr>
          <w:b/>
          <w:bCs/>
          <w:lang w:val="en-US"/>
        </w:rPr>
        <w:t>‘</w:t>
      </w:r>
      <w:r w:rsidRPr="00730DE4">
        <w:rPr>
          <w:rStyle w:val="Strong"/>
        </w:rPr>
        <w:t>Always-on’ regional outdoor</w:t>
      </w:r>
      <w:r w:rsidRPr="00730DE4">
        <w:rPr>
          <w:b/>
          <w:bCs/>
          <w:lang w:val="en-US"/>
        </w:rPr>
        <w:t xml:space="preserve"> </w:t>
      </w:r>
      <w:r w:rsidRPr="00730DE4">
        <w:rPr>
          <w:lang w:val="en-US"/>
        </w:rPr>
        <w:t>(July 2023 to January 2024)</w:t>
      </w:r>
      <w:r w:rsidRPr="00730DE4">
        <w:rPr>
          <w:lang w:val="en-US"/>
        </w:rPr>
        <w:br/>
        <w:t>Billboards in high-risk crash zones reminded drivers of safer behaviours in the moment</w:t>
      </w:r>
    </w:p>
    <w:p w14:paraId="30F2F5D2" w14:textId="77777777" w:rsidR="00FA2FF9" w:rsidRPr="00730DE4" w:rsidRDefault="00FA2FF9" w:rsidP="00CD1B8C">
      <w:pPr>
        <w:pStyle w:val="ListBullet"/>
        <w:rPr>
          <w:lang w:val="en-US"/>
        </w:rPr>
      </w:pPr>
      <w:r w:rsidRPr="00730DE4">
        <w:rPr>
          <w:rStyle w:val="Strong"/>
        </w:rPr>
        <w:t>‘In Your Hands’ drink driving</w:t>
      </w:r>
      <w:r w:rsidRPr="00730DE4">
        <w:rPr>
          <w:b/>
          <w:bCs/>
          <w:lang w:val="en-US"/>
        </w:rPr>
        <w:t xml:space="preserve"> </w:t>
      </w:r>
      <w:r w:rsidRPr="00730DE4">
        <w:rPr>
          <w:lang w:val="en-US"/>
        </w:rPr>
        <w:t>(December 2023 to May 2024)</w:t>
      </w:r>
      <w:r w:rsidRPr="00730DE4">
        <w:rPr>
          <w:lang w:val="en-US"/>
        </w:rPr>
        <w:br/>
        <w:t>An innovative campaign extension in partnership with the Betoota Advocate</w:t>
      </w:r>
    </w:p>
    <w:p w14:paraId="73CD4232" w14:textId="77777777" w:rsidR="00FA2FF9" w:rsidRPr="00730DE4" w:rsidRDefault="00FA2FF9" w:rsidP="00CD1B8C">
      <w:pPr>
        <w:pStyle w:val="ListBullet"/>
        <w:rPr>
          <w:lang w:val="en-US"/>
        </w:rPr>
      </w:pPr>
      <w:r w:rsidRPr="00730DE4">
        <w:rPr>
          <w:rStyle w:val="Strong"/>
        </w:rPr>
        <w:t>Seatbelts ‘Would you rather?’</w:t>
      </w:r>
      <w:r w:rsidRPr="00730DE4">
        <w:rPr>
          <w:lang w:val="en-US"/>
        </w:rPr>
        <w:t xml:space="preserve"> (August to November 2023)</w:t>
      </w:r>
      <w:r w:rsidRPr="00730DE4">
        <w:rPr>
          <w:lang w:val="en-US"/>
        </w:rPr>
        <w:br/>
        <w:t>Highlighted the consequences of incorrectly wearing seatbelts</w:t>
      </w:r>
    </w:p>
    <w:p w14:paraId="24715EE5" w14:textId="77777777" w:rsidR="00FA2FF9" w:rsidRPr="00730DE4" w:rsidRDefault="00FA2FF9" w:rsidP="00CD1B8C">
      <w:pPr>
        <w:pStyle w:val="ListBullet"/>
        <w:rPr>
          <w:lang w:val="en-US"/>
        </w:rPr>
      </w:pPr>
      <w:r w:rsidRPr="00730DE4">
        <w:rPr>
          <w:rStyle w:val="Strong"/>
        </w:rPr>
        <w:t>‘How’s Your Ride Craft’ motorcycle safety</w:t>
      </w:r>
      <w:r w:rsidRPr="00730DE4">
        <w:rPr>
          <w:b/>
          <w:bCs/>
          <w:lang w:val="en-US"/>
        </w:rPr>
        <w:t xml:space="preserve"> </w:t>
      </w:r>
      <w:r w:rsidRPr="00730DE4">
        <w:rPr>
          <w:lang w:val="en-US"/>
        </w:rPr>
        <w:t>(August to December 2023)</w:t>
      </w:r>
      <w:r w:rsidRPr="00730DE4">
        <w:rPr>
          <w:lang w:val="en-US"/>
        </w:rPr>
        <w:br/>
        <w:t>Featured two-time MotoGP world champion Casey Stoner</w:t>
      </w:r>
    </w:p>
    <w:p w14:paraId="2C522BDE" w14:textId="77777777" w:rsidR="00FA2FF9" w:rsidRPr="00730DE4" w:rsidRDefault="00FA2FF9" w:rsidP="00CD1B8C">
      <w:pPr>
        <w:pStyle w:val="ListBullet"/>
        <w:rPr>
          <w:lang w:val="en-US"/>
        </w:rPr>
      </w:pPr>
      <w:r w:rsidRPr="00730DE4">
        <w:rPr>
          <w:rStyle w:val="Strong"/>
        </w:rPr>
        <w:t>‘Speeding? You’re not hero’ youth road safety</w:t>
      </w:r>
      <w:r w:rsidRPr="00730DE4">
        <w:rPr>
          <w:lang w:val="en-US"/>
        </w:rPr>
        <w:t xml:space="preserve"> (May 2024)</w:t>
      </w:r>
      <w:r w:rsidRPr="00730DE4">
        <w:rPr>
          <w:lang w:val="en-US"/>
        </w:rPr>
        <w:br/>
      </w:r>
      <w:r w:rsidRPr="00730DE4">
        <w:t>Co-designed by young people through the sixth Co-Lab Youth Road Safety Challenge, addressing deliberate speeding in young drivers.</w:t>
      </w:r>
    </w:p>
    <w:p w14:paraId="6769B1B9" w14:textId="77777777" w:rsidR="00FA2FF9" w:rsidRPr="00730DE4" w:rsidRDefault="00FA2FF9" w:rsidP="00CD1B8C">
      <w:pPr>
        <w:rPr>
          <w:lang w:val="en-US"/>
        </w:rPr>
      </w:pPr>
      <w:r w:rsidRPr="00730DE4">
        <w:rPr>
          <w:lang w:val="en-US"/>
        </w:rPr>
        <w:t>StreetSmarts road safety campaigns demonstrate TMR's comprehensive approach to promoting safer driving behaviours and reducing crashes across Queensland.</w:t>
      </w:r>
    </w:p>
    <w:p w14:paraId="5CD3EA62" w14:textId="77777777" w:rsidR="00FA2FF9" w:rsidRPr="00730DE4" w:rsidRDefault="00FA2FF9" w:rsidP="00CD1B8C">
      <w:pPr>
        <w:pStyle w:val="MessageHeader"/>
        <w:rPr>
          <w:lang w:val="en-US"/>
        </w:rPr>
      </w:pPr>
      <w:r w:rsidRPr="00730DE4">
        <w:rPr>
          <w:lang w:val="en-US"/>
        </w:rPr>
        <w:t xml:space="preserve">For more information </w:t>
      </w:r>
      <w:r w:rsidRPr="00730DE4">
        <w:rPr>
          <w:lang w:val="en-US"/>
        </w:rPr>
        <w:br/>
      </w:r>
      <w:hyperlink r:id="rId126" w:history="1">
        <w:r w:rsidRPr="00730DE4">
          <w:rPr>
            <w:rStyle w:val="Hyperlink"/>
            <w:lang w:val="en-US"/>
          </w:rPr>
          <w:t>https://streetsmarts.initiatives.qld.gov.au/</w:t>
        </w:r>
      </w:hyperlink>
    </w:p>
    <w:p w14:paraId="48D3AC2F" w14:textId="77777777" w:rsidR="00FA2FF9" w:rsidRPr="00730DE4" w:rsidRDefault="00FA2FF9" w:rsidP="002B7001">
      <w:pPr>
        <w:pStyle w:val="Heading3"/>
        <w:rPr>
          <w:lang w:val="en-US"/>
        </w:rPr>
      </w:pPr>
      <w:bookmarkStart w:id="1007" w:name="_Toc180487555"/>
      <w:bookmarkStart w:id="1008" w:name="_Toc180490761"/>
      <w:bookmarkStart w:id="1009" w:name="_Toc180491794"/>
      <w:r w:rsidRPr="00730DE4">
        <w:rPr>
          <w:lang w:val="en-US"/>
        </w:rPr>
        <w:t>Personalised Plates Queensland auctions</w:t>
      </w:r>
      <w:bookmarkEnd w:id="1007"/>
      <w:bookmarkEnd w:id="1008"/>
      <w:bookmarkEnd w:id="1009"/>
    </w:p>
    <w:p w14:paraId="7B816734" w14:textId="77777777" w:rsidR="00FA2FF9" w:rsidRPr="00730DE4" w:rsidRDefault="00FA2FF9" w:rsidP="00CD1B8C">
      <w:pPr>
        <w:rPr>
          <w:lang w:val="en-US"/>
        </w:rPr>
      </w:pPr>
      <w:r w:rsidRPr="00730DE4">
        <w:rPr>
          <w:lang w:val="en-US"/>
        </w:rPr>
        <w:t>TMR has a commercial agreement that supports the initial sale and marketing of personalised plates in Queensland through the Personalised Plates Queensland (PPQ) business.</w:t>
      </w:r>
    </w:p>
    <w:p w14:paraId="2E6137D1" w14:textId="77777777" w:rsidR="00FA2FF9" w:rsidRPr="00730DE4" w:rsidRDefault="00FA2FF9" w:rsidP="00CD1B8C">
      <w:pPr>
        <w:rPr>
          <w:lang w:val="en-US"/>
        </w:rPr>
      </w:pPr>
      <w:r w:rsidRPr="00730DE4">
        <w:rPr>
          <w:lang w:val="en-US"/>
        </w:rPr>
        <w:t>The financial return from the sale of personalised plates contributes to a range of TMR-related services, including road safety initiatives to keep Queenslanders safe.</w:t>
      </w:r>
    </w:p>
    <w:p w14:paraId="62A72590" w14:textId="77777777" w:rsidR="00FA2FF9" w:rsidRPr="00730DE4" w:rsidRDefault="00FA2FF9" w:rsidP="00CD1B8C">
      <w:pPr>
        <w:rPr>
          <w:lang w:val="en-US"/>
        </w:rPr>
      </w:pPr>
      <w:r w:rsidRPr="00730DE4">
        <w:rPr>
          <w:lang w:val="en-US"/>
        </w:rPr>
        <w:t>As a response to demand evident in the market, the PPQ Digital Auction Platform was implemented in July 2023 and allows for the initial sale price of sought-after personalised plate combinations to be driven by demand at PPQ auction.</w:t>
      </w:r>
    </w:p>
    <w:p w14:paraId="415900F2" w14:textId="77777777" w:rsidR="00FA2FF9" w:rsidRPr="00730DE4" w:rsidRDefault="00FA2FF9" w:rsidP="00CD1B8C">
      <w:pPr>
        <w:rPr>
          <w:lang w:val="en-US"/>
        </w:rPr>
      </w:pPr>
      <w:r w:rsidRPr="00730DE4">
        <w:rPr>
          <w:lang w:val="en-US"/>
        </w:rPr>
        <w:t>The introduction of a digital auction platform into the PPQ business fostered collaboration between government and suppliers to support the delivery of a seamless customer experience.</w:t>
      </w:r>
    </w:p>
    <w:p w14:paraId="0A4282E7" w14:textId="77777777" w:rsidR="00EA1647" w:rsidRDefault="00EA1647" w:rsidP="00CD1B8C">
      <w:pPr>
        <w:rPr>
          <w:lang w:val="en-US"/>
        </w:rPr>
      </w:pPr>
      <w:r>
        <w:rPr>
          <w:lang w:val="en-US"/>
        </w:rPr>
        <w:br w:type="page"/>
      </w:r>
    </w:p>
    <w:p w14:paraId="0E861284" w14:textId="1F25DAAB" w:rsidR="00FA2FF9" w:rsidRPr="00730DE4" w:rsidRDefault="00FA2FF9" w:rsidP="00CD1B8C">
      <w:pPr>
        <w:rPr>
          <w:lang w:val="en-US"/>
        </w:rPr>
      </w:pPr>
      <w:r w:rsidRPr="00730DE4">
        <w:rPr>
          <w:lang w:val="en-US"/>
        </w:rPr>
        <w:t>The revenue generated from PPQ Auctions in 2023–24 is provided in the following table.</w:t>
      </w:r>
    </w:p>
    <w:p w14:paraId="48811A2F" w14:textId="77777777" w:rsidR="00FA2FF9" w:rsidRPr="00730DE4" w:rsidRDefault="00FA2FF9" w:rsidP="00CD1B8C">
      <w:pPr>
        <w:pStyle w:val="FigureCaption"/>
        <w:rPr>
          <w:lang w:val="en-US"/>
        </w:rPr>
      </w:pPr>
      <w:r w:rsidRPr="00730DE4">
        <w:rPr>
          <w:lang w:val="en-US"/>
        </w:rPr>
        <w:t>Table 36: PPQ Digital Auctions Revenue for 2023–24</w:t>
      </w:r>
    </w:p>
    <w:tbl>
      <w:tblPr>
        <w:tblStyle w:val="TMRDefault"/>
        <w:tblW w:w="4994" w:type="pct"/>
        <w:tblInd w:w="5" w:type="dxa"/>
        <w:tblLook w:val="04A0" w:firstRow="1" w:lastRow="0" w:firstColumn="1" w:lastColumn="0" w:noHBand="0" w:noVBand="1"/>
      </w:tblPr>
      <w:tblGrid>
        <w:gridCol w:w="4524"/>
        <w:gridCol w:w="4525"/>
      </w:tblGrid>
      <w:tr w:rsidR="00FA2FF9" w:rsidRPr="00730DE4" w14:paraId="402D0EEA" w14:textId="77777777" w:rsidTr="00CD1B8C">
        <w:trPr>
          <w:cnfStyle w:val="100000000000" w:firstRow="1" w:lastRow="0" w:firstColumn="0" w:lastColumn="0" w:oddVBand="0" w:evenVBand="0" w:oddHBand="0" w:evenHBand="0" w:firstRowFirstColumn="0" w:firstRowLastColumn="0" w:lastRowFirstColumn="0" w:lastRowLastColumn="0"/>
          <w:trHeight w:val="29"/>
        </w:trPr>
        <w:tc>
          <w:tcPr>
            <w:tcW w:w="2500" w:type="pct"/>
          </w:tcPr>
          <w:p w14:paraId="1BD65AD0" w14:textId="77777777" w:rsidR="00FA2FF9" w:rsidRPr="00730DE4" w:rsidRDefault="00FA2FF9" w:rsidP="00CD1B8C">
            <w:pPr>
              <w:pStyle w:val="NoSpacing"/>
              <w:rPr>
                <w:color w:val="FFFFFF" w:themeColor="background1"/>
                <w:lang w:val="en-US"/>
              </w:rPr>
            </w:pPr>
            <w:r w:rsidRPr="00730DE4">
              <w:rPr>
                <w:color w:val="FFFFFF" w:themeColor="background1"/>
                <w:lang w:val="en-US"/>
              </w:rPr>
              <w:t>PPQ Digital Auctions</w:t>
            </w:r>
          </w:p>
        </w:tc>
        <w:tc>
          <w:tcPr>
            <w:tcW w:w="2500" w:type="pct"/>
          </w:tcPr>
          <w:p w14:paraId="096699F5" w14:textId="77777777" w:rsidR="00FA2FF9" w:rsidRPr="00730DE4" w:rsidRDefault="00FA2FF9" w:rsidP="00CD1B8C">
            <w:pPr>
              <w:pStyle w:val="NoSpacing"/>
              <w:rPr>
                <w:color w:val="FFFFFF" w:themeColor="background1"/>
                <w:lang w:val="en-US"/>
              </w:rPr>
            </w:pPr>
            <w:r w:rsidRPr="00730DE4">
              <w:rPr>
                <w:color w:val="FFFFFF" w:themeColor="background1"/>
                <w:lang w:val="en-US"/>
              </w:rPr>
              <w:t>Sales Revenue</w:t>
            </w:r>
          </w:p>
        </w:tc>
      </w:tr>
      <w:tr w:rsidR="00FA2FF9" w:rsidRPr="00730DE4" w14:paraId="3C6FDAC6" w14:textId="77777777" w:rsidTr="00CD1B8C">
        <w:trPr>
          <w:cnfStyle w:val="000000100000" w:firstRow="0" w:lastRow="0" w:firstColumn="0" w:lastColumn="0" w:oddVBand="0" w:evenVBand="0" w:oddHBand="1" w:evenHBand="0" w:firstRowFirstColumn="0" w:firstRowLastColumn="0" w:lastRowFirstColumn="0" w:lastRowLastColumn="0"/>
        </w:trPr>
        <w:tc>
          <w:tcPr>
            <w:tcW w:w="2500" w:type="pct"/>
          </w:tcPr>
          <w:p w14:paraId="1BA208B8" w14:textId="77777777" w:rsidR="00FA2FF9" w:rsidRPr="00730DE4" w:rsidRDefault="00FA2FF9" w:rsidP="00CD1B8C">
            <w:pPr>
              <w:pStyle w:val="NoSpacing"/>
              <w:rPr>
                <w:bCs/>
                <w:lang w:val="en-US"/>
              </w:rPr>
            </w:pPr>
            <w:r w:rsidRPr="00730DE4">
              <w:rPr>
                <w:lang w:val="en-US"/>
              </w:rPr>
              <w:t>July 2023</w:t>
            </w:r>
          </w:p>
        </w:tc>
        <w:tc>
          <w:tcPr>
            <w:tcW w:w="2500" w:type="pct"/>
          </w:tcPr>
          <w:p w14:paraId="323528ED" w14:textId="77777777" w:rsidR="00FA2FF9" w:rsidRPr="00730DE4" w:rsidRDefault="00FA2FF9" w:rsidP="00CD1B8C">
            <w:pPr>
              <w:pStyle w:val="NoSpacing"/>
              <w:rPr>
                <w:lang w:val="en-US"/>
              </w:rPr>
            </w:pPr>
            <w:r w:rsidRPr="00730DE4">
              <w:rPr>
                <w:lang w:val="en-US"/>
              </w:rPr>
              <w:t>$145,116</w:t>
            </w:r>
          </w:p>
        </w:tc>
      </w:tr>
      <w:tr w:rsidR="00FA2FF9" w:rsidRPr="00730DE4" w14:paraId="49658B13" w14:textId="77777777" w:rsidTr="00CD1B8C">
        <w:tc>
          <w:tcPr>
            <w:tcW w:w="2500" w:type="pct"/>
          </w:tcPr>
          <w:p w14:paraId="2A28AD21" w14:textId="77777777" w:rsidR="00FA2FF9" w:rsidRPr="00730DE4" w:rsidRDefault="00FA2FF9" w:rsidP="00CD1B8C">
            <w:pPr>
              <w:pStyle w:val="NoSpacing"/>
              <w:rPr>
                <w:bCs/>
                <w:lang w:val="en-US"/>
              </w:rPr>
            </w:pPr>
            <w:r w:rsidRPr="00730DE4">
              <w:rPr>
                <w:lang w:val="en-US"/>
              </w:rPr>
              <w:t>August 2023</w:t>
            </w:r>
          </w:p>
        </w:tc>
        <w:tc>
          <w:tcPr>
            <w:tcW w:w="2500" w:type="pct"/>
          </w:tcPr>
          <w:p w14:paraId="7586A499" w14:textId="77777777" w:rsidR="00FA2FF9" w:rsidRPr="00730DE4" w:rsidRDefault="00FA2FF9" w:rsidP="00CD1B8C">
            <w:pPr>
              <w:pStyle w:val="NoSpacing"/>
              <w:rPr>
                <w:lang w:val="en-US"/>
              </w:rPr>
            </w:pPr>
            <w:r w:rsidRPr="00730DE4">
              <w:rPr>
                <w:lang w:val="en-US"/>
              </w:rPr>
              <w:t>$192,545</w:t>
            </w:r>
          </w:p>
        </w:tc>
      </w:tr>
      <w:tr w:rsidR="00FA2FF9" w:rsidRPr="00730DE4" w14:paraId="7E760F8E" w14:textId="77777777" w:rsidTr="00CD1B8C">
        <w:trPr>
          <w:cnfStyle w:val="000000100000" w:firstRow="0" w:lastRow="0" w:firstColumn="0" w:lastColumn="0" w:oddVBand="0" w:evenVBand="0" w:oddHBand="1" w:evenHBand="0" w:firstRowFirstColumn="0" w:firstRowLastColumn="0" w:lastRowFirstColumn="0" w:lastRowLastColumn="0"/>
        </w:trPr>
        <w:tc>
          <w:tcPr>
            <w:tcW w:w="2500" w:type="pct"/>
          </w:tcPr>
          <w:p w14:paraId="57953DBB" w14:textId="77777777" w:rsidR="00FA2FF9" w:rsidRPr="00730DE4" w:rsidRDefault="00FA2FF9" w:rsidP="00CD1B8C">
            <w:pPr>
              <w:pStyle w:val="NoSpacing"/>
              <w:rPr>
                <w:bCs/>
                <w:lang w:val="en-US"/>
              </w:rPr>
            </w:pPr>
            <w:r w:rsidRPr="00730DE4">
              <w:rPr>
                <w:lang w:val="en-US"/>
              </w:rPr>
              <w:t>October 2023</w:t>
            </w:r>
          </w:p>
        </w:tc>
        <w:tc>
          <w:tcPr>
            <w:tcW w:w="2500" w:type="pct"/>
          </w:tcPr>
          <w:p w14:paraId="136E0302" w14:textId="77777777" w:rsidR="00FA2FF9" w:rsidRPr="00730DE4" w:rsidRDefault="00FA2FF9" w:rsidP="00CD1B8C">
            <w:pPr>
              <w:pStyle w:val="NoSpacing"/>
              <w:rPr>
                <w:lang w:val="en-US"/>
              </w:rPr>
            </w:pPr>
            <w:r w:rsidRPr="00730DE4">
              <w:rPr>
                <w:lang w:val="en-US"/>
              </w:rPr>
              <w:t>$259,651</w:t>
            </w:r>
          </w:p>
        </w:tc>
      </w:tr>
      <w:tr w:rsidR="00FA2FF9" w:rsidRPr="00730DE4" w14:paraId="50105AEF" w14:textId="77777777" w:rsidTr="00CD1B8C">
        <w:tc>
          <w:tcPr>
            <w:tcW w:w="2500" w:type="pct"/>
          </w:tcPr>
          <w:p w14:paraId="123FC4C2" w14:textId="77777777" w:rsidR="00FA2FF9" w:rsidRPr="00730DE4" w:rsidRDefault="00FA2FF9" w:rsidP="00CD1B8C">
            <w:pPr>
              <w:pStyle w:val="NoSpacing"/>
              <w:rPr>
                <w:bCs/>
                <w:lang w:val="en-US"/>
              </w:rPr>
            </w:pPr>
            <w:r w:rsidRPr="00730DE4">
              <w:rPr>
                <w:lang w:val="en-US"/>
              </w:rPr>
              <w:t>January 2024</w:t>
            </w:r>
          </w:p>
        </w:tc>
        <w:tc>
          <w:tcPr>
            <w:tcW w:w="2500" w:type="pct"/>
          </w:tcPr>
          <w:p w14:paraId="336BF7DB" w14:textId="77777777" w:rsidR="00FA2FF9" w:rsidRPr="00730DE4" w:rsidRDefault="00FA2FF9" w:rsidP="00CD1B8C">
            <w:pPr>
              <w:pStyle w:val="NoSpacing"/>
              <w:rPr>
                <w:lang w:val="en-US"/>
              </w:rPr>
            </w:pPr>
            <w:r w:rsidRPr="00730DE4">
              <w:rPr>
                <w:lang w:val="en-US"/>
              </w:rPr>
              <w:t>$351,169</w:t>
            </w:r>
          </w:p>
        </w:tc>
      </w:tr>
      <w:tr w:rsidR="00FA2FF9" w:rsidRPr="00730DE4" w14:paraId="6BF4FC91" w14:textId="77777777" w:rsidTr="00CD1B8C">
        <w:trPr>
          <w:cnfStyle w:val="000000100000" w:firstRow="0" w:lastRow="0" w:firstColumn="0" w:lastColumn="0" w:oddVBand="0" w:evenVBand="0" w:oddHBand="1" w:evenHBand="0" w:firstRowFirstColumn="0" w:firstRowLastColumn="0" w:lastRowFirstColumn="0" w:lastRowLastColumn="0"/>
        </w:trPr>
        <w:tc>
          <w:tcPr>
            <w:tcW w:w="2500" w:type="pct"/>
          </w:tcPr>
          <w:p w14:paraId="1E7D5C84" w14:textId="77777777" w:rsidR="00FA2FF9" w:rsidRPr="00730DE4" w:rsidRDefault="00FA2FF9" w:rsidP="00CD1B8C">
            <w:pPr>
              <w:pStyle w:val="NoSpacing"/>
              <w:rPr>
                <w:bCs/>
                <w:lang w:val="en-US"/>
              </w:rPr>
            </w:pPr>
            <w:r w:rsidRPr="00730DE4">
              <w:rPr>
                <w:lang w:val="en-US"/>
              </w:rPr>
              <w:t>February 2024</w:t>
            </w:r>
          </w:p>
        </w:tc>
        <w:tc>
          <w:tcPr>
            <w:tcW w:w="2500" w:type="pct"/>
          </w:tcPr>
          <w:p w14:paraId="4A52F7B0" w14:textId="77777777" w:rsidR="00FA2FF9" w:rsidRPr="00730DE4" w:rsidRDefault="00FA2FF9" w:rsidP="00CD1B8C">
            <w:pPr>
              <w:pStyle w:val="NoSpacing"/>
              <w:rPr>
                <w:lang w:val="en-US"/>
              </w:rPr>
            </w:pPr>
            <w:r w:rsidRPr="00730DE4">
              <w:rPr>
                <w:lang w:val="en-US"/>
              </w:rPr>
              <w:t xml:space="preserve">$31,065 </w:t>
            </w:r>
          </w:p>
        </w:tc>
      </w:tr>
      <w:tr w:rsidR="00FA2FF9" w:rsidRPr="00730DE4" w14:paraId="3C3CD051" w14:textId="77777777" w:rsidTr="00CD1B8C">
        <w:tc>
          <w:tcPr>
            <w:tcW w:w="2500" w:type="pct"/>
          </w:tcPr>
          <w:p w14:paraId="308A3A84" w14:textId="77777777" w:rsidR="00FA2FF9" w:rsidRPr="00730DE4" w:rsidRDefault="00FA2FF9" w:rsidP="00CD1B8C">
            <w:pPr>
              <w:pStyle w:val="NoSpacing"/>
              <w:rPr>
                <w:bCs/>
                <w:lang w:val="en-US"/>
              </w:rPr>
            </w:pPr>
            <w:r w:rsidRPr="00730DE4">
              <w:rPr>
                <w:lang w:val="en-US"/>
              </w:rPr>
              <w:t>March 2024</w:t>
            </w:r>
          </w:p>
        </w:tc>
        <w:tc>
          <w:tcPr>
            <w:tcW w:w="2500" w:type="pct"/>
          </w:tcPr>
          <w:p w14:paraId="41F3ACE6" w14:textId="77777777" w:rsidR="00FA2FF9" w:rsidRPr="00730DE4" w:rsidRDefault="00FA2FF9" w:rsidP="00CD1B8C">
            <w:pPr>
              <w:pStyle w:val="NoSpacing"/>
              <w:rPr>
                <w:lang w:val="en-US"/>
              </w:rPr>
            </w:pPr>
            <w:r w:rsidRPr="00730DE4">
              <w:rPr>
                <w:lang w:val="en-US"/>
              </w:rPr>
              <w:t>$279,632</w:t>
            </w:r>
          </w:p>
        </w:tc>
      </w:tr>
      <w:tr w:rsidR="00FA2FF9" w:rsidRPr="00730DE4" w14:paraId="0AB35E7C" w14:textId="77777777" w:rsidTr="00CD1B8C">
        <w:trPr>
          <w:cnfStyle w:val="000000100000" w:firstRow="0" w:lastRow="0" w:firstColumn="0" w:lastColumn="0" w:oddVBand="0" w:evenVBand="0" w:oddHBand="1" w:evenHBand="0" w:firstRowFirstColumn="0" w:firstRowLastColumn="0" w:lastRowFirstColumn="0" w:lastRowLastColumn="0"/>
        </w:trPr>
        <w:tc>
          <w:tcPr>
            <w:tcW w:w="2500" w:type="pct"/>
          </w:tcPr>
          <w:p w14:paraId="04108853" w14:textId="77777777" w:rsidR="00FA2FF9" w:rsidRPr="00730DE4" w:rsidRDefault="00FA2FF9" w:rsidP="00CD1B8C">
            <w:pPr>
              <w:pStyle w:val="NoSpacing"/>
              <w:rPr>
                <w:lang w:val="en-US"/>
              </w:rPr>
            </w:pPr>
            <w:r w:rsidRPr="00730DE4">
              <w:rPr>
                <w:lang w:val="en-US"/>
              </w:rPr>
              <w:t>May 24</w:t>
            </w:r>
          </w:p>
        </w:tc>
        <w:tc>
          <w:tcPr>
            <w:tcW w:w="2500" w:type="pct"/>
          </w:tcPr>
          <w:p w14:paraId="094A83EA" w14:textId="77777777" w:rsidR="00FA2FF9" w:rsidRPr="00730DE4" w:rsidRDefault="00FA2FF9" w:rsidP="00CD1B8C">
            <w:pPr>
              <w:pStyle w:val="NoSpacing"/>
              <w:rPr>
                <w:lang w:val="en-US"/>
              </w:rPr>
            </w:pPr>
            <w:r w:rsidRPr="00730DE4">
              <w:t>$265,727</w:t>
            </w:r>
          </w:p>
        </w:tc>
      </w:tr>
      <w:tr w:rsidR="00FA2FF9" w:rsidRPr="00730DE4" w14:paraId="66476D21" w14:textId="77777777" w:rsidTr="00CD1B8C">
        <w:tc>
          <w:tcPr>
            <w:tcW w:w="2500" w:type="pct"/>
          </w:tcPr>
          <w:p w14:paraId="1E3C708C" w14:textId="77777777" w:rsidR="00FA2FF9" w:rsidRPr="00730DE4" w:rsidRDefault="00FA2FF9" w:rsidP="00CD1B8C">
            <w:pPr>
              <w:pStyle w:val="NoSpacing"/>
              <w:rPr>
                <w:lang w:val="en-US"/>
              </w:rPr>
            </w:pPr>
            <w:r w:rsidRPr="00730DE4">
              <w:rPr>
                <w:lang w:val="en-US"/>
              </w:rPr>
              <w:t>Revenue YTD</w:t>
            </w:r>
          </w:p>
        </w:tc>
        <w:tc>
          <w:tcPr>
            <w:tcW w:w="2500" w:type="pct"/>
          </w:tcPr>
          <w:p w14:paraId="0FB678DD" w14:textId="77777777" w:rsidR="00FA2FF9" w:rsidRPr="00730DE4" w:rsidRDefault="00FA2FF9" w:rsidP="00CD1B8C">
            <w:pPr>
              <w:pStyle w:val="NoSpacing"/>
              <w:rPr>
                <w:lang w:val="en-US"/>
              </w:rPr>
            </w:pPr>
            <w:r w:rsidRPr="00730DE4">
              <w:t>$1,524,905</w:t>
            </w:r>
          </w:p>
        </w:tc>
      </w:tr>
    </w:tbl>
    <w:p w14:paraId="1003A961" w14:textId="77777777" w:rsidR="00B13631" w:rsidRPr="00730DE4" w:rsidRDefault="00B13631">
      <w:pPr>
        <w:suppressAutoHyphens w:val="0"/>
        <w:spacing w:before="0" w:line="259" w:lineRule="auto"/>
        <w:rPr>
          <w:rFonts w:eastAsiaTheme="majorEastAsia" w:cstheme="majorBidi"/>
          <w:color w:val="080C0F" w:themeColor="text1"/>
          <w:sz w:val="60"/>
          <w:szCs w:val="32"/>
        </w:rPr>
      </w:pPr>
      <w:r w:rsidRPr="00730DE4">
        <w:br w:type="page"/>
      </w:r>
    </w:p>
    <w:p w14:paraId="76D92B0E" w14:textId="3EB71093" w:rsidR="00FA2FF9" w:rsidRPr="00730DE4" w:rsidRDefault="00FA2FF9" w:rsidP="002B7001">
      <w:pPr>
        <w:pStyle w:val="Heading2"/>
      </w:pPr>
      <w:bookmarkStart w:id="1010" w:name="_Toc180490762"/>
      <w:bookmarkStart w:id="1011" w:name="_Toc180491795"/>
      <w:r w:rsidRPr="00730DE4">
        <w:t>Rail safety</w:t>
      </w:r>
      <w:bookmarkEnd w:id="1010"/>
      <w:bookmarkEnd w:id="1011"/>
    </w:p>
    <w:p w14:paraId="0455BD8A" w14:textId="77777777" w:rsidR="00FA2FF9" w:rsidRPr="00730DE4" w:rsidRDefault="00FA2FF9" w:rsidP="002B7001">
      <w:pPr>
        <w:pStyle w:val="Heading3"/>
        <w:rPr>
          <w:lang w:val="en-US"/>
        </w:rPr>
      </w:pPr>
      <w:bookmarkStart w:id="1012" w:name="_Toc180487557"/>
      <w:bookmarkStart w:id="1013" w:name="_Toc180490763"/>
      <w:bookmarkStart w:id="1014" w:name="_Toc180491796"/>
      <w:r w:rsidRPr="00730DE4">
        <w:rPr>
          <w:lang w:val="en-US"/>
        </w:rPr>
        <w:t>National Level Crossing Roundtable</w:t>
      </w:r>
      <w:bookmarkEnd w:id="1012"/>
      <w:bookmarkEnd w:id="1013"/>
      <w:bookmarkEnd w:id="1014"/>
    </w:p>
    <w:p w14:paraId="6854F793" w14:textId="77777777" w:rsidR="00FA2FF9" w:rsidRPr="00730DE4" w:rsidRDefault="00FA2FF9" w:rsidP="00193552">
      <w:pPr>
        <w:rPr>
          <w:lang w:val="en-US"/>
        </w:rPr>
      </w:pPr>
      <w:r w:rsidRPr="00730DE4">
        <w:rPr>
          <w:lang w:val="en-US"/>
        </w:rPr>
        <w:t xml:space="preserve">In Australia, level crossing incidents continue to result in fatalities and injuries each year, causing significant social and economic impacts on individuals, communities, and businesses. In response to a series of serious incidents at level crossings in 2023 and early-2024, including the tragic loss of two train drivers on New Year's Eve, and the release of the new </w:t>
      </w:r>
      <w:r w:rsidRPr="00730DE4">
        <w:rPr>
          <w:rStyle w:val="Emphasis"/>
        </w:rPr>
        <w:t>National Level Crossing Safety Strategy 2023−32</w:t>
      </w:r>
      <w:r w:rsidRPr="00730DE4">
        <w:rPr>
          <w:lang w:val="en-US"/>
        </w:rPr>
        <w:t>, a roundtable was convened to expedite the implementation of the new Strategy.</w:t>
      </w:r>
    </w:p>
    <w:p w14:paraId="1EAAB532" w14:textId="77777777" w:rsidR="00FA2FF9" w:rsidRPr="00730DE4" w:rsidRDefault="00FA2FF9" w:rsidP="00193552">
      <w:pPr>
        <w:rPr>
          <w:lang w:val="en-US"/>
        </w:rPr>
      </w:pPr>
      <w:r w:rsidRPr="00730DE4">
        <w:rPr>
          <w:lang w:val="en-US"/>
        </w:rPr>
        <w:t xml:space="preserve">On 6 March 2024, over 70 senior executives from government, industry, peak bodies, advocacy groups, and academia across Australia and New Zealand gathered in Brisbane for the National Level Crossing Safety Roundtable. The event was hosted by the National Level Crossing Safety Committee and chaired by TMR's Director-General. </w:t>
      </w:r>
    </w:p>
    <w:p w14:paraId="15F5FD22" w14:textId="77777777" w:rsidR="00FA2FF9" w:rsidRPr="00730DE4" w:rsidRDefault="00FA2FF9" w:rsidP="00193552">
      <w:pPr>
        <w:rPr>
          <w:lang w:val="en-US"/>
        </w:rPr>
      </w:pPr>
      <w:r w:rsidRPr="00730DE4">
        <w:rPr>
          <w:lang w:val="en-US"/>
        </w:rPr>
        <w:t>Industry and government representatives committed to progressing several actions from the Roundtable, including a pilot program in Queensland to test camera technology at level crossings, aimed at improving road user behaviour. This Roundtable marked a significant step forward for level crossing safety in Australia.</w:t>
      </w:r>
    </w:p>
    <w:p w14:paraId="18FCBD26" w14:textId="77777777" w:rsidR="00FA2FF9" w:rsidRPr="00730DE4" w:rsidRDefault="00FA2FF9" w:rsidP="00193552">
      <w:pPr>
        <w:rPr>
          <w:lang w:val="en-US"/>
        </w:rPr>
      </w:pPr>
      <w:r w:rsidRPr="00730DE4">
        <w:rPr>
          <w:lang w:val="en-US"/>
        </w:rPr>
        <w:t>The National Level Crossing Safety Committee, which includes representatives from federal, state, and local governments, rail and road industry associations, and regulators, will continue to collaborate to expedite these actions and enhance safety at level crossings across the country.</w:t>
      </w:r>
    </w:p>
    <w:p w14:paraId="32F10C55" w14:textId="77777777" w:rsidR="00FA2FF9" w:rsidRPr="00730DE4" w:rsidRDefault="00FA2FF9" w:rsidP="00193552">
      <w:pPr>
        <w:pStyle w:val="MessageHeader"/>
        <w:rPr>
          <w:lang w:val="en-US"/>
        </w:rPr>
      </w:pPr>
      <w:r w:rsidRPr="00730DE4">
        <w:rPr>
          <w:lang w:val="en-US"/>
        </w:rPr>
        <w:t xml:space="preserve">For more information </w:t>
      </w:r>
      <w:r w:rsidRPr="00730DE4">
        <w:rPr>
          <w:lang w:val="en-US"/>
        </w:rPr>
        <w:br/>
      </w:r>
      <w:hyperlink r:id="rId127" w:anchor=":~:text=The%20National%20Level%20Crossing%20Safety%20Committee%20(NLCSC)%20commissioned%20the%20National,Meeting%20(ITMM)%20in%202023." w:history="1">
        <w:r w:rsidRPr="00730DE4">
          <w:rPr>
            <w:rStyle w:val="Hyperlink"/>
            <w:lang w:val="en-US"/>
          </w:rPr>
          <w:t>https://www.tmr.qld.gov.au/safety/rail-safety/national-level-crossing-safety-strategy</w:t>
        </w:r>
      </w:hyperlink>
    </w:p>
    <w:p w14:paraId="5AF60E08" w14:textId="77777777" w:rsidR="00B13631" w:rsidRPr="00730DE4" w:rsidRDefault="00B13631">
      <w:pPr>
        <w:suppressAutoHyphens w:val="0"/>
        <w:spacing w:before="0" w:line="259" w:lineRule="auto"/>
        <w:rPr>
          <w:rFonts w:eastAsiaTheme="majorEastAsia" w:cstheme="majorBidi"/>
          <w:color w:val="080C0F" w:themeColor="text1"/>
          <w:sz w:val="60"/>
          <w:szCs w:val="32"/>
        </w:rPr>
      </w:pPr>
      <w:r w:rsidRPr="00730DE4">
        <w:br w:type="page"/>
      </w:r>
    </w:p>
    <w:p w14:paraId="6472F530" w14:textId="778596C5" w:rsidR="00FA2FF9" w:rsidRPr="00730DE4" w:rsidRDefault="00FA2FF9" w:rsidP="002B7001">
      <w:pPr>
        <w:pStyle w:val="Heading2"/>
      </w:pPr>
      <w:bookmarkStart w:id="1015" w:name="_Toc180490764"/>
      <w:bookmarkStart w:id="1016" w:name="_Toc180491797"/>
      <w:r w:rsidRPr="00730DE4">
        <w:t>Marine safety</w:t>
      </w:r>
      <w:bookmarkEnd w:id="1015"/>
      <w:bookmarkEnd w:id="1016"/>
    </w:p>
    <w:p w14:paraId="29352A40" w14:textId="77777777" w:rsidR="00FA2FF9" w:rsidRPr="00730DE4" w:rsidRDefault="00FA2FF9" w:rsidP="002B7001">
      <w:pPr>
        <w:pStyle w:val="Heading3"/>
        <w:rPr>
          <w:lang w:val="en-US"/>
        </w:rPr>
      </w:pPr>
      <w:bookmarkStart w:id="1017" w:name="_Toc180487559"/>
      <w:bookmarkStart w:id="1018" w:name="_Toc180490765"/>
      <w:bookmarkStart w:id="1019" w:name="_Toc180491798"/>
      <w:r w:rsidRPr="00730DE4">
        <w:rPr>
          <w:lang w:val="en-US"/>
        </w:rPr>
        <w:t>Backing Queensland Maritime Jobs</w:t>
      </w:r>
      <w:bookmarkEnd w:id="1017"/>
      <w:bookmarkEnd w:id="1018"/>
      <w:bookmarkEnd w:id="1019"/>
    </w:p>
    <w:p w14:paraId="77A29DBB" w14:textId="77777777" w:rsidR="00FA2FF9" w:rsidRPr="00730DE4" w:rsidRDefault="00FA2FF9" w:rsidP="002123A4">
      <w:pPr>
        <w:rPr>
          <w:lang w:val="en-US"/>
        </w:rPr>
      </w:pPr>
      <w:bookmarkStart w:id="1020" w:name="_Hlk161923111"/>
      <w:r w:rsidRPr="00730DE4">
        <w:rPr>
          <w:lang w:val="en-US"/>
        </w:rPr>
        <w:t>MSQ is delivering on the Queensland Government’s commitment to increase employment opportunities for Queensland mariners through the $21 million Backing Queensland Maritime Jobs Initiative.</w:t>
      </w:r>
    </w:p>
    <w:p w14:paraId="348A0FE3" w14:textId="77777777" w:rsidR="00FA2FF9" w:rsidRPr="00730DE4" w:rsidRDefault="00FA2FF9" w:rsidP="002123A4">
      <w:pPr>
        <w:rPr>
          <w:lang w:val="en-US"/>
        </w:rPr>
      </w:pPr>
      <w:r w:rsidRPr="00730DE4">
        <w:rPr>
          <w:lang w:val="en-US"/>
        </w:rPr>
        <w:t>The</w:t>
      </w:r>
      <w:bookmarkEnd w:id="1020"/>
      <w:r w:rsidRPr="00730DE4">
        <w:rPr>
          <w:lang w:val="en-US"/>
        </w:rPr>
        <w:t xml:space="preserve"> Initiative has three grant programs that:</w:t>
      </w:r>
    </w:p>
    <w:p w14:paraId="2F90422B" w14:textId="77777777" w:rsidR="00FA2FF9" w:rsidRPr="00730DE4" w:rsidRDefault="00FA2FF9" w:rsidP="002123A4">
      <w:pPr>
        <w:pStyle w:val="ListBullet"/>
        <w:rPr>
          <w:lang w:val="en-US"/>
        </w:rPr>
      </w:pPr>
      <w:r w:rsidRPr="00730DE4">
        <w:rPr>
          <w:lang w:val="en-US"/>
        </w:rPr>
        <w:t>create increased maritime employment—Maritime Employment Grant Program</w:t>
      </w:r>
    </w:p>
    <w:p w14:paraId="4C474922" w14:textId="77777777" w:rsidR="00FA2FF9" w:rsidRPr="00730DE4" w:rsidRDefault="00FA2FF9" w:rsidP="002123A4">
      <w:pPr>
        <w:pStyle w:val="ListBullet"/>
        <w:rPr>
          <w:lang w:val="en-US"/>
        </w:rPr>
      </w:pPr>
      <w:r w:rsidRPr="00730DE4">
        <w:rPr>
          <w:lang w:val="en-US"/>
        </w:rPr>
        <w:t>address skill shortages—Maritime Training Grant Program</w:t>
      </w:r>
    </w:p>
    <w:p w14:paraId="65CD6B33" w14:textId="77777777" w:rsidR="00FA2FF9" w:rsidRPr="00730DE4" w:rsidRDefault="00FA2FF9" w:rsidP="002123A4">
      <w:pPr>
        <w:pStyle w:val="ListBullet"/>
        <w:rPr>
          <w:lang w:val="en-US"/>
        </w:rPr>
      </w:pPr>
      <w:r w:rsidRPr="00730DE4">
        <w:rPr>
          <w:lang w:val="en-US"/>
        </w:rPr>
        <w:t>establish new coastal shipping services—Coastal Shipping Grant Program.</w:t>
      </w:r>
    </w:p>
    <w:p w14:paraId="1496792B" w14:textId="77777777" w:rsidR="00FA2FF9" w:rsidRPr="00730DE4" w:rsidRDefault="00FA2FF9" w:rsidP="002123A4">
      <w:r w:rsidRPr="00730DE4" w:rsidDel="00E224D1">
        <w:t xml:space="preserve">The </w:t>
      </w:r>
      <w:r w:rsidRPr="00730DE4">
        <w:rPr>
          <w:lang w:val="en-US"/>
        </w:rPr>
        <w:t>grants</w:t>
      </w:r>
      <w:r w:rsidRPr="00730DE4">
        <w:t xml:space="preserve"> have been an overwhelming success </w:t>
      </w:r>
      <w:r w:rsidRPr="00730DE4" w:rsidDel="00075C1D">
        <w:rPr>
          <w:lang w:val="en-US"/>
        </w:rPr>
        <w:t xml:space="preserve">with </w:t>
      </w:r>
      <w:r w:rsidRPr="00730DE4">
        <w:t xml:space="preserve">first grant rounds </w:t>
      </w:r>
      <w:r w:rsidRPr="00730DE4">
        <w:rPr>
          <w:lang w:val="en-US"/>
        </w:rPr>
        <w:t>of</w:t>
      </w:r>
      <w:r w:rsidRPr="00730DE4">
        <w:t xml:space="preserve"> 29 grants under the Maritime Training Grant Program</w:t>
      </w:r>
      <w:r w:rsidRPr="00730DE4">
        <w:rPr>
          <w:lang w:val="en-US"/>
        </w:rPr>
        <w:t xml:space="preserve"> and</w:t>
      </w:r>
      <w:r w:rsidRPr="00730DE4">
        <w:t xml:space="preserve"> 16 new full time mariner roles</w:t>
      </w:r>
      <w:r w:rsidRPr="00730DE4" w:rsidDel="009A2FF9">
        <w:t xml:space="preserve"> </w:t>
      </w:r>
      <w:r w:rsidRPr="00730DE4">
        <w:rPr>
          <w:lang w:val="en-US"/>
        </w:rPr>
        <w:t xml:space="preserve">under </w:t>
      </w:r>
      <w:r w:rsidRPr="00730DE4">
        <w:t>Maritime Employment Grant Program and the Coastal Shipping Grant Program.</w:t>
      </w:r>
    </w:p>
    <w:p w14:paraId="6BB320D7" w14:textId="77777777" w:rsidR="00FA2FF9" w:rsidRPr="00730DE4" w:rsidRDefault="00FA2FF9" w:rsidP="002123A4">
      <w:r w:rsidRPr="00730DE4">
        <w:t>MSQ is partnering with the Cairns Great Barrier Reef International Marine College and TAFE Queensland to make a Certificate 3 Maritime Operations (Integrated Rating) available for the first time ever</w:t>
      </w:r>
      <w:r w:rsidRPr="00730DE4">
        <w:rPr>
          <w:lang w:val="en-US"/>
        </w:rPr>
        <w:t xml:space="preserve"> in Queensland</w:t>
      </w:r>
      <w:r w:rsidRPr="00730DE4">
        <w:t>.</w:t>
      </w:r>
    </w:p>
    <w:p w14:paraId="51FFB71D" w14:textId="77777777" w:rsidR="00FA2FF9" w:rsidRPr="00730DE4" w:rsidRDefault="00FA2FF9" w:rsidP="002123A4">
      <w:r w:rsidRPr="00730DE4">
        <w:t>A lifeboat and davit system is being constructed at MSQ’s Operations Base Cairns. Th</w:t>
      </w:r>
      <w:r w:rsidRPr="00730DE4">
        <w:rPr>
          <w:lang w:val="en-US"/>
        </w:rPr>
        <w:t>ese are</w:t>
      </w:r>
      <w:r w:rsidRPr="00730DE4">
        <w:t xml:space="preserve"> essential equipment needed to deliver the training.</w:t>
      </w:r>
    </w:p>
    <w:p w14:paraId="5A20B9A9" w14:textId="77777777" w:rsidR="00FA2FF9" w:rsidRPr="00730DE4" w:rsidRDefault="00FA2FF9" w:rsidP="002123A4">
      <w:pPr>
        <w:pStyle w:val="MessageHeader"/>
        <w:rPr>
          <w:lang w:val="en-US"/>
        </w:rPr>
      </w:pPr>
      <w:r w:rsidRPr="00730DE4">
        <w:rPr>
          <w:lang w:val="en-US"/>
        </w:rPr>
        <w:t xml:space="preserve">For more information </w:t>
      </w:r>
      <w:r w:rsidRPr="00730DE4">
        <w:rPr>
          <w:lang w:val="en-US"/>
        </w:rPr>
        <w:br/>
      </w:r>
      <w:hyperlink r:id="rId128" w:history="1">
        <w:r w:rsidRPr="00730DE4">
          <w:rPr>
            <w:rStyle w:val="Hyperlink"/>
            <w:lang w:val="en-US"/>
          </w:rPr>
          <w:t>https://www.msq.qld.gov.au/about-us/maritime-jobs</w:t>
        </w:r>
      </w:hyperlink>
    </w:p>
    <w:p w14:paraId="347F7857" w14:textId="77777777" w:rsidR="00FA2FF9" w:rsidRPr="00730DE4" w:rsidRDefault="00FA2FF9" w:rsidP="002B7001">
      <w:pPr>
        <w:pStyle w:val="Heading3"/>
        <w:rPr>
          <w:lang w:val="en-US"/>
        </w:rPr>
      </w:pPr>
      <w:bookmarkStart w:id="1021" w:name="_Toc180487560"/>
      <w:bookmarkStart w:id="1022" w:name="_Toc180490766"/>
      <w:bookmarkStart w:id="1023" w:name="_Toc180491799"/>
      <w:r w:rsidRPr="00730DE4">
        <w:rPr>
          <w:lang w:val="en-US"/>
        </w:rPr>
        <w:t>Vessel Traffic Services</w:t>
      </w:r>
      <w:bookmarkEnd w:id="1021"/>
      <w:bookmarkEnd w:id="1022"/>
      <w:bookmarkEnd w:id="1023"/>
    </w:p>
    <w:p w14:paraId="19386352" w14:textId="77777777" w:rsidR="00FA2FF9" w:rsidRPr="00730DE4" w:rsidRDefault="00FA2FF9" w:rsidP="003C19B9">
      <w:pPr>
        <w:rPr>
          <w:lang w:val="en-US"/>
        </w:rPr>
      </w:pPr>
      <w:r w:rsidRPr="00730DE4">
        <w:rPr>
          <w:lang w:val="en-US"/>
        </w:rPr>
        <w:t>MSQ, a branch of TMR, operates five Vessel Traffic Service (VTS) centers in Queensland covering 22 trading ports and the key areas of the Torres Strait and Great Barrier Reef (Reef VTS). VTS contributes to the safety of life at sea, improves the safety and efficiency of navigation, and supports the protection of the environment within a VTS area by mitigating the development of unsafe situations.</w:t>
      </w:r>
    </w:p>
    <w:p w14:paraId="2346FFBB" w14:textId="77777777" w:rsidR="00FA2FF9" w:rsidRPr="00730DE4" w:rsidRDefault="00FA2FF9" w:rsidP="003C19B9">
      <w:pPr>
        <w:rPr>
          <w:lang w:val="en-US"/>
        </w:rPr>
      </w:pPr>
      <w:r w:rsidRPr="00730DE4">
        <w:rPr>
          <w:lang w:val="en-US"/>
        </w:rPr>
        <w:t>VTS is a critical system that manages shipping risks by monitoring, in real time, the movement of large ships and responding to developing unsafe situations. In 2023–24, VTS managed 23,137 movements through Queensland ports and 11,981 voyages through the Reef VTS area.</w:t>
      </w:r>
    </w:p>
    <w:p w14:paraId="75CD7296" w14:textId="77777777" w:rsidR="00FA2FF9" w:rsidRPr="00730DE4" w:rsidRDefault="00FA2FF9" w:rsidP="002B7001">
      <w:pPr>
        <w:pStyle w:val="Heading3"/>
        <w:rPr>
          <w:lang w:val="en-US"/>
        </w:rPr>
      </w:pPr>
      <w:bookmarkStart w:id="1024" w:name="_Toc180487561"/>
      <w:bookmarkStart w:id="1025" w:name="_Toc180490767"/>
      <w:bookmarkStart w:id="1026" w:name="_Toc180491800"/>
      <w:r w:rsidRPr="00730DE4">
        <w:rPr>
          <w:lang w:val="en-US"/>
        </w:rPr>
        <w:t>Lifejacket reforms</w:t>
      </w:r>
      <w:bookmarkEnd w:id="1024"/>
      <w:bookmarkEnd w:id="1025"/>
      <w:bookmarkEnd w:id="1026"/>
    </w:p>
    <w:p w14:paraId="65B1D389" w14:textId="77777777" w:rsidR="00FA2FF9" w:rsidRPr="00730DE4" w:rsidRDefault="00FA2FF9" w:rsidP="00181880">
      <w:pPr>
        <w:rPr>
          <w:lang w:val="en-US"/>
        </w:rPr>
      </w:pPr>
      <w:r w:rsidRPr="00730DE4">
        <w:rPr>
          <w:lang w:val="en-US"/>
        </w:rPr>
        <w:t>MSQ has been working to improve safety in Queensland waters and address stakeholder concerns regarding lifejacket laws. MSQ will be progressing amendments to Queensland’s lifejacket laws to require lifejacket use for people in high-risk groups or situations after conducting extensive public and stakeholder consultation throughout the state.</w:t>
      </w:r>
    </w:p>
    <w:p w14:paraId="720D1019" w14:textId="77777777" w:rsidR="00FA2FF9" w:rsidRPr="00730DE4" w:rsidRDefault="00FA2FF9" w:rsidP="00181880">
      <w:pPr>
        <w:rPr>
          <w:lang w:val="en-US"/>
        </w:rPr>
      </w:pPr>
      <w:r w:rsidRPr="00730DE4">
        <w:rPr>
          <w:lang w:val="en-US"/>
        </w:rPr>
        <w:t>Amendments include the requirement to wear a lifejacket on certain vessels when boating alone and at night and extends the current wear requirements for children and for all people when crossing a coastal bar.</w:t>
      </w:r>
    </w:p>
    <w:p w14:paraId="7A2F8D68" w14:textId="77777777" w:rsidR="00FA2FF9" w:rsidRPr="00730DE4" w:rsidRDefault="00FA2FF9" w:rsidP="00181880">
      <w:pPr>
        <w:rPr>
          <w:lang w:val="en-US"/>
        </w:rPr>
      </w:pPr>
      <w:r w:rsidRPr="00730DE4">
        <w:rPr>
          <w:lang w:val="en-US"/>
        </w:rPr>
        <w:t>These amendments are expected to be introduced mid-2024 with boat users needing to abide by the new laws from 1 December 2024.</w:t>
      </w:r>
    </w:p>
    <w:p w14:paraId="0D50D894" w14:textId="77777777" w:rsidR="00FA2FF9" w:rsidRPr="00730DE4" w:rsidRDefault="00FA2FF9" w:rsidP="00181880">
      <w:pPr>
        <w:rPr>
          <w:lang w:val="en-US"/>
        </w:rPr>
      </w:pPr>
      <w:r w:rsidRPr="00730DE4">
        <w:rPr>
          <w:lang w:val="en-US"/>
        </w:rPr>
        <w:t>MSQ intends to conduct more consultation to understand whether and how other changes to safety equipment carriage and use might improve safety. MSQ staff will continue to run local education campaigns with some lifejacket giveaways, supported by education material and social media updates.</w:t>
      </w:r>
    </w:p>
    <w:p w14:paraId="71915ABD" w14:textId="77777777" w:rsidR="00FA2FF9" w:rsidRPr="00730DE4" w:rsidRDefault="00FA2FF9" w:rsidP="002B7001">
      <w:pPr>
        <w:pStyle w:val="Heading3"/>
        <w:rPr>
          <w:lang w:val="en-US"/>
        </w:rPr>
      </w:pPr>
      <w:bookmarkStart w:id="1027" w:name="_Toc180487562"/>
      <w:bookmarkStart w:id="1028" w:name="_Toc180490768"/>
      <w:bookmarkStart w:id="1029" w:name="_Toc180491801"/>
      <w:r w:rsidRPr="00730DE4">
        <w:rPr>
          <w:lang w:val="en-US"/>
        </w:rPr>
        <w:t>Marine fatalities and marine injuries</w:t>
      </w:r>
      <w:bookmarkEnd w:id="1027"/>
      <w:bookmarkEnd w:id="1028"/>
      <w:bookmarkEnd w:id="1029"/>
    </w:p>
    <w:p w14:paraId="7052EE9B" w14:textId="77777777" w:rsidR="00FA2FF9" w:rsidRPr="00730DE4" w:rsidRDefault="00FA2FF9" w:rsidP="00442E97">
      <w:pPr>
        <w:rPr>
          <w:lang w:val="en-US"/>
        </w:rPr>
      </w:pPr>
      <w:r w:rsidRPr="00730DE4">
        <w:rPr>
          <w:lang w:val="en-US"/>
        </w:rPr>
        <w:t>In 2023–24, reported marine incidents in Queensland resulted in 8 fatalities and 26 serious injuries. The number of reported marine incidents involving at least one Queensland regulated ship has decreased from 342 to 300 and the number of fatalities has decreased due to a decrease in the number of capsizing and person overboard incidents resulting in a fatality.</w:t>
      </w:r>
    </w:p>
    <w:p w14:paraId="3898AA84" w14:textId="77777777" w:rsidR="00FA2FF9" w:rsidRPr="00730DE4" w:rsidRDefault="00FA2FF9" w:rsidP="00442E97">
      <w:pPr>
        <w:rPr>
          <w:lang w:val="en-US"/>
        </w:rPr>
      </w:pPr>
      <w:r w:rsidRPr="00730DE4">
        <w:rPr>
          <w:lang w:val="en-US"/>
        </w:rPr>
        <w:t>Figure 3 indicates the number of people who have died during the last ten financial years in a reported marine incident that involved at least one Queensland regulated ship.</w:t>
      </w:r>
    </w:p>
    <w:p w14:paraId="53D26DAF" w14:textId="77777777" w:rsidR="00FA2FF9" w:rsidRPr="00730DE4" w:rsidRDefault="00FA2FF9" w:rsidP="00442E97">
      <w:pPr>
        <w:rPr>
          <w:lang w:val="en-US"/>
        </w:rPr>
      </w:pPr>
      <w:r w:rsidRPr="00730DE4">
        <w:rPr>
          <w:lang w:val="en-US"/>
        </w:rPr>
        <w:t>These people have been classified as masters or passengers of boats, the masters and passengers of PWC, swimmers which includes divers and snorkelers, and water skiers which includes anyone being towed by a vessel of any kind.</w:t>
      </w:r>
    </w:p>
    <w:p w14:paraId="4AC6A359" w14:textId="77777777" w:rsidR="00FA2FF9" w:rsidRPr="00730DE4" w:rsidRDefault="00FA2FF9" w:rsidP="00442E97">
      <w:pPr>
        <w:pStyle w:val="FigureCaption"/>
        <w:rPr>
          <w:lang w:val="en-US"/>
        </w:rPr>
      </w:pPr>
      <w:r w:rsidRPr="00730DE4">
        <w:rPr>
          <w:lang w:val="en-US"/>
        </w:rPr>
        <w:t>Figure 3: Marine fatalities (in Queensland)</w:t>
      </w:r>
    </w:p>
    <w:tbl>
      <w:tblPr>
        <w:tblStyle w:val="TMRDefault"/>
        <w:tblW w:w="5000" w:type="pct"/>
        <w:tblLook w:val="04A0" w:firstRow="1" w:lastRow="0" w:firstColumn="1" w:lastColumn="0" w:noHBand="0" w:noVBand="1"/>
      </w:tblPr>
      <w:tblGrid>
        <w:gridCol w:w="1296"/>
        <w:gridCol w:w="1290"/>
        <w:gridCol w:w="1653"/>
        <w:gridCol w:w="935"/>
        <w:gridCol w:w="1316"/>
        <w:gridCol w:w="1287"/>
        <w:gridCol w:w="1283"/>
      </w:tblGrid>
      <w:tr w:rsidR="000A65A9" w:rsidRPr="00730DE4" w14:paraId="5968058D" w14:textId="77777777" w:rsidTr="002F0DF3">
        <w:trPr>
          <w:cnfStyle w:val="100000000000" w:firstRow="1" w:lastRow="0" w:firstColumn="0" w:lastColumn="0" w:oddVBand="0" w:evenVBand="0" w:oddHBand="0" w:evenHBand="0" w:firstRowFirstColumn="0" w:firstRowLastColumn="0" w:lastRowFirstColumn="0" w:lastRowLastColumn="0"/>
          <w:tblHeader/>
        </w:trPr>
        <w:tc>
          <w:tcPr>
            <w:tcW w:w="716" w:type="pct"/>
          </w:tcPr>
          <w:p w14:paraId="41755FD4" w14:textId="77777777" w:rsidR="00FA2FF9" w:rsidRPr="00EA1647" w:rsidRDefault="00FA2FF9" w:rsidP="002247D0">
            <w:pPr>
              <w:pStyle w:val="NoSpacing"/>
              <w:rPr>
                <w:rStyle w:val="Strong"/>
                <w:b/>
                <w:bCs w:val="0"/>
                <w:color w:val="FFFFFF" w:themeColor="background1"/>
              </w:rPr>
            </w:pPr>
            <w:r w:rsidRPr="00EA1647">
              <w:rPr>
                <w:rStyle w:val="Strong"/>
                <w:b/>
                <w:bCs w:val="0"/>
                <w:color w:val="FFFFFF" w:themeColor="background1"/>
              </w:rPr>
              <w:t>Financial Year</w:t>
            </w:r>
          </w:p>
        </w:tc>
        <w:tc>
          <w:tcPr>
            <w:tcW w:w="712" w:type="pct"/>
          </w:tcPr>
          <w:p w14:paraId="4EEA2154" w14:textId="77777777" w:rsidR="00FA2FF9" w:rsidRPr="00EA1647" w:rsidRDefault="00FA2FF9" w:rsidP="002247D0">
            <w:pPr>
              <w:pStyle w:val="NoSpacing"/>
              <w:rPr>
                <w:rStyle w:val="Strong"/>
                <w:b/>
                <w:bCs w:val="0"/>
                <w:color w:val="FFFFFF" w:themeColor="background1"/>
              </w:rPr>
            </w:pPr>
            <w:r w:rsidRPr="00EA1647">
              <w:rPr>
                <w:rStyle w:val="Strong"/>
                <w:b/>
                <w:bCs w:val="0"/>
                <w:color w:val="FFFFFF" w:themeColor="background1"/>
              </w:rPr>
              <w:t>Boat: Master</w:t>
            </w:r>
          </w:p>
        </w:tc>
        <w:tc>
          <w:tcPr>
            <w:tcW w:w="912" w:type="pct"/>
          </w:tcPr>
          <w:p w14:paraId="070D8124" w14:textId="77777777" w:rsidR="00FA2FF9" w:rsidRPr="00EA1647" w:rsidRDefault="00FA2FF9" w:rsidP="002247D0">
            <w:pPr>
              <w:pStyle w:val="NoSpacing"/>
              <w:rPr>
                <w:rStyle w:val="Strong"/>
                <w:b/>
                <w:bCs w:val="0"/>
                <w:color w:val="FFFFFF" w:themeColor="background1"/>
              </w:rPr>
            </w:pPr>
            <w:r w:rsidRPr="00EA1647">
              <w:rPr>
                <w:rStyle w:val="Strong"/>
                <w:b/>
                <w:bCs w:val="0"/>
                <w:color w:val="FFFFFF" w:themeColor="background1"/>
              </w:rPr>
              <w:t>Boat: Passenger</w:t>
            </w:r>
          </w:p>
        </w:tc>
        <w:tc>
          <w:tcPr>
            <w:tcW w:w="516" w:type="pct"/>
          </w:tcPr>
          <w:p w14:paraId="2C1FEB97" w14:textId="77777777" w:rsidR="00FA2FF9" w:rsidRPr="00EA1647" w:rsidRDefault="00FA2FF9" w:rsidP="002247D0">
            <w:pPr>
              <w:pStyle w:val="NoSpacing"/>
              <w:rPr>
                <w:rStyle w:val="Strong"/>
                <w:b/>
                <w:bCs w:val="0"/>
                <w:color w:val="FFFFFF" w:themeColor="background1"/>
              </w:rPr>
            </w:pPr>
            <w:r w:rsidRPr="00EA1647">
              <w:rPr>
                <w:rStyle w:val="Strong"/>
                <w:b/>
                <w:bCs w:val="0"/>
                <w:color w:val="FFFFFF" w:themeColor="background1"/>
              </w:rPr>
              <w:t>PWC</w:t>
            </w:r>
          </w:p>
        </w:tc>
        <w:tc>
          <w:tcPr>
            <w:tcW w:w="726" w:type="pct"/>
          </w:tcPr>
          <w:p w14:paraId="5F9DCB75" w14:textId="77777777" w:rsidR="00FA2FF9" w:rsidRPr="00EA1647" w:rsidRDefault="00FA2FF9" w:rsidP="002247D0">
            <w:pPr>
              <w:pStyle w:val="NoSpacing"/>
              <w:rPr>
                <w:rStyle w:val="Strong"/>
                <w:b/>
                <w:bCs w:val="0"/>
                <w:color w:val="FFFFFF" w:themeColor="background1"/>
              </w:rPr>
            </w:pPr>
            <w:r w:rsidRPr="00EA1647">
              <w:rPr>
                <w:rStyle w:val="Strong"/>
                <w:b/>
                <w:bCs w:val="0"/>
                <w:color w:val="FFFFFF" w:themeColor="background1"/>
              </w:rPr>
              <w:t>Swimmer</w:t>
            </w:r>
          </w:p>
        </w:tc>
        <w:tc>
          <w:tcPr>
            <w:tcW w:w="710" w:type="pct"/>
          </w:tcPr>
          <w:p w14:paraId="43932BE8" w14:textId="77777777" w:rsidR="00FA2FF9" w:rsidRPr="00EA1647" w:rsidRDefault="00FA2FF9" w:rsidP="002247D0">
            <w:pPr>
              <w:pStyle w:val="NoSpacing"/>
              <w:rPr>
                <w:rStyle w:val="Strong"/>
                <w:b/>
                <w:bCs w:val="0"/>
                <w:color w:val="FFFFFF" w:themeColor="background1"/>
              </w:rPr>
            </w:pPr>
            <w:r w:rsidRPr="00EA1647">
              <w:rPr>
                <w:rStyle w:val="Strong"/>
                <w:b/>
                <w:bCs w:val="0"/>
                <w:color w:val="FFFFFF" w:themeColor="background1"/>
              </w:rPr>
              <w:t>Water skier</w:t>
            </w:r>
          </w:p>
        </w:tc>
        <w:tc>
          <w:tcPr>
            <w:tcW w:w="708" w:type="pct"/>
          </w:tcPr>
          <w:p w14:paraId="00084C69" w14:textId="77777777" w:rsidR="00FA2FF9" w:rsidRPr="00EA1647" w:rsidRDefault="00FA2FF9" w:rsidP="002247D0">
            <w:pPr>
              <w:pStyle w:val="NoSpacing"/>
              <w:rPr>
                <w:rStyle w:val="Strong"/>
                <w:b/>
                <w:bCs w:val="0"/>
                <w:color w:val="FFFFFF" w:themeColor="background1"/>
              </w:rPr>
            </w:pPr>
            <w:r w:rsidRPr="00EA1647">
              <w:rPr>
                <w:rStyle w:val="Strong"/>
                <w:b/>
                <w:bCs w:val="0"/>
                <w:color w:val="FFFFFF" w:themeColor="background1"/>
              </w:rPr>
              <w:t>Total</w:t>
            </w:r>
          </w:p>
        </w:tc>
      </w:tr>
      <w:tr w:rsidR="000A65A9" w:rsidRPr="00730DE4" w14:paraId="77318BF2" w14:textId="77777777" w:rsidTr="002F0DF3">
        <w:trPr>
          <w:cnfStyle w:val="000000100000" w:firstRow="0" w:lastRow="0" w:firstColumn="0" w:lastColumn="0" w:oddVBand="0" w:evenVBand="0" w:oddHBand="1" w:evenHBand="0" w:firstRowFirstColumn="0" w:firstRowLastColumn="0" w:lastRowFirstColumn="0" w:lastRowLastColumn="0"/>
        </w:trPr>
        <w:tc>
          <w:tcPr>
            <w:tcW w:w="716" w:type="pct"/>
          </w:tcPr>
          <w:p w14:paraId="06A9CEEA" w14:textId="77777777" w:rsidR="00FA2FF9" w:rsidRPr="00730DE4" w:rsidRDefault="00FA2FF9" w:rsidP="002247D0">
            <w:pPr>
              <w:pStyle w:val="NoSpacing"/>
              <w:rPr>
                <w:rStyle w:val="Strong"/>
                <w:b w:val="0"/>
                <w:bCs w:val="0"/>
              </w:rPr>
            </w:pPr>
            <w:r w:rsidRPr="00730DE4">
              <w:rPr>
                <w:rFonts w:ascii="Calibri" w:hAnsi="Calibri" w:cs="Calibri"/>
                <w:color w:val="000000"/>
                <w:sz w:val="22"/>
              </w:rPr>
              <w:t>2014–15</w:t>
            </w:r>
          </w:p>
        </w:tc>
        <w:tc>
          <w:tcPr>
            <w:tcW w:w="712" w:type="pct"/>
          </w:tcPr>
          <w:p w14:paraId="3B739C35" w14:textId="77777777" w:rsidR="00FA2FF9" w:rsidRPr="00730DE4" w:rsidRDefault="00FA2FF9" w:rsidP="002247D0">
            <w:pPr>
              <w:pStyle w:val="NoSpacing"/>
              <w:rPr>
                <w:rStyle w:val="Strong"/>
                <w:b w:val="0"/>
                <w:bCs w:val="0"/>
              </w:rPr>
            </w:pPr>
            <w:r w:rsidRPr="00730DE4">
              <w:rPr>
                <w:rFonts w:ascii="Calibri" w:hAnsi="Calibri" w:cs="Calibri"/>
                <w:color w:val="000000"/>
                <w:sz w:val="22"/>
              </w:rPr>
              <w:t>1</w:t>
            </w:r>
          </w:p>
        </w:tc>
        <w:tc>
          <w:tcPr>
            <w:tcW w:w="912" w:type="pct"/>
          </w:tcPr>
          <w:p w14:paraId="5D3C75BE" w14:textId="77777777" w:rsidR="00FA2FF9" w:rsidRPr="00730DE4" w:rsidRDefault="00FA2FF9" w:rsidP="002247D0">
            <w:pPr>
              <w:pStyle w:val="NoSpacing"/>
              <w:rPr>
                <w:rStyle w:val="Strong"/>
                <w:b w:val="0"/>
                <w:bCs w:val="0"/>
              </w:rPr>
            </w:pPr>
            <w:r w:rsidRPr="00730DE4">
              <w:rPr>
                <w:rStyle w:val="Strong"/>
                <w:b w:val="0"/>
                <w:bCs w:val="0"/>
              </w:rPr>
              <w:t>0</w:t>
            </w:r>
          </w:p>
        </w:tc>
        <w:tc>
          <w:tcPr>
            <w:tcW w:w="516" w:type="pct"/>
          </w:tcPr>
          <w:p w14:paraId="737DE7B7" w14:textId="77777777" w:rsidR="00FA2FF9" w:rsidRPr="00730DE4" w:rsidRDefault="00FA2FF9" w:rsidP="002247D0">
            <w:pPr>
              <w:pStyle w:val="NoSpacing"/>
              <w:rPr>
                <w:rStyle w:val="Strong"/>
                <w:b w:val="0"/>
                <w:bCs w:val="0"/>
              </w:rPr>
            </w:pPr>
            <w:r w:rsidRPr="00730DE4">
              <w:rPr>
                <w:rStyle w:val="Strong"/>
                <w:b w:val="0"/>
                <w:bCs w:val="0"/>
              </w:rPr>
              <w:t>0</w:t>
            </w:r>
          </w:p>
        </w:tc>
        <w:tc>
          <w:tcPr>
            <w:tcW w:w="726" w:type="pct"/>
          </w:tcPr>
          <w:p w14:paraId="402F54B0" w14:textId="77777777" w:rsidR="00FA2FF9" w:rsidRPr="00730DE4" w:rsidRDefault="00FA2FF9" w:rsidP="002247D0">
            <w:pPr>
              <w:pStyle w:val="NoSpacing"/>
              <w:rPr>
                <w:rStyle w:val="Strong"/>
                <w:b w:val="0"/>
                <w:bCs w:val="0"/>
              </w:rPr>
            </w:pPr>
            <w:r w:rsidRPr="00730DE4">
              <w:rPr>
                <w:rStyle w:val="Strong"/>
                <w:b w:val="0"/>
                <w:bCs w:val="0"/>
              </w:rPr>
              <w:t>0</w:t>
            </w:r>
          </w:p>
        </w:tc>
        <w:tc>
          <w:tcPr>
            <w:tcW w:w="710" w:type="pct"/>
          </w:tcPr>
          <w:p w14:paraId="72D0AB7E" w14:textId="77777777" w:rsidR="00FA2FF9" w:rsidRPr="00730DE4" w:rsidRDefault="00FA2FF9" w:rsidP="002247D0">
            <w:pPr>
              <w:pStyle w:val="NoSpacing"/>
              <w:rPr>
                <w:rStyle w:val="Strong"/>
                <w:b w:val="0"/>
                <w:bCs w:val="0"/>
              </w:rPr>
            </w:pPr>
            <w:r w:rsidRPr="00730DE4">
              <w:rPr>
                <w:rStyle w:val="Strong"/>
                <w:b w:val="0"/>
                <w:bCs w:val="0"/>
              </w:rPr>
              <w:t>0</w:t>
            </w:r>
          </w:p>
        </w:tc>
        <w:tc>
          <w:tcPr>
            <w:tcW w:w="708" w:type="pct"/>
          </w:tcPr>
          <w:p w14:paraId="4A4FEC85" w14:textId="77777777" w:rsidR="00FA2FF9" w:rsidRPr="00730DE4" w:rsidRDefault="00FA2FF9" w:rsidP="002247D0">
            <w:pPr>
              <w:pStyle w:val="NoSpacing"/>
              <w:rPr>
                <w:rStyle w:val="Strong"/>
              </w:rPr>
            </w:pPr>
            <w:r w:rsidRPr="00730DE4">
              <w:rPr>
                <w:rStyle w:val="Strong"/>
              </w:rPr>
              <w:t>1</w:t>
            </w:r>
          </w:p>
        </w:tc>
      </w:tr>
      <w:tr w:rsidR="000A65A9" w:rsidRPr="00730DE4" w14:paraId="54CBCD11" w14:textId="77777777" w:rsidTr="002F0DF3">
        <w:tc>
          <w:tcPr>
            <w:tcW w:w="716" w:type="pct"/>
          </w:tcPr>
          <w:p w14:paraId="42D2B6C1" w14:textId="77777777" w:rsidR="00FA2FF9" w:rsidRPr="00730DE4" w:rsidRDefault="00FA2FF9" w:rsidP="002247D0">
            <w:pPr>
              <w:pStyle w:val="NoSpacing"/>
              <w:rPr>
                <w:rStyle w:val="Strong"/>
                <w:b w:val="0"/>
                <w:bCs w:val="0"/>
              </w:rPr>
            </w:pPr>
            <w:r w:rsidRPr="00730DE4">
              <w:rPr>
                <w:rFonts w:ascii="Calibri" w:hAnsi="Calibri" w:cs="Calibri"/>
                <w:color w:val="000000"/>
                <w:sz w:val="22"/>
              </w:rPr>
              <w:t>2015–16</w:t>
            </w:r>
          </w:p>
        </w:tc>
        <w:tc>
          <w:tcPr>
            <w:tcW w:w="712" w:type="pct"/>
          </w:tcPr>
          <w:p w14:paraId="28B9DD10" w14:textId="77777777" w:rsidR="00FA2FF9" w:rsidRPr="00730DE4" w:rsidRDefault="00FA2FF9" w:rsidP="002247D0">
            <w:pPr>
              <w:pStyle w:val="NoSpacing"/>
              <w:rPr>
                <w:rStyle w:val="Strong"/>
                <w:b w:val="0"/>
                <w:bCs w:val="0"/>
              </w:rPr>
            </w:pPr>
            <w:r w:rsidRPr="00730DE4">
              <w:rPr>
                <w:rFonts w:ascii="Calibri" w:hAnsi="Calibri" w:cs="Calibri"/>
                <w:color w:val="000000"/>
                <w:sz w:val="22"/>
              </w:rPr>
              <w:t>8</w:t>
            </w:r>
          </w:p>
        </w:tc>
        <w:tc>
          <w:tcPr>
            <w:tcW w:w="912" w:type="pct"/>
          </w:tcPr>
          <w:p w14:paraId="7D626535" w14:textId="77777777" w:rsidR="00FA2FF9" w:rsidRPr="00730DE4" w:rsidRDefault="00FA2FF9" w:rsidP="002247D0">
            <w:pPr>
              <w:pStyle w:val="NoSpacing"/>
              <w:rPr>
                <w:rStyle w:val="Strong"/>
                <w:b w:val="0"/>
                <w:bCs w:val="0"/>
              </w:rPr>
            </w:pPr>
            <w:r w:rsidRPr="00730DE4">
              <w:rPr>
                <w:rFonts w:ascii="Calibri" w:hAnsi="Calibri" w:cs="Calibri"/>
                <w:color w:val="000000"/>
                <w:sz w:val="22"/>
              </w:rPr>
              <w:t>4</w:t>
            </w:r>
          </w:p>
        </w:tc>
        <w:tc>
          <w:tcPr>
            <w:tcW w:w="516" w:type="pct"/>
          </w:tcPr>
          <w:p w14:paraId="42D19D83" w14:textId="77777777" w:rsidR="00FA2FF9" w:rsidRPr="00730DE4" w:rsidRDefault="00FA2FF9" w:rsidP="002247D0">
            <w:pPr>
              <w:pStyle w:val="NoSpacing"/>
              <w:rPr>
                <w:rStyle w:val="Strong"/>
                <w:b w:val="0"/>
                <w:bCs w:val="0"/>
              </w:rPr>
            </w:pPr>
            <w:r w:rsidRPr="00730DE4">
              <w:rPr>
                <w:rStyle w:val="Strong"/>
                <w:b w:val="0"/>
                <w:bCs w:val="0"/>
              </w:rPr>
              <w:t>0</w:t>
            </w:r>
          </w:p>
        </w:tc>
        <w:tc>
          <w:tcPr>
            <w:tcW w:w="726" w:type="pct"/>
          </w:tcPr>
          <w:p w14:paraId="7E947CC8" w14:textId="77777777" w:rsidR="00FA2FF9" w:rsidRPr="00730DE4" w:rsidRDefault="00FA2FF9" w:rsidP="002247D0">
            <w:pPr>
              <w:pStyle w:val="NoSpacing"/>
              <w:rPr>
                <w:rStyle w:val="Strong"/>
                <w:b w:val="0"/>
                <w:bCs w:val="0"/>
              </w:rPr>
            </w:pPr>
            <w:r w:rsidRPr="00730DE4">
              <w:rPr>
                <w:rFonts w:ascii="Calibri" w:hAnsi="Calibri" w:cs="Calibri"/>
                <w:color w:val="000000"/>
                <w:sz w:val="22"/>
              </w:rPr>
              <w:t>1</w:t>
            </w:r>
          </w:p>
        </w:tc>
        <w:tc>
          <w:tcPr>
            <w:tcW w:w="710" w:type="pct"/>
          </w:tcPr>
          <w:p w14:paraId="21840ED4" w14:textId="77777777" w:rsidR="00FA2FF9" w:rsidRPr="00730DE4" w:rsidRDefault="00FA2FF9" w:rsidP="002247D0">
            <w:pPr>
              <w:pStyle w:val="NoSpacing"/>
              <w:rPr>
                <w:rStyle w:val="Strong"/>
                <w:b w:val="0"/>
                <w:bCs w:val="0"/>
              </w:rPr>
            </w:pPr>
            <w:r w:rsidRPr="00730DE4">
              <w:rPr>
                <w:rStyle w:val="Strong"/>
                <w:b w:val="0"/>
                <w:bCs w:val="0"/>
              </w:rPr>
              <w:t>0</w:t>
            </w:r>
          </w:p>
        </w:tc>
        <w:tc>
          <w:tcPr>
            <w:tcW w:w="708" w:type="pct"/>
          </w:tcPr>
          <w:p w14:paraId="62398C64" w14:textId="77777777" w:rsidR="00FA2FF9" w:rsidRPr="00730DE4" w:rsidRDefault="00FA2FF9" w:rsidP="002247D0">
            <w:pPr>
              <w:pStyle w:val="NoSpacing"/>
              <w:rPr>
                <w:rStyle w:val="Strong"/>
              </w:rPr>
            </w:pPr>
            <w:r w:rsidRPr="00730DE4">
              <w:rPr>
                <w:rStyle w:val="Strong"/>
              </w:rPr>
              <w:t>13</w:t>
            </w:r>
          </w:p>
        </w:tc>
      </w:tr>
      <w:tr w:rsidR="000A65A9" w:rsidRPr="00730DE4" w14:paraId="5EF9D32A" w14:textId="77777777" w:rsidTr="002F0DF3">
        <w:trPr>
          <w:cnfStyle w:val="000000100000" w:firstRow="0" w:lastRow="0" w:firstColumn="0" w:lastColumn="0" w:oddVBand="0" w:evenVBand="0" w:oddHBand="1" w:evenHBand="0" w:firstRowFirstColumn="0" w:firstRowLastColumn="0" w:lastRowFirstColumn="0" w:lastRowLastColumn="0"/>
        </w:trPr>
        <w:tc>
          <w:tcPr>
            <w:tcW w:w="716" w:type="pct"/>
          </w:tcPr>
          <w:p w14:paraId="2986DEDE" w14:textId="77777777" w:rsidR="00FA2FF9" w:rsidRPr="00730DE4" w:rsidRDefault="00FA2FF9" w:rsidP="002247D0">
            <w:pPr>
              <w:pStyle w:val="NoSpacing"/>
              <w:rPr>
                <w:rStyle w:val="Strong"/>
                <w:b w:val="0"/>
                <w:bCs w:val="0"/>
              </w:rPr>
            </w:pPr>
            <w:r w:rsidRPr="00730DE4">
              <w:rPr>
                <w:rFonts w:ascii="Calibri" w:hAnsi="Calibri" w:cs="Calibri"/>
                <w:color w:val="000000"/>
                <w:sz w:val="22"/>
              </w:rPr>
              <w:t>2016–17</w:t>
            </w:r>
          </w:p>
        </w:tc>
        <w:tc>
          <w:tcPr>
            <w:tcW w:w="712" w:type="pct"/>
          </w:tcPr>
          <w:p w14:paraId="3620AE62" w14:textId="77777777" w:rsidR="00FA2FF9" w:rsidRPr="00730DE4" w:rsidRDefault="00FA2FF9" w:rsidP="002247D0">
            <w:pPr>
              <w:pStyle w:val="NoSpacing"/>
              <w:rPr>
                <w:rStyle w:val="Strong"/>
                <w:b w:val="0"/>
                <w:bCs w:val="0"/>
              </w:rPr>
            </w:pPr>
            <w:r w:rsidRPr="00730DE4">
              <w:rPr>
                <w:rFonts w:ascii="Calibri" w:hAnsi="Calibri" w:cs="Calibri"/>
                <w:color w:val="000000"/>
                <w:sz w:val="22"/>
              </w:rPr>
              <w:t>6</w:t>
            </w:r>
          </w:p>
        </w:tc>
        <w:tc>
          <w:tcPr>
            <w:tcW w:w="912" w:type="pct"/>
          </w:tcPr>
          <w:p w14:paraId="1ECEC73C" w14:textId="77777777" w:rsidR="00FA2FF9" w:rsidRPr="00730DE4" w:rsidRDefault="00FA2FF9" w:rsidP="002247D0">
            <w:pPr>
              <w:pStyle w:val="NoSpacing"/>
              <w:rPr>
                <w:rStyle w:val="Strong"/>
                <w:b w:val="0"/>
                <w:bCs w:val="0"/>
              </w:rPr>
            </w:pPr>
            <w:r w:rsidRPr="00730DE4">
              <w:rPr>
                <w:rFonts w:ascii="Calibri" w:hAnsi="Calibri" w:cs="Calibri"/>
                <w:color w:val="000000"/>
                <w:sz w:val="22"/>
              </w:rPr>
              <w:t>3</w:t>
            </w:r>
          </w:p>
        </w:tc>
        <w:tc>
          <w:tcPr>
            <w:tcW w:w="516" w:type="pct"/>
          </w:tcPr>
          <w:p w14:paraId="7DBE1645" w14:textId="77777777" w:rsidR="00FA2FF9" w:rsidRPr="00730DE4" w:rsidRDefault="00FA2FF9" w:rsidP="002247D0">
            <w:pPr>
              <w:pStyle w:val="NoSpacing"/>
              <w:rPr>
                <w:rStyle w:val="Strong"/>
                <w:b w:val="0"/>
                <w:bCs w:val="0"/>
              </w:rPr>
            </w:pPr>
            <w:r w:rsidRPr="00730DE4">
              <w:rPr>
                <w:rFonts w:ascii="Calibri" w:hAnsi="Calibri" w:cs="Calibri"/>
                <w:color w:val="000000"/>
                <w:sz w:val="22"/>
              </w:rPr>
              <w:t>1</w:t>
            </w:r>
          </w:p>
        </w:tc>
        <w:tc>
          <w:tcPr>
            <w:tcW w:w="726" w:type="pct"/>
          </w:tcPr>
          <w:p w14:paraId="00694E3B" w14:textId="77777777" w:rsidR="00FA2FF9" w:rsidRPr="00730DE4" w:rsidRDefault="00FA2FF9" w:rsidP="002247D0">
            <w:pPr>
              <w:pStyle w:val="NoSpacing"/>
              <w:rPr>
                <w:rStyle w:val="Strong"/>
                <w:b w:val="0"/>
                <w:bCs w:val="0"/>
              </w:rPr>
            </w:pPr>
            <w:r w:rsidRPr="00730DE4">
              <w:rPr>
                <w:rFonts w:ascii="Calibri" w:hAnsi="Calibri" w:cs="Calibri"/>
                <w:color w:val="000000"/>
                <w:sz w:val="22"/>
              </w:rPr>
              <w:t>1</w:t>
            </w:r>
          </w:p>
        </w:tc>
        <w:tc>
          <w:tcPr>
            <w:tcW w:w="710" w:type="pct"/>
          </w:tcPr>
          <w:p w14:paraId="62EAD5F8" w14:textId="77777777" w:rsidR="00FA2FF9" w:rsidRPr="00730DE4" w:rsidRDefault="00FA2FF9" w:rsidP="002247D0">
            <w:pPr>
              <w:pStyle w:val="NoSpacing"/>
              <w:rPr>
                <w:rStyle w:val="Strong"/>
                <w:b w:val="0"/>
                <w:bCs w:val="0"/>
              </w:rPr>
            </w:pPr>
            <w:r w:rsidRPr="00730DE4">
              <w:rPr>
                <w:rStyle w:val="Strong"/>
                <w:b w:val="0"/>
                <w:bCs w:val="0"/>
              </w:rPr>
              <w:t>0</w:t>
            </w:r>
          </w:p>
        </w:tc>
        <w:tc>
          <w:tcPr>
            <w:tcW w:w="708" w:type="pct"/>
          </w:tcPr>
          <w:p w14:paraId="661F6F33" w14:textId="77777777" w:rsidR="00FA2FF9" w:rsidRPr="00730DE4" w:rsidRDefault="00FA2FF9" w:rsidP="002247D0">
            <w:pPr>
              <w:pStyle w:val="NoSpacing"/>
              <w:rPr>
                <w:rStyle w:val="Strong"/>
              </w:rPr>
            </w:pPr>
            <w:r w:rsidRPr="00730DE4">
              <w:rPr>
                <w:rStyle w:val="Strong"/>
              </w:rPr>
              <w:t>11</w:t>
            </w:r>
          </w:p>
        </w:tc>
      </w:tr>
      <w:tr w:rsidR="000A65A9" w:rsidRPr="00730DE4" w14:paraId="42BF1F79" w14:textId="77777777" w:rsidTr="002F0DF3">
        <w:tc>
          <w:tcPr>
            <w:tcW w:w="716" w:type="pct"/>
          </w:tcPr>
          <w:p w14:paraId="3126D1B8" w14:textId="77777777" w:rsidR="00FA2FF9" w:rsidRPr="00730DE4" w:rsidRDefault="00FA2FF9" w:rsidP="002247D0">
            <w:pPr>
              <w:pStyle w:val="NoSpacing"/>
              <w:rPr>
                <w:rStyle w:val="Strong"/>
                <w:b w:val="0"/>
                <w:bCs w:val="0"/>
              </w:rPr>
            </w:pPr>
            <w:r w:rsidRPr="00730DE4">
              <w:rPr>
                <w:rFonts w:ascii="Calibri" w:hAnsi="Calibri" w:cs="Calibri"/>
                <w:color w:val="000000"/>
                <w:sz w:val="22"/>
              </w:rPr>
              <w:t>2017–18</w:t>
            </w:r>
          </w:p>
        </w:tc>
        <w:tc>
          <w:tcPr>
            <w:tcW w:w="712" w:type="pct"/>
          </w:tcPr>
          <w:p w14:paraId="3948430E" w14:textId="77777777" w:rsidR="00FA2FF9" w:rsidRPr="00730DE4" w:rsidRDefault="00FA2FF9" w:rsidP="002247D0">
            <w:pPr>
              <w:pStyle w:val="NoSpacing"/>
              <w:rPr>
                <w:rStyle w:val="Strong"/>
                <w:b w:val="0"/>
                <w:bCs w:val="0"/>
              </w:rPr>
            </w:pPr>
            <w:r w:rsidRPr="00730DE4">
              <w:rPr>
                <w:rFonts w:ascii="Calibri" w:hAnsi="Calibri" w:cs="Calibri"/>
                <w:color w:val="000000"/>
                <w:sz w:val="22"/>
              </w:rPr>
              <w:t>6</w:t>
            </w:r>
          </w:p>
        </w:tc>
        <w:tc>
          <w:tcPr>
            <w:tcW w:w="912" w:type="pct"/>
          </w:tcPr>
          <w:p w14:paraId="2441474E" w14:textId="77777777" w:rsidR="00FA2FF9" w:rsidRPr="00730DE4" w:rsidRDefault="00FA2FF9" w:rsidP="002247D0">
            <w:pPr>
              <w:pStyle w:val="NoSpacing"/>
              <w:rPr>
                <w:rStyle w:val="Strong"/>
                <w:b w:val="0"/>
                <w:bCs w:val="0"/>
              </w:rPr>
            </w:pPr>
            <w:r w:rsidRPr="00730DE4">
              <w:rPr>
                <w:rFonts w:ascii="Calibri" w:hAnsi="Calibri" w:cs="Calibri"/>
                <w:color w:val="000000"/>
                <w:sz w:val="22"/>
              </w:rPr>
              <w:t>1</w:t>
            </w:r>
          </w:p>
        </w:tc>
        <w:tc>
          <w:tcPr>
            <w:tcW w:w="516" w:type="pct"/>
          </w:tcPr>
          <w:p w14:paraId="77593F4B" w14:textId="77777777" w:rsidR="00FA2FF9" w:rsidRPr="00730DE4" w:rsidRDefault="00FA2FF9" w:rsidP="002247D0">
            <w:pPr>
              <w:pStyle w:val="NoSpacing"/>
              <w:rPr>
                <w:rStyle w:val="Strong"/>
                <w:b w:val="0"/>
                <w:bCs w:val="0"/>
              </w:rPr>
            </w:pPr>
            <w:r w:rsidRPr="00730DE4">
              <w:rPr>
                <w:rStyle w:val="Strong"/>
                <w:b w:val="0"/>
                <w:bCs w:val="0"/>
              </w:rPr>
              <w:t>0</w:t>
            </w:r>
          </w:p>
        </w:tc>
        <w:tc>
          <w:tcPr>
            <w:tcW w:w="726" w:type="pct"/>
          </w:tcPr>
          <w:p w14:paraId="35DE16C9" w14:textId="77777777" w:rsidR="00FA2FF9" w:rsidRPr="00730DE4" w:rsidRDefault="00FA2FF9" w:rsidP="002247D0">
            <w:pPr>
              <w:pStyle w:val="NoSpacing"/>
              <w:rPr>
                <w:rStyle w:val="Strong"/>
                <w:b w:val="0"/>
                <w:bCs w:val="0"/>
              </w:rPr>
            </w:pPr>
            <w:r w:rsidRPr="00730DE4">
              <w:rPr>
                <w:rStyle w:val="Strong"/>
                <w:b w:val="0"/>
                <w:bCs w:val="0"/>
              </w:rPr>
              <w:t>0</w:t>
            </w:r>
          </w:p>
        </w:tc>
        <w:tc>
          <w:tcPr>
            <w:tcW w:w="710" w:type="pct"/>
          </w:tcPr>
          <w:p w14:paraId="241CDE49" w14:textId="77777777" w:rsidR="00FA2FF9" w:rsidRPr="00730DE4" w:rsidRDefault="00FA2FF9" w:rsidP="002247D0">
            <w:pPr>
              <w:pStyle w:val="NoSpacing"/>
              <w:rPr>
                <w:rStyle w:val="Strong"/>
                <w:b w:val="0"/>
                <w:bCs w:val="0"/>
              </w:rPr>
            </w:pPr>
            <w:r w:rsidRPr="00730DE4">
              <w:rPr>
                <w:rFonts w:ascii="Calibri" w:hAnsi="Calibri" w:cs="Calibri"/>
                <w:color w:val="000000"/>
                <w:sz w:val="22"/>
              </w:rPr>
              <w:t>1</w:t>
            </w:r>
          </w:p>
        </w:tc>
        <w:tc>
          <w:tcPr>
            <w:tcW w:w="708" w:type="pct"/>
          </w:tcPr>
          <w:p w14:paraId="02885204" w14:textId="77777777" w:rsidR="00FA2FF9" w:rsidRPr="00730DE4" w:rsidRDefault="00FA2FF9" w:rsidP="002247D0">
            <w:pPr>
              <w:pStyle w:val="NoSpacing"/>
              <w:rPr>
                <w:rStyle w:val="Strong"/>
              </w:rPr>
            </w:pPr>
            <w:r w:rsidRPr="00730DE4">
              <w:rPr>
                <w:rStyle w:val="Strong"/>
              </w:rPr>
              <w:t>8</w:t>
            </w:r>
          </w:p>
        </w:tc>
      </w:tr>
      <w:tr w:rsidR="000A65A9" w:rsidRPr="00730DE4" w14:paraId="618FC479" w14:textId="77777777" w:rsidTr="002F0DF3">
        <w:trPr>
          <w:cnfStyle w:val="000000100000" w:firstRow="0" w:lastRow="0" w:firstColumn="0" w:lastColumn="0" w:oddVBand="0" w:evenVBand="0" w:oddHBand="1" w:evenHBand="0" w:firstRowFirstColumn="0" w:firstRowLastColumn="0" w:lastRowFirstColumn="0" w:lastRowLastColumn="0"/>
        </w:trPr>
        <w:tc>
          <w:tcPr>
            <w:tcW w:w="716" w:type="pct"/>
          </w:tcPr>
          <w:p w14:paraId="39272B65" w14:textId="77777777" w:rsidR="00FA2FF9" w:rsidRPr="00730DE4" w:rsidRDefault="00FA2FF9" w:rsidP="002247D0">
            <w:pPr>
              <w:pStyle w:val="NoSpacing"/>
              <w:rPr>
                <w:rStyle w:val="Strong"/>
                <w:b w:val="0"/>
                <w:bCs w:val="0"/>
              </w:rPr>
            </w:pPr>
            <w:r w:rsidRPr="00730DE4">
              <w:rPr>
                <w:rFonts w:ascii="Calibri" w:hAnsi="Calibri" w:cs="Calibri"/>
                <w:color w:val="000000"/>
                <w:sz w:val="22"/>
              </w:rPr>
              <w:t>2018–19</w:t>
            </w:r>
          </w:p>
        </w:tc>
        <w:tc>
          <w:tcPr>
            <w:tcW w:w="712" w:type="pct"/>
          </w:tcPr>
          <w:p w14:paraId="2EB88248" w14:textId="77777777" w:rsidR="00FA2FF9" w:rsidRPr="00730DE4" w:rsidRDefault="00FA2FF9" w:rsidP="002247D0">
            <w:pPr>
              <w:pStyle w:val="NoSpacing"/>
              <w:rPr>
                <w:rStyle w:val="Strong"/>
                <w:b w:val="0"/>
                <w:bCs w:val="0"/>
              </w:rPr>
            </w:pPr>
            <w:r w:rsidRPr="00730DE4">
              <w:rPr>
                <w:rFonts w:ascii="Calibri" w:hAnsi="Calibri" w:cs="Calibri"/>
                <w:color w:val="000000"/>
                <w:sz w:val="22"/>
              </w:rPr>
              <w:t>2</w:t>
            </w:r>
          </w:p>
        </w:tc>
        <w:tc>
          <w:tcPr>
            <w:tcW w:w="912" w:type="pct"/>
          </w:tcPr>
          <w:p w14:paraId="776ACDA8" w14:textId="77777777" w:rsidR="00FA2FF9" w:rsidRPr="00730DE4" w:rsidRDefault="00FA2FF9" w:rsidP="002247D0">
            <w:pPr>
              <w:pStyle w:val="NoSpacing"/>
              <w:rPr>
                <w:rStyle w:val="Strong"/>
                <w:b w:val="0"/>
                <w:bCs w:val="0"/>
              </w:rPr>
            </w:pPr>
            <w:r w:rsidRPr="00730DE4">
              <w:rPr>
                <w:rFonts w:ascii="Calibri" w:hAnsi="Calibri" w:cs="Calibri"/>
                <w:color w:val="000000"/>
                <w:sz w:val="22"/>
              </w:rPr>
              <w:t>1</w:t>
            </w:r>
          </w:p>
        </w:tc>
        <w:tc>
          <w:tcPr>
            <w:tcW w:w="516" w:type="pct"/>
          </w:tcPr>
          <w:p w14:paraId="5760AD80" w14:textId="77777777" w:rsidR="00FA2FF9" w:rsidRPr="00730DE4" w:rsidRDefault="00FA2FF9" w:rsidP="002247D0">
            <w:pPr>
              <w:pStyle w:val="NoSpacing"/>
              <w:rPr>
                <w:rStyle w:val="Strong"/>
                <w:b w:val="0"/>
                <w:bCs w:val="0"/>
              </w:rPr>
            </w:pPr>
            <w:r w:rsidRPr="00730DE4">
              <w:rPr>
                <w:rFonts w:ascii="Calibri" w:hAnsi="Calibri" w:cs="Calibri"/>
                <w:color w:val="000000"/>
                <w:sz w:val="22"/>
              </w:rPr>
              <w:t>2</w:t>
            </w:r>
          </w:p>
        </w:tc>
        <w:tc>
          <w:tcPr>
            <w:tcW w:w="726" w:type="pct"/>
          </w:tcPr>
          <w:p w14:paraId="32ECF0ED" w14:textId="77777777" w:rsidR="00FA2FF9" w:rsidRPr="00730DE4" w:rsidRDefault="00FA2FF9" w:rsidP="002247D0">
            <w:pPr>
              <w:pStyle w:val="NoSpacing"/>
              <w:rPr>
                <w:rStyle w:val="Strong"/>
                <w:b w:val="0"/>
                <w:bCs w:val="0"/>
              </w:rPr>
            </w:pPr>
            <w:r w:rsidRPr="00730DE4">
              <w:rPr>
                <w:rFonts w:ascii="Calibri" w:hAnsi="Calibri" w:cs="Calibri"/>
                <w:color w:val="000000"/>
                <w:sz w:val="22"/>
              </w:rPr>
              <w:t>0</w:t>
            </w:r>
          </w:p>
        </w:tc>
        <w:tc>
          <w:tcPr>
            <w:tcW w:w="710" w:type="pct"/>
          </w:tcPr>
          <w:p w14:paraId="46E37D61" w14:textId="77777777" w:rsidR="00FA2FF9" w:rsidRPr="00730DE4" w:rsidRDefault="00FA2FF9" w:rsidP="002247D0">
            <w:pPr>
              <w:pStyle w:val="NoSpacing"/>
              <w:rPr>
                <w:rStyle w:val="Strong"/>
                <w:b w:val="0"/>
                <w:bCs w:val="0"/>
              </w:rPr>
            </w:pPr>
            <w:r w:rsidRPr="00730DE4">
              <w:rPr>
                <w:rFonts w:ascii="Calibri" w:hAnsi="Calibri" w:cs="Calibri"/>
                <w:color w:val="000000"/>
                <w:sz w:val="22"/>
              </w:rPr>
              <w:t>0</w:t>
            </w:r>
          </w:p>
        </w:tc>
        <w:tc>
          <w:tcPr>
            <w:tcW w:w="708" w:type="pct"/>
          </w:tcPr>
          <w:p w14:paraId="204DBE71" w14:textId="77777777" w:rsidR="00FA2FF9" w:rsidRPr="00730DE4" w:rsidRDefault="00FA2FF9" w:rsidP="002247D0">
            <w:pPr>
              <w:pStyle w:val="NoSpacing"/>
              <w:rPr>
                <w:rStyle w:val="Strong"/>
              </w:rPr>
            </w:pPr>
            <w:r w:rsidRPr="00730DE4">
              <w:rPr>
                <w:rStyle w:val="Strong"/>
              </w:rPr>
              <w:t>5</w:t>
            </w:r>
          </w:p>
        </w:tc>
      </w:tr>
      <w:tr w:rsidR="000A65A9" w:rsidRPr="00730DE4" w14:paraId="2D535839" w14:textId="77777777" w:rsidTr="002F0DF3">
        <w:tc>
          <w:tcPr>
            <w:tcW w:w="716" w:type="pct"/>
          </w:tcPr>
          <w:p w14:paraId="63714479" w14:textId="77777777" w:rsidR="00FA2FF9" w:rsidRPr="00730DE4" w:rsidRDefault="00FA2FF9" w:rsidP="002247D0">
            <w:pPr>
              <w:pStyle w:val="NoSpacing"/>
              <w:rPr>
                <w:rStyle w:val="Strong"/>
                <w:b w:val="0"/>
                <w:bCs w:val="0"/>
                <w:color w:val="auto"/>
              </w:rPr>
            </w:pPr>
            <w:r w:rsidRPr="00730DE4">
              <w:rPr>
                <w:rFonts w:ascii="Calibri" w:hAnsi="Calibri" w:cs="Calibri"/>
                <w:color w:val="auto"/>
                <w:sz w:val="22"/>
              </w:rPr>
              <w:t>2019–20</w:t>
            </w:r>
          </w:p>
        </w:tc>
        <w:tc>
          <w:tcPr>
            <w:tcW w:w="712" w:type="pct"/>
          </w:tcPr>
          <w:p w14:paraId="0B5CD317" w14:textId="77777777" w:rsidR="00FA2FF9" w:rsidRPr="00730DE4" w:rsidRDefault="00FA2FF9" w:rsidP="002247D0">
            <w:pPr>
              <w:pStyle w:val="NoSpacing"/>
              <w:rPr>
                <w:rStyle w:val="Strong"/>
                <w:b w:val="0"/>
                <w:bCs w:val="0"/>
                <w:color w:val="auto"/>
              </w:rPr>
            </w:pPr>
            <w:r w:rsidRPr="00730DE4">
              <w:rPr>
                <w:rFonts w:ascii="Calibri" w:hAnsi="Calibri" w:cs="Calibri"/>
                <w:color w:val="auto"/>
                <w:sz w:val="22"/>
              </w:rPr>
              <w:t>9</w:t>
            </w:r>
          </w:p>
        </w:tc>
        <w:tc>
          <w:tcPr>
            <w:tcW w:w="912" w:type="pct"/>
          </w:tcPr>
          <w:p w14:paraId="031AD9DF" w14:textId="77777777" w:rsidR="00FA2FF9" w:rsidRPr="00730DE4" w:rsidRDefault="00FA2FF9" w:rsidP="002247D0">
            <w:pPr>
              <w:pStyle w:val="NoSpacing"/>
              <w:rPr>
                <w:rStyle w:val="Strong"/>
                <w:b w:val="0"/>
                <w:bCs w:val="0"/>
                <w:color w:val="auto"/>
              </w:rPr>
            </w:pPr>
            <w:r w:rsidRPr="00730DE4">
              <w:rPr>
                <w:rFonts w:ascii="Calibri" w:hAnsi="Calibri" w:cs="Calibri"/>
                <w:color w:val="auto"/>
                <w:sz w:val="22"/>
              </w:rPr>
              <w:t>9</w:t>
            </w:r>
          </w:p>
        </w:tc>
        <w:tc>
          <w:tcPr>
            <w:tcW w:w="516" w:type="pct"/>
          </w:tcPr>
          <w:p w14:paraId="3825028D" w14:textId="77777777" w:rsidR="00FA2FF9" w:rsidRPr="00730DE4" w:rsidRDefault="00FA2FF9" w:rsidP="002247D0">
            <w:pPr>
              <w:pStyle w:val="NoSpacing"/>
              <w:rPr>
                <w:rStyle w:val="Strong"/>
                <w:b w:val="0"/>
                <w:bCs w:val="0"/>
                <w:color w:val="auto"/>
              </w:rPr>
            </w:pPr>
            <w:r w:rsidRPr="00730DE4">
              <w:rPr>
                <w:rFonts w:ascii="Calibri" w:hAnsi="Calibri" w:cs="Calibri"/>
                <w:color w:val="auto"/>
                <w:sz w:val="22"/>
              </w:rPr>
              <w:t>1</w:t>
            </w:r>
          </w:p>
        </w:tc>
        <w:tc>
          <w:tcPr>
            <w:tcW w:w="726" w:type="pct"/>
          </w:tcPr>
          <w:p w14:paraId="7EDF9A16" w14:textId="77777777" w:rsidR="00FA2FF9" w:rsidRPr="00730DE4" w:rsidRDefault="00FA2FF9" w:rsidP="002247D0">
            <w:pPr>
              <w:pStyle w:val="NoSpacing"/>
              <w:rPr>
                <w:rStyle w:val="Strong"/>
                <w:b w:val="0"/>
                <w:bCs w:val="0"/>
                <w:color w:val="auto"/>
              </w:rPr>
            </w:pPr>
            <w:r w:rsidRPr="00730DE4">
              <w:rPr>
                <w:rFonts w:ascii="Calibri" w:hAnsi="Calibri" w:cs="Calibri"/>
                <w:color w:val="auto"/>
                <w:sz w:val="22"/>
              </w:rPr>
              <w:t>0</w:t>
            </w:r>
          </w:p>
        </w:tc>
        <w:tc>
          <w:tcPr>
            <w:tcW w:w="710" w:type="pct"/>
          </w:tcPr>
          <w:p w14:paraId="63273E0B" w14:textId="77777777" w:rsidR="00FA2FF9" w:rsidRPr="00730DE4" w:rsidRDefault="00FA2FF9" w:rsidP="002247D0">
            <w:pPr>
              <w:pStyle w:val="NoSpacing"/>
              <w:rPr>
                <w:rStyle w:val="Strong"/>
                <w:b w:val="0"/>
                <w:bCs w:val="0"/>
                <w:color w:val="auto"/>
              </w:rPr>
            </w:pPr>
            <w:r w:rsidRPr="00730DE4">
              <w:rPr>
                <w:rFonts w:ascii="Calibri" w:hAnsi="Calibri" w:cs="Calibri"/>
                <w:color w:val="auto"/>
                <w:sz w:val="22"/>
              </w:rPr>
              <w:t>0</w:t>
            </w:r>
          </w:p>
        </w:tc>
        <w:tc>
          <w:tcPr>
            <w:tcW w:w="708" w:type="pct"/>
          </w:tcPr>
          <w:p w14:paraId="7384162B" w14:textId="77777777" w:rsidR="00FA2FF9" w:rsidRPr="00730DE4" w:rsidRDefault="00FA2FF9" w:rsidP="002247D0">
            <w:pPr>
              <w:pStyle w:val="NoSpacing"/>
              <w:rPr>
                <w:rStyle w:val="Strong"/>
              </w:rPr>
            </w:pPr>
            <w:r w:rsidRPr="00730DE4">
              <w:rPr>
                <w:rStyle w:val="Strong"/>
              </w:rPr>
              <w:t>19</w:t>
            </w:r>
          </w:p>
        </w:tc>
      </w:tr>
      <w:tr w:rsidR="000A65A9" w:rsidRPr="00730DE4" w14:paraId="59B6E39E" w14:textId="77777777" w:rsidTr="002F0DF3">
        <w:trPr>
          <w:cnfStyle w:val="000000100000" w:firstRow="0" w:lastRow="0" w:firstColumn="0" w:lastColumn="0" w:oddVBand="0" w:evenVBand="0" w:oddHBand="1" w:evenHBand="0" w:firstRowFirstColumn="0" w:firstRowLastColumn="0" w:lastRowFirstColumn="0" w:lastRowLastColumn="0"/>
        </w:trPr>
        <w:tc>
          <w:tcPr>
            <w:tcW w:w="716" w:type="pct"/>
          </w:tcPr>
          <w:p w14:paraId="716C4C0F" w14:textId="77777777" w:rsidR="00FA2FF9" w:rsidRPr="00730DE4" w:rsidRDefault="00FA2FF9" w:rsidP="002247D0">
            <w:pPr>
              <w:pStyle w:val="NoSpacing"/>
              <w:rPr>
                <w:rStyle w:val="Strong"/>
                <w:b w:val="0"/>
                <w:bCs w:val="0"/>
              </w:rPr>
            </w:pPr>
            <w:r w:rsidRPr="00730DE4">
              <w:rPr>
                <w:rFonts w:ascii="Calibri" w:hAnsi="Calibri" w:cs="Calibri"/>
                <w:color w:val="000000"/>
                <w:sz w:val="22"/>
              </w:rPr>
              <w:t>2020–21</w:t>
            </w:r>
          </w:p>
        </w:tc>
        <w:tc>
          <w:tcPr>
            <w:tcW w:w="712" w:type="pct"/>
          </w:tcPr>
          <w:p w14:paraId="62AED4FB" w14:textId="77777777" w:rsidR="00FA2FF9" w:rsidRPr="00730DE4" w:rsidRDefault="00FA2FF9" w:rsidP="002247D0">
            <w:pPr>
              <w:pStyle w:val="NoSpacing"/>
              <w:rPr>
                <w:rStyle w:val="Strong"/>
                <w:b w:val="0"/>
                <w:bCs w:val="0"/>
              </w:rPr>
            </w:pPr>
            <w:r w:rsidRPr="00730DE4">
              <w:rPr>
                <w:rFonts w:ascii="Calibri" w:hAnsi="Calibri" w:cs="Calibri"/>
                <w:color w:val="000000"/>
                <w:sz w:val="22"/>
              </w:rPr>
              <w:t>9</w:t>
            </w:r>
          </w:p>
        </w:tc>
        <w:tc>
          <w:tcPr>
            <w:tcW w:w="912" w:type="pct"/>
          </w:tcPr>
          <w:p w14:paraId="682D92FF" w14:textId="77777777" w:rsidR="00FA2FF9" w:rsidRPr="00730DE4" w:rsidRDefault="00FA2FF9" w:rsidP="002247D0">
            <w:pPr>
              <w:pStyle w:val="NoSpacing"/>
              <w:rPr>
                <w:rStyle w:val="Strong"/>
                <w:b w:val="0"/>
                <w:bCs w:val="0"/>
              </w:rPr>
            </w:pPr>
            <w:r w:rsidRPr="00730DE4">
              <w:rPr>
                <w:rFonts w:ascii="Calibri" w:hAnsi="Calibri" w:cs="Calibri"/>
                <w:color w:val="000000"/>
                <w:sz w:val="22"/>
              </w:rPr>
              <w:t>7</w:t>
            </w:r>
          </w:p>
        </w:tc>
        <w:tc>
          <w:tcPr>
            <w:tcW w:w="516" w:type="pct"/>
          </w:tcPr>
          <w:p w14:paraId="376D3D78" w14:textId="77777777" w:rsidR="00FA2FF9" w:rsidRPr="00730DE4" w:rsidRDefault="00FA2FF9" w:rsidP="002247D0">
            <w:pPr>
              <w:pStyle w:val="NoSpacing"/>
              <w:rPr>
                <w:rStyle w:val="Strong"/>
                <w:b w:val="0"/>
                <w:bCs w:val="0"/>
              </w:rPr>
            </w:pPr>
            <w:r w:rsidRPr="00730DE4">
              <w:rPr>
                <w:rFonts w:ascii="Calibri" w:hAnsi="Calibri" w:cs="Calibri"/>
                <w:color w:val="000000"/>
                <w:sz w:val="22"/>
              </w:rPr>
              <w:t>0</w:t>
            </w:r>
          </w:p>
        </w:tc>
        <w:tc>
          <w:tcPr>
            <w:tcW w:w="726" w:type="pct"/>
          </w:tcPr>
          <w:p w14:paraId="74DBEF98" w14:textId="77777777" w:rsidR="00FA2FF9" w:rsidRPr="00730DE4" w:rsidRDefault="00FA2FF9" w:rsidP="002247D0">
            <w:pPr>
              <w:pStyle w:val="NoSpacing"/>
              <w:rPr>
                <w:rStyle w:val="Strong"/>
                <w:b w:val="0"/>
                <w:bCs w:val="0"/>
              </w:rPr>
            </w:pPr>
            <w:r w:rsidRPr="00730DE4">
              <w:rPr>
                <w:rFonts w:ascii="Calibri" w:hAnsi="Calibri" w:cs="Calibri"/>
                <w:color w:val="000000"/>
                <w:sz w:val="22"/>
              </w:rPr>
              <w:t>0</w:t>
            </w:r>
          </w:p>
        </w:tc>
        <w:tc>
          <w:tcPr>
            <w:tcW w:w="710" w:type="pct"/>
          </w:tcPr>
          <w:p w14:paraId="3483939B" w14:textId="77777777" w:rsidR="00FA2FF9" w:rsidRPr="00730DE4" w:rsidRDefault="00FA2FF9" w:rsidP="002247D0">
            <w:pPr>
              <w:pStyle w:val="NoSpacing"/>
              <w:rPr>
                <w:rStyle w:val="Strong"/>
                <w:b w:val="0"/>
                <w:bCs w:val="0"/>
              </w:rPr>
            </w:pPr>
            <w:r w:rsidRPr="00730DE4">
              <w:rPr>
                <w:rFonts w:ascii="Calibri" w:hAnsi="Calibri" w:cs="Calibri"/>
                <w:color w:val="000000"/>
                <w:sz w:val="22"/>
              </w:rPr>
              <w:t>0</w:t>
            </w:r>
          </w:p>
        </w:tc>
        <w:tc>
          <w:tcPr>
            <w:tcW w:w="708" w:type="pct"/>
          </w:tcPr>
          <w:p w14:paraId="36C25EAD" w14:textId="77777777" w:rsidR="00FA2FF9" w:rsidRPr="00730DE4" w:rsidRDefault="00FA2FF9" w:rsidP="002247D0">
            <w:pPr>
              <w:pStyle w:val="NoSpacing"/>
              <w:rPr>
                <w:rStyle w:val="Strong"/>
              </w:rPr>
            </w:pPr>
            <w:r w:rsidRPr="00730DE4">
              <w:rPr>
                <w:rStyle w:val="Strong"/>
              </w:rPr>
              <w:t>16</w:t>
            </w:r>
          </w:p>
        </w:tc>
      </w:tr>
      <w:tr w:rsidR="000A65A9" w:rsidRPr="00730DE4" w14:paraId="47118193" w14:textId="77777777" w:rsidTr="002F0DF3">
        <w:tc>
          <w:tcPr>
            <w:tcW w:w="716" w:type="pct"/>
          </w:tcPr>
          <w:p w14:paraId="58471D42" w14:textId="77777777" w:rsidR="00FA2FF9" w:rsidRPr="00730DE4" w:rsidRDefault="00FA2FF9" w:rsidP="002247D0">
            <w:pPr>
              <w:pStyle w:val="NoSpacing"/>
              <w:rPr>
                <w:rStyle w:val="Strong"/>
                <w:b w:val="0"/>
                <w:bCs w:val="0"/>
              </w:rPr>
            </w:pPr>
            <w:r w:rsidRPr="00730DE4">
              <w:rPr>
                <w:rFonts w:ascii="Calibri" w:hAnsi="Calibri" w:cs="Calibri"/>
                <w:color w:val="000000"/>
                <w:sz w:val="22"/>
              </w:rPr>
              <w:t>2021–22</w:t>
            </w:r>
          </w:p>
        </w:tc>
        <w:tc>
          <w:tcPr>
            <w:tcW w:w="712" w:type="pct"/>
          </w:tcPr>
          <w:p w14:paraId="3B3A464B" w14:textId="77777777" w:rsidR="00FA2FF9" w:rsidRPr="00730DE4" w:rsidRDefault="00FA2FF9" w:rsidP="002247D0">
            <w:pPr>
              <w:pStyle w:val="NoSpacing"/>
              <w:rPr>
                <w:rStyle w:val="Strong"/>
                <w:b w:val="0"/>
                <w:bCs w:val="0"/>
              </w:rPr>
            </w:pPr>
            <w:r w:rsidRPr="00730DE4">
              <w:rPr>
                <w:rFonts w:ascii="Calibri" w:hAnsi="Calibri" w:cs="Calibri"/>
                <w:color w:val="000000"/>
                <w:sz w:val="22"/>
              </w:rPr>
              <w:t>10</w:t>
            </w:r>
          </w:p>
        </w:tc>
        <w:tc>
          <w:tcPr>
            <w:tcW w:w="912" w:type="pct"/>
          </w:tcPr>
          <w:p w14:paraId="45A77281" w14:textId="77777777" w:rsidR="00FA2FF9" w:rsidRPr="00730DE4" w:rsidRDefault="00FA2FF9" w:rsidP="002247D0">
            <w:pPr>
              <w:pStyle w:val="NoSpacing"/>
              <w:rPr>
                <w:rStyle w:val="Strong"/>
                <w:b w:val="0"/>
                <w:bCs w:val="0"/>
              </w:rPr>
            </w:pPr>
            <w:r w:rsidRPr="00730DE4">
              <w:rPr>
                <w:rFonts w:ascii="Calibri" w:hAnsi="Calibri" w:cs="Calibri"/>
                <w:color w:val="000000"/>
                <w:sz w:val="22"/>
              </w:rPr>
              <w:t>2</w:t>
            </w:r>
          </w:p>
        </w:tc>
        <w:tc>
          <w:tcPr>
            <w:tcW w:w="516" w:type="pct"/>
          </w:tcPr>
          <w:p w14:paraId="43E08EBD" w14:textId="77777777" w:rsidR="00FA2FF9" w:rsidRPr="00730DE4" w:rsidRDefault="00FA2FF9" w:rsidP="002247D0">
            <w:pPr>
              <w:pStyle w:val="NoSpacing"/>
              <w:rPr>
                <w:rStyle w:val="Strong"/>
                <w:b w:val="0"/>
                <w:bCs w:val="0"/>
              </w:rPr>
            </w:pPr>
            <w:r w:rsidRPr="00730DE4">
              <w:rPr>
                <w:rFonts w:ascii="Calibri" w:hAnsi="Calibri" w:cs="Calibri"/>
                <w:color w:val="000000"/>
                <w:sz w:val="22"/>
              </w:rPr>
              <w:t>0</w:t>
            </w:r>
          </w:p>
        </w:tc>
        <w:tc>
          <w:tcPr>
            <w:tcW w:w="726" w:type="pct"/>
          </w:tcPr>
          <w:p w14:paraId="18D0B444" w14:textId="77777777" w:rsidR="00FA2FF9" w:rsidRPr="00730DE4" w:rsidRDefault="00FA2FF9" w:rsidP="002247D0">
            <w:pPr>
              <w:pStyle w:val="NoSpacing"/>
              <w:rPr>
                <w:rStyle w:val="Strong"/>
                <w:b w:val="0"/>
                <w:bCs w:val="0"/>
              </w:rPr>
            </w:pPr>
            <w:r w:rsidRPr="00730DE4">
              <w:rPr>
                <w:rFonts w:ascii="Calibri" w:hAnsi="Calibri" w:cs="Calibri"/>
                <w:color w:val="000000"/>
                <w:sz w:val="22"/>
              </w:rPr>
              <w:t>0</w:t>
            </w:r>
          </w:p>
        </w:tc>
        <w:tc>
          <w:tcPr>
            <w:tcW w:w="710" w:type="pct"/>
          </w:tcPr>
          <w:p w14:paraId="19A052BF" w14:textId="77777777" w:rsidR="00FA2FF9" w:rsidRPr="00730DE4" w:rsidRDefault="00FA2FF9" w:rsidP="002247D0">
            <w:pPr>
              <w:pStyle w:val="NoSpacing"/>
              <w:rPr>
                <w:rStyle w:val="Strong"/>
                <w:b w:val="0"/>
                <w:bCs w:val="0"/>
              </w:rPr>
            </w:pPr>
            <w:r w:rsidRPr="00730DE4">
              <w:rPr>
                <w:rFonts w:ascii="Calibri" w:hAnsi="Calibri" w:cs="Calibri"/>
                <w:color w:val="000000"/>
                <w:sz w:val="22"/>
              </w:rPr>
              <w:t>0</w:t>
            </w:r>
          </w:p>
        </w:tc>
        <w:tc>
          <w:tcPr>
            <w:tcW w:w="708" w:type="pct"/>
          </w:tcPr>
          <w:p w14:paraId="36932C26" w14:textId="77777777" w:rsidR="00FA2FF9" w:rsidRPr="00730DE4" w:rsidRDefault="00FA2FF9" w:rsidP="002247D0">
            <w:pPr>
              <w:pStyle w:val="NoSpacing"/>
              <w:rPr>
                <w:rStyle w:val="Strong"/>
              </w:rPr>
            </w:pPr>
            <w:r w:rsidRPr="00730DE4">
              <w:rPr>
                <w:rStyle w:val="Strong"/>
              </w:rPr>
              <w:t>12</w:t>
            </w:r>
          </w:p>
        </w:tc>
      </w:tr>
      <w:tr w:rsidR="000A65A9" w:rsidRPr="00730DE4" w14:paraId="587C9592" w14:textId="77777777" w:rsidTr="002F0DF3">
        <w:trPr>
          <w:cnfStyle w:val="000000100000" w:firstRow="0" w:lastRow="0" w:firstColumn="0" w:lastColumn="0" w:oddVBand="0" w:evenVBand="0" w:oddHBand="1" w:evenHBand="0" w:firstRowFirstColumn="0" w:firstRowLastColumn="0" w:lastRowFirstColumn="0" w:lastRowLastColumn="0"/>
        </w:trPr>
        <w:tc>
          <w:tcPr>
            <w:tcW w:w="716" w:type="pct"/>
          </w:tcPr>
          <w:p w14:paraId="05A4C118" w14:textId="77777777" w:rsidR="00FA2FF9" w:rsidRPr="00730DE4" w:rsidRDefault="00FA2FF9" w:rsidP="002247D0">
            <w:pPr>
              <w:pStyle w:val="NoSpacing"/>
              <w:rPr>
                <w:rStyle w:val="Strong"/>
                <w:b w:val="0"/>
                <w:bCs w:val="0"/>
              </w:rPr>
            </w:pPr>
            <w:r w:rsidRPr="00730DE4">
              <w:rPr>
                <w:rFonts w:ascii="Calibri" w:hAnsi="Calibri" w:cs="Calibri"/>
                <w:color w:val="000000"/>
                <w:sz w:val="22"/>
              </w:rPr>
              <w:t>2022–23</w:t>
            </w:r>
          </w:p>
        </w:tc>
        <w:tc>
          <w:tcPr>
            <w:tcW w:w="712" w:type="pct"/>
          </w:tcPr>
          <w:p w14:paraId="1C905D49" w14:textId="77777777" w:rsidR="00FA2FF9" w:rsidRPr="00730DE4" w:rsidRDefault="00FA2FF9" w:rsidP="002247D0">
            <w:pPr>
              <w:pStyle w:val="NoSpacing"/>
              <w:rPr>
                <w:rStyle w:val="Strong"/>
                <w:b w:val="0"/>
                <w:bCs w:val="0"/>
              </w:rPr>
            </w:pPr>
            <w:r w:rsidRPr="00730DE4">
              <w:rPr>
                <w:rFonts w:ascii="Calibri" w:hAnsi="Calibri" w:cs="Calibri"/>
                <w:color w:val="000000"/>
                <w:sz w:val="22"/>
              </w:rPr>
              <w:t>13</w:t>
            </w:r>
          </w:p>
        </w:tc>
        <w:tc>
          <w:tcPr>
            <w:tcW w:w="912" w:type="pct"/>
          </w:tcPr>
          <w:p w14:paraId="69576966" w14:textId="77777777" w:rsidR="00FA2FF9" w:rsidRPr="00730DE4" w:rsidRDefault="00FA2FF9" w:rsidP="002247D0">
            <w:pPr>
              <w:pStyle w:val="NoSpacing"/>
              <w:rPr>
                <w:rStyle w:val="Strong"/>
                <w:b w:val="0"/>
                <w:bCs w:val="0"/>
              </w:rPr>
            </w:pPr>
            <w:r w:rsidRPr="00730DE4">
              <w:rPr>
                <w:rFonts w:ascii="Calibri" w:hAnsi="Calibri" w:cs="Calibri"/>
                <w:color w:val="000000"/>
                <w:sz w:val="22"/>
              </w:rPr>
              <w:t>4</w:t>
            </w:r>
          </w:p>
        </w:tc>
        <w:tc>
          <w:tcPr>
            <w:tcW w:w="516" w:type="pct"/>
          </w:tcPr>
          <w:p w14:paraId="59734A84" w14:textId="77777777" w:rsidR="00FA2FF9" w:rsidRPr="00730DE4" w:rsidRDefault="00FA2FF9" w:rsidP="002247D0">
            <w:pPr>
              <w:pStyle w:val="NoSpacing"/>
              <w:rPr>
                <w:rStyle w:val="Strong"/>
                <w:b w:val="0"/>
                <w:bCs w:val="0"/>
              </w:rPr>
            </w:pPr>
            <w:r w:rsidRPr="00730DE4">
              <w:rPr>
                <w:rFonts w:ascii="Calibri" w:hAnsi="Calibri" w:cs="Calibri"/>
                <w:color w:val="000000"/>
                <w:sz w:val="22"/>
              </w:rPr>
              <w:t>0</w:t>
            </w:r>
          </w:p>
        </w:tc>
        <w:tc>
          <w:tcPr>
            <w:tcW w:w="726" w:type="pct"/>
          </w:tcPr>
          <w:p w14:paraId="36FE8956" w14:textId="77777777" w:rsidR="00FA2FF9" w:rsidRPr="00730DE4" w:rsidRDefault="00FA2FF9" w:rsidP="002247D0">
            <w:pPr>
              <w:pStyle w:val="NoSpacing"/>
              <w:rPr>
                <w:rStyle w:val="Strong"/>
                <w:b w:val="0"/>
                <w:bCs w:val="0"/>
              </w:rPr>
            </w:pPr>
            <w:r w:rsidRPr="00730DE4">
              <w:rPr>
                <w:rFonts w:ascii="Calibri" w:hAnsi="Calibri" w:cs="Calibri"/>
                <w:color w:val="000000"/>
                <w:sz w:val="22"/>
              </w:rPr>
              <w:t>0</w:t>
            </w:r>
          </w:p>
        </w:tc>
        <w:tc>
          <w:tcPr>
            <w:tcW w:w="710" w:type="pct"/>
          </w:tcPr>
          <w:p w14:paraId="5DE78AD9" w14:textId="77777777" w:rsidR="00FA2FF9" w:rsidRPr="00730DE4" w:rsidRDefault="00FA2FF9" w:rsidP="002247D0">
            <w:pPr>
              <w:pStyle w:val="NoSpacing"/>
              <w:rPr>
                <w:rStyle w:val="Strong"/>
                <w:b w:val="0"/>
                <w:bCs w:val="0"/>
              </w:rPr>
            </w:pPr>
            <w:r w:rsidRPr="00730DE4">
              <w:rPr>
                <w:rFonts w:ascii="Calibri" w:hAnsi="Calibri" w:cs="Calibri"/>
                <w:color w:val="000000"/>
                <w:sz w:val="22"/>
              </w:rPr>
              <w:t>0</w:t>
            </w:r>
          </w:p>
        </w:tc>
        <w:tc>
          <w:tcPr>
            <w:tcW w:w="708" w:type="pct"/>
          </w:tcPr>
          <w:p w14:paraId="16C6822C" w14:textId="77777777" w:rsidR="00FA2FF9" w:rsidRPr="00730DE4" w:rsidRDefault="00FA2FF9" w:rsidP="002247D0">
            <w:pPr>
              <w:pStyle w:val="NoSpacing"/>
              <w:rPr>
                <w:rStyle w:val="Strong"/>
              </w:rPr>
            </w:pPr>
            <w:r w:rsidRPr="00730DE4">
              <w:rPr>
                <w:rStyle w:val="Strong"/>
              </w:rPr>
              <w:t>17</w:t>
            </w:r>
          </w:p>
        </w:tc>
      </w:tr>
      <w:tr w:rsidR="000A65A9" w:rsidRPr="00730DE4" w14:paraId="4E73BA77" w14:textId="77777777" w:rsidTr="002F0DF3">
        <w:tc>
          <w:tcPr>
            <w:tcW w:w="716" w:type="pct"/>
          </w:tcPr>
          <w:p w14:paraId="3E82D5BC" w14:textId="77777777" w:rsidR="00FA2FF9" w:rsidRPr="00730DE4" w:rsidRDefault="00FA2FF9" w:rsidP="002247D0">
            <w:pPr>
              <w:pStyle w:val="NoSpacing"/>
              <w:rPr>
                <w:rStyle w:val="Strong"/>
                <w:b w:val="0"/>
                <w:bCs w:val="0"/>
              </w:rPr>
            </w:pPr>
            <w:r w:rsidRPr="00730DE4">
              <w:rPr>
                <w:rFonts w:ascii="Calibri" w:hAnsi="Calibri" w:cs="Calibri"/>
                <w:color w:val="000000"/>
                <w:sz w:val="22"/>
              </w:rPr>
              <w:t>2023–24</w:t>
            </w:r>
          </w:p>
        </w:tc>
        <w:tc>
          <w:tcPr>
            <w:tcW w:w="712" w:type="pct"/>
          </w:tcPr>
          <w:p w14:paraId="3C4E6304" w14:textId="77777777" w:rsidR="00FA2FF9" w:rsidRPr="00730DE4" w:rsidRDefault="00FA2FF9" w:rsidP="002247D0">
            <w:pPr>
              <w:pStyle w:val="NoSpacing"/>
              <w:rPr>
                <w:rStyle w:val="Strong"/>
                <w:b w:val="0"/>
                <w:bCs w:val="0"/>
              </w:rPr>
            </w:pPr>
            <w:r w:rsidRPr="00730DE4">
              <w:rPr>
                <w:rFonts w:ascii="Calibri" w:hAnsi="Calibri" w:cs="Calibri"/>
                <w:color w:val="000000"/>
                <w:sz w:val="22"/>
              </w:rPr>
              <w:t>4</w:t>
            </w:r>
          </w:p>
        </w:tc>
        <w:tc>
          <w:tcPr>
            <w:tcW w:w="912" w:type="pct"/>
          </w:tcPr>
          <w:p w14:paraId="26396280" w14:textId="77777777" w:rsidR="00FA2FF9" w:rsidRPr="00730DE4" w:rsidRDefault="00FA2FF9" w:rsidP="002247D0">
            <w:pPr>
              <w:pStyle w:val="NoSpacing"/>
              <w:rPr>
                <w:rStyle w:val="Strong"/>
                <w:b w:val="0"/>
                <w:bCs w:val="0"/>
              </w:rPr>
            </w:pPr>
            <w:r w:rsidRPr="00730DE4">
              <w:rPr>
                <w:rFonts w:ascii="Calibri" w:hAnsi="Calibri" w:cs="Calibri"/>
                <w:color w:val="000000"/>
                <w:sz w:val="22"/>
              </w:rPr>
              <w:t>3</w:t>
            </w:r>
          </w:p>
        </w:tc>
        <w:tc>
          <w:tcPr>
            <w:tcW w:w="516" w:type="pct"/>
          </w:tcPr>
          <w:p w14:paraId="02849E5F" w14:textId="77777777" w:rsidR="00FA2FF9" w:rsidRPr="00730DE4" w:rsidRDefault="00FA2FF9" w:rsidP="002247D0">
            <w:pPr>
              <w:pStyle w:val="NoSpacing"/>
              <w:rPr>
                <w:rStyle w:val="Strong"/>
                <w:b w:val="0"/>
                <w:bCs w:val="0"/>
              </w:rPr>
            </w:pPr>
            <w:r w:rsidRPr="00730DE4">
              <w:rPr>
                <w:rFonts w:ascii="Calibri" w:hAnsi="Calibri" w:cs="Calibri"/>
                <w:color w:val="000000"/>
                <w:sz w:val="22"/>
              </w:rPr>
              <w:t>0</w:t>
            </w:r>
          </w:p>
        </w:tc>
        <w:tc>
          <w:tcPr>
            <w:tcW w:w="726" w:type="pct"/>
          </w:tcPr>
          <w:p w14:paraId="34BC5C22" w14:textId="77777777" w:rsidR="00FA2FF9" w:rsidRPr="00730DE4" w:rsidRDefault="00FA2FF9" w:rsidP="002247D0">
            <w:pPr>
              <w:pStyle w:val="NoSpacing"/>
              <w:rPr>
                <w:rStyle w:val="Strong"/>
                <w:b w:val="0"/>
                <w:bCs w:val="0"/>
              </w:rPr>
            </w:pPr>
            <w:r w:rsidRPr="00730DE4">
              <w:rPr>
                <w:rFonts w:ascii="Calibri" w:hAnsi="Calibri" w:cs="Calibri"/>
                <w:color w:val="000000"/>
                <w:sz w:val="22"/>
              </w:rPr>
              <w:t>0</w:t>
            </w:r>
          </w:p>
        </w:tc>
        <w:tc>
          <w:tcPr>
            <w:tcW w:w="710" w:type="pct"/>
          </w:tcPr>
          <w:p w14:paraId="392751FB" w14:textId="77777777" w:rsidR="00FA2FF9" w:rsidRPr="00730DE4" w:rsidRDefault="00FA2FF9" w:rsidP="002247D0">
            <w:pPr>
              <w:pStyle w:val="NoSpacing"/>
              <w:rPr>
                <w:rStyle w:val="Strong"/>
                <w:b w:val="0"/>
                <w:bCs w:val="0"/>
              </w:rPr>
            </w:pPr>
            <w:r w:rsidRPr="00730DE4">
              <w:rPr>
                <w:rFonts w:ascii="Calibri" w:hAnsi="Calibri" w:cs="Calibri"/>
                <w:color w:val="000000"/>
                <w:sz w:val="22"/>
              </w:rPr>
              <w:t>1</w:t>
            </w:r>
          </w:p>
        </w:tc>
        <w:tc>
          <w:tcPr>
            <w:tcW w:w="708" w:type="pct"/>
          </w:tcPr>
          <w:p w14:paraId="3480DB8F" w14:textId="77777777" w:rsidR="00FA2FF9" w:rsidRPr="00730DE4" w:rsidRDefault="00FA2FF9" w:rsidP="002247D0">
            <w:pPr>
              <w:pStyle w:val="NoSpacing"/>
              <w:rPr>
                <w:rStyle w:val="Strong"/>
              </w:rPr>
            </w:pPr>
            <w:r w:rsidRPr="00730DE4">
              <w:rPr>
                <w:rStyle w:val="Strong"/>
              </w:rPr>
              <w:t>8</w:t>
            </w:r>
          </w:p>
        </w:tc>
      </w:tr>
    </w:tbl>
    <w:p w14:paraId="5318F8CE" w14:textId="77777777" w:rsidR="00FA2FF9" w:rsidRPr="00730DE4" w:rsidRDefault="00FA2FF9" w:rsidP="002F0DF3">
      <w:pPr>
        <w:pStyle w:val="Caption"/>
        <w:rPr>
          <w:lang w:val="en-US"/>
        </w:rPr>
      </w:pPr>
      <w:r w:rsidRPr="00730DE4">
        <w:rPr>
          <w:lang w:val="en-US"/>
        </w:rPr>
        <w:t>This data is subject to change when the outcomes of open incident investigations are finalised.</w:t>
      </w:r>
    </w:p>
    <w:p w14:paraId="000DD0E7" w14:textId="77777777" w:rsidR="00FA2FF9" w:rsidRPr="00730DE4" w:rsidRDefault="00FA2FF9" w:rsidP="002247D0">
      <w:pPr>
        <w:pStyle w:val="FigureCaption"/>
        <w:rPr>
          <w:lang w:val="en-US"/>
        </w:rPr>
      </w:pPr>
      <w:r w:rsidRPr="00730DE4">
        <w:rPr>
          <w:lang w:val="en-US"/>
        </w:rPr>
        <w:t xml:space="preserve">Figure 4: Serious injuries from maritime incidents (in Queensland) </w:t>
      </w:r>
    </w:p>
    <w:tbl>
      <w:tblPr>
        <w:tblStyle w:val="TMRDefault"/>
        <w:tblW w:w="5000" w:type="pct"/>
        <w:tblLook w:val="04A0" w:firstRow="1" w:lastRow="0" w:firstColumn="1" w:lastColumn="0" w:noHBand="0" w:noVBand="1"/>
      </w:tblPr>
      <w:tblGrid>
        <w:gridCol w:w="1402"/>
        <w:gridCol w:w="1685"/>
        <w:gridCol w:w="1548"/>
        <w:gridCol w:w="840"/>
        <w:gridCol w:w="1208"/>
        <w:gridCol w:w="1106"/>
        <w:gridCol w:w="1271"/>
      </w:tblGrid>
      <w:tr w:rsidR="000A65A9" w:rsidRPr="00730DE4" w14:paraId="665D12F5" w14:textId="77777777" w:rsidTr="002247D0">
        <w:trPr>
          <w:cnfStyle w:val="100000000000" w:firstRow="1" w:lastRow="0" w:firstColumn="0" w:lastColumn="0" w:oddVBand="0" w:evenVBand="0" w:oddHBand="0" w:evenHBand="0" w:firstRowFirstColumn="0" w:firstRowLastColumn="0" w:lastRowFirstColumn="0" w:lastRowLastColumn="0"/>
          <w:tblHeader/>
        </w:trPr>
        <w:tc>
          <w:tcPr>
            <w:tcW w:w="781" w:type="pct"/>
          </w:tcPr>
          <w:p w14:paraId="2D13EE22" w14:textId="77777777" w:rsidR="00FA2FF9" w:rsidRPr="00730DE4" w:rsidRDefault="00FA2FF9" w:rsidP="002247D0">
            <w:pPr>
              <w:pStyle w:val="NoSpacing"/>
              <w:rPr>
                <w:color w:val="FFFFFF" w:themeColor="background1"/>
              </w:rPr>
            </w:pPr>
            <w:r w:rsidRPr="00730DE4">
              <w:rPr>
                <w:color w:val="FFFFFF" w:themeColor="background1"/>
              </w:rPr>
              <w:t>Financial Year</w:t>
            </w:r>
          </w:p>
        </w:tc>
        <w:tc>
          <w:tcPr>
            <w:tcW w:w="937" w:type="pct"/>
          </w:tcPr>
          <w:p w14:paraId="70A35B60" w14:textId="77777777" w:rsidR="00FA2FF9" w:rsidRPr="00730DE4" w:rsidRDefault="00FA2FF9" w:rsidP="002247D0">
            <w:pPr>
              <w:pStyle w:val="NoSpacing"/>
              <w:rPr>
                <w:color w:val="FFFFFF" w:themeColor="background1"/>
              </w:rPr>
            </w:pPr>
            <w:r w:rsidRPr="00730DE4">
              <w:rPr>
                <w:color w:val="FFFFFF" w:themeColor="background1"/>
              </w:rPr>
              <w:t>Boat: Master</w:t>
            </w:r>
          </w:p>
        </w:tc>
        <w:tc>
          <w:tcPr>
            <w:tcW w:w="861" w:type="pct"/>
          </w:tcPr>
          <w:p w14:paraId="45F57539" w14:textId="77777777" w:rsidR="00FA2FF9" w:rsidRPr="00730DE4" w:rsidRDefault="00FA2FF9" w:rsidP="002247D0">
            <w:pPr>
              <w:pStyle w:val="NoSpacing"/>
              <w:rPr>
                <w:color w:val="FFFFFF" w:themeColor="background1"/>
              </w:rPr>
            </w:pPr>
            <w:r w:rsidRPr="00730DE4">
              <w:rPr>
                <w:color w:val="FFFFFF" w:themeColor="background1"/>
              </w:rPr>
              <w:t>Boat: Passenger</w:t>
            </w:r>
          </w:p>
        </w:tc>
        <w:tc>
          <w:tcPr>
            <w:tcW w:w="470" w:type="pct"/>
          </w:tcPr>
          <w:p w14:paraId="749EF594" w14:textId="77777777" w:rsidR="00FA2FF9" w:rsidRPr="00730DE4" w:rsidRDefault="00FA2FF9" w:rsidP="002247D0">
            <w:pPr>
              <w:pStyle w:val="NoSpacing"/>
              <w:rPr>
                <w:color w:val="FFFFFF" w:themeColor="background1"/>
              </w:rPr>
            </w:pPr>
            <w:r w:rsidRPr="00730DE4">
              <w:rPr>
                <w:color w:val="FFFFFF" w:themeColor="background1"/>
              </w:rPr>
              <w:t>PWC</w:t>
            </w:r>
          </w:p>
        </w:tc>
        <w:tc>
          <w:tcPr>
            <w:tcW w:w="626" w:type="pct"/>
          </w:tcPr>
          <w:p w14:paraId="114021DC" w14:textId="77777777" w:rsidR="00FA2FF9" w:rsidRPr="00730DE4" w:rsidRDefault="00FA2FF9" w:rsidP="002247D0">
            <w:pPr>
              <w:pStyle w:val="NoSpacing"/>
              <w:rPr>
                <w:color w:val="FFFFFF" w:themeColor="background1"/>
              </w:rPr>
            </w:pPr>
            <w:r w:rsidRPr="00730DE4">
              <w:rPr>
                <w:color w:val="FFFFFF" w:themeColor="background1"/>
              </w:rPr>
              <w:t>Swimmer</w:t>
            </w:r>
          </w:p>
        </w:tc>
        <w:tc>
          <w:tcPr>
            <w:tcW w:w="617" w:type="pct"/>
          </w:tcPr>
          <w:p w14:paraId="645FA865" w14:textId="77777777" w:rsidR="00FA2FF9" w:rsidRPr="00730DE4" w:rsidRDefault="00FA2FF9" w:rsidP="002247D0">
            <w:pPr>
              <w:pStyle w:val="NoSpacing"/>
              <w:rPr>
                <w:color w:val="FFFFFF" w:themeColor="background1"/>
              </w:rPr>
            </w:pPr>
            <w:r w:rsidRPr="00730DE4">
              <w:rPr>
                <w:color w:val="FFFFFF" w:themeColor="background1"/>
              </w:rPr>
              <w:t>Water skier</w:t>
            </w:r>
          </w:p>
        </w:tc>
        <w:tc>
          <w:tcPr>
            <w:tcW w:w="708" w:type="pct"/>
          </w:tcPr>
          <w:p w14:paraId="44CC22BA" w14:textId="77777777" w:rsidR="00FA2FF9" w:rsidRPr="00730DE4" w:rsidRDefault="00FA2FF9" w:rsidP="002247D0">
            <w:pPr>
              <w:pStyle w:val="NoSpacing"/>
              <w:rPr>
                <w:color w:val="FFFFFF" w:themeColor="background1"/>
              </w:rPr>
            </w:pPr>
            <w:r w:rsidRPr="00730DE4">
              <w:rPr>
                <w:color w:val="FFFFFF" w:themeColor="background1"/>
              </w:rPr>
              <w:t>Total</w:t>
            </w:r>
          </w:p>
        </w:tc>
      </w:tr>
      <w:tr w:rsidR="000A65A9" w:rsidRPr="00730DE4" w14:paraId="3B482EAC" w14:textId="77777777" w:rsidTr="002247D0">
        <w:trPr>
          <w:cnfStyle w:val="000000100000" w:firstRow="0" w:lastRow="0" w:firstColumn="0" w:lastColumn="0" w:oddVBand="0" w:evenVBand="0" w:oddHBand="1" w:evenHBand="0" w:firstRowFirstColumn="0" w:firstRowLastColumn="0" w:lastRowFirstColumn="0" w:lastRowLastColumn="0"/>
        </w:trPr>
        <w:tc>
          <w:tcPr>
            <w:tcW w:w="781" w:type="pct"/>
          </w:tcPr>
          <w:p w14:paraId="1BAD3598" w14:textId="77777777" w:rsidR="00FA2FF9" w:rsidRPr="00730DE4" w:rsidRDefault="00FA2FF9" w:rsidP="002247D0">
            <w:pPr>
              <w:pStyle w:val="NoSpacing"/>
            </w:pPr>
            <w:r w:rsidRPr="00730DE4">
              <w:rPr>
                <w:rFonts w:ascii="Calibri" w:hAnsi="Calibri" w:cs="Calibri"/>
                <w:color w:val="000000"/>
                <w:sz w:val="22"/>
              </w:rPr>
              <w:t>2014–15</w:t>
            </w:r>
          </w:p>
        </w:tc>
        <w:tc>
          <w:tcPr>
            <w:tcW w:w="937" w:type="pct"/>
          </w:tcPr>
          <w:p w14:paraId="5EEDD3F8" w14:textId="77777777" w:rsidR="00FA2FF9" w:rsidRPr="00730DE4" w:rsidRDefault="00FA2FF9" w:rsidP="002247D0">
            <w:pPr>
              <w:pStyle w:val="NoSpacing"/>
            </w:pPr>
            <w:r w:rsidRPr="00730DE4">
              <w:rPr>
                <w:rFonts w:ascii="Calibri" w:hAnsi="Calibri" w:cs="Calibri"/>
                <w:color w:val="000000"/>
                <w:sz w:val="22"/>
              </w:rPr>
              <w:t>8</w:t>
            </w:r>
          </w:p>
        </w:tc>
        <w:tc>
          <w:tcPr>
            <w:tcW w:w="861" w:type="pct"/>
          </w:tcPr>
          <w:p w14:paraId="64E9C36F" w14:textId="77777777" w:rsidR="00FA2FF9" w:rsidRPr="00730DE4" w:rsidRDefault="00FA2FF9" w:rsidP="002247D0">
            <w:pPr>
              <w:pStyle w:val="NoSpacing"/>
            </w:pPr>
            <w:r w:rsidRPr="00730DE4">
              <w:rPr>
                <w:rFonts w:ascii="Calibri" w:hAnsi="Calibri" w:cs="Calibri"/>
                <w:color w:val="000000"/>
                <w:sz w:val="22"/>
              </w:rPr>
              <w:t>6</w:t>
            </w:r>
          </w:p>
        </w:tc>
        <w:tc>
          <w:tcPr>
            <w:tcW w:w="470" w:type="pct"/>
          </w:tcPr>
          <w:p w14:paraId="76FB5A34" w14:textId="77777777" w:rsidR="00FA2FF9" w:rsidRPr="00730DE4" w:rsidRDefault="00FA2FF9" w:rsidP="002247D0">
            <w:pPr>
              <w:pStyle w:val="NoSpacing"/>
            </w:pPr>
            <w:r w:rsidRPr="00730DE4">
              <w:rPr>
                <w:rFonts w:ascii="Calibri" w:hAnsi="Calibri" w:cs="Calibri"/>
                <w:color w:val="000000"/>
                <w:sz w:val="22"/>
              </w:rPr>
              <w:t>1</w:t>
            </w:r>
          </w:p>
        </w:tc>
        <w:tc>
          <w:tcPr>
            <w:tcW w:w="626" w:type="pct"/>
          </w:tcPr>
          <w:p w14:paraId="23C077C6" w14:textId="77777777" w:rsidR="00FA2FF9" w:rsidRPr="00730DE4" w:rsidRDefault="00FA2FF9" w:rsidP="002247D0">
            <w:pPr>
              <w:pStyle w:val="NoSpacing"/>
            </w:pPr>
            <w:r w:rsidRPr="00730DE4">
              <w:t>0</w:t>
            </w:r>
          </w:p>
        </w:tc>
        <w:tc>
          <w:tcPr>
            <w:tcW w:w="617" w:type="pct"/>
          </w:tcPr>
          <w:p w14:paraId="29BFBC93" w14:textId="77777777" w:rsidR="00FA2FF9" w:rsidRPr="00730DE4" w:rsidRDefault="00FA2FF9" w:rsidP="002247D0">
            <w:pPr>
              <w:pStyle w:val="NoSpacing"/>
            </w:pPr>
            <w:r w:rsidRPr="00730DE4">
              <w:rPr>
                <w:rFonts w:ascii="Calibri" w:hAnsi="Calibri" w:cs="Calibri"/>
                <w:color w:val="000000"/>
                <w:sz w:val="22"/>
              </w:rPr>
              <w:t>2</w:t>
            </w:r>
          </w:p>
        </w:tc>
        <w:tc>
          <w:tcPr>
            <w:tcW w:w="708" w:type="pct"/>
          </w:tcPr>
          <w:p w14:paraId="3BB21E7B" w14:textId="77777777" w:rsidR="00FA2FF9" w:rsidRPr="00730DE4" w:rsidRDefault="00FA2FF9" w:rsidP="002247D0">
            <w:pPr>
              <w:pStyle w:val="NoSpacing"/>
              <w:rPr>
                <w:bCs/>
              </w:rPr>
            </w:pPr>
            <w:r w:rsidRPr="00730DE4">
              <w:rPr>
                <w:rFonts w:ascii="Calibri" w:hAnsi="Calibri" w:cs="Calibri"/>
                <w:bCs/>
                <w:color w:val="000000"/>
                <w:sz w:val="22"/>
              </w:rPr>
              <w:t>17</w:t>
            </w:r>
          </w:p>
        </w:tc>
      </w:tr>
      <w:tr w:rsidR="000A65A9" w:rsidRPr="00730DE4" w14:paraId="3503C22A" w14:textId="77777777" w:rsidTr="002247D0">
        <w:tc>
          <w:tcPr>
            <w:tcW w:w="781" w:type="pct"/>
          </w:tcPr>
          <w:p w14:paraId="5B335C17" w14:textId="77777777" w:rsidR="00FA2FF9" w:rsidRPr="00730DE4" w:rsidRDefault="00FA2FF9" w:rsidP="002247D0">
            <w:pPr>
              <w:pStyle w:val="NoSpacing"/>
            </w:pPr>
            <w:r w:rsidRPr="00730DE4">
              <w:rPr>
                <w:rFonts w:ascii="Calibri" w:hAnsi="Calibri" w:cs="Calibri"/>
                <w:color w:val="000000"/>
                <w:sz w:val="22"/>
              </w:rPr>
              <w:t>2015–16</w:t>
            </w:r>
          </w:p>
        </w:tc>
        <w:tc>
          <w:tcPr>
            <w:tcW w:w="937" w:type="pct"/>
          </w:tcPr>
          <w:p w14:paraId="5C60D5DD" w14:textId="77777777" w:rsidR="00FA2FF9" w:rsidRPr="00730DE4" w:rsidRDefault="00FA2FF9" w:rsidP="002247D0">
            <w:pPr>
              <w:pStyle w:val="NoSpacing"/>
            </w:pPr>
            <w:r w:rsidRPr="00730DE4">
              <w:rPr>
                <w:rFonts w:ascii="Calibri" w:hAnsi="Calibri" w:cs="Calibri"/>
                <w:color w:val="000000"/>
                <w:sz w:val="22"/>
              </w:rPr>
              <w:t>11</w:t>
            </w:r>
          </w:p>
        </w:tc>
        <w:tc>
          <w:tcPr>
            <w:tcW w:w="861" w:type="pct"/>
          </w:tcPr>
          <w:p w14:paraId="09F974A0" w14:textId="77777777" w:rsidR="00FA2FF9" w:rsidRPr="00730DE4" w:rsidRDefault="00FA2FF9" w:rsidP="002247D0">
            <w:pPr>
              <w:pStyle w:val="NoSpacing"/>
            </w:pPr>
            <w:r w:rsidRPr="00730DE4">
              <w:rPr>
                <w:rFonts w:ascii="Calibri" w:hAnsi="Calibri" w:cs="Calibri"/>
                <w:color w:val="000000"/>
                <w:sz w:val="22"/>
              </w:rPr>
              <w:t>13</w:t>
            </w:r>
          </w:p>
        </w:tc>
        <w:tc>
          <w:tcPr>
            <w:tcW w:w="470" w:type="pct"/>
          </w:tcPr>
          <w:p w14:paraId="41FBE2D6" w14:textId="77777777" w:rsidR="00FA2FF9" w:rsidRPr="00730DE4" w:rsidRDefault="00FA2FF9" w:rsidP="002247D0">
            <w:pPr>
              <w:pStyle w:val="NoSpacing"/>
            </w:pPr>
            <w:r w:rsidRPr="00730DE4">
              <w:rPr>
                <w:rFonts w:ascii="Calibri" w:hAnsi="Calibri" w:cs="Calibri"/>
                <w:color w:val="000000"/>
                <w:sz w:val="22"/>
              </w:rPr>
              <w:t>9</w:t>
            </w:r>
          </w:p>
        </w:tc>
        <w:tc>
          <w:tcPr>
            <w:tcW w:w="626" w:type="pct"/>
          </w:tcPr>
          <w:p w14:paraId="7739F4DF" w14:textId="77777777" w:rsidR="00FA2FF9" w:rsidRPr="00730DE4" w:rsidRDefault="00FA2FF9" w:rsidP="002247D0">
            <w:pPr>
              <w:pStyle w:val="NoSpacing"/>
            </w:pPr>
            <w:r w:rsidRPr="00730DE4">
              <w:rPr>
                <w:rFonts w:ascii="Calibri" w:hAnsi="Calibri" w:cs="Calibri"/>
                <w:color w:val="000000"/>
                <w:sz w:val="22"/>
              </w:rPr>
              <w:t>2</w:t>
            </w:r>
          </w:p>
        </w:tc>
        <w:tc>
          <w:tcPr>
            <w:tcW w:w="617" w:type="pct"/>
          </w:tcPr>
          <w:p w14:paraId="0573F3A5" w14:textId="77777777" w:rsidR="00FA2FF9" w:rsidRPr="00730DE4" w:rsidRDefault="00FA2FF9" w:rsidP="002247D0">
            <w:pPr>
              <w:pStyle w:val="NoSpacing"/>
            </w:pPr>
            <w:r w:rsidRPr="00730DE4">
              <w:rPr>
                <w:rFonts w:ascii="Calibri" w:hAnsi="Calibri" w:cs="Calibri"/>
                <w:color w:val="000000"/>
                <w:sz w:val="22"/>
              </w:rPr>
              <w:t>2</w:t>
            </w:r>
          </w:p>
        </w:tc>
        <w:tc>
          <w:tcPr>
            <w:tcW w:w="708" w:type="pct"/>
          </w:tcPr>
          <w:p w14:paraId="4C56B252" w14:textId="77777777" w:rsidR="00FA2FF9" w:rsidRPr="00730DE4" w:rsidRDefault="00FA2FF9" w:rsidP="002247D0">
            <w:pPr>
              <w:pStyle w:val="NoSpacing"/>
              <w:rPr>
                <w:bCs/>
              </w:rPr>
            </w:pPr>
            <w:r w:rsidRPr="00730DE4">
              <w:rPr>
                <w:rFonts w:ascii="Calibri" w:hAnsi="Calibri" w:cs="Calibri"/>
                <w:bCs/>
                <w:color w:val="000000"/>
                <w:sz w:val="22"/>
              </w:rPr>
              <w:t>37</w:t>
            </w:r>
          </w:p>
        </w:tc>
      </w:tr>
      <w:tr w:rsidR="000A65A9" w:rsidRPr="00730DE4" w14:paraId="6E036EFA" w14:textId="77777777" w:rsidTr="002247D0">
        <w:trPr>
          <w:cnfStyle w:val="000000100000" w:firstRow="0" w:lastRow="0" w:firstColumn="0" w:lastColumn="0" w:oddVBand="0" w:evenVBand="0" w:oddHBand="1" w:evenHBand="0" w:firstRowFirstColumn="0" w:firstRowLastColumn="0" w:lastRowFirstColumn="0" w:lastRowLastColumn="0"/>
        </w:trPr>
        <w:tc>
          <w:tcPr>
            <w:tcW w:w="781" w:type="pct"/>
          </w:tcPr>
          <w:p w14:paraId="6C3C9EF2" w14:textId="77777777" w:rsidR="00FA2FF9" w:rsidRPr="00730DE4" w:rsidRDefault="00FA2FF9" w:rsidP="002247D0">
            <w:pPr>
              <w:pStyle w:val="NoSpacing"/>
            </w:pPr>
            <w:r w:rsidRPr="00730DE4">
              <w:rPr>
                <w:rFonts w:ascii="Calibri" w:hAnsi="Calibri" w:cs="Calibri"/>
                <w:color w:val="000000"/>
                <w:sz w:val="22"/>
              </w:rPr>
              <w:t>2016–17</w:t>
            </w:r>
          </w:p>
        </w:tc>
        <w:tc>
          <w:tcPr>
            <w:tcW w:w="937" w:type="pct"/>
          </w:tcPr>
          <w:p w14:paraId="6CAA9403" w14:textId="77777777" w:rsidR="00FA2FF9" w:rsidRPr="00730DE4" w:rsidRDefault="00FA2FF9" w:rsidP="002247D0">
            <w:pPr>
              <w:pStyle w:val="NoSpacing"/>
            </w:pPr>
            <w:r w:rsidRPr="00730DE4">
              <w:rPr>
                <w:rFonts w:ascii="Calibri" w:hAnsi="Calibri" w:cs="Calibri"/>
                <w:color w:val="000000"/>
                <w:sz w:val="22"/>
              </w:rPr>
              <w:t>14</w:t>
            </w:r>
          </w:p>
        </w:tc>
        <w:tc>
          <w:tcPr>
            <w:tcW w:w="861" w:type="pct"/>
          </w:tcPr>
          <w:p w14:paraId="66FD18B8" w14:textId="77777777" w:rsidR="00FA2FF9" w:rsidRPr="00730DE4" w:rsidRDefault="00FA2FF9" w:rsidP="002247D0">
            <w:pPr>
              <w:pStyle w:val="NoSpacing"/>
            </w:pPr>
            <w:r w:rsidRPr="00730DE4">
              <w:rPr>
                <w:rFonts w:ascii="Calibri" w:hAnsi="Calibri" w:cs="Calibri"/>
                <w:color w:val="000000"/>
                <w:sz w:val="22"/>
              </w:rPr>
              <w:t>12</w:t>
            </w:r>
          </w:p>
        </w:tc>
        <w:tc>
          <w:tcPr>
            <w:tcW w:w="470" w:type="pct"/>
          </w:tcPr>
          <w:p w14:paraId="16AA3EC3" w14:textId="77777777" w:rsidR="00FA2FF9" w:rsidRPr="00730DE4" w:rsidRDefault="00FA2FF9" w:rsidP="002247D0">
            <w:pPr>
              <w:pStyle w:val="NoSpacing"/>
            </w:pPr>
            <w:r w:rsidRPr="00730DE4">
              <w:rPr>
                <w:rFonts w:ascii="Calibri" w:hAnsi="Calibri" w:cs="Calibri"/>
                <w:color w:val="000000"/>
                <w:sz w:val="22"/>
              </w:rPr>
              <w:t>6</w:t>
            </w:r>
          </w:p>
        </w:tc>
        <w:tc>
          <w:tcPr>
            <w:tcW w:w="626" w:type="pct"/>
          </w:tcPr>
          <w:p w14:paraId="1C36723E" w14:textId="77777777" w:rsidR="00FA2FF9" w:rsidRPr="00730DE4" w:rsidRDefault="00FA2FF9" w:rsidP="002247D0">
            <w:pPr>
              <w:pStyle w:val="NoSpacing"/>
            </w:pPr>
            <w:r w:rsidRPr="00730DE4">
              <w:rPr>
                <w:rFonts w:ascii="Calibri" w:hAnsi="Calibri" w:cs="Calibri"/>
                <w:color w:val="000000"/>
                <w:sz w:val="22"/>
              </w:rPr>
              <w:t>1</w:t>
            </w:r>
          </w:p>
        </w:tc>
        <w:tc>
          <w:tcPr>
            <w:tcW w:w="617" w:type="pct"/>
          </w:tcPr>
          <w:p w14:paraId="6FC97F39" w14:textId="77777777" w:rsidR="00FA2FF9" w:rsidRPr="00730DE4" w:rsidRDefault="00FA2FF9" w:rsidP="002247D0">
            <w:pPr>
              <w:pStyle w:val="NoSpacing"/>
            </w:pPr>
            <w:r w:rsidRPr="00730DE4">
              <w:t>0</w:t>
            </w:r>
          </w:p>
        </w:tc>
        <w:tc>
          <w:tcPr>
            <w:tcW w:w="708" w:type="pct"/>
          </w:tcPr>
          <w:p w14:paraId="2022B195" w14:textId="77777777" w:rsidR="00FA2FF9" w:rsidRPr="00730DE4" w:rsidRDefault="00FA2FF9" w:rsidP="002247D0">
            <w:pPr>
              <w:pStyle w:val="NoSpacing"/>
              <w:rPr>
                <w:bCs/>
              </w:rPr>
            </w:pPr>
            <w:r w:rsidRPr="00730DE4">
              <w:rPr>
                <w:rFonts w:ascii="Calibri" w:hAnsi="Calibri" w:cs="Calibri"/>
                <w:bCs/>
                <w:color w:val="000000"/>
                <w:sz w:val="22"/>
              </w:rPr>
              <w:t>33</w:t>
            </w:r>
          </w:p>
        </w:tc>
      </w:tr>
      <w:tr w:rsidR="000A65A9" w:rsidRPr="00730DE4" w14:paraId="1F8FE9CA" w14:textId="77777777" w:rsidTr="002247D0">
        <w:tc>
          <w:tcPr>
            <w:tcW w:w="781" w:type="pct"/>
          </w:tcPr>
          <w:p w14:paraId="14C56276" w14:textId="77777777" w:rsidR="00FA2FF9" w:rsidRPr="00730DE4" w:rsidRDefault="00FA2FF9" w:rsidP="002247D0">
            <w:pPr>
              <w:pStyle w:val="NoSpacing"/>
            </w:pPr>
            <w:r w:rsidRPr="00730DE4">
              <w:rPr>
                <w:rFonts w:ascii="Calibri" w:hAnsi="Calibri" w:cs="Calibri"/>
                <w:color w:val="000000"/>
                <w:sz w:val="22"/>
              </w:rPr>
              <w:t>2017–18</w:t>
            </w:r>
          </w:p>
        </w:tc>
        <w:tc>
          <w:tcPr>
            <w:tcW w:w="937" w:type="pct"/>
          </w:tcPr>
          <w:p w14:paraId="735F033C" w14:textId="77777777" w:rsidR="00FA2FF9" w:rsidRPr="00730DE4" w:rsidRDefault="00FA2FF9" w:rsidP="002247D0">
            <w:pPr>
              <w:pStyle w:val="NoSpacing"/>
            </w:pPr>
            <w:r w:rsidRPr="00730DE4">
              <w:rPr>
                <w:rFonts w:ascii="Calibri" w:hAnsi="Calibri" w:cs="Calibri"/>
                <w:color w:val="000000"/>
                <w:sz w:val="22"/>
              </w:rPr>
              <w:t>13</w:t>
            </w:r>
          </w:p>
        </w:tc>
        <w:tc>
          <w:tcPr>
            <w:tcW w:w="861" w:type="pct"/>
          </w:tcPr>
          <w:p w14:paraId="1F0C01BF" w14:textId="77777777" w:rsidR="00FA2FF9" w:rsidRPr="00730DE4" w:rsidRDefault="00FA2FF9" w:rsidP="002247D0">
            <w:pPr>
              <w:pStyle w:val="NoSpacing"/>
            </w:pPr>
            <w:r w:rsidRPr="00730DE4">
              <w:rPr>
                <w:rFonts w:ascii="Calibri" w:hAnsi="Calibri" w:cs="Calibri"/>
                <w:color w:val="000000"/>
                <w:sz w:val="22"/>
              </w:rPr>
              <w:t>10</w:t>
            </w:r>
          </w:p>
        </w:tc>
        <w:tc>
          <w:tcPr>
            <w:tcW w:w="470" w:type="pct"/>
          </w:tcPr>
          <w:p w14:paraId="2AABB40F" w14:textId="77777777" w:rsidR="00FA2FF9" w:rsidRPr="00730DE4" w:rsidRDefault="00FA2FF9" w:rsidP="002247D0">
            <w:pPr>
              <w:pStyle w:val="NoSpacing"/>
            </w:pPr>
            <w:r w:rsidRPr="00730DE4">
              <w:rPr>
                <w:rFonts w:ascii="Calibri" w:hAnsi="Calibri" w:cs="Calibri"/>
                <w:color w:val="000000"/>
                <w:sz w:val="22"/>
              </w:rPr>
              <w:t>7</w:t>
            </w:r>
          </w:p>
        </w:tc>
        <w:tc>
          <w:tcPr>
            <w:tcW w:w="626" w:type="pct"/>
          </w:tcPr>
          <w:p w14:paraId="18277BB8" w14:textId="77777777" w:rsidR="00FA2FF9" w:rsidRPr="00730DE4" w:rsidRDefault="00FA2FF9" w:rsidP="002247D0">
            <w:pPr>
              <w:pStyle w:val="NoSpacing"/>
            </w:pPr>
            <w:r w:rsidRPr="00730DE4">
              <w:t>0</w:t>
            </w:r>
          </w:p>
        </w:tc>
        <w:tc>
          <w:tcPr>
            <w:tcW w:w="617" w:type="pct"/>
          </w:tcPr>
          <w:p w14:paraId="3DC1F445" w14:textId="77777777" w:rsidR="00FA2FF9" w:rsidRPr="00730DE4" w:rsidRDefault="00FA2FF9" w:rsidP="002247D0">
            <w:pPr>
              <w:pStyle w:val="NoSpacing"/>
            </w:pPr>
            <w:r w:rsidRPr="00730DE4">
              <w:rPr>
                <w:color w:val="000000"/>
                <w:szCs w:val="20"/>
              </w:rPr>
              <w:t>5</w:t>
            </w:r>
          </w:p>
        </w:tc>
        <w:tc>
          <w:tcPr>
            <w:tcW w:w="708" w:type="pct"/>
          </w:tcPr>
          <w:p w14:paraId="54C4DE45" w14:textId="77777777" w:rsidR="00FA2FF9" w:rsidRPr="00730DE4" w:rsidRDefault="00FA2FF9" w:rsidP="002247D0">
            <w:pPr>
              <w:pStyle w:val="NoSpacing"/>
              <w:rPr>
                <w:bCs/>
              </w:rPr>
            </w:pPr>
            <w:r w:rsidRPr="00730DE4">
              <w:rPr>
                <w:rFonts w:ascii="Calibri" w:hAnsi="Calibri" w:cs="Calibri"/>
                <w:bCs/>
                <w:color w:val="000000"/>
                <w:sz w:val="22"/>
              </w:rPr>
              <w:t>35</w:t>
            </w:r>
          </w:p>
        </w:tc>
      </w:tr>
      <w:tr w:rsidR="000A65A9" w:rsidRPr="00730DE4" w14:paraId="3755244A" w14:textId="77777777" w:rsidTr="002247D0">
        <w:trPr>
          <w:cnfStyle w:val="000000100000" w:firstRow="0" w:lastRow="0" w:firstColumn="0" w:lastColumn="0" w:oddVBand="0" w:evenVBand="0" w:oddHBand="1" w:evenHBand="0" w:firstRowFirstColumn="0" w:firstRowLastColumn="0" w:lastRowFirstColumn="0" w:lastRowLastColumn="0"/>
        </w:trPr>
        <w:tc>
          <w:tcPr>
            <w:tcW w:w="781" w:type="pct"/>
          </w:tcPr>
          <w:p w14:paraId="6F08B35C" w14:textId="77777777" w:rsidR="00FA2FF9" w:rsidRPr="00730DE4" w:rsidRDefault="00FA2FF9" w:rsidP="002247D0">
            <w:pPr>
              <w:pStyle w:val="NoSpacing"/>
            </w:pPr>
            <w:r w:rsidRPr="00730DE4">
              <w:rPr>
                <w:rFonts w:ascii="Calibri" w:hAnsi="Calibri" w:cs="Calibri"/>
                <w:color w:val="000000"/>
                <w:sz w:val="22"/>
              </w:rPr>
              <w:t>2018–19</w:t>
            </w:r>
          </w:p>
        </w:tc>
        <w:tc>
          <w:tcPr>
            <w:tcW w:w="937" w:type="pct"/>
          </w:tcPr>
          <w:p w14:paraId="3BD5CD7A" w14:textId="77777777" w:rsidR="00FA2FF9" w:rsidRPr="00730DE4" w:rsidRDefault="00FA2FF9" w:rsidP="002247D0">
            <w:pPr>
              <w:pStyle w:val="NoSpacing"/>
            </w:pPr>
            <w:r w:rsidRPr="00730DE4">
              <w:rPr>
                <w:rFonts w:ascii="Calibri" w:hAnsi="Calibri" w:cs="Calibri"/>
                <w:color w:val="000000"/>
                <w:sz w:val="22"/>
              </w:rPr>
              <w:t>14</w:t>
            </w:r>
          </w:p>
        </w:tc>
        <w:tc>
          <w:tcPr>
            <w:tcW w:w="861" w:type="pct"/>
          </w:tcPr>
          <w:p w14:paraId="1438A14E" w14:textId="77777777" w:rsidR="00FA2FF9" w:rsidRPr="00730DE4" w:rsidRDefault="00FA2FF9" w:rsidP="002247D0">
            <w:pPr>
              <w:pStyle w:val="NoSpacing"/>
            </w:pPr>
            <w:r w:rsidRPr="00730DE4">
              <w:rPr>
                <w:rFonts w:ascii="Calibri" w:hAnsi="Calibri" w:cs="Calibri"/>
                <w:color w:val="000000"/>
                <w:sz w:val="22"/>
              </w:rPr>
              <w:t>14</w:t>
            </w:r>
          </w:p>
        </w:tc>
        <w:tc>
          <w:tcPr>
            <w:tcW w:w="470" w:type="pct"/>
          </w:tcPr>
          <w:p w14:paraId="5B90FAF6" w14:textId="77777777" w:rsidR="00FA2FF9" w:rsidRPr="00730DE4" w:rsidRDefault="00FA2FF9" w:rsidP="002247D0">
            <w:pPr>
              <w:pStyle w:val="NoSpacing"/>
            </w:pPr>
            <w:r w:rsidRPr="00730DE4">
              <w:rPr>
                <w:rFonts w:ascii="Calibri" w:hAnsi="Calibri" w:cs="Calibri"/>
                <w:color w:val="000000"/>
                <w:sz w:val="22"/>
              </w:rPr>
              <w:t>6</w:t>
            </w:r>
          </w:p>
        </w:tc>
        <w:tc>
          <w:tcPr>
            <w:tcW w:w="626" w:type="pct"/>
          </w:tcPr>
          <w:p w14:paraId="63F89019" w14:textId="77777777" w:rsidR="00FA2FF9" w:rsidRPr="00730DE4" w:rsidRDefault="00FA2FF9" w:rsidP="002247D0">
            <w:pPr>
              <w:pStyle w:val="NoSpacing"/>
            </w:pPr>
            <w:r w:rsidRPr="00730DE4">
              <w:t>0</w:t>
            </w:r>
          </w:p>
        </w:tc>
        <w:tc>
          <w:tcPr>
            <w:tcW w:w="617" w:type="pct"/>
          </w:tcPr>
          <w:p w14:paraId="51BCFC07" w14:textId="77777777" w:rsidR="00FA2FF9" w:rsidRPr="00730DE4" w:rsidRDefault="00FA2FF9" w:rsidP="002247D0">
            <w:pPr>
              <w:pStyle w:val="NoSpacing"/>
            </w:pPr>
            <w:r w:rsidRPr="00730DE4">
              <w:rPr>
                <w:rFonts w:ascii="Calibri" w:hAnsi="Calibri" w:cs="Calibri"/>
                <w:color w:val="000000"/>
                <w:sz w:val="22"/>
              </w:rPr>
              <w:t>2</w:t>
            </w:r>
          </w:p>
        </w:tc>
        <w:tc>
          <w:tcPr>
            <w:tcW w:w="708" w:type="pct"/>
          </w:tcPr>
          <w:p w14:paraId="5A1D766D" w14:textId="77777777" w:rsidR="00FA2FF9" w:rsidRPr="00730DE4" w:rsidRDefault="00FA2FF9" w:rsidP="002247D0">
            <w:pPr>
              <w:pStyle w:val="NoSpacing"/>
              <w:rPr>
                <w:bCs/>
              </w:rPr>
            </w:pPr>
            <w:r w:rsidRPr="00730DE4">
              <w:rPr>
                <w:rFonts w:ascii="Calibri" w:hAnsi="Calibri" w:cs="Calibri"/>
                <w:bCs/>
                <w:color w:val="000000"/>
                <w:sz w:val="22"/>
              </w:rPr>
              <w:t>36</w:t>
            </w:r>
          </w:p>
        </w:tc>
      </w:tr>
      <w:tr w:rsidR="000A65A9" w:rsidRPr="00730DE4" w14:paraId="407C8033" w14:textId="77777777" w:rsidTr="002247D0">
        <w:tc>
          <w:tcPr>
            <w:tcW w:w="781" w:type="pct"/>
          </w:tcPr>
          <w:p w14:paraId="585E0BEA" w14:textId="77777777" w:rsidR="00FA2FF9" w:rsidRPr="00730DE4" w:rsidRDefault="00FA2FF9" w:rsidP="002247D0">
            <w:pPr>
              <w:pStyle w:val="NoSpacing"/>
              <w:rPr>
                <w:color w:val="auto"/>
              </w:rPr>
            </w:pPr>
            <w:r w:rsidRPr="00730DE4">
              <w:rPr>
                <w:rFonts w:ascii="Calibri" w:hAnsi="Calibri" w:cs="Calibri"/>
                <w:color w:val="auto"/>
                <w:sz w:val="22"/>
              </w:rPr>
              <w:t>2019–20</w:t>
            </w:r>
          </w:p>
        </w:tc>
        <w:tc>
          <w:tcPr>
            <w:tcW w:w="937" w:type="pct"/>
          </w:tcPr>
          <w:p w14:paraId="2AFBF277" w14:textId="77777777" w:rsidR="00FA2FF9" w:rsidRPr="00730DE4" w:rsidRDefault="00FA2FF9" w:rsidP="002247D0">
            <w:pPr>
              <w:pStyle w:val="NoSpacing"/>
              <w:rPr>
                <w:color w:val="auto"/>
              </w:rPr>
            </w:pPr>
            <w:r w:rsidRPr="00730DE4">
              <w:rPr>
                <w:rFonts w:ascii="Calibri" w:hAnsi="Calibri" w:cs="Calibri"/>
                <w:color w:val="auto"/>
                <w:sz w:val="22"/>
              </w:rPr>
              <w:t>13</w:t>
            </w:r>
          </w:p>
        </w:tc>
        <w:tc>
          <w:tcPr>
            <w:tcW w:w="861" w:type="pct"/>
          </w:tcPr>
          <w:p w14:paraId="1E918CA2" w14:textId="77777777" w:rsidR="00FA2FF9" w:rsidRPr="00730DE4" w:rsidRDefault="00FA2FF9" w:rsidP="002247D0">
            <w:pPr>
              <w:pStyle w:val="NoSpacing"/>
              <w:rPr>
                <w:color w:val="auto"/>
              </w:rPr>
            </w:pPr>
            <w:r w:rsidRPr="00730DE4">
              <w:rPr>
                <w:rFonts w:ascii="Calibri" w:hAnsi="Calibri" w:cs="Calibri"/>
                <w:color w:val="auto"/>
                <w:sz w:val="22"/>
              </w:rPr>
              <w:t>9</w:t>
            </w:r>
          </w:p>
        </w:tc>
        <w:tc>
          <w:tcPr>
            <w:tcW w:w="470" w:type="pct"/>
          </w:tcPr>
          <w:p w14:paraId="50CCEEAE" w14:textId="77777777" w:rsidR="00FA2FF9" w:rsidRPr="00730DE4" w:rsidRDefault="00FA2FF9" w:rsidP="002247D0">
            <w:pPr>
              <w:pStyle w:val="NoSpacing"/>
              <w:rPr>
                <w:color w:val="auto"/>
              </w:rPr>
            </w:pPr>
            <w:r w:rsidRPr="00730DE4">
              <w:rPr>
                <w:rFonts w:ascii="Calibri" w:hAnsi="Calibri" w:cs="Calibri"/>
                <w:color w:val="auto"/>
                <w:sz w:val="22"/>
              </w:rPr>
              <w:t>12</w:t>
            </w:r>
          </w:p>
        </w:tc>
        <w:tc>
          <w:tcPr>
            <w:tcW w:w="626" w:type="pct"/>
          </w:tcPr>
          <w:p w14:paraId="60ED5C28" w14:textId="77777777" w:rsidR="00FA2FF9" w:rsidRPr="00730DE4" w:rsidRDefault="00FA2FF9" w:rsidP="002247D0">
            <w:pPr>
              <w:pStyle w:val="NoSpacing"/>
              <w:rPr>
                <w:color w:val="auto"/>
              </w:rPr>
            </w:pPr>
            <w:r w:rsidRPr="00730DE4">
              <w:rPr>
                <w:rFonts w:ascii="Calibri" w:hAnsi="Calibri" w:cs="Calibri"/>
                <w:color w:val="auto"/>
                <w:sz w:val="22"/>
              </w:rPr>
              <w:t>1</w:t>
            </w:r>
          </w:p>
        </w:tc>
        <w:tc>
          <w:tcPr>
            <w:tcW w:w="617" w:type="pct"/>
          </w:tcPr>
          <w:p w14:paraId="0CF5474C" w14:textId="77777777" w:rsidR="00FA2FF9" w:rsidRPr="00730DE4" w:rsidRDefault="00FA2FF9" w:rsidP="002247D0">
            <w:pPr>
              <w:pStyle w:val="NoSpacing"/>
              <w:rPr>
                <w:color w:val="auto"/>
              </w:rPr>
            </w:pPr>
            <w:r w:rsidRPr="00730DE4">
              <w:rPr>
                <w:rFonts w:ascii="Calibri" w:hAnsi="Calibri" w:cs="Calibri"/>
                <w:color w:val="auto"/>
                <w:sz w:val="22"/>
              </w:rPr>
              <w:t>1</w:t>
            </w:r>
          </w:p>
        </w:tc>
        <w:tc>
          <w:tcPr>
            <w:tcW w:w="708" w:type="pct"/>
          </w:tcPr>
          <w:p w14:paraId="38BCDD24" w14:textId="77777777" w:rsidR="00FA2FF9" w:rsidRPr="00730DE4" w:rsidRDefault="00FA2FF9" w:rsidP="002247D0">
            <w:pPr>
              <w:pStyle w:val="NoSpacing"/>
              <w:rPr>
                <w:bCs/>
                <w:color w:val="auto"/>
              </w:rPr>
            </w:pPr>
            <w:r w:rsidRPr="00730DE4">
              <w:rPr>
                <w:rFonts w:ascii="Calibri" w:hAnsi="Calibri" w:cs="Calibri"/>
                <w:bCs/>
                <w:color w:val="auto"/>
                <w:sz w:val="22"/>
              </w:rPr>
              <w:t>36</w:t>
            </w:r>
          </w:p>
        </w:tc>
      </w:tr>
      <w:tr w:rsidR="000A65A9" w:rsidRPr="00730DE4" w14:paraId="59D6375C" w14:textId="77777777" w:rsidTr="002247D0">
        <w:trPr>
          <w:cnfStyle w:val="000000100000" w:firstRow="0" w:lastRow="0" w:firstColumn="0" w:lastColumn="0" w:oddVBand="0" w:evenVBand="0" w:oddHBand="1" w:evenHBand="0" w:firstRowFirstColumn="0" w:firstRowLastColumn="0" w:lastRowFirstColumn="0" w:lastRowLastColumn="0"/>
        </w:trPr>
        <w:tc>
          <w:tcPr>
            <w:tcW w:w="781" w:type="pct"/>
          </w:tcPr>
          <w:p w14:paraId="034F015E" w14:textId="77777777" w:rsidR="00FA2FF9" w:rsidRPr="00730DE4" w:rsidRDefault="00FA2FF9" w:rsidP="002247D0">
            <w:pPr>
              <w:pStyle w:val="NoSpacing"/>
            </w:pPr>
            <w:r w:rsidRPr="00730DE4">
              <w:rPr>
                <w:rFonts w:ascii="Calibri" w:hAnsi="Calibri" w:cs="Calibri"/>
                <w:color w:val="000000"/>
                <w:sz w:val="22"/>
              </w:rPr>
              <w:t>2020–21</w:t>
            </w:r>
          </w:p>
        </w:tc>
        <w:tc>
          <w:tcPr>
            <w:tcW w:w="937" w:type="pct"/>
          </w:tcPr>
          <w:p w14:paraId="08F428A7" w14:textId="77777777" w:rsidR="00FA2FF9" w:rsidRPr="00730DE4" w:rsidRDefault="00FA2FF9" w:rsidP="002247D0">
            <w:pPr>
              <w:pStyle w:val="NoSpacing"/>
            </w:pPr>
            <w:r w:rsidRPr="00730DE4">
              <w:rPr>
                <w:rFonts w:ascii="Calibri" w:hAnsi="Calibri" w:cs="Calibri"/>
                <w:color w:val="000000"/>
                <w:sz w:val="22"/>
              </w:rPr>
              <w:t>7</w:t>
            </w:r>
          </w:p>
        </w:tc>
        <w:tc>
          <w:tcPr>
            <w:tcW w:w="861" w:type="pct"/>
          </w:tcPr>
          <w:p w14:paraId="19C8364F" w14:textId="77777777" w:rsidR="00FA2FF9" w:rsidRPr="00730DE4" w:rsidRDefault="00FA2FF9" w:rsidP="002247D0">
            <w:pPr>
              <w:pStyle w:val="NoSpacing"/>
            </w:pPr>
            <w:r w:rsidRPr="00730DE4">
              <w:rPr>
                <w:rFonts w:ascii="Calibri" w:hAnsi="Calibri" w:cs="Calibri"/>
                <w:color w:val="000000"/>
                <w:sz w:val="22"/>
              </w:rPr>
              <w:t>15</w:t>
            </w:r>
          </w:p>
        </w:tc>
        <w:tc>
          <w:tcPr>
            <w:tcW w:w="470" w:type="pct"/>
          </w:tcPr>
          <w:p w14:paraId="30D8428B" w14:textId="77777777" w:rsidR="00FA2FF9" w:rsidRPr="00730DE4" w:rsidRDefault="00FA2FF9" w:rsidP="002247D0">
            <w:pPr>
              <w:pStyle w:val="NoSpacing"/>
            </w:pPr>
            <w:r w:rsidRPr="00730DE4">
              <w:rPr>
                <w:rFonts w:ascii="Calibri" w:hAnsi="Calibri" w:cs="Calibri"/>
                <w:color w:val="000000"/>
                <w:sz w:val="22"/>
              </w:rPr>
              <w:t>10</w:t>
            </w:r>
          </w:p>
        </w:tc>
        <w:tc>
          <w:tcPr>
            <w:tcW w:w="626" w:type="pct"/>
          </w:tcPr>
          <w:p w14:paraId="737D8E85" w14:textId="77777777" w:rsidR="00FA2FF9" w:rsidRPr="00730DE4" w:rsidRDefault="00FA2FF9" w:rsidP="002247D0">
            <w:pPr>
              <w:pStyle w:val="NoSpacing"/>
            </w:pPr>
            <w:r w:rsidRPr="00730DE4">
              <w:rPr>
                <w:rFonts w:ascii="Calibri" w:hAnsi="Calibri" w:cs="Calibri"/>
                <w:color w:val="000000"/>
                <w:sz w:val="22"/>
              </w:rPr>
              <w:t>1</w:t>
            </w:r>
          </w:p>
        </w:tc>
        <w:tc>
          <w:tcPr>
            <w:tcW w:w="617" w:type="pct"/>
          </w:tcPr>
          <w:p w14:paraId="32D17978" w14:textId="77777777" w:rsidR="00FA2FF9" w:rsidRPr="00730DE4" w:rsidRDefault="00FA2FF9" w:rsidP="002247D0">
            <w:pPr>
              <w:pStyle w:val="NoSpacing"/>
            </w:pPr>
            <w:r w:rsidRPr="00730DE4">
              <w:rPr>
                <w:rFonts w:ascii="Calibri" w:hAnsi="Calibri" w:cs="Calibri"/>
                <w:color w:val="000000"/>
                <w:sz w:val="22"/>
              </w:rPr>
              <w:t>4</w:t>
            </w:r>
          </w:p>
        </w:tc>
        <w:tc>
          <w:tcPr>
            <w:tcW w:w="708" w:type="pct"/>
          </w:tcPr>
          <w:p w14:paraId="292DB71A" w14:textId="77777777" w:rsidR="00FA2FF9" w:rsidRPr="00730DE4" w:rsidRDefault="00FA2FF9" w:rsidP="002247D0">
            <w:pPr>
              <w:pStyle w:val="NoSpacing"/>
              <w:rPr>
                <w:bCs/>
              </w:rPr>
            </w:pPr>
            <w:r w:rsidRPr="00730DE4">
              <w:rPr>
                <w:rFonts w:ascii="Calibri" w:hAnsi="Calibri" w:cs="Calibri"/>
                <w:bCs/>
                <w:color w:val="000000"/>
                <w:sz w:val="22"/>
              </w:rPr>
              <w:t>37</w:t>
            </w:r>
          </w:p>
        </w:tc>
      </w:tr>
      <w:tr w:rsidR="000A65A9" w:rsidRPr="00730DE4" w14:paraId="01764BFC" w14:textId="77777777" w:rsidTr="002247D0">
        <w:tc>
          <w:tcPr>
            <w:tcW w:w="781" w:type="pct"/>
          </w:tcPr>
          <w:p w14:paraId="0A16B93D" w14:textId="77777777" w:rsidR="00FA2FF9" w:rsidRPr="00730DE4" w:rsidRDefault="00FA2FF9" w:rsidP="002247D0">
            <w:pPr>
              <w:pStyle w:val="NoSpacing"/>
            </w:pPr>
            <w:r w:rsidRPr="00730DE4">
              <w:rPr>
                <w:rFonts w:ascii="Calibri" w:hAnsi="Calibri" w:cs="Calibri"/>
                <w:color w:val="000000"/>
                <w:sz w:val="22"/>
              </w:rPr>
              <w:t>2021–22</w:t>
            </w:r>
          </w:p>
        </w:tc>
        <w:tc>
          <w:tcPr>
            <w:tcW w:w="937" w:type="pct"/>
          </w:tcPr>
          <w:p w14:paraId="24CD1375" w14:textId="77777777" w:rsidR="00FA2FF9" w:rsidRPr="00730DE4" w:rsidRDefault="00FA2FF9" w:rsidP="002247D0">
            <w:pPr>
              <w:pStyle w:val="NoSpacing"/>
            </w:pPr>
            <w:r w:rsidRPr="00730DE4">
              <w:rPr>
                <w:rFonts w:ascii="Calibri" w:hAnsi="Calibri" w:cs="Calibri"/>
                <w:color w:val="000000"/>
                <w:sz w:val="22"/>
              </w:rPr>
              <w:t>14</w:t>
            </w:r>
          </w:p>
        </w:tc>
        <w:tc>
          <w:tcPr>
            <w:tcW w:w="861" w:type="pct"/>
          </w:tcPr>
          <w:p w14:paraId="6A702F1E" w14:textId="77777777" w:rsidR="00FA2FF9" w:rsidRPr="00730DE4" w:rsidRDefault="00FA2FF9" w:rsidP="002247D0">
            <w:pPr>
              <w:pStyle w:val="NoSpacing"/>
            </w:pPr>
            <w:r w:rsidRPr="00730DE4">
              <w:rPr>
                <w:rFonts w:ascii="Calibri" w:hAnsi="Calibri" w:cs="Calibri"/>
                <w:color w:val="000000"/>
                <w:sz w:val="22"/>
              </w:rPr>
              <w:t>12</w:t>
            </w:r>
          </w:p>
        </w:tc>
        <w:tc>
          <w:tcPr>
            <w:tcW w:w="470" w:type="pct"/>
          </w:tcPr>
          <w:p w14:paraId="6CCC73E7" w14:textId="77777777" w:rsidR="00FA2FF9" w:rsidRPr="00730DE4" w:rsidRDefault="00FA2FF9" w:rsidP="002247D0">
            <w:pPr>
              <w:pStyle w:val="NoSpacing"/>
            </w:pPr>
            <w:r w:rsidRPr="00730DE4">
              <w:rPr>
                <w:rFonts w:ascii="Calibri" w:hAnsi="Calibri" w:cs="Calibri"/>
                <w:color w:val="000000"/>
                <w:sz w:val="22"/>
              </w:rPr>
              <w:t>8</w:t>
            </w:r>
          </w:p>
        </w:tc>
        <w:tc>
          <w:tcPr>
            <w:tcW w:w="626" w:type="pct"/>
          </w:tcPr>
          <w:p w14:paraId="7A87553B" w14:textId="77777777" w:rsidR="00FA2FF9" w:rsidRPr="00730DE4" w:rsidRDefault="00FA2FF9" w:rsidP="002247D0">
            <w:pPr>
              <w:pStyle w:val="NoSpacing"/>
            </w:pPr>
            <w:r w:rsidRPr="00730DE4">
              <w:rPr>
                <w:rFonts w:ascii="Calibri" w:hAnsi="Calibri" w:cs="Calibri"/>
                <w:color w:val="000000"/>
                <w:sz w:val="22"/>
              </w:rPr>
              <w:t>0</w:t>
            </w:r>
          </w:p>
        </w:tc>
        <w:tc>
          <w:tcPr>
            <w:tcW w:w="617" w:type="pct"/>
          </w:tcPr>
          <w:p w14:paraId="34DDC36D" w14:textId="77777777" w:rsidR="00FA2FF9" w:rsidRPr="00730DE4" w:rsidRDefault="00FA2FF9" w:rsidP="002247D0">
            <w:pPr>
              <w:pStyle w:val="NoSpacing"/>
            </w:pPr>
            <w:r w:rsidRPr="00730DE4">
              <w:rPr>
                <w:rFonts w:ascii="Calibri" w:hAnsi="Calibri" w:cs="Calibri"/>
                <w:color w:val="000000"/>
                <w:sz w:val="22"/>
              </w:rPr>
              <w:t>6</w:t>
            </w:r>
          </w:p>
        </w:tc>
        <w:tc>
          <w:tcPr>
            <w:tcW w:w="708" w:type="pct"/>
          </w:tcPr>
          <w:p w14:paraId="3A9F0457" w14:textId="77777777" w:rsidR="00FA2FF9" w:rsidRPr="00730DE4" w:rsidRDefault="00FA2FF9" w:rsidP="002247D0">
            <w:pPr>
              <w:pStyle w:val="NoSpacing"/>
              <w:rPr>
                <w:bCs/>
              </w:rPr>
            </w:pPr>
            <w:r w:rsidRPr="00730DE4">
              <w:rPr>
                <w:rFonts w:ascii="Calibri" w:hAnsi="Calibri" w:cs="Calibri"/>
                <w:bCs/>
                <w:color w:val="000000"/>
                <w:sz w:val="22"/>
              </w:rPr>
              <w:t>40</w:t>
            </w:r>
          </w:p>
        </w:tc>
      </w:tr>
      <w:tr w:rsidR="000A65A9" w:rsidRPr="00730DE4" w14:paraId="44FE25E0" w14:textId="77777777" w:rsidTr="002247D0">
        <w:trPr>
          <w:cnfStyle w:val="000000100000" w:firstRow="0" w:lastRow="0" w:firstColumn="0" w:lastColumn="0" w:oddVBand="0" w:evenVBand="0" w:oddHBand="1" w:evenHBand="0" w:firstRowFirstColumn="0" w:firstRowLastColumn="0" w:lastRowFirstColumn="0" w:lastRowLastColumn="0"/>
        </w:trPr>
        <w:tc>
          <w:tcPr>
            <w:tcW w:w="781" w:type="pct"/>
          </w:tcPr>
          <w:p w14:paraId="324DB5E0" w14:textId="77777777" w:rsidR="00FA2FF9" w:rsidRPr="00730DE4" w:rsidRDefault="00FA2FF9" w:rsidP="002247D0">
            <w:pPr>
              <w:pStyle w:val="NoSpacing"/>
            </w:pPr>
            <w:r w:rsidRPr="00730DE4">
              <w:rPr>
                <w:rFonts w:ascii="Calibri" w:hAnsi="Calibri" w:cs="Calibri"/>
                <w:color w:val="000000"/>
                <w:sz w:val="22"/>
              </w:rPr>
              <w:t>2022–23</w:t>
            </w:r>
          </w:p>
        </w:tc>
        <w:tc>
          <w:tcPr>
            <w:tcW w:w="937" w:type="pct"/>
          </w:tcPr>
          <w:p w14:paraId="6A47161C" w14:textId="77777777" w:rsidR="00FA2FF9" w:rsidRPr="00730DE4" w:rsidRDefault="00FA2FF9" w:rsidP="002247D0">
            <w:pPr>
              <w:pStyle w:val="NoSpacing"/>
            </w:pPr>
            <w:r w:rsidRPr="00730DE4">
              <w:rPr>
                <w:rFonts w:ascii="Calibri" w:hAnsi="Calibri" w:cs="Calibri"/>
                <w:color w:val="000000"/>
                <w:sz w:val="22"/>
              </w:rPr>
              <w:t>10</w:t>
            </w:r>
          </w:p>
        </w:tc>
        <w:tc>
          <w:tcPr>
            <w:tcW w:w="861" w:type="pct"/>
          </w:tcPr>
          <w:p w14:paraId="44281D4E" w14:textId="77777777" w:rsidR="00FA2FF9" w:rsidRPr="00730DE4" w:rsidRDefault="00FA2FF9" w:rsidP="002247D0">
            <w:pPr>
              <w:pStyle w:val="NoSpacing"/>
            </w:pPr>
            <w:r w:rsidRPr="00730DE4">
              <w:rPr>
                <w:rFonts w:ascii="Calibri" w:hAnsi="Calibri" w:cs="Calibri"/>
                <w:color w:val="000000"/>
                <w:sz w:val="22"/>
              </w:rPr>
              <w:t>8</w:t>
            </w:r>
          </w:p>
        </w:tc>
        <w:tc>
          <w:tcPr>
            <w:tcW w:w="470" w:type="pct"/>
          </w:tcPr>
          <w:p w14:paraId="51F9157F" w14:textId="77777777" w:rsidR="00FA2FF9" w:rsidRPr="00730DE4" w:rsidRDefault="00FA2FF9" w:rsidP="002247D0">
            <w:pPr>
              <w:pStyle w:val="NoSpacing"/>
            </w:pPr>
            <w:r w:rsidRPr="00730DE4">
              <w:rPr>
                <w:rFonts w:ascii="Calibri" w:hAnsi="Calibri" w:cs="Calibri"/>
                <w:color w:val="000000"/>
                <w:sz w:val="22"/>
              </w:rPr>
              <w:t>3</w:t>
            </w:r>
          </w:p>
        </w:tc>
        <w:tc>
          <w:tcPr>
            <w:tcW w:w="626" w:type="pct"/>
          </w:tcPr>
          <w:p w14:paraId="5BBA9302" w14:textId="77777777" w:rsidR="00FA2FF9" w:rsidRPr="00730DE4" w:rsidRDefault="00FA2FF9" w:rsidP="002247D0">
            <w:pPr>
              <w:pStyle w:val="NoSpacing"/>
            </w:pPr>
            <w:r w:rsidRPr="00730DE4">
              <w:rPr>
                <w:rFonts w:ascii="Calibri" w:hAnsi="Calibri" w:cs="Calibri"/>
                <w:color w:val="000000"/>
                <w:sz w:val="22"/>
              </w:rPr>
              <w:t>2</w:t>
            </w:r>
          </w:p>
        </w:tc>
        <w:tc>
          <w:tcPr>
            <w:tcW w:w="617" w:type="pct"/>
          </w:tcPr>
          <w:p w14:paraId="1FA6A6D2" w14:textId="77777777" w:rsidR="00FA2FF9" w:rsidRPr="00730DE4" w:rsidRDefault="00FA2FF9" w:rsidP="002247D0">
            <w:pPr>
              <w:pStyle w:val="NoSpacing"/>
            </w:pPr>
            <w:r w:rsidRPr="00730DE4">
              <w:rPr>
                <w:rFonts w:ascii="Calibri" w:hAnsi="Calibri" w:cs="Calibri"/>
                <w:color w:val="000000"/>
                <w:sz w:val="22"/>
              </w:rPr>
              <w:t>1</w:t>
            </w:r>
          </w:p>
        </w:tc>
        <w:tc>
          <w:tcPr>
            <w:tcW w:w="708" w:type="pct"/>
          </w:tcPr>
          <w:p w14:paraId="575A79C4" w14:textId="77777777" w:rsidR="00FA2FF9" w:rsidRPr="00730DE4" w:rsidRDefault="00FA2FF9" w:rsidP="002247D0">
            <w:pPr>
              <w:pStyle w:val="NoSpacing"/>
              <w:rPr>
                <w:bCs/>
              </w:rPr>
            </w:pPr>
            <w:r w:rsidRPr="00730DE4">
              <w:rPr>
                <w:rFonts w:ascii="Calibri" w:hAnsi="Calibri" w:cs="Calibri"/>
                <w:bCs/>
                <w:color w:val="000000"/>
                <w:sz w:val="22"/>
              </w:rPr>
              <w:t>24</w:t>
            </w:r>
          </w:p>
        </w:tc>
      </w:tr>
      <w:tr w:rsidR="000A65A9" w:rsidRPr="00730DE4" w14:paraId="40042961" w14:textId="77777777" w:rsidTr="002247D0">
        <w:tc>
          <w:tcPr>
            <w:tcW w:w="781" w:type="pct"/>
          </w:tcPr>
          <w:p w14:paraId="64FFDBC3" w14:textId="77777777" w:rsidR="00FA2FF9" w:rsidRPr="00730DE4" w:rsidRDefault="00FA2FF9" w:rsidP="002247D0">
            <w:pPr>
              <w:pStyle w:val="NoSpacing"/>
            </w:pPr>
            <w:r w:rsidRPr="00730DE4">
              <w:rPr>
                <w:rFonts w:ascii="Calibri" w:hAnsi="Calibri" w:cs="Calibri"/>
                <w:color w:val="000000"/>
                <w:sz w:val="22"/>
              </w:rPr>
              <w:t>2023–24</w:t>
            </w:r>
          </w:p>
        </w:tc>
        <w:tc>
          <w:tcPr>
            <w:tcW w:w="937" w:type="pct"/>
          </w:tcPr>
          <w:p w14:paraId="469EBC6E" w14:textId="77777777" w:rsidR="00FA2FF9" w:rsidRPr="00730DE4" w:rsidRDefault="00FA2FF9" w:rsidP="002247D0">
            <w:pPr>
              <w:pStyle w:val="NoSpacing"/>
            </w:pPr>
            <w:r w:rsidRPr="00730DE4">
              <w:rPr>
                <w:rFonts w:ascii="Calibri" w:hAnsi="Calibri" w:cs="Calibri"/>
                <w:color w:val="000000"/>
                <w:sz w:val="22"/>
              </w:rPr>
              <w:t>12</w:t>
            </w:r>
          </w:p>
        </w:tc>
        <w:tc>
          <w:tcPr>
            <w:tcW w:w="861" w:type="pct"/>
          </w:tcPr>
          <w:p w14:paraId="52AF93B6" w14:textId="77777777" w:rsidR="00FA2FF9" w:rsidRPr="00730DE4" w:rsidRDefault="00FA2FF9" w:rsidP="002247D0">
            <w:pPr>
              <w:pStyle w:val="NoSpacing"/>
            </w:pPr>
            <w:r w:rsidRPr="00730DE4">
              <w:rPr>
                <w:rFonts w:ascii="Calibri" w:hAnsi="Calibri" w:cs="Calibri"/>
                <w:color w:val="000000"/>
                <w:sz w:val="22"/>
              </w:rPr>
              <w:t>10</w:t>
            </w:r>
          </w:p>
        </w:tc>
        <w:tc>
          <w:tcPr>
            <w:tcW w:w="470" w:type="pct"/>
          </w:tcPr>
          <w:p w14:paraId="34C29F75" w14:textId="77777777" w:rsidR="00FA2FF9" w:rsidRPr="00730DE4" w:rsidRDefault="00FA2FF9" w:rsidP="002247D0">
            <w:pPr>
              <w:pStyle w:val="NoSpacing"/>
            </w:pPr>
            <w:r w:rsidRPr="00730DE4">
              <w:rPr>
                <w:rFonts w:ascii="Calibri" w:hAnsi="Calibri" w:cs="Calibri"/>
                <w:color w:val="000000"/>
                <w:sz w:val="22"/>
              </w:rPr>
              <w:t>4</w:t>
            </w:r>
          </w:p>
        </w:tc>
        <w:tc>
          <w:tcPr>
            <w:tcW w:w="626" w:type="pct"/>
          </w:tcPr>
          <w:p w14:paraId="296C2C63" w14:textId="77777777" w:rsidR="00FA2FF9" w:rsidRPr="00730DE4" w:rsidRDefault="00FA2FF9" w:rsidP="002247D0">
            <w:pPr>
              <w:pStyle w:val="NoSpacing"/>
            </w:pPr>
            <w:r w:rsidRPr="00730DE4">
              <w:rPr>
                <w:rFonts w:ascii="Calibri" w:hAnsi="Calibri" w:cs="Calibri"/>
                <w:color w:val="000000"/>
                <w:sz w:val="22"/>
              </w:rPr>
              <w:t>0</w:t>
            </w:r>
          </w:p>
        </w:tc>
        <w:tc>
          <w:tcPr>
            <w:tcW w:w="617" w:type="pct"/>
          </w:tcPr>
          <w:p w14:paraId="35EFA67C" w14:textId="77777777" w:rsidR="00FA2FF9" w:rsidRPr="00730DE4" w:rsidRDefault="00FA2FF9" w:rsidP="002247D0">
            <w:pPr>
              <w:pStyle w:val="NoSpacing"/>
            </w:pPr>
            <w:r w:rsidRPr="00730DE4">
              <w:rPr>
                <w:rFonts w:ascii="Calibri" w:hAnsi="Calibri" w:cs="Calibri"/>
                <w:color w:val="000000"/>
                <w:sz w:val="22"/>
              </w:rPr>
              <w:t>0</w:t>
            </w:r>
          </w:p>
        </w:tc>
        <w:tc>
          <w:tcPr>
            <w:tcW w:w="708" w:type="pct"/>
          </w:tcPr>
          <w:p w14:paraId="45D2B8B1" w14:textId="77777777" w:rsidR="00FA2FF9" w:rsidRPr="00730DE4" w:rsidRDefault="00FA2FF9" w:rsidP="002247D0">
            <w:pPr>
              <w:pStyle w:val="NoSpacing"/>
              <w:rPr>
                <w:bCs/>
              </w:rPr>
            </w:pPr>
            <w:r w:rsidRPr="00730DE4">
              <w:rPr>
                <w:rFonts w:ascii="Calibri" w:hAnsi="Calibri" w:cs="Calibri"/>
                <w:bCs/>
                <w:color w:val="000000"/>
                <w:sz w:val="22"/>
              </w:rPr>
              <w:t>26</w:t>
            </w:r>
          </w:p>
        </w:tc>
      </w:tr>
    </w:tbl>
    <w:p w14:paraId="7143B8AD" w14:textId="77777777" w:rsidR="00FA2FF9" w:rsidRPr="00730DE4" w:rsidRDefault="00FA2FF9" w:rsidP="002F0DF3">
      <w:pPr>
        <w:pStyle w:val="Caption"/>
        <w:rPr>
          <w:lang w:val="en-US"/>
        </w:rPr>
      </w:pPr>
      <w:r w:rsidRPr="00730DE4">
        <w:rPr>
          <w:lang w:val="en-US"/>
        </w:rPr>
        <w:t>Figure 4 indicates the number of people who have been admitted to a hospital during the last ten financial years for the treatment of injuries sustained in a reported marine incident that involved at least one QRS.</w:t>
      </w:r>
    </w:p>
    <w:p w14:paraId="4E10BC5C" w14:textId="77777777" w:rsidR="00FA2FF9" w:rsidRPr="00730DE4" w:rsidRDefault="00FA2FF9" w:rsidP="002F0DF3">
      <w:pPr>
        <w:pStyle w:val="Caption"/>
        <w:rPr>
          <w:lang w:val="en-US"/>
        </w:rPr>
      </w:pPr>
      <w:bookmarkStart w:id="1030" w:name="_Hlk129780200"/>
      <w:r w:rsidRPr="00730DE4">
        <w:rPr>
          <w:lang w:val="en-US"/>
        </w:rPr>
        <w:t>MSQ works actively to address the causes of marine incidents through compliance and education activities.</w:t>
      </w:r>
      <w:bookmarkEnd w:id="1030"/>
    </w:p>
    <w:p w14:paraId="7316E478" w14:textId="77777777" w:rsidR="00FA2FF9" w:rsidRPr="00730DE4" w:rsidRDefault="00FA2FF9" w:rsidP="002F0DF3">
      <w:pPr>
        <w:pStyle w:val="Caption"/>
        <w:rPr>
          <w:lang w:val="en-US"/>
        </w:rPr>
      </w:pPr>
      <w:r w:rsidRPr="00730DE4">
        <w:rPr>
          <w:lang w:val="en-US"/>
        </w:rPr>
        <w:t>This data is subject to change when the outcomes of open incident investigations are finalised.</w:t>
      </w:r>
    </w:p>
    <w:p w14:paraId="5047C1A2" w14:textId="77777777" w:rsidR="00FA2FF9" w:rsidRPr="00730DE4" w:rsidRDefault="00FA2FF9" w:rsidP="002B7001">
      <w:pPr>
        <w:pStyle w:val="Heading3"/>
        <w:rPr>
          <w:lang w:val="en-US"/>
        </w:rPr>
      </w:pPr>
      <w:bookmarkStart w:id="1031" w:name="_Toc180487563"/>
      <w:bookmarkStart w:id="1032" w:name="_Toc180490769"/>
      <w:bookmarkStart w:id="1033" w:name="_Toc180491802"/>
      <w:r w:rsidRPr="00730DE4">
        <w:rPr>
          <w:lang w:val="en-US"/>
        </w:rPr>
        <w:t>Maritime Enforcement Team</w:t>
      </w:r>
      <w:bookmarkEnd w:id="1031"/>
      <w:bookmarkEnd w:id="1032"/>
      <w:bookmarkEnd w:id="1033"/>
    </w:p>
    <w:p w14:paraId="6BDC4F5F" w14:textId="77777777" w:rsidR="00FA2FF9" w:rsidRPr="00730DE4" w:rsidRDefault="00FA2FF9" w:rsidP="00442E97">
      <w:pPr>
        <w:rPr>
          <w:lang w:val="en-US"/>
        </w:rPr>
      </w:pPr>
      <w:r w:rsidRPr="00730DE4">
        <w:rPr>
          <w:lang w:val="en-US"/>
        </w:rPr>
        <w:t>The MET undertakes enhanced compliance and education activities on Queensland’s waterways, primarily using Personal Watercraft (PWC). MET became a permanent team within MSQ in 2021 following an 18 month trial. In 2023–24 MET has expanded from four to nine officers. The expansion of the team has allowed four officers to be based in Mooloolaba, providing an increased presence on Sunshine Coast waterways. The pre-exisiting MET Officers are based at Pinkenba.</w:t>
      </w:r>
    </w:p>
    <w:p w14:paraId="7DDDE273" w14:textId="77777777" w:rsidR="00FA2FF9" w:rsidRPr="00730DE4" w:rsidRDefault="00FA2FF9" w:rsidP="00442E97">
      <w:pPr>
        <w:rPr>
          <w:lang w:val="en-US"/>
        </w:rPr>
      </w:pPr>
      <w:r w:rsidRPr="00730DE4">
        <w:rPr>
          <w:lang w:val="en-US"/>
        </w:rPr>
        <w:t>During 2023–24, the MET team conducted patrols throughout Queensland waterways, including enforcement programs within the Mackay, Gladstone, and South East Queensland regions. MET also continue to engage with the PWC community, recently undertaking a PWC Compliance and Education Campaign on the Gold Coast.</w:t>
      </w:r>
    </w:p>
    <w:p w14:paraId="44454831" w14:textId="77777777" w:rsidR="00FA2FF9" w:rsidRPr="00730DE4" w:rsidRDefault="00FA2FF9" w:rsidP="00442E97">
      <w:pPr>
        <w:rPr>
          <w:lang w:val="en-US"/>
        </w:rPr>
      </w:pPr>
      <w:r w:rsidRPr="00730DE4">
        <w:rPr>
          <w:lang w:val="en-US"/>
        </w:rPr>
        <w:t>MET work closely with MSQ compliance partners, coordinating targeted safety campaigns and operations across the state. Key compliance partners include QPS, Queensland Boating and Fisheries Patrol, South East Queensland Water and Queensland Parks and Wildlife Service.</w:t>
      </w:r>
    </w:p>
    <w:p w14:paraId="30EF67BA" w14:textId="77777777" w:rsidR="00FA2FF9" w:rsidRPr="00730DE4" w:rsidRDefault="00FA2FF9" w:rsidP="002B7001">
      <w:pPr>
        <w:pStyle w:val="Heading3"/>
        <w:rPr>
          <w:lang w:val="en-US"/>
        </w:rPr>
      </w:pPr>
      <w:bookmarkStart w:id="1034" w:name="_Toc180487564"/>
      <w:bookmarkStart w:id="1035" w:name="_Toc180490770"/>
      <w:bookmarkStart w:id="1036" w:name="_Toc180491803"/>
      <w:r w:rsidRPr="00730DE4">
        <w:rPr>
          <w:lang w:val="en-US"/>
        </w:rPr>
        <w:t>Pollution response training on Thursday Island</w:t>
      </w:r>
      <w:bookmarkEnd w:id="1034"/>
      <w:bookmarkEnd w:id="1035"/>
      <w:bookmarkEnd w:id="1036"/>
    </w:p>
    <w:p w14:paraId="6B6B21EF" w14:textId="77777777" w:rsidR="00FA2FF9" w:rsidRPr="00730DE4" w:rsidRDefault="00FA2FF9" w:rsidP="00442E97">
      <w:pPr>
        <w:rPr>
          <w:lang w:val="en-US"/>
        </w:rPr>
      </w:pPr>
      <w:r w:rsidRPr="00730DE4">
        <w:rPr>
          <w:lang w:val="en-US"/>
        </w:rPr>
        <w:t>In August 2023 and May 2024, officers from MSQ's Maritime Emergency Management Team visited Thursday Island to deliver equipment familiarisation training to Land and Sea Rangers from across the Torres Strait.</w:t>
      </w:r>
    </w:p>
    <w:p w14:paraId="0801C616" w14:textId="77777777" w:rsidR="00FA2FF9" w:rsidRPr="00730DE4" w:rsidRDefault="00FA2FF9" w:rsidP="00442E97">
      <w:pPr>
        <w:rPr>
          <w:lang w:val="en-US"/>
        </w:rPr>
      </w:pPr>
      <w:r w:rsidRPr="00730DE4">
        <w:rPr>
          <w:lang w:val="en-US"/>
        </w:rPr>
        <w:t>The training involved teaching Rangers how to use the equipment required to manage an oil spill first strike response, with the Rangers using a diverse range of equipment from generators and pumps, to the porta tanks used to store collected oil and decontamination stations.</w:t>
      </w:r>
    </w:p>
    <w:p w14:paraId="47190200" w14:textId="77777777" w:rsidR="00FA2FF9" w:rsidRPr="00730DE4" w:rsidRDefault="00FA2FF9" w:rsidP="00442E97">
      <w:pPr>
        <w:rPr>
          <w:lang w:val="en-US"/>
        </w:rPr>
      </w:pPr>
      <w:r w:rsidRPr="00730DE4">
        <w:rPr>
          <w:lang w:val="en-US"/>
        </w:rPr>
        <w:t>Training days like these are vital for remote areas like Thursday Island as in the event of a pollution incident, MSQ relies on the Land and Sea Rangers to deliver a strike response.</w:t>
      </w:r>
    </w:p>
    <w:p w14:paraId="256E82D5" w14:textId="77777777" w:rsidR="00FA2FF9" w:rsidRPr="00730DE4" w:rsidRDefault="00FA2FF9" w:rsidP="00442E97">
      <w:pPr>
        <w:rPr>
          <w:lang w:val="en-US"/>
        </w:rPr>
      </w:pPr>
      <w:r w:rsidRPr="00730DE4">
        <w:rPr>
          <w:lang w:val="en-US"/>
        </w:rPr>
        <w:t>While in the Torres Strait, MSQ audited and serviced the remote oil spill kits stored on Thursday Island, and visited the outer islands to audit the remote shoreline kits stored there. These kits are vital for a first strike response should an oil spill occur and reach the pristine beaches of the Torres Strait.</w:t>
      </w:r>
    </w:p>
    <w:p w14:paraId="1B9DEE23" w14:textId="77777777" w:rsidR="00FA2FF9" w:rsidRPr="00730DE4" w:rsidRDefault="00FA2FF9" w:rsidP="002B7001">
      <w:pPr>
        <w:pStyle w:val="Heading3"/>
        <w:rPr>
          <w:lang w:val="en-US"/>
        </w:rPr>
      </w:pPr>
      <w:bookmarkStart w:id="1037" w:name="_Toc180487565"/>
      <w:bookmarkStart w:id="1038" w:name="_Toc180490771"/>
      <w:bookmarkStart w:id="1039" w:name="_Toc180491804"/>
      <w:r w:rsidRPr="00730DE4">
        <w:rPr>
          <w:lang w:val="en-US"/>
        </w:rPr>
        <w:t>State pollution exercise</w:t>
      </w:r>
      <w:bookmarkEnd w:id="1037"/>
      <w:bookmarkEnd w:id="1038"/>
      <w:bookmarkEnd w:id="1039"/>
    </w:p>
    <w:p w14:paraId="14C57681" w14:textId="77777777" w:rsidR="00FA2FF9" w:rsidRPr="00730DE4" w:rsidRDefault="00FA2FF9" w:rsidP="00442E97">
      <w:pPr>
        <w:rPr>
          <w:lang w:val="en-US"/>
        </w:rPr>
      </w:pPr>
      <w:r w:rsidRPr="00730DE4">
        <w:rPr>
          <w:lang w:val="en-US"/>
        </w:rPr>
        <w:t>In June 2024, MSQ joined forces with the AMSA and Transport for NSW for the National Plan Marine Incident Exercise, Exercise Dumaresq.</w:t>
      </w:r>
    </w:p>
    <w:p w14:paraId="765FF8C5" w14:textId="77777777" w:rsidR="00FA2FF9" w:rsidRPr="00730DE4" w:rsidRDefault="00FA2FF9" w:rsidP="00442E97">
      <w:pPr>
        <w:rPr>
          <w:lang w:val="en-US"/>
        </w:rPr>
      </w:pPr>
      <w:r w:rsidRPr="00730DE4">
        <w:rPr>
          <w:lang w:val="en-US"/>
        </w:rPr>
        <w:t>One hundred people from across several agencies including MSQ, AMSA, Transport for NSW, the Queensland Fire and Rescue Service, and QPS came together at Coolangatta for the Strategic Phase of the exercise—the Operational Phase is planned for late-2024.</w:t>
      </w:r>
    </w:p>
    <w:p w14:paraId="5AD78976" w14:textId="77777777" w:rsidR="00FA2FF9" w:rsidRPr="00730DE4" w:rsidRDefault="00FA2FF9" w:rsidP="00442E97">
      <w:pPr>
        <w:rPr>
          <w:lang w:val="en-US"/>
        </w:rPr>
      </w:pPr>
      <w:r w:rsidRPr="00730DE4">
        <w:rPr>
          <w:lang w:val="en-US"/>
        </w:rPr>
        <w:t>This first phase focused on the relationship between both states, AMSA, stakeholders, and the frameworks in place for the three agencies to manage a significant marine incident.</w:t>
      </w:r>
    </w:p>
    <w:p w14:paraId="19C1634A" w14:textId="77777777" w:rsidR="00FA2FF9" w:rsidRPr="00730DE4" w:rsidRDefault="00FA2FF9" w:rsidP="00442E97">
      <w:pPr>
        <w:rPr>
          <w:lang w:val="en-US"/>
        </w:rPr>
      </w:pPr>
      <w:r w:rsidRPr="00730DE4">
        <w:rPr>
          <w:lang w:val="en-US"/>
        </w:rPr>
        <w:t>Events like Exercise Dumaresq allow agencies like MSQ to practice their response capabilities and strategies, enabling them to respond efficiently and effectively in the event of a significant marine incident, such as an oil spill.</w:t>
      </w:r>
    </w:p>
    <w:p w14:paraId="2B0AC52E" w14:textId="77777777" w:rsidR="00FA2FF9" w:rsidRPr="00730DE4" w:rsidRDefault="00FA2FF9" w:rsidP="002B7001">
      <w:pPr>
        <w:pStyle w:val="Heading3"/>
        <w:rPr>
          <w:lang w:val="en-US"/>
        </w:rPr>
      </w:pPr>
      <w:bookmarkStart w:id="1040" w:name="_Toc180487566"/>
      <w:bookmarkStart w:id="1041" w:name="_Toc180490772"/>
      <w:bookmarkStart w:id="1042" w:name="_Toc180491805"/>
      <w:r w:rsidRPr="00730DE4">
        <w:rPr>
          <w:lang w:val="en-US"/>
        </w:rPr>
        <w:t>Noosa River Marine Zone</w:t>
      </w:r>
      <w:bookmarkEnd w:id="1040"/>
      <w:bookmarkEnd w:id="1041"/>
      <w:bookmarkEnd w:id="1042"/>
    </w:p>
    <w:p w14:paraId="573B517F" w14:textId="77777777" w:rsidR="00FA2FF9" w:rsidRPr="00730DE4" w:rsidRDefault="00FA2FF9" w:rsidP="00442E97">
      <w:pPr>
        <w:rPr>
          <w:lang w:val="en-US"/>
        </w:rPr>
      </w:pPr>
      <w:r w:rsidRPr="00730DE4">
        <w:rPr>
          <w:lang w:val="en-US"/>
        </w:rPr>
        <w:t>MSQ has been progressing reforms to address issues and impacts resulting from congestion in the Noosa River. Following extensive and high-profile public and stakeholder consultation processes, MSQ commenced implementation of a vessel waterway management plan.</w:t>
      </w:r>
    </w:p>
    <w:p w14:paraId="19B26289" w14:textId="77777777" w:rsidR="00FA2FF9" w:rsidRPr="00730DE4" w:rsidRDefault="00FA2FF9" w:rsidP="00442E97">
      <w:pPr>
        <w:rPr>
          <w:lang w:val="en-US"/>
        </w:rPr>
      </w:pPr>
      <w:r w:rsidRPr="00730DE4">
        <w:rPr>
          <w:lang w:val="en-US"/>
        </w:rPr>
        <w:t>The plan includes anchoring restrictions and a package of initiatives to increase safety, support equity of access for all users of the waterway, and improve environmental impacts of vessel activity.</w:t>
      </w:r>
    </w:p>
    <w:p w14:paraId="6B7ADCBC" w14:textId="77777777" w:rsidR="00FA2FF9" w:rsidRPr="00730DE4" w:rsidRDefault="00FA2FF9" w:rsidP="00442E97">
      <w:pPr>
        <w:rPr>
          <w:lang w:val="en-US"/>
        </w:rPr>
      </w:pPr>
      <w:r w:rsidRPr="00730DE4">
        <w:rPr>
          <w:lang w:val="en-US"/>
        </w:rPr>
        <w:t>The staged approach to implementation commenced with the introduction of lowered speed limit areas in the river. This was followed by a survey of anchored vessels for weather event safety management and an audit of vessels for marine pollution compliance.</w:t>
      </w:r>
    </w:p>
    <w:p w14:paraId="637316A0" w14:textId="77777777" w:rsidR="00FA2FF9" w:rsidRPr="00730DE4" w:rsidRDefault="00FA2FF9" w:rsidP="00442E97">
      <w:pPr>
        <w:rPr>
          <w:lang w:val="en-US"/>
        </w:rPr>
      </w:pPr>
      <w:r w:rsidRPr="00730DE4">
        <w:rPr>
          <w:lang w:val="en-US"/>
        </w:rPr>
        <w:t>The staged implementation will continue through to 2025 with a suite of operational, largely safety related, activities and smaller regulatory amendments to improve vessel management. The long-term management of boating in Noosa River will be addressed through legislative changes.</w:t>
      </w:r>
    </w:p>
    <w:p w14:paraId="6C1F2870" w14:textId="77777777" w:rsidR="00EA1647" w:rsidRDefault="00EA1647" w:rsidP="002B7001">
      <w:pPr>
        <w:pStyle w:val="Heading3"/>
        <w:rPr>
          <w:lang w:val="en-US"/>
        </w:rPr>
      </w:pPr>
      <w:r>
        <w:rPr>
          <w:lang w:val="en-US"/>
        </w:rPr>
        <w:br w:type="page"/>
      </w:r>
    </w:p>
    <w:p w14:paraId="5137DB8E" w14:textId="1EB04A4D" w:rsidR="00FA2FF9" w:rsidRPr="00730DE4" w:rsidRDefault="00FA2FF9" w:rsidP="002B7001">
      <w:pPr>
        <w:pStyle w:val="Heading3"/>
        <w:rPr>
          <w:lang w:val="en-US"/>
        </w:rPr>
      </w:pPr>
      <w:bookmarkStart w:id="1043" w:name="_Toc180487567"/>
      <w:bookmarkStart w:id="1044" w:name="_Toc180490773"/>
      <w:bookmarkStart w:id="1045" w:name="_Toc180491806"/>
      <w:r w:rsidRPr="00730DE4">
        <w:rPr>
          <w:lang w:val="en-US"/>
        </w:rPr>
        <w:t>Smartship Australia launches new mentor pilot course</w:t>
      </w:r>
      <w:bookmarkEnd w:id="1043"/>
      <w:bookmarkEnd w:id="1044"/>
      <w:bookmarkEnd w:id="1045"/>
    </w:p>
    <w:p w14:paraId="66EEB1D9" w14:textId="77777777" w:rsidR="00FA2FF9" w:rsidRPr="00730DE4" w:rsidRDefault="00FA2FF9" w:rsidP="00442E97">
      <w:pPr>
        <w:rPr>
          <w:lang w:val="en-US"/>
        </w:rPr>
      </w:pPr>
      <w:r w:rsidRPr="00730DE4">
        <w:rPr>
          <w:lang w:val="en-US"/>
        </w:rPr>
        <w:t>The role of a mentor pilot is crucial to a well-functioning pilotage service, yet until now, there have been very few dedicated training resources to support this role. Traditionally, pilots have moved into the mentor role based on seniority, with little or no formal training.</w:t>
      </w:r>
    </w:p>
    <w:p w14:paraId="6E29B4CF" w14:textId="77777777" w:rsidR="00FA2FF9" w:rsidRPr="00730DE4" w:rsidRDefault="00FA2FF9" w:rsidP="00442E97">
      <w:pPr>
        <w:rPr>
          <w:lang w:val="en-US"/>
        </w:rPr>
      </w:pPr>
      <w:r w:rsidRPr="00730DE4">
        <w:rPr>
          <w:lang w:val="en-US"/>
        </w:rPr>
        <w:t>Smartship Australia has changed this with the launch of their new Mentor Pilot Course. This four-day course combines one day of online learning with three days of practical training at Smartship Australia's state-of-the-art simulation facilities. It is specifically designed to enhance a mentor pilot's ability to guide, coach, and support marine pilots and Pilotage Exemption Certificate holders as they progress through their on-water training systems within their organisations.</w:t>
      </w:r>
    </w:p>
    <w:p w14:paraId="510A6761" w14:textId="77777777" w:rsidR="00FA2FF9" w:rsidRPr="00730DE4" w:rsidRDefault="00FA2FF9" w:rsidP="00442E97">
      <w:pPr>
        <w:rPr>
          <w:lang w:val="en-US"/>
        </w:rPr>
      </w:pPr>
      <w:r w:rsidRPr="00730DE4">
        <w:rPr>
          <w:lang w:val="en-US"/>
        </w:rPr>
        <w:t>In the 2023–24 period, 17 marine pilots have graduated from this course. Feedback from participants has been overwhelmingly positive, with all respondents agreeing, 86 per cent strongly so, that the course has a positive impact on their future conduct as mentors.</w:t>
      </w:r>
    </w:p>
    <w:p w14:paraId="172CC996" w14:textId="77777777" w:rsidR="00FA2FF9" w:rsidRPr="00730DE4" w:rsidRDefault="00FA2FF9" w:rsidP="00442E97">
      <w:pPr>
        <w:pStyle w:val="MessageHeader"/>
        <w:rPr>
          <w:lang w:val="en-US"/>
        </w:rPr>
      </w:pPr>
      <w:r w:rsidRPr="00730DE4">
        <w:rPr>
          <w:lang w:val="en-US"/>
        </w:rPr>
        <w:t xml:space="preserve">For more information </w:t>
      </w:r>
      <w:r w:rsidRPr="00730DE4">
        <w:rPr>
          <w:lang w:val="en-US"/>
        </w:rPr>
        <w:br/>
      </w:r>
      <w:hyperlink r:id="rId129" w:anchor="mentor" w:history="1">
        <w:r w:rsidRPr="00730DE4">
          <w:rPr>
            <w:rStyle w:val="Hyperlink"/>
            <w:lang w:val="en-US"/>
          </w:rPr>
          <w:t>https://www.smartshipaustralia.qld.gov.au/training#mentor</w:t>
        </w:r>
      </w:hyperlink>
    </w:p>
    <w:p w14:paraId="2C3E2EB3" w14:textId="77777777" w:rsidR="00FA2FF9" w:rsidRPr="00730DE4" w:rsidRDefault="00FA2FF9" w:rsidP="002B7001">
      <w:pPr>
        <w:pStyle w:val="Heading3"/>
        <w:rPr>
          <w:lang w:val="en-US"/>
        </w:rPr>
      </w:pPr>
      <w:bookmarkStart w:id="1046" w:name="_Toc180487568"/>
      <w:bookmarkStart w:id="1047" w:name="_Toc180490774"/>
      <w:bookmarkStart w:id="1048" w:name="_Toc180491807"/>
      <w:r w:rsidRPr="00730DE4">
        <w:rPr>
          <w:lang w:val="en-US"/>
        </w:rPr>
        <w:t>Torres Strait Navigation Aids Replacement Program</w:t>
      </w:r>
      <w:bookmarkEnd w:id="1046"/>
      <w:bookmarkEnd w:id="1047"/>
      <w:bookmarkEnd w:id="1048"/>
    </w:p>
    <w:p w14:paraId="68924D23" w14:textId="77777777" w:rsidR="00FA2FF9" w:rsidRPr="00730DE4" w:rsidRDefault="00FA2FF9" w:rsidP="00442E97">
      <w:pPr>
        <w:rPr>
          <w:lang w:val="en-US"/>
        </w:rPr>
      </w:pPr>
      <w:r w:rsidRPr="00730DE4">
        <w:rPr>
          <w:lang w:val="en-US"/>
        </w:rPr>
        <w:t>The waterways of the Torres Strait, often referred to as the 'Blue Highway', are vital for transportation related to work, education, community travel, and cultural activities. Ensuring these waterways have fit-for-purpose aids to navigation is crucial for the safety of all who traverse them.</w:t>
      </w:r>
    </w:p>
    <w:p w14:paraId="4FA615D3" w14:textId="77777777" w:rsidR="00FA2FF9" w:rsidRPr="00730DE4" w:rsidRDefault="00FA2FF9" w:rsidP="00442E97">
      <w:pPr>
        <w:rPr>
          <w:lang w:val="en-US"/>
        </w:rPr>
      </w:pPr>
      <w:r w:rsidRPr="00730DE4">
        <w:rPr>
          <w:lang w:val="en-US"/>
        </w:rPr>
        <w:t xml:space="preserve">In response to extensive consultation with waterway users and key stakeholders, MSQ is continuing to undertake a $3.9 million program to enhance navigation aids in the region. This </w:t>
      </w:r>
      <w:r w:rsidRPr="00730DE4">
        <w:t>is expected to be completed in late-2024</w:t>
      </w:r>
      <w:r w:rsidRPr="00730DE4">
        <w:rPr>
          <w:lang w:val="en-US"/>
        </w:rPr>
        <w:t>,</w:t>
      </w:r>
      <w:r w:rsidRPr="00730DE4">
        <w:t xml:space="preserve"> weather permitting.</w:t>
      </w:r>
    </w:p>
    <w:p w14:paraId="31A01EE3" w14:textId="77777777" w:rsidR="00FA2FF9" w:rsidRPr="00730DE4" w:rsidRDefault="00FA2FF9" w:rsidP="00442E97">
      <w:pPr>
        <w:rPr>
          <w:lang w:val="en-US"/>
        </w:rPr>
      </w:pPr>
      <w:r w:rsidRPr="00730DE4">
        <w:rPr>
          <w:lang w:val="en-US"/>
        </w:rPr>
        <w:t>This project involved upgrading the existing marine buoys to a new, larger type designed to withstand local sea conditions. Additionally, new navigation aids were installed in several critical locations identified during consultations. These installations include markers for shoals near various islands and along key transit routes known for a history of search and rescue incidents.</w:t>
      </w:r>
    </w:p>
    <w:p w14:paraId="66CDBF22" w14:textId="77777777" w:rsidR="00FA2FF9" w:rsidRPr="00730DE4" w:rsidRDefault="00FA2FF9" w:rsidP="00442E97">
      <w:pPr>
        <w:rPr>
          <w:lang w:val="en-US"/>
        </w:rPr>
      </w:pPr>
      <w:r w:rsidRPr="00730DE4">
        <w:rPr>
          <w:lang w:val="en-US"/>
        </w:rPr>
        <w:t>The successful implementation of this project ensures safer travel for Torres Strait peoples, allowing them to navigate their waterways confidently and return home safely.</w:t>
      </w:r>
    </w:p>
    <w:p w14:paraId="7E2A5EEE" w14:textId="77777777" w:rsidR="00FA2FF9" w:rsidRPr="00730DE4" w:rsidRDefault="00FA2FF9" w:rsidP="002B7001">
      <w:pPr>
        <w:pStyle w:val="Heading3"/>
        <w:rPr>
          <w:lang w:val="en-US"/>
        </w:rPr>
      </w:pPr>
      <w:bookmarkStart w:id="1049" w:name="_Toc180487569"/>
      <w:bookmarkStart w:id="1050" w:name="_Toc180490775"/>
      <w:bookmarkStart w:id="1051" w:name="_Toc180491808"/>
      <w:r w:rsidRPr="00730DE4">
        <w:rPr>
          <w:lang w:val="en-US"/>
        </w:rPr>
        <w:t>War on Wrecks</w:t>
      </w:r>
      <w:bookmarkEnd w:id="1049"/>
      <w:bookmarkEnd w:id="1050"/>
      <w:bookmarkEnd w:id="1051"/>
    </w:p>
    <w:p w14:paraId="3A88B9A9" w14:textId="77777777" w:rsidR="00FA2FF9" w:rsidRPr="00730DE4" w:rsidRDefault="00FA2FF9" w:rsidP="00442E97">
      <w:pPr>
        <w:rPr>
          <w:lang w:val="en-US"/>
        </w:rPr>
      </w:pPr>
      <w:r w:rsidRPr="00730DE4">
        <w:rPr>
          <w:lang w:val="en-US"/>
        </w:rPr>
        <w:t>Since its inception in July 2018, the Queensland Government's War on Wrecks initiative has led to the removal of 1425 derelict vessels from Queensland waterways. The program, initially backed by $20 million over four years, has received an additional $15 million to extend operations until 30 June 2025.</w:t>
      </w:r>
    </w:p>
    <w:p w14:paraId="2A476322" w14:textId="77777777" w:rsidR="00FA2FF9" w:rsidRPr="00730DE4" w:rsidRDefault="00FA2FF9" w:rsidP="00442E97">
      <w:pPr>
        <w:rPr>
          <w:lang w:val="en-US"/>
        </w:rPr>
      </w:pPr>
      <w:r w:rsidRPr="00730DE4">
        <w:rPr>
          <w:lang w:val="en-US"/>
        </w:rPr>
        <w:t>From July 2018 to 30 June 2024, MSQ and its partner agencies removed 850 vessels, while owners or other parties resolved the issue for 575 vessels.</w:t>
      </w:r>
    </w:p>
    <w:p w14:paraId="0FB2E7EC" w14:textId="77777777" w:rsidR="00FA2FF9" w:rsidRPr="00730DE4" w:rsidRDefault="00FA2FF9" w:rsidP="00442E97">
      <w:pPr>
        <w:rPr>
          <w:lang w:val="en-US"/>
        </w:rPr>
      </w:pPr>
      <w:r w:rsidRPr="00730DE4">
        <w:rPr>
          <w:lang w:val="en-US"/>
        </w:rPr>
        <w:t>During the 2023–24 financial year alone, the program resulted in 225 fewer derelict vessels, with MSQ and its partners removing 134, and 51 being removed or resolved by owners or others. A further 40 vessels were no longer present or have been made seaworthy by the owner.</w:t>
      </w:r>
    </w:p>
    <w:p w14:paraId="5D77F0AB" w14:textId="77777777" w:rsidR="00FA2FF9" w:rsidRPr="00730DE4" w:rsidRDefault="00FA2FF9" w:rsidP="00442E97">
      <w:pPr>
        <w:rPr>
          <w:lang w:val="en-US"/>
        </w:rPr>
      </w:pPr>
      <w:r w:rsidRPr="00730DE4">
        <w:rPr>
          <w:lang w:val="en-US"/>
        </w:rPr>
        <w:t>Currently, MSQ is monitoring 569 vessels of interest, including 232 derelict vessels and 337 potential derelicts. This list is continually updated as new vessels are identified and either monitored more closely or removed.</w:t>
      </w:r>
    </w:p>
    <w:p w14:paraId="5D58C934" w14:textId="77777777" w:rsidR="00FA2FF9" w:rsidRPr="00730DE4" w:rsidRDefault="00FA2FF9" w:rsidP="00442E97">
      <w:pPr>
        <w:pStyle w:val="MessageHeader"/>
        <w:rPr>
          <w:lang w:val="en-US"/>
        </w:rPr>
      </w:pPr>
      <w:r w:rsidRPr="00730DE4">
        <w:rPr>
          <w:lang w:val="en-US"/>
        </w:rPr>
        <w:t xml:space="preserve">For more information </w:t>
      </w:r>
      <w:r w:rsidRPr="00730DE4">
        <w:rPr>
          <w:lang w:val="en-US"/>
        </w:rPr>
        <w:br/>
      </w:r>
      <w:hyperlink r:id="rId130" w:history="1">
        <w:r w:rsidRPr="00730DE4">
          <w:rPr>
            <w:rStyle w:val="Hyperlink"/>
            <w:lang w:val="en-US"/>
          </w:rPr>
          <w:t>https://www.msq.qld.gov.au/about-us/news-and-stories/taskforce-continues-gaining-ground-in-war-on-wrecks</w:t>
        </w:r>
      </w:hyperlink>
    </w:p>
    <w:p w14:paraId="0E6F9E93" w14:textId="77777777" w:rsidR="00B13631" w:rsidRPr="00730DE4" w:rsidRDefault="00B13631">
      <w:pPr>
        <w:suppressAutoHyphens w:val="0"/>
        <w:spacing w:before="0" w:line="259" w:lineRule="auto"/>
        <w:rPr>
          <w:rFonts w:eastAsiaTheme="majorEastAsia" w:cstheme="majorBidi"/>
          <w:color w:val="080C0F" w:themeColor="text1"/>
          <w:sz w:val="60"/>
          <w:szCs w:val="32"/>
        </w:rPr>
      </w:pPr>
      <w:r w:rsidRPr="00730DE4">
        <w:br w:type="page"/>
      </w:r>
    </w:p>
    <w:p w14:paraId="322BBE1C" w14:textId="2C853C86" w:rsidR="00FA2FF9" w:rsidRPr="00730DE4" w:rsidRDefault="00FA2FF9" w:rsidP="002B7001">
      <w:pPr>
        <w:pStyle w:val="Heading2"/>
      </w:pPr>
      <w:bookmarkStart w:id="1052" w:name="_Toc180490776"/>
      <w:bookmarkStart w:id="1053" w:name="_Toc180491809"/>
      <w:r w:rsidRPr="00730DE4">
        <w:t>Designing solutions that create value</w:t>
      </w:r>
      <w:bookmarkEnd w:id="1052"/>
      <w:bookmarkEnd w:id="1053"/>
    </w:p>
    <w:p w14:paraId="5329196E" w14:textId="77777777" w:rsidR="00FA2FF9" w:rsidRPr="00730DE4" w:rsidRDefault="00FA2FF9" w:rsidP="002B7001">
      <w:pPr>
        <w:pStyle w:val="Heading3"/>
        <w:rPr>
          <w:lang w:val="en-US"/>
        </w:rPr>
      </w:pPr>
      <w:bookmarkStart w:id="1054" w:name="_Toc180487571"/>
      <w:bookmarkStart w:id="1055" w:name="_Toc180490777"/>
      <w:bookmarkStart w:id="1056" w:name="_Toc180491810"/>
      <w:r w:rsidRPr="00730DE4">
        <w:rPr>
          <w:lang w:val="en-US"/>
        </w:rPr>
        <w:t>Light Emitting Diode lighting replacement project</w:t>
      </w:r>
      <w:bookmarkEnd w:id="1054"/>
      <w:bookmarkEnd w:id="1055"/>
      <w:bookmarkEnd w:id="1056"/>
      <w:r w:rsidRPr="00730DE4">
        <w:rPr>
          <w:lang w:val="en-US"/>
        </w:rPr>
        <w:t xml:space="preserve"> </w:t>
      </w:r>
    </w:p>
    <w:p w14:paraId="6AC161F5" w14:textId="77777777" w:rsidR="00FA2FF9" w:rsidRPr="00730DE4" w:rsidRDefault="00FA2FF9" w:rsidP="00995FA2">
      <w:pPr>
        <w:spacing w:before="0"/>
      </w:pPr>
      <w:r w:rsidRPr="00730DE4">
        <w:t xml:space="preserve">In 2023–24, TMR replaced 5360 obsolete road lights with high performing Light Emitting Diode (LED) road lights and 9451 Smart Light Control units. </w:t>
      </w:r>
    </w:p>
    <w:p w14:paraId="17D7DB68" w14:textId="77777777" w:rsidR="00FA2FF9" w:rsidRPr="00730DE4" w:rsidRDefault="00FA2FF9" w:rsidP="00995FA2">
      <w:r w:rsidRPr="00730DE4">
        <w:t xml:space="preserve">Over 33,000 road lights were identified for replacement on state-controlled roads and over 30,484 have been installed since delivery began in 2017. </w:t>
      </w:r>
      <w:bookmarkStart w:id="1057" w:name="_Int_NyXAhe9L"/>
      <w:r w:rsidRPr="00730DE4">
        <w:t>Combining LED road</w:t>
      </w:r>
      <w:bookmarkEnd w:id="1057"/>
      <w:r w:rsidRPr="00730DE4">
        <w:t xml:space="preserve"> lighting with smart light technology has delivered the following benefits:</w:t>
      </w:r>
    </w:p>
    <w:p w14:paraId="4F08F1BB" w14:textId="77777777" w:rsidR="00FA2FF9" w:rsidRPr="00730DE4" w:rsidRDefault="00FA2FF9" w:rsidP="00995FA2">
      <w:pPr>
        <w:pStyle w:val="ListBullet"/>
        <w:spacing w:before="60"/>
        <w:ind w:left="284" w:hanging="284"/>
      </w:pPr>
      <w:r w:rsidRPr="00730DE4">
        <w:t>improved lighting quality</w:t>
      </w:r>
    </w:p>
    <w:p w14:paraId="252E81AE" w14:textId="77777777" w:rsidR="00FA2FF9" w:rsidRPr="00730DE4" w:rsidRDefault="00FA2FF9" w:rsidP="00995FA2">
      <w:pPr>
        <w:pStyle w:val="ListBullet"/>
        <w:spacing w:before="60"/>
        <w:ind w:left="284" w:hanging="284"/>
      </w:pPr>
      <w:r w:rsidRPr="00730DE4">
        <w:t>reduced energy consumption by up to 45 per cent</w:t>
      </w:r>
    </w:p>
    <w:p w14:paraId="0431B586" w14:textId="77777777" w:rsidR="00FA2FF9" w:rsidRPr="00730DE4" w:rsidRDefault="00FA2FF9" w:rsidP="00995FA2">
      <w:pPr>
        <w:pStyle w:val="ListBullet"/>
        <w:spacing w:before="60"/>
        <w:ind w:left="284" w:hanging="284"/>
      </w:pPr>
      <w:r w:rsidRPr="00730DE4">
        <w:t>reduced operating and maintenance costs</w:t>
      </w:r>
    </w:p>
    <w:p w14:paraId="020D89D5" w14:textId="77777777" w:rsidR="00FA2FF9" w:rsidRPr="00730DE4" w:rsidRDefault="00FA2FF9" w:rsidP="00995FA2">
      <w:pPr>
        <w:pStyle w:val="ListBullet"/>
        <w:spacing w:before="60"/>
        <w:ind w:left="284" w:hanging="284"/>
      </w:pPr>
      <w:r w:rsidRPr="00730DE4">
        <w:t>longer lifecycle of lights</w:t>
      </w:r>
    </w:p>
    <w:p w14:paraId="5C6D740A" w14:textId="77777777" w:rsidR="00FA2FF9" w:rsidRPr="00730DE4" w:rsidRDefault="00FA2FF9" w:rsidP="00995FA2">
      <w:pPr>
        <w:pStyle w:val="ListBullet"/>
        <w:spacing w:before="60"/>
        <w:ind w:left="284" w:hanging="284"/>
      </w:pPr>
      <w:r w:rsidRPr="00730DE4">
        <w:t>improved road safety and environmental conditions</w:t>
      </w:r>
    </w:p>
    <w:p w14:paraId="6E097E4C" w14:textId="77777777" w:rsidR="00FA2FF9" w:rsidRPr="00730DE4" w:rsidRDefault="00FA2FF9" w:rsidP="00995FA2">
      <w:pPr>
        <w:pStyle w:val="ListBullet"/>
        <w:spacing w:before="60"/>
        <w:ind w:left="284" w:hanging="284"/>
      </w:pPr>
      <w:r w:rsidRPr="00730DE4">
        <w:t>improved asset management processes</w:t>
      </w:r>
    </w:p>
    <w:p w14:paraId="7D3F1235" w14:textId="77777777" w:rsidR="00FA2FF9" w:rsidRPr="00730DE4" w:rsidRDefault="00FA2FF9" w:rsidP="00995FA2">
      <w:pPr>
        <w:pStyle w:val="ListBullet"/>
        <w:spacing w:before="60"/>
        <w:ind w:left="284" w:hanging="284"/>
      </w:pPr>
      <w:r w:rsidRPr="00730DE4">
        <w:t xml:space="preserve">enables intelligent controls and performance monitoring capability. </w:t>
      </w:r>
    </w:p>
    <w:p w14:paraId="77AA6AF8" w14:textId="77777777" w:rsidR="00FA2FF9" w:rsidRPr="00730DE4" w:rsidRDefault="00FA2FF9" w:rsidP="00995FA2">
      <w:r w:rsidRPr="00730DE4">
        <w:t>In collaboration with the Endeavour Foundation, TMR has recycled 95 per cent of legacy road lights.</w:t>
      </w:r>
    </w:p>
    <w:p w14:paraId="5FD6A5B3" w14:textId="77777777" w:rsidR="00FA2FF9" w:rsidRPr="00730DE4" w:rsidRDefault="00FA2FF9" w:rsidP="00AF1466">
      <w:r w:rsidRPr="00730DE4">
        <w:t>The project is ahead of schedule to deliver the remaining Smart LED road lighting by 2026.</w:t>
      </w:r>
    </w:p>
    <w:p w14:paraId="489FBCBD" w14:textId="77777777" w:rsidR="00FA2FF9" w:rsidRPr="00730DE4" w:rsidRDefault="00FA2FF9" w:rsidP="002B7001">
      <w:pPr>
        <w:pStyle w:val="Heading3"/>
        <w:rPr>
          <w:lang w:val="en-US"/>
        </w:rPr>
      </w:pPr>
      <w:bookmarkStart w:id="1058" w:name="_Toc180487572"/>
      <w:bookmarkStart w:id="1059" w:name="_Toc180490778"/>
      <w:bookmarkStart w:id="1060" w:name="_Toc180491811"/>
      <w:r w:rsidRPr="00730DE4">
        <w:rPr>
          <w:lang w:val="en-US"/>
        </w:rPr>
        <w:t>Permanent International Association of Road Congresses</w:t>
      </w:r>
      <w:bookmarkEnd w:id="1058"/>
      <w:bookmarkEnd w:id="1059"/>
      <w:bookmarkEnd w:id="1060"/>
    </w:p>
    <w:p w14:paraId="33186A0A" w14:textId="77777777" w:rsidR="00FA2FF9" w:rsidRPr="00730DE4" w:rsidRDefault="00FA2FF9" w:rsidP="00625762">
      <w:pPr>
        <w:rPr>
          <w:lang w:val="en-US"/>
        </w:rPr>
      </w:pPr>
      <w:r w:rsidRPr="00730DE4">
        <w:rPr>
          <w:lang w:val="en-US"/>
        </w:rPr>
        <w:t>In October 2023, TMR representatives attended the Permanent International Association of Road Congress's (PIARC) 27th World Road Congress in Prague, Czech Republic.</w:t>
      </w:r>
    </w:p>
    <w:p w14:paraId="4AA8D122" w14:textId="77777777" w:rsidR="00FA2FF9" w:rsidRPr="00730DE4" w:rsidRDefault="00FA2FF9" w:rsidP="00625762">
      <w:pPr>
        <w:rPr>
          <w:lang w:val="en-US"/>
        </w:rPr>
      </w:pPr>
      <w:r w:rsidRPr="00730DE4">
        <w:rPr>
          <w:lang w:val="en-US"/>
        </w:rPr>
        <w:t>With more than 120 member countries, representing all levels of economic development, PIARC brings together governments from all over the globe to promote international cooperation and the exchange of knowledge on issues relating to roads and road transport. Through several technical committees, members produce reports on best practices and recommendations in their respective fields, thereby assisting decision makers, engineers, and researchers.</w:t>
      </w:r>
    </w:p>
    <w:p w14:paraId="496BD47A" w14:textId="77777777" w:rsidR="00FA2FF9" w:rsidRPr="00730DE4" w:rsidRDefault="00FA2FF9" w:rsidP="00625762">
      <w:pPr>
        <w:rPr>
          <w:lang w:val="en-US"/>
        </w:rPr>
      </w:pPr>
      <w:r w:rsidRPr="00730DE4">
        <w:rPr>
          <w:lang w:val="en-US"/>
        </w:rPr>
        <w:t>TMR’s involvement in this international association provides Queensland with access to international best practice approaches for improving roads and road transport, and the opportunity to contribute our research and innovation to a global body of knowledge.</w:t>
      </w:r>
    </w:p>
    <w:p w14:paraId="48C31EF7" w14:textId="77777777" w:rsidR="00FA2FF9" w:rsidRPr="00730DE4" w:rsidRDefault="00FA2FF9" w:rsidP="00625762">
      <w:pPr>
        <w:rPr>
          <w:lang w:val="en-US"/>
        </w:rPr>
      </w:pPr>
      <w:r w:rsidRPr="00730DE4">
        <w:rPr>
          <w:lang w:val="en-US"/>
        </w:rPr>
        <w:t>TMR’s expertise was acknowledged by our presented paper on bridge monitoring and data-driven structural asset management being awarded best paper by the PIARC secretariat in the category of ‘Road Design, Construction, Maintenance and Operation’. Representatives from TMR were also appointed the Australian and New Zealand representatives for various technical committees for PIARC 2024–27, and the associated project commencement meetings were held in Paris in February 2024.</w:t>
      </w:r>
    </w:p>
    <w:p w14:paraId="0087D0FC" w14:textId="77777777" w:rsidR="00FA2FF9" w:rsidRPr="00730DE4" w:rsidRDefault="00FA2FF9" w:rsidP="002B7001">
      <w:pPr>
        <w:pStyle w:val="Heading3"/>
        <w:rPr>
          <w:lang w:val="en-US"/>
        </w:rPr>
      </w:pPr>
      <w:bookmarkStart w:id="1061" w:name="_Toc180487573"/>
      <w:bookmarkStart w:id="1062" w:name="_Toc180490779"/>
      <w:bookmarkStart w:id="1063" w:name="_Toc180491812"/>
      <w:r w:rsidRPr="00730DE4">
        <w:rPr>
          <w:lang w:val="en-US"/>
        </w:rPr>
        <w:t>Cooperative and Highly Automated Driving pilot</w:t>
      </w:r>
      <w:bookmarkEnd w:id="1061"/>
      <w:bookmarkEnd w:id="1062"/>
      <w:bookmarkEnd w:id="1063"/>
    </w:p>
    <w:p w14:paraId="7569128F" w14:textId="77777777" w:rsidR="00FA2FF9" w:rsidRPr="00730DE4" w:rsidRDefault="00FA2FF9" w:rsidP="00625762">
      <w:pPr>
        <w:rPr>
          <w:lang w:val="en-US"/>
        </w:rPr>
      </w:pPr>
      <w:r w:rsidRPr="00730DE4">
        <w:rPr>
          <w:lang w:val="en-US"/>
        </w:rPr>
        <w:t>The Cooperative and Highly Automated Driving pilot successfully delivered its final dynamic demonstration of its Cooperative and Automated Vehicle, ZOE2, during 2023–24.</w:t>
      </w:r>
    </w:p>
    <w:p w14:paraId="5AF9EEEF" w14:textId="77777777" w:rsidR="00FA2FF9" w:rsidRPr="00730DE4" w:rsidRDefault="00FA2FF9" w:rsidP="00625762">
      <w:pPr>
        <w:rPr>
          <w:lang w:val="en-US"/>
        </w:rPr>
      </w:pPr>
      <w:r w:rsidRPr="00730DE4">
        <w:rPr>
          <w:lang w:val="en-US"/>
        </w:rPr>
        <w:t>From 10 to 14 July 2023, Mount Isa residents were provided an opportunity to experience ZOE2 driving in automated mode on Mount Isa's public roads and interacting with traffic and pedestrians. The Mount Isa demonstration was ZOE2's most complex demonstration. During the 5.5 kilometre drive in automated mode, the public experienced ZOE2 driving through four pedestrian crossings, changing lanes, traversing through two traffic light intersections, and manoeuvring through a roundabout.</w:t>
      </w:r>
    </w:p>
    <w:p w14:paraId="41503D49" w14:textId="77777777" w:rsidR="00FA2FF9" w:rsidRPr="00730DE4" w:rsidRDefault="00FA2FF9" w:rsidP="00625762">
      <w:pPr>
        <w:rPr>
          <w:lang w:val="en-US"/>
        </w:rPr>
      </w:pPr>
      <w:r w:rsidRPr="00730DE4">
        <w:rPr>
          <w:lang w:val="en-US"/>
        </w:rPr>
        <w:t>In 2023–24, the team published four research study reports on the challenges of cooperative and automated vehicle deployment in Australia, including the driving task hand-over in an automated vehicle and the safety impact of connectivity for automated vehicles.</w:t>
      </w:r>
    </w:p>
    <w:p w14:paraId="3E4BFA07" w14:textId="77777777" w:rsidR="00FA2FF9" w:rsidRPr="00730DE4" w:rsidRDefault="00FA2FF9" w:rsidP="00625762">
      <w:pPr>
        <w:rPr>
          <w:lang w:val="en-US"/>
        </w:rPr>
      </w:pPr>
      <w:r w:rsidRPr="00730DE4">
        <w:rPr>
          <w:lang w:val="en-US"/>
        </w:rPr>
        <w:t xml:space="preserve">These are published by iMOVE Australia and available on their website: </w:t>
      </w:r>
      <w:hyperlink r:id="rId131" w:history="1">
        <w:r w:rsidRPr="00730DE4">
          <w:rPr>
            <w:rStyle w:val="Hyperlink"/>
            <w:lang w:val="en-US"/>
          </w:rPr>
          <w:t>https://imoveaustralia.com/project/project-outcomes/safely-deploying-automated-vehicles-on-australian-roads/</w:t>
        </w:r>
      </w:hyperlink>
    </w:p>
    <w:p w14:paraId="03C3B696" w14:textId="77777777" w:rsidR="00FA2FF9" w:rsidRPr="00730DE4" w:rsidRDefault="00FA2FF9" w:rsidP="00625762">
      <w:pPr>
        <w:rPr>
          <w:lang w:val="en-US"/>
        </w:rPr>
      </w:pPr>
      <w:r w:rsidRPr="00730DE4">
        <w:rPr>
          <w:lang w:val="en-US"/>
        </w:rPr>
        <w:t>The MAIC co-funded the project in partnership with the Queensland University of Technology (QUT) and iMOVE Australia. The project has concluded in 2023–24.</w:t>
      </w:r>
    </w:p>
    <w:p w14:paraId="06405C62" w14:textId="77777777" w:rsidR="00FA2FF9" w:rsidRPr="00730DE4" w:rsidRDefault="00FA2FF9" w:rsidP="002B7001">
      <w:pPr>
        <w:pStyle w:val="Heading3"/>
        <w:rPr>
          <w:lang w:val="en-US"/>
        </w:rPr>
      </w:pPr>
      <w:bookmarkStart w:id="1064" w:name="_Toc180487574"/>
      <w:bookmarkStart w:id="1065" w:name="_Toc180490780"/>
      <w:bookmarkStart w:id="1066" w:name="_Toc180491813"/>
      <w:r w:rsidRPr="00730DE4">
        <w:rPr>
          <w:lang w:val="en-US"/>
        </w:rPr>
        <w:t>Timber bridge replacement program</w:t>
      </w:r>
      <w:bookmarkEnd w:id="1064"/>
      <w:bookmarkEnd w:id="1065"/>
      <w:bookmarkEnd w:id="1066"/>
    </w:p>
    <w:p w14:paraId="6E24BE71" w14:textId="77777777" w:rsidR="00FA2FF9" w:rsidRPr="00730DE4" w:rsidRDefault="00FA2FF9" w:rsidP="00625762">
      <w:r w:rsidRPr="00730DE4">
        <w:t>Traditionally, TMR has allocated a significant portion of its maintenance budget to a specific segment of the network, focusing on timber bridges. In 2023–24, efforts were concentrated on developing a strategy for the replacement of these bridges. The draft strategy outlines the investment required to replace timber bridges that are no longer economically viable to maintain.</w:t>
      </w:r>
    </w:p>
    <w:p w14:paraId="12AAE0A7" w14:textId="77777777" w:rsidR="00FA2FF9" w:rsidRPr="00730DE4" w:rsidRDefault="00FA2FF9" w:rsidP="00625762">
      <w:r w:rsidRPr="00730DE4">
        <w:t>To c</w:t>
      </w:r>
      <w:r w:rsidRPr="00730DE4">
        <w:rPr>
          <w:lang w:val="en-US"/>
        </w:rPr>
        <w:t>reate</w:t>
      </w:r>
      <w:r w:rsidRPr="00730DE4">
        <w:t xml:space="preserve"> this strategy, multiple functional elements were conceptualised to facilitate inventive solutions and establish a uniform approach across the state for the pilot bridge replacement program</w:t>
      </w:r>
      <w:r w:rsidRPr="00730DE4">
        <w:rPr>
          <w:lang w:val="en-US"/>
        </w:rPr>
        <w:t>. These were</w:t>
      </w:r>
      <w:r w:rsidRPr="00730DE4">
        <w:t>:</w:t>
      </w:r>
    </w:p>
    <w:p w14:paraId="407913DA" w14:textId="77777777" w:rsidR="00FA2FF9" w:rsidRPr="00730DE4" w:rsidRDefault="00FA2FF9" w:rsidP="00625762">
      <w:pPr>
        <w:pStyle w:val="ListBullet"/>
      </w:pPr>
      <w:r w:rsidRPr="00730DE4">
        <w:rPr>
          <w:rStyle w:val="Strong"/>
        </w:rPr>
        <w:t>a program criteria</w:t>
      </w:r>
      <w:r w:rsidRPr="00730DE4">
        <w:rPr>
          <w:b/>
          <w:bCs/>
          <w:lang w:val="en-US"/>
        </w:rPr>
        <w:t xml:space="preserve"> </w:t>
      </w:r>
      <w:r w:rsidRPr="00730DE4">
        <w:t>to support the identification of candidate projects</w:t>
      </w:r>
    </w:p>
    <w:p w14:paraId="7FFB59F9" w14:textId="77777777" w:rsidR="00FA2FF9" w:rsidRPr="00730DE4" w:rsidRDefault="00FA2FF9" w:rsidP="00625762">
      <w:pPr>
        <w:pStyle w:val="ListBullet"/>
      </w:pPr>
      <w:r w:rsidRPr="00730DE4">
        <w:rPr>
          <w:rStyle w:val="Strong"/>
        </w:rPr>
        <w:t>a prioritisation tool</w:t>
      </w:r>
      <w:r w:rsidRPr="00730DE4">
        <w:t xml:space="preserve"> to target the effort in shortlisting candidate projects</w:t>
      </w:r>
    </w:p>
    <w:p w14:paraId="68B7A61B" w14:textId="77777777" w:rsidR="00FA2FF9" w:rsidRPr="00730DE4" w:rsidRDefault="00FA2FF9" w:rsidP="00625762">
      <w:pPr>
        <w:pStyle w:val="ListBullet"/>
      </w:pPr>
      <w:r w:rsidRPr="00730DE4">
        <w:rPr>
          <w:rStyle w:val="Strong"/>
        </w:rPr>
        <w:t>an engineering review</w:t>
      </w:r>
      <w:r w:rsidRPr="00730DE4">
        <w:t xml:space="preserve"> of modular and pre-engineered proprietary bridge solutions, with a focus on identifying solutions that provide value for money and timely delivery options</w:t>
      </w:r>
      <w:r w:rsidRPr="00730DE4">
        <w:rPr>
          <w:lang w:val="en-US"/>
        </w:rPr>
        <w:t>.</w:t>
      </w:r>
    </w:p>
    <w:p w14:paraId="686C555D" w14:textId="77777777" w:rsidR="00FA2FF9" w:rsidRPr="00730DE4" w:rsidRDefault="00FA2FF9" w:rsidP="00625762">
      <w:r w:rsidRPr="00730DE4">
        <w:t>The next steps involve initiating the pilot program, which includes developing targeted design criteria and replacing a suitable timber bridge. By replacing timber bridges, the goal is to enhance infrastructure resilience while maintaining efficiency in maintenance expenditure</w:t>
      </w:r>
      <w:r w:rsidRPr="00730DE4">
        <w:rPr>
          <w:lang w:val="en-US"/>
        </w:rPr>
        <w:t>.</w:t>
      </w:r>
    </w:p>
    <w:p w14:paraId="1F13BEC8" w14:textId="77777777" w:rsidR="00FA2FF9" w:rsidRPr="00730DE4" w:rsidRDefault="00FA2FF9" w:rsidP="002B7001">
      <w:pPr>
        <w:pStyle w:val="Heading3"/>
        <w:rPr>
          <w:lang w:val="en-US"/>
        </w:rPr>
      </w:pPr>
      <w:bookmarkStart w:id="1067" w:name="_Toc180487575"/>
      <w:bookmarkStart w:id="1068" w:name="_Toc180490781"/>
      <w:bookmarkStart w:id="1069" w:name="_Toc180491814"/>
      <w:r w:rsidRPr="00730DE4">
        <w:rPr>
          <w:lang w:val="en-US"/>
        </w:rPr>
        <w:t>Digital skills and careers for Queenslanders</w:t>
      </w:r>
      <w:bookmarkEnd w:id="1067"/>
      <w:bookmarkEnd w:id="1068"/>
      <w:bookmarkEnd w:id="1069"/>
      <w:r w:rsidRPr="00730DE4">
        <w:rPr>
          <w:lang w:val="en-US"/>
        </w:rPr>
        <w:t xml:space="preserve"> </w:t>
      </w:r>
    </w:p>
    <w:p w14:paraId="538ACB02" w14:textId="77777777" w:rsidR="00FA2FF9" w:rsidRPr="00730DE4" w:rsidRDefault="00FA2FF9" w:rsidP="00625762">
      <w:pPr>
        <w:rPr>
          <w:lang w:val="en-US"/>
        </w:rPr>
      </w:pPr>
      <w:r w:rsidRPr="00730DE4">
        <w:rPr>
          <w:lang w:val="en-US"/>
        </w:rPr>
        <w:t xml:space="preserve">Independent reports have highlighted the need for Queensland to increase the supply of digital professionals to support business and industry. In response, the Queensland Government is delivering the $8 million </w:t>
      </w:r>
      <w:r w:rsidRPr="00730DE4">
        <w:rPr>
          <w:rStyle w:val="Emphasis"/>
        </w:rPr>
        <w:t>Digital Professional Workforce Action Plan</w:t>
      </w:r>
      <w:r w:rsidRPr="00730DE4">
        <w:rPr>
          <w:lang w:val="en-US"/>
        </w:rPr>
        <w:t xml:space="preserve"> 2020–2024 which aims to supply an additional 10,000 digital professionals to support Queensland’s digital economy.</w:t>
      </w:r>
    </w:p>
    <w:p w14:paraId="0E9AE917" w14:textId="77777777" w:rsidR="00FA2FF9" w:rsidRPr="00730DE4" w:rsidRDefault="00FA2FF9" w:rsidP="00625762">
      <w:pPr>
        <w:rPr>
          <w:lang w:val="en-US"/>
        </w:rPr>
      </w:pPr>
      <w:r w:rsidRPr="00730DE4">
        <w:rPr>
          <w:lang w:val="en-US"/>
        </w:rPr>
        <w:t>As at 30 June 2024, 454,812 Queenslanders have engaged with digital career awareness campaigns and over 15,847 Queenslanders have participated in digital skills training. 113 Aboriginal, Torres Strait Islander, or neurodiverse Queenslanders as well as 407 graduates have received digital job placements.</w:t>
      </w:r>
    </w:p>
    <w:p w14:paraId="67ECD744" w14:textId="77777777" w:rsidR="00FA2FF9" w:rsidRPr="00730DE4" w:rsidRDefault="00FA2FF9" w:rsidP="00625762">
      <w:pPr>
        <w:rPr>
          <w:lang w:val="en-US"/>
        </w:rPr>
      </w:pPr>
      <w:r w:rsidRPr="00730DE4">
        <w:rPr>
          <w:lang w:val="en-US"/>
        </w:rPr>
        <w:t>QGCDG is working to not only increase the pipeline of digital professionals but also widen it to ensure the workforce is representative of the community. Programs were targeted at school students, mid-career changers, people returning to the workforce, veterans, and underrepresented cohorts including Aboriginal and Torres Strait Islander people, women, people with a disability, mature age, culturally and linguistically diverse, and those living in rural and regional areas.</w:t>
      </w:r>
    </w:p>
    <w:p w14:paraId="040B4996" w14:textId="77777777" w:rsidR="00FA2FF9" w:rsidRPr="00730DE4" w:rsidRDefault="00FA2FF9" w:rsidP="00625762">
      <w:pPr>
        <w:pStyle w:val="MessageHeader"/>
        <w:rPr>
          <w:lang w:val="en-US"/>
        </w:rPr>
      </w:pPr>
      <w:r w:rsidRPr="00730DE4">
        <w:rPr>
          <w:lang w:val="en-US"/>
        </w:rPr>
        <w:t xml:space="preserve">For more information </w:t>
      </w:r>
      <w:r w:rsidRPr="00730DE4">
        <w:rPr>
          <w:lang w:val="en-US"/>
        </w:rPr>
        <w:br/>
      </w:r>
      <w:hyperlink r:id="rId132" w:history="1">
        <w:r w:rsidRPr="00730DE4">
          <w:rPr>
            <w:rStyle w:val="Hyperlink"/>
            <w:lang w:val="en-US"/>
          </w:rPr>
          <w:t>https://tafeqld.edu.au/news-and-events/news/2023/digitrek-roadshow--experience-digital-technologies</w:t>
        </w:r>
      </w:hyperlink>
      <w:r w:rsidRPr="00730DE4">
        <w:t xml:space="preserve"> </w:t>
      </w:r>
      <w:r w:rsidRPr="00730DE4">
        <w:br/>
      </w:r>
      <w:hyperlink r:id="rId133" w:history="1">
        <w:r w:rsidRPr="00730DE4">
          <w:rPr>
            <w:rStyle w:val="Hyperlink"/>
            <w:lang w:val="en-US"/>
          </w:rPr>
          <w:t>https://www.mydigitalcareer.com.au/QLD/?cl=QGD:4</w:t>
        </w:r>
      </w:hyperlink>
      <w:r w:rsidRPr="00730DE4">
        <w:t xml:space="preserve"> </w:t>
      </w:r>
      <w:r w:rsidRPr="00730DE4">
        <w:br/>
      </w:r>
      <w:hyperlink r:id="rId134" w:history="1">
        <w:r w:rsidRPr="00730DE4">
          <w:rPr>
            <w:rStyle w:val="Hyperlink"/>
            <w:lang w:val="en-US"/>
          </w:rPr>
          <w:t>https://www.qld.gov.au/jobs/career/digital-careers</w:t>
        </w:r>
      </w:hyperlink>
    </w:p>
    <w:p w14:paraId="4012B8F6" w14:textId="77777777" w:rsidR="00FA2FF9" w:rsidRPr="00730DE4" w:rsidRDefault="00FA2FF9" w:rsidP="002B7001">
      <w:pPr>
        <w:pStyle w:val="Heading3"/>
        <w:rPr>
          <w:lang w:val="en-US"/>
        </w:rPr>
      </w:pPr>
      <w:bookmarkStart w:id="1070" w:name="_Toc180487576"/>
      <w:bookmarkStart w:id="1071" w:name="_Toc180490782"/>
      <w:bookmarkStart w:id="1072" w:name="_Toc180491815"/>
      <w:r w:rsidRPr="00730DE4">
        <w:rPr>
          <w:lang w:val="en-US"/>
        </w:rPr>
        <w:t>Strengthening cyber security resilience and disaster readiness for government</w:t>
      </w:r>
      <w:bookmarkEnd w:id="1070"/>
      <w:bookmarkEnd w:id="1071"/>
      <w:bookmarkEnd w:id="1072"/>
      <w:r w:rsidRPr="00730DE4">
        <w:rPr>
          <w:lang w:val="en-US"/>
        </w:rPr>
        <w:t xml:space="preserve"> </w:t>
      </w:r>
    </w:p>
    <w:p w14:paraId="294E9B6C" w14:textId="77777777" w:rsidR="00FA2FF9" w:rsidRPr="00730DE4" w:rsidRDefault="00FA2FF9" w:rsidP="00224F83">
      <w:pPr>
        <w:rPr>
          <w:lang w:val="en-US"/>
        </w:rPr>
      </w:pPr>
      <w:r w:rsidRPr="00730DE4">
        <w:rPr>
          <w:lang w:val="en-US"/>
        </w:rPr>
        <w:t>The QGCDG’s CSU, is at the forefront of cyber security for the Queensland public sector. The CSU sets cyber security policies and guidance, manages whole-of-government cyber security services, and supports the development of both the public sector cyber workforce and the broader Queensland cyber security industry.</w:t>
      </w:r>
    </w:p>
    <w:p w14:paraId="47AD40D8" w14:textId="77777777" w:rsidR="00FA2FF9" w:rsidRPr="00730DE4" w:rsidRDefault="00FA2FF9" w:rsidP="00224F83">
      <w:pPr>
        <w:rPr>
          <w:lang w:val="en-US"/>
        </w:rPr>
      </w:pPr>
      <w:r w:rsidRPr="00730DE4">
        <w:rPr>
          <w:lang w:val="en-US"/>
        </w:rPr>
        <w:t>To enhance the Queensland Government's readiness and response capabilities, the CSU conducts annual whole-of-government cyber security exercises. These exercises test and improve the collective ability to prepare for, respond to, and recover from cyber incidents.</w:t>
      </w:r>
    </w:p>
    <w:p w14:paraId="5C9D8AAA" w14:textId="77777777" w:rsidR="00FA2FF9" w:rsidRPr="00730DE4" w:rsidRDefault="00FA2FF9" w:rsidP="00224F83">
      <w:pPr>
        <w:rPr>
          <w:lang w:val="en-US"/>
        </w:rPr>
      </w:pPr>
      <w:r w:rsidRPr="00730DE4">
        <w:rPr>
          <w:lang w:val="en-US"/>
        </w:rPr>
        <w:t>In October 2023, QGCDG’s CSU Exercise Sky Scriber brought together 115 staff from 20 departments and six supporting areas. The exercise was designed to evaluate the new Queensland Government Cyber Security Arrangements, focusing on their effectiveness in managing agency and whole-of-government responses during a complex cyber incident.</w:t>
      </w:r>
    </w:p>
    <w:p w14:paraId="22DD80B0" w14:textId="77777777" w:rsidR="00FA2FF9" w:rsidRPr="00730DE4" w:rsidRDefault="00FA2FF9" w:rsidP="00224F83">
      <w:pPr>
        <w:rPr>
          <w:lang w:val="en-US"/>
        </w:rPr>
      </w:pPr>
      <w:r w:rsidRPr="00730DE4">
        <w:rPr>
          <w:lang w:val="en-US"/>
        </w:rPr>
        <w:t>Insights and recommendations from Exercise Sky Scriber are being used to inform ongoing improvements to the Queensland Government Cyber Security Arrangements and to shape current and future cyber security work programs.</w:t>
      </w:r>
    </w:p>
    <w:p w14:paraId="269EAD1E" w14:textId="77777777" w:rsidR="00FA2FF9" w:rsidRPr="00730DE4" w:rsidRDefault="00FA2FF9" w:rsidP="00224F83">
      <w:pPr>
        <w:pStyle w:val="MessageHeader"/>
        <w:rPr>
          <w:lang w:val="en-US"/>
        </w:rPr>
      </w:pPr>
      <w:r w:rsidRPr="00730DE4">
        <w:rPr>
          <w:lang w:val="en-US"/>
        </w:rPr>
        <w:t xml:space="preserve">For more information </w:t>
      </w:r>
      <w:r w:rsidRPr="00730DE4">
        <w:rPr>
          <w:lang w:val="en-US"/>
        </w:rPr>
        <w:br/>
      </w:r>
      <w:hyperlink r:id="rId135" w:history="1">
        <w:r w:rsidRPr="00730DE4">
          <w:rPr>
            <w:rStyle w:val="Hyperlink"/>
            <w:lang w:val="en-US"/>
          </w:rPr>
          <w:t>https://www.disaster.qld.gov.au/__data/assets/pdf_file/0035/388790/cyber-security-hazard-response-plan.pdf</w:t>
        </w:r>
      </w:hyperlink>
    </w:p>
    <w:p w14:paraId="30640ED2" w14:textId="77777777" w:rsidR="00FA2FF9" w:rsidRPr="00730DE4" w:rsidRDefault="00FA2FF9" w:rsidP="002B7001">
      <w:pPr>
        <w:pStyle w:val="Heading3"/>
        <w:rPr>
          <w:lang w:val="en-US"/>
        </w:rPr>
      </w:pPr>
      <w:bookmarkStart w:id="1073" w:name="_Toc180487577"/>
      <w:bookmarkStart w:id="1074" w:name="_Toc180490783"/>
      <w:bookmarkStart w:id="1075" w:name="_Toc180491816"/>
      <w:r w:rsidRPr="00730DE4">
        <w:rPr>
          <w:lang w:val="en-US"/>
        </w:rPr>
        <w:t>Increasing device ownership for Rural, Regional, and First Nations students</w:t>
      </w:r>
      <w:bookmarkEnd w:id="1073"/>
      <w:bookmarkEnd w:id="1074"/>
      <w:bookmarkEnd w:id="1075"/>
    </w:p>
    <w:p w14:paraId="09996D9A" w14:textId="77777777" w:rsidR="00FA2FF9" w:rsidRPr="00730DE4" w:rsidRDefault="00FA2FF9" w:rsidP="00625762">
      <w:pPr>
        <w:rPr>
          <w:lang w:val="en-US"/>
        </w:rPr>
      </w:pPr>
      <w:r w:rsidRPr="00730DE4">
        <w:rPr>
          <w:lang w:val="en-US"/>
        </w:rPr>
        <w:t>The Queensland Government, in partnership with Queensland-based not-for-profit LiteHaus International, has delivered 4000 refurbished devices to rural and remote students. This initiative aims to enhance digital access and literacy for regional Queenslanders, focusing particularly on Aboriginal, Torres Strait Islander, and culturally and linguistically diverse communities.</w:t>
      </w:r>
    </w:p>
    <w:p w14:paraId="5E0E6238" w14:textId="77777777" w:rsidR="00FA2FF9" w:rsidRPr="00730DE4" w:rsidRDefault="00FA2FF9" w:rsidP="00625762">
      <w:pPr>
        <w:rPr>
          <w:lang w:val="en-US"/>
        </w:rPr>
      </w:pPr>
      <w:r w:rsidRPr="00730DE4">
        <w:rPr>
          <w:lang w:val="en-US"/>
        </w:rPr>
        <w:t xml:space="preserve">Supported by the </w:t>
      </w:r>
      <w:r w:rsidRPr="00730DE4">
        <w:rPr>
          <w:rStyle w:val="Emphasis"/>
        </w:rPr>
        <w:t>Digital Professional Workforce Action Plan 2020–24</w:t>
      </w:r>
      <w:r w:rsidRPr="00730DE4">
        <w:rPr>
          <w:lang w:val="en-US"/>
        </w:rPr>
        <w:t>, under the Queensland Government's $200 million Future Skills Fund, the LiteHaus partnership also includes digital literacy training modules and face-to-face eSafety information sessions for schools across the state. Locations benefiting from this initiative include Townsville, Cairns, Atherton, Charters Towers, Cooktown, Clermont, St George, Mount Isa, Cape York, Winton, Longreach, and Normanton.</w:t>
      </w:r>
    </w:p>
    <w:p w14:paraId="68DADDCD" w14:textId="77777777" w:rsidR="00FA2FF9" w:rsidRPr="00730DE4" w:rsidRDefault="00FA2FF9" w:rsidP="00625762">
      <w:pPr>
        <w:rPr>
          <w:lang w:val="en-US"/>
        </w:rPr>
      </w:pPr>
      <w:r w:rsidRPr="00730DE4">
        <w:rPr>
          <w:lang w:val="en-US"/>
        </w:rPr>
        <w:t>Additionally, an online digital skills hub has been established to provide ongoing access to all training content, ensuring sustained support for digital literacy development in these communities.</w:t>
      </w:r>
    </w:p>
    <w:p w14:paraId="2F7BEB0C" w14:textId="77777777" w:rsidR="00FA2FF9" w:rsidRPr="00730DE4" w:rsidRDefault="00FA2FF9" w:rsidP="00625762">
      <w:pPr>
        <w:pStyle w:val="MessageHeader"/>
        <w:rPr>
          <w:lang w:val="en-US"/>
        </w:rPr>
      </w:pPr>
      <w:r w:rsidRPr="00730DE4">
        <w:rPr>
          <w:lang w:val="en-US"/>
        </w:rPr>
        <w:t xml:space="preserve">For more information </w:t>
      </w:r>
      <w:r w:rsidRPr="00730DE4">
        <w:rPr>
          <w:lang w:val="en-US"/>
        </w:rPr>
        <w:br/>
      </w:r>
      <w:hyperlink r:id="rId136" w:history="1">
        <w:r w:rsidRPr="00730DE4">
          <w:rPr>
            <w:rStyle w:val="Hyperlink"/>
            <w:lang w:val="en-US"/>
          </w:rPr>
          <w:t>https://www.chde.qld.gov.au/__data/assets/file/0024/17529/digital-professional-workforce-plan.pdf</w:t>
        </w:r>
      </w:hyperlink>
    </w:p>
    <w:p w14:paraId="3FF50294" w14:textId="77777777" w:rsidR="00FA2FF9" w:rsidRPr="00730DE4" w:rsidRDefault="00FA2FF9" w:rsidP="002B7001">
      <w:pPr>
        <w:pStyle w:val="Heading3"/>
        <w:rPr>
          <w:lang w:val="en-US"/>
        </w:rPr>
      </w:pPr>
      <w:bookmarkStart w:id="1076" w:name="_Toc180487578"/>
      <w:bookmarkStart w:id="1077" w:name="_Toc180490784"/>
      <w:bookmarkStart w:id="1078" w:name="_Toc180491817"/>
      <w:r w:rsidRPr="00730DE4">
        <w:rPr>
          <w:lang w:val="en-US"/>
        </w:rPr>
        <w:t>Work continues to Close the Gap</w:t>
      </w:r>
      <w:bookmarkEnd w:id="1076"/>
      <w:bookmarkEnd w:id="1077"/>
      <w:bookmarkEnd w:id="1078"/>
    </w:p>
    <w:p w14:paraId="3570ABBA" w14:textId="77777777" w:rsidR="00FA2FF9" w:rsidRPr="00730DE4" w:rsidRDefault="00FA2FF9" w:rsidP="00596468">
      <w:r w:rsidRPr="00730DE4">
        <w:rPr>
          <w:lang w:val="en-US"/>
        </w:rPr>
        <w:t xml:space="preserve">TMR continued to make positive contributions towards achieving outcomes and targets in the </w:t>
      </w:r>
      <w:r w:rsidRPr="00730DE4">
        <w:rPr>
          <w:rStyle w:val="Emphasis"/>
        </w:rPr>
        <w:t>National Agreement on Closing the Gap</w:t>
      </w:r>
      <w:r w:rsidRPr="00730DE4">
        <w:rPr>
          <w:i/>
          <w:iCs/>
        </w:rPr>
        <w:t>,</w:t>
      </w:r>
      <w:r w:rsidRPr="00730DE4">
        <w:rPr>
          <w:lang w:val="en-US"/>
        </w:rPr>
        <w:t xml:space="preserve"> from ongoing investments in TMR’s Aboriginal and Torres Strait Islander workforce to dedicated spend with local First Nations businesses and through infrastructure programs such as the Aboriginal and Torres Strait Island TIDS. Programs like Aboriginal and Torres Strait Island TIDS play a significant role in bolstering target eight of the national agreement, which focuses on the robust economic engagement and progressive development of Aboriginal and Torres Strait Islander people and their communities.</w:t>
      </w:r>
      <w:r w:rsidRPr="00730DE4">
        <w:t> </w:t>
      </w:r>
    </w:p>
    <w:p w14:paraId="3E78CEBE" w14:textId="77777777" w:rsidR="00FA2FF9" w:rsidRPr="00730DE4" w:rsidRDefault="00FA2FF9" w:rsidP="00596468">
      <w:r w:rsidRPr="00730DE4">
        <w:rPr>
          <w:lang w:val="en-US"/>
        </w:rPr>
        <w:t xml:space="preserve">Key initiatives showcasing TMR's commitment to increase the number of Aboriginal and Torres Strait Islander people in meaningful employment include the promotion of various First Nations entry and career pathway programs. Notably, the scholarship program under the Peninsula Developmental Road Indigenous Land Use Agreement. </w:t>
      </w:r>
      <w:r w:rsidRPr="00730DE4">
        <w:t> </w:t>
      </w:r>
    </w:p>
    <w:p w14:paraId="3BA03680" w14:textId="77777777" w:rsidR="00FA2FF9" w:rsidRPr="00730DE4" w:rsidRDefault="00FA2FF9" w:rsidP="00596468">
      <w:r w:rsidRPr="00730DE4">
        <w:rPr>
          <w:lang w:val="en-US"/>
        </w:rPr>
        <w:t>The Indigenous Driver Licensing Program continues to play a crucial role in removing barriers to employment and reducing incarceration for road related offences by delivering identification, licensing, and road safety services to remote and discrete First Nations communities. This program makes positive contributions towards targets 8 and 10 of the national agreement.</w:t>
      </w:r>
    </w:p>
    <w:p w14:paraId="0C57A06C" w14:textId="77777777" w:rsidR="00FA2FF9" w:rsidRPr="00730DE4" w:rsidRDefault="00FA2FF9" w:rsidP="00596468">
      <w:r w:rsidRPr="00730DE4">
        <w:rPr>
          <w:lang w:val="en-US"/>
        </w:rPr>
        <w:t>The establishment of Digital Service Centres on Palm Island and in Cherbourg are exceptional examples of improving connectivity for regional communities through initiatives centered in the self-determination of Aboriginal and Torres Strait Islander people. The successful transition to community-led operations of these service centres marks a significant milestone and contribution towards Priority Reform Two of the national agreement, building the community-controlled sector.</w:t>
      </w:r>
    </w:p>
    <w:p w14:paraId="18B2137F" w14:textId="77777777" w:rsidR="00FA2FF9" w:rsidRPr="00730DE4" w:rsidRDefault="00FA2FF9" w:rsidP="00625762">
      <w:r w:rsidRPr="00730DE4">
        <w:rPr>
          <w:lang w:val="en-US"/>
        </w:rPr>
        <w:t>TMR also acknowledges the insights from the recent Productivity Commission’s Report scrutinising the poor progress against the Closing the Gap outcomes. In line with the report findings, TMR reasserts its pledge to enact the structural reform required to enhance its dedication, relationships, financial allocations, cooperation, and accountability to further the efforts to closing the gap.</w:t>
      </w:r>
      <w:r w:rsidRPr="00730DE4">
        <w:t> </w:t>
      </w:r>
    </w:p>
    <w:p w14:paraId="02A2B4D3" w14:textId="77777777" w:rsidR="00FA2FF9" w:rsidRPr="00730DE4" w:rsidRDefault="00FA2FF9" w:rsidP="002B7001">
      <w:pPr>
        <w:pStyle w:val="Heading3"/>
        <w:rPr>
          <w:lang w:val="en-US"/>
        </w:rPr>
      </w:pPr>
      <w:bookmarkStart w:id="1079" w:name="_Toc180487579"/>
      <w:bookmarkStart w:id="1080" w:name="_Toc180490785"/>
      <w:bookmarkStart w:id="1081" w:name="_Toc180491818"/>
      <w:r w:rsidRPr="00730DE4">
        <w:rPr>
          <w:lang w:val="en-US"/>
        </w:rPr>
        <w:t>First Nations Digital Careers Program</w:t>
      </w:r>
      <w:bookmarkEnd w:id="1079"/>
      <w:bookmarkEnd w:id="1080"/>
      <w:bookmarkEnd w:id="1081"/>
    </w:p>
    <w:p w14:paraId="36FFB348" w14:textId="77777777" w:rsidR="00FA2FF9" w:rsidRPr="00730DE4" w:rsidRDefault="00FA2FF9" w:rsidP="00625762">
      <w:pPr>
        <w:rPr>
          <w:lang w:val="en-US"/>
        </w:rPr>
      </w:pPr>
      <w:r w:rsidRPr="00730DE4">
        <w:rPr>
          <w:lang w:val="en-US"/>
        </w:rPr>
        <w:t>In December 2023, QGCDG celebrated the graduation of the first six trainees from the First Nations Digital Careers Program. Four of these graduates have continued in employment in the digital field.</w:t>
      </w:r>
    </w:p>
    <w:p w14:paraId="0A8DA695" w14:textId="77777777" w:rsidR="00FA2FF9" w:rsidRPr="00730DE4" w:rsidRDefault="00FA2FF9" w:rsidP="00625762">
      <w:pPr>
        <w:rPr>
          <w:lang w:val="en-US"/>
        </w:rPr>
      </w:pPr>
      <w:r w:rsidRPr="00730DE4">
        <w:rPr>
          <w:lang w:val="en-US"/>
        </w:rPr>
        <w:t xml:space="preserve">Delivered in partnership with Microsoft, the program aims to empower Aboriginal and Torres Strait Islander Queenslanders of all age groups to move into a digital career. </w:t>
      </w:r>
    </w:p>
    <w:p w14:paraId="773C48F0" w14:textId="77777777" w:rsidR="00FA2FF9" w:rsidRPr="00730DE4" w:rsidRDefault="00FA2FF9" w:rsidP="00625762">
      <w:pPr>
        <w:rPr>
          <w:lang w:val="en-US"/>
        </w:rPr>
      </w:pPr>
      <w:r w:rsidRPr="00730DE4">
        <w:rPr>
          <w:lang w:val="en-US"/>
        </w:rPr>
        <w:t>Participants can study a range of courses and be placed into jobs either within Queensland Government, Microsoft, or one of their partner employers.</w:t>
      </w:r>
    </w:p>
    <w:p w14:paraId="5EC722D6" w14:textId="77777777" w:rsidR="00FA2FF9" w:rsidRPr="00730DE4" w:rsidRDefault="00FA2FF9" w:rsidP="00625762">
      <w:pPr>
        <w:rPr>
          <w:lang w:val="en-US"/>
        </w:rPr>
      </w:pPr>
      <w:r w:rsidRPr="00730DE4">
        <w:rPr>
          <w:lang w:val="en-US"/>
        </w:rPr>
        <w:t>The program is supporting 27 trainees from the second and third intake who are working across 15 different government agencies and industry organisations. These trainees are studying either a Certificate 3 or 4 in Information Technology and are on track to graduate by September 2024.</w:t>
      </w:r>
    </w:p>
    <w:p w14:paraId="18904B21" w14:textId="77777777" w:rsidR="00FA2FF9" w:rsidRPr="00730DE4" w:rsidRDefault="00FA2FF9" w:rsidP="00625762">
      <w:pPr>
        <w:rPr>
          <w:lang w:val="en-US"/>
        </w:rPr>
      </w:pPr>
      <w:r w:rsidRPr="00730DE4">
        <w:rPr>
          <w:lang w:val="en-US"/>
        </w:rPr>
        <w:t>Participation continues to grow with 12 new trainees commencing in January 2024 in the fourth intake. This group are undertaking 24-month paid traineeship digital roles across government and industry while completing a Certificate 4 in Information Technology.</w:t>
      </w:r>
    </w:p>
    <w:p w14:paraId="729EED3A" w14:textId="77777777" w:rsidR="00FA2FF9" w:rsidRPr="00730DE4" w:rsidRDefault="00FA2FF9" w:rsidP="00625762">
      <w:pPr>
        <w:pStyle w:val="MessageHeader"/>
        <w:rPr>
          <w:lang w:val="en-US"/>
        </w:rPr>
      </w:pPr>
      <w:r w:rsidRPr="00730DE4">
        <w:rPr>
          <w:lang w:val="en-US"/>
        </w:rPr>
        <w:t xml:space="preserve">For more information </w:t>
      </w:r>
      <w:r w:rsidRPr="00730DE4">
        <w:rPr>
          <w:lang w:val="en-US"/>
        </w:rPr>
        <w:br/>
      </w:r>
      <w:hyperlink r:id="rId137" w:history="1">
        <w:r w:rsidRPr="00730DE4">
          <w:rPr>
            <w:rStyle w:val="Hyperlink"/>
          </w:rPr>
          <w:t>https://www.qld.gov.au/jobs/career/digital-careers/digital-jobs/first-nations-digital-careers-program</w:t>
        </w:r>
      </w:hyperlink>
    </w:p>
    <w:p w14:paraId="3DE4E715" w14:textId="77777777" w:rsidR="00B13631" w:rsidRPr="00730DE4" w:rsidRDefault="00B13631">
      <w:pPr>
        <w:suppressAutoHyphens w:val="0"/>
        <w:spacing w:before="0" w:line="259" w:lineRule="auto"/>
        <w:rPr>
          <w:rFonts w:eastAsiaTheme="majorEastAsia" w:cstheme="majorBidi"/>
          <w:color w:val="080C0F" w:themeColor="text1"/>
          <w:sz w:val="60"/>
          <w:szCs w:val="32"/>
        </w:rPr>
      </w:pPr>
      <w:r w:rsidRPr="00730DE4">
        <w:br w:type="page"/>
      </w:r>
    </w:p>
    <w:p w14:paraId="55FFCBC5" w14:textId="6B232239" w:rsidR="00FA2FF9" w:rsidRPr="00730DE4" w:rsidRDefault="00FA2FF9" w:rsidP="002B7001">
      <w:pPr>
        <w:pStyle w:val="Heading2"/>
      </w:pPr>
      <w:bookmarkStart w:id="1082" w:name="_Toc180490786"/>
      <w:bookmarkStart w:id="1083" w:name="_Toc180491819"/>
      <w:r w:rsidRPr="00730DE4">
        <w:t>Reducing the impact of network disruption</w:t>
      </w:r>
      <w:bookmarkEnd w:id="1082"/>
      <w:bookmarkEnd w:id="1083"/>
    </w:p>
    <w:p w14:paraId="51392E97" w14:textId="77777777" w:rsidR="00FA2FF9" w:rsidRPr="00730DE4" w:rsidRDefault="00FA2FF9" w:rsidP="002B7001">
      <w:pPr>
        <w:pStyle w:val="Heading3"/>
        <w:rPr>
          <w:lang w:val="en-US"/>
        </w:rPr>
      </w:pPr>
      <w:bookmarkStart w:id="1084" w:name="_Toc180487581"/>
      <w:bookmarkStart w:id="1085" w:name="_Toc180490787"/>
      <w:bookmarkStart w:id="1086" w:name="_Toc180491820"/>
      <w:r w:rsidRPr="00730DE4">
        <w:rPr>
          <w:lang w:val="en-US"/>
        </w:rPr>
        <w:t>Queensland Disaster Management Arrangements</w:t>
      </w:r>
      <w:bookmarkEnd w:id="1084"/>
      <w:bookmarkEnd w:id="1085"/>
      <w:bookmarkEnd w:id="1086"/>
      <w:r w:rsidRPr="00730DE4">
        <w:rPr>
          <w:lang w:val="en-US"/>
        </w:rPr>
        <w:t xml:space="preserve"> </w:t>
      </w:r>
    </w:p>
    <w:p w14:paraId="19BD3185" w14:textId="77777777" w:rsidR="00FA2FF9" w:rsidRPr="00730DE4" w:rsidRDefault="00FA2FF9" w:rsidP="00197751">
      <w:pPr>
        <w:rPr>
          <w:lang w:val="en-US"/>
        </w:rPr>
      </w:pPr>
      <w:r w:rsidRPr="00730DE4">
        <w:rPr>
          <w:lang w:val="en-US"/>
        </w:rPr>
        <w:t>Under Queensland Disaster Management Arrangements, TMR has four key functions:</w:t>
      </w:r>
    </w:p>
    <w:p w14:paraId="0A218CEB" w14:textId="77777777" w:rsidR="00FA2FF9" w:rsidRPr="00730DE4" w:rsidRDefault="00FA2FF9" w:rsidP="00197751">
      <w:pPr>
        <w:pStyle w:val="ListBullet"/>
        <w:rPr>
          <w:lang w:val="en-US"/>
        </w:rPr>
      </w:pPr>
      <w:r w:rsidRPr="00730DE4">
        <w:rPr>
          <w:lang w:val="en-US"/>
        </w:rPr>
        <w:t>provide functional support for transport systems</w:t>
      </w:r>
    </w:p>
    <w:p w14:paraId="4427BF6E" w14:textId="77777777" w:rsidR="00FA2FF9" w:rsidRPr="00730DE4" w:rsidRDefault="00FA2FF9" w:rsidP="00197751">
      <w:pPr>
        <w:pStyle w:val="ListBullet"/>
        <w:rPr>
          <w:lang w:val="en-US"/>
        </w:rPr>
      </w:pPr>
      <w:r w:rsidRPr="00730DE4">
        <w:rPr>
          <w:lang w:val="en-US"/>
        </w:rPr>
        <w:t>act as the hazard-specific lead for ship-sourced pollution events</w:t>
      </w:r>
    </w:p>
    <w:p w14:paraId="43E7B14F" w14:textId="77777777" w:rsidR="00FA2FF9" w:rsidRPr="00730DE4" w:rsidRDefault="00FA2FF9" w:rsidP="00197751">
      <w:pPr>
        <w:pStyle w:val="ListBullet"/>
        <w:rPr>
          <w:lang w:val="en-US"/>
        </w:rPr>
      </w:pPr>
      <w:r w:rsidRPr="00730DE4">
        <w:rPr>
          <w:lang w:val="en-US"/>
        </w:rPr>
        <w:t>lead recovery and reconstruction of roads and transport networks for disaster-affected communities</w:t>
      </w:r>
    </w:p>
    <w:p w14:paraId="2A89EF14" w14:textId="77777777" w:rsidR="00FA2FF9" w:rsidRPr="00730DE4" w:rsidRDefault="00FA2FF9" w:rsidP="00197751">
      <w:pPr>
        <w:pStyle w:val="ListBullet"/>
        <w:rPr>
          <w:lang w:val="en-US"/>
        </w:rPr>
      </w:pPr>
      <w:r w:rsidRPr="00730DE4">
        <w:rPr>
          <w:lang w:val="en-US"/>
        </w:rPr>
        <w:t>provide strategic oversight for the implementation and delivery of resilience initiatives.</w:t>
      </w:r>
    </w:p>
    <w:p w14:paraId="08A5A1C5" w14:textId="77777777" w:rsidR="00FA2FF9" w:rsidRPr="00730DE4" w:rsidRDefault="00FA2FF9" w:rsidP="00197751">
      <w:pPr>
        <w:rPr>
          <w:lang w:val="en-US"/>
        </w:rPr>
      </w:pPr>
      <w:r w:rsidRPr="00730DE4">
        <w:rPr>
          <w:lang w:val="en-US"/>
        </w:rPr>
        <w:t>Operationally, the Transport Network Security and Resilience (TNSR) team supports the State Disaster Coordination Centre with trained Liaison Officers and produces an Awareness Dashboard, Priority Alerts, and other targeted products and services as required for situational awareness. During the 2023–24 severe weather season, TNSR undertook disaster response activities for Ex-Tropical Cyclone Jasper and Ex-Tropical Cyclone Kirrily, along with two activations in South East Queensland and Southern Queensland for various severe weather events. A total of 26 consolidated TMR response reports were provided to the State Disaster Coordination Centre.</w:t>
      </w:r>
    </w:p>
    <w:p w14:paraId="553BAB54" w14:textId="77777777" w:rsidR="00FA2FF9" w:rsidRPr="00730DE4" w:rsidRDefault="00FA2FF9" w:rsidP="00197751">
      <w:pPr>
        <w:rPr>
          <w:lang w:val="en-US"/>
        </w:rPr>
      </w:pPr>
      <w:r w:rsidRPr="00730DE4">
        <w:rPr>
          <w:lang w:val="en-US"/>
        </w:rPr>
        <w:t>To support this work, TMR conducts an annual Pre-season Program for district and regional staff, as well as invited external key stakeholders. This program, through discussion-based exercises, provides an opportunity to strengthen networks, build capability in disruptive event response and recovery, and affirm key roles and responsibilities as outlined under Queensland Disaster Management Arrangement.</w:t>
      </w:r>
    </w:p>
    <w:p w14:paraId="6D288829" w14:textId="77777777" w:rsidR="00FA2FF9" w:rsidRPr="00730DE4" w:rsidRDefault="00FA2FF9" w:rsidP="00197751">
      <w:pPr>
        <w:rPr>
          <w:lang w:val="en-US"/>
        </w:rPr>
      </w:pPr>
      <w:r w:rsidRPr="00730DE4">
        <w:rPr>
          <w:lang w:val="en-US"/>
        </w:rPr>
        <w:t xml:space="preserve">Additionally, TMR conducts an annual exercise of its business continuity management program. This exercise offers an opportunity to review the </w:t>
      </w:r>
      <w:r w:rsidRPr="00730DE4">
        <w:rPr>
          <w:rStyle w:val="Emphasis"/>
        </w:rPr>
        <w:t>Continuity and Disruption Management Policy</w:t>
      </w:r>
      <w:r w:rsidRPr="00730DE4">
        <w:rPr>
          <w:lang w:val="en-US"/>
        </w:rPr>
        <w:t>, ensuring continued improvement and incorporation of international best practices.</w:t>
      </w:r>
    </w:p>
    <w:p w14:paraId="46FC7425" w14:textId="77777777" w:rsidR="00FA2FF9" w:rsidRPr="00730DE4" w:rsidRDefault="00FA2FF9" w:rsidP="002B7001">
      <w:pPr>
        <w:pStyle w:val="Heading3"/>
        <w:rPr>
          <w:lang w:val="en-US"/>
        </w:rPr>
      </w:pPr>
      <w:bookmarkStart w:id="1087" w:name="_Toc180487582"/>
      <w:bookmarkStart w:id="1088" w:name="_Toc180490788"/>
      <w:bookmarkStart w:id="1089" w:name="_Toc180491821"/>
      <w:r w:rsidRPr="00730DE4">
        <w:rPr>
          <w:lang w:val="en-US"/>
        </w:rPr>
        <w:t>Queensland Transport Security Program</w:t>
      </w:r>
      <w:bookmarkEnd w:id="1087"/>
      <w:bookmarkEnd w:id="1088"/>
      <w:bookmarkEnd w:id="1089"/>
    </w:p>
    <w:p w14:paraId="5E0094F8" w14:textId="77777777" w:rsidR="00FA2FF9" w:rsidRPr="00730DE4" w:rsidRDefault="00FA2FF9" w:rsidP="00197751">
      <w:r w:rsidRPr="00730DE4">
        <w:t xml:space="preserve">Under the </w:t>
      </w:r>
      <w:r w:rsidRPr="00730DE4">
        <w:rPr>
          <w:rStyle w:val="Emphasis"/>
        </w:rPr>
        <w:t>National Counter-Terrorism Plan</w:t>
      </w:r>
      <w:r w:rsidRPr="00730DE4">
        <w:t xml:space="preserve"> and an Intergovernmental Agreement on Surface Transport Security, TMR has primary responsibility for surface transport security, including rail, ferries, and buses.</w:t>
      </w:r>
    </w:p>
    <w:p w14:paraId="575FCCA7" w14:textId="77777777" w:rsidR="00FA2FF9" w:rsidRPr="00730DE4" w:rsidRDefault="00FA2FF9" w:rsidP="00197751">
      <w:pPr>
        <w:rPr>
          <w:lang w:val="en-US"/>
        </w:rPr>
      </w:pPr>
      <w:r w:rsidRPr="00730DE4">
        <w:rPr>
          <w:lang w:val="en-US"/>
        </w:rPr>
        <w:t>The department works in partnership with QPS, the surface transport industry, and local, state, and federal governments to ensure a secure transport environment. Key initiatives include:</w:t>
      </w:r>
    </w:p>
    <w:p w14:paraId="113B055A" w14:textId="77777777" w:rsidR="00FA2FF9" w:rsidRPr="00730DE4" w:rsidRDefault="00FA2FF9" w:rsidP="0073557D">
      <w:pPr>
        <w:pStyle w:val="ListBullet"/>
      </w:pPr>
      <w:r w:rsidRPr="00730DE4">
        <w:rPr>
          <w:rStyle w:val="Strong"/>
          <w:b w:val="0"/>
          <w:bCs w:val="0"/>
        </w:rPr>
        <w:t>regulating security-Identified surface transport operations—enforcing</w:t>
      </w:r>
      <w:r w:rsidRPr="00730DE4">
        <w:t xml:space="preserve"> the </w:t>
      </w:r>
      <w:r w:rsidRPr="00730DE4">
        <w:rPr>
          <w:rStyle w:val="Emphasis"/>
        </w:rPr>
        <w:t>Transport Security (Counter-Terrorism) Act 2008</w:t>
      </w:r>
      <w:r w:rsidRPr="00730DE4">
        <w:t xml:space="preserve"> to ensure compliance and safety</w:t>
      </w:r>
    </w:p>
    <w:p w14:paraId="204909A4" w14:textId="77777777" w:rsidR="00FA2FF9" w:rsidRPr="00730DE4" w:rsidRDefault="00FA2FF9" w:rsidP="0073557D">
      <w:pPr>
        <w:pStyle w:val="ListBullet"/>
      </w:pPr>
      <w:r w:rsidRPr="00730DE4">
        <w:rPr>
          <w:rStyle w:val="Strong"/>
          <w:b w:val="0"/>
          <w:bCs w:val="0"/>
        </w:rPr>
        <w:t>transport precinct security program</w:t>
      </w:r>
      <w:r w:rsidRPr="00730DE4">
        <w:t>—leading efforts to support an integrated and consistent approach to security and emergency management, including incident reporting, response procedures, and evacuations</w:t>
      </w:r>
    </w:p>
    <w:p w14:paraId="2D03980B" w14:textId="77777777" w:rsidR="00FA2FF9" w:rsidRPr="00730DE4" w:rsidRDefault="00FA2FF9" w:rsidP="0073557D">
      <w:pPr>
        <w:pStyle w:val="ListBullet"/>
      </w:pPr>
      <w:r w:rsidRPr="00730DE4">
        <w:rPr>
          <w:rStyle w:val="Strong"/>
          <w:b w:val="0"/>
          <w:bCs w:val="0"/>
        </w:rPr>
        <w:t>Capability-focused engagement program</w:t>
      </w:r>
      <w:r w:rsidRPr="00730DE4">
        <w:t>—supporting passenger transport operators and transport hubs through various engagements such as communities of practice, committee meetings, threat briefings, exercises, and workshops</w:t>
      </w:r>
    </w:p>
    <w:p w14:paraId="7DECB210" w14:textId="77777777" w:rsidR="00FA2FF9" w:rsidRPr="00730DE4" w:rsidRDefault="00FA2FF9" w:rsidP="0073557D">
      <w:pPr>
        <w:pStyle w:val="ListBullet"/>
      </w:pPr>
      <w:r w:rsidRPr="00730DE4">
        <w:rPr>
          <w:rStyle w:val="Strong"/>
          <w:b w:val="0"/>
          <w:bCs w:val="0"/>
        </w:rPr>
        <w:t>Nationally funded security exercises</w:t>
      </w:r>
      <w:r w:rsidRPr="00730DE4">
        <w:t>—conducting security exercises across Brisbane and Gold Coast CBDs, allowing numerous stakeholders from industry and government to test their ability to detect and report suspicious activity on the passenger network</w:t>
      </w:r>
    </w:p>
    <w:p w14:paraId="7C78085E" w14:textId="77777777" w:rsidR="00FA2FF9" w:rsidRPr="00730DE4" w:rsidRDefault="00FA2FF9" w:rsidP="0073557D">
      <w:pPr>
        <w:pStyle w:val="ListBullet"/>
      </w:pPr>
      <w:r w:rsidRPr="00730DE4">
        <w:rPr>
          <w:rStyle w:val="Strong"/>
          <w:b w:val="0"/>
          <w:bCs w:val="0"/>
        </w:rPr>
        <w:t>Committee membership</w:t>
      </w:r>
      <w:r w:rsidRPr="00730DE4">
        <w:t>—participating in national and state committees, including the Queensland Security and Counter-Terrorism Committee, Critical Infrastructure Resilience Working Group, and the Trusted Information Sharing Network Land Transport Security Group</w:t>
      </w:r>
    </w:p>
    <w:p w14:paraId="23E60865" w14:textId="77777777" w:rsidR="00FA2FF9" w:rsidRPr="00730DE4" w:rsidRDefault="00FA2FF9" w:rsidP="0073557D">
      <w:pPr>
        <w:pStyle w:val="ListBullet"/>
      </w:pPr>
      <w:r w:rsidRPr="00730DE4">
        <w:rPr>
          <w:rStyle w:val="Strong"/>
          <w:b w:val="0"/>
          <w:bCs w:val="0"/>
        </w:rPr>
        <w:t>Protective security framework</w:t>
      </w:r>
      <w:r w:rsidRPr="00730DE4">
        <w:t>—piloting and implementing a framework to protect TMR's people, information, and assets.</w:t>
      </w:r>
    </w:p>
    <w:p w14:paraId="4ADCC31D" w14:textId="77777777" w:rsidR="00FA2FF9" w:rsidRPr="00730DE4" w:rsidRDefault="00FA2FF9" w:rsidP="002B7001">
      <w:pPr>
        <w:pStyle w:val="Heading3"/>
      </w:pPr>
      <w:bookmarkStart w:id="1090" w:name="_Toc180487583"/>
      <w:bookmarkStart w:id="1091" w:name="_Toc180490789"/>
      <w:bookmarkStart w:id="1092" w:name="_Toc180491822"/>
      <w:r w:rsidRPr="00730DE4">
        <w:t>Information and Communications Technology Asset Disaster Recovery</w:t>
      </w:r>
      <w:bookmarkEnd w:id="1090"/>
      <w:bookmarkEnd w:id="1091"/>
      <w:bookmarkEnd w:id="1092"/>
    </w:p>
    <w:p w14:paraId="123600C3" w14:textId="77777777" w:rsidR="00FA2FF9" w:rsidRPr="00730DE4" w:rsidRDefault="00FA2FF9" w:rsidP="00197751">
      <w:r w:rsidRPr="00730DE4">
        <w:t xml:space="preserve">ICT Asset Disaster Recovery Plans play a vital role in maintaining resilient and highly available ICT systems that support frontline employees and ensure essential services are provided to the community. </w:t>
      </w:r>
    </w:p>
    <w:p w14:paraId="3CC7E86B" w14:textId="77777777" w:rsidR="00FA2FF9" w:rsidRPr="00730DE4" w:rsidRDefault="00FA2FF9" w:rsidP="00197751">
      <w:pPr>
        <w:rPr>
          <w:lang w:val="en-US"/>
        </w:rPr>
      </w:pPr>
      <w:r w:rsidRPr="00730DE4">
        <w:rPr>
          <w:lang w:val="en-US"/>
        </w:rPr>
        <w:t xml:space="preserve">In 2023–24, TMR focused on enhancing the capability and resiliency of vital systems due to the escalating threat of cyber-attacks, as evidenced by high-profile breaches during this period. </w:t>
      </w:r>
    </w:p>
    <w:p w14:paraId="5C2C37D2" w14:textId="77777777" w:rsidR="00FA2FF9" w:rsidRPr="00730DE4" w:rsidRDefault="00FA2FF9" w:rsidP="00197751">
      <w:pPr>
        <w:rPr>
          <w:lang w:val="en-US"/>
        </w:rPr>
      </w:pPr>
      <w:r w:rsidRPr="00730DE4">
        <w:rPr>
          <w:lang w:val="en-US"/>
        </w:rPr>
        <w:t>Key focus areas in 2023–24:</w:t>
      </w:r>
    </w:p>
    <w:p w14:paraId="27666329" w14:textId="77777777" w:rsidR="00FA2FF9" w:rsidRPr="00730DE4" w:rsidRDefault="00FA2FF9" w:rsidP="00197751">
      <w:pPr>
        <w:pStyle w:val="ListBullet"/>
        <w:rPr>
          <w:lang w:val="en-US"/>
        </w:rPr>
      </w:pPr>
      <w:r w:rsidRPr="00730DE4">
        <w:rPr>
          <w:lang w:val="en-US"/>
        </w:rPr>
        <w:t>ongoing cyber awareness campaigns and training with continual education to improve staff awareness and responsiveness to cyber threats</w:t>
      </w:r>
    </w:p>
    <w:p w14:paraId="1DF6D6A4" w14:textId="77777777" w:rsidR="00FA2FF9" w:rsidRPr="00730DE4" w:rsidRDefault="00FA2FF9" w:rsidP="00197751">
      <w:pPr>
        <w:pStyle w:val="ListBullet"/>
        <w:rPr>
          <w:lang w:val="en-US"/>
        </w:rPr>
      </w:pPr>
      <w:r w:rsidRPr="00730DE4">
        <w:rPr>
          <w:lang w:val="en-US"/>
        </w:rPr>
        <w:t>reconfirming security requirements with key service delivery partners ensuring all partners adhere to stringent security standards</w:t>
      </w:r>
    </w:p>
    <w:p w14:paraId="219514A4" w14:textId="77777777" w:rsidR="00FA2FF9" w:rsidRPr="00730DE4" w:rsidRDefault="00FA2FF9" w:rsidP="00197751">
      <w:pPr>
        <w:pStyle w:val="ListBullet"/>
        <w:rPr>
          <w:lang w:val="en-US"/>
        </w:rPr>
      </w:pPr>
      <w:r w:rsidRPr="00730DE4">
        <w:rPr>
          <w:lang w:val="en-US"/>
        </w:rPr>
        <w:t>ongoing disaster recovery scenario activities including conducting exercises across government and with selected partners to test and improve disaster recover processes.</w:t>
      </w:r>
    </w:p>
    <w:p w14:paraId="6F45A0DB" w14:textId="77777777" w:rsidR="00FA2FF9" w:rsidRPr="00730DE4" w:rsidRDefault="00FA2FF9" w:rsidP="00197751">
      <w:pPr>
        <w:rPr>
          <w:lang w:val="en-US"/>
        </w:rPr>
      </w:pPr>
      <w:r w:rsidRPr="00730DE4">
        <w:rPr>
          <w:lang w:val="en-US"/>
        </w:rPr>
        <w:t xml:space="preserve">Key achievements in 2023–24: </w:t>
      </w:r>
    </w:p>
    <w:p w14:paraId="5D38E41F" w14:textId="77777777" w:rsidR="00FA2FF9" w:rsidRPr="00730DE4" w:rsidRDefault="00FA2FF9" w:rsidP="00197751">
      <w:pPr>
        <w:pStyle w:val="ListBullet"/>
        <w:rPr>
          <w:lang w:val="en-US"/>
        </w:rPr>
      </w:pPr>
      <w:r w:rsidRPr="00730DE4">
        <w:rPr>
          <w:lang w:val="en-US"/>
        </w:rPr>
        <w:t>investment in the ISMS—enhancing the framework for managing information security</w:t>
      </w:r>
    </w:p>
    <w:p w14:paraId="6A946F1F" w14:textId="77777777" w:rsidR="00FA2FF9" w:rsidRPr="00730DE4" w:rsidRDefault="00FA2FF9" w:rsidP="00197751">
      <w:pPr>
        <w:pStyle w:val="ListBullet"/>
        <w:rPr>
          <w:lang w:val="en-US"/>
        </w:rPr>
      </w:pPr>
      <w:r w:rsidRPr="00730DE4">
        <w:rPr>
          <w:lang w:val="en-US"/>
        </w:rPr>
        <w:t>maturity of ICT resilience practices—improving resilience and disaster recovery capabilities</w:t>
      </w:r>
    </w:p>
    <w:p w14:paraId="5B77EDBF" w14:textId="77777777" w:rsidR="00FA2FF9" w:rsidRPr="00730DE4" w:rsidRDefault="00FA2FF9" w:rsidP="00197751">
      <w:pPr>
        <w:pStyle w:val="ListBullet"/>
        <w:rPr>
          <w:lang w:val="en-US"/>
        </w:rPr>
      </w:pPr>
      <w:r w:rsidRPr="00730DE4">
        <w:rPr>
          <w:lang w:val="en-US"/>
        </w:rPr>
        <w:t>migration to the cloud—continuing to transition departmental services to cloud platforms</w:t>
      </w:r>
    </w:p>
    <w:p w14:paraId="22E8B166" w14:textId="77777777" w:rsidR="00FA2FF9" w:rsidRPr="00730DE4" w:rsidRDefault="00FA2FF9" w:rsidP="00197751">
      <w:pPr>
        <w:pStyle w:val="ListBullet"/>
        <w:rPr>
          <w:lang w:val="en-US"/>
        </w:rPr>
      </w:pPr>
      <w:r w:rsidRPr="00730DE4">
        <w:rPr>
          <w:lang w:val="en-US"/>
        </w:rPr>
        <w:t>expansion of microservices—breaking down monolithic systems to enhance resiliency and flexibility of solutions, and leveraging newer technologies</w:t>
      </w:r>
    </w:p>
    <w:p w14:paraId="53EA56F1" w14:textId="77777777" w:rsidR="00FA2FF9" w:rsidRPr="00730DE4" w:rsidRDefault="00FA2FF9" w:rsidP="00197751">
      <w:pPr>
        <w:pStyle w:val="ListBullet"/>
        <w:rPr>
          <w:lang w:val="en-US"/>
        </w:rPr>
      </w:pPr>
      <w:r w:rsidRPr="00730DE4">
        <w:rPr>
          <w:lang w:val="en-US"/>
        </w:rPr>
        <w:t>secondary data centre migration—updating backup ICT infrastructure to a state-of-the-art secondary data centre to ensure uninterrupted service delivery, security, and efficiency.</w:t>
      </w:r>
    </w:p>
    <w:p w14:paraId="601640ED" w14:textId="77777777" w:rsidR="00FA2FF9" w:rsidRPr="00730DE4" w:rsidRDefault="00FA2FF9" w:rsidP="00197751">
      <w:pPr>
        <w:rPr>
          <w:lang w:val="en-US"/>
        </w:rPr>
      </w:pPr>
      <w:r w:rsidRPr="00730DE4">
        <w:rPr>
          <w:lang w:val="en-US"/>
        </w:rPr>
        <w:t>These efforts underscore the department's commitment to maintaining robust and secure ICT systems capable of withstanding and recovering from cyber treats and other disruptions.</w:t>
      </w:r>
    </w:p>
    <w:p w14:paraId="50C5BB15" w14:textId="77777777" w:rsidR="00FA2FF9" w:rsidRPr="00730DE4" w:rsidRDefault="00FA2FF9" w:rsidP="002B7001">
      <w:pPr>
        <w:pStyle w:val="Heading3"/>
      </w:pPr>
      <w:bookmarkStart w:id="1093" w:name="_Toc180487584"/>
      <w:bookmarkStart w:id="1094" w:name="_Toc180490790"/>
      <w:bookmarkStart w:id="1095" w:name="_Toc180491823"/>
      <w:r w:rsidRPr="00730DE4">
        <w:t>Case Study: Traffic Management Centres key to safety during natural disasters</w:t>
      </w:r>
      <w:bookmarkEnd w:id="1093"/>
      <w:bookmarkEnd w:id="1094"/>
      <w:bookmarkEnd w:id="1095"/>
    </w:p>
    <w:p w14:paraId="4CA6FF8D" w14:textId="77777777" w:rsidR="00FA2FF9" w:rsidRPr="00730DE4" w:rsidRDefault="00FA2FF9" w:rsidP="00197751">
      <w:r w:rsidRPr="00730DE4">
        <w:t xml:space="preserve">During the 2023–24 summer season, Queensland encountered a variety of extreme weather scenarios. These included heatwaves, droughts, bushfires, cyclones, and severe storm cells. </w:t>
      </w:r>
    </w:p>
    <w:p w14:paraId="3DA6A5C8" w14:textId="77777777" w:rsidR="00FA2FF9" w:rsidRPr="00730DE4" w:rsidRDefault="00FA2FF9" w:rsidP="00197751">
      <w:r w:rsidRPr="00730DE4">
        <w:t>During these testing times, TMR's Traffic Management Centres played a crucial role in managing Queensland’s vast road network. Over a span of two months, the state experienced widespread road closures and significant disruptions to its traffic signal infrastructure. These challenges spread across the state from Wujal Wujal in the Far North, Cloncurry in the west, to Gold Coast in the south. Collaboration between the Traffic Management Centre's, maintenance providers, QPS, Queensland Fire and Emergency Services, electricity providers, and local authorities ensured a safe and prompt restoration of road operations.</w:t>
      </w:r>
    </w:p>
    <w:p w14:paraId="3D32B02A" w14:textId="77777777" w:rsidR="00FA2FF9" w:rsidRPr="00730DE4" w:rsidRDefault="00FA2FF9" w:rsidP="00197751">
      <w:r w:rsidRPr="00730DE4">
        <w:t>By making use of the Intelligent Transport System devices and communication networks, the Traffic Management Centre's were successful in gathering and disseminating critical road condition information to road users. This timely and precise information was essential during the decision-making processes of multiple agencies involved in response and recovery efforts.</w:t>
      </w:r>
    </w:p>
    <w:p w14:paraId="405D4BA5" w14:textId="77777777" w:rsidR="00B13631" w:rsidRPr="00730DE4" w:rsidRDefault="00B13631">
      <w:pPr>
        <w:suppressAutoHyphens w:val="0"/>
        <w:spacing w:before="0" w:line="259" w:lineRule="auto"/>
        <w:rPr>
          <w:rFonts w:eastAsiaTheme="majorEastAsia" w:cstheme="majorBidi"/>
          <w:b/>
          <w:color w:val="080C0F" w:themeColor="text1"/>
          <w:sz w:val="72"/>
          <w:szCs w:val="36"/>
        </w:rPr>
      </w:pPr>
      <w:r w:rsidRPr="00730DE4">
        <w:br w:type="page"/>
      </w:r>
    </w:p>
    <w:p w14:paraId="1CC0236C" w14:textId="1181EC92" w:rsidR="00FA2FF9" w:rsidRPr="00730DE4" w:rsidRDefault="00FA2FF9" w:rsidP="002B7001">
      <w:pPr>
        <w:pStyle w:val="Heading1"/>
      </w:pPr>
      <w:bookmarkStart w:id="1096" w:name="_Toc180490791"/>
      <w:bookmarkStart w:id="1097" w:name="_Toc180491824"/>
      <w:r w:rsidRPr="00730DE4">
        <w:t>Customer and Digital</w:t>
      </w:r>
      <w:bookmarkEnd w:id="1096"/>
      <w:bookmarkEnd w:id="1097"/>
    </w:p>
    <w:p w14:paraId="72B5B307" w14:textId="489FCF57" w:rsidR="00BF3B98" w:rsidRPr="00730DE4" w:rsidRDefault="00BF3B98" w:rsidP="00BF3B98">
      <w:r w:rsidRPr="00730DE4">
        <w:t>To read more about the strategies and indicators of success linked to these strategic priorities, see page 19–30.</w:t>
      </w:r>
    </w:p>
    <w:p w14:paraId="121BB43D" w14:textId="77777777" w:rsidR="00FA2FF9" w:rsidRPr="00730DE4" w:rsidRDefault="00FA2FF9" w:rsidP="002B7001">
      <w:pPr>
        <w:pStyle w:val="Heading2"/>
      </w:pPr>
      <w:bookmarkStart w:id="1098" w:name="_Toc180490792"/>
      <w:bookmarkStart w:id="1099" w:name="_Toc180491825"/>
      <w:r w:rsidRPr="00730DE4">
        <w:t>Highlights</w:t>
      </w:r>
      <w:bookmarkEnd w:id="1098"/>
      <w:bookmarkEnd w:id="1099"/>
    </w:p>
    <w:p w14:paraId="4BDE3F02" w14:textId="77777777" w:rsidR="00FA2FF9" w:rsidRPr="00730DE4" w:rsidRDefault="00FA2FF9" w:rsidP="00EB07F1">
      <w:pPr>
        <w:pStyle w:val="ListBullet"/>
      </w:pPr>
      <w:r w:rsidRPr="00730DE4">
        <w:t>Developed guidance for Queensland Government agencies in the use of generative AI, supported by an AI tool developed specifically for the Queensland Government.</w:t>
      </w:r>
    </w:p>
    <w:p w14:paraId="28240812" w14:textId="77777777" w:rsidR="00FA2FF9" w:rsidRPr="00730DE4" w:rsidRDefault="00FA2FF9" w:rsidP="00EB07F1">
      <w:pPr>
        <w:pStyle w:val="ListBullet"/>
      </w:pPr>
      <w:r w:rsidRPr="00730DE4">
        <w:t>QGCDG Wireless Network Contract Directorate, in partnership with the NSW Telco Authority, won the Major Project Award for the Interstate Roaming Service at the Australian Radio Communications Industry Association Industry Excellence Awards.</w:t>
      </w:r>
    </w:p>
    <w:p w14:paraId="095653F0" w14:textId="77777777" w:rsidR="00FA2FF9" w:rsidRPr="00730DE4" w:rsidRDefault="00FA2FF9" w:rsidP="00EB07F1">
      <w:pPr>
        <w:pStyle w:val="ListBullet"/>
      </w:pPr>
      <w:r w:rsidRPr="00730DE4">
        <w:t>QGCDG’s CSU, through its Cyber Enhancement and Partnerships Program, continued to work with departments, statutory bodies, local government, and other Queensland Government entities to provide tools and advice to support an uplift in their cyber security.</w:t>
      </w:r>
    </w:p>
    <w:p w14:paraId="4FDED6E8" w14:textId="77777777" w:rsidR="00FA2FF9" w:rsidRPr="00730DE4" w:rsidRDefault="00FA2FF9" w:rsidP="00EB07F1">
      <w:pPr>
        <w:pStyle w:val="ListBullet"/>
      </w:pPr>
      <w:r w:rsidRPr="00730DE4">
        <w:t>CAA successfully implemented the EFTSure Vendor Onboarding and Verification system for CAA and customers that utilise CAA’s vendor maintenance service. It has removed the need for staff to undertake manual independent verification of vendor details such as banking information and helps safeguard against payment fraud attempts.</w:t>
      </w:r>
    </w:p>
    <w:p w14:paraId="32E76F61" w14:textId="77777777" w:rsidR="00FA2FF9" w:rsidRPr="00730DE4" w:rsidRDefault="00FA2FF9" w:rsidP="00EB07F1">
      <w:pPr>
        <w:pStyle w:val="ListBullet"/>
      </w:pPr>
      <w:r w:rsidRPr="00730DE4">
        <w:t>QSS celebrated 20 years of shared services—providing payroll and financial services to 47 entities across the Queensland public sector.</w:t>
      </w:r>
    </w:p>
    <w:p w14:paraId="73A8A1B2" w14:textId="77777777" w:rsidR="00FA2FF9" w:rsidRPr="00730DE4" w:rsidRDefault="00FA2FF9" w:rsidP="00EB07F1">
      <w:pPr>
        <w:pStyle w:val="ListBullet"/>
      </w:pPr>
      <w:r w:rsidRPr="00730DE4">
        <w:t xml:space="preserve">Implemented a new </w:t>
      </w:r>
      <w:r w:rsidRPr="00730DE4">
        <w:rPr>
          <w:rStyle w:val="Emphasis"/>
        </w:rPr>
        <w:t>Digital Investment Governance Framework</w:t>
      </w:r>
      <w:r w:rsidRPr="00730DE4">
        <w:t xml:space="preserve"> for the Queensland Government, aiming to reduce duplication, increase reusability and collaboration between agencies, and mitigate technology system risks.</w:t>
      </w:r>
    </w:p>
    <w:p w14:paraId="2750121E" w14:textId="77777777" w:rsidR="00FA2FF9" w:rsidRPr="00730DE4" w:rsidRDefault="00FA2FF9" w:rsidP="00EB07F1">
      <w:pPr>
        <w:pStyle w:val="ListBullet"/>
      </w:pPr>
      <w:r w:rsidRPr="00730DE4">
        <w:t>Smart Service Queensland won the award for the Customer Experience Initiative of the year, Digital Transformation category, at the Auscontact National Excellence Awards for the TMR Live Messaging Pilot.</w:t>
      </w:r>
    </w:p>
    <w:p w14:paraId="45D3C477" w14:textId="77777777" w:rsidR="00FA2FF9" w:rsidRPr="00730DE4" w:rsidRDefault="00FA2FF9" w:rsidP="00EB07F1">
      <w:pPr>
        <w:pStyle w:val="ListBullet"/>
      </w:pPr>
      <w:r w:rsidRPr="00730DE4">
        <w:t>Supported the Queensland Government’s disaster response and community recovery efforts for Queenslanders impacted by weather events by answering 17,880 SES calls and 103,078 Community Recovery calls—in addition to wide range of support services.</w:t>
      </w:r>
    </w:p>
    <w:p w14:paraId="03FB1E98" w14:textId="77777777" w:rsidR="005B60B8" w:rsidRDefault="005B60B8" w:rsidP="00EB07F1">
      <w:pPr>
        <w:pStyle w:val="ListBullet"/>
      </w:pPr>
      <w:r>
        <w:br w:type="page"/>
      </w:r>
    </w:p>
    <w:p w14:paraId="6824F294" w14:textId="3A7DB7A6" w:rsidR="00FA2FF9" w:rsidRPr="00730DE4" w:rsidRDefault="00FA2FF9" w:rsidP="00EB07F1">
      <w:pPr>
        <w:pStyle w:val="ListBullet"/>
      </w:pPr>
      <w:r w:rsidRPr="00730DE4">
        <w:t xml:space="preserve">Lead continued implementation of the </w:t>
      </w:r>
      <w:r w:rsidRPr="00730DE4">
        <w:rPr>
          <w:rStyle w:val="Emphasis"/>
        </w:rPr>
        <w:t>Our Thriving Digital Future: 2023–26 Action Plan,</w:t>
      </w:r>
      <w:r w:rsidRPr="00730DE4">
        <w:t xml:space="preserve"> which provides $120 million to improve statewide digital connectivity.</w:t>
      </w:r>
    </w:p>
    <w:p w14:paraId="6C7B0070" w14:textId="77777777" w:rsidR="00FA2FF9" w:rsidRPr="00730DE4" w:rsidRDefault="00FA2FF9" w:rsidP="00EB07F1">
      <w:pPr>
        <w:pStyle w:val="ListBullet"/>
      </w:pPr>
      <w:r w:rsidRPr="00730DE4">
        <w:t>In partnership with organisations including TAFE Queensland and AusCert, the CSU continued to develop and implement capability initiatives aimed at entry level, practitioner, and executives with 42 training offerings were delivered to 339 attendees across the state.</w:t>
      </w:r>
    </w:p>
    <w:p w14:paraId="45CCBF60" w14:textId="517C3F21" w:rsidR="00B13631" w:rsidRPr="00730DE4" w:rsidRDefault="00FA2FF9" w:rsidP="00C76211">
      <w:pPr>
        <w:pStyle w:val="ListBullet"/>
      </w:pPr>
      <w:r w:rsidRPr="00730DE4">
        <w:t>Welcomed 54 graduates in 2023 and 83 in 2024 through the Queensland Government Digital Graduate Program.</w:t>
      </w:r>
    </w:p>
    <w:p w14:paraId="319C17C4" w14:textId="77777777" w:rsidR="005B60B8" w:rsidRDefault="005B60B8" w:rsidP="002B7001">
      <w:pPr>
        <w:pStyle w:val="Heading2"/>
      </w:pPr>
      <w:r>
        <w:br w:type="page"/>
      </w:r>
    </w:p>
    <w:p w14:paraId="5AD694EC" w14:textId="2FB0EDB5" w:rsidR="00FA2FF9" w:rsidRPr="00730DE4" w:rsidRDefault="00FA2FF9" w:rsidP="002B7001">
      <w:pPr>
        <w:pStyle w:val="Heading2"/>
      </w:pPr>
      <w:bookmarkStart w:id="1100" w:name="_Toc180490793"/>
      <w:bookmarkStart w:id="1101" w:name="_Toc180491826"/>
      <w:r w:rsidRPr="00730DE4">
        <w:t>Digital government</w:t>
      </w:r>
      <w:bookmarkEnd w:id="1100"/>
      <w:bookmarkEnd w:id="1101"/>
    </w:p>
    <w:p w14:paraId="751C13C6" w14:textId="77777777" w:rsidR="00FA2FF9" w:rsidRPr="00730DE4" w:rsidRDefault="00FA2FF9" w:rsidP="002B7001">
      <w:pPr>
        <w:pStyle w:val="Heading3"/>
        <w:rPr>
          <w:lang w:val="en-US"/>
        </w:rPr>
      </w:pPr>
      <w:bookmarkStart w:id="1102" w:name="_Toc180487588"/>
      <w:bookmarkStart w:id="1103" w:name="_Toc180490794"/>
      <w:bookmarkStart w:id="1104" w:name="_Toc180491827"/>
      <w:r w:rsidRPr="00730DE4">
        <w:rPr>
          <w:lang w:val="en-US"/>
        </w:rPr>
        <w:t>Artificial Intelligence</w:t>
      </w:r>
      <w:bookmarkEnd w:id="1102"/>
      <w:bookmarkEnd w:id="1103"/>
      <w:bookmarkEnd w:id="1104"/>
    </w:p>
    <w:p w14:paraId="512F7E4D" w14:textId="77777777" w:rsidR="00FA2FF9" w:rsidRPr="00730DE4" w:rsidRDefault="00FA2FF9" w:rsidP="006C15F0">
      <w:r w:rsidRPr="00730DE4">
        <w:rPr>
          <w:lang w:val="en-US"/>
        </w:rPr>
        <w:t>Generative AI</w:t>
      </w:r>
      <w:r w:rsidRPr="00730DE4">
        <w:t xml:space="preserve"> represents a significant opportunity to improve productivity and deliver better services to the community</w:t>
      </w:r>
      <w:r w:rsidRPr="00730DE4">
        <w:rPr>
          <w:lang w:val="en-US"/>
        </w:rPr>
        <w:t>. QGCDG is working to manage risks associated with its use across the Queensland Government</w:t>
      </w:r>
      <w:r w:rsidRPr="00730DE4">
        <w:t xml:space="preserve">. </w:t>
      </w:r>
    </w:p>
    <w:p w14:paraId="260D350E" w14:textId="77777777" w:rsidR="00FA2FF9" w:rsidRPr="00730DE4" w:rsidRDefault="00FA2FF9" w:rsidP="006C15F0">
      <w:pPr>
        <w:rPr>
          <w:lang w:val="en-US"/>
        </w:rPr>
      </w:pPr>
      <w:r w:rsidRPr="00730DE4">
        <w:rPr>
          <w:lang w:val="en-US"/>
        </w:rPr>
        <w:t xml:space="preserve">In 2023–24, the QGCDG developed guidance for Queensland Government agencies in the use of generative AI, supported by an AI tool developed specifically for the Queensland Government. QChat, a service similar to ChatGPT, </w:t>
      </w:r>
      <w:r w:rsidRPr="00730DE4">
        <w:t>allows agencies to use a Large Language Model in a managed, secure</w:t>
      </w:r>
      <w:r w:rsidRPr="00730DE4">
        <w:rPr>
          <w:lang w:val="en-US"/>
        </w:rPr>
        <w:t>,</w:t>
      </w:r>
      <w:r w:rsidRPr="00730DE4">
        <w:t xml:space="preserve"> and controlled environment</w:t>
      </w:r>
      <w:r w:rsidRPr="00730DE4">
        <w:rPr>
          <w:lang w:val="en-US"/>
        </w:rPr>
        <w:t xml:space="preserve">. Queensland is the first jurisdiction to develop a secure government AI tool. </w:t>
      </w:r>
    </w:p>
    <w:p w14:paraId="63B90ED5" w14:textId="77777777" w:rsidR="00FA2FF9" w:rsidRPr="00730DE4" w:rsidRDefault="00FA2FF9" w:rsidP="006C15F0">
      <w:r w:rsidRPr="00730DE4">
        <w:rPr>
          <w:lang w:val="en-US"/>
        </w:rPr>
        <w:t xml:space="preserve">QGCDG continued to represent the </w:t>
      </w:r>
      <w:r w:rsidRPr="00730DE4">
        <w:t xml:space="preserve">Queensland Government </w:t>
      </w:r>
      <w:r w:rsidRPr="00730DE4">
        <w:rPr>
          <w:lang w:val="en-US"/>
        </w:rPr>
        <w:t xml:space="preserve">at the national level, </w:t>
      </w:r>
      <w:r w:rsidRPr="00730DE4">
        <w:t>work</w:t>
      </w:r>
      <w:r w:rsidRPr="00730DE4">
        <w:rPr>
          <w:lang w:val="en-US"/>
        </w:rPr>
        <w:t>ing</w:t>
      </w:r>
      <w:r w:rsidRPr="00730DE4">
        <w:t xml:space="preserve"> with all states, territories</w:t>
      </w:r>
      <w:r w:rsidRPr="00730DE4">
        <w:rPr>
          <w:lang w:val="en-US"/>
        </w:rPr>
        <w:t>,</w:t>
      </w:r>
      <w:r w:rsidRPr="00730DE4">
        <w:t xml:space="preserve"> and the Australian Government on </w:t>
      </w:r>
      <w:r w:rsidRPr="00730DE4">
        <w:rPr>
          <w:lang w:val="en-US"/>
        </w:rPr>
        <w:t xml:space="preserve">a common approach to </w:t>
      </w:r>
      <w:r w:rsidRPr="00730DE4">
        <w:t>the safe, ethical</w:t>
      </w:r>
      <w:r w:rsidRPr="00730DE4">
        <w:rPr>
          <w:lang w:val="en-US"/>
        </w:rPr>
        <w:t>,</w:t>
      </w:r>
      <w:r w:rsidRPr="00730DE4">
        <w:t xml:space="preserve"> and secure use of AI through the national Data and Digital Ministers’ Meeting.</w:t>
      </w:r>
    </w:p>
    <w:p w14:paraId="4D7AFCC9" w14:textId="77777777" w:rsidR="00FA2FF9" w:rsidRPr="00730DE4" w:rsidRDefault="00FA2FF9" w:rsidP="002B7001">
      <w:pPr>
        <w:pStyle w:val="Heading3"/>
        <w:rPr>
          <w:lang w:val="en-US"/>
        </w:rPr>
      </w:pPr>
      <w:bookmarkStart w:id="1105" w:name="_Toc180487589"/>
      <w:bookmarkStart w:id="1106" w:name="_Toc180490795"/>
      <w:bookmarkStart w:id="1107" w:name="_Toc180491828"/>
      <w:r w:rsidRPr="00730DE4">
        <w:rPr>
          <w:lang w:val="en-US"/>
        </w:rPr>
        <w:t>Government Wireless Network project award win</w:t>
      </w:r>
      <w:bookmarkEnd w:id="1105"/>
      <w:bookmarkEnd w:id="1106"/>
      <w:bookmarkEnd w:id="1107"/>
    </w:p>
    <w:p w14:paraId="02408B15" w14:textId="77777777" w:rsidR="00FA2FF9" w:rsidRPr="00730DE4" w:rsidRDefault="00FA2FF9" w:rsidP="006C15F0">
      <w:pPr>
        <w:rPr>
          <w:lang w:val="en-US"/>
        </w:rPr>
      </w:pPr>
      <w:r w:rsidRPr="00730DE4">
        <w:rPr>
          <w:lang w:val="en-US"/>
        </w:rPr>
        <w:t xml:space="preserve">In October 2023, QGCDG </w:t>
      </w:r>
      <w:r w:rsidRPr="00730DE4">
        <w:t>Wireless Network</w:t>
      </w:r>
      <w:r w:rsidRPr="00730DE4">
        <w:rPr>
          <w:lang w:val="en-US"/>
        </w:rPr>
        <w:t xml:space="preserve"> </w:t>
      </w:r>
      <w:r w:rsidRPr="00730DE4">
        <w:t xml:space="preserve">Contract Directorate and NSW Telco Authority’s joint nomination for the Interstate Roaming Service won the Major Project Award at the Australian Radio </w:t>
      </w:r>
      <w:r w:rsidRPr="00730DE4">
        <w:rPr>
          <w:lang w:val="en-US"/>
        </w:rPr>
        <w:t>C</w:t>
      </w:r>
      <w:r w:rsidRPr="00730DE4">
        <w:t>ommunications</w:t>
      </w:r>
      <w:r w:rsidRPr="00730DE4">
        <w:rPr>
          <w:lang w:val="en-US"/>
        </w:rPr>
        <w:t xml:space="preserve"> </w:t>
      </w:r>
      <w:r w:rsidRPr="00730DE4">
        <w:t>Industry Association</w:t>
      </w:r>
      <w:r w:rsidRPr="00730DE4">
        <w:rPr>
          <w:lang w:val="en-US"/>
        </w:rPr>
        <w:t xml:space="preserve"> </w:t>
      </w:r>
      <w:r w:rsidRPr="00730DE4">
        <w:t>Industry Excellence Awards</w:t>
      </w:r>
      <w:r w:rsidRPr="00730DE4">
        <w:rPr>
          <w:lang w:val="en-US"/>
        </w:rPr>
        <w:t>.</w:t>
      </w:r>
    </w:p>
    <w:p w14:paraId="012452DD" w14:textId="77777777" w:rsidR="00FA2FF9" w:rsidRPr="00730DE4" w:rsidRDefault="00FA2FF9" w:rsidP="006C15F0">
      <w:pPr>
        <w:rPr>
          <w:lang w:val="en-US"/>
        </w:rPr>
      </w:pPr>
      <w:r w:rsidRPr="00730DE4">
        <w:t>​The Interstate Roaming Service allows Queensland and NSW Public Safety Agencies</w:t>
      </w:r>
      <w:r w:rsidRPr="00730DE4">
        <w:rPr>
          <w:lang w:val="en-US"/>
        </w:rPr>
        <w:t xml:space="preserve"> </w:t>
      </w:r>
      <w:r w:rsidRPr="00730DE4">
        <w:t xml:space="preserve">to </w:t>
      </w:r>
      <w:r w:rsidRPr="00730DE4">
        <w:rPr>
          <w:lang w:val="en-US"/>
        </w:rPr>
        <w:t>travel</w:t>
      </w:r>
      <w:r w:rsidRPr="00730DE4">
        <w:t xml:space="preserve"> interstate and </w:t>
      </w:r>
      <w:r w:rsidRPr="00730DE4">
        <w:rPr>
          <w:lang w:val="en-US"/>
        </w:rPr>
        <w:t>work</w:t>
      </w:r>
      <w:r w:rsidRPr="00730DE4">
        <w:t xml:space="preserve"> with interstate peers while maintaining radiocommunications with their communication centre</w:t>
      </w:r>
      <w:r w:rsidRPr="00730DE4">
        <w:rPr>
          <w:lang w:val="en-US"/>
        </w:rPr>
        <w:t xml:space="preserve">. </w:t>
      </w:r>
    </w:p>
    <w:p w14:paraId="698B9E89" w14:textId="77777777" w:rsidR="00FA2FF9" w:rsidRPr="00730DE4" w:rsidRDefault="00FA2FF9" w:rsidP="006C15F0">
      <w:pPr>
        <w:rPr>
          <w:lang w:val="en-US"/>
        </w:rPr>
      </w:pPr>
      <w:r w:rsidRPr="00730DE4">
        <w:t xml:space="preserve">Public Safety Agencies personnel </w:t>
      </w:r>
      <w:r w:rsidRPr="00730DE4">
        <w:rPr>
          <w:lang w:val="en-US"/>
        </w:rPr>
        <w:t xml:space="preserve">in Queensland and NSW </w:t>
      </w:r>
      <w:r w:rsidRPr="00730DE4">
        <w:t>can now focus on public safety incident response and assisting interstate peers, while having confidence their radio communications will not restrict their operational response.</w:t>
      </w:r>
    </w:p>
    <w:p w14:paraId="2C4DCBBA" w14:textId="77777777" w:rsidR="00FA2FF9" w:rsidRPr="00730DE4" w:rsidRDefault="00FA2FF9" w:rsidP="006C15F0">
      <w:pPr>
        <w:rPr>
          <w:lang w:val="en-US"/>
        </w:rPr>
      </w:pPr>
      <w:r w:rsidRPr="00730DE4">
        <w:rPr>
          <w:lang w:val="en-US"/>
        </w:rPr>
        <w:t xml:space="preserve">The </w:t>
      </w:r>
      <w:r w:rsidRPr="00730DE4">
        <w:t>Government Wireless Network</w:t>
      </w:r>
      <w:r w:rsidRPr="00730DE4">
        <w:rPr>
          <w:lang w:val="en-US"/>
        </w:rPr>
        <w:t xml:space="preserve"> is a shining example of a successful shared service, providing radio communications services to Queensland </w:t>
      </w:r>
      <w:r w:rsidRPr="00730DE4">
        <w:t>Public Safety Agencies</w:t>
      </w:r>
      <w:r w:rsidRPr="00730DE4">
        <w:rPr>
          <w:lang w:val="en-US"/>
        </w:rPr>
        <w:t>, as well as over 20 agencies at local, state, and federal levels.</w:t>
      </w:r>
    </w:p>
    <w:p w14:paraId="3F8D5CC3" w14:textId="77777777" w:rsidR="00FA2FF9" w:rsidRPr="00730DE4" w:rsidRDefault="00FA2FF9" w:rsidP="006C15F0">
      <w:pPr>
        <w:rPr>
          <w:lang w:val="en-US"/>
        </w:rPr>
      </w:pPr>
      <w:r w:rsidRPr="00730DE4">
        <w:rPr>
          <w:lang w:val="en-US"/>
        </w:rPr>
        <w:t>The Interstate Roaming Service is a first for Australia and a successful example of interstate collaboration between states.</w:t>
      </w:r>
    </w:p>
    <w:p w14:paraId="2D2C758A" w14:textId="77777777" w:rsidR="00FA2FF9" w:rsidRPr="00730DE4" w:rsidRDefault="00FA2FF9" w:rsidP="006C15F0">
      <w:pPr>
        <w:pStyle w:val="MessageHeader"/>
        <w:rPr>
          <w:lang w:val="en-US"/>
        </w:rPr>
      </w:pPr>
      <w:r w:rsidRPr="00730DE4">
        <w:rPr>
          <w:lang w:val="en-US"/>
        </w:rPr>
        <w:t>For more information</w:t>
      </w:r>
      <w:r w:rsidRPr="00730DE4">
        <w:t xml:space="preserve"> </w:t>
      </w:r>
      <w:r w:rsidRPr="00730DE4">
        <w:br/>
      </w:r>
      <w:hyperlink r:id="rId138" w:history="1">
        <w:r w:rsidRPr="00730DE4">
          <w:rPr>
            <w:rStyle w:val="Hyperlink"/>
            <w:lang w:val="en-US"/>
          </w:rPr>
          <w:t>https://arcia.org.au/2023-arcia-industry-excellence-awards-winners/</w:t>
        </w:r>
      </w:hyperlink>
    </w:p>
    <w:p w14:paraId="1DA5FAAA" w14:textId="77777777" w:rsidR="00FA2FF9" w:rsidRPr="00730DE4" w:rsidRDefault="00FA2FF9" w:rsidP="002B7001">
      <w:pPr>
        <w:pStyle w:val="Heading3"/>
        <w:rPr>
          <w:lang w:val="en-US"/>
        </w:rPr>
      </w:pPr>
      <w:bookmarkStart w:id="1108" w:name="_Toc180487590"/>
      <w:bookmarkStart w:id="1109" w:name="_Toc180490796"/>
      <w:bookmarkStart w:id="1110" w:name="_Toc180491829"/>
      <w:r w:rsidRPr="00730DE4">
        <w:rPr>
          <w:lang w:val="en-US"/>
        </w:rPr>
        <w:t>Cyber security</w:t>
      </w:r>
      <w:bookmarkEnd w:id="1108"/>
      <w:bookmarkEnd w:id="1109"/>
      <w:bookmarkEnd w:id="1110"/>
    </w:p>
    <w:p w14:paraId="038E02D6" w14:textId="77777777" w:rsidR="00FA2FF9" w:rsidRPr="00730DE4" w:rsidRDefault="00FA2FF9" w:rsidP="006C15F0">
      <w:pPr>
        <w:rPr>
          <w:lang w:val="en-US"/>
        </w:rPr>
      </w:pPr>
      <w:r w:rsidRPr="00730DE4">
        <w:rPr>
          <w:lang w:val="en-US"/>
        </w:rPr>
        <w:t>The cyber threat landscape remains challenging with a wide range of actors conducting malicious cyber activity across the globe. Governments and critical infrastructure remain attractive targets for malicious actors.</w:t>
      </w:r>
    </w:p>
    <w:p w14:paraId="7A0F6C42" w14:textId="77777777" w:rsidR="00FA2FF9" w:rsidRPr="00730DE4" w:rsidRDefault="00FA2FF9" w:rsidP="006C15F0">
      <w:pPr>
        <w:rPr>
          <w:lang w:val="en-US"/>
        </w:rPr>
      </w:pPr>
      <w:r w:rsidRPr="00730DE4">
        <w:rPr>
          <w:lang w:val="en-US"/>
        </w:rPr>
        <w:t xml:space="preserve">Against this backdrop, Queensland Government agencies continue to improve cyber resilience by adopting best practice approaches to information security management. </w:t>
      </w:r>
    </w:p>
    <w:p w14:paraId="3CB919BC" w14:textId="77777777" w:rsidR="00FA2FF9" w:rsidRPr="00730DE4" w:rsidRDefault="00FA2FF9" w:rsidP="006C15F0">
      <w:pPr>
        <w:rPr>
          <w:lang w:val="en-US"/>
        </w:rPr>
      </w:pPr>
      <w:r w:rsidRPr="00730DE4">
        <w:rPr>
          <w:lang w:val="en-US"/>
        </w:rPr>
        <w:t>The QGCDG’s CSU sets cyber security policy and guidance for the Queensland public sector and manages a number of whole-of-government cyber security services.</w:t>
      </w:r>
    </w:p>
    <w:p w14:paraId="241D2195" w14:textId="77777777" w:rsidR="00FA2FF9" w:rsidRPr="00730DE4" w:rsidRDefault="00FA2FF9" w:rsidP="006C15F0">
      <w:pPr>
        <w:rPr>
          <w:lang w:val="en-US"/>
        </w:rPr>
      </w:pPr>
      <w:r w:rsidRPr="00730DE4">
        <w:rPr>
          <w:lang w:val="en-US"/>
        </w:rPr>
        <w:t xml:space="preserve">In 2023–24, the CSU, through its Cyber Enhancement and Partnerships Program, continued to work with departments, statutory bodies, local government, and other Queensland Government entities to provide tools and advice to support an uplift in their cyber security. </w:t>
      </w:r>
    </w:p>
    <w:p w14:paraId="0C9E1445" w14:textId="77777777" w:rsidR="00FA2FF9" w:rsidRPr="00730DE4" w:rsidRDefault="00FA2FF9" w:rsidP="006C15F0">
      <w:pPr>
        <w:rPr>
          <w:lang w:val="en-US"/>
        </w:rPr>
      </w:pPr>
      <w:r w:rsidRPr="00730DE4">
        <w:rPr>
          <w:lang w:val="en-US"/>
        </w:rPr>
        <w:t>The uptake of vulnerability management and email anti-spoofing tools under the program doubled. There has also been increased participation in communities of practice, bringing security professionals together to share learnings and support each other.</w:t>
      </w:r>
    </w:p>
    <w:p w14:paraId="277C44F4" w14:textId="77777777" w:rsidR="00FA2FF9" w:rsidRPr="00730DE4" w:rsidRDefault="00FA2FF9" w:rsidP="006C15F0">
      <w:pPr>
        <w:pStyle w:val="MessageHeader"/>
        <w:rPr>
          <w:lang w:val="en-US"/>
        </w:rPr>
      </w:pPr>
      <w:r w:rsidRPr="00730DE4">
        <w:rPr>
          <w:lang w:val="en-US"/>
        </w:rPr>
        <w:t xml:space="preserve">For more information </w:t>
      </w:r>
      <w:r w:rsidRPr="00730DE4">
        <w:br/>
      </w:r>
      <w:hyperlink r:id="rId139" w:history="1">
        <w:r w:rsidRPr="00730DE4">
          <w:rPr>
            <w:rStyle w:val="Hyperlink"/>
            <w:lang w:val="en-US"/>
          </w:rPr>
          <w:t>https://www.forgov.qld.gov.au/information-and-communication-technology/cyber-security/about-the-cyber-security-unit</w:t>
        </w:r>
      </w:hyperlink>
    </w:p>
    <w:p w14:paraId="56CF5AD6" w14:textId="77777777" w:rsidR="005B60B8" w:rsidRDefault="005B60B8" w:rsidP="002B7001">
      <w:pPr>
        <w:pStyle w:val="Heading3"/>
        <w:rPr>
          <w:lang w:val="en-US"/>
        </w:rPr>
      </w:pPr>
      <w:r>
        <w:rPr>
          <w:lang w:val="en-US"/>
        </w:rPr>
        <w:br w:type="page"/>
      </w:r>
    </w:p>
    <w:p w14:paraId="656E0CB8" w14:textId="545EE04A" w:rsidR="00FA2FF9" w:rsidRPr="00730DE4" w:rsidRDefault="00FA2FF9" w:rsidP="002B7001">
      <w:pPr>
        <w:pStyle w:val="Heading3"/>
        <w:rPr>
          <w:lang w:val="en-US"/>
        </w:rPr>
      </w:pPr>
      <w:bookmarkStart w:id="1111" w:name="_Toc180487591"/>
      <w:bookmarkStart w:id="1112" w:name="_Toc180490797"/>
      <w:bookmarkStart w:id="1113" w:name="_Toc180491830"/>
      <w:r w:rsidRPr="00730DE4">
        <w:rPr>
          <w:lang w:val="en-US"/>
        </w:rPr>
        <w:t>Corporate Administration Agency implements vendor fraud protections</w:t>
      </w:r>
      <w:bookmarkEnd w:id="1111"/>
      <w:bookmarkEnd w:id="1112"/>
      <w:bookmarkEnd w:id="1113"/>
    </w:p>
    <w:p w14:paraId="49EAE501" w14:textId="77777777" w:rsidR="00FA2FF9" w:rsidRPr="00730DE4" w:rsidRDefault="00FA2FF9" w:rsidP="006C15F0">
      <w:pPr>
        <w:rPr>
          <w:lang w:val="en-US"/>
        </w:rPr>
      </w:pPr>
      <w:r w:rsidRPr="00730DE4">
        <w:rPr>
          <w:lang w:val="en-US"/>
        </w:rPr>
        <w:t xml:space="preserve">Established in 1997, the CAA provides corporate services to Queensland public sector entities, principally statutory bodies, and authorities. </w:t>
      </w:r>
    </w:p>
    <w:p w14:paraId="5360425C" w14:textId="77777777" w:rsidR="00FA2FF9" w:rsidRPr="00730DE4" w:rsidRDefault="00FA2FF9" w:rsidP="006C15F0">
      <w:pPr>
        <w:rPr>
          <w:lang w:val="en-US"/>
        </w:rPr>
      </w:pPr>
      <w:r w:rsidRPr="00730DE4">
        <w:rPr>
          <w:lang w:val="en-US"/>
        </w:rPr>
        <w:t xml:space="preserve">In July 2023, CAA successfully implemented the EFTSure Vendor Onboarding and Verification system for CAA and customers that utilise CAA’s vendor maintenance service. It has removed the need for staff to undertake manual independent verification of vendor details such as banking information. </w:t>
      </w:r>
    </w:p>
    <w:p w14:paraId="2EDEABF3" w14:textId="77777777" w:rsidR="00FA2FF9" w:rsidRPr="00730DE4" w:rsidRDefault="00FA2FF9" w:rsidP="006C15F0">
      <w:pPr>
        <w:rPr>
          <w:lang w:val="en-US"/>
        </w:rPr>
      </w:pPr>
      <w:r w:rsidRPr="00730DE4">
        <w:rPr>
          <w:lang w:val="en-US"/>
        </w:rPr>
        <w:t xml:space="preserve">EFTSure is an automated solution to onboard new vendors or change current vendors. The system utilises EFTSure’s ‘know your payee’ crowd-sourced database for cross referencing essential data such as Bank Name, Bank Account Number, Australian Business Number, and Trading Name to reduce the risks of incorrect and/or fraudulent payments. EFTSure undertakes additional verification by independently contacting vendors to confirm details. </w:t>
      </w:r>
    </w:p>
    <w:p w14:paraId="2F774BAA" w14:textId="77777777" w:rsidR="00FA2FF9" w:rsidRPr="00730DE4" w:rsidRDefault="00FA2FF9" w:rsidP="006C15F0">
      <w:pPr>
        <w:rPr>
          <w:lang w:val="en-US"/>
        </w:rPr>
      </w:pPr>
      <w:r w:rsidRPr="00730DE4">
        <w:rPr>
          <w:lang w:val="en-US"/>
        </w:rPr>
        <w:t xml:space="preserve">Safeguarding against fraud is a high priority for Queensland Government accounts payable functions. Continuously improving systems and controls to ensure integrity of vendor data is essential to countering the ever-growing threat of fraud tactics such as social engineering, phishing, and business email compromise. </w:t>
      </w:r>
    </w:p>
    <w:p w14:paraId="0E9E900D" w14:textId="77777777" w:rsidR="00FA2FF9" w:rsidRPr="00730DE4" w:rsidRDefault="00FA2FF9" w:rsidP="006C15F0">
      <w:pPr>
        <w:rPr>
          <w:lang w:val="en-US"/>
        </w:rPr>
      </w:pPr>
      <w:r w:rsidRPr="00730DE4">
        <w:rPr>
          <w:lang w:val="en-US"/>
        </w:rPr>
        <w:t xml:space="preserve">By successfully integrating EFTSure with CAA’s systems, further efficiencies have been realised by avoiding the need for manual entry of vendor information into the system. The CAA was the first Queensland Government entity to adopt EFTSure which has had proven success in mitigating against payment fraud attempts. </w:t>
      </w:r>
    </w:p>
    <w:p w14:paraId="74090DA6" w14:textId="77777777" w:rsidR="00FA2FF9" w:rsidRPr="00730DE4" w:rsidRDefault="00FA2FF9" w:rsidP="002B7001">
      <w:pPr>
        <w:pStyle w:val="Heading3"/>
        <w:rPr>
          <w:lang w:val="en-US"/>
        </w:rPr>
      </w:pPr>
      <w:bookmarkStart w:id="1114" w:name="_Toc180487592"/>
      <w:bookmarkStart w:id="1115" w:name="_Toc180490798"/>
      <w:bookmarkStart w:id="1116" w:name="_Toc180491831"/>
      <w:r w:rsidRPr="00730DE4">
        <w:rPr>
          <w:lang w:val="en-US"/>
        </w:rPr>
        <w:t>Queensland Shared Services</w:t>
      </w:r>
      <w:bookmarkEnd w:id="1114"/>
      <w:bookmarkEnd w:id="1115"/>
      <w:bookmarkEnd w:id="1116"/>
    </w:p>
    <w:p w14:paraId="1A5D8BB9" w14:textId="77777777" w:rsidR="00FA2FF9" w:rsidRPr="00730DE4" w:rsidRDefault="00FA2FF9" w:rsidP="006C15F0">
      <w:pPr>
        <w:rPr>
          <w:lang w:val="en-US"/>
        </w:rPr>
      </w:pPr>
      <w:bookmarkStart w:id="1117" w:name="_Hlk168482391"/>
      <w:r w:rsidRPr="00730DE4">
        <w:rPr>
          <w:lang w:val="en-US"/>
        </w:rPr>
        <w:t xml:space="preserve">In 2023, QSS celebrated 20 years of shared services in Queensland. QSS now provides payroll and financial services </w:t>
      </w:r>
      <w:bookmarkStart w:id="1118" w:name="_Hlk168477442"/>
      <w:r w:rsidRPr="00730DE4">
        <w:rPr>
          <w:lang w:val="en-US"/>
        </w:rPr>
        <w:t xml:space="preserve">to over 83,000 employees in 47 entities </w:t>
      </w:r>
      <w:bookmarkEnd w:id="1118"/>
      <w:r w:rsidRPr="00730DE4">
        <w:rPr>
          <w:lang w:val="en-US"/>
        </w:rPr>
        <w:t>across the Queensland public sector. In 2023–24, this included:</w:t>
      </w:r>
    </w:p>
    <w:bookmarkEnd w:id="1117"/>
    <w:p w14:paraId="11C5F9C6" w14:textId="77777777" w:rsidR="00FA2FF9" w:rsidRPr="00730DE4" w:rsidRDefault="00FA2FF9" w:rsidP="006C15F0">
      <w:pPr>
        <w:pStyle w:val="ListBullet"/>
        <w:rPr>
          <w:lang w:val="en-US"/>
        </w:rPr>
      </w:pPr>
      <w:r w:rsidRPr="00730DE4">
        <w:rPr>
          <w:lang w:val="en-US"/>
        </w:rPr>
        <w:t>paying more than two million pays</w:t>
      </w:r>
    </w:p>
    <w:p w14:paraId="730BD1EE" w14:textId="77777777" w:rsidR="00FA2FF9" w:rsidRPr="00730DE4" w:rsidRDefault="00FA2FF9" w:rsidP="006C15F0">
      <w:pPr>
        <w:pStyle w:val="ListBullet"/>
        <w:rPr>
          <w:lang w:val="en-US"/>
        </w:rPr>
      </w:pPr>
      <w:r w:rsidRPr="00730DE4">
        <w:rPr>
          <w:lang w:val="en-US"/>
        </w:rPr>
        <w:t>processing more than 101,850 claims for higher duties and 603,747 for overtime</w:t>
      </w:r>
    </w:p>
    <w:p w14:paraId="27818FB9" w14:textId="77777777" w:rsidR="00FA2FF9" w:rsidRPr="00730DE4" w:rsidRDefault="00FA2FF9" w:rsidP="006C15F0">
      <w:pPr>
        <w:pStyle w:val="ListBullet"/>
        <w:rPr>
          <w:lang w:val="en-US"/>
        </w:rPr>
      </w:pPr>
      <w:r w:rsidRPr="00730DE4">
        <w:rPr>
          <w:lang w:val="en-US"/>
        </w:rPr>
        <w:t>helping advertise more than 10,556 roles and process more than 29,261 appointments</w:t>
      </w:r>
    </w:p>
    <w:p w14:paraId="30737437" w14:textId="77777777" w:rsidR="00FA2FF9" w:rsidRPr="00730DE4" w:rsidRDefault="00FA2FF9" w:rsidP="006C15F0">
      <w:pPr>
        <w:pStyle w:val="ListBullet"/>
        <w:rPr>
          <w:lang w:val="en-US"/>
        </w:rPr>
      </w:pPr>
      <w:r w:rsidRPr="00730DE4">
        <w:rPr>
          <w:lang w:val="en-US"/>
        </w:rPr>
        <w:t>processing vendor payments worth more than $30.3 billion</w:t>
      </w:r>
    </w:p>
    <w:p w14:paraId="583E2ACF" w14:textId="77777777" w:rsidR="00FA2FF9" w:rsidRPr="00730DE4" w:rsidRDefault="00FA2FF9" w:rsidP="006C15F0">
      <w:pPr>
        <w:pStyle w:val="ListBullet"/>
        <w:rPr>
          <w:lang w:val="en-US"/>
        </w:rPr>
      </w:pPr>
      <w:r w:rsidRPr="00730DE4">
        <w:rPr>
          <w:lang w:val="en-US"/>
        </w:rPr>
        <w:t>processing more than 640,375 invoices</w:t>
      </w:r>
    </w:p>
    <w:p w14:paraId="63FD3651" w14:textId="77777777" w:rsidR="00FA2FF9" w:rsidRPr="00730DE4" w:rsidRDefault="00FA2FF9" w:rsidP="006C15F0">
      <w:pPr>
        <w:pStyle w:val="ListBullet"/>
        <w:rPr>
          <w:lang w:val="en-US"/>
        </w:rPr>
      </w:pPr>
      <w:r w:rsidRPr="00730DE4">
        <w:rPr>
          <w:lang w:val="en-US"/>
        </w:rPr>
        <w:t>receipting more than 355,022 payments</w:t>
      </w:r>
    </w:p>
    <w:p w14:paraId="0419A995" w14:textId="77777777" w:rsidR="00FA2FF9" w:rsidRPr="00730DE4" w:rsidRDefault="00FA2FF9" w:rsidP="006C15F0">
      <w:pPr>
        <w:pStyle w:val="ListBullet"/>
        <w:rPr>
          <w:lang w:val="en-US"/>
        </w:rPr>
      </w:pPr>
      <w:r w:rsidRPr="00730DE4">
        <w:rPr>
          <w:lang w:val="en-US"/>
        </w:rPr>
        <w:t>managing nearly 131,790 debts</w:t>
      </w:r>
    </w:p>
    <w:p w14:paraId="678B58AC" w14:textId="77777777" w:rsidR="00FA2FF9" w:rsidRPr="00730DE4" w:rsidRDefault="00FA2FF9" w:rsidP="006C15F0">
      <w:pPr>
        <w:pStyle w:val="ListBullet"/>
        <w:rPr>
          <w:lang w:val="en-US"/>
        </w:rPr>
      </w:pPr>
      <w:r w:rsidRPr="00730DE4">
        <w:rPr>
          <w:lang w:val="en-US"/>
        </w:rPr>
        <w:t>processing more than 349,402 credit card transactions</w:t>
      </w:r>
    </w:p>
    <w:p w14:paraId="67D5AA61" w14:textId="77777777" w:rsidR="00FA2FF9" w:rsidRPr="00730DE4" w:rsidRDefault="00FA2FF9" w:rsidP="006C15F0">
      <w:pPr>
        <w:pStyle w:val="ListBullet"/>
        <w:rPr>
          <w:lang w:val="en-US"/>
        </w:rPr>
      </w:pPr>
      <w:r w:rsidRPr="00730DE4">
        <w:rPr>
          <w:lang w:val="en-US"/>
        </w:rPr>
        <w:t>managing 314,351 assets.</w:t>
      </w:r>
    </w:p>
    <w:p w14:paraId="0AF63AA9" w14:textId="77777777" w:rsidR="00FA2FF9" w:rsidRPr="00730DE4" w:rsidRDefault="00FA2FF9" w:rsidP="002B7001">
      <w:pPr>
        <w:pStyle w:val="Heading3"/>
        <w:rPr>
          <w:lang w:val="en-US"/>
        </w:rPr>
      </w:pPr>
      <w:bookmarkStart w:id="1119" w:name="_Toc180487593"/>
      <w:bookmarkStart w:id="1120" w:name="_Toc180490799"/>
      <w:bookmarkStart w:id="1121" w:name="_Toc180491832"/>
      <w:r w:rsidRPr="00730DE4">
        <w:rPr>
          <w:lang w:val="en-US"/>
        </w:rPr>
        <w:t>Digital Investment Governance Framework</w:t>
      </w:r>
      <w:bookmarkEnd w:id="1119"/>
      <w:bookmarkEnd w:id="1120"/>
      <w:bookmarkEnd w:id="1121"/>
    </w:p>
    <w:p w14:paraId="23351CB2" w14:textId="77777777" w:rsidR="00FA2FF9" w:rsidRPr="00730DE4" w:rsidRDefault="00FA2FF9" w:rsidP="006C15F0">
      <w:pPr>
        <w:rPr>
          <w:lang w:val="en-US"/>
        </w:rPr>
      </w:pPr>
      <w:r w:rsidRPr="00730DE4">
        <w:rPr>
          <w:lang w:val="en-US"/>
        </w:rPr>
        <w:t>QGCDG</w:t>
      </w:r>
      <w:r w:rsidRPr="00730DE4">
        <w:t xml:space="preserve"> is </w:t>
      </w:r>
      <w:r w:rsidRPr="00730DE4">
        <w:rPr>
          <w:lang w:val="en-US"/>
        </w:rPr>
        <w:t xml:space="preserve">implementing a </w:t>
      </w:r>
      <w:r w:rsidRPr="00730DE4">
        <w:t xml:space="preserve">new </w:t>
      </w:r>
      <w:r w:rsidRPr="00730DE4">
        <w:rPr>
          <w:rStyle w:val="Emphasis"/>
        </w:rPr>
        <w:t>Digital Investment Governance Framework</w:t>
      </w:r>
      <w:r w:rsidRPr="00730DE4">
        <w:t xml:space="preserve"> </w:t>
      </w:r>
      <w:r w:rsidRPr="00730DE4">
        <w:rPr>
          <w:lang w:val="en-US"/>
        </w:rPr>
        <w:t>for the Queensland Government</w:t>
      </w:r>
      <w:r w:rsidRPr="00730DE4">
        <w:t xml:space="preserve">. This new </w:t>
      </w:r>
      <w:r w:rsidRPr="00730DE4">
        <w:rPr>
          <w:lang w:val="en-US"/>
        </w:rPr>
        <w:t>f</w:t>
      </w:r>
      <w:r w:rsidRPr="00730DE4">
        <w:t xml:space="preserve">ramework </w:t>
      </w:r>
      <w:r w:rsidRPr="00730DE4">
        <w:rPr>
          <w:lang w:val="en-US"/>
        </w:rPr>
        <w:t>applies</w:t>
      </w:r>
      <w:r w:rsidRPr="00730DE4">
        <w:t xml:space="preserve"> to all Digital and IT-enabled investments where technology is the main tool for achieving outcomes and benefits. </w:t>
      </w:r>
    </w:p>
    <w:p w14:paraId="479A8E16" w14:textId="77777777" w:rsidR="00FA2FF9" w:rsidRPr="00730DE4" w:rsidRDefault="00FA2FF9" w:rsidP="006C15F0">
      <w:bookmarkStart w:id="1122" w:name="_Hlk163727621"/>
      <w:r w:rsidRPr="00730DE4">
        <w:rPr>
          <w:lang w:val="en-US"/>
        </w:rPr>
        <w:t xml:space="preserve">Developed in partnership with agencies across the sector, the framework </w:t>
      </w:r>
      <w:r w:rsidRPr="00730DE4">
        <w:t>establish</w:t>
      </w:r>
      <w:r w:rsidRPr="00730DE4">
        <w:rPr>
          <w:lang w:val="en-US"/>
        </w:rPr>
        <w:t>es</w:t>
      </w:r>
      <w:r w:rsidRPr="00730DE4">
        <w:t xml:space="preserve"> clear oversight for agency </w:t>
      </w:r>
      <w:r w:rsidRPr="00730DE4">
        <w:rPr>
          <w:lang w:val="en-US"/>
        </w:rPr>
        <w:t xml:space="preserve">digital </w:t>
      </w:r>
      <w:r w:rsidRPr="00730DE4">
        <w:t>investments and promote</w:t>
      </w:r>
      <w:r w:rsidRPr="00730DE4">
        <w:rPr>
          <w:lang w:val="en-US"/>
        </w:rPr>
        <w:t>s</w:t>
      </w:r>
      <w:r w:rsidRPr="00730DE4">
        <w:t xml:space="preserve"> visibility at the whole-of-government </w:t>
      </w:r>
      <w:r w:rsidRPr="00730DE4">
        <w:rPr>
          <w:lang w:val="en-US"/>
        </w:rPr>
        <w:t xml:space="preserve">level. It aims to reduce duplication, increase reusability and collaboration between agencies, and mitigate technology system risks. The approach coordinates and aligns core and common methods to digital and IT systems, </w:t>
      </w:r>
      <w:r w:rsidRPr="00730DE4">
        <w:rPr>
          <w:lang w:val="en-GB"/>
        </w:rPr>
        <w:t>optimising</w:t>
      </w:r>
      <w:r w:rsidRPr="00730DE4">
        <w:rPr>
          <w:lang w:val="en-US"/>
        </w:rPr>
        <w:t xml:space="preserve"> the use and allocation of resources across the sector. </w:t>
      </w:r>
    </w:p>
    <w:bookmarkEnd w:id="1122"/>
    <w:p w14:paraId="0F49CF64" w14:textId="77777777" w:rsidR="00FA2FF9" w:rsidRPr="00730DE4" w:rsidRDefault="00FA2FF9" w:rsidP="006C15F0">
      <w:r w:rsidRPr="00730DE4">
        <w:rPr>
          <w:lang w:val="en-US"/>
        </w:rPr>
        <w:t>Implementation work undertaken through 2023–24 to establish a whole-of-government digital portfolio view will continue into 2024–25</w:t>
      </w:r>
      <w:r w:rsidRPr="00730DE4">
        <w:t xml:space="preserve">. </w:t>
      </w:r>
    </w:p>
    <w:p w14:paraId="1DA5EA4D" w14:textId="77777777" w:rsidR="00FA2FF9" w:rsidRPr="00730DE4" w:rsidRDefault="00FA2FF9" w:rsidP="006C15F0">
      <w:r w:rsidRPr="00730DE4">
        <w:rPr>
          <w:lang w:val="en-US"/>
        </w:rPr>
        <w:t xml:space="preserve">Ongoing engagement with agency </w:t>
      </w:r>
      <w:r w:rsidRPr="00730DE4">
        <w:t xml:space="preserve">stakeholders </w:t>
      </w:r>
      <w:r w:rsidRPr="00730DE4">
        <w:rPr>
          <w:lang w:val="en-US"/>
        </w:rPr>
        <w:t>is supporting adoption of the framework with the goal of lifting digital investment maturity across the sector</w:t>
      </w:r>
      <w:r w:rsidRPr="00730DE4">
        <w:t>.</w:t>
      </w:r>
    </w:p>
    <w:p w14:paraId="622BE821" w14:textId="77777777" w:rsidR="005B60B8" w:rsidRDefault="005B60B8" w:rsidP="002B7001">
      <w:pPr>
        <w:pStyle w:val="Heading2"/>
      </w:pPr>
      <w:r>
        <w:br w:type="page"/>
      </w:r>
    </w:p>
    <w:p w14:paraId="011A3D94" w14:textId="5BBC4EE7" w:rsidR="00FA2FF9" w:rsidRPr="00730DE4" w:rsidRDefault="00FA2FF9" w:rsidP="002B7001">
      <w:pPr>
        <w:pStyle w:val="Heading2"/>
      </w:pPr>
      <w:bookmarkStart w:id="1123" w:name="_Toc180490800"/>
      <w:bookmarkStart w:id="1124" w:name="_Toc180491833"/>
      <w:r w:rsidRPr="00730DE4">
        <w:t>Digital customer</w:t>
      </w:r>
      <w:bookmarkEnd w:id="1123"/>
      <w:bookmarkEnd w:id="1124"/>
    </w:p>
    <w:p w14:paraId="66B913AE" w14:textId="77777777" w:rsidR="00FA2FF9" w:rsidRPr="00730DE4" w:rsidRDefault="00FA2FF9" w:rsidP="002B7001">
      <w:pPr>
        <w:pStyle w:val="Heading3"/>
        <w:rPr>
          <w:lang w:val="en-US"/>
        </w:rPr>
      </w:pPr>
      <w:bookmarkStart w:id="1125" w:name="_Toc180487595"/>
      <w:bookmarkStart w:id="1126" w:name="_Toc180490801"/>
      <w:bookmarkStart w:id="1127" w:name="_Toc180491834"/>
      <w:r w:rsidRPr="00730DE4">
        <w:rPr>
          <w:lang w:val="en-US"/>
        </w:rPr>
        <w:t>Award winning contact centre</w:t>
      </w:r>
      <w:bookmarkEnd w:id="1125"/>
      <w:bookmarkEnd w:id="1126"/>
      <w:bookmarkEnd w:id="1127"/>
    </w:p>
    <w:p w14:paraId="6534EDE6" w14:textId="77777777" w:rsidR="00FA2FF9" w:rsidRPr="00730DE4" w:rsidRDefault="00FA2FF9" w:rsidP="00802E6F">
      <w:pPr>
        <w:rPr>
          <w:lang w:val="en-US"/>
        </w:rPr>
      </w:pPr>
      <w:r w:rsidRPr="00730DE4">
        <w:rPr>
          <w:lang w:val="en-US"/>
        </w:rPr>
        <w:t>In November 2023, the Smart Service Queensland team won the award for the Customer Experience Initiative of the year, Digital Transformation category, at the annual Auscontact National Excellence Awards in Sydney. This recognition celebrates the success of the TMR Live Messaging Pilot, a collaboration between Customer Service Branch and QGCDG Contact Centre teams.</w:t>
      </w:r>
    </w:p>
    <w:p w14:paraId="3A97873E" w14:textId="77777777" w:rsidR="00FA2FF9" w:rsidRPr="00730DE4" w:rsidRDefault="00FA2FF9" w:rsidP="00802E6F">
      <w:pPr>
        <w:rPr>
          <w:lang w:val="en-US"/>
        </w:rPr>
      </w:pPr>
      <w:r w:rsidRPr="00730DE4">
        <w:rPr>
          <w:lang w:val="en-US"/>
        </w:rPr>
        <w:t>This achievement showcases the joint commitment to delivering exceptional services to the people of Queensland, and the group’s dedication to leveraging technology and exploring digital capability opportunities and efficiencies to drive positive change.</w:t>
      </w:r>
    </w:p>
    <w:p w14:paraId="622C2492" w14:textId="77777777" w:rsidR="00FA2FF9" w:rsidRPr="00730DE4" w:rsidRDefault="00FA2FF9" w:rsidP="002B7001">
      <w:pPr>
        <w:pStyle w:val="Heading3"/>
        <w:rPr>
          <w:lang w:val="en-US"/>
        </w:rPr>
      </w:pPr>
      <w:bookmarkStart w:id="1128" w:name="_Toc180487596"/>
      <w:bookmarkStart w:id="1129" w:name="_Toc180490802"/>
      <w:bookmarkStart w:id="1130" w:name="_Toc180491835"/>
      <w:r w:rsidRPr="00730DE4">
        <w:rPr>
          <w:lang w:val="en-US"/>
        </w:rPr>
        <w:t>My services, my way</w:t>
      </w:r>
      <w:bookmarkEnd w:id="1128"/>
      <w:bookmarkEnd w:id="1129"/>
      <w:bookmarkEnd w:id="1130"/>
    </w:p>
    <w:p w14:paraId="5283E714" w14:textId="77777777" w:rsidR="00FA2FF9" w:rsidRPr="00730DE4" w:rsidRDefault="00FA2FF9" w:rsidP="00802E6F">
      <w:pPr>
        <w:rPr>
          <w:lang w:val="en-US"/>
        </w:rPr>
      </w:pPr>
      <w:r w:rsidRPr="00730DE4">
        <w:rPr>
          <w:lang w:val="en-US"/>
        </w:rPr>
        <w:t>My services, my way is a simplified approach to government services. It allows customers to easily navigate and receive information and services in a common place and consistent way, while supporting agencies with a simple and secure solution to provide services to customers efficiently.</w:t>
      </w:r>
    </w:p>
    <w:p w14:paraId="2944D5A4" w14:textId="77777777" w:rsidR="00FA2FF9" w:rsidRPr="00730DE4" w:rsidRDefault="00FA2FF9" w:rsidP="00802E6F">
      <w:pPr>
        <w:rPr>
          <w:lang w:val="en-US"/>
        </w:rPr>
      </w:pPr>
      <w:r w:rsidRPr="00730DE4">
        <w:rPr>
          <w:lang w:val="en-US"/>
        </w:rPr>
        <w:t xml:space="preserve">It delivers on a key commitment in </w:t>
      </w:r>
      <w:r w:rsidRPr="00730DE4">
        <w:rPr>
          <w:rStyle w:val="Emphasis"/>
        </w:rPr>
        <w:t xml:space="preserve">Our Thriving Digital Future: Queensland’s Digital Economy Strategy </w:t>
      </w:r>
      <w:r w:rsidRPr="00730DE4">
        <w:rPr>
          <w:lang w:val="en-US"/>
        </w:rPr>
        <w:t>to create a contemporary, consistent, and integrated system that delivers a simple ‘one government’ experience, making it easy for individuals and business to access government services while reducing duplication and effort.</w:t>
      </w:r>
    </w:p>
    <w:p w14:paraId="50C4B338" w14:textId="77777777" w:rsidR="00FA2FF9" w:rsidRPr="00730DE4" w:rsidRDefault="00FA2FF9" w:rsidP="00802E6F">
      <w:pPr>
        <w:rPr>
          <w:lang w:val="en-US"/>
        </w:rPr>
      </w:pPr>
      <w:r w:rsidRPr="00730DE4">
        <w:rPr>
          <w:lang w:val="en-US"/>
        </w:rPr>
        <w:t>My services, my way vision and strategic roadmap will deliver better digital services using connected and contemporary customer channels that are trusted, easy to use, and accessible to all via self-serve, guided, or assisted modes.</w:t>
      </w:r>
    </w:p>
    <w:p w14:paraId="251C3F7D" w14:textId="77777777" w:rsidR="00FA2FF9" w:rsidRPr="00730DE4" w:rsidRDefault="00FA2FF9" w:rsidP="00802E6F">
      <w:pPr>
        <w:rPr>
          <w:lang w:val="en-US"/>
        </w:rPr>
      </w:pPr>
      <w:r w:rsidRPr="00730DE4">
        <w:rPr>
          <w:lang w:val="en-US"/>
        </w:rPr>
        <w:t>Agencies will be able to deliver their services through unified customer channels using the whole-of-government digital services platform.</w:t>
      </w:r>
    </w:p>
    <w:p w14:paraId="47BC7793" w14:textId="77777777" w:rsidR="00FA2FF9" w:rsidRPr="00730DE4" w:rsidRDefault="00FA2FF9" w:rsidP="002B7001">
      <w:pPr>
        <w:pStyle w:val="Heading3"/>
        <w:rPr>
          <w:lang w:val="en-US"/>
        </w:rPr>
      </w:pPr>
      <w:bookmarkStart w:id="1131" w:name="_Toc180487597"/>
      <w:bookmarkStart w:id="1132" w:name="_Toc180490803"/>
      <w:bookmarkStart w:id="1133" w:name="_Toc180491836"/>
      <w:r w:rsidRPr="00730DE4">
        <w:rPr>
          <w:lang w:val="en-US"/>
        </w:rPr>
        <w:t>Case study: Disaster Response</w:t>
      </w:r>
      <w:bookmarkEnd w:id="1131"/>
      <w:bookmarkEnd w:id="1132"/>
      <w:bookmarkEnd w:id="1133"/>
    </w:p>
    <w:p w14:paraId="24442216" w14:textId="77777777" w:rsidR="00FA2FF9" w:rsidRPr="00730DE4" w:rsidRDefault="00FA2FF9" w:rsidP="00802E6F">
      <w:pPr>
        <w:rPr>
          <w:lang w:val="en-US"/>
        </w:rPr>
      </w:pPr>
      <w:r w:rsidRPr="00730DE4">
        <w:rPr>
          <w:lang w:val="en-US"/>
        </w:rPr>
        <w:t>QGCDG is integral to Queensland’s disaster response, playing a crucial role in supporting the community and frontline agencies through:</w:t>
      </w:r>
    </w:p>
    <w:p w14:paraId="64DC7E1B" w14:textId="77777777" w:rsidR="00FA2FF9" w:rsidRPr="00730DE4" w:rsidRDefault="00FA2FF9" w:rsidP="00802E6F">
      <w:pPr>
        <w:pStyle w:val="ListBullet"/>
        <w:rPr>
          <w:lang w:val="en-US"/>
        </w:rPr>
      </w:pPr>
      <w:r w:rsidRPr="00730DE4">
        <w:rPr>
          <w:lang w:val="en-US"/>
        </w:rPr>
        <w:t>liaising with the telecommunications industry</w:t>
      </w:r>
    </w:p>
    <w:p w14:paraId="79DEC306" w14:textId="77777777" w:rsidR="00FA2FF9" w:rsidRPr="00730DE4" w:rsidRDefault="00FA2FF9" w:rsidP="00802E6F">
      <w:pPr>
        <w:pStyle w:val="ListBullet"/>
        <w:rPr>
          <w:lang w:val="en-US"/>
        </w:rPr>
      </w:pPr>
      <w:r w:rsidRPr="00730DE4">
        <w:rPr>
          <w:lang w:val="en-US"/>
        </w:rPr>
        <w:t>supporting ICT used in Queensland Government Community Recovery Ready Reserve activation sites and coordination centres</w:t>
      </w:r>
    </w:p>
    <w:p w14:paraId="71ECA8A0" w14:textId="77777777" w:rsidR="00FA2FF9" w:rsidRPr="00730DE4" w:rsidRDefault="00FA2FF9" w:rsidP="00802E6F">
      <w:pPr>
        <w:pStyle w:val="ListBullet"/>
        <w:rPr>
          <w:lang w:val="en-US"/>
        </w:rPr>
      </w:pPr>
      <w:r w:rsidRPr="00730DE4">
        <w:rPr>
          <w:lang w:val="en-US"/>
        </w:rPr>
        <w:t>providing 24/7 call centre operations for the delivery of response and recovery services on behalf of Queensland Government agencies</w:t>
      </w:r>
    </w:p>
    <w:p w14:paraId="1F0DEE40" w14:textId="77777777" w:rsidR="00FA2FF9" w:rsidRPr="00730DE4" w:rsidRDefault="00FA2FF9" w:rsidP="00802E6F">
      <w:pPr>
        <w:pStyle w:val="ListBullet"/>
        <w:rPr>
          <w:lang w:val="en-US"/>
        </w:rPr>
      </w:pPr>
      <w:r w:rsidRPr="00730DE4">
        <w:rPr>
          <w:lang w:val="en-US"/>
        </w:rPr>
        <w:t>processing grant payments, extraordinary payroll transactions, and other financial transactions on behalf of frontline government agencies</w:t>
      </w:r>
    </w:p>
    <w:p w14:paraId="7479C4EB" w14:textId="77777777" w:rsidR="00FA2FF9" w:rsidRPr="00730DE4" w:rsidRDefault="00FA2FF9" w:rsidP="00802E6F">
      <w:pPr>
        <w:pStyle w:val="ListBullet"/>
        <w:rPr>
          <w:lang w:val="en-US"/>
        </w:rPr>
      </w:pPr>
      <w:r w:rsidRPr="00730DE4">
        <w:rPr>
          <w:lang w:val="en-US"/>
        </w:rPr>
        <w:t>improving Queensland’s digital infrastructure and exploring innovative solutions to enable our communities to stay connected, resilient, and safe during times of disaster and recovery.</w:t>
      </w:r>
    </w:p>
    <w:p w14:paraId="7E8469FF" w14:textId="77777777" w:rsidR="00FA2FF9" w:rsidRPr="00730DE4" w:rsidRDefault="00FA2FF9" w:rsidP="00802E6F">
      <w:pPr>
        <w:rPr>
          <w:lang w:val="en-US"/>
        </w:rPr>
      </w:pPr>
      <w:r w:rsidRPr="00730DE4">
        <w:rPr>
          <w:lang w:val="en-US"/>
        </w:rPr>
        <w:t>In 2023–24, QGCDG supported Queensland Government's disaster response and community recovery efforts for Queenslanders impacted by weather events by:</w:t>
      </w:r>
    </w:p>
    <w:p w14:paraId="38E35AF1" w14:textId="77777777" w:rsidR="00FA2FF9" w:rsidRPr="00730DE4" w:rsidRDefault="00FA2FF9" w:rsidP="00802E6F">
      <w:pPr>
        <w:pStyle w:val="ListBullet"/>
        <w:rPr>
          <w:lang w:val="en-US"/>
        </w:rPr>
      </w:pPr>
      <w:r w:rsidRPr="00730DE4">
        <w:rPr>
          <w:lang w:val="en-US"/>
        </w:rPr>
        <w:t>answering 17,880 SES calls and 103,078 Community Recovery calls</w:t>
      </w:r>
    </w:p>
    <w:p w14:paraId="05249A68" w14:textId="77777777" w:rsidR="00FA2FF9" w:rsidRPr="00730DE4" w:rsidRDefault="00FA2FF9" w:rsidP="00802E6F">
      <w:pPr>
        <w:pStyle w:val="ListBullet"/>
        <w:rPr>
          <w:lang w:val="en-US"/>
        </w:rPr>
      </w:pPr>
      <w:r w:rsidRPr="00730DE4">
        <w:rPr>
          <w:lang w:val="en-US"/>
        </w:rPr>
        <w:t>making 39,145 Outbound Community Assist calls, obtaining information and assisting applicants in impacted areas applying for grants</w:t>
      </w:r>
    </w:p>
    <w:p w14:paraId="68444CDD" w14:textId="77777777" w:rsidR="00FA2FF9" w:rsidRPr="00730DE4" w:rsidRDefault="00FA2FF9" w:rsidP="00802E6F">
      <w:pPr>
        <w:pStyle w:val="ListBullet"/>
        <w:rPr>
          <w:lang w:val="en-US"/>
        </w:rPr>
      </w:pPr>
      <w:r w:rsidRPr="00730DE4">
        <w:rPr>
          <w:lang w:val="en-US"/>
        </w:rPr>
        <w:t>processing 148,391 disaster recovery payments worth over $59 million</w:t>
      </w:r>
    </w:p>
    <w:p w14:paraId="1F45A642" w14:textId="77777777" w:rsidR="00FA2FF9" w:rsidRPr="00730DE4" w:rsidRDefault="00FA2FF9" w:rsidP="00802E6F">
      <w:pPr>
        <w:pStyle w:val="ListBullet"/>
        <w:rPr>
          <w:lang w:val="en-US"/>
        </w:rPr>
      </w:pPr>
      <w:r w:rsidRPr="00730DE4">
        <w:rPr>
          <w:lang w:val="en-US"/>
        </w:rPr>
        <w:t>configuring and providing 130 iPads, 200 laptops, and 36 network routers for Disaster Recovery Hubs</w:t>
      </w:r>
    </w:p>
    <w:p w14:paraId="4E080200" w14:textId="77777777" w:rsidR="00FA2FF9" w:rsidRPr="00730DE4" w:rsidRDefault="00FA2FF9" w:rsidP="00802E6F">
      <w:pPr>
        <w:pStyle w:val="ListBullet"/>
        <w:rPr>
          <w:lang w:val="en-US"/>
        </w:rPr>
      </w:pPr>
      <w:r w:rsidRPr="00730DE4">
        <w:rPr>
          <w:lang w:val="en-US"/>
        </w:rPr>
        <w:t>creating over 847 user accounts for Ready Reserve staff</w:t>
      </w:r>
    </w:p>
    <w:p w14:paraId="2441938B" w14:textId="77777777" w:rsidR="00FA2FF9" w:rsidRPr="00730DE4" w:rsidRDefault="00FA2FF9" w:rsidP="00802E6F">
      <w:pPr>
        <w:pStyle w:val="ListBullet"/>
        <w:rPr>
          <w:lang w:val="en-US"/>
        </w:rPr>
      </w:pPr>
      <w:r w:rsidRPr="00730DE4">
        <w:rPr>
          <w:lang w:val="en-US"/>
        </w:rPr>
        <w:t>setting up 240 desktop PCs and 65 laptops in Gabba Towers for recovery operations</w:t>
      </w:r>
    </w:p>
    <w:p w14:paraId="02C5F14C" w14:textId="77777777" w:rsidR="00FA2FF9" w:rsidRPr="00730DE4" w:rsidRDefault="00FA2FF9" w:rsidP="00802E6F">
      <w:pPr>
        <w:pStyle w:val="ListBullet"/>
        <w:rPr>
          <w:lang w:val="en-US"/>
        </w:rPr>
      </w:pPr>
      <w:r w:rsidRPr="00730DE4">
        <w:rPr>
          <w:lang w:val="en-US"/>
        </w:rPr>
        <w:t>providing connectivity and desktop services to support the urgent relocation of all community recovery operations team from Gabba Towers to Mineral House</w:t>
      </w:r>
    </w:p>
    <w:p w14:paraId="7EC6B41E" w14:textId="77777777" w:rsidR="00FA2FF9" w:rsidRPr="00730DE4" w:rsidRDefault="00FA2FF9" w:rsidP="00802E6F">
      <w:pPr>
        <w:pStyle w:val="ListBullet"/>
        <w:rPr>
          <w:lang w:val="en-US"/>
        </w:rPr>
      </w:pPr>
      <w:r w:rsidRPr="00730DE4">
        <w:rPr>
          <w:lang w:val="en-US"/>
        </w:rPr>
        <w:t>deploying mobile radio transmission devices or Cell-on-Wheels to support Public Safety Agencies' local communications and operations</w:t>
      </w:r>
    </w:p>
    <w:p w14:paraId="27F8D5FE" w14:textId="77777777" w:rsidR="00FA2FF9" w:rsidRPr="00730DE4" w:rsidRDefault="00FA2FF9" w:rsidP="00802E6F">
      <w:pPr>
        <w:pStyle w:val="ListBullet"/>
        <w:rPr>
          <w:lang w:val="en-US"/>
        </w:rPr>
      </w:pPr>
      <w:r w:rsidRPr="00730DE4">
        <w:rPr>
          <w:lang w:val="en-US"/>
        </w:rPr>
        <w:t>working with the Wujal Wujal Aboriginal Shire Council and Disaster Recovery unit to activate Starlink satellites in the area to enable network connectivity to restore services for staff and enable people to return to the community.</w:t>
      </w:r>
    </w:p>
    <w:p w14:paraId="1DC90D4F" w14:textId="77777777" w:rsidR="00B13631" w:rsidRPr="00730DE4" w:rsidRDefault="00B13631">
      <w:pPr>
        <w:suppressAutoHyphens w:val="0"/>
        <w:spacing w:before="0" w:line="259" w:lineRule="auto"/>
        <w:rPr>
          <w:rFonts w:eastAsiaTheme="majorEastAsia" w:cstheme="majorBidi"/>
          <w:color w:val="080C0F" w:themeColor="text1"/>
          <w:sz w:val="60"/>
          <w:szCs w:val="32"/>
        </w:rPr>
      </w:pPr>
      <w:r w:rsidRPr="00730DE4">
        <w:br w:type="page"/>
      </w:r>
    </w:p>
    <w:p w14:paraId="10363BD5" w14:textId="10E434C4" w:rsidR="00FA2FF9" w:rsidRPr="00730DE4" w:rsidRDefault="00FA2FF9" w:rsidP="002B7001">
      <w:pPr>
        <w:pStyle w:val="Heading2"/>
      </w:pPr>
      <w:bookmarkStart w:id="1134" w:name="_Toc180490804"/>
      <w:bookmarkStart w:id="1135" w:name="_Toc180491837"/>
      <w:r w:rsidRPr="00730DE4">
        <w:t>Digital economy</w:t>
      </w:r>
      <w:bookmarkEnd w:id="1134"/>
      <w:bookmarkEnd w:id="1135"/>
    </w:p>
    <w:p w14:paraId="0BA20398" w14:textId="77777777" w:rsidR="00FA2FF9" w:rsidRPr="00730DE4" w:rsidRDefault="00FA2FF9" w:rsidP="002B7001">
      <w:pPr>
        <w:pStyle w:val="Heading3"/>
        <w:rPr>
          <w:lang w:val="en-US"/>
        </w:rPr>
      </w:pPr>
      <w:bookmarkStart w:id="1136" w:name="_Toc180487599"/>
      <w:bookmarkStart w:id="1137" w:name="_Toc180490805"/>
      <w:bookmarkStart w:id="1138" w:name="_Toc180491838"/>
      <w:r w:rsidRPr="00730DE4">
        <w:rPr>
          <w:lang w:val="en-US"/>
        </w:rPr>
        <w:t>Digital inclusion</w:t>
      </w:r>
      <w:bookmarkEnd w:id="1136"/>
      <w:bookmarkEnd w:id="1137"/>
      <w:bookmarkEnd w:id="1138"/>
    </w:p>
    <w:p w14:paraId="61708DF2" w14:textId="77777777" w:rsidR="00FA2FF9" w:rsidRPr="00730DE4" w:rsidRDefault="00FA2FF9" w:rsidP="0046763F">
      <w:pPr>
        <w:rPr>
          <w:lang w:val="en-US"/>
        </w:rPr>
      </w:pPr>
      <w:r w:rsidRPr="00730DE4">
        <w:rPr>
          <w:lang w:val="en-US"/>
        </w:rPr>
        <w:t>QGCDG is working to bridge the digital divide in remote Aboriginal and Torres Strait Islander communities across Queensland through the Rapid LEO Deployment program. The program enables First Nations councils to establish LEO satellite connectivity in high priority locations, providing more effective and reliable fixed broadband coverage.</w:t>
      </w:r>
    </w:p>
    <w:p w14:paraId="360271CE" w14:textId="77777777" w:rsidR="00FA2FF9" w:rsidRPr="00730DE4" w:rsidRDefault="00FA2FF9" w:rsidP="0046763F">
      <w:pPr>
        <w:rPr>
          <w:lang w:val="en-US"/>
        </w:rPr>
      </w:pPr>
      <w:r w:rsidRPr="00730DE4">
        <w:rPr>
          <w:lang w:val="en-US"/>
        </w:rPr>
        <w:t>QGCDG is developing a digital infrastructure plan which will focus on working with regional and remote communities, telecommunication carriers, and the Australian Government to prioritise investment for rural and regional Queensland.</w:t>
      </w:r>
    </w:p>
    <w:p w14:paraId="16D4AD1A" w14:textId="77777777" w:rsidR="00FA2FF9" w:rsidRPr="00730DE4" w:rsidRDefault="00FA2FF9" w:rsidP="0046763F">
      <w:pPr>
        <w:rPr>
          <w:lang w:val="en-US"/>
        </w:rPr>
      </w:pPr>
      <w:r w:rsidRPr="00730DE4">
        <w:rPr>
          <w:lang w:val="en-US"/>
        </w:rPr>
        <w:t xml:space="preserve">Also in development is a digital inclusion </w:t>
      </w:r>
      <w:r w:rsidRPr="00730DE4">
        <w:t xml:space="preserve">strategy </w:t>
      </w:r>
      <w:r w:rsidRPr="00730DE4">
        <w:rPr>
          <w:lang w:val="en-US"/>
        </w:rPr>
        <w:t>to support all Queenslanders</w:t>
      </w:r>
      <w:r w:rsidRPr="00730DE4">
        <w:t xml:space="preserve"> by promoting access, affordability</w:t>
      </w:r>
      <w:r w:rsidRPr="00730DE4">
        <w:rPr>
          <w:lang w:val="en-US"/>
        </w:rPr>
        <w:t>,</w:t>
      </w:r>
      <w:r w:rsidRPr="00730DE4">
        <w:t xml:space="preserve"> and</w:t>
      </w:r>
      <w:r w:rsidRPr="00730DE4">
        <w:rPr>
          <w:lang w:val="en-US"/>
        </w:rPr>
        <w:t xml:space="preserve"> digital</w:t>
      </w:r>
      <w:r w:rsidRPr="00730DE4">
        <w:t xml:space="preserve"> ability so that everyone can enjoy the economic and social benefits of a digitally-enabled economy.</w:t>
      </w:r>
    </w:p>
    <w:p w14:paraId="780179EF" w14:textId="77777777" w:rsidR="00FA2FF9" w:rsidRPr="00730DE4" w:rsidRDefault="00FA2FF9" w:rsidP="002B7001">
      <w:pPr>
        <w:pStyle w:val="Heading3"/>
        <w:rPr>
          <w:lang w:val="en-US"/>
        </w:rPr>
      </w:pPr>
      <w:bookmarkStart w:id="1139" w:name="_Toc180487600"/>
      <w:bookmarkStart w:id="1140" w:name="_Toc180490806"/>
      <w:bookmarkStart w:id="1141" w:name="_Toc180491839"/>
      <w:r w:rsidRPr="00730DE4">
        <w:rPr>
          <w:lang w:val="en-US"/>
        </w:rPr>
        <w:t>Digital connectivity</w:t>
      </w:r>
      <w:bookmarkEnd w:id="1139"/>
      <w:bookmarkEnd w:id="1140"/>
      <w:bookmarkEnd w:id="1141"/>
    </w:p>
    <w:p w14:paraId="6BAFCE91" w14:textId="77777777" w:rsidR="00FA2FF9" w:rsidRPr="00730DE4" w:rsidRDefault="00FA2FF9" w:rsidP="0046763F">
      <w:pPr>
        <w:rPr>
          <w:lang w:val="en-US"/>
        </w:rPr>
      </w:pPr>
      <w:bookmarkStart w:id="1142" w:name="_Hlk163727563"/>
      <w:r w:rsidRPr="00730DE4">
        <w:rPr>
          <w:lang w:val="en-US"/>
        </w:rPr>
        <w:t xml:space="preserve">QGCDG is leading implementation of the </w:t>
      </w:r>
      <w:r w:rsidRPr="00730DE4">
        <w:rPr>
          <w:rStyle w:val="Emphasis"/>
        </w:rPr>
        <w:t>Our Thriving Digital Future: 2023–26 Action Plan</w:t>
      </w:r>
      <w:r w:rsidRPr="00730DE4">
        <w:rPr>
          <w:lang w:val="en-US"/>
        </w:rPr>
        <w:t xml:space="preserve">, which provides $120 million to improve statewide digital connectivity. </w:t>
      </w:r>
    </w:p>
    <w:p w14:paraId="52947D8C" w14:textId="77777777" w:rsidR="00FA2FF9" w:rsidRPr="00730DE4" w:rsidRDefault="00FA2FF9" w:rsidP="0046763F">
      <w:pPr>
        <w:rPr>
          <w:lang w:val="en-US"/>
        </w:rPr>
      </w:pPr>
      <w:r w:rsidRPr="00730DE4">
        <w:rPr>
          <w:lang w:val="en-US"/>
        </w:rPr>
        <w:t>In 2023–24, the Queensland Government committed $22.485 million to 22 projects in regional and remote Queensland, including a number of Aboriginal and Torres Strait Islander communities. Project locations include various communities in far North Queensland, Palm Island, Yarrabah, Hopevale, a number of islands in the Torres Strait, Injune, Aramac, Kynuna, Stamford, Muttaburra, McKinlay, and three segments on the Landsborough Highway between Winton and Kynuna.</w:t>
      </w:r>
    </w:p>
    <w:p w14:paraId="25A13ADA" w14:textId="77777777" w:rsidR="00FA2FF9" w:rsidRPr="00730DE4" w:rsidRDefault="00FA2FF9" w:rsidP="0046763F">
      <w:pPr>
        <w:rPr>
          <w:lang w:val="en-US"/>
        </w:rPr>
      </w:pPr>
      <w:r w:rsidRPr="00730DE4">
        <w:rPr>
          <w:lang w:val="en-US"/>
        </w:rPr>
        <w:t>This commitment builds on the 2022–23 Queensland Government co-investment of $10.9 million towards 15 projects in regional and remote Queensland. This co-investment delivers connectivity improvements worth $53.6 million.</w:t>
      </w:r>
    </w:p>
    <w:p w14:paraId="355B929D" w14:textId="77777777" w:rsidR="00FA2FF9" w:rsidRPr="00730DE4" w:rsidRDefault="00FA2FF9" w:rsidP="0046763F">
      <w:pPr>
        <w:rPr>
          <w:lang w:val="en-US"/>
        </w:rPr>
      </w:pPr>
      <w:r w:rsidRPr="00730DE4">
        <w:rPr>
          <w:lang w:val="en-US"/>
        </w:rPr>
        <w:t>QGCDG works closely with telecommunication carriers, the Australian Government, and local councils to improve connectivity across Queensland. Improving connectivity supports better access to education, innovation, healthcare, employment, and goods and services, regardless of location</w:t>
      </w:r>
      <w:bookmarkEnd w:id="1142"/>
      <w:r w:rsidRPr="00730DE4">
        <w:rPr>
          <w:lang w:val="en-US"/>
        </w:rPr>
        <w:t>.</w:t>
      </w:r>
    </w:p>
    <w:p w14:paraId="3381378C" w14:textId="77777777" w:rsidR="005B60B8" w:rsidRDefault="005B60B8" w:rsidP="002B7001">
      <w:pPr>
        <w:pStyle w:val="Heading3"/>
        <w:rPr>
          <w:lang w:val="en-US"/>
        </w:rPr>
      </w:pPr>
      <w:r>
        <w:rPr>
          <w:lang w:val="en-US"/>
        </w:rPr>
        <w:br w:type="page"/>
      </w:r>
    </w:p>
    <w:p w14:paraId="15146D93" w14:textId="7103A296" w:rsidR="00FA2FF9" w:rsidRPr="00730DE4" w:rsidRDefault="00FA2FF9" w:rsidP="002B7001">
      <w:pPr>
        <w:pStyle w:val="Heading3"/>
        <w:rPr>
          <w:lang w:val="en-US"/>
        </w:rPr>
      </w:pPr>
      <w:bookmarkStart w:id="1143" w:name="_Toc180487601"/>
      <w:bookmarkStart w:id="1144" w:name="_Toc180490807"/>
      <w:bookmarkStart w:id="1145" w:name="_Toc180491840"/>
      <w:r w:rsidRPr="00730DE4">
        <w:rPr>
          <w:lang w:val="en-US"/>
        </w:rPr>
        <w:t>Developing cyber capability and awareness</w:t>
      </w:r>
      <w:bookmarkEnd w:id="1143"/>
      <w:bookmarkEnd w:id="1144"/>
      <w:bookmarkEnd w:id="1145"/>
    </w:p>
    <w:p w14:paraId="4BBC6064" w14:textId="77777777" w:rsidR="00FA2FF9" w:rsidRPr="00730DE4" w:rsidRDefault="00FA2FF9" w:rsidP="0046763F">
      <w:pPr>
        <w:rPr>
          <w:lang w:val="en-US"/>
        </w:rPr>
      </w:pPr>
      <w:r w:rsidRPr="00730DE4">
        <w:rPr>
          <w:lang w:val="en-US"/>
        </w:rPr>
        <w:t>In partnership with organisations including TAFE Queensland and AusCert, the QGCDG’s CSU continues to develop and implement capability initiatives aimed at entry level, practitioner, and executives. In 2023–24, 42 training offerings were delivered to 339 attendees across the state.</w:t>
      </w:r>
    </w:p>
    <w:p w14:paraId="14CABAD1" w14:textId="77777777" w:rsidR="00FA2FF9" w:rsidRPr="00730DE4" w:rsidRDefault="00FA2FF9" w:rsidP="0046763F">
      <w:pPr>
        <w:rPr>
          <w:lang w:val="en-US"/>
        </w:rPr>
      </w:pPr>
      <w:r w:rsidRPr="00730DE4">
        <w:rPr>
          <w:lang w:val="en-US"/>
        </w:rPr>
        <w:t>In regional Queensland, 103 cyber professionals and executives completed 19 of these training offerings. In July 2023, an online delivery pilot of Certificate 4 in Cyber Security commenced with a cohort of 20 regional participants.</w:t>
      </w:r>
    </w:p>
    <w:p w14:paraId="406D9946" w14:textId="77777777" w:rsidR="00FA2FF9" w:rsidRPr="00730DE4" w:rsidRDefault="00FA2FF9" w:rsidP="0046763F">
      <w:pPr>
        <w:rPr>
          <w:lang w:val="en-US"/>
        </w:rPr>
      </w:pPr>
      <w:r w:rsidRPr="00730DE4">
        <w:rPr>
          <w:lang w:val="en-US"/>
        </w:rPr>
        <w:t>These initiatives are designed to attract and retain cyber talent in the public sector.</w:t>
      </w:r>
    </w:p>
    <w:p w14:paraId="479DF8DB" w14:textId="77777777" w:rsidR="00FA2FF9" w:rsidRPr="00730DE4" w:rsidRDefault="00FA2FF9" w:rsidP="0046763F">
      <w:pPr>
        <w:rPr>
          <w:lang w:val="en-US"/>
        </w:rPr>
      </w:pPr>
      <w:r w:rsidRPr="00730DE4">
        <w:rPr>
          <w:lang w:val="en-US"/>
        </w:rPr>
        <w:t>QGCDG CSU also backed initiatives to help fast-track cyber security industry growth to meet the rapid demand for cyber security services through sponsorship of Queensland cyber security conferences. In 2023–24, this included CrikeyCon, BrisSec, Realms of Cyber, and AusCERT. These events helped raise industry awareness of cyber threats and further develop the industry and supply chain cyber defence and resilience.</w:t>
      </w:r>
    </w:p>
    <w:p w14:paraId="1260CF04" w14:textId="77777777" w:rsidR="00FA2FF9" w:rsidRPr="00730DE4" w:rsidRDefault="00FA2FF9" w:rsidP="002B7001">
      <w:pPr>
        <w:pStyle w:val="Heading3"/>
      </w:pPr>
      <w:bookmarkStart w:id="1146" w:name="_Toc180487602"/>
      <w:bookmarkStart w:id="1147" w:name="_Toc180490808"/>
      <w:bookmarkStart w:id="1148" w:name="_Toc180491841"/>
      <w:r w:rsidRPr="00730DE4">
        <w:t>Case study: Digital skills and capability</w:t>
      </w:r>
      <w:bookmarkEnd w:id="1146"/>
      <w:bookmarkEnd w:id="1147"/>
      <w:bookmarkEnd w:id="1148"/>
    </w:p>
    <w:p w14:paraId="26F27DAF" w14:textId="77777777" w:rsidR="00FA2FF9" w:rsidRPr="00730DE4" w:rsidRDefault="00FA2FF9" w:rsidP="0046763F">
      <w:pPr>
        <w:rPr>
          <w:lang w:val="en-US"/>
        </w:rPr>
      </w:pPr>
      <w:r w:rsidRPr="00730DE4">
        <w:rPr>
          <w:lang w:val="en-US"/>
        </w:rPr>
        <w:t>QGCDG has been fostering the next generation of digital talent through the Queensland Government Digital Graduate Program.</w:t>
      </w:r>
    </w:p>
    <w:p w14:paraId="3FCC6303" w14:textId="77777777" w:rsidR="00FA2FF9" w:rsidRPr="00730DE4" w:rsidRDefault="00FA2FF9" w:rsidP="0046763F">
      <w:pPr>
        <w:rPr>
          <w:lang w:val="en-US"/>
        </w:rPr>
      </w:pPr>
      <w:r w:rsidRPr="00730DE4">
        <w:rPr>
          <w:lang w:val="en-US"/>
        </w:rPr>
        <w:t>Each year the Digital Graduate Program opens invitations to Queensland Government agencies, statutory authorities, and government-owned corporations to host a digital graduate. The program offers a two-year paid placement in digital technology roles including cyber security, data, operations support, human-centred design, outcome management, and technology streams. On average, 86 per cent of graduates remain employed by the Queensland Government post-program.</w:t>
      </w:r>
    </w:p>
    <w:p w14:paraId="1EFF4C06" w14:textId="77777777" w:rsidR="00FA2FF9" w:rsidRPr="00730DE4" w:rsidRDefault="00FA2FF9" w:rsidP="0046763F">
      <w:pPr>
        <w:rPr>
          <w:lang w:val="en-US"/>
        </w:rPr>
      </w:pPr>
      <w:r w:rsidRPr="00730DE4">
        <w:rPr>
          <w:lang w:val="en-US"/>
        </w:rPr>
        <w:t>In 2023, 54 graduates were recruited, and in 2024, QGCDG welcomed 83 graduates, ready to launch their careers in Queensland’s thriving digital landscape.</w:t>
      </w:r>
    </w:p>
    <w:p w14:paraId="4314452A" w14:textId="77777777" w:rsidR="00FA2FF9" w:rsidRPr="00730DE4" w:rsidRDefault="00FA2FF9" w:rsidP="0046763F">
      <w:pPr>
        <w:rPr>
          <w:lang w:val="en-US"/>
        </w:rPr>
      </w:pPr>
      <w:r w:rsidRPr="00730DE4">
        <w:rPr>
          <w:lang w:val="en-US"/>
        </w:rPr>
        <w:t>QGCDG is now expanding the Digital Graduate Program to allow a wider pipeline for recruitment of digital talent into Queensland Government. From June 2024, the Queensland Government’s Digital Cadetship pilot will offer 12-month temporary part-time placements with a minimum of two days paid work.</w:t>
      </w:r>
    </w:p>
    <w:p w14:paraId="1F9F9C79" w14:textId="77777777" w:rsidR="00B13631" w:rsidRPr="00730DE4" w:rsidRDefault="00B13631">
      <w:pPr>
        <w:suppressAutoHyphens w:val="0"/>
        <w:spacing w:before="0" w:line="259" w:lineRule="auto"/>
        <w:rPr>
          <w:rFonts w:eastAsiaTheme="majorEastAsia" w:cstheme="majorBidi"/>
          <w:b/>
          <w:color w:val="080C0F" w:themeColor="text1"/>
          <w:sz w:val="72"/>
          <w:szCs w:val="36"/>
        </w:rPr>
      </w:pPr>
      <w:r w:rsidRPr="00730DE4">
        <w:br w:type="page"/>
      </w:r>
    </w:p>
    <w:p w14:paraId="6710D34A" w14:textId="45105BD4" w:rsidR="00FA2FF9" w:rsidRPr="00730DE4" w:rsidRDefault="00FA2FF9" w:rsidP="002B7001">
      <w:pPr>
        <w:pStyle w:val="Heading1"/>
      </w:pPr>
      <w:bookmarkStart w:id="1149" w:name="_Toc180490809"/>
      <w:bookmarkStart w:id="1150" w:name="_Toc180491842"/>
      <w:r w:rsidRPr="00730DE4">
        <w:t>Our People</w:t>
      </w:r>
      <w:bookmarkEnd w:id="1149"/>
      <w:bookmarkEnd w:id="1150"/>
    </w:p>
    <w:p w14:paraId="75CBCE76" w14:textId="77777777" w:rsidR="00FD7984" w:rsidRPr="00730DE4" w:rsidRDefault="00FD7984" w:rsidP="00FD7984">
      <w:r w:rsidRPr="00730DE4">
        <w:t>To read more about the strategies and indicators of success linked to these strategic priorities, see page 19–30.</w:t>
      </w:r>
    </w:p>
    <w:p w14:paraId="0B86A969" w14:textId="77777777" w:rsidR="00FA2FF9" w:rsidRPr="00730DE4" w:rsidRDefault="00FA2FF9" w:rsidP="002B7001">
      <w:pPr>
        <w:pStyle w:val="Heading2"/>
      </w:pPr>
      <w:bookmarkStart w:id="1151" w:name="_Toc180490810"/>
      <w:bookmarkStart w:id="1152" w:name="_Toc180491843"/>
      <w:r w:rsidRPr="00730DE4">
        <w:t>Highlights</w:t>
      </w:r>
      <w:bookmarkEnd w:id="1151"/>
      <w:bookmarkEnd w:id="1152"/>
    </w:p>
    <w:p w14:paraId="481DC75C" w14:textId="77777777" w:rsidR="00FA2FF9" w:rsidRPr="00730DE4" w:rsidRDefault="00FA2FF9" w:rsidP="00483149">
      <w:pPr>
        <w:pStyle w:val="ListBullet"/>
      </w:pPr>
      <w:r w:rsidRPr="00730DE4">
        <w:t>Sponsored the Darkness to Daylight 2024 challenge for the ninth consecutive year with a strong presence from TMR employees and executives.</w:t>
      </w:r>
    </w:p>
    <w:p w14:paraId="3975E053" w14:textId="77777777" w:rsidR="00FA2FF9" w:rsidRPr="00730DE4" w:rsidRDefault="00FA2FF9" w:rsidP="00483149">
      <w:pPr>
        <w:pStyle w:val="ListBullet"/>
      </w:pPr>
      <w:r w:rsidRPr="00730DE4">
        <w:t xml:space="preserve">Continued TMR’s partnership with WorkHaven on the </w:t>
      </w:r>
      <w:r w:rsidRPr="00730DE4">
        <w:rPr>
          <w:rStyle w:val="Emphasis"/>
        </w:rPr>
        <w:t>Fresh Start for Me</w:t>
      </w:r>
      <w:r w:rsidRPr="00730DE4">
        <w:t xml:space="preserve"> online coaching program to help employees impacted by Domestic and Family Violence (DFV).</w:t>
      </w:r>
    </w:p>
    <w:p w14:paraId="7A2BAA10" w14:textId="77777777" w:rsidR="00FA2FF9" w:rsidRPr="00730DE4" w:rsidRDefault="00FA2FF9" w:rsidP="00483149">
      <w:pPr>
        <w:pStyle w:val="ListBullet"/>
      </w:pPr>
      <w:r w:rsidRPr="00730DE4">
        <w:t>Commenced the Cultural Heritage Cadetship trial for a Aboriginal and Torres Strait Islander tertiary student to work part-time at the TMR Roma office while studying.</w:t>
      </w:r>
    </w:p>
    <w:p w14:paraId="782826D0" w14:textId="77777777" w:rsidR="00FA2FF9" w:rsidRPr="00730DE4" w:rsidRDefault="00FA2FF9" w:rsidP="00483149">
      <w:pPr>
        <w:pStyle w:val="ListBullet"/>
      </w:pPr>
      <w:r w:rsidRPr="00730DE4">
        <w:t>Continued to support Aboriginal and Torres Strait Islander employees through the Indigenous Employee Network with over 40 members.</w:t>
      </w:r>
    </w:p>
    <w:p w14:paraId="3765F545" w14:textId="77777777" w:rsidR="00FA2FF9" w:rsidRPr="00730DE4" w:rsidRDefault="00FA2FF9" w:rsidP="00483149">
      <w:pPr>
        <w:pStyle w:val="ListBullet"/>
      </w:pPr>
      <w:r w:rsidRPr="00730DE4">
        <w:t>Delivered of cultural awareness and capability training to staff.</w:t>
      </w:r>
    </w:p>
    <w:p w14:paraId="5D7F2DB5" w14:textId="77777777" w:rsidR="00FA2FF9" w:rsidRPr="00730DE4" w:rsidRDefault="00FA2FF9" w:rsidP="00483149">
      <w:pPr>
        <w:pStyle w:val="ListBullet"/>
      </w:pPr>
      <w:r w:rsidRPr="00730DE4">
        <w:t>Celebrated International Women’s Day and Queensland Women’s Week, and acknowledged the ten 2024 TMR Wonder Women, highlighting the diverse and inspirational women who work across TMR.</w:t>
      </w:r>
    </w:p>
    <w:p w14:paraId="73096A31" w14:textId="77777777" w:rsidR="00FA2FF9" w:rsidRPr="00730DE4" w:rsidRDefault="00FA2FF9" w:rsidP="00483149">
      <w:pPr>
        <w:pStyle w:val="ListBullet"/>
      </w:pPr>
      <w:r w:rsidRPr="00730DE4">
        <w:t>Sponsored the UNIQ You program that connected 515 female school students with female advisors from non-traditional roles to build a future pipeline for under-represented industries.</w:t>
      </w:r>
    </w:p>
    <w:p w14:paraId="4B3BDA27" w14:textId="77777777" w:rsidR="00FA2FF9" w:rsidRPr="00730DE4" w:rsidRDefault="00FA2FF9" w:rsidP="00483149">
      <w:pPr>
        <w:pStyle w:val="ListBullet"/>
      </w:pPr>
      <w:r w:rsidRPr="00730DE4">
        <w:t>Supported the Women in Engineering Program, including sponsoring Engineering Link Group workshops and competitions for students.</w:t>
      </w:r>
    </w:p>
    <w:p w14:paraId="522CE9DA" w14:textId="77777777" w:rsidR="00FA2FF9" w:rsidRPr="00730DE4" w:rsidRDefault="00FA2FF9" w:rsidP="00483149">
      <w:pPr>
        <w:pStyle w:val="ListBullet"/>
      </w:pPr>
      <w:r w:rsidRPr="00730DE4">
        <w:t>Awarded $24,000 in bursaries, in partnership with QUT and the National Council of Women in Queensland, to six high-performing women studying engineering.</w:t>
      </w:r>
    </w:p>
    <w:p w14:paraId="20142850" w14:textId="77777777" w:rsidR="00FA2FF9" w:rsidRPr="00730DE4" w:rsidRDefault="00FA2FF9" w:rsidP="00483149">
      <w:pPr>
        <w:pStyle w:val="ListBullet"/>
      </w:pPr>
      <w:r w:rsidRPr="00730DE4">
        <w:t>Welcomed RoadTek’s ninth Women in Construction program cohort, which provides women an entryway into the construction industry.</w:t>
      </w:r>
    </w:p>
    <w:p w14:paraId="405B4FEB" w14:textId="77777777" w:rsidR="00FA2FF9" w:rsidRPr="00730DE4" w:rsidRDefault="00FA2FF9" w:rsidP="00483149">
      <w:pPr>
        <w:pStyle w:val="ListBullet"/>
      </w:pPr>
      <w:r w:rsidRPr="00730DE4">
        <w:t>Held the annual TMR Learning Network Forum as part of International Adult Learners’ Week, themed ‘it’s never too late to learn’.</w:t>
      </w:r>
    </w:p>
    <w:p w14:paraId="0A15AF75" w14:textId="77777777" w:rsidR="00FA2FF9" w:rsidRPr="00730DE4" w:rsidRDefault="00FA2FF9" w:rsidP="00483149">
      <w:pPr>
        <w:pStyle w:val="ListBullet"/>
      </w:pPr>
      <w:r w:rsidRPr="00730DE4">
        <w:t>Welcomed 45 new graduates in 2024 as part of TMR’s graduate program.</w:t>
      </w:r>
    </w:p>
    <w:p w14:paraId="7CF8E11C" w14:textId="77777777" w:rsidR="00FA2FF9" w:rsidRPr="00730DE4" w:rsidRDefault="00FA2FF9" w:rsidP="00483149">
      <w:pPr>
        <w:pStyle w:val="ListBullet"/>
      </w:pPr>
      <w:r w:rsidRPr="00730DE4">
        <w:t xml:space="preserve">Partnered with the Public Sector Commission and Department of the Premier and Cabinet under the </w:t>
      </w:r>
      <w:r w:rsidRPr="00730DE4">
        <w:rPr>
          <w:rStyle w:val="Emphasis"/>
        </w:rPr>
        <w:t>Even Better Public Sector Strategy for Queensland 2024–2028</w:t>
      </w:r>
      <w:r w:rsidRPr="00730DE4">
        <w:t xml:space="preserve"> to develop a whole-of-sector, non-frontline graduate program to improve sector-wide graduate pathways. </w:t>
      </w:r>
    </w:p>
    <w:p w14:paraId="72E0E58E" w14:textId="77777777" w:rsidR="00FA2FF9" w:rsidRPr="00730DE4" w:rsidRDefault="00FA2FF9" w:rsidP="00483149">
      <w:pPr>
        <w:pStyle w:val="ListBullet"/>
      </w:pPr>
      <w:r w:rsidRPr="00730DE4">
        <w:t>Continued the long-running OneTMR and Women in Leadership TMR mentoring programs, with 41 matched pairs in the Women in Leadership program and 42 matched pairs in the OneTMR Mentoring program.</w:t>
      </w:r>
    </w:p>
    <w:p w14:paraId="38D3787D" w14:textId="77777777" w:rsidR="00FA2FF9" w:rsidRPr="00730DE4" w:rsidRDefault="00FA2FF9" w:rsidP="00483149">
      <w:pPr>
        <w:pStyle w:val="ListBullet"/>
      </w:pPr>
      <w:r w:rsidRPr="00730DE4">
        <w:t>Held TMR’s tenth annual CUBIE Awards to acknowledge and recognise the people and teams demonstrating each of the TMR values: Customers First; Unleash Potential; Be Courageous; Empower People; and Ideas Into Action.</w:t>
      </w:r>
    </w:p>
    <w:p w14:paraId="23C22FA6" w14:textId="77777777" w:rsidR="00FA2FF9" w:rsidRPr="00730DE4" w:rsidRDefault="00FA2FF9" w:rsidP="00483149">
      <w:pPr>
        <w:pStyle w:val="ListBullet"/>
      </w:pPr>
      <w:r w:rsidRPr="00730DE4">
        <w:t>Cultivated a flexible and future-proof workforce through initiatives including negotiations of contemporary employment conditions across four Certified Agreements.</w:t>
      </w:r>
    </w:p>
    <w:p w14:paraId="6BAABDC8" w14:textId="77777777" w:rsidR="00FA2FF9" w:rsidRPr="00730DE4" w:rsidRDefault="00FA2FF9" w:rsidP="00483149">
      <w:pPr>
        <w:pStyle w:val="ListBullet"/>
      </w:pPr>
      <w:r w:rsidRPr="00730DE4">
        <w:t>Developed and commenced delivery of WHS capability training for managers and supervisors to build capability in risk and incident management to promote a safe and healthy workplace for all TMR employees, customers, and visitors.</w:t>
      </w:r>
    </w:p>
    <w:p w14:paraId="6E1AA20E" w14:textId="77777777" w:rsidR="00094BA5" w:rsidRPr="00730DE4" w:rsidRDefault="00094BA5">
      <w:pPr>
        <w:suppressAutoHyphens w:val="0"/>
        <w:spacing w:before="0" w:line="259" w:lineRule="auto"/>
        <w:rPr>
          <w:rFonts w:eastAsiaTheme="majorEastAsia" w:cstheme="majorBidi"/>
          <w:color w:val="080C0F" w:themeColor="text1"/>
          <w:sz w:val="60"/>
          <w:szCs w:val="32"/>
          <w:lang w:val="en-US"/>
        </w:rPr>
      </w:pPr>
      <w:r w:rsidRPr="00730DE4">
        <w:rPr>
          <w:lang w:val="en-US"/>
        </w:rPr>
        <w:br w:type="page"/>
      </w:r>
    </w:p>
    <w:p w14:paraId="103F90A1" w14:textId="32FB4F36" w:rsidR="00FA2FF9" w:rsidRPr="00730DE4" w:rsidRDefault="00FA2FF9" w:rsidP="002B7001">
      <w:pPr>
        <w:pStyle w:val="Heading2"/>
        <w:rPr>
          <w:lang w:val="en-US"/>
        </w:rPr>
      </w:pPr>
      <w:bookmarkStart w:id="1153" w:name="_Toc180490811"/>
      <w:bookmarkStart w:id="1154" w:name="_Toc180491844"/>
      <w:r w:rsidRPr="00730DE4">
        <w:rPr>
          <w:lang w:val="en-US"/>
        </w:rPr>
        <w:t>TMR People and Culture–Year in review</w:t>
      </w:r>
      <w:bookmarkEnd w:id="1153"/>
      <w:bookmarkEnd w:id="1154"/>
    </w:p>
    <w:p w14:paraId="719C2469" w14:textId="77777777" w:rsidR="00FA2FF9" w:rsidRPr="00730DE4" w:rsidRDefault="00FA2FF9" w:rsidP="00A72A1B">
      <w:pPr>
        <w:rPr>
          <w:lang w:val="en-US"/>
        </w:rPr>
      </w:pPr>
      <w:r w:rsidRPr="00730DE4">
        <w:rPr>
          <w:lang w:val="en-US"/>
        </w:rPr>
        <w:t>TMR remains a proudly inclusive organisation that embraces people's diversity of thought, culture, and life experiences to ensure it reflects the communities it serves. TMR ensures all people are acknowledged and supported in delivering TMR's vision of creating a single integrated network accessible to everyone.</w:t>
      </w:r>
    </w:p>
    <w:p w14:paraId="0E2DCBA1" w14:textId="77777777" w:rsidR="00FA2FF9" w:rsidRPr="00730DE4" w:rsidRDefault="00FA2FF9" w:rsidP="00A72A1B">
      <w:pPr>
        <w:rPr>
          <w:lang w:val="en-US"/>
        </w:rPr>
      </w:pPr>
      <w:r w:rsidRPr="00730DE4">
        <w:rPr>
          <w:lang w:val="en-US"/>
        </w:rPr>
        <w:t>In 2023–24, TMR delivered on several key initiatives and projects to continue a positive workplace culture for the benefit of its people. TMR enabled programs to support people in their professional development, expect greatness from leaders, and created a safe work environment that encourages everyone to help one another and feel empowered.</w:t>
      </w:r>
    </w:p>
    <w:p w14:paraId="0DE9A028" w14:textId="77777777" w:rsidR="00FA2FF9" w:rsidRPr="00730DE4" w:rsidRDefault="00FA2FF9" w:rsidP="00A72A1B">
      <w:pPr>
        <w:rPr>
          <w:lang w:val="en-US"/>
        </w:rPr>
      </w:pPr>
      <w:r w:rsidRPr="00730DE4">
        <w:rPr>
          <w:lang w:val="en-US"/>
        </w:rPr>
        <w:t>Key areas of focus included:</w:t>
      </w:r>
    </w:p>
    <w:p w14:paraId="56B1C8A4" w14:textId="77777777" w:rsidR="00FA2FF9" w:rsidRPr="00730DE4" w:rsidRDefault="00FA2FF9" w:rsidP="00A72A1B">
      <w:pPr>
        <w:pStyle w:val="ListBullet"/>
        <w:rPr>
          <w:lang w:val="en-US"/>
        </w:rPr>
      </w:pPr>
      <w:r w:rsidRPr="00730DE4">
        <w:rPr>
          <w:lang w:val="en-US"/>
        </w:rPr>
        <w:t>enhancing an already strong culture for our people</w:t>
      </w:r>
    </w:p>
    <w:p w14:paraId="7D6B1890" w14:textId="77777777" w:rsidR="00FA2FF9" w:rsidRPr="00730DE4" w:rsidRDefault="00FA2FF9" w:rsidP="00A72A1B">
      <w:pPr>
        <w:pStyle w:val="ListBullet"/>
        <w:rPr>
          <w:lang w:val="en-US"/>
        </w:rPr>
      </w:pPr>
      <w:r w:rsidRPr="00730DE4">
        <w:rPr>
          <w:lang w:val="en-US"/>
        </w:rPr>
        <w:t>empowering our diverse and inclusive workforce</w:t>
      </w:r>
    </w:p>
    <w:p w14:paraId="109A361D" w14:textId="77777777" w:rsidR="00FA2FF9" w:rsidRPr="00730DE4" w:rsidRDefault="00FA2FF9" w:rsidP="00A72A1B">
      <w:pPr>
        <w:pStyle w:val="ListBullet"/>
        <w:rPr>
          <w:lang w:val="en-US"/>
        </w:rPr>
      </w:pPr>
      <w:r w:rsidRPr="00730DE4">
        <w:rPr>
          <w:lang w:val="en-US"/>
        </w:rPr>
        <w:t>supporting our people to be agile and future ready</w:t>
      </w:r>
    </w:p>
    <w:p w14:paraId="071ABC4C" w14:textId="77777777" w:rsidR="00FA2FF9" w:rsidRPr="00730DE4" w:rsidRDefault="00FA2FF9" w:rsidP="00A72A1B">
      <w:pPr>
        <w:pStyle w:val="ListBullet"/>
        <w:rPr>
          <w:lang w:val="en-US"/>
        </w:rPr>
      </w:pPr>
      <w:r w:rsidRPr="00730DE4">
        <w:rPr>
          <w:lang w:val="en-US"/>
        </w:rPr>
        <w:t>protecting the health, wellbeing, and safety of our people.</w:t>
      </w:r>
    </w:p>
    <w:p w14:paraId="27B66735" w14:textId="77777777" w:rsidR="00FA2FF9" w:rsidRPr="00730DE4" w:rsidRDefault="00FA2FF9" w:rsidP="00A72A1B">
      <w:pPr>
        <w:rPr>
          <w:lang w:val="en-US"/>
        </w:rPr>
      </w:pPr>
      <w:r w:rsidRPr="00730DE4">
        <w:rPr>
          <w:lang w:val="en-US"/>
        </w:rPr>
        <w:t>TMR deeply values the diverse backgrounds and rich experiences of our people and recognises their unique perspectives and contributions are the driving force behind TMR’s strong workplace culture. In 2023–24, there has been a strong driver for TMR to proudly display and emphasise our connections to our people and culture with programs that include:</w:t>
      </w:r>
    </w:p>
    <w:p w14:paraId="1BA22D8E" w14:textId="77777777" w:rsidR="00FA2FF9" w:rsidRPr="00730DE4" w:rsidRDefault="00FA2FF9" w:rsidP="00A72A1B">
      <w:pPr>
        <w:pStyle w:val="ListBullet"/>
        <w:rPr>
          <w:lang w:val="en-US"/>
        </w:rPr>
      </w:pPr>
      <w:r w:rsidRPr="00730DE4">
        <w:rPr>
          <w:lang w:val="en-US"/>
        </w:rPr>
        <w:t>a new #weareTMR employee value proposition campaign that centers around the uniting premise of the word ‘we’—‘we’ means part of a team, a family, or a group, connected with a common goal</w:t>
      </w:r>
    </w:p>
    <w:p w14:paraId="37BA5722" w14:textId="77777777" w:rsidR="00FA2FF9" w:rsidRPr="00730DE4" w:rsidRDefault="00FA2FF9" w:rsidP="00A72A1B">
      <w:pPr>
        <w:pStyle w:val="ListBullet"/>
        <w:rPr>
          <w:lang w:val="en-US"/>
        </w:rPr>
      </w:pPr>
      <w:r w:rsidRPr="00730DE4">
        <w:rPr>
          <w:lang w:val="en-US"/>
        </w:rPr>
        <w:t>sponsorship and attendance at the Brisbane Pride Rally and Fair Day, which brought together allies and members of the LGBTIQ+ community to create connections, improve confidence, and increase wellbeing</w:t>
      </w:r>
    </w:p>
    <w:p w14:paraId="02AD9630" w14:textId="77777777" w:rsidR="00FA2FF9" w:rsidRPr="00730DE4" w:rsidRDefault="00FA2FF9" w:rsidP="00C32036">
      <w:pPr>
        <w:pStyle w:val="ListBullet"/>
        <w:rPr>
          <w:lang w:val="en-US"/>
        </w:rPr>
      </w:pPr>
      <w:r w:rsidRPr="00730DE4">
        <w:rPr>
          <w:lang w:val="en-US"/>
        </w:rPr>
        <w:t>acknowledgement and display of connection with Aboriginal and Torres Strait Islander employees, people, and community members through cultural activities and learning during National Reconciliation Week and attendance at NAIDOC Week festivities and observances</w:t>
      </w:r>
    </w:p>
    <w:p w14:paraId="586752F4" w14:textId="77777777" w:rsidR="00FA2FF9" w:rsidRPr="00730DE4" w:rsidRDefault="00FA2FF9" w:rsidP="00C32036">
      <w:pPr>
        <w:pStyle w:val="ListBullet"/>
        <w:rPr>
          <w:lang w:val="en-US"/>
        </w:rPr>
      </w:pPr>
      <w:r w:rsidRPr="00730DE4">
        <w:rPr>
          <w:lang w:val="en-US"/>
        </w:rPr>
        <w:t>supporting local First Nations businesses by featuring First Nations speakers at TMR events, such as the guest speaker at the recent TMR Wonder Women event, Mundanara Bayles (Managing Director and co-founder of the BlackCard Pty Ltd)</w:t>
      </w:r>
    </w:p>
    <w:p w14:paraId="0EE6383B" w14:textId="77777777" w:rsidR="00FA2FF9" w:rsidRPr="00730DE4" w:rsidRDefault="00FA2FF9" w:rsidP="00A72A1B">
      <w:pPr>
        <w:pStyle w:val="ListBullet"/>
        <w:rPr>
          <w:lang w:val="en-US"/>
        </w:rPr>
      </w:pPr>
      <w:r w:rsidRPr="00730DE4">
        <w:rPr>
          <w:lang w:val="en-US"/>
        </w:rPr>
        <w:t>establishment of the TMR People and Safety Committee with a purpose of providing governance to TMR's Executive Leadership Team (ELT) on building a culture of respect and inclusion, leading and monitoring safety, and providing assurance that our people and safety systems practices and initiatives are working to protect and enable our workforce.</w:t>
      </w:r>
    </w:p>
    <w:p w14:paraId="3107F4E5" w14:textId="77777777" w:rsidR="00FA2FF9" w:rsidRPr="00730DE4" w:rsidRDefault="00FA2FF9" w:rsidP="00A72A1B">
      <w:pPr>
        <w:rPr>
          <w:lang w:val="en-US"/>
        </w:rPr>
      </w:pPr>
      <w:r w:rsidRPr="00730DE4">
        <w:rPr>
          <w:lang w:val="en-US"/>
        </w:rPr>
        <w:t xml:space="preserve">In 2023–24, TMR made even more progress in reaching gender equality in the workplace. We continue to deliver on the </w:t>
      </w:r>
      <w:r w:rsidRPr="00730DE4">
        <w:rPr>
          <w:rStyle w:val="Emphasis"/>
        </w:rPr>
        <w:t xml:space="preserve">TMR Equity and Diversity Plan </w:t>
      </w:r>
      <w:r w:rsidRPr="00730DE4">
        <w:rPr>
          <w:lang w:val="en-US"/>
        </w:rPr>
        <w:t xml:space="preserve">and the </w:t>
      </w:r>
      <w:r w:rsidRPr="00730DE4">
        <w:rPr>
          <w:rStyle w:val="Emphasis"/>
        </w:rPr>
        <w:t>Queensland Women's Strategy (2022–27).</w:t>
      </w:r>
      <w:r w:rsidRPr="00730DE4">
        <w:rPr>
          <w:lang w:val="en-US"/>
        </w:rPr>
        <w:t xml:space="preserve"> This included the celebration of TMR's Wonder Women program initiative which recognises the contributions and advancements of women within TMR, emphasising their achievements and the ongoing journey towards gender parity and pay equity. As part of its Women in Leadership program, TMR also introduced the inaugural Leadership Ladder program. This initiative aims to support the advancement of emerging female leaders across the organisation and contributes to TMR's overarching objective of achieving 50 per cent representation of women in leadership by 2026.</w:t>
      </w:r>
    </w:p>
    <w:p w14:paraId="194AB748" w14:textId="77777777" w:rsidR="00FA2FF9" w:rsidRPr="00730DE4" w:rsidRDefault="00FA2FF9" w:rsidP="00A72A1B">
      <w:pPr>
        <w:rPr>
          <w:lang w:val="en-US"/>
        </w:rPr>
      </w:pPr>
      <w:bookmarkStart w:id="1155" w:name="_Hlk162008362"/>
      <w:r w:rsidRPr="00730DE4">
        <w:rPr>
          <w:lang w:val="en-US"/>
        </w:rPr>
        <w:t xml:space="preserve">Progress was also achieved in fostering a more diverse and inclusive workforce by updating TMR's </w:t>
      </w:r>
      <w:r w:rsidRPr="00730DE4">
        <w:rPr>
          <w:rStyle w:val="Emphasis"/>
        </w:rPr>
        <w:t xml:space="preserve">Recruitment and Selection Procedure </w:t>
      </w:r>
      <w:r w:rsidRPr="00730DE4">
        <w:rPr>
          <w:lang w:val="en-US"/>
        </w:rPr>
        <w:t>and resources to align with legislative and directive changes, ensuring that eligible applicants are selected based on their suitability for the position. Work included:</w:t>
      </w:r>
    </w:p>
    <w:p w14:paraId="62660093" w14:textId="77777777" w:rsidR="00FA2FF9" w:rsidRPr="00730DE4" w:rsidRDefault="00FA2FF9" w:rsidP="00A72A1B">
      <w:pPr>
        <w:pStyle w:val="ListBullet"/>
        <w:rPr>
          <w:lang w:val="en-US"/>
        </w:rPr>
      </w:pPr>
      <w:r w:rsidRPr="00730DE4">
        <w:rPr>
          <w:lang w:val="en-US"/>
        </w:rPr>
        <w:t xml:space="preserve">updating </w:t>
      </w:r>
      <w:r w:rsidRPr="00730DE4">
        <w:rPr>
          <w:rStyle w:val="Emphasis"/>
        </w:rPr>
        <w:t>Recruitment and Selection Procedure,</w:t>
      </w:r>
      <w:r w:rsidRPr="00730DE4">
        <w:rPr>
          <w:lang w:val="en-US"/>
        </w:rPr>
        <w:t xml:space="preserve"> role description template, selection report, and referee report template</w:t>
      </w:r>
    </w:p>
    <w:p w14:paraId="7E30E2D0" w14:textId="77777777" w:rsidR="00FA2FF9" w:rsidRPr="00730DE4" w:rsidRDefault="00FA2FF9" w:rsidP="00A72A1B">
      <w:pPr>
        <w:pStyle w:val="ListBullet"/>
        <w:rPr>
          <w:lang w:val="en-US"/>
        </w:rPr>
      </w:pPr>
      <w:r w:rsidRPr="00730DE4">
        <w:rPr>
          <w:lang w:val="en-US"/>
        </w:rPr>
        <w:t>delivery of a recruitment and selection online course</w:t>
      </w:r>
    </w:p>
    <w:p w14:paraId="347A367B" w14:textId="77777777" w:rsidR="00FA2FF9" w:rsidRPr="00730DE4" w:rsidRDefault="00FA2FF9" w:rsidP="00A72A1B">
      <w:pPr>
        <w:pStyle w:val="ListBullet"/>
        <w:rPr>
          <w:lang w:val="en-US"/>
        </w:rPr>
      </w:pPr>
      <w:r w:rsidRPr="00730DE4">
        <w:rPr>
          <w:lang w:val="en-US"/>
        </w:rPr>
        <w:t>training for human resources (HR) cohort and leaders, including creation of an identified role and targeted recruitment guide</w:t>
      </w:r>
    </w:p>
    <w:p w14:paraId="4F88DC55" w14:textId="77777777" w:rsidR="00FA2FF9" w:rsidRPr="00730DE4" w:rsidRDefault="00FA2FF9" w:rsidP="00A72A1B">
      <w:pPr>
        <w:pStyle w:val="ListBullet"/>
        <w:rPr>
          <w:lang w:val="en-US"/>
        </w:rPr>
      </w:pPr>
      <w:r w:rsidRPr="00730DE4">
        <w:rPr>
          <w:lang w:val="en-US"/>
        </w:rPr>
        <w:t xml:space="preserve">releasing a Recruitment Fundamentals online course, accessible to all employees to support recruitment and selection </w:t>
      </w:r>
    </w:p>
    <w:p w14:paraId="507985F0" w14:textId="77777777" w:rsidR="00FA2FF9" w:rsidRPr="00730DE4" w:rsidRDefault="00FA2FF9" w:rsidP="00A72A1B">
      <w:pPr>
        <w:pStyle w:val="ListBullet"/>
        <w:rPr>
          <w:lang w:val="en-US"/>
        </w:rPr>
      </w:pPr>
      <w:r w:rsidRPr="00730DE4">
        <w:rPr>
          <w:lang w:val="en-US"/>
        </w:rPr>
        <w:t>developing the Senior Executive Service women attraction strategy.</w:t>
      </w:r>
    </w:p>
    <w:p w14:paraId="611438F4" w14:textId="77777777" w:rsidR="00FA2FF9" w:rsidRPr="00730DE4" w:rsidRDefault="00FA2FF9" w:rsidP="00A72A1B">
      <w:pPr>
        <w:rPr>
          <w:lang w:val="en-US"/>
        </w:rPr>
      </w:pPr>
      <w:r w:rsidRPr="00730DE4">
        <w:rPr>
          <w:lang w:val="en-US"/>
        </w:rPr>
        <w:t xml:space="preserve">TMR continued its </w:t>
      </w:r>
      <w:r w:rsidRPr="00730DE4">
        <w:rPr>
          <w:rStyle w:val="Emphasis"/>
        </w:rPr>
        <w:t>Learning Strategy 2021–24,</w:t>
      </w:r>
      <w:r w:rsidRPr="00730DE4">
        <w:rPr>
          <w:lang w:val="en-US"/>
        </w:rPr>
        <w:t xml:space="preserve"> supporting our people to apply a contemporary and agile approach to their professional development and continuous growth culture. A key deliverable under the Leadership priority area was the delivery of the Management Fundamentals program, helping current and emerging leaders to consolidate skills and fill knowledge gaps, becoming contemporary leaders across the organisation. Additionally, TMR continued to deliver the following key tools and programs:</w:t>
      </w:r>
    </w:p>
    <w:p w14:paraId="5FD9D0A4" w14:textId="77777777" w:rsidR="00FA2FF9" w:rsidRPr="00730DE4" w:rsidRDefault="00FA2FF9" w:rsidP="00A72A1B">
      <w:pPr>
        <w:pStyle w:val="ListBullet"/>
        <w:rPr>
          <w:lang w:val="en-US"/>
        </w:rPr>
      </w:pPr>
      <w:r w:rsidRPr="00730DE4">
        <w:rPr>
          <w:lang w:val="en-US"/>
        </w:rPr>
        <w:t>Positive Performance Management program</w:t>
      </w:r>
    </w:p>
    <w:p w14:paraId="422601EA" w14:textId="77777777" w:rsidR="00FA2FF9" w:rsidRPr="00730DE4" w:rsidRDefault="00FA2FF9" w:rsidP="00A72A1B">
      <w:pPr>
        <w:pStyle w:val="ListBullet"/>
        <w:rPr>
          <w:lang w:val="en-US"/>
        </w:rPr>
      </w:pPr>
      <w:r w:rsidRPr="00730DE4">
        <w:rPr>
          <w:lang w:val="en-US"/>
        </w:rPr>
        <w:t>OneTMR and Women in Leadership Mentoring programs</w:t>
      </w:r>
    </w:p>
    <w:p w14:paraId="47243BC9" w14:textId="77777777" w:rsidR="00FA2FF9" w:rsidRPr="00730DE4" w:rsidRDefault="00FA2FF9" w:rsidP="00A72A1B">
      <w:pPr>
        <w:pStyle w:val="ListBullet"/>
        <w:rPr>
          <w:lang w:val="en-US"/>
        </w:rPr>
      </w:pPr>
      <w:r w:rsidRPr="00730DE4">
        <w:rPr>
          <w:lang w:val="en-US"/>
        </w:rPr>
        <w:t>LinkedIn Learning</w:t>
      </w:r>
    </w:p>
    <w:p w14:paraId="54165653" w14:textId="77777777" w:rsidR="00FA2FF9" w:rsidRPr="00730DE4" w:rsidRDefault="00FA2FF9" w:rsidP="00A72A1B">
      <w:pPr>
        <w:pStyle w:val="ListBullet"/>
        <w:rPr>
          <w:lang w:val="en-US"/>
        </w:rPr>
      </w:pPr>
      <w:r w:rsidRPr="00730DE4">
        <w:rPr>
          <w:lang w:val="en-US"/>
        </w:rPr>
        <w:t>Adult Learning Week and Learning Network Forum</w:t>
      </w:r>
    </w:p>
    <w:p w14:paraId="77FA92DA" w14:textId="77777777" w:rsidR="00FA2FF9" w:rsidRPr="00730DE4" w:rsidRDefault="00FA2FF9" w:rsidP="00A72A1B">
      <w:pPr>
        <w:pStyle w:val="ListBullet"/>
        <w:rPr>
          <w:lang w:val="en-US"/>
        </w:rPr>
      </w:pPr>
      <w:r w:rsidRPr="00730DE4">
        <w:rPr>
          <w:lang w:val="en-US"/>
        </w:rPr>
        <w:t>TMR Learning Personas</w:t>
      </w:r>
    </w:p>
    <w:p w14:paraId="62E0BA31" w14:textId="77777777" w:rsidR="00FA2FF9" w:rsidRPr="00730DE4" w:rsidRDefault="00FA2FF9" w:rsidP="00A72A1B">
      <w:pPr>
        <w:pStyle w:val="ListBullet"/>
        <w:rPr>
          <w:lang w:val="en-US"/>
        </w:rPr>
      </w:pPr>
      <w:r w:rsidRPr="00730DE4">
        <w:rPr>
          <w:lang w:val="en-US"/>
        </w:rPr>
        <w:t>TMR Development Library and Learning Calendar.</w:t>
      </w:r>
    </w:p>
    <w:bookmarkEnd w:id="1155"/>
    <w:p w14:paraId="6253D386" w14:textId="77777777" w:rsidR="00FA2FF9" w:rsidRPr="00730DE4" w:rsidRDefault="00FA2FF9" w:rsidP="00A72A1B">
      <w:pPr>
        <w:rPr>
          <w:lang w:val="en-US"/>
        </w:rPr>
      </w:pPr>
      <w:r w:rsidRPr="00730DE4">
        <w:rPr>
          <w:lang w:val="en-US"/>
        </w:rPr>
        <w:t xml:space="preserve">In TMR, all people are entitled to a workplace that prioritises safety and wellbeing. Because of this, and recognising that our people are our most valuable asset, TMR is dedicated to creating a positive, safe, and healthy environment. </w:t>
      </w:r>
    </w:p>
    <w:p w14:paraId="44E6A0D5" w14:textId="77777777" w:rsidR="00FA2FF9" w:rsidRPr="00730DE4" w:rsidRDefault="00FA2FF9" w:rsidP="00A72A1B">
      <w:pPr>
        <w:rPr>
          <w:lang w:val="en-US"/>
        </w:rPr>
      </w:pPr>
      <w:r w:rsidRPr="00730DE4">
        <w:rPr>
          <w:lang w:val="en-US"/>
        </w:rPr>
        <w:t xml:space="preserve">In 2024, the </w:t>
      </w:r>
      <w:r w:rsidRPr="00730DE4">
        <w:rPr>
          <w:rStyle w:val="Emphasis"/>
        </w:rPr>
        <w:t>TMR Safety Charter</w:t>
      </w:r>
      <w:r w:rsidRPr="00730DE4">
        <w:rPr>
          <w:lang w:val="en-US"/>
        </w:rPr>
        <w:t xml:space="preserve"> was renewed, reaffirming TMR's pledge to integrate safety as a fundamental value across all operations. Additionally, TMR implemented a new WHS management system, streamlining the reporting, management of WHS incidents, and capturing of all WHS data in one centralised system.</w:t>
      </w:r>
    </w:p>
    <w:p w14:paraId="5EB4ED75" w14:textId="77777777" w:rsidR="00FA2FF9" w:rsidRPr="00730DE4" w:rsidRDefault="00FA2FF9" w:rsidP="00A72A1B">
      <w:pPr>
        <w:rPr>
          <w:lang w:val="en-US"/>
        </w:rPr>
      </w:pPr>
      <w:r w:rsidRPr="00730DE4">
        <w:rPr>
          <w:lang w:val="en-US"/>
        </w:rPr>
        <w:t>TMR continues its commitment to employees' health and well-being, understanding that cultivating a physical and psychosocial safety climate enhances productivity, retention, and workplace safety. Throughout 2023–24, attention has been given to health and wellbeing initiatives:</w:t>
      </w:r>
    </w:p>
    <w:p w14:paraId="5E0698CA" w14:textId="77777777" w:rsidR="00FA2FF9" w:rsidRPr="00730DE4" w:rsidRDefault="00FA2FF9" w:rsidP="00A72A1B">
      <w:pPr>
        <w:pStyle w:val="ListBullet"/>
        <w:rPr>
          <w:lang w:val="en-US"/>
        </w:rPr>
      </w:pPr>
      <w:r w:rsidRPr="00730DE4">
        <w:rPr>
          <w:lang w:val="en-US"/>
        </w:rPr>
        <w:t>renewing TMR's flexible working statement, ensuring it remains contemporary and allows TMR's people an appropriate work-life balance, career opportunities, flexibility, and meaningful work</w:t>
      </w:r>
    </w:p>
    <w:p w14:paraId="3E205DD1" w14:textId="77777777" w:rsidR="00FA2FF9" w:rsidRPr="00730DE4" w:rsidRDefault="00FA2FF9" w:rsidP="00A72A1B">
      <w:pPr>
        <w:pStyle w:val="ListBullet"/>
        <w:rPr>
          <w:lang w:val="en-US"/>
        </w:rPr>
      </w:pPr>
      <w:r w:rsidRPr="00730DE4">
        <w:rPr>
          <w:lang w:val="en-US"/>
        </w:rPr>
        <w:t>providing health and wellbeing reimbursements to TMR's people, promoting positive behaviours to support individual health and general wellbeing</w:t>
      </w:r>
    </w:p>
    <w:p w14:paraId="7ABBEBFF" w14:textId="77777777" w:rsidR="00FA2FF9" w:rsidRPr="00730DE4" w:rsidRDefault="00FA2FF9" w:rsidP="00EA4BF0">
      <w:pPr>
        <w:pStyle w:val="ListBullet"/>
        <w:rPr>
          <w:lang w:val="en-US"/>
        </w:rPr>
      </w:pPr>
      <w:r w:rsidRPr="00730DE4">
        <w:rPr>
          <w:lang w:val="en-US"/>
        </w:rPr>
        <w:t>sponsorship and attendance at Darkness to Daylight, raising awareness of TMR's ongoing commitment to end DFV.</w:t>
      </w:r>
    </w:p>
    <w:p w14:paraId="71C62522" w14:textId="77777777" w:rsidR="002D6779" w:rsidRPr="00730DE4" w:rsidRDefault="002D6779" w:rsidP="002B7001">
      <w:pPr>
        <w:pStyle w:val="Heading2"/>
        <w:sectPr w:rsidR="002D6779" w:rsidRPr="00730DE4" w:rsidSect="00433EBB">
          <w:pgSz w:w="11906" w:h="16838" w:code="9"/>
          <w:pgMar w:top="1134" w:right="1418" w:bottom="1418" w:left="1418" w:header="454" w:footer="454" w:gutter="0"/>
          <w:cols w:space="708"/>
          <w:titlePg/>
          <w:docGrid w:linePitch="360"/>
        </w:sectPr>
      </w:pPr>
    </w:p>
    <w:p w14:paraId="16598402" w14:textId="77777777" w:rsidR="00FA2FF9" w:rsidRPr="00730DE4" w:rsidRDefault="00FA2FF9" w:rsidP="002B7001">
      <w:pPr>
        <w:pStyle w:val="Heading2"/>
      </w:pPr>
      <w:bookmarkStart w:id="1156" w:name="_Toc180490812"/>
      <w:bookmarkStart w:id="1157" w:name="_Toc180491845"/>
      <w:r w:rsidRPr="00730DE4">
        <w:t>Establishing an agile and future ready workforce</w:t>
      </w:r>
      <w:bookmarkEnd w:id="1156"/>
      <w:bookmarkEnd w:id="1157"/>
    </w:p>
    <w:p w14:paraId="032A09A3" w14:textId="77777777" w:rsidR="00FA2FF9" w:rsidRPr="00730DE4" w:rsidRDefault="00FA2FF9" w:rsidP="002B7001">
      <w:pPr>
        <w:pStyle w:val="Heading3"/>
      </w:pPr>
      <w:bookmarkStart w:id="1158" w:name="_Toc180487607"/>
      <w:bookmarkStart w:id="1159" w:name="_Toc180490813"/>
      <w:bookmarkStart w:id="1160" w:name="_Toc180491846"/>
      <w:r w:rsidRPr="00730DE4">
        <w:t>Workforce profile</w:t>
      </w:r>
      <w:bookmarkEnd w:id="1158"/>
      <w:bookmarkEnd w:id="1159"/>
      <w:bookmarkEnd w:id="1160"/>
    </w:p>
    <w:p w14:paraId="7EC05B92" w14:textId="77777777" w:rsidR="00FA2FF9" w:rsidRPr="00730DE4" w:rsidRDefault="00FA2FF9" w:rsidP="006D716F">
      <w:pPr>
        <w:pStyle w:val="FigureCaption"/>
      </w:pPr>
      <w:r w:rsidRPr="00730DE4">
        <w:t>Table 37: Workforce statistics for TMR at 14 June 2024</w:t>
      </w:r>
    </w:p>
    <w:tbl>
      <w:tblPr>
        <w:tblStyle w:val="TMRDefault"/>
        <w:tblW w:w="5000" w:type="pct"/>
        <w:tblLook w:val="04A0" w:firstRow="1" w:lastRow="0" w:firstColumn="1" w:lastColumn="0" w:noHBand="0" w:noVBand="1"/>
      </w:tblPr>
      <w:tblGrid>
        <w:gridCol w:w="1767"/>
        <w:gridCol w:w="1101"/>
        <w:gridCol w:w="1101"/>
        <w:gridCol w:w="1100"/>
        <w:gridCol w:w="1100"/>
        <w:gridCol w:w="1100"/>
        <w:gridCol w:w="1100"/>
        <w:gridCol w:w="1100"/>
        <w:gridCol w:w="1223"/>
        <w:gridCol w:w="1100"/>
        <w:gridCol w:w="1100"/>
        <w:gridCol w:w="1100"/>
      </w:tblGrid>
      <w:tr w:rsidR="000A65A9" w:rsidRPr="00730DE4" w14:paraId="335A1969" w14:textId="77777777" w:rsidTr="00DB1130">
        <w:trPr>
          <w:cnfStyle w:val="100000000000" w:firstRow="1" w:lastRow="0" w:firstColumn="0" w:lastColumn="0" w:oddVBand="0" w:evenVBand="0" w:oddHBand="0" w:evenHBand="0" w:firstRowFirstColumn="0" w:firstRowLastColumn="0" w:lastRowFirstColumn="0" w:lastRowLastColumn="0"/>
          <w:tblHeader/>
        </w:trPr>
        <w:tc>
          <w:tcPr>
            <w:tcW w:w="631" w:type="pct"/>
          </w:tcPr>
          <w:p w14:paraId="3485FA6F" w14:textId="77777777" w:rsidR="00FA2FF9" w:rsidRPr="00730DE4" w:rsidRDefault="00FA2FF9" w:rsidP="006761E8">
            <w:pPr>
              <w:pStyle w:val="NoSpacing"/>
              <w:rPr>
                <w:color w:val="FFFFFF" w:themeColor="background1"/>
              </w:rPr>
            </w:pPr>
          </w:p>
        </w:tc>
        <w:tc>
          <w:tcPr>
            <w:tcW w:w="393" w:type="pct"/>
            <w:vAlign w:val="bottom"/>
          </w:tcPr>
          <w:p w14:paraId="12E5519D" w14:textId="77777777" w:rsidR="00FA2FF9" w:rsidRPr="00730DE4" w:rsidRDefault="00FA2FF9" w:rsidP="00E71FB5">
            <w:pPr>
              <w:pStyle w:val="NoSpacing"/>
              <w:jc w:val="right"/>
              <w:rPr>
                <w:color w:val="FFFFFF" w:themeColor="background1"/>
              </w:rPr>
            </w:pPr>
            <w:r w:rsidRPr="00730DE4">
              <w:rPr>
                <w:rFonts w:cs="Arial"/>
                <w:color w:val="FFFFFF" w:themeColor="background1"/>
                <w:szCs w:val="20"/>
              </w:rPr>
              <w:t>2023–24</w:t>
            </w:r>
          </w:p>
        </w:tc>
        <w:tc>
          <w:tcPr>
            <w:tcW w:w="393" w:type="pct"/>
            <w:vAlign w:val="bottom"/>
          </w:tcPr>
          <w:p w14:paraId="0278ACFC" w14:textId="77777777" w:rsidR="00FA2FF9" w:rsidRPr="00730DE4" w:rsidRDefault="00FA2FF9" w:rsidP="00E71FB5">
            <w:pPr>
              <w:pStyle w:val="NoSpacing"/>
              <w:jc w:val="right"/>
              <w:rPr>
                <w:color w:val="FFFFFF" w:themeColor="background1"/>
              </w:rPr>
            </w:pPr>
            <w:r w:rsidRPr="00730DE4">
              <w:rPr>
                <w:rFonts w:cs="Arial"/>
                <w:color w:val="FFFFFF" w:themeColor="background1"/>
                <w:szCs w:val="20"/>
              </w:rPr>
              <w:t>2022–23</w:t>
            </w:r>
          </w:p>
        </w:tc>
        <w:tc>
          <w:tcPr>
            <w:tcW w:w="393" w:type="pct"/>
            <w:vAlign w:val="bottom"/>
          </w:tcPr>
          <w:p w14:paraId="6A90F4D2" w14:textId="77777777" w:rsidR="00FA2FF9" w:rsidRPr="00730DE4" w:rsidRDefault="00FA2FF9" w:rsidP="00E71FB5">
            <w:pPr>
              <w:pStyle w:val="NoSpacing"/>
              <w:jc w:val="right"/>
              <w:rPr>
                <w:color w:val="FFFFFF" w:themeColor="background1"/>
              </w:rPr>
            </w:pPr>
            <w:r w:rsidRPr="00730DE4">
              <w:rPr>
                <w:rFonts w:cs="Arial"/>
                <w:color w:val="FFFFFF" w:themeColor="background1"/>
                <w:szCs w:val="20"/>
              </w:rPr>
              <w:t>2021–22</w:t>
            </w:r>
          </w:p>
        </w:tc>
        <w:tc>
          <w:tcPr>
            <w:tcW w:w="393" w:type="pct"/>
            <w:vAlign w:val="bottom"/>
          </w:tcPr>
          <w:p w14:paraId="560CFBC0" w14:textId="77777777" w:rsidR="00FA2FF9" w:rsidRPr="00730DE4" w:rsidRDefault="00FA2FF9" w:rsidP="00E71FB5">
            <w:pPr>
              <w:pStyle w:val="NoSpacing"/>
              <w:jc w:val="right"/>
              <w:rPr>
                <w:color w:val="FFFFFF" w:themeColor="background1"/>
              </w:rPr>
            </w:pPr>
            <w:r w:rsidRPr="00730DE4">
              <w:rPr>
                <w:rFonts w:cs="Arial"/>
                <w:color w:val="FFFFFF" w:themeColor="background1"/>
                <w:szCs w:val="20"/>
              </w:rPr>
              <w:t>2020–21</w:t>
            </w:r>
          </w:p>
        </w:tc>
        <w:tc>
          <w:tcPr>
            <w:tcW w:w="393" w:type="pct"/>
            <w:vAlign w:val="bottom"/>
          </w:tcPr>
          <w:p w14:paraId="4B22CEF7" w14:textId="77777777" w:rsidR="00FA2FF9" w:rsidRPr="00730DE4" w:rsidRDefault="00FA2FF9" w:rsidP="00E71FB5">
            <w:pPr>
              <w:pStyle w:val="NoSpacing"/>
              <w:jc w:val="right"/>
              <w:rPr>
                <w:color w:val="FFFFFF" w:themeColor="background1"/>
              </w:rPr>
            </w:pPr>
            <w:r w:rsidRPr="00730DE4">
              <w:rPr>
                <w:rFonts w:cs="Arial"/>
                <w:color w:val="FFFFFF" w:themeColor="background1"/>
                <w:szCs w:val="20"/>
              </w:rPr>
              <w:t>2019–20</w:t>
            </w:r>
          </w:p>
        </w:tc>
        <w:tc>
          <w:tcPr>
            <w:tcW w:w="393" w:type="pct"/>
            <w:vAlign w:val="bottom"/>
          </w:tcPr>
          <w:p w14:paraId="116AA7E2" w14:textId="77777777" w:rsidR="00FA2FF9" w:rsidRPr="00730DE4" w:rsidRDefault="00FA2FF9" w:rsidP="00E71FB5">
            <w:pPr>
              <w:pStyle w:val="NoSpacing"/>
              <w:jc w:val="right"/>
              <w:rPr>
                <w:color w:val="FFFFFF" w:themeColor="background1"/>
              </w:rPr>
            </w:pPr>
            <w:r w:rsidRPr="00730DE4">
              <w:rPr>
                <w:rFonts w:cs="Arial"/>
                <w:color w:val="FFFFFF" w:themeColor="background1"/>
                <w:szCs w:val="20"/>
              </w:rPr>
              <w:t>2018–19</w:t>
            </w:r>
          </w:p>
        </w:tc>
        <w:tc>
          <w:tcPr>
            <w:tcW w:w="393" w:type="pct"/>
            <w:vAlign w:val="bottom"/>
          </w:tcPr>
          <w:p w14:paraId="43B74DE3" w14:textId="77777777" w:rsidR="00FA2FF9" w:rsidRPr="00730DE4" w:rsidRDefault="00FA2FF9" w:rsidP="00E71FB5">
            <w:pPr>
              <w:pStyle w:val="NoSpacing"/>
              <w:jc w:val="right"/>
              <w:rPr>
                <w:color w:val="FFFFFF" w:themeColor="background1"/>
              </w:rPr>
            </w:pPr>
            <w:r w:rsidRPr="00730DE4">
              <w:rPr>
                <w:rFonts w:cs="Arial"/>
                <w:color w:val="FFFFFF" w:themeColor="background1"/>
                <w:szCs w:val="20"/>
              </w:rPr>
              <w:t>2017–18</w:t>
            </w:r>
          </w:p>
        </w:tc>
        <w:tc>
          <w:tcPr>
            <w:tcW w:w="437" w:type="pct"/>
            <w:vAlign w:val="bottom"/>
          </w:tcPr>
          <w:p w14:paraId="6A33CD90" w14:textId="77777777" w:rsidR="00FA2FF9" w:rsidRPr="00730DE4" w:rsidRDefault="00FA2FF9" w:rsidP="00E71FB5">
            <w:pPr>
              <w:pStyle w:val="NoSpacing"/>
              <w:jc w:val="right"/>
              <w:rPr>
                <w:color w:val="FFFFFF" w:themeColor="background1"/>
              </w:rPr>
            </w:pPr>
            <w:r w:rsidRPr="00730DE4">
              <w:rPr>
                <w:rFonts w:cs="Arial"/>
                <w:color w:val="FFFFFF" w:themeColor="background1"/>
                <w:szCs w:val="20"/>
              </w:rPr>
              <w:t>2016–17</w:t>
            </w:r>
          </w:p>
        </w:tc>
        <w:tc>
          <w:tcPr>
            <w:tcW w:w="393" w:type="pct"/>
            <w:vAlign w:val="bottom"/>
          </w:tcPr>
          <w:p w14:paraId="6061EDD2" w14:textId="77777777" w:rsidR="00FA2FF9" w:rsidRPr="00730DE4" w:rsidRDefault="00FA2FF9" w:rsidP="00E71FB5">
            <w:pPr>
              <w:pStyle w:val="NoSpacing"/>
              <w:jc w:val="right"/>
              <w:rPr>
                <w:color w:val="FFFFFF" w:themeColor="background1"/>
              </w:rPr>
            </w:pPr>
            <w:r w:rsidRPr="00730DE4">
              <w:rPr>
                <w:rFonts w:cs="Arial"/>
                <w:color w:val="FFFFFF" w:themeColor="background1"/>
                <w:szCs w:val="20"/>
              </w:rPr>
              <w:t>2015–16</w:t>
            </w:r>
          </w:p>
        </w:tc>
        <w:tc>
          <w:tcPr>
            <w:tcW w:w="393" w:type="pct"/>
            <w:vAlign w:val="bottom"/>
          </w:tcPr>
          <w:p w14:paraId="27ED6955" w14:textId="77777777" w:rsidR="00FA2FF9" w:rsidRPr="00730DE4" w:rsidRDefault="00FA2FF9" w:rsidP="00E71FB5">
            <w:pPr>
              <w:pStyle w:val="NoSpacing"/>
              <w:jc w:val="right"/>
              <w:rPr>
                <w:color w:val="FFFFFF" w:themeColor="background1"/>
              </w:rPr>
            </w:pPr>
            <w:r w:rsidRPr="00730DE4">
              <w:rPr>
                <w:rFonts w:cs="Arial"/>
                <w:color w:val="FFFFFF" w:themeColor="background1"/>
                <w:szCs w:val="20"/>
              </w:rPr>
              <w:t>2014–15</w:t>
            </w:r>
          </w:p>
        </w:tc>
        <w:tc>
          <w:tcPr>
            <w:tcW w:w="393" w:type="pct"/>
            <w:vAlign w:val="bottom"/>
          </w:tcPr>
          <w:p w14:paraId="59EEA5C3" w14:textId="77777777" w:rsidR="00FA2FF9" w:rsidRPr="00730DE4" w:rsidRDefault="00FA2FF9" w:rsidP="00E71FB5">
            <w:pPr>
              <w:pStyle w:val="NoSpacing"/>
              <w:jc w:val="right"/>
              <w:rPr>
                <w:color w:val="FFFFFF" w:themeColor="background1"/>
              </w:rPr>
            </w:pPr>
            <w:r w:rsidRPr="00730DE4">
              <w:rPr>
                <w:rFonts w:cs="Arial"/>
                <w:color w:val="FFFFFF" w:themeColor="background1"/>
                <w:szCs w:val="20"/>
              </w:rPr>
              <w:t>2013–14</w:t>
            </w:r>
          </w:p>
        </w:tc>
      </w:tr>
      <w:tr w:rsidR="000A65A9" w:rsidRPr="00730DE4" w14:paraId="537F527B" w14:textId="77777777" w:rsidTr="00DB1130">
        <w:trPr>
          <w:cnfStyle w:val="000000100000" w:firstRow="0" w:lastRow="0" w:firstColumn="0" w:lastColumn="0" w:oddVBand="0" w:evenVBand="0" w:oddHBand="1" w:evenHBand="0" w:firstRowFirstColumn="0" w:firstRowLastColumn="0" w:lastRowFirstColumn="0" w:lastRowLastColumn="0"/>
        </w:trPr>
        <w:tc>
          <w:tcPr>
            <w:tcW w:w="631" w:type="pct"/>
            <w:vAlign w:val="bottom"/>
          </w:tcPr>
          <w:p w14:paraId="228D9661" w14:textId="77777777" w:rsidR="00FA2FF9" w:rsidRPr="00730DE4" w:rsidRDefault="00FA2FF9" w:rsidP="00BF58B2">
            <w:pPr>
              <w:pStyle w:val="NoSpacing"/>
            </w:pPr>
            <w:r w:rsidRPr="00730DE4">
              <w:rPr>
                <w:rFonts w:cs="Arial"/>
                <w:szCs w:val="20"/>
              </w:rPr>
              <w:t>Full-time equivalent employees*</w:t>
            </w:r>
          </w:p>
        </w:tc>
        <w:tc>
          <w:tcPr>
            <w:tcW w:w="393" w:type="pct"/>
            <w:vAlign w:val="bottom"/>
          </w:tcPr>
          <w:p w14:paraId="2CCEDAC9" w14:textId="77777777" w:rsidR="00FA2FF9" w:rsidRPr="00730DE4" w:rsidRDefault="00FA2FF9" w:rsidP="00E71FB5">
            <w:pPr>
              <w:pStyle w:val="NoSpacing"/>
              <w:jc w:val="right"/>
            </w:pPr>
            <w:r w:rsidRPr="00730DE4">
              <w:rPr>
                <w:rFonts w:cs="Arial"/>
                <w:szCs w:val="20"/>
              </w:rPr>
              <w:t>9619</w:t>
            </w:r>
          </w:p>
        </w:tc>
        <w:tc>
          <w:tcPr>
            <w:tcW w:w="393" w:type="pct"/>
            <w:vAlign w:val="bottom"/>
          </w:tcPr>
          <w:p w14:paraId="16AC18CE" w14:textId="77777777" w:rsidR="00FA2FF9" w:rsidRPr="00730DE4" w:rsidRDefault="00FA2FF9" w:rsidP="00E71FB5">
            <w:pPr>
              <w:pStyle w:val="NoSpacing"/>
              <w:jc w:val="right"/>
            </w:pPr>
            <w:r w:rsidRPr="00730DE4">
              <w:rPr>
                <w:rFonts w:cs="Arial"/>
                <w:szCs w:val="20"/>
              </w:rPr>
              <w:t>7668</w:t>
            </w:r>
          </w:p>
        </w:tc>
        <w:tc>
          <w:tcPr>
            <w:tcW w:w="393" w:type="pct"/>
            <w:vAlign w:val="bottom"/>
          </w:tcPr>
          <w:p w14:paraId="63404AC2" w14:textId="77777777" w:rsidR="00FA2FF9" w:rsidRPr="00730DE4" w:rsidRDefault="00FA2FF9" w:rsidP="00E71FB5">
            <w:pPr>
              <w:pStyle w:val="NoSpacing"/>
              <w:jc w:val="right"/>
            </w:pPr>
            <w:r w:rsidRPr="00730DE4">
              <w:rPr>
                <w:rFonts w:cs="Arial"/>
                <w:szCs w:val="20"/>
              </w:rPr>
              <w:t>7405</w:t>
            </w:r>
          </w:p>
        </w:tc>
        <w:tc>
          <w:tcPr>
            <w:tcW w:w="393" w:type="pct"/>
            <w:vAlign w:val="bottom"/>
          </w:tcPr>
          <w:p w14:paraId="3480EFF6" w14:textId="77777777" w:rsidR="00FA2FF9" w:rsidRPr="00730DE4" w:rsidRDefault="00FA2FF9" w:rsidP="00E71FB5">
            <w:pPr>
              <w:pStyle w:val="NoSpacing"/>
              <w:jc w:val="right"/>
            </w:pPr>
            <w:r w:rsidRPr="00730DE4">
              <w:rPr>
                <w:rFonts w:cs="Arial"/>
                <w:szCs w:val="20"/>
              </w:rPr>
              <w:t>7382</w:t>
            </w:r>
          </w:p>
        </w:tc>
        <w:tc>
          <w:tcPr>
            <w:tcW w:w="393" w:type="pct"/>
            <w:vAlign w:val="bottom"/>
          </w:tcPr>
          <w:p w14:paraId="51827108" w14:textId="77777777" w:rsidR="00FA2FF9" w:rsidRPr="00730DE4" w:rsidRDefault="00FA2FF9" w:rsidP="00E71FB5">
            <w:pPr>
              <w:pStyle w:val="NoSpacing"/>
              <w:jc w:val="right"/>
            </w:pPr>
            <w:r w:rsidRPr="00730DE4">
              <w:rPr>
                <w:rFonts w:cs="Arial"/>
                <w:szCs w:val="20"/>
              </w:rPr>
              <w:t>7333</w:t>
            </w:r>
          </w:p>
        </w:tc>
        <w:tc>
          <w:tcPr>
            <w:tcW w:w="393" w:type="pct"/>
            <w:vAlign w:val="bottom"/>
          </w:tcPr>
          <w:p w14:paraId="14371062" w14:textId="77777777" w:rsidR="00FA2FF9" w:rsidRPr="00730DE4" w:rsidRDefault="00FA2FF9" w:rsidP="00E71FB5">
            <w:pPr>
              <w:pStyle w:val="NoSpacing"/>
              <w:jc w:val="right"/>
            </w:pPr>
            <w:r w:rsidRPr="00730DE4">
              <w:rPr>
                <w:rFonts w:cs="Arial"/>
                <w:szCs w:val="20"/>
              </w:rPr>
              <w:t>7199</w:t>
            </w:r>
          </w:p>
        </w:tc>
        <w:tc>
          <w:tcPr>
            <w:tcW w:w="393" w:type="pct"/>
            <w:vAlign w:val="bottom"/>
          </w:tcPr>
          <w:p w14:paraId="1F7C363A" w14:textId="77777777" w:rsidR="00FA2FF9" w:rsidRPr="00730DE4" w:rsidRDefault="00FA2FF9" w:rsidP="00E71FB5">
            <w:pPr>
              <w:pStyle w:val="NoSpacing"/>
              <w:jc w:val="right"/>
            </w:pPr>
            <w:r w:rsidRPr="00730DE4">
              <w:rPr>
                <w:rFonts w:cs="Arial"/>
                <w:szCs w:val="20"/>
              </w:rPr>
              <w:t>7180</w:t>
            </w:r>
          </w:p>
        </w:tc>
        <w:tc>
          <w:tcPr>
            <w:tcW w:w="437" w:type="pct"/>
            <w:vAlign w:val="bottom"/>
          </w:tcPr>
          <w:p w14:paraId="7B391281" w14:textId="77777777" w:rsidR="00FA2FF9" w:rsidRPr="00730DE4" w:rsidRDefault="00FA2FF9" w:rsidP="00E71FB5">
            <w:pPr>
              <w:pStyle w:val="NoSpacing"/>
              <w:jc w:val="right"/>
            </w:pPr>
            <w:r w:rsidRPr="00730DE4">
              <w:rPr>
                <w:rFonts w:cs="Arial"/>
                <w:szCs w:val="20"/>
              </w:rPr>
              <w:t>7192</w:t>
            </w:r>
          </w:p>
        </w:tc>
        <w:tc>
          <w:tcPr>
            <w:tcW w:w="393" w:type="pct"/>
            <w:vAlign w:val="bottom"/>
          </w:tcPr>
          <w:p w14:paraId="5787CAFC" w14:textId="77777777" w:rsidR="00FA2FF9" w:rsidRPr="00730DE4" w:rsidRDefault="00FA2FF9" w:rsidP="00E71FB5">
            <w:pPr>
              <w:pStyle w:val="NoSpacing"/>
              <w:jc w:val="right"/>
            </w:pPr>
            <w:r w:rsidRPr="00730DE4">
              <w:rPr>
                <w:rFonts w:cs="Arial"/>
                <w:szCs w:val="20"/>
              </w:rPr>
              <w:t>7032</w:t>
            </w:r>
          </w:p>
        </w:tc>
        <w:tc>
          <w:tcPr>
            <w:tcW w:w="393" w:type="pct"/>
            <w:vAlign w:val="bottom"/>
          </w:tcPr>
          <w:p w14:paraId="0F830396" w14:textId="77777777" w:rsidR="00FA2FF9" w:rsidRPr="00730DE4" w:rsidRDefault="00FA2FF9" w:rsidP="00E71FB5">
            <w:pPr>
              <w:pStyle w:val="NoSpacing"/>
              <w:jc w:val="right"/>
            </w:pPr>
            <w:r w:rsidRPr="00730DE4">
              <w:rPr>
                <w:rFonts w:cs="Arial"/>
                <w:szCs w:val="20"/>
              </w:rPr>
              <w:t>6891</w:t>
            </w:r>
          </w:p>
        </w:tc>
        <w:tc>
          <w:tcPr>
            <w:tcW w:w="393" w:type="pct"/>
            <w:vAlign w:val="bottom"/>
          </w:tcPr>
          <w:p w14:paraId="302D4365" w14:textId="77777777" w:rsidR="00FA2FF9" w:rsidRPr="00730DE4" w:rsidRDefault="00FA2FF9" w:rsidP="00E71FB5">
            <w:pPr>
              <w:pStyle w:val="NoSpacing"/>
              <w:jc w:val="right"/>
            </w:pPr>
            <w:r w:rsidRPr="00730DE4">
              <w:rPr>
                <w:rFonts w:cs="Arial"/>
                <w:szCs w:val="20"/>
              </w:rPr>
              <w:t>6857</w:t>
            </w:r>
          </w:p>
        </w:tc>
      </w:tr>
      <w:tr w:rsidR="000A65A9" w:rsidRPr="00730DE4" w14:paraId="15809B3F" w14:textId="77777777" w:rsidTr="00DB1130">
        <w:tc>
          <w:tcPr>
            <w:tcW w:w="631" w:type="pct"/>
            <w:vAlign w:val="bottom"/>
          </w:tcPr>
          <w:p w14:paraId="568C1BE3" w14:textId="77777777" w:rsidR="00FA2FF9" w:rsidRPr="00730DE4" w:rsidRDefault="00FA2FF9" w:rsidP="00BF58B2">
            <w:pPr>
              <w:pStyle w:val="NoSpacing"/>
            </w:pPr>
            <w:r w:rsidRPr="00730DE4">
              <w:rPr>
                <w:rFonts w:cs="Arial"/>
                <w:szCs w:val="20"/>
              </w:rPr>
              <w:t>Employee headcount</w:t>
            </w:r>
          </w:p>
        </w:tc>
        <w:tc>
          <w:tcPr>
            <w:tcW w:w="393" w:type="pct"/>
            <w:vAlign w:val="bottom"/>
          </w:tcPr>
          <w:p w14:paraId="5816C02F" w14:textId="77777777" w:rsidR="00FA2FF9" w:rsidRPr="00730DE4" w:rsidRDefault="00FA2FF9" w:rsidP="00E71FB5">
            <w:pPr>
              <w:pStyle w:val="NoSpacing"/>
              <w:jc w:val="right"/>
            </w:pPr>
            <w:r w:rsidRPr="00730DE4">
              <w:rPr>
                <w:rFonts w:cs="Arial"/>
                <w:szCs w:val="20"/>
              </w:rPr>
              <w:t>11,860</w:t>
            </w:r>
          </w:p>
        </w:tc>
        <w:tc>
          <w:tcPr>
            <w:tcW w:w="393" w:type="pct"/>
            <w:vAlign w:val="bottom"/>
          </w:tcPr>
          <w:p w14:paraId="7BD7BA6A" w14:textId="77777777" w:rsidR="00FA2FF9" w:rsidRPr="00730DE4" w:rsidRDefault="00FA2FF9" w:rsidP="00E71FB5">
            <w:pPr>
              <w:pStyle w:val="NoSpacing"/>
              <w:jc w:val="right"/>
            </w:pPr>
            <w:r w:rsidRPr="00730DE4">
              <w:rPr>
                <w:rFonts w:cs="Arial"/>
                <w:szCs w:val="20"/>
              </w:rPr>
              <w:t>9755</w:t>
            </w:r>
          </w:p>
        </w:tc>
        <w:tc>
          <w:tcPr>
            <w:tcW w:w="393" w:type="pct"/>
            <w:vAlign w:val="bottom"/>
          </w:tcPr>
          <w:p w14:paraId="1E177191" w14:textId="77777777" w:rsidR="00FA2FF9" w:rsidRPr="00730DE4" w:rsidRDefault="00FA2FF9" w:rsidP="00E71FB5">
            <w:pPr>
              <w:pStyle w:val="NoSpacing"/>
              <w:jc w:val="right"/>
            </w:pPr>
            <w:r w:rsidRPr="00730DE4">
              <w:rPr>
                <w:rFonts w:cs="Arial"/>
                <w:szCs w:val="20"/>
              </w:rPr>
              <w:t>9474</w:t>
            </w:r>
          </w:p>
        </w:tc>
        <w:tc>
          <w:tcPr>
            <w:tcW w:w="393" w:type="pct"/>
            <w:vAlign w:val="bottom"/>
          </w:tcPr>
          <w:p w14:paraId="046C814D" w14:textId="77777777" w:rsidR="00FA2FF9" w:rsidRPr="00730DE4" w:rsidRDefault="00FA2FF9" w:rsidP="00E71FB5">
            <w:pPr>
              <w:pStyle w:val="NoSpacing"/>
              <w:jc w:val="right"/>
            </w:pPr>
            <w:r w:rsidRPr="00730DE4">
              <w:rPr>
                <w:rFonts w:cs="Arial"/>
                <w:szCs w:val="20"/>
              </w:rPr>
              <w:t>9460</w:t>
            </w:r>
          </w:p>
        </w:tc>
        <w:tc>
          <w:tcPr>
            <w:tcW w:w="393" w:type="pct"/>
            <w:vAlign w:val="bottom"/>
          </w:tcPr>
          <w:p w14:paraId="51A90E3C" w14:textId="77777777" w:rsidR="00FA2FF9" w:rsidRPr="00730DE4" w:rsidRDefault="00FA2FF9" w:rsidP="00E71FB5">
            <w:pPr>
              <w:pStyle w:val="NoSpacing"/>
              <w:jc w:val="right"/>
            </w:pPr>
            <w:r w:rsidRPr="00730DE4">
              <w:rPr>
                <w:rFonts w:cs="Arial"/>
                <w:szCs w:val="20"/>
              </w:rPr>
              <w:t>9446</w:t>
            </w:r>
          </w:p>
        </w:tc>
        <w:tc>
          <w:tcPr>
            <w:tcW w:w="393" w:type="pct"/>
            <w:vAlign w:val="bottom"/>
          </w:tcPr>
          <w:p w14:paraId="5D93F487" w14:textId="77777777" w:rsidR="00FA2FF9" w:rsidRPr="00730DE4" w:rsidRDefault="00FA2FF9" w:rsidP="00E71FB5">
            <w:pPr>
              <w:pStyle w:val="NoSpacing"/>
              <w:jc w:val="right"/>
            </w:pPr>
            <w:r w:rsidRPr="00730DE4">
              <w:rPr>
                <w:rFonts w:cs="Arial"/>
                <w:szCs w:val="20"/>
              </w:rPr>
              <w:t>9186</w:t>
            </w:r>
          </w:p>
        </w:tc>
        <w:tc>
          <w:tcPr>
            <w:tcW w:w="393" w:type="pct"/>
            <w:vAlign w:val="bottom"/>
          </w:tcPr>
          <w:p w14:paraId="1018CBFE" w14:textId="77777777" w:rsidR="00FA2FF9" w:rsidRPr="00730DE4" w:rsidRDefault="00FA2FF9" w:rsidP="00E71FB5">
            <w:pPr>
              <w:pStyle w:val="NoSpacing"/>
              <w:jc w:val="right"/>
            </w:pPr>
            <w:r w:rsidRPr="00730DE4">
              <w:rPr>
                <w:rFonts w:cs="Arial"/>
                <w:szCs w:val="20"/>
              </w:rPr>
              <w:t>9181</w:t>
            </w:r>
          </w:p>
        </w:tc>
        <w:tc>
          <w:tcPr>
            <w:tcW w:w="437" w:type="pct"/>
            <w:vAlign w:val="bottom"/>
          </w:tcPr>
          <w:p w14:paraId="225686CC" w14:textId="77777777" w:rsidR="00FA2FF9" w:rsidRPr="00730DE4" w:rsidRDefault="00FA2FF9" w:rsidP="00E71FB5">
            <w:pPr>
              <w:pStyle w:val="NoSpacing"/>
              <w:jc w:val="right"/>
            </w:pPr>
            <w:r w:rsidRPr="00730DE4">
              <w:rPr>
                <w:rFonts w:cs="Arial"/>
                <w:szCs w:val="20"/>
              </w:rPr>
              <w:t>9112</w:t>
            </w:r>
          </w:p>
        </w:tc>
        <w:tc>
          <w:tcPr>
            <w:tcW w:w="393" w:type="pct"/>
            <w:vAlign w:val="bottom"/>
          </w:tcPr>
          <w:p w14:paraId="6C7E0A70" w14:textId="77777777" w:rsidR="00FA2FF9" w:rsidRPr="00730DE4" w:rsidRDefault="00FA2FF9" w:rsidP="00E71FB5">
            <w:pPr>
              <w:pStyle w:val="NoSpacing"/>
              <w:jc w:val="right"/>
            </w:pPr>
            <w:r w:rsidRPr="00730DE4">
              <w:rPr>
                <w:rFonts w:cs="Arial"/>
                <w:szCs w:val="20"/>
              </w:rPr>
              <w:t>8899</w:t>
            </w:r>
          </w:p>
        </w:tc>
        <w:tc>
          <w:tcPr>
            <w:tcW w:w="393" w:type="pct"/>
            <w:vAlign w:val="bottom"/>
          </w:tcPr>
          <w:p w14:paraId="3A634BB8" w14:textId="77777777" w:rsidR="00FA2FF9" w:rsidRPr="00730DE4" w:rsidRDefault="00FA2FF9" w:rsidP="00E71FB5">
            <w:pPr>
              <w:pStyle w:val="NoSpacing"/>
              <w:jc w:val="right"/>
            </w:pPr>
            <w:r w:rsidRPr="00730DE4">
              <w:rPr>
                <w:rFonts w:cs="Arial"/>
                <w:szCs w:val="20"/>
              </w:rPr>
              <w:t>8737</w:t>
            </w:r>
          </w:p>
        </w:tc>
        <w:tc>
          <w:tcPr>
            <w:tcW w:w="393" w:type="pct"/>
            <w:vAlign w:val="bottom"/>
          </w:tcPr>
          <w:p w14:paraId="0E5CB461" w14:textId="77777777" w:rsidR="00FA2FF9" w:rsidRPr="00730DE4" w:rsidRDefault="00FA2FF9" w:rsidP="00E71FB5">
            <w:pPr>
              <w:pStyle w:val="NoSpacing"/>
              <w:jc w:val="right"/>
            </w:pPr>
            <w:r w:rsidRPr="00730DE4">
              <w:rPr>
                <w:rFonts w:cs="Arial"/>
                <w:szCs w:val="20"/>
              </w:rPr>
              <w:t>8721</w:t>
            </w:r>
          </w:p>
        </w:tc>
      </w:tr>
      <w:tr w:rsidR="000A65A9" w:rsidRPr="00730DE4" w14:paraId="6EBB719B" w14:textId="77777777" w:rsidTr="00DB1130">
        <w:trPr>
          <w:cnfStyle w:val="000000100000" w:firstRow="0" w:lastRow="0" w:firstColumn="0" w:lastColumn="0" w:oddVBand="0" w:evenVBand="0" w:oddHBand="1" w:evenHBand="0" w:firstRowFirstColumn="0" w:firstRowLastColumn="0" w:lastRowFirstColumn="0" w:lastRowLastColumn="0"/>
        </w:trPr>
        <w:tc>
          <w:tcPr>
            <w:tcW w:w="631" w:type="pct"/>
            <w:vAlign w:val="bottom"/>
          </w:tcPr>
          <w:p w14:paraId="01D08799" w14:textId="77777777" w:rsidR="00FA2FF9" w:rsidRPr="00730DE4" w:rsidRDefault="00FA2FF9" w:rsidP="00BF58B2">
            <w:pPr>
              <w:pStyle w:val="NoSpacing"/>
            </w:pPr>
            <w:r w:rsidRPr="00730DE4">
              <w:rPr>
                <w:rFonts w:cs="Arial"/>
                <w:szCs w:val="20"/>
              </w:rPr>
              <w:t>Permanent</w:t>
            </w:r>
          </w:p>
        </w:tc>
        <w:tc>
          <w:tcPr>
            <w:tcW w:w="393" w:type="pct"/>
            <w:vAlign w:val="bottom"/>
          </w:tcPr>
          <w:p w14:paraId="37EEA58A" w14:textId="77777777" w:rsidR="00FA2FF9" w:rsidRPr="00730DE4" w:rsidRDefault="00FA2FF9" w:rsidP="00E71FB5">
            <w:pPr>
              <w:pStyle w:val="NoSpacing"/>
              <w:jc w:val="right"/>
            </w:pPr>
            <w:r w:rsidRPr="00730DE4">
              <w:rPr>
                <w:rFonts w:cs="Arial"/>
                <w:szCs w:val="20"/>
              </w:rPr>
              <w:t>75%</w:t>
            </w:r>
          </w:p>
        </w:tc>
        <w:tc>
          <w:tcPr>
            <w:tcW w:w="393" w:type="pct"/>
            <w:vAlign w:val="bottom"/>
          </w:tcPr>
          <w:p w14:paraId="59517860" w14:textId="77777777" w:rsidR="00FA2FF9" w:rsidRPr="00730DE4" w:rsidRDefault="00FA2FF9" w:rsidP="00E71FB5">
            <w:pPr>
              <w:pStyle w:val="NoSpacing"/>
              <w:jc w:val="right"/>
            </w:pPr>
            <w:r w:rsidRPr="00730DE4">
              <w:rPr>
                <w:rFonts w:cs="Arial"/>
                <w:szCs w:val="20"/>
              </w:rPr>
              <w:t>72%</w:t>
            </w:r>
          </w:p>
        </w:tc>
        <w:tc>
          <w:tcPr>
            <w:tcW w:w="393" w:type="pct"/>
            <w:vAlign w:val="bottom"/>
          </w:tcPr>
          <w:p w14:paraId="2583D22B" w14:textId="77777777" w:rsidR="00FA2FF9" w:rsidRPr="00730DE4" w:rsidRDefault="00FA2FF9" w:rsidP="00E71FB5">
            <w:pPr>
              <w:pStyle w:val="NoSpacing"/>
              <w:jc w:val="right"/>
            </w:pPr>
            <w:r w:rsidRPr="00730DE4">
              <w:rPr>
                <w:rFonts w:cs="Arial"/>
                <w:szCs w:val="20"/>
              </w:rPr>
              <w:t>72%</w:t>
            </w:r>
          </w:p>
        </w:tc>
        <w:tc>
          <w:tcPr>
            <w:tcW w:w="393" w:type="pct"/>
            <w:vAlign w:val="bottom"/>
          </w:tcPr>
          <w:p w14:paraId="4D22868D" w14:textId="77777777" w:rsidR="00FA2FF9" w:rsidRPr="00730DE4" w:rsidRDefault="00FA2FF9" w:rsidP="00E71FB5">
            <w:pPr>
              <w:pStyle w:val="NoSpacing"/>
              <w:jc w:val="right"/>
            </w:pPr>
            <w:r w:rsidRPr="00730DE4">
              <w:rPr>
                <w:rFonts w:cs="Arial"/>
                <w:szCs w:val="20"/>
              </w:rPr>
              <w:t>72%</w:t>
            </w:r>
          </w:p>
        </w:tc>
        <w:tc>
          <w:tcPr>
            <w:tcW w:w="393" w:type="pct"/>
            <w:vAlign w:val="bottom"/>
          </w:tcPr>
          <w:p w14:paraId="40909B46" w14:textId="77777777" w:rsidR="00FA2FF9" w:rsidRPr="00730DE4" w:rsidRDefault="00FA2FF9" w:rsidP="00E71FB5">
            <w:pPr>
              <w:pStyle w:val="NoSpacing"/>
              <w:jc w:val="right"/>
            </w:pPr>
            <w:r w:rsidRPr="00730DE4">
              <w:rPr>
                <w:rFonts w:cs="Arial"/>
                <w:szCs w:val="20"/>
              </w:rPr>
              <w:t>70%</w:t>
            </w:r>
          </w:p>
        </w:tc>
        <w:tc>
          <w:tcPr>
            <w:tcW w:w="393" w:type="pct"/>
            <w:vAlign w:val="bottom"/>
          </w:tcPr>
          <w:p w14:paraId="06A1B449" w14:textId="77777777" w:rsidR="00FA2FF9" w:rsidRPr="00730DE4" w:rsidRDefault="00FA2FF9" w:rsidP="00E71FB5">
            <w:pPr>
              <w:pStyle w:val="NoSpacing"/>
              <w:jc w:val="right"/>
            </w:pPr>
            <w:r w:rsidRPr="00730DE4">
              <w:rPr>
                <w:rFonts w:cs="Arial"/>
                <w:szCs w:val="20"/>
              </w:rPr>
              <w:t>70%</w:t>
            </w:r>
          </w:p>
        </w:tc>
        <w:tc>
          <w:tcPr>
            <w:tcW w:w="393" w:type="pct"/>
            <w:vAlign w:val="bottom"/>
          </w:tcPr>
          <w:p w14:paraId="048DFE8F" w14:textId="77777777" w:rsidR="00FA2FF9" w:rsidRPr="00730DE4" w:rsidRDefault="00FA2FF9" w:rsidP="00E71FB5">
            <w:pPr>
              <w:pStyle w:val="NoSpacing"/>
              <w:jc w:val="right"/>
            </w:pPr>
            <w:r w:rsidRPr="00730DE4">
              <w:rPr>
                <w:rFonts w:cs="Arial"/>
                <w:szCs w:val="20"/>
              </w:rPr>
              <w:t>70%</w:t>
            </w:r>
          </w:p>
        </w:tc>
        <w:tc>
          <w:tcPr>
            <w:tcW w:w="437" w:type="pct"/>
            <w:vAlign w:val="bottom"/>
          </w:tcPr>
          <w:p w14:paraId="566B639A" w14:textId="77777777" w:rsidR="00FA2FF9" w:rsidRPr="00730DE4" w:rsidRDefault="00FA2FF9" w:rsidP="00E71FB5">
            <w:pPr>
              <w:pStyle w:val="NoSpacing"/>
              <w:jc w:val="right"/>
            </w:pPr>
            <w:r w:rsidRPr="00730DE4">
              <w:rPr>
                <w:rFonts w:cs="Arial"/>
                <w:szCs w:val="20"/>
              </w:rPr>
              <w:t>70%</w:t>
            </w:r>
          </w:p>
        </w:tc>
        <w:tc>
          <w:tcPr>
            <w:tcW w:w="393" w:type="pct"/>
            <w:vAlign w:val="bottom"/>
          </w:tcPr>
          <w:p w14:paraId="70D8F8DD" w14:textId="77777777" w:rsidR="00FA2FF9" w:rsidRPr="00730DE4" w:rsidRDefault="00FA2FF9" w:rsidP="00E71FB5">
            <w:pPr>
              <w:pStyle w:val="NoSpacing"/>
              <w:jc w:val="right"/>
            </w:pPr>
            <w:r w:rsidRPr="00730DE4">
              <w:rPr>
                <w:rFonts w:cs="Arial"/>
                <w:szCs w:val="20"/>
              </w:rPr>
              <w:t>71%</w:t>
            </w:r>
          </w:p>
        </w:tc>
        <w:tc>
          <w:tcPr>
            <w:tcW w:w="393" w:type="pct"/>
            <w:vAlign w:val="bottom"/>
          </w:tcPr>
          <w:p w14:paraId="4ED02208" w14:textId="77777777" w:rsidR="00FA2FF9" w:rsidRPr="00730DE4" w:rsidRDefault="00FA2FF9" w:rsidP="00E71FB5">
            <w:pPr>
              <w:pStyle w:val="NoSpacing"/>
              <w:jc w:val="right"/>
            </w:pPr>
            <w:r w:rsidRPr="00730DE4">
              <w:rPr>
                <w:rFonts w:cs="Arial"/>
                <w:szCs w:val="20"/>
              </w:rPr>
              <w:t>73%</w:t>
            </w:r>
          </w:p>
        </w:tc>
        <w:tc>
          <w:tcPr>
            <w:tcW w:w="393" w:type="pct"/>
            <w:vAlign w:val="bottom"/>
          </w:tcPr>
          <w:p w14:paraId="21B66E8A" w14:textId="77777777" w:rsidR="00FA2FF9" w:rsidRPr="00730DE4" w:rsidRDefault="00FA2FF9" w:rsidP="00E71FB5">
            <w:pPr>
              <w:pStyle w:val="NoSpacing"/>
              <w:jc w:val="right"/>
            </w:pPr>
            <w:r w:rsidRPr="00730DE4">
              <w:rPr>
                <w:rFonts w:cs="Arial"/>
                <w:szCs w:val="20"/>
              </w:rPr>
              <w:t>73%</w:t>
            </w:r>
          </w:p>
        </w:tc>
      </w:tr>
      <w:tr w:rsidR="000A65A9" w:rsidRPr="00730DE4" w14:paraId="0E57F97B" w14:textId="77777777" w:rsidTr="00DB1130">
        <w:tc>
          <w:tcPr>
            <w:tcW w:w="631" w:type="pct"/>
            <w:vAlign w:val="bottom"/>
          </w:tcPr>
          <w:p w14:paraId="28024078" w14:textId="77777777" w:rsidR="00FA2FF9" w:rsidRPr="00730DE4" w:rsidRDefault="00FA2FF9" w:rsidP="00BF58B2">
            <w:pPr>
              <w:pStyle w:val="NoSpacing"/>
            </w:pPr>
            <w:r w:rsidRPr="00730DE4">
              <w:rPr>
                <w:rFonts w:cs="Arial"/>
                <w:szCs w:val="20"/>
              </w:rPr>
              <w:t>Temporary</w:t>
            </w:r>
          </w:p>
        </w:tc>
        <w:tc>
          <w:tcPr>
            <w:tcW w:w="393" w:type="pct"/>
            <w:vAlign w:val="bottom"/>
          </w:tcPr>
          <w:p w14:paraId="79700A7D" w14:textId="77777777" w:rsidR="00FA2FF9" w:rsidRPr="00730DE4" w:rsidRDefault="00FA2FF9" w:rsidP="00E71FB5">
            <w:pPr>
              <w:pStyle w:val="NoSpacing"/>
              <w:jc w:val="right"/>
            </w:pPr>
            <w:r w:rsidRPr="00730DE4">
              <w:rPr>
                <w:rFonts w:cs="Arial"/>
                <w:szCs w:val="20"/>
              </w:rPr>
              <w:t>8%</w:t>
            </w:r>
          </w:p>
        </w:tc>
        <w:tc>
          <w:tcPr>
            <w:tcW w:w="393" w:type="pct"/>
            <w:vAlign w:val="bottom"/>
          </w:tcPr>
          <w:p w14:paraId="5A4F67E0" w14:textId="77777777" w:rsidR="00FA2FF9" w:rsidRPr="00730DE4" w:rsidRDefault="00FA2FF9" w:rsidP="00E71FB5">
            <w:pPr>
              <w:pStyle w:val="NoSpacing"/>
              <w:jc w:val="right"/>
            </w:pPr>
            <w:r w:rsidRPr="00730DE4">
              <w:rPr>
                <w:rFonts w:cs="Arial"/>
                <w:szCs w:val="20"/>
              </w:rPr>
              <w:t>7%</w:t>
            </w:r>
          </w:p>
        </w:tc>
        <w:tc>
          <w:tcPr>
            <w:tcW w:w="393" w:type="pct"/>
            <w:vAlign w:val="bottom"/>
          </w:tcPr>
          <w:p w14:paraId="3350EFFE" w14:textId="77777777" w:rsidR="00FA2FF9" w:rsidRPr="00730DE4" w:rsidRDefault="00FA2FF9" w:rsidP="00E71FB5">
            <w:pPr>
              <w:pStyle w:val="NoSpacing"/>
              <w:jc w:val="right"/>
            </w:pPr>
            <w:r w:rsidRPr="00730DE4">
              <w:rPr>
                <w:rFonts w:cs="Arial"/>
                <w:szCs w:val="20"/>
              </w:rPr>
              <w:t>8%</w:t>
            </w:r>
          </w:p>
        </w:tc>
        <w:tc>
          <w:tcPr>
            <w:tcW w:w="393" w:type="pct"/>
            <w:vAlign w:val="bottom"/>
          </w:tcPr>
          <w:p w14:paraId="4313A12A" w14:textId="77777777" w:rsidR="00FA2FF9" w:rsidRPr="00730DE4" w:rsidRDefault="00FA2FF9" w:rsidP="00E71FB5">
            <w:pPr>
              <w:pStyle w:val="NoSpacing"/>
              <w:jc w:val="right"/>
            </w:pPr>
            <w:r w:rsidRPr="00730DE4">
              <w:rPr>
                <w:rFonts w:cs="Arial"/>
                <w:szCs w:val="20"/>
              </w:rPr>
              <w:t>7%</w:t>
            </w:r>
          </w:p>
        </w:tc>
        <w:tc>
          <w:tcPr>
            <w:tcW w:w="393" w:type="pct"/>
            <w:vAlign w:val="bottom"/>
          </w:tcPr>
          <w:p w14:paraId="631AA372" w14:textId="77777777" w:rsidR="00FA2FF9" w:rsidRPr="00730DE4" w:rsidRDefault="00FA2FF9" w:rsidP="00E71FB5">
            <w:pPr>
              <w:pStyle w:val="NoSpacing"/>
              <w:jc w:val="right"/>
            </w:pPr>
            <w:r w:rsidRPr="00730DE4">
              <w:rPr>
                <w:rFonts w:cs="Arial"/>
                <w:szCs w:val="20"/>
              </w:rPr>
              <w:t>8%</w:t>
            </w:r>
          </w:p>
        </w:tc>
        <w:tc>
          <w:tcPr>
            <w:tcW w:w="393" w:type="pct"/>
            <w:vAlign w:val="bottom"/>
          </w:tcPr>
          <w:p w14:paraId="0FFD286E" w14:textId="77777777" w:rsidR="00FA2FF9" w:rsidRPr="00730DE4" w:rsidRDefault="00FA2FF9" w:rsidP="00E71FB5">
            <w:pPr>
              <w:pStyle w:val="NoSpacing"/>
              <w:jc w:val="right"/>
            </w:pPr>
            <w:r w:rsidRPr="00730DE4">
              <w:rPr>
                <w:rFonts w:cs="Arial"/>
                <w:szCs w:val="20"/>
              </w:rPr>
              <w:t>7%</w:t>
            </w:r>
          </w:p>
        </w:tc>
        <w:tc>
          <w:tcPr>
            <w:tcW w:w="393" w:type="pct"/>
            <w:vAlign w:val="bottom"/>
          </w:tcPr>
          <w:p w14:paraId="7E04B988" w14:textId="77777777" w:rsidR="00FA2FF9" w:rsidRPr="00730DE4" w:rsidRDefault="00FA2FF9" w:rsidP="00E71FB5">
            <w:pPr>
              <w:pStyle w:val="NoSpacing"/>
              <w:jc w:val="right"/>
            </w:pPr>
            <w:r w:rsidRPr="00730DE4">
              <w:rPr>
                <w:rFonts w:cs="Arial"/>
                <w:szCs w:val="20"/>
              </w:rPr>
              <w:t>8%</w:t>
            </w:r>
          </w:p>
        </w:tc>
        <w:tc>
          <w:tcPr>
            <w:tcW w:w="437" w:type="pct"/>
            <w:vAlign w:val="bottom"/>
          </w:tcPr>
          <w:p w14:paraId="164E91BE" w14:textId="77777777" w:rsidR="00FA2FF9" w:rsidRPr="00730DE4" w:rsidRDefault="00FA2FF9" w:rsidP="00E71FB5">
            <w:pPr>
              <w:pStyle w:val="NoSpacing"/>
              <w:jc w:val="right"/>
            </w:pPr>
            <w:r w:rsidRPr="00730DE4">
              <w:rPr>
                <w:rFonts w:cs="Arial"/>
                <w:szCs w:val="20"/>
              </w:rPr>
              <w:t>8%</w:t>
            </w:r>
          </w:p>
        </w:tc>
        <w:tc>
          <w:tcPr>
            <w:tcW w:w="393" w:type="pct"/>
            <w:vAlign w:val="bottom"/>
          </w:tcPr>
          <w:p w14:paraId="5F39D8E6" w14:textId="77777777" w:rsidR="00FA2FF9" w:rsidRPr="00730DE4" w:rsidRDefault="00FA2FF9" w:rsidP="00E71FB5">
            <w:pPr>
              <w:pStyle w:val="NoSpacing"/>
              <w:jc w:val="right"/>
            </w:pPr>
            <w:r w:rsidRPr="00730DE4">
              <w:rPr>
                <w:rFonts w:cs="Arial"/>
                <w:szCs w:val="20"/>
              </w:rPr>
              <w:t>7%</w:t>
            </w:r>
          </w:p>
        </w:tc>
        <w:tc>
          <w:tcPr>
            <w:tcW w:w="393" w:type="pct"/>
            <w:vAlign w:val="bottom"/>
          </w:tcPr>
          <w:p w14:paraId="4942D635" w14:textId="77777777" w:rsidR="00FA2FF9" w:rsidRPr="00730DE4" w:rsidRDefault="00FA2FF9" w:rsidP="00E71FB5">
            <w:pPr>
              <w:pStyle w:val="NoSpacing"/>
              <w:jc w:val="right"/>
            </w:pPr>
            <w:r w:rsidRPr="00730DE4">
              <w:rPr>
                <w:rFonts w:cs="Arial"/>
                <w:szCs w:val="20"/>
              </w:rPr>
              <w:t>5%</w:t>
            </w:r>
          </w:p>
        </w:tc>
        <w:tc>
          <w:tcPr>
            <w:tcW w:w="393" w:type="pct"/>
            <w:vAlign w:val="bottom"/>
          </w:tcPr>
          <w:p w14:paraId="24208340" w14:textId="77777777" w:rsidR="00FA2FF9" w:rsidRPr="00730DE4" w:rsidRDefault="00FA2FF9" w:rsidP="00E71FB5">
            <w:pPr>
              <w:pStyle w:val="NoSpacing"/>
              <w:jc w:val="right"/>
            </w:pPr>
            <w:r w:rsidRPr="00730DE4">
              <w:rPr>
                <w:rFonts w:cs="Arial"/>
                <w:szCs w:val="20"/>
              </w:rPr>
              <w:t>4%</w:t>
            </w:r>
          </w:p>
        </w:tc>
      </w:tr>
      <w:tr w:rsidR="000A65A9" w:rsidRPr="00730DE4" w14:paraId="169954FE" w14:textId="77777777" w:rsidTr="00DB1130">
        <w:trPr>
          <w:cnfStyle w:val="000000100000" w:firstRow="0" w:lastRow="0" w:firstColumn="0" w:lastColumn="0" w:oddVBand="0" w:evenVBand="0" w:oddHBand="1" w:evenHBand="0" w:firstRowFirstColumn="0" w:firstRowLastColumn="0" w:lastRowFirstColumn="0" w:lastRowLastColumn="0"/>
        </w:trPr>
        <w:tc>
          <w:tcPr>
            <w:tcW w:w="631" w:type="pct"/>
            <w:vAlign w:val="bottom"/>
          </w:tcPr>
          <w:p w14:paraId="600AA53F" w14:textId="77777777" w:rsidR="00FA2FF9" w:rsidRPr="00730DE4" w:rsidRDefault="00FA2FF9" w:rsidP="00BF58B2">
            <w:pPr>
              <w:pStyle w:val="NoSpacing"/>
            </w:pPr>
            <w:r w:rsidRPr="00730DE4">
              <w:rPr>
                <w:rFonts w:cs="Arial"/>
                <w:szCs w:val="20"/>
              </w:rPr>
              <w:t>Casual</w:t>
            </w:r>
          </w:p>
        </w:tc>
        <w:tc>
          <w:tcPr>
            <w:tcW w:w="393" w:type="pct"/>
            <w:vAlign w:val="bottom"/>
          </w:tcPr>
          <w:p w14:paraId="13723942" w14:textId="77777777" w:rsidR="00FA2FF9" w:rsidRPr="00730DE4" w:rsidRDefault="00FA2FF9" w:rsidP="00E71FB5">
            <w:pPr>
              <w:pStyle w:val="NoSpacing"/>
              <w:jc w:val="right"/>
            </w:pPr>
            <w:r w:rsidRPr="00730DE4">
              <w:rPr>
                <w:rFonts w:cs="Arial"/>
                <w:szCs w:val="20"/>
              </w:rPr>
              <w:t>17%</w:t>
            </w:r>
          </w:p>
        </w:tc>
        <w:tc>
          <w:tcPr>
            <w:tcW w:w="393" w:type="pct"/>
            <w:vAlign w:val="bottom"/>
          </w:tcPr>
          <w:p w14:paraId="200B4483" w14:textId="77777777" w:rsidR="00FA2FF9" w:rsidRPr="00730DE4" w:rsidRDefault="00FA2FF9" w:rsidP="00E71FB5">
            <w:pPr>
              <w:pStyle w:val="NoSpacing"/>
              <w:jc w:val="right"/>
            </w:pPr>
            <w:r w:rsidRPr="00730DE4">
              <w:rPr>
                <w:rFonts w:cs="Arial"/>
                <w:szCs w:val="20"/>
              </w:rPr>
              <w:t>21%</w:t>
            </w:r>
          </w:p>
        </w:tc>
        <w:tc>
          <w:tcPr>
            <w:tcW w:w="393" w:type="pct"/>
            <w:vAlign w:val="bottom"/>
          </w:tcPr>
          <w:p w14:paraId="6B501D85" w14:textId="77777777" w:rsidR="00FA2FF9" w:rsidRPr="00730DE4" w:rsidRDefault="00FA2FF9" w:rsidP="00E71FB5">
            <w:pPr>
              <w:pStyle w:val="NoSpacing"/>
              <w:jc w:val="right"/>
            </w:pPr>
            <w:r w:rsidRPr="00730DE4">
              <w:rPr>
                <w:rFonts w:cs="Arial"/>
                <w:szCs w:val="20"/>
              </w:rPr>
              <w:t>21%</w:t>
            </w:r>
          </w:p>
        </w:tc>
        <w:tc>
          <w:tcPr>
            <w:tcW w:w="393" w:type="pct"/>
            <w:vAlign w:val="bottom"/>
          </w:tcPr>
          <w:p w14:paraId="7B895F8A" w14:textId="77777777" w:rsidR="00FA2FF9" w:rsidRPr="00730DE4" w:rsidRDefault="00FA2FF9" w:rsidP="00E71FB5">
            <w:pPr>
              <w:pStyle w:val="NoSpacing"/>
              <w:jc w:val="right"/>
            </w:pPr>
            <w:r w:rsidRPr="00730DE4">
              <w:rPr>
                <w:rFonts w:cs="Arial"/>
                <w:szCs w:val="20"/>
              </w:rPr>
              <w:t>21%</w:t>
            </w:r>
          </w:p>
        </w:tc>
        <w:tc>
          <w:tcPr>
            <w:tcW w:w="393" w:type="pct"/>
            <w:vAlign w:val="bottom"/>
          </w:tcPr>
          <w:p w14:paraId="60232472" w14:textId="77777777" w:rsidR="00FA2FF9" w:rsidRPr="00730DE4" w:rsidRDefault="00FA2FF9" w:rsidP="00E71FB5">
            <w:pPr>
              <w:pStyle w:val="NoSpacing"/>
              <w:jc w:val="right"/>
            </w:pPr>
            <w:r w:rsidRPr="00730DE4">
              <w:rPr>
                <w:rFonts w:cs="Arial"/>
                <w:szCs w:val="20"/>
              </w:rPr>
              <w:t>22%</w:t>
            </w:r>
          </w:p>
        </w:tc>
        <w:tc>
          <w:tcPr>
            <w:tcW w:w="393" w:type="pct"/>
            <w:vAlign w:val="bottom"/>
          </w:tcPr>
          <w:p w14:paraId="3F3A183C" w14:textId="77777777" w:rsidR="00FA2FF9" w:rsidRPr="00730DE4" w:rsidRDefault="00FA2FF9" w:rsidP="00E71FB5">
            <w:pPr>
              <w:pStyle w:val="NoSpacing"/>
              <w:jc w:val="right"/>
            </w:pPr>
            <w:r w:rsidRPr="00730DE4">
              <w:rPr>
                <w:rFonts w:cs="Arial"/>
                <w:szCs w:val="20"/>
              </w:rPr>
              <w:t>22%</w:t>
            </w:r>
          </w:p>
        </w:tc>
        <w:tc>
          <w:tcPr>
            <w:tcW w:w="393" w:type="pct"/>
            <w:vAlign w:val="bottom"/>
          </w:tcPr>
          <w:p w14:paraId="32C08213" w14:textId="77777777" w:rsidR="00FA2FF9" w:rsidRPr="00730DE4" w:rsidRDefault="00FA2FF9" w:rsidP="00E71FB5">
            <w:pPr>
              <w:pStyle w:val="NoSpacing"/>
              <w:jc w:val="right"/>
            </w:pPr>
            <w:r w:rsidRPr="00730DE4">
              <w:rPr>
                <w:rFonts w:cs="Arial"/>
                <w:szCs w:val="20"/>
              </w:rPr>
              <w:t>22%</w:t>
            </w:r>
          </w:p>
        </w:tc>
        <w:tc>
          <w:tcPr>
            <w:tcW w:w="437" w:type="pct"/>
            <w:vAlign w:val="bottom"/>
          </w:tcPr>
          <w:p w14:paraId="1E4AE94C" w14:textId="77777777" w:rsidR="00FA2FF9" w:rsidRPr="00730DE4" w:rsidRDefault="00FA2FF9" w:rsidP="00E71FB5">
            <w:pPr>
              <w:pStyle w:val="NoSpacing"/>
              <w:jc w:val="right"/>
            </w:pPr>
            <w:r w:rsidRPr="00730DE4">
              <w:rPr>
                <w:rFonts w:cs="Arial"/>
                <w:szCs w:val="20"/>
              </w:rPr>
              <w:t>22%</w:t>
            </w:r>
          </w:p>
        </w:tc>
        <w:tc>
          <w:tcPr>
            <w:tcW w:w="393" w:type="pct"/>
            <w:vAlign w:val="bottom"/>
          </w:tcPr>
          <w:p w14:paraId="3AE4CCA5" w14:textId="77777777" w:rsidR="00FA2FF9" w:rsidRPr="00730DE4" w:rsidRDefault="00FA2FF9" w:rsidP="00E71FB5">
            <w:pPr>
              <w:pStyle w:val="NoSpacing"/>
              <w:jc w:val="right"/>
            </w:pPr>
            <w:r w:rsidRPr="00730DE4">
              <w:rPr>
                <w:rFonts w:cs="Arial"/>
                <w:szCs w:val="20"/>
              </w:rPr>
              <w:t>22%</w:t>
            </w:r>
          </w:p>
        </w:tc>
        <w:tc>
          <w:tcPr>
            <w:tcW w:w="393" w:type="pct"/>
            <w:vAlign w:val="bottom"/>
          </w:tcPr>
          <w:p w14:paraId="768BAD14" w14:textId="77777777" w:rsidR="00FA2FF9" w:rsidRPr="00730DE4" w:rsidRDefault="00FA2FF9" w:rsidP="00E71FB5">
            <w:pPr>
              <w:pStyle w:val="NoSpacing"/>
              <w:jc w:val="right"/>
            </w:pPr>
            <w:r w:rsidRPr="00730DE4">
              <w:rPr>
                <w:rFonts w:cs="Arial"/>
                <w:szCs w:val="20"/>
              </w:rPr>
              <w:t>22%</w:t>
            </w:r>
          </w:p>
        </w:tc>
        <w:tc>
          <w:tcPr>
            <w:tcW w:w="393" w:type="pct"/>
            <w:vAlign w:val="bottom"/>
          </w:tcPr>
          <w:p w14:paraId="677BE1FB" w14:textId="77777777" w:rsidR="00FA2FF9" w:rsidRPr="00730DE4" w:rsidRDefault="00FA2FF9" w:rsidP="00E71FB5">
            <w:pPr>
              <w:pStyle w:val="NoSpacing"/>
              <w:jc w:val="right"/>
            </w:pPr>
            <w:r w:rsidRPr="00730DE4">
              <w:rPr>
                <w:rFonts w:cs="Arial"/>
                <w:szCs w:val="20"/>
              </w:rPr>
              <w:t>23%</w:t>
            </w:r>
          </w:p>
        </w:tc>
      </w:tr>
      <w:tr w:rsidR="000A65A9" w:rsidRPr="00730DE4" w14:paraId="20A98401" w14:textId="77777777" w:rsidTr="00DB1130">
        <w:tc>
          <w:tcPr>
            <w:tcW w:w="631" w:type="pct"/>
            <w:vAlign w:val="bottom"/>
          </w:tcPr>
          <w:p w14:paraId="135E62F4" w14:textId="77777777" w:rsidR="00FA2FF9" w:rsidRPr="00730DE4" w:rsidRDefault="00FA2FF9" w:rsidP="00BF58B2">
            <w:pPr>
              <w:pStyle w:val="NoSpacing"/>
            </w:pPr>
            <w:r w:rsidRPr="00730DE4">
              <w:rPr>
                <w:rFonts w:cs="Arial"/>
                <w:szCs w:val="20"/>
              </w:rPr>
              <w:t>Permanent employee separation rate</w:t>
            </w:r>
          </w:p>
        </w:tc>
        <w:tc>
          <w:tcPr>
            <w:tcW w:w="393" w:type="pct"/>
            <w:vAlign w:val="bottom"/>
          </w:tcPr>
          <w:p w14:paraId="2706D37A" w14:textId="77777777" w:rsidR="00FA2FF9" w:rsidRPr="00730DE4" w:rsidRDefault="00FA2FF9" w:rsidP="00E71FB5">
            <w:pPr>
              <w:pStyle w:val="NoSpacing"/>
              <w:jc w:val="right"/>
            </w:pPr>
            <w:r w:rsidRPr="00730DE4">
              <w:rPr>
                <w:rFonts w:cs="Arial"/>
                <w:szCs w:val="20"/>
              </w:rPr>
              <w:t>10%</w:t>
            </w:r>
          </w:p>
        </w:tc>
        <w:tc>
          <w:tcPr>
            <w:tcW w:w="393" w:type="pct"/>
            <w:vAlign w:val="bottom"/>
          </w:tcPr>
          <w:p w14:paraId="4BEBC8EF" w14:textId="77777777" w:rsidR="00FA2FF9" w:rsidRPr="00730DE4" w:rsidRDefault="00FA2FF9" w:rsidP="00E71FB5">
            <w:pPr>
              <w:pStyle w:val="NoSpacing"/>
              <w:jc w:val="right"/>
            </w:pPr>
            <w:r w:rsidRPr="00730DE4">
              <w:rPr>
                <w:rFonts w:cs="Arial"/>
                <w:szCs w:val="20"/>
              </w:rPr>
              <w:t>10%</w:t>
            </w:r>
          </w:p>
        </w:tc>
        <w:tc>
          <w:tcPr>
            <w:tcW w:w="393" w:type="pct"/>
            <w:vAlign w:val="bottom"/>
          </w:tcPr>
          <w:p w14:paraId="2F885BF5" w14:textId="77777777" w:rsidR="00FA2FF9" w:rsidRPr="00730DE4" w:rsidRDefault="00FA2FF9" w:rsidP="00E71FB5">
            <w:pPr>
              <w:pStyle w:val="NoSpacing"/>
              <w:jc w:val="right"/>
            </w:pPr>
            <w:r w:rsidRPr="00730DE4">
              <w:rPr>
                <w:rFonts w:cs="Arial"/>
                <w:szCs w:val="20"/>
              </w:rPr>
              <w:t>8%</w:t>
            </w:r>
          </w:p>
        </w:tc>
        <w:tc>
          <w:tcPr>
            <w:tcW w:w="393" w:type="pct"/>
            <w:vAlign w:val="bottom"/>
          </w:tcPr>
          <w:p w14:paraId="1D3C8565" w14:textId="77777777" w:rsidR="00FA2FF9" w:rsidRPr="00730DE4" w:rsidRDefault="00FA2FF9" w:rsidP="00E71FB5">
            <w:pPr>
              <w:pStyle w:val="NoSpacing"/>
              <w:jc w:val="right"/>
            </w:pPr>
            <w:r w:rsidRPr="00730DE4">
              <w:rPr>
                <w:rFonts w:cs="Arial"/>
                <w:szCs w:val="20"/>
              </w:rPr>
              <w:t>5%</w:t>
            </w:r>
          </w:p>
        </w:tc>
        <w:tc>
          <w:tcPr>
            <w:tcW w:w="393" w:type="pct"/>
            <w:vAlign w:val="bottom"/>
          </w:tcPr>
          <w:p w14:paraId="35D640CB" w14:textId="77777777" w:rsidR="00FA2FF9" w:rsidRPr="00730DE4" w:rsidRDefault="00FA2FF9" w:rsidP="00E71FB5">
            <w:pPr>
              <w:pStyle w:val="NoSpacing"/>
              <w:jc w:val="right"/>
            </w:pPr>
            <w:r w:rsidRPr="00730DE4">
              <w:rPr>
                <w:rFonts w:cs="Arial"/>
                <w:szCs w:val="20"/>
              </w:rPr>
              <w:t>6%</w:t>
            </w:r>
          </w:p>
        </w:tc>
        <w:tc>
          <w:tcPr>
            <w:tcW w:w="393" w:type="pct"/>
            <w:vAlign w:val="bottom"/>
          </w:tcPr>
          <w:p w14:paraId="7780820F" w14:textId="77777777" w:rsidR="00FA2FF9" w:rsidRPr="00730DE4" w:rsidRDefault="00FA2FF9" w:rsidP="00E71FB5">
            <w:pPr>
              <w:pStyle w:val="NoSpacing"/>
              <w:jc w:val="right"/>
            </w:pPr>
            <w:r w:rsidRPr="00730DE4">
              <w:rPr>
                <w:rFonts w:cs="Arial"/>
                <w:szCs w:val="20"/>
              </w:rPr>
              <w:t>6%</w:t>
            </w:r>
          </w:p>
        </w:tc>
        <w:tc>
          <w:tcPr>
            <w:tcW w:w="393" w:type="pct"/>
            <w:vAlign w:val="bottom"/>
          </w:tcPr>
          <w:p w14:paraId="180A833F" w14:textId="77777777" w:rsidR="00FA2FF9" w:rsidRPr="00730DE4" w:rsidRDefault="00FA2FF9" w:rsidP="00E71FB5">
            <w:pPr>
              <w:pStyle w:val="NoSpacing"/>
              <w:jc w:val="right"/>
            </w:pPr>
            <w:r w:rsidRPr="00730DE4">
              <w:rPr>
                <w:rFonts w:cs="Arial"/>
                <w:szCs w:val="20"/>
              </w:rPr>
              <w:t>6%</w:t>
            </w:r>
          </w:p>
        </w:tc>
        <w:tc>
          <w:tcPr>
            <w:tcW w:w="437" w:type="pct"/>
            <w:vAlign w:val="bottom"/>
          </w:tcPr>
          <w:p w14:paraId="6659BCDC" w14:textId="77777777" w:rsidR="00FA2FF9" w:rsidRPr="00730DE4" w:rsidRDefault="00FA2FF9" w:rsidP="00E71FB5">
            <w:pPr>
              <w:pStyle w:val="NoSpacing"/>
              <w:jc w:val="right"/>
            </w:pPr>
            <w:r w:rsidRPr="00730DE4">
              <w:rPr>
                <w:rFonts w:cs="Arial"/>
                <w:szCs w:val="20"/>
              </w:rPr>
              <w:t>5%</w:t>
            </w:r>
          </w:p>
        </w:tc>
        <w:tc>
          <w:tcPr>
            <w:tcW w:w="393" w:type="pct"/>
            <w:vAlign w:val="bottom"/>
          </w:tcPr>
          <w:p w14:paraId="1BAF2DDF" w14:textId="77777777" w:rsidR="00FA2FF9" w:rsidRPr="00730DE4" w:rsidRDefault="00FA2FF9" w:rsidP="00E71FB5">
            <w:pPr>
              <w:pStyle w:val="NoSpacing"/>
              <w:jc w:val="right"/>
            </w:pPr>
            <w:r w:rsidRPr="00730DE4">
              <w:rPr>
                <w:rFonts w:cs="Arial"/>
                <w:szCs w:val="20"/>
              </w:rPr>
              <w:t>6%</w:t>
            </w:r>
          </w:p>
        </w:tc>
        <w:tc>
          <w:tcPr>
            <w:tcW w:w="393" w:type="pct"/>
            <w:vAlign w:val="bottom"/>
          </w:tcPr>
          <w:p w14:paraId="2A7F97B5" w14:textId="77777777" w:rsidR="00FA2FF9" w:rsidRPr="00730DE4" w:rsidRDefault="00FA2FF9" w:rsidP="00E71FB5">
            <w:pPr>
              <w:pStyle w:val="NoSpacing"/>
              <w:jc w:val="right"/>
            </w:pPr>
            <w:r w:rsidRPr="00730DE4">
              <w:rPr>
                <w:rFonts w:cs="Arial"/>
                <w:szCs w:val="20"/>
              </w:rPr>
              <w:t>5%</w:t>
            </w:r>
          </w:p>
        </w:tc>
        <w:tc>
          <w:tcPr>
            <w:tcW w:w="393" w:type="pct"/>
            <w:vAlign w:val="bottom"/>
          </w:tcPr>
          <w:p w14:paraId="7BEBD078" w14:textId="77777777" w:rsidR="00FA2FF9" w:rsidRPr="00730DE4" w:rsidRDefault="00FA2FF9" w:rsidP="00E71FB5">
            <w:pPr>
              <w:pStyle w:val="NoSpacing"/>
              <w:jc w:val="right"/>
            </w:pPr>
            <w:r w:rsidRPr="00730DE4">
              <w:rPr>
                <w:rFonts w:cs="Arial"/>
                <w:szCs w:val="20"/>
              </w:rPr>
              <w:t>8%</w:t>
            </w:r>
          </w:p>
        </w:tc>
      </w:tr>
      <w:tr w:rsidR="000A65A9" w:rsidRPr="00730DE4" w14:paraId="55D89960" w14:textId="77777777" w:rsidTr="00DB1130">
        <w:trPr>
          <w:cnfStyle w:val="000000100000" w:firstRow="0" w:lastRow="0" w:firstColumn="0" w:lastColumn="0" w:oddVBand="0" w:evenVBand="0" w:oddHBand="1" w:evenHBand="0" w:firstRowFirstColumn="0" w:firstRowLastColumn="0" w:lastRowFirstColumn="0" w:lastRowLastColumn="0"/>
        </w:trPr>
        <w:tc>
          <w:tcPr>
            <w:tcW w:w="631" w:type="pct"/>
            <w:vAlign w:val="bottom"/>
          </w:tcPr>
          <w:p w14:paraId="2239F04F" w14:textId="77777777" w:rsidR="00FA2FF9" w:rsidRPr="00730DE4" w:rsidRDefault="00FA2FF9" w:rsidP="00BF58B2">
            <w:pPr>
              <w:pStyle w:val="NoSpacing"/>
            </w:pPr>
            <w:r w:rsidRPr="00730DE4">
              <w:rPr>
                <w:rFonts w:cs="Arial"/>
                <w:szCs w:val="20"/>
              </w:rPr>
              <w:t>Non-Corporate roles</w:t>
            </w:r>
          </w:p>
        </w:tc>
        <w:tc>
          <w:tcPr>
            <w:tcW w:w="393" w:type="pct"/>
            <w:vAlign w:val="bottom"/>
          </w:tcPr>
          <w:p w14:paraId="23C4C74A" w14:textId="77777777" w:rsidR="00FA2FF9" w:rsidRPr="00730DE4" w:rsidRDefault="00FA2FF9" w:rsidP="00E71FB5">
            <w:pPr>
              <w:pStyle w:val="NoSpacing"/>
              <w:jc w:val="right"/>
            </w:pPr>
            <w:r w:rsidRPr="00730DE4">
              <w:rPr>
                <w:rFonts w:cs="Arial"/>
                <w:szCs w:val="20"/>
              </w:rPr>
              <w:t>70%</w:t>
            </w:r>
          </w:p>
        </w:tc>
        <w:tc>
          <w:tcPr>
            <w:tcW w:w="393" w:type="pct"/>
            <w:vAlign w:val="bottom"/>
          </w:tcPr>
          <w:p w14:paraId="4F1E2B63" w14:textId="77777777" w:rsidR="00FA2FF9" w:rsidRPr="00730DE4" w:rsidRDefault="00FA2FF9" w:rsidP="00E71FB5">
            <w:pPr>
              <w:pStyle w:val="NoSpacing"/>
              <w:jc w:val="right"/>
            </w:pPr>
            <w:r w:rsidRPr="00730DE4">
              <w:rPr>
                <w:rFonts w:cs="Arial"/>
                <w:szCs w:val="20"/>
              </w:rPr>
              <w:t>82%</w:t>
            </w:r>
          </w:p>
        </w:tc>
        <w:tc>
          <w:tcPr>
            <w:tcW w:w="393" w:type="pct"/>
            <w:vAlign w:val="bottom"/>
          </w:tcPr>
          <w:p w14:paraId="53735612" w14:textId="77777777" w:rsidR="00FA2FF9" w:rsidRPr="00730DE4" w:rsidRDefault="00FA2FF9" w:rsidP="00E71FB5">
            <w:pPr>
              <w:pStyle w:val="NoSpacing"/>
              <w:jc w:val="right"/>
            </w:pPr>
            <w:r w:rsidRPr="00730DE4">
              <w:rPr>
                <w:rFonts w:cs="Arial"/>
                <w:szCs w:val="20"/>
              </w:rPr>
              <w:t>84%</w:t>
            </w:r>
          </w:p>
        </w:tc>
        <w:tc>
          <w:tcPr>
            <w:tcW w:w="393" w:type="pct"/>
            <w:vAlign w:val="bottom"/>
          </w:tcPr>
          <w:p w14:paraId="0AB9D9F7" w14:textId="77777777" w:rsidR="00FA2FF9" w:rsidRPr="00730DE4" w:rsidRDefault="00FA2FF9" w:rsidP="00E71FB5">
            <w:pPr>
              <w:pStyle w:val="NoSpacing"/>
              <w:jc w:val="right"/>
            </w:pPr>
            <w:r w:rsidRPr="00730DE4">
              <w:rPr>
                <w:rFonts w:cs="Arial"/>
                <w:szCs w:val="20"/>
              </w:rPr>
              <w:t>84%</w:t>
            </w:r>
          </w:p>
        </w:tc>
        <w:tc>
          <w:tcPr>
            <w:tcW w:w="393" w:type="pct"/>
            <w:vAlign w:val="bottom"/>
          </w:tcPr>
          <w:p w14:paraId="16EBA203" w14:textId="77777777" w:rsidR="00FA2FF9" w:rsidRPr="00730DE4" w:rsidRDefault="00FA2FF9" w:rsidP="00E71FB5">
            <w:pPr>
              <w:pStyle w:val="NoSpacing"/>
              <w:jc w:val="right"/>
            </w:pPr>
            <w:r w:rsidRPr="00730DE4">
              <w:rPr>
                <w:rFonts w:cs="Arial"/>
                <w:szCs w:val="20"/>
              </w:rPr>
              <w:t>82%</w:t>
            </w:r>
          </w:p>
        </w:tc>
        <w:tc>
          <w:tcPr>
            <w:tcW w:w="393" w:type="pct"/>
            <w:vAlign w:val="bottom"/>
          </w:tcPr>
          <w:p w14:paraId="68B3194A" w14:textId="77777777" w:rsidR="00FA2FF9" w:rsidRPr="00730DE4" w:rsidRDefault="00FA2FF9" w:rsidP="00E71FB5">
            <w:pPr>
              <w:pStyle w:val="NoSpacing"/>
              <w:jc w:val="right"/>
            </w:pPr>
            <w:r w:rsidRPr="00730DE4">
              <w:rPr>
                <w:rFonts w:cs="Arial"/>
                <w:szCs w:val="20"/>
              </w:rPr>
              <w:t>82%</w:t>
            </w:r>
          </w:p>
        </w:tc>
        <w:tc>
          <w:tcPr>
            <w:tcW w:w="393" w:type="pct"/>
            <w:vAlign w:val="bottom"/>
          </w:tcPr>
          <w:p w14:paraId="39DE21AC" w14:textId="77777777" w:rsidR="00FA2FF9" w:rsidRPr="00730DE4" w:rsidRDefault="00FA2FF9" w:rsidP="00E71FB5">
            <w:pPr>
              <w:pStyle w:val="NoSpacing"/>
              <w:jc w:val="right"/>
            </w:pPr>
            <w:r w:rsidRPr="00730DE4">
              <w:rPr>
                <w:rFonts w:cs="Arial"/>
                <w:szCs w:val="20"/>
              </w:rPr>
              <w:t>82%</w:t>
            </w:r>
          </w:p>
        </w:tc>
        <w:tc>
          <w:tcPr>
            <w:tcW w:w="437" w:type="pct"/>
            <w:vAlign w:val="bottom"/>
          </w:tcPr>
          <w:p w14:paraId="19BE8BA5" w14:textId="77777777" w:rsidR="00FA2FF9" w:rsidRPr="00730DE4" w:rsidRDefault="00FA2FF9" w:rsidP="00E71FB5">
            <w:pPr>
              <w:pStyle w:val="NoSpacing"/>
              <w:jc w:val="right"/>
            </w:pPr>
            <w:r w:rsidRPr="00730DE4">
              <w:rPr>
                <w:rFonts w:cs="Arial"/>
                <w:szCs w:val="20"/>
              </w:rPr>
              <w:t>82%</w:t>
            </w:r>
          </w:p>
        </w:tc>
        <w:tc>
          <w:tcPr>
            <w:tcW w:w="393" w:type="pct"/>
            <w:vAlign w:val="bottom"/>
          </w:tcPr>
          <w:p w14:paraId="3DFFE958" w14:textId="77777777" w:rsidR="00FA2FF9" w:rsidRPr="00730DE4" w:rsidRDefault="00FA2FF9" w:rsidP="00E71FB5">
            <w:pPr>
              <w:pStyle w:val="NoSpacing"/>
              <w:jc w:val="right"/>
            </w:pPr>
            <w:r w:rsidRPr="00730DE4">
              <w:rPr>
                <w:rFonts w:cs="Arial"/>
                <w:szCs w:val="20"/>
              </w:rPr>
              <w:t>82%</w:t>
            </w:r>
          </w:p>
        </w:tc>
        <w:tc>
          <w:tcPr>
            <w:tcW w:w="393" w:type="pct"/>
            <w:vAlign w:val="bottom"/>
          </w:tcPr>
          <w:p w14:paraId="1DA7BBD9" w14:textId="77777777" w:rsidR="00FA2FF9" w:rsidRPr="00730DE4" w:rsidRDefault="00FA2FF9" w:rsidP="00E71FB5">
            <w:pPr>
              <w:pStyle w:val="NoSpacing"/>
              <w:jc w:val="right"/>
            </w:pPr>
            <w:r w:rsidRPr="00730DE4">
              <w:rPr>
                <w:rFonts w:cs="Arial"/>
                <w:szCs w:val="20"/>
              </w:rPr>
              <w:t>81%</w:t>
            </w:r>
          </w:p>
        </w:tc>
        <w:tc>
          <w:tcPr>
            <w:tcW w:w="393" w:type="pct"/>
            <w:vAlign w:val="bottom"/>
          </w:tcPr>
          <w:p w14:paraId="46DE365E" w14:textId="77777777" w:rsidR="00FA2FF9" w:rsidRPr="00730DE4" w:rsidRDefault="00FA2FF9" w:rsidP="00E71FB5">
            <w:pPr>
              <w:pStyle w:val="NoSpacing"/>
              <w:jc w:val="right"/>
            </w:pPr>
            <w:r w:rsidRPr="00730DE4">
              <w:rPr>
                <w:rFonts w:cs="Arial"/>
                <w:szCs w:val="20"/>
              </w:rPr>
              <w:t>81%</w:t>
            </w:r>
          </w:p>
        </w:tc>
      </w:tr>
      <w:tr w:rsidR="000A65A9" w:rsidRPr="00730DE4" w14:paraId="038B7752" w14:textId="77777777" w:rsidTr="00DB1130">
        <w:tc>
          <w:tcPr>
            <w:tcW w:w="631" w:type="pct"/>
            <w:vAlign w:val="bottom"/>
          </w:tcPr>
          <w:p w14:paraId="7180E0EC" w14:textId="77777777" w:rsidR="00FA2FF9" w:rsidRPr="00730DE4" w:rsidRDefault="00FA2FF9" w:rsidP="00BF58B2">
            <w:pPr>
              <w:pStyle w:val="NoSpacing"/>
            </w:pPr>
            <w:r w:rsidRPr="00730DE4">
              <w:rPr>
                <w:rFonts w:cs="Arial"/>
                <w:szCs w:val="20"/>
              </w:rPr>
              <w:t>Average age</w:t>
            </w:r>
          </w:p>
        </w:tc>
        <w:tc>
          <w:tcPr>
            <w:tcW w:w="393" w:type="pct"/>
            <w:vAlign w:val="bottom"/>
          </w:tcPr>
          <w:p w14:paraId="7841B0E5" w14:textId="77777777" w:rsidR="00FA2FF9" w:rsidRPr="00730DE4" w:rsidRDefault="00FA2FF9" w:rsidP="00E71FB5">
            <w:pPr>
              <w:pStyle w:val="NoSpacing"/>
              <w:jc w:val="right"/>
            </w:pPr>
            <w:r w:rsidRPr="00730DE4">
              <w:rPr>
                <w:rFonts w:cs="Arial"/>
                <w:szCs w:val="20"/>
              </w:rPr>
              <w:t>49.1</w:t>
            </w:r>
          </w:p>
        </w:tc>
        <w:tc>
          <w:tcPr>
            <w:tcW w:w="393" w:type="pct"/>
            <w:vAlign w:val="bottom"/>
          </w:tcPr>
          <w:p w14:paraId="0B2C4871" w14:textId="77777777" w:rsidR="00FA2FF9" w:rsidRPr="00730DE4" w:rsidRDefault="00FA2FF9" w:rsidP="00E71FB5">
            <w:pPr>
              <w:pStyle w:val="NoSpacing"/>
              <w:jc w:val="right"/>
            </w:pPr>
            <w:r w:rsidRPr="00730DE4">
              <w:rPr>
                <w:rFonts w:cs="Arial"/>
                <w:szCs w:val="20"/>
              </w:rPr>
              <w:t>49.0</w:t>
            </w:r>
          </w:p>
        </w:tc>
        <w:tc>
          <w:tcPr>
            <w:tcW w:w="393" w:type="pct"/>
            <w:vAlign w:val="bottom"/>
          </w:tcPr>
          <w:p w14:paraId="3CE3C548" w14:textId="77777777" w:rsidR="00FA2FF9" w:rsidRPr="00730DE4" w:rsidRDefault="00FA2FF9" w:rsidP="00E71FB5">
            <w:pPr>
              <w:pStyle w:val="NoSpacing"/>
              <w:jc w:val="right"/>
            </w:pPr>
            <w:r w:rsidRPr="00730DE4">
              <w:rPr>
                <w:rFonts w:cs="Arial"/>
                <w:szCs w:val="20"/>
              </w:rPr>
              <w:t>48.8</w:t>
            </w:r>
          </w:p>
        </w:tc>
        <w:tc>
          <w:tcPr>
            <w:tcW w:w="393" w:type="pct"/>
            <w:vAlign w:val="bottom"/>
          </w:tcPr>
          <w:p w14:paraId="091437C5" w14:textId="77777777" w:rsidR="00FA2FF9" w:rsidRPr="00730DE4" w:rsidRDefault="00FA2FF9" w:rsidP="00E71FB5">
            <w:pPr>
              <w:pStyle w:val="NoSpacing"/>
              <w:jc w:val="right"/>
            </w:pPr>
            <w:r w:rsidRPr="00730DE4">
              <w:rPr>
                <w:rFonts w:cs="Arial"/>
                <w:szCs w:val="20"/>
              </w:rPr>
              <w:t>48.5</w:t>
            </w:r>
          </w:p>
        </w:tc>
        <w:tc>
          <w:tcPr>
            <w:tcW w:w="393" w:type="pct"/>
            <w:vAlign w:val="bottom"/>
          </w:tcPr>
          <w:p w14:paraId="67AC4785" w14:textId="77777777" w:rsidR="00FA2FF9" w:rsidRPr="00730DE4" w:rsidRDefault="00FA2FF9" w:rsidP="00E71FB5">
            <w:pPr>
              <w:pStyle w:val="NoSpacing"/>
              <w:jc w:val="right"/>
            </w:pPr>
            <w:r w:rsidRPr="00730DE4">
              <w:rPr>
                <w:rFonts w:cs="Arial"/>
                <w:szCs w:val="20"/>
              </w:rPr>
              <w:t>48.3</w:t>
            </w:r>
          </w:p>
        </w:tc>
        <w:tc>
          <w:tcPr>
            <w:tcW w:w="393" w:type="pct"/>
            <w:vAlign w:val="bottom"/>
          </w:tcPr>
          <w:p w14:paraId="5740BA0B" w14:textId="77777777" w:rsidR="00FA2FF9" w:rsidRPr="00730DE4" w:rsidRDefault="00FA2FF9" w:rsidP="00E71FB5">
            <w:pPr>
              <w:pStyle w:val="NoSpacing"/>
              <w:jc w:val="right"/>
            </w:pPr>
            <w:r w:rsidRPr="00730DE4">
              <w:rPr>
                <w:rFonts w:cs="Arial"/>
                <w:szCs w:val="20"/>
              </w:rPr>
              <w:t>48.1</w:t>
            </w:r>
          </w:p>
        </w:tc>
        <w:tc>
          <w:tcPr>
            <w:tcW w:w="393" w:type="pct"/>
            <w:vAlign w:val="bottom"/>
          </w:tcPr>
          <w:p w14:paraId="692E1415" w14:textId="77777777" w:rsidR="00FA2FF9" w:rsidRPr="00730DE4" w:rsidRDefault="00FA2FF9" w:rsidP="00E71FB5">
            <w:pPr>
              <w:pStyle w:val="NoSpacing"/>
              <w:jc w:val="right"/>
            </w:pPr>
            <w:r w:rsidRPr="00730DE4">
              <w:rPr>
                <w:rFonts w:cs="Arial"/>
                <w:szCs w:val="20"/>
              </w:rPr>
              <w:t>47.6</w:t>
            </w:r>
          </w:p>
        </w:tc>
        <w:tc>
          <w:tcPr>
            <w:tcW w:w="437" w:type="pct"/>
            <w:vAlign w:val="bottom"/>
          </w:tcPr>
          <w:p w14:paraId="27C54C89" w14:textId="77777777" w:rsidR="00FA2FF9" w:rsidRPr="00730DE4" w:rsidRDefault="00FA2FF9" w:rsidP="00E71FB5">
            <w:pPr>
              <w:pStyle w:val="NoSpacing"/>
              <w:jc w:val="right"/>
            </w:pPr>
            <w:r w:rsidRPr="00730DE4">
              <w:rPr>
                <w:rFonts w:cs="Arial"/>
                <w:szCs w:val="20"/>
              </w:rPr>
              <w:t>47.1</w:t>
            </w:r>
          </w:p>
        </w:tc>
        <w:tc>
          <w:tcPr>
            <w:tcW w:w="393" w:type="pct"/>
            <w:vAlign w:val="bottom"/>
          </w:tcPr>
          <w:p w14:paraId="5715F49E" w14:textId="77777777" w:rsidR="00FA2FF9" w:rsidRPr="00730DE4" w:rsidRDefault="00FA2FF9" w:rsidP="00E71FB5">
            <w:pPr>
              <w:pStyle w:val="NoSpacing"/>
              <w:jc w:val="right"/>
            </w:pPr>
            <w:r w:rsidRPr="00730DE4">
              <w:rPr>
                <w:rFonts w:cs="Arial"/>
                <w:szCs w:val="20"/>
              </w:rPr>
              <w:t>46.2</w:t>
            </w:r>
          </w:p>
        </w:tc>
        <w:tc>
          <w:tcPr>
            <w:tcW w:w="393" w:type="pct"/>
            <w:vAlign w:val="bottom"/>
          </w:tcPr>
          <w:p w14:paraId="00562ADE" w14:textId="77777777" w:rsidR="00FA2FF9" w:rsidRPr="00730DE4" w:rsidRDefault="00FA2FF9" w:rsidP="00E71FB5">
            <w:pPr>
              <w:pStyle w:val="NoSpacing"/>
              <w:jc w:val="right"/>
            </w:pPr>
            <w:r w:rsidRPr="00730DE4">
              <w:rPr>
                <w:rFonts w:cs="Arial"/>
                <w:szCs w:val="20"/>
              </w:rPr>
              <w:t>45.8</w:t>
            </w:r>
          </w:p>
        </w:tc>
        <w:tc>
          <w:tcPr>
            <w:tcW w:w="393" w:type="pct"/>
            <w:vAlign w:val="bottom"/>
          </w:tcPr>
          <w:p w14:paraId="04B7357C" w14:textId="77777777" w:rsidR="00FA2FF9" w:rsidRPr="00730DE4" w:rsidRDefault="00FA2FF9" w:rsidP="00E71FB5">
            <w:pPr>
              <w:pStyle w:val="NoSpacing"/>
              <w:jc w:val="right"/>
            </w:pPr>
            <w:r w:rsidRPr="00730DE4">
              <w:rPr>
                <w:rFonts w:cs="Arial"/>
                <w:szCs w:val="20"/>
              </w:rPr>
              <w:t>45.1</w:t>
            </w:r>
          </w:p>
        </w:tc>
      </w:tr>
      <w:tr w:rsidR="000A65A9" w:rsidRPr="00730DE4" w14:paraId="2E7B4643" w14:textId="77777777" w:rsidTr="00DB1130">
        <w:trPr>
          <w:cnfStyle w:val="000000100000" w:firstRow="0" w:lastRow="0" w:firstColumn="0" w:lastColumn="0" w:oddVBand="0" w:evenVBand="0" w:oddHBand="1" w:evenHBand="0" w:firstRowFirstColumn="0" w:firstRowLastColumn="0" w:lastRowFirstColumn="0" w:lastRowLastColumn="0"/>
        </w:trPr>
        <w:tc>
          <w:tcPr>
            <w:tcW w:w="631" w:type="pct"/>
            <w:vAlign w:val="bottom"/>
          </w:tcPr>
          <w:p w14:paraId="186D3927" w14:textId="77777777" w:rsidR="00FA2FF9" w:rsidRPr="00730DE4" w:rsidRDefault="00FA2FF9" w:rsidP="00BF58B2">
            <w:pPr>
              <w:pStyle w:val="NoSpacing"/>
            </w:pPr>
            <w:r w:rsidRPr="00730DE4">
              <w:rPr>
                <w:rFonts w:cs="Arial"/>
                <w:szCs w:val="20"/>
              </w:rPr>
              <w:t>Manager to employee ratio</w:t>
            </w:r>
          </w:p>
        </w:tc>
        <w:tc>
          <w:tcPr>
            <w:tcW w:w="393" w:type="pct"/>
            <w:vAlign w:val="bottom"/>
          </w:tcPr>
          <w:p w14:paraId="31364ED9" w14:textId="77777777" w:rsidR="00FA2FF9" w:rsidRPr="00730DE4" w:rsidRDefault="00FA2FF9" w:rsidP="00E71FB5">
            <w:pPr>
              <w:pStyle w:val="NoSpacing"/>
              <w:jc w:val="right"/>
            </w:pPr>
            <w:r w:rsidRPr="00730DE4">
              <w:rPr>
                <w:rFonts w:cs="Arial"/>
                <w:szCs w:val="20"/>
              </w:rPr>
              <w:t>1:5.7</w:t>
            </w:r>
          </w:p>
        </w:tc>
        <w:tc>
          <w:tcPr>
            <w:tcW w:w="393" w:type="pct"/>
            <w:vAlign w:val="bottom"/>
          </w:tcPr>
          <w:p w14:paraId="0B7BB119" w14:textId="77777777" w:rsidR="00FA2FF9" w:rsidRPr="00730DE4" w:rsidRDefault="00FA2FF9" w:rsidP="00E71FB5">
            <w:pPr>
              <w:pStyle w:val="NoSpacing"/>
              <w:jc w:val="right"/>
            </w:pPr>
            <w:r w:rsidRPr="00730DE4">
              <w:rPr>
                <w:rFonts w:cs="Arial"/>
                <w:szCs w:val="20"/>
              </w:rPr>
              <w:t>1:6.3</w:t>
            </w:r>
          </w:p>
        </w:tc>
        <w:tc>
          <w:tcPr>
            <w:tcW w:w="393" w:type="pct"/>
            <w:vAlign w:val="bottom"/>
          </w:tcPr>
          <w:p w14:paraId="2345BA51" w14:textId="77777777" w:rsidR="00FA2FF9" w:rsidRPr="00730DE4" w:rsidRDefault="00FA2FF9" w:rsidP="00E71FB5">
            <w:pPr>
              <w:pStyle w:val="NoSpacing"/>
              <w:jc w:val="right"/>
            </w:pPr>
            <w:r w:rsidRPr="00730DE4">
              <w:rPr>
                <w:rFonts w:cs="Arial"/>
                <w:szCs w:val="20"/>
              </w:rPr>
              <w:t>1:6.3</w:t>
            </w:r>
          </w:p>
        </w:tc>
        <w:tc>
          <w:tcPr>
            <w:tcW w:w="393" w:type="pct"/>
            <w:vAlign w:val="bottom"/>
          </w:tcPr>
          <w:p w14:paraId="45096BAD" w14:textId="77777777" w:rsidR="00FA2FF9" w:rsidRPr="00730DE4" w:rsidRDefault="00FA2FF9" w:rsidP="00E71FB5">
            <w:pPr>
              <w:pStyle w:val="NoSpacing"/>
              <w:jc w:val="right"/>
            </w:pPr>
            <w:r w:rsidRPr="00730DE4">
              <w:rPr>
                <w:rFonts w:cs="Arial"/>
                <w:szCs w:val="20"/>
              </w:rPr>
              <w:t>1:6.8</w:t>
            </w:r>
          </w:p>
        </w:tc>
        <w:tc>
          <w:tcPr>
            <w:tcW w:w="393" w:type="pct"/>
            <w:vAlign w:val="bottom"/>
          </w:tcPr>
          <w:p w14:paraId="157492CF" w14:textId="77777777" w:rsidR="00FA2FF9" w:rsidRPr="00730DE4" w:rsidRDefault="00FA2FF9" w:rsidP="00E71FB5">
            <w:pPr>
              <w:pStyle w:val="NoSpacing"/>
              <w:jc w:val="right"/>
            </w:pPr>
            <w:r w:rsidRPr="00730DE4">
              <w:rPr>
                <w:rFonts w:cs="Arial"/>
                <w:szCs w:val="20"/>
              </w:rPr>
              <w:t>1:7.2</w:t>
            </w:r>
          </w:p>
        </w:tc>
        <w:tc>
          <w:tcPr>
            <w:tcW w:w="393" w:type="pct"/>
            <w:vAlign w:val="bottom"/>
          </w:tcPr>
          <w:p w14:paraId="3430C333" w14:textId="77777777" w:rsidR="00FA2FF9" w:rsidRPr="00730DE4" w:rsidRDefault="00FA2FF9" w:rsidP="00E71FB5">
            <w:pPr>
              <w:pStyle w:val="NoSpacing"/>
              <w:jc w:val="right"/>
            </w:pPr>
            <w:r w:rsidRPr="00730DE4">
              <w:rPr>
                <w:rFonts w:cs="Arial"/>
                <w:szCs w:val="20"/>
              </w:rPr>
              <w:t>1:7.3</w:t>
            </w:r>
          </w:p>
        </w:tc>
        <w:tc>
          <w:tcPr>
            <w:tcW w:w="393" w:type="pct"/>
            <w:vAlign w:val="bottom"/>
          </w:tcPr>
          <w:p w14:paraId="4DBD579D" w14:textId="77777777" w:rsidR="00FA2FF9" w:rsidRPr="00730DE4" w:rsidRDefault="00FA2FF9" w:rsidP="00E71FB5">
            <w:pPr>
              <w:pStyle w:val="NoSpacing"/>
              <w:jc w:val="right"/>
            </w:pPr>
            <w:r w:rsidRPr="00730DE4">
              <w:rPr>
                <w:rFonts w:cs="Arial"/>
                <w:szCs w:val="20"/>
              </w:rPr>
              <w:t>1:7.2</w:t>
            </w:r>
          </w:p>
        </w:tc>
        <w:tc>
          <w:tcPr>
            <w:tcW w:w="437" w:type="pct"/>
            <w:vAlign w:val="bottom"/>
          </w:tcPr>
          <w:p w14:paraId="73D704F0" w14:textId="77777777" w:rsidR="00FA2FF9" w:rsidRPr="00730DE4" w:rsidRDefault="00FA2FF9" w:rsidP="00E71FB5">
            <w:pPr>
              <w:pStyle w:val="NoSpacing"/>
              <w:jc w:val="right"/>
            </w:pPr>
            <w:r w:rsidRPr="00730DE4">
              <w:rPr>
                <w:rFonts w:cs="Arial"/>
                <w:szCs w:val="20"/>
              </w:rPr>
              <w:t>01:07.5</w:t>
            </w:r>
          </w:p>
        </w:tc>
        <w:tc>
          <w:tcPr>
            <w:tcW w:w="393" w:type="pct"/>
            <w:vAlign w:val="bottom"/>
          </w:tcPr>
          <w:p w14:paraId="1AE56267" w14:textId="77777777" w:rsidR="00FA2FF9" w:rsidRPr="00730DE4" w:rsidRDefault="00FA2FF9" w:rsidP="00E71FB5">
            <w:pPr>
              <w:pStyle w:val="NoSpacing"/>
              <w:jc w:val="right"/>
            </w:pPr>
            <w:r w:rsidRPr="00730DE4">
              <w:rPr>
                <w:rFonts w:cs="Arial"/>
                <w:szCs w:val="20"/>
              </w:rPr>
              <w:t>1:7.9</w:t>
            </w:r>
          </w:p>
        </w:tc>
        <w:tc>
          <w:tcPr>
            <w:tcW w:w="393" w:type="pct"/>
            <w:vAlign w:val="bottom"/>
          </w:tcPr>
          <w:p w14:paraId="6CFCBC97" w14:textId="77777777" w:rsidR="00FA2FF9" w:rsidRPr="00730DE4" w:rsidRDefault="00FA2FF9" w:rsidP="00E71FB5">
            <w:pPr>
              <w:pStyle w:val="NoSpacing"/>
              <w:jc w:val="right"/>
            </w:pPr>
            <w:r w:rsidRPr="00730DE4">
              <w:rPr>
                <w:rFonts w:cs="Arial"/>
                <w:szCs w:val="20"/>
              </w:rPr>
              <w:t>1:8.2</w:t>
            </w:r>
          </w:p>
        </w:tc>
        <w:tc>
          <w:tcPr>
            <w:tcW w:w="393" w:type="pct"/>
            <w:vAlign w:val="bottom"/>
          </w:tcPr>
          <w:p w14:paraId="36DBEF62" w14:textId="77777777" w:rsidR="00FA2FF9" w:rsidRPr="00730DE4" w:rsidRDefault="00FA2FF9" w:rsidP="00E71FB5">
            <w:pPr>
              <w:pStyle w:val="NoSpacing"/>
              <w:jc w:val="right"/>
            </w:pPr>
            <w:r w:rsidRPr="00730DE4">
              <w:rPr>
                <w:rFonts w:cs="Arial"/>
                <w:szCs w:val="20"/>
              </w:rPr>
              <w:t>1:10.8</w:t>
            </w:r>
          </w:p>
        </w:tc>
      </w:tr>
      <w:tr w:rsidR="000A65A9" w:rsidRPr="00730DE4" w14:paraId="6C8DA8F7" w14:textId="77777777" w:rsidTr="00DB1130">
        <w:tc>
          <w:tcPr>
            <w:tcW w:w="631" w:type="pct"/>
            <w:vAlign w:val="bottom"/>
          </w:tcPr>
          <w:p w14:paraId="4A435301" w14:textId="77777777" w:rsidR="00FA2FF9" w:rsidRPr="00730DE4" w:rsidRDefault="00FA2FF9" w:rsidP="00BF58B2">
            <w:pPr>
              <w:pStyle w:val="NoSpacing"/>
            </w:pPr>
            <w:r w:rsidRPr="00730DE4">
              <w:rPr>
                <w:rFonts w:cs="Arial"/>
                <w:szCs w:val="20"/>
              </w:rPr>
              <w:t>SES/SO eligible to retire**</w:t>
            </w:r>
          </w:p>
        </w:tc>
        <w:tc>
          <w:tcPr>
            <w:tcW w:w="393" w:type="pct"/>
            <w:vAlign w:val="bottom"/>
          </w:tcPr>
          <w:p w14:paraId="13D41EF7" w14:textId="77777777" w:rsidR="00FA2FF9" w:rsidRPr="00730DE4" w:rsidRDefault="00FA2FF9" w:rsidP="00E71FB5">
            <w:pPr>
              <w:pStyle w:val="NoSpacing"/>
              <w:jc w:val="right"/>
            </w:pPr>
            <w:r w:rsidRPr="00730DE4">
              <w:rPr>
                <w:rFonts w:cs="Arial"/>
                <w:szCs w:val="20"/>
              </w:rPr>
              <w:t>16%</w:t>
            </w:r>
          </w:p>
        </w:tc>
        <w:tc>
          <w:tcPr>
            <w:tcW w:w="393" w:type="pct"/>
            <w:vAlign w:val="bottom"/>
          </w:tcPr>
          <w:p w14:paraId="4BB495CA" w14:textId="77777777" w:rsidR="00FA2FF9" w:rsidRPr="00730DE4" w:rsidRDefault="00FA2FF9" w:rsidP="00E71FB5">
            <w:pPr>
              <w:pStyle w:val="NoSpacing"/>
              <w:jc w:val="right"/>
            </w:pPr>
            <w:r w:rsidRPr="00730DE4">
              <w:rPr>
                <w:rFonts w:cs="Arial"/>
                <w:szCs w:val="20"/>
              </w:rPr>
              <w:t>17%</w:t>
            </w:r>
          </w:p>
        </w:tc>
        <w:tc>
          <w:tcPr>
            <w:tcW w:w="393" w:type="pct"/>
            <w:vAlign w:val="bottom"/>
          </w:tcPr>
          <w:p w14:paraId="69E338BA" w14:textId="77777777" w:rsidR="00FA2FF9" w:rsidRPr="00730DE4" w:rsidRDefault="00FA2FF9" w:rsidP="00E71FB5">
            <w:pPr>
              <w:pStyle w:val="NoSpacing"/>
              <w:jc w:val="right"/>
            </w:pPr>
            <w:r w:rsidRPr="00730DE4">
              <w:rPr>
                <w:rFonts w:cs="Arial"/>
                <w:szCs w:val="20"/>
              </w:rPr>
              <w:t>16%</w:t>
            </w:r>
          </w:p>
        </w:tc>
        <w:tc>
          <w:tcPr>
            <w:tcW w:w="393" w:type="pct"/>
            <w:vAlign w:val="bottom"/>
          </w:tcPr>
          <w:p w14:paraId="4D042950" w14:textId="77777777" w:rsidR="00FA2FF9" w:rsidRPr="00730DE4" w:rsidRDefault="00FA2FF9" w:rsidP="00E71FB5">
            <w:pPr>
              <w:pStyle w:val="NoSpacing"/>
              <w:jc w:val="right"/>
            </w:pPr>
            <w:r w:rsidRPr="00730DE4">
              <w:rPr>
                <w:rFonts w:cs="Arial"/>
                <w:szCs w:val="20"/>
              </w:rPr>
              <w:t>20%</w:t>
            </w:r>
          </w:p>
        </w:tc>
        <w:tc>
          <w:tcPr>
            <w:tcW w:w="393" w:type="pct"/>
            <w:vAlign w:val="bottom"/>
          </w:tcPr>
          <w:p w14:paraId="33B1B190" w14:textId="77777777" w:rsidR="00FA2FF9" w:rsidRPr="00730DE4" w:rsidRDefault="00FA2FF9" w:rsidP="00E71FB5">
            <w:pPr>
              <w:pStyle w:val="NoSpacing"/>
              <w:jc w:val="right"/>
            </w:pPr>
            <w:r w:rsidRPr="00730DE4">
              <w:rPr>
                <w:rFonts w:cs="Arial"/>
                <w:szCs w:val="20"/>
              </w:rPr>
              <w:t>29%</w:t>
            </w:r>
          </w:p>
        </w:tc>
        <w:tc>
          <w:tcPr>
            <w:tcW w:w="393" w:type="pct"/>
            <w:vAlign w:val="bottom"/>
          </w:tcPr>
          <w:p w14:paraId="42F5B070" w14:textId="77777777" w:rsidR="00FA2FF9" w:rsidRPr="00730DE4" w:rsidRDefault="00FA2FF9" w:rsidP="00E71FB5">
            <w:pPr>
              <w:pStyle w:val="NoSpacing"/>
              <w:jc w:val="right"/>
            </w:pPr>
            <w:r w:rsidRPr="00730DE4">
              <w:rPr>
                <w:rFonts w:cs="Arial"/>
                <w:szCs w:val="20"/>
              </w:rPr>
              <w:t>29%</w:t>
            </w:r>
          </w:p>
        </w:tc>
        <w:tc>
          <w:tcPr>
            <w:tcW w:w="393" w:type="pct"/>
            <w:vAlign w:val="bottom"/>
          </w:tcPr>
          <w:p w14:paraId="667E8B55" w14:textId="77777777" w:rsidR="00FA2FF9" w:rsidRPr="00730DE4" w:rsidRDefault="00FA2FF9" w:rsidP="00E71FB5">
            <w:pPr>
              <w:pStyle w:val="NoSpacing"/>
              <w:jc w:val="right"/>
            </w:pPr>
            <w:r w:rsidRPr="00730DE4">
              <w:rPr>
                <w:rFonts w:cs="Arial"/>
                <w:szCs w:val="20"/>
              </w:rPr>
              <w:t>25%</w:t>
            </w:r>
          </w:p>
        </w:tc>
        <w:tc>
          <w:tcPr>
            <w:tcW w:w="437" w:type="pct"/>
            <w:vAlign w:val="bottom"/>
          </w:tcPr>
          <w:p w14:paraId="1FB42322" w14:textId="77777777" w:rsidR="00FA2FF9" w:rsidRPr="00730DE4" w:rsidRDefault="00FA2FF9" w:rsidP="00E71FB5">
            <w:pPr>
              <w:pStyle w:val="NoSpacing"/>
              <w:jc w:val="right"/>
            </w:pPr>
            <w:r w:rsidRPr="00730DE4">
              <w:rPr>
                <w:rFonts w:cs="Arial"/>
                <w:szCs w:val="20"/>
              </w:rPr>
              <w:t>22%</w:t>
            </w:r>
          </w:p>
        </w:tc>
        <w:tc>
          <w:tcPr>
            <w:tcW w:w="393" w:type="pct"/>
            <w:vAlign w:val="bottom"/>
          </w:tcPr>
          <w:p w14:paraId="5CB48E5D" w14:textId="77777777" w:rsidR="00FA2FF9" w:rsidRPr="00730DE4" w:rsidRDefault="00FA2FF9" w:rsidP="00E71FB5">
            <w:pPr>
              <w:pStyle w:val="NoSpacing"/>
              <w:jc w:val="right"/>
            </w:pPr>
            <w:r w:rsidRPr="00730DE4">
              <w:rPr>
                <w:rFonts w:cs="Arial"/>
                <w:szCs w:val="20"/>
              </w:rPr>
              <w:t>22%</w:t>
            </w:r>
          </w:p>
        </w:tc>
        <w:tc>
          <w:tcPr>
            <w:tcW w:w="393" w:type="pct"/>
            <w:vAlign w:val="bottom"/>
          </w:tcPr>
          <w:p w14:paraId="15C67CC6" w14:textId="77777777" w:rsidR="00FA2FF9" w:rsidRPr="00730DE4" w:rsidRDefault="00FA2FF9" w:rsidP="00E71FB5">
            <w:pPr>
              <w:pStyle w:val="NoSpacing"/>
              <w:jc w:val="right"/>
            </w:pPr>
            <w:r w:rsidRPr="00730DE4">
              <w:rPr>
                <w:rFonts w:cs="Arial"/>
                <w:szCs w:val="20"/>
              </w:rPr>
              <w:t>23%</w:t>
            </w:r>
          </w:p>
        </w:tc>
        <w:tc>
          <w:tcPr>
            <w:tcW w:w="393" w:type="pct"/>
            <w:vAlign w:val="bottom"/>
          </w:tcPr>
          <w:p w14:paraId="7AAD7C7C" w14:textId="77777777" w:rsidR="00FA2FF9" w:rsidRPr="00730DE4" w:rsidRDefault="00FA2FF9" w:rsidP="00E71FB5">
            <w:pPr>
              <w:pStyle w:val="NoSpacing"/>
              <w:jc w:val="right"/>
            </w:pPr>
            <w:r w:rsidRPr="00730DE4">
              <w:rPr>
                <w:rFonts w:cs="Arial"/>
                <w:szCs w:val="20"/>
              </w:rPr>
              <w:t>23%</w:t>
            </w:r>
          </w:p>
        </w:tc>
      </w:tr>
      <w:tr w:rsidR="000A65A9" w:rsidRPr="00730DE4" w14:paraId="197DE3E0" w14:textId="77777777" w:rsidTr="00DB1130">
        <w:trPr>
          <w:cnfStyle w:val="000000100000" w:firstRow="0" w:lastRow="0" w:firstColumn="0" w:lastColumn="0" w:oddVBand="0" w:evenVBand="0" w:oddHBand="1" w:evenHBand="0" w:firstRowFirstColumn="0" w:firstRowLastColumn="0" w:lastRowFirstColumn="0" w:lastRowLastColumn="0"/>
        </w:trPr>
        <w:tc>
          <w:tcPr>
            <w:tcW w:w="631" w:type="pct"/>
            <w:vAlign w:val="bottom"/>
          </w:tcPr>
          <w:p w14:paraId="1197F8C1" w14:textId="77777777" w:rsidR="00FA2FF9" w:rsidRPr="00730DE4" w:rsidRDefault="00FA2FF9" w:rsidP="00BF58B2">
            <w:pPr>
              <w:pStyle w:val="NoSpacing"/>
            </w:pPr>
            <w:r w:rsidRPr="00730DE4">
              <w:rPr>
                <w:rFonts w:cs="Arial"/>
                <w:szCs w:val="20"/>
              </w:rPr>
              <w:t>Located outside SEQ</w:t>
            </w:r>
          </w:p>
        </w:tc>
        <w:tc>
          <w:tcPr>
            <w:tcW w:w="393" w:type="pct"/>
            <w:vAlign w:val="bottom"/>
          </w:tcPr>
          <w:p w14:paraId="0E2EC2AF" w14:textId="77777777" w:rsidR="00FA2FF9" w:rsidRPr="00730DE4" w:rsidRDefault="00FA2FF9" w:rsidP="00E71FB5">
            <w:pPr>
              <w:pStyle w:val="NoSpacing"/>
              <w:jc w:val="right"/>
            </w:pPr>
            <w:r w:rsidRPr="00730DE4">
              <w:rPr>
                <w:rFonts w:cs="Arial"/>
                <w:szCs w:val="20"/>
              </w:rPr>
              <w:t>25%</w:t>
            </w:r>
          </w:p>
        </w:tc>
        <w:tc>
          <w:tcPr>
            <w:tcW w:w="393" w:type="pct"/>
            <w:vAlign w:val="bottom"/>
          </w:tcPr>
          <w:p w14:paraId="32EF5A63" w14:textId="77777777" w:rsidR="00FA2FF9" w:rsidRPr="00730DE4" w:rsidRDefault="00FA2FF9" w:rsidP="00E71FB5">
            <w:pPr>
              <w:pStyle w:val="NoSpacing"/>
              <w:jc w:val="right"/>
            </w:pPr>
            <w:r w:rsidRPr="00730DE4">
              <w:rPr>
                <w:rFonts w:cs="Arial"/>
                <w:szCs w:val="20"/>
              </w:rPr>
              <w:t>30%</w:t>
            </w:r>
          </w:p>
        </w:tc>
        <w:tc>
          <w:tcPr>
            <w:tcW w:w="393" w:type="pct"/>
            <w:vAlign w:val="bottom"/>
          </w:tcPr>
          <w:p w14:paraId="236B6541" w14:textId="77777777" w:rsidR="00FA2FF9" w:rsidRPr="00730DE4" w:rsidRDefault="00FA2FF9" w:rsidP="00E71FB5">
            <w:pPr>
              <w:pStyle w:val="NoSpacing"/>
              <w:jc w:val="right"/>
            </w:pPr>
            <w:r w:rsidRPr="00730DE4">
              <w:rPr>
                <w:rFonts w:cs="Arial"/>
                <w:szCs w:val="20"/>
              </w:rPr>
              <w:t>30%</w:t>
            </w:r>
          </w:p>
        </w:tc>
        <w:tc>
          <w:tcPr>
            <w:tcW w:w="393" w:type="pct"/>
            <w:vAlign w:val="bottom"/>
          </w:tcPr>
          <w:p w14:paraId="6A18278E" w14:textId="77777777" w:rsidR="00FA2FF9" w:rsidRPr="00730DE4" w:rsidRDefault="00FA2FF9" w:rsidP="00E71FB5">
            <w:pPr>
              <w:pStyle w:val="NoSpacing"/>
              <w:jc w:val="right"/>
            </w:pPr>
            <w:r w:rsidRPr="00730DE4">
              <w:rPr>
                <w:rFonts w:cs="Arial"/>
                <w:szCs w:val="20"/>
              </w:rPr>
              <w:t>31%</w:t>
            </w:r>
          </w:p>
        </w:tc>
        <w:tc>
          <w:tcPr>
            <w:tcW w:w="393" w:type="pct"/>
            <w:vAlign w:val="bottom"/>
          </w:tcPr>
          <w:p w14:paraId="3BB27496" w14:textId="77777777" w:rsidR="00FA2FF9" w:rsidRPr="00730DE4" w:rsidRDefault="00FA2FF9" w:rsidP="00E71FB5">
            <w:pPr>
              <w:pStyle w:val="NoSpacing"/>
              <w:jc w:val="right"/>
            </w:pPr>
            <w:r w:rsidRPr="00730DE4">
              <w:rPr>
                <w:rFonts w:cs="Arial"/>
                <w:szCs w:val="20"/>
              </w:rPr>
              <w:t>31%</w:t>
            </w:r>
          </w:p>
        </w:tc>
        <w:tc>
          <w:tcPr>
            <w:tcW w:w="393" w:type="pct"/>
            <w:vAlign w:val="bottom"/>
          </w:tcPr>
          <w:p w14:paraId="482F7DF3" w14:textId="77777777" w:rsidR="00FA2FF9" w:rsidRPr="00730DE4" w:rsidRDefault="00FA2FF9" w:rsidP="00E71FB5">
            <w:pPr>
              <w:pStyle w:val="NoSpacing"/>
              <w:jc w:val="right"/>
            </w:pPr>
            <w:r w:rsidRPr="00730DE4">
              <w:rPr>
                <w:rFonts w:cs="Arial"/>
                <w:szCs w:val="20"/>
              </w:rPr>
              <w:t>32%</w:t>
            </w:r>
          </w:p>
        </w:tc>
        <w:tc>
          <w:tcPr>
            <w:tcW w:w="393" w:type="pct"/>
            <w:vAlign w:val="bottom"/>
          </w:tcPr>
          <w:p w14:paraId="60FFBCDA" w14:textId="77777777" w:rsidR="00FA2FF9" w:rsidRPr="00730DE4" w:rsidRDefault="00FA2FF9" w:rsidP="00E71FB5">
            <w:pPr>
              <w:pStyle w:val="NoSpacing"/>
              <w:jc w:val="right"/>
            </w:pPr>
            <w:r w:rsidRPr="00730DE4">
              <w:rPr>
                <w:rFonts w:cs="Arial"/>
                <w:szCs w:val="20"/>
              </w:rPr>
              <w:t>32%</w:t>
            </w:r>
          </w:p>
        </w:tc>
        <w:tc>
          <w:tcPr>
            <w:tcW w:w="437" w:type="pct"/>
            <w:vAlign w:val="bottom"/>
          </w:tcPr>
          <w:p w14:paraId="4DFCCE69" w14:textId="77777777" w:rsidR="00FA2FF9" w:rsidRPr="00730DE4" w:rsidRDefault="00FA2FF9" w:rsidP="00E71FB5">
            <w:pPr>
              <w:pStyle w:val="NoSpacing"/>
              <w:jc w:val="right"/>
            </w:pPr>
            <w:r w:rsidRPr="00730DE4">
              <w:rPr>
                <w:rFonts w:cs="Arial"/>
                <w:szCs w:val="20"/>
              </w:rPr>
              <w:t>36%</w:t>
            </w:r>
          </w:p>
        </w:tc>
        <w:tc>
          <w:tcPr>
            <w:tcW w:w="393" w:type="pct"/>
            <w:vAlign w:val="bottom"/>
          </w:tcPr>
          <w:p w14:paraId="76877C77" w14:textId="77777777" w:rsidR="00FA2FF9" w:rsidRPr="00730DE4" w:rsidRDefault="00FA2FF9" w:rsidP="00E71FB5">
            <w:pPr>
              <w:pStyle w:val="NoSpacing"/>
              <w:jc w:val="right"/>
            </w:pPr>
            <w:r w:rsidRPr="00730DE4">
              <w:rPr>
                <w:rFonts w:cs="Arial"/>
                <w:szCs w:val="20"/>
              </w:rPr>
              <w:t>36%</w:t>
            </w:r>
          </w:p>
        </w:tc>
        <w:tc>
          <w:tcPr>
            <w:tcW w:w="393" w:type="pct"/>
            <w:vAlign w:val="bottom"/>
          </w:tcPr>
          <w:p w14:paraId="46BED7C4" w14:textId="77777777" w:rsidR="00FA2FF9" w:rsidRPr="00730DE4" w:rsidRDefault="00FA2FF9" w:rsidP="00E71FB5">
            <w:pPr>
              <w:pStyle w:val="NoSpacing"/>
              <w:jc w:val="right"/>
            </w:pPr>
            <w:r w:rsidRPr="00730DE4">
              <w:rPr>
                <w:rFonts w:cs="Arial"/>
                <w:szCs w:val="20"/>
              </w:rPr>
              <w:t>37%</w:t>
            </w:r>
          </w:p>
        </w:tc>
        <w:tc>
          <w:tcPr>
            <w:tcW w:w="393" w:type="pct"/>
            <w:vAlign w:val="bottom"/>
          </w:tcPr>
          <w:p w14:paraId="226861D5" w14:textId="77777777" w:rsidR="00FA2FF9" w:rsidRPr="00730DE4" w:rsidRDefault="00FA2FF9" w:rsidP="00E71FB5">
            <w:pPr>
              <w:pStyle w:val="NoSpacing"/>
              <w:jc w:val="right"/>
            </w:pPr>
            <w:r w:rsidRPr="00730DE4">
              <w:rPr>
                <w:rFonts w:cs="Arial"/>
                <w:szCs w:val="20"/>
              </w:rPr>
              <w:t>38%</w:t>
            </w:r>
          </w:p>
        </w:tc>
      </w:tr>
      <w:tr w:rsidR="000A65A9" w:rsidRPr="00730DE4" w14:paraId="2CAB69D6" w14:textId="77777777" w:rsidTr="00DB1130">
        <w:tc>
          <w:tcPr>
            <w:tcW w:w="631" w:type="pct"/>
            <w:vAlign w:val="bottom"/>
          </w:tcPr>
          <w:p w14:paraId="0D9BC465" w14:textId="77777777" w:rsidR="00FA2FF9" w:rsidRPr="00730DE4" w:rsidRDefault="00FA2FF9" w:rsidP="00BF58B2">
            <w:pPr>
              <w:pStyle w:val="NoSpacing"/>
            </w:pPr>
            <w:r w:rsidRPr="00730DE4">
              <w:rPr>
                <w:rFonts w:cs="Arial"/>
                <w:szCs w:val="20"/>
              </w:rPr>
              <w:t>Average retirement age</w:t>
            </w:r>
          </w:p>
        </w:tc>
        <w:tc>
          <w:tcPr>
            <w:tcW w:w="393" w:type="pct"/>
            <w:vAlign w:val="bottom"/>
          </w:tcPr>
          <w:p w14:paraId="2BCA1D20" w14:textId="77777777" w:rsidR="00FA2FF9" w:rsidRPr="00730DE4" w:rsidRDefault="00FA2FF9" w:rsidP="00E71FB5">
            <w:pPr>
              <w:pStyle w:val="NoSpacing"/>
              <w:jc w:val="right"/>
            </w:pPr>
            <w:r w:rsidRPr="00730DE4">
              <w:rPr>
                <w:rFonts w:cs="Arial"/>
                <w:szCs w:val="20"/>
              </w:rPr>
              <w:t>64.4</w:t>
            </w:r>
          </w:p>
        </w:tc>
        <w:tc>
          <w:tcPr>
            <w:tcW w:w="393" w:type="pct"/>
            <w:vAlign w:val="bottom"/>
          </w:tcPr>
          <w:p w14:paraId="03CC2494" w14:textId="77777777" w:rsidR="00FA2FF9" w:rsidRPr="00730DE4" w:rsidRDefault="00FA2FF9" w:rsidP="00E71FB5">
            <w:pPr>
              <w:pStyle w:val="NoSpacing"/>
              <w:jc w:val="right"/>
            </w:pPr>
            <w:r w:rsidRPr="00730DE4">
              <w:rPr>
                <w:rFonts w:cs="Arial"/>
                <w:szCs w:val="20"/>
              </w:rPr>
              <w:t>64.4</w:t>
            </w:r>
          </w:p>
        </w:tc>
        <w:tc>
          <w:tcPr>
            <w:tcW w:w="393" w:type="pct"/>
            <w:vAlign w:val="bottom"/>
          </w:tcPr>
          <w:p w14:paraId="49A3EDF9" w14:textId="77777777" w:rsidR="00FA2FF9" w:rsidRPr="00730DE4" w:rsidRDefault="00FA2FF9" w:rsidP="00E71FB5">
            <w:pPr>
              <w:pStyle w:val="NoSpacing"/>
              <w:jc w:val="right"/>
            </w:pPr>
            <w:r w:rsidRPr="00730DE4">
              <w:rPr>
                <w:rFonts w:cs="Arial"/>
                <w:szCs w:val="20"/>
              </w:rPr>
              <w:t>63.9</w:t>
            </w:r>
          </w:p>
        </w:tc>
        <w:tc>
          <w:tcPr>
            <w:tcW w:w="393" w:type="pct"/>
            <w:vAlign w:val="bottom"/>
          </w:tcPr>
          <w:p w14:paraId="30ED49BE" w14:textId="77777777" w:rsidR="00FA2FF9" w:rsidRPr="00730DE4" w:rsidRDefault="00FA2FF9" w:rsidP="00E71FB5">
            <w:pPr>
              <w:pStyle w:val="NoSpacing"/>
              <w:jc w:val="right"/>
            </w:pPr>
            <w:r w:rsidRPr="00730DE4">
              <w:rPr>
                <w:rFonts w:cs="Arial"/>
                <w:szCs w:val="20"/>
              </w:rPr>
              <w:t>64.5</w:t>
            </w:r>
          </w:p>
        </w:tc>
        <w:tc>
          <w:tcPr>
            <w:tcW w:w="393" w:type="pct"/>
            <w:vAlign w:val="bottom"/>
          </w:tcPr>
          <w:p w14:paraId="1A32C129" w14:textId="77777777" w:rsidR="00FA2FF9" w:rsidRPr="00730DE4" w:rsidRDefault="00FA2FF9" w:rsidP="00E71FB5">
            <w:pPr>
              <w:pStyle w:val="NoSpacing"/>
              <w:jc w:val="right"/>
            </w:pPr>
            <w:r w:rsidRPr="00730DE4">
              <w:rPr>
                <w:rFonts w:cs="Arial"/>
                <w:szCs w:val="20"/>
              </w:rPr>
              <w:t>64.2</w:t>
            </w:r>
          </w:p>
        </w:tc>
        <w:tc>
          <w:tcPr>
            <w:tcW w:w="393" w:type="pct"/>
            <w:vAlign w:val="bottom"/>
          </w:tcPr>
          <w:p w14:paraId="28291225" w14:textId="77777777" w:rsidR="00FA2FF9" w:rsidRPr="00730DE4" w:rsidRDefault="00FA2FF9" w:rsidP="00E71FB5">
            <w:pPr>
              <w:pStyle w:val="NoSpacing"/>
              <w:jc w:val="right"/>
            </w:pPr>
            <w:r w:rsidRPr="00730DE4">
              <w:rPr>
                <w:rFonts w:cs="Arial"/>
                <w:szCs w:val="20"/>
              </w:rPr>
              <w:t>63.9</w:t>
            </w:r>
          </w:p>
        </w:tc>
        <w:tc>
          <w:tcPr>
            <w:tcW w:w="393" w:type="pct"/>
            <w:vAlign w:val="bottom"/>
          </w:tcPr>
          <w:p w14:paraId="4AA9DD86" w14:textId="77777777" w:rsidR="00FA2FF9" w:rsidRPr="00730DE4" w:rsidRDefault="00FA2FF9" w:rsidP="00E71FB5">
            <w:pPr>
              <w:pStyle w:val="NoSpacing"/>
              <w:jc w:val="right"/>
            </w:pPr>
            <w:r w:rsidRPr="00730DE4">
              <w:rPr>
                <w:rFonts w:cs="Arial"/>
                <w:szCs w:val="20"/>
              </w:rPr>
              <w:t>64.3</w:t>
            </w:r>
          </w:p>
        </w:tc>
        <w:tc>
          <w:tcPr>
            <w:tcW w:w="437" w:type="pct"/>
            <w:vAlign w:val="bottom"/>
          </w:tcPr>
          <w:p w14:paraId="71A42D7A" w14:textId="77777777" w:rsidR="00FA2FF9" w:rsidRPr="00730DE4" w:rsidRDefault="00FA2FF9" w:rsidP="00E71FB5">
            <w:pPr>
              <w:pStyle w:val="NoSpacing"/>
              <w:jc w:val="right"/>
            </w:pPr>
            <w:r w:rsidRPr="00730DE4">
              <w:rPr>
                <w:rFonts w:cs="Arial"/>
                <w:szCs w:val="20"/>
              </w:rPr>
              <w:t>62.9</w:t>
            </w:r>
          </w:p>
        </w:tc>
        <w:tc>
          <w:tcPr>
            <w:tcW w:w="393" w:type="pct"/>
            <w:vAlign w:val="bottom"/>
          </w:tcPr>
          <w:p w14:paraId="42718C51" w14:textId="77777777" w:rsidR="00FA2FF9" w:rsidRPr="00730DE4" w:rsidRDefault="00FA2FF9" w:rsidP="00E71FB5">
            <w:pPr>
              <w:pStyle w:val="NoSpacing"/>
              <w:jc w:val="right"/>
            </w:pPr>
            <w:r w:rsidRPr="00730DE4">
              <w:rPr>
                <w:rFonts w:cs="Arial"/>
                <w:szCs w:val="20"/>
              </w:rPr>
              <w:t>63.8</w:t>
            </w:r>
          </w:p>
        </w:tc>
        <w:tc>
          <w:tcPr>
            <w:tcW w:w="393" w:type="pct"/>
            <w:vAlign w:val="bottom"/>
          </w:tcPr>
          <w:p w14:paraId="1920E7F4" w14:textId="77777777" w:rsidR="00FA2FF9" w:rsidRPr="00730DE4" w:rsidRDefault="00FA2FF9" w:rsidP="00E71FB5">
            <w:pPr>
              <w:pStyle w:val="NoSpacing"/>
              <w:jc w:val="right"/>
            </w:pPr>
            <w:r w:rsidRPr="00730DE4">
              <w:rPr>
                <w:rFonts w:cs="Arial"/>
                <w:szCs w:val="20"/>
              </w:rPr>
              <w:t>63.1</w:t>
            </w:r>
          </w:p>
        </w:tc>
        <w:tc>
          <w:tcPr>
            <w:tcW w:w="393" w:type="pct"/>
            <w:vAlign w:val="bottom"/>
          </w:tcPr>
          <w:p w14:paraId="1E6F3E08" w14:textId="77777777" w:rsidR="00FA2FF9" w:rsidRPr="00730DE4" w:rsidRDefault="00FA2FF9" w:rsidP="00E71FB5">
            <w:pPr>
              <w:pStyle w:val="NoSpacing"/>
              <w:jc w:val="right"/>
            </w:pPr>
            <w:r w:rsidRPr="00730DE4">
              <w:rPr>
                <w:rFonts w:cs="Arial"/>
                <w:szCs w:val="20"/>
              </w:rPr>
              <w:t>62.7</w:t>
            </w:r>
          </w:p>
        </w:tc>
      </w:tr>
      <w:tr w:rsidR="000A65A9" w:rsidRPr="00730DE4" w14:paraId="3990F6F8" w14:textId="77777777" w:rsidTr="00DB1130">
        <w:trPr>
          <w:cnfStyle w:val="000000100000" w:firstRow="0" w:lastRow="0" w:firstColumn="0" w:lastColumn="0" w:oddVBand="0" w:evenVBand="0" w:oddHBand="1" w:evenHBand="0" w:firstRowFirstColumn="0" w:firstRowLastColumn="0" w:lastRowFirstColumn="0" w:lastRowLastColumn="0"/>
        </w:trPr>
        <w:tc>
          <w:tcPr>
            <w:tcW w:w="631" w:type="pct"/>
            <w:vAlign w:val="bottom"/>
          </w:tcPr>
          <w:p w14:paraId="470801AC" w14:textId="77777777" w:rsidR="00FA2FF9" w:rsidRPr="00730DE4" w:rsidRDefault="00FA2FF9" w:rsidP="00BF58B2">
            <w:pPr>
              <w:pStyle w:val="NoSpacing"/>
            </w:pPr>
            <w:r w:rsidRPr="00730DE4">
              <w:rPr>
                <w:rFonts w:cs="Arial"/>
                <w:szCs w:val="20"/>
              </w:rPr>
              <w:t>Average length of service</w:t>
            </w:r>
          </w:p>
        </w:tc>
        <w:tc>
          <w:tcPr>
            <w:tcW w:w="393" w:type="pct"/>
            <w:vAlign w:val="bottom"/>
          </w:tcPr>
          <w:p w14:paraId="1934EF8A" w14:textId="77777777" w:rsidR="00FA2FF9" w:rsidRPr="00730DE4" w:rsidRDefault="00FA2FF9" w:rsidP="00E71FB5">
            <w:pPr>
              <w:pStyle w:val="NoSpacing"/>
              <w:jc w:val="right"/>
            </w:pPr>
            <w:r w:rsidRPr="00730DE4">
              <w:rPr>
                <w:rFonts w:cs="Arial"/>
                <w:szCs w:val="20"/>
              </w:rPr>
              <w:t>10.2</w:t>
            </w:r>
          </w:p>
        </w:tc>
        <w:tc>
          <w:tcPr>
            <w:tcW w:w="393" w:type="pct"/>
            <w:vAlign w:val="bottom"/>
          </w:tcPr>
          <w:p w14:paraId="1ED6429F" w14:textId="77777777" w:rsidR="00FA2FF9" w:rsidRPr="00730DE4" w:rsidRDefault="00FA2FF9" w:rsidP="00E71FB5">
            <w:pPr>
              <w:pStyle w:val="NoSpacing"/>
              <w:jc w:val="right"/>
            </w:pPr>
            <w:r w:rsidRPr="00730DE4">
              <w:rPr>
                <w:rFonts w:cs="Arial"/>
                <w:szCs w:val="20"/>
              </w:rPr>
              <w:t>10.3</w:t>
            </w:r>
          </w:p>
        </w:tc>
        <w:tc>
          <w:tcPr>
            <w:tcW w:w="393" w:type="pct"/>
            <w:vAlign w:val="bottom"/>
          </w:tcPr>
          <w:p w14:paraId="1CC69E2A" w14:textId="77777777" w:rsidR="00FA2FF9" w:rsidRPr="00730DE4" w:rsidRDefault="00FA2FF9" w:rsidP="00E71FB5">
            <w:pPr>
              <w:pStyle w:val="NoSpacing"/>
              <w:jc w:val="right"/>
            </w:pPr>
            <w:r w:rsidRPr="00730DE4">
              <w:rPr>
                <w:rFonts w:cs="Arial"/>
                <w:szCs w:val="20"/>
              </w:rPr>
              <w:t>10.6</w:t>
            </w:r>
          </w:p>
        </w:tc>
        <w:tc>
          <w:tcPr>
            <w:tcW w:w="393" w:type="pct"/>
            <w:vAlign w:val="bottom"/>
          </w:tcPr>
          <w:p w14:paraId="0AAE60EA" w14:textId="77777777" w:rsidR="00FA2FF9" w:rsidRPr="00730DE4" w:rsidRDefault="00FA2FF9" w:rsidP="00E71FB5">
            <w:pPr>
              <w:pStyle w:val="NoSpacing"/>
              <w:jc w:val="right"/>
            </w:pPr>
            <w:r w:rsidRPr="00730DE4">
              <w:rPr>
                <w:rFonts w:cs="Arial"/>
                <w:szCs w:val="20"/>
              </w:rPr>
              <w:t>10.6</w:t>
            </w:r>
          </w:p>
        </w:tc>
        <w:tc>
          <w:tcPr>
            <w:tcW w:w="393" w:type="pct"/>
            <w:vAlign w:val="bottom"/>
          </w:tcPr>
          <w:p w14:paraId="5EC8B890" w14:textId="77777777" w:rsidR="00FA2FF9" w:rsidRPr="00730DE4" w:rsidRDefault="00FA2FF9" w:rsidP="00E71FB5">
            <w:pPr>
              <w:pStyle w:val="NoSpacing"/>
              <w:jc w:val="right"/>
            </w:pPr>
            <w:r w:rsidRPr="00730DE4">
              <w:rPr>
                <w:rFonts w:cs="Arial"/>
                <w:szCs w:val="20"/>
              </w:rPr>
              <w:t>10.3</w:t>
            </w:r>
          </w:p>
        </w:tc>
        <w:tc>
          <w:tcPr>
            <w:tcW w:w="393" w:type="pct"/>
            <w:vAlign w:val="bottom"/>
          </w:tcPr>
          <w:p w14:paraId="555D580F" w14:textId="77777777" w:rsidR="00FA2FF9" w:rsidRPr="00730DE4" w:rsidRDefault="00FA2FF9" w:rsidP="00E71FB5">
            <w:pPr>
              <w:pStyle w:val="NoSpacing"/>
              <w:jc w:val="right"/>
            </w:pPr>
            <w:r w:rsidRPr="00730DE4">
              <w:rPr>
                <w:rFonts w:cs="Arial"/>
                <w:szCs w:val="20"/>
              </w:rPr>
              <w:t>10.3</w:t>
            </w:r>
          </w:p>
        </w:tc>
        <w:tc>
          <w:tcPr>
            <w:tcW w:w="393" w:type="pct"/>
            <w:vAlign w:val="bottom"/>
          </w:tcPr>
          <w:p w14:paraId="790818EE" w14:textId="77777777" w:rsidR="00FA2FF9" w:rsidRPr="00730DE4" w:rsidRDefault="00FA2FF9" w:rsidP="00E71FB5">
            <w:pPr>
              <w:pStyle w:val="NoSpacing"/>
              <w:jc w:val="right"/>
            </w:pPr>
            <w:r w:rsidRPr="00730DE4">
              <w:rPr>
                <w:rFonts w:cs="Arial"/>
                <w:szCs w:val="20"/>
              </w:rPr>
              <w:t>10.1</w:t>
            </w:r>
          </w:p>
        </w:tc>
        <w:tc>
          <w:tcPr>
            <w:tcW w:w="437" w:type="pct"/>
            <w:vAlign w:val="bottom"/>
          </w:tcPr>
          <w:p w14:paraId="46B1485D" w14:textId="77777777" w:rsidR="00FA2FF9" w:rsidRPr="00730DE4" w:rsidRDefault="00FA2FF9" w:rsidP="00E71FB5">
            <w:pPr>
              <w:pStyle w:val="NoSpacing"/>
              <w:jc w:val="right"/>
            </w:pPr>
            <w:r w:rsidRPr="00730DE4">
              <w:rPr>
                <w:rFonts w:cs="Arial"/>
                <w:szCs w:val="20"/>
              </w:rPr>
              <w:t>9.8</w:t>
            </w:r>
          </w:p>
        </w:tc>
        <w:tc>
          <w:tcPr>
            <w:tcW w:w="393" w:type="pct"/>
            <w:vAlign w:val="bottom"/>
          </w:tcPr>
          <w:p w14:paraId="1A31F2D3" w14:textId="77777777" w:rsidR="00FA2FF9" w:rsidRPr="00730DE4" w:rsidRDefault="00FA2FF9" w:rsidP="00E71FB5">
            <w:pPr>
              <w:pStyle w:val="NoSpacing"/>
              <w:jc w:val="right"/>
            </w:pPr>
            <w:r w:rsidRPr="00730DE4">
              <w:rPr>
                <w:rFonts w:cs="Arial"/>
                <w:szCs w:val="20"/>
              </w:rPr>
              <w:t>n/a</w:t>
            </w:r>
          </w:p>
        </w:tc>
        <w:tc>
          <w:tcPr>
            <w:tcW w:w="393" w:type="pct"/>
            <w:vAlign w:val="bottom"/>
          </w:tcPr>
          <w:p w14:paraId="093D56BB" w14:textId="77777777" w:rsidR="00FA2FF9" w:rsidRPr="00730DE4" w:rsidRDefault="00FA2FF9" w:rsidP="00E71FB5">
            <w:pPr>
              <w:pStyle w:val="NoSpacing"/>
              <w:jc w:val="right"/>
            </w:pPr>
            <w:r w:rsidRPr="00730DE4">
              <w:rPr>
                <w:rFonts w:cs="Arial"/>
                <w:szCs w:val="20"/>
              </w:rPr>
              <w:t>n/a</w:t>
            </w:r>
          </w:p>
        </w:tc>
        <w:tc>
          <w:tcPr>
            <w:tcW w:w="393" w:type="pct"/>
            <w:vAlign w:val="bottom"/>
          </w:tcPr>
          <w:p w14:paraId="113501C1" w14:textId="77777777" w:rsidR="00FA2FF9" w:rsidRPr="00730DE4" w:rsidRDefault="00FA2FF9" w:rsidP="00E71FB5">
            <w:pPr>
              <w:pStyle w:val="NoSpacing"/>
              <w:jc w:val="right"/>
            </w:pPr>
            <w:r w:rsidRPr="00730DE4">
              <w:rPr>
                <w:rFonts w:cs="Arial"/>
                <w:szCs w:val="20"/>
              </w:rPr>
              <w:t>n/a</w:t>
            </w:r>
          </w:p>
        </w:tc>
      </w:tr>
      <w:tr w:rsidR="000A65A9" w:rsidRPr="00730DE4" w14:paraId="3A8568D6" w14:textId="77777777" w:rsidTr="00DB1130">
        <w:tc>
          <w:tcPr>
            <w:tcW w:w="631" w:type="pct"/>
            <w:vAlign w:val="bottom"/>
          </w:tcPr>
          <w:p w14:paraId="095F683B" w14:textId="77777777" w:rsidR="00FA2FF9" w:rsidRPr="00730DE4" w:rsidRDefault="00FA2FF9" w:rsidP="00BF58B2">
            <w:pPr>
              <w:pStyle w:val="NoSpacing"/>
            </w:pPr>
            <w:r w:rsidRPr="00730DE4">
              <w:rPr>
                <w:rFonts w:cs="Arial"/>
                <w:szCs w:val="20"/>
              </w:rPr>
              <w:t>Occupational groups</w:t>
            </w:r>
          </w:p>
        </w:tc>
        <w:tc>
          <w:tcPr>
            <w:tcW w:w="393" w:type="pct"/>
            <w:vAlign w:val="bottom"/>
          </w:tcPr>
          <w:p w14:paraId="2C2E54A2" w14:textId="77777777" w:rsidR="00FA2FF9" w:rsidRPr="00730DE4" w:rsidRDefault="00FA2FF9" w:rsidP="00E71FB5">
            <w:pPr>
              <w:pStyle w:val="NoSpacing"/>
              <w:jc w:val="right"/>
            </w:pPr>
            <w:r w:rsidRPr="00730DE4">
              <w:rPr>
                <w:rFonts w:cs="Arial"/>
                <w:szCs w:val="20"/>
              </w:rPr>
              <w:t>78</w:t>
            </w:r>
          </w:p>
        </w:tc>
        <w:tc>
          <w:tcPr>
            <w:tcW w:w="393" w:type="pct"/>
            <w:vAlign w:val="bottom"/>
          </w:tcPr>
          <w:p w14:paraId="0871A358" w14:textId="77777777" w:rsidR="00FA2FF9" w:rsidRPr="00730DE4" w:rsidRDefault="00FA2FF9" w:rsidP="00E71FB5">
            <w:pPr>
              <w:pStyle w:val="NoSpacing"/>
              <w:jc w:val="right"/>
            </w:pPr>
            <w:r w:rsidRPr="00730DE4">
              <w:rPr>
                <w:rFonts w:cs="Arial"/>
                <w:szCs w:val="20"/>
              </w:rPr>
              <w:t>80</w:t>
            </w:r>
          </w:p>
        </w:tc>
        <w:tc>
          <w:tcPr>
            <w:tcW w:w="393" w:type="pct"/>
            <w:vAlign w:val="bottom"/>
          </w:tcPr>
          <w:p w14:paraId="0A942E4E" w14:textId="77777777" w:rsidR="00FA2FF9" w:rsidRPr="00730DE4" w:rsidRDefault="00FA2FF9" w:rsidP="00E71FB5">
            <w:pPr>
              <w:pStyle w:val="NoSpacing"/>
              <w:jc w:val="right"/>
            </w:pPr>
            <w:r w:rsidRPr="00730DE4">
              <w:rPr>
                <w:rFonts w:cs="Arial"/>
                <w:szCs w:val="20"/>
              </w:rPr>
              <w:t>79</w:t>
            </w:r>
          </w:p>
        </w:tc>
        <w:tc>
          <w:tcPr>
            <w:tcW w:w="393" w:type="pct"/>
            <w:vAlign w:val="bottom"/>
          </w:tcPr>
          <w:p w14:paraId="71C116D0" w14:textId="77777777" w:rsidR="00FA2FF9" w:rsidRPr="00730DE4" w:rsidRDefault="00FA2FF9" w:rsidP="00E71FB5">
            <w:pPr>
              <w:pStyle w:val="NoSpacing"/>
              <w:jc w:val="right"/>
            </w:pPr>
            <w:r w:rsidRPr="00730DE4">
              <w:rPr>
                <w:rFonts w:cs="Arial"/>
                <w:szCs w:val="20"/>
              </w:rPr>
              <w:t>79</w:t>
            </w:r>
          </w:p>
        </w:tc>
        <w:tc>
          <w:tcPr>
            <w:tcW w:w="393" w:type="pct"/>
            <w:vAlign w:val="bottom"/>
          </w:tcPr>
          <w:p w14:paraId="17951769" w14:textId="77777777" w:rsidR="00FA2FF9" w:rsidRPr="00730DE4" w:rsidRDefault="00FA2FF9" w:rsidP="00E71FB5">
            <w:pPr>
              <w:pStyle w:val="NoSpacing"/>
              <w:jc w:val="right"/>
            </w:pPr>
            <w:r w:rsidRPr="00730DE4">
              <w:rPr>
                <w:rFonts w:cs="Arial"/>
                <w:szCs w:val="20"/>
              </w:rPr>
              <w:t>79</w:t>
            </w:r>
          </w:p>
        </w:tc>
        <w:tc>
          <w:tcPr>
            <w:tcW w:w="393" w:type="pct"/>
            <w:vAlign w:val="bottom"/>
          </w:tcPr>
          <w:p w14:paraId="4DAFD5B6" w14:textId="77777777" w:rsidR="00FA2FF9" w:rsidRPr="00730DE4" w:rsidRDefault="00FA2FF9" w:rsidP="00E71FB5">
            <w:pPr>
              <w:pStyle w:val="NoSpacing"/>
              <w:jc w:val="right"/>
            </w:pPr>
            <w:r w:rsidRPr="00730DE4">
              <w:rPr>
                <w:rFonts w:cs="Arial"/>
                <w:szCs w:val="20"/>
              </w:rPr>
              <w:t>79</w:t>
            </w:r>
          </w:p>
        </w:tc>
        <w:tc>
          <w:tcPr>
            <w:tcW w:w="393" w:type="pct"/>
            <w:vAlign w:val="bottom"/>
          </w:tcPr>
          <w:p w14:paraId="6DA6744A" w14:textId="77777777" w:rsidR="00FA2FF9" w:rsidRPr="00730DE4" w:rsidRDefault="00FA2FF9" w:rsidP="00E71FB5">
            <w:pPr>
              <w:pStyle w:val="NoSpacing"/>
              <w:jc w:val="right"/>
            </w:pPr>
            <w:r w:rsidRPr="00730DE4">
              <w:rPr>
                <w:rFonts w:cs="Arial"/>
                <w:szCs w:val="20"/>
              </w:rPr>
              <w:t>79</w:t>
            </w:r>
          </w:p>
        </w:tc>
        <w:tc>
          <w:tcPr>
            <w:tcW w:w="437" w:type="pct"/>
            <w:vAlign w:val="bottom"/>
          </w:tcPr>
          <w:p w14:paraId="25C83E89" w14:textId="77777777" w:rsidR="00FA2FF9" w:rsidRPr="00730DE4" w:rsidRDefault="00FA2FF9" w:rsidP="00E71FB5">
            <w:pPr>
              <w:pStyle w:val="NoSpacing"/>
              <w:jc w:val="right"/>
            </w:pPr>
            <w:r w:rsidRPr="00730DE4">
              <w:rPr>
                <w:rFonts w:cs="Arial"/>
                <w:szCs w:val="20"/>
              </w:rPr>
              <w:t>80</w:t>
            </w:r>
          </w:p>
        </w:tc>
        <w:tc>
          <w:tcPr>
            <w:tcW w:w="393" w:type="pct"/>
            <w:vAlign w:val="bottom"/>
          </w:tcPr>
          <w:p w14:paraId="0E13C6CB" w14:textId="77777777" w:rsidR="00FA2FF9" w:rsidRPr="00730DE4" w:rsidRDefault="00FA2FF9" w:rsidP="00E71FB5">
            <w:pPr>
              <w:pStyle w:val="NoSpacing"/>
              <w:jc w:val="right"/>
            </w:pPr>
            <w:r w:rsidRPr="00730DE4">
              <w:rPr>
                <w:rFonts w:cs="Arial"/>
                <w:szCs w:val="20"/>
              </w:rPr>
              <w:t>79</w:t>
            </w:r>
          </w:p>
        </w:tc>
        <w:tc>
          <w:tcPr>
            <w:tcW w:w="393" w:type="pct"/>
            <w:vAlign w:val="bottom"/>
          </w:tcPr>
          <w:p w14:paraId="27BE15FE" w14:textId="77777777" w:rsidR="00FA2FF9" w:rsidRPr="00730DE4" w:rsidRDefault="00FA2FF9" w:rsidP="00E71FB5">
            <w:pPr>
              <w:pStyle w:val="NoSpacing"/>
              <w:jc w:val="right"/>
            </w:pPr>
            <w:r w:rsidRPr="00730DE4">
              <w:rPr>
                <w:rFonts w:cs="Arial"/>
                <w:szCs w:val="20"/>
              </w:rPr>
              <w:t>80</w:t>
            </w:r>
          </w:p>
        </w:tc>
        <w:tc>
          <w:tcPr>
            <w:tcW w:w="393" w:type="pct"/>
            <w:vAlign w:val="bottom"/>
          </w:tcPr>
          <w:p w14:paraId="425E663F" w14:textId="77777777" w:rsidR="00FA2FF9" w:rsidRPr="00730DE4" w:rsidRDefault="00FA2FF9" w:rsidP="00E71FB5">
            <w:pPr>
              <w:pStyle w:val="NoSpacing"/>
              <w:jc w:val="right"/>
            </w:pPr>
            <w:r w:rsidRPr="00730DE4">
              <w:rPr>
                <w:rFonts w:cs="Arial"/>
                <w:szCs w:val="20"/>
              </w:rPr>
              <w:t>80</w:t>
            </w:r>
          </w:p>
        </w:tc>
      </w:tr>
      <w:tr w:rsidR="000A65A9" w:rsidRPr="00730DE4" w14:paraId="2D9E3112" w14:textId="77777777" w:rsidTr="00DB1130">
        <w:trPr>
          <w:cnfStyle w:val="000000100000" w:firstRow="0" w:lastRow="0" w:firstColumn="0" w:lastColumn="0" w:oddVBand="0" w:evenVBand="0" w:oddHBand="1" w:evenHBand="0" w:firstRowFirstColumn="0" w:firstRowLastColumn="0" w:lastRowFirstColumn="0" w:lastRowLastColumn="0"/>
        </w:trPr>
        <w:tc>
          <w:tcPr>
            <w:tcW w:w="631" w:type="pct"/>
            <w:vAlign w:val="bottom"/>
          </w:tcPr>
          <w:p w14:paraId="2B13AD70" w14:textId="77777777" w:rsidR="00FA2FF9" w:rsidRPr="00730DE4" w:rsidRDefault="00FA2FF9" w:rsidP="00BF58B2">
            <w:pPr>
              <w:pStyle w:val="NoSpacing"/>
            </w:pPr>
            <w:r w:rsidRPr="00730DE4">
              <w:rPr>
                <w:rFonts w:cs="Arial"/>
                <w:szCs w:val="20"/>
              </w:rPr>
              <w:t>Permanent Retention Rate***</w:t>
            </w:r>
          </w:p>
        </w:tc>
        <w:tc>
          <w:tcPr>
            <w:tcW w:w="393" w:type="pct"/>
            <w:vAlign w:val="bottom"/>
          </w:tcPr>
          <w:p w14:paraId="2CF17768" w14:textId="77777777" w:rsidR="00FA2FF9" w:rsidRPr="00730DE4" w:rsidRDefault="00FA2FF9" w:rsidP="00E71FB5">
            <w:pPr>
              <w:pStyle w:val="NoSpacing"/>
              <w:jc w:val="right"/>
            </w:pPr>
            <w:r w:rsidRPr="00730DE4">
              <w:rPr>
                <w:rFonts w:cs="Arial"/>
                <w:szCs w:val="20"/>
              </w:rPr>
              <w:t>91%</w:t>
            </w:r>
          </w:p>
        </w:tc>
        <w:tc>
          <w:tcPr>
            <w:tcW w:w="393" w:type="pct"/>
            <w:vAlign w:val="bottom"/>
          </w:tcPr>
          <w:p w14:paraId="467EA2D4" w14:textId="77777777" w:rsidR="00FA2FF9" w:rsidRPr="00730DE4" w:rsidRDefault="00FA2FF9" w:rsidP="00E71FB5">
            <w:pPr>
              <w:pStyle w:val="NoSpacing"/>
              <w:jc w:val="right"/>
            </w:pPr>
            <w:r w:rsidRPr="00730DE4">
              <w:rPr>
                <w:rFonts w:cs="Arial"/>
                <w:szCs w:val="20"/>
              </w:rPr>
              <w:t>91%</w:t>
            </w:r>
          </w:p>
        </w:tc>
        <w:tc>
          <w:tcPr>
            <w:tcW w:w="393" w:type="pct"/>
            <w:vAlign w:val="bottom"/>
          </w:tcPr>
          <w:p w14:paraId="033974E3" w14:textId="77777777" w:rsidR="00FA2FF9" w:rsidRPr="00730DE4" w:rsidRDefault="00FA2FF9" w:rsidP="00E71FB5">
            <w:pPr>
              <w:pStyle w:val="NoSpacing"/>
              <w:jc w:val="right"/>
            </w:pPr>
            <w:r w:rsidRPr="00730DE4">
              <w:rPr>
                <w:rFonts w:cs="Arial"/>
                <w:szCs w:val="20"/>
              </w:rPr>
              <w:t>93%</w:t>
            </w:r>
          </w:p>
        </w:tc>
        <w:tc>
          <w:tcPr>
            <w:tcW w:w="393" w:type="pct"/>
            <w:vAlign w:val="bottom"/>
          </w:tcPr>
          <w:p w14:paraId="4E45E216" w14:textId="77777777" w:rsidR="00FA2FF9" w:rsidRPr="00730DE4" w:rsidRDefault="00FA2FF9" w:rsidP="00E71FB5">
            <w:pPr>
              <w:pStyle w:val="NoSpacing"/>
              <w:jc w:val="right"/>
            </w:pPr>
            <w:r w:rsidRPr="00730DE4">
              <w:rPr>
                <w:rFonts w:cs="Arial"/>
                <w:szCs w:val="20"/>
              </w:rPr>
              <w:t>95%</w:t>
            </w:r>
          </w:p>
        </w:tc>
        <w:tc>
          <w:tcPr>
            <w:tcW w:w="393" w:type="pct"/>
            <w:vAlign w:val="bottom"/>
          </w:tcPr>
          <w:p w14:paraId="69FF339E" w14:textId="77777777" w:rsidR="00FA2FF9" w:rsidRPr="00730DE4" w:rsidRDefault="00FA2FF9" w:rsidP="00E71FB5">
            <w:pPr>
              <w:pStyle w:val="NoSpacing"/>
              <w:jc w:val="right"/>
              <w:rPr>
                <w:rFonts w:cs="Arial"/>
                <w:szCs w:val="20"/>
              </w:rPr>
            </w:pPr>
            <w:r w:rsidRPr="00730DE4">
              <w:rPr>
                <w:rFonts w:cs="Arial"/>
                <w:szCs w:val="20"/>
              </w:rPr>
              <w:t>95%</w:t>
            </w:r>
          </w:p>
        </w:tc>
        <w:tc>
          <w:tcPr>
            <w:tcW w:w="393" w:type="pct"/>
            <w:vAlign w:val="bottom"/>
          </w:tcPr>
          <w:p w14:paraId="7E6C2C21" w14:textId="77777777" w:rsidR="00FA2FF9" w:rsidRPr="00730DE4" w:rsidRDefault="00FA2FF9" w:rsidP="00E71FB5">
            <w:pPr>
              <w:pStyle w:val="NoSpacing"/>
              <w:jc w:val="right"/>
              <w:rPr>
                <w:rFonts w:cs="Arial"/>
                <w:szCs w:val="20"/>
              </w:rPr>
            </w:pPr>
            <w:r w:rsidRPr="00730DE4">
              <w:rPr>
                <w:rFonts w:cs="Arial"/>
                <w:szCs w:val="20"/>
              </w:rPr>
              <w:t>94%</w:t>
            </w:r>
          </w:p>
        </w:tc>
        <w:tc>
          <w:tcPr>
            <w:tcW w:w="393" w:type="pct"/>
            <w:vAlign w:val="bottom"/>
          </w:tcPr>
          <w:p w14:paraId="16E5F83C" w14:textId="77777777" w:rsidR="00FA2FF9" w:rsidRPr="00730DE4" w:rsidRDefault="00FA2FF9" w:rsidP="00E71FB5">
            <w:pPr>
              <w:pStyle w:val="NoSpacing"/>
              <w:jc w:val="right"/>
              <w:rPr>
                <w:rFonts w:cs="Arial"/>
                <w:szCs w:val="20"/>
              </w:rPr>
            </w:pPr>
            <w:r w:rsidRPr="00730DE4">
              <w:rPr>
                <w:rFonts w:cs="Arial"/>
                <w:szCs w:val="20"/>
              </w:rPr>
              <w:t>94%</w:t>
            </w:r>
          </w:p>
        </w:tc>
        <w:tc>
          <w:tcPr>
            <w:tcW w:w="437" w:type="pct"/>
            <w:vAlign w:val="bottom"/>
          </w:tcPr>
          <w:p w14:paraId="0F70CE39" w14:textId="77777777" w:rsidR="00FA2FF9" w:rsidRPr="00730DE4" w:rsidRDefault="00FA2FF9" w:rsidP="00E71FB5">
            <w:pPr>
              <w:pStyle w:val="NoSpacing"/>
              <w:jc w:val="right"/>
              <w:rPr>
                <w:rFonts w:cs="Arial"/>
                <w:szCs w:val="20"/>
              </w:rPr>
            </w:pPr>
            <w:r w:rsidRPr="00730DE4">
              <w:rPr>
                <w:rFonts w:cs="Arial"/>
                <w:szCs w:val="20"/>
              </w:rPr>
              <w:t>95%</w:t>
            </w:r>
          </w:p>
        </w:tc>
        <w:tc>
          <w:tcPr>
            <w:tcW w:w="393" w:type="pct"/>
            <w:vAlign w:val="bottom"/>
          </w:tcPr>
          <w:p w14:paraId="75A40B90" w14:textId="77777777" w:rsidR="00FA2FF9" w:rsidRPr="00730DE4" w:rsidRDefault="00FA2FF9" w:rsidP="00E71FB5">
            <w:pPr>
              <w:pStyle w:val="NoSpacing"/>
              <w:jc w:val="right"/>
              <w:rPr>
                <w:rFonts w:cs="Arial"/>
                <w:szCs w:val="20"/>
              </w:rPr>
            </w:pPr>
            <w:r w:rsidRPr="00730DE4">
              <w:rPr>
                <w:rFonts w:cs="Arial"/>
                <w:szCs w:val="20"/>
              </w:rPr>
              <w:t>92%</w:t>
            </w:r>
          </w:p>
        </w:tc>
        <w:tc>
          <w:tcPr>
            <w:tcW w:w="393" w:type="pct"/>
            <w:vAlign w:val="bottom"/>
          </w:tcPr>
          <w:p w14:paraId="315C8F9F" w14:textId="77777777" w:rsidR="00FA2FF9" w:rsidRPr="00730DE4" w:rsidRDefault="00FA2FF9" w:rsidP="00E71FB5">
            <w:pPr>
              <w:pStyle w:val="NoSpacing"/>
              <w:jc w:val="right"/>
              <w:rPr>
                <w:rFonts w:cs="Arial"/>
                <w:szCs w:val="20"/>
              </w:rPr>
            </w:pPr>
            <w:r w:rsidRPr="00730DE4">
              <w:rPr>
                <w:rFonts w:cs="Arial"/>
                <w:szCs w:val="20"/>
              </w:rPr>
              <w:t>93%</w:t>
            </w:r>
          </w:p>
        </w:tc>
        <w:tc>
          <w:tcPr>
            <w:tcW w:w="393" w:type="pct"/>
            <w:vAlign w:val="bottom"/>
          </w:tcPr>
          <w:p w14:paraId="46FE876D" w14:textId="77777777" w:rsidR="00FA2FF9" w:rsidRPr="00730DE4" w:rsidRDefault="00FA2FF9" w:rsidP="00E71FB5">
            <w:pPr>
              <w:pStyle w:val="NoSpacing"/>
              <w:jc w:val="right"/>
              <w:rPr>
                <w:rFonts w:cs="Arial"/>
                <w:szCs w:val="20"/>
              </w:rPr>
            </w:pPr>
            <w:r w:rsidRPr="00730DE4">
              <w:rPr>
                <w:rFonts w:cs="Arial"/>
                <w:szCs w:val="20"/>
              </w:rPr>
              <w:t>93%</w:t>
            </w:r>
          </w:p>
        </w:tc>
      </w:tr>
    </w:tbl>
    <w:p w14:paraId="69636A7A" w14:textId="77777777" w:rsidR="00FA2FF9" w:rsidRPr="00730DE4" w:rsidRDefault="00FA2FF9" w:rsidP="0083114A">
      <w:pPr>
        <w:pStyle w:val="Caption"/>
      </w:pPr>
      <w:r w:rsidRPr="00730DE4">
        <w:t>Note: Percentages have been rounded to the nearest whole number. Data source: TMR SAP Business Warehouse and Aurion.</w:t>
      </w:r>
    </w:p>
    <w:p w14:paraId="25F8B672" w14:textId="77777777" w:rsidR="00FA2FF9" w:rsidRPr="00730DE4" w:rsidRDefault="00FA2FF9" w:rsidP="0083114A">
      <w:pPr>
        <w:pStyle w:val="Caption"/>
      </w:pPr>
      <w:bookmarkStart w:id="1161" w:name="_Hlk175311828"/>
      <w:r w:rsidRPr="00730DE4">
        <w:t>Note: Figures within table include QGCDG data.</w:t>
      </w:r>
    </w:p>
    <w:bookmarkEnd w:id="1161"/>
    <w:p w14:paraId="517BEB03" w14:textId="77777777" w:rsidR="00FA2FF9" w:rsidRPr="00730DE4" w:rsidRDefault="00FA2FF9" w:rsidP="002E09E1">
      <w:pPr>
        <w:pStyle w:val="Caption"/>
      </w:pPr>
      <w:r w:rsidRPr="00730DE4">
        <w:rPr>
          <w:bCs w:val="0"/>
        </w:rPr>
        <w:t>*</w:t>
      </w:r>
      <w:r w:rsidRPr="00730DE4">
        <w:t xml:space="preserve"> From 1 July 2019 the methodology for calculating the number of public sector full-time equivalent (FTE) workers was amended. The Review into Queensland Public Sector Workforce Stage One—Reporting, undertaken by Professor Peter Coaldrake recommended a shift in methodology from calculating the number of public sector workers by their substantive appointment, to calculating the number of public sector workers by where they are actually paid. This change in methodology allowed for a more accurate ‘count’ of public sector workers with a reduction in ‘double counting’ of public sector workers on secondment, no longer counting public sector workers who are on leave without pay in their first eight weeks of leave without pay, and counting public sector workers on recreation leave at the actual FTE rate that they are taking that leave.</w:t>
      </w:r>
    </w:p>
    <w:p w14:paraId="19F3A364" w14:textId="77777777" w:rsidR="00FA2FF9" w:rsidRPr="00730DE4" w:rsidRDefault="00FA2FF9" w:rsidP="002E09E1">
      <w:pPr>
        <w:pStyle w:val="Caption"/>
      </w:pPr>
      <w:r w:rsidRPr="00730DE4">
        <w:t>** SES/SO employee’s birth date and the preservation age has been interrogated to provide the most accurate information on retirement date.</w:t>
      </w:r>
    </w:p>
    <w:p w14:paraId="32CFE9E1" w14:textId="77777777" w:rsidR="00FA2FF9" w:rsidRPr="00730DE4" w:rsidRDefault="00FA2FF9" w:rsidP="002E09E1">
      <w:pPr>
        <w:pStyle w:val="Caption"/>
      </w:pPr>
      <w:r w:rsidRPr="00730DE4">
        <w:t>*** The calculation method used to determine retention rate was different for the period 2013–2014 to 2016–17 (previous calculation was based on employees who worked in the relevant reporting fortnight, whereas the current calculation method uses all active employees, regardless of long term unpaid leave status).</w:t>
      </w:r>
    </w:p>
    <w:p w14:paraId="6D4C1934" w14:textId="77777777" w:rsidR="00FA2FF9" w:rsidRPr="00730DE4" w:rsidRDefault="00FA2FF9" w:rsidP="00BB0F75">
      <w:pPr>
        <w:pStyle w:val="FigureCaption"/>
      </w:pPr>
      <w:r w:rsidRPr="00730DE4">
        <w:t>Table 38: Target group data equal employment opportunities (EEO) at 14 June 2024</w:t>
      </w:r>
      <w:r w:rsidRPr="00730DE4">
        <w:rPr>
          <w:vertAlign w:val="superscript"/>
        </w:rPr>
        <w:t>1</w:t>
      </w:r>
      <w:r w:rsidRPr="00730DE4">
        <w:t>: EEO Groups</w:t>
      </w:r>
    </w:p>
    <w:tbl>
      <w:tblPr>
        <w:tblStyle w:val="TMRDefault"/>
        <w:tblW w:w="5000" w:type="pct"/>
        <w:tblLook w:val="04A0" w:firstRow="1" w:lastRow="0" w:firstColumn="1" w:lastColumn="0" w:noHBand="0" w:noVBand="1"/>
      </w:tblPr>
      <w:tblGrid>
        <w:gridCol w:w="997"/>
        <w:gridCol w:w="1369"/>
        <w:gridCol w:w="1151"/>
        <w:gridCol w:w="1461"/>
        <w:gridCol w:w="1391"/>
        <w:gridCol w:w="1382"/>
        <w:gridCol w:w="1279"/>
        <w:gridCol w:w="1654"/>
        <w:gridCol w:w="1654"/>
        <w:gridCol w:w="1654"/>
      </w:tblGrid>
      <w:tr w:rsidR="000A65A9" w:rsidRPr="00730DE4" w14:paraId="1DC1F137" w14:textId="77777777" w:rsidTr="0083114A">
        <w:trPr>
          <w:cnfStyle w:val="100000000000" w:firstRow="1" w:lastRow="0" w:firstColumn="0" w:lastColumn="0" w:oddVBand="0" w:evenVBand="0" w:oddHBand="0" w:evenHBand="0" w:firstRowFirstColumn="0" w:firstRowLastColumn="0" w:lastRowFirstColumn="0" w:lastRowLastColumn="0"/>
          <w:tblHeader/>
        </w:trPr>
        <w:tc>
          <w:tcPr>
            <w:tcW w:w="356" w:type="pct"/>
          </w:tcPr>
          <w:p w14:paraId="1B6FD023" w14:textId="77777777" w:rsidR="00FA2FF9" w:rsidRPr="00730DE4" w:rsidRDefault="00FA2FF9" w:rsidP="006761E8">
            <w:pPr>
              <w:pStyle w:val="NoSpacing"/>
              <w:rPr>
                <w:color w:val="FFFFFF" w:themeColor="background1"/>
              </w:rPr>
            </w:pPr>
          </w:p>
        </w:tc>
        <w:tc>
          <w:tcPr>
            <w:tcW w:w="489" w:type="pct"/>
          </w:tcPr>
          <w:p w14:paraId="2B908617" w14:textId="77777777" w:rsidR="00FA2FF9" w:rsidRPr="00730DE4" w:rsidRDefault="00FA2FF9" w:rsidP="006761E8">
            <w:pPr>
              <w:pStyle w:val="NoSpacing"/>
              <w:rPr>
                <w:color w:val="FFFFFF" w:themeColor="background1"/>
              </w:rPr>
            </w:pPr>
          </w:p>
        </w:tc>
        <w:tc>
          <w:tcPr>
            <w:tcW w:w="411" w:type="pct"/>
          </w:tcPr>
          <w:p w14:paraId="6274DCBF" w14:textId="77777777" w:rsidR="00FA2FF9" w:rsidRPr="00730DE4" w:rsidRDefault="00FA2FF9" w:rsidP="00E71FB5">
            <w:pPr>
              <w:pStyle w:val="NoSpacing"/>
              <w:jc w:val="right"/>
              <w:rPr>
                <w:color w:val="FFFFFF" w:themeColor="background1"/>
              </w:rPr>
            </w:pPr>
            <w:r w:rsidRPr="00730DE4">
              <w:rPr>
                <w:rFonts w:cs="Arial"/>
                <w:color w:val="FFFFFF" w:themeColor="background1"/>
                <w:szCs w:val="20"/>
              </w:rPr>
              <w:t>Women</w:t>
            </w:r>
          </w:p>
        </w:tc>
        <w:tc>
          <w:tcPr>
            <w:tcW w:w="522" w:type="pct"/>
          </w:tcPr>
          <w:p w14:paraId="384574A9" w14:textId="77777777" w:rsidR="00FA2FF9" w:rsidRPr="00730DE4" w:rsidRDefault="00FA2FF9" w:rsidP="00E71FB5">
            <w:pPr>
              <w:pStyle w:val="NoSpacing"/>
              <w:jc w:val="right"/>
              <w:rPr>
                <w:color w:val="FFFFFF" w:themeColor="background1"/>
              </w:rPr>
            </w:pPr>
            <w:r w:rsidRPr="00730DE4">
              <w:rPr>
                <w:rFonts w:cs="Arial"/>
                <w:color w:val="FFFFFF" w:themeColor="background1"/>
                <w:szCs w:val="20"/>
              </w:rPr>
              <w:t xml:space="preserve">Women in Leadership Roles </w:t>
            </w:r>
            <w:r w:rsidRPr="00730DE4">
              <w:rPr>
                <w:rFonts w:cs="Arial"/>
                <w:color w:val="FFFFFF" w:themeColor="background1"/>
                <w:szCs w:val="20"/>
                <w:vertAlign w:val="superscript"/>
              </w:rPr>
              <w:t>1</w:t>
            </w:r>
          </w:p>
        </w:tc>
        <w:tc>
          <w:tcPr>
            <w:tcW w:w="497" w:type="pct"/>
          </w:tcPr>
          <w:p w14:paraId="5B99591A" w14:textId="77777777" w:rsidR="00FA2FF9" w:rsidRPr="00730DE4" w:rsidRDefault="00FA2FF9" w:rsidP="00E71FB5">
            <w:pPr>
              <w:pStyle w:val="NoSpacing"/>
              <w:jc w:val="right"/>
              <w:rPr>
                <w:color w:val="FFFFFF" w:themeColor="background1"/>
              </w:rPr>
            </w:pPr>
            <w:r w:rsidRPr="00730DE4">
              <w:rPr>
                <w:rFonts w:cs="Arial"/>
                <w:color w:val="FFFFFF" w:themeColor="background1"/>
                <w:szCs w:val="20"/>
              </w:rPr>
              <w:t>Aboriginal Peoples and Torres Strait Islander People</w:t>
            </w:r>
          </w:p>
        </w:tc>
        <w:tc>
          <w:tcPr>
            <w:tcW w:w="494" w:type="pct"/>
          </w:tcPr>
          <w:p w14:paraId="24FC0EE4" w14:textId="77777777" w:rsidR="00FA2FF9" w:rsidRPr="00730DE4" w:rsidRDefault="00FA2FF9" w:rsidP="00E71FB5">
            <w:pPr>
              <w:pStyle w:val="NoSpacing"/>
              <w:jc w:val="right"/>
              <w:rPr>
                <w:color w:val="FFFFFF" w:themeColor="background1"/>
              </w:rPr>
            </w:pPr>
            <w:r w:rsidRPr="00730DE4">
              <w:rPr>
                <w:rFonts w:cs="Arial"/>
                <w:color w:val="FFFFFF" w:themeColor="background1"/>
                <w:szCs w:val="20"/>
              </w:rPr>
              <w:t>Australian South Sea Island Peoples</w:t>
            </w:r>
          </w:p>
        </w:tc>
        <w:tc>
          <w:tcPr>
            <w:tcW w:w="457" w:type="pct"/>
          </w:tcPr>
          <w:p w14:paraId="74D40F80" w14:textId="77777777" w:rsidR="00FA2FF9" w:rsidRPr="00730DE4" w:rsidRDefault="00FA2FF9" w:rsidP="00E71FB5">
            <w:pPr>
              <w:pStyle w:val="NoSpacing"/>
              <w:jc w:val="right"/>
              <w:rPr>
                <w:color w:val="FFFFFF" w:themeColor="background1"/>
              </w:rPr>
            </w:pPr>
            <w:r w:rsidRPr="00730DE4">
              <w:rPr>
                <w:rFonts w:cs="Arial"/>
                <w:color w:val="FFFFFF" w:themeColor="background1"/>
                <w:szCs w:val="20"/>
              </w:rPr>
              <w:t>People with a disability</w:t>
            </w:r>
          </w:p>
        </w:tc>
        <w:tc>
          <w:tcPr>
            <w:tcW w:w="591" w:type="pct"/>
          </w:tcPr>
          <w:p w14:paraId="06639711" w14:textId="77777777" w:rsidR="00FA2FF9" w:rsidRPr="00730DE4" w:rsidRDefault="00FA2FF9" w:rsidP="00E71FB5">
            <w:pPr>
              <w:pStyle w:val="NoSpacing"/>
              <w:jc w:val="right"/>
              <w:rPr>
                <w:color w:val="FFFFFF" w:themeColor="background1"/>
              </w:rPr>
            </w:pPr>
            <w:r w:rsidRPr="00730DE4">
              <w:rPr>
                <w:rFonts w:cs="Arial"/>
                <w:color w:val="FFFFFF" w:themeColor="background1"/>
                <w:szCs w:val="20"/>
              </w:rPr>
              <w:t>Culturally and Linguistically Diverse—Born overseas</w:t>
            </w:r>
          </w:p>
        </w:tc>
        <w:tc>
          <w:tcPr>
            <w:tcW w:w="591" w:type="pct"/>
          </w:tcPr>
          <w:p w14:paraId="35A71A81" w14:textId="77777777" w:rsidR="00FA2FF9" w:rsidRPr="00730DE4" w:rsidRDefault="00FA2FF9" w:rsidP="00E71FB5">
            <w:pPr>
              <w:pStyle w:val="NoSpacing"/>
              <w:jc w:val="right"/>
              <w:rPr>
                <w:color w:val="FFFFFF" w:themeColor="background1"/>
              </w:rPr>
            </w:pPr>
            <w:r w:rsidRPr="00730DE4">
              <w:rPr>
                <w:rFonts w:cs="Arial"/>
                <w:color w:val="FFFFFF" w:themeColor="background1"/>
                <w:szCs w:val="20"/>
              </w:rPr>
              <w:t>Culturally and Linguistically Diverse—Born overseas in a mainly non-English speaking country</w:t>
            </w:r>
          </w:p>
        </w:tc>
        <w:tc>
          <w:tcPr>
            <w:tcW w:w="591" w:type="pct"/>
          </w:tcPr>
          <w:p w14:paraId="66B08A99" w14:textId="77777777" w:rsidR="00FA2FF9" w:rsidRPr="00730DE4" w:rsidRDefault="00FA2FF9" w:rsidP="00E71FB5">
            <w:pPr>
              <w:pStyle w:val="NoSpacing"/>
              <w:jc w:val="right"/>
              <w:rPr>
                <w:color w:val="FFFFFF" w:themeColor="background1"/>
              </w:rPr>
            </w:pPr>
            <w:r w:rsidRPr="00730DE4">
              <w:rPr>
                <w:rFonts w:cs="Arial"/>
                <w:color w:val="FFFFFF" w:themeColor="background1"/>
                <w:szCs w:val="20"/>
              </w:rPr>
              <w:t>Culturally and Linguistically Diverse—Speak a language at home other than English including ATSI/ASSI languages</w:t>
            </w:r>
          </w:p>
        </w:tc>
      </w:tr>
      <w:tr w:rsidR="002D6779" w:rsidRPr="00730DE4" w14:paraId="2158DCF5" w14:textId="77777777" w:rsidTr="0083114A">
        <w:trPr>
          <w:cnfStyle w:val="000000100000" w:firstRow="0" w:lastRow="0" w:firstColumn="0" w:lastColumn="0" w:oddVBand="0" w:evenVBand="0" w:oddHBand="1" w:evenHBand="0" w:firstRowFirstColumn="0" w:firstRowLastColumn="0" w:lastRowFirstColumn="0" w:lastRowLastColumn="0"/>
        </w:trPr>
        <w:tc>
          <w:tcPr>
            <w:tcW w:w="356" w:type="pct"/>
          </w:tcPr>
          <w:p w14:paraId="344F9875" w14:textId="77777777" w:rsidR="00FA2FF9" w:rsidRPr="00730DE4" w:rsidRDefault="00FA2FF9" w:rsidP="00E97A82">
            <w:pPr>
              <w:pStyle w:val="NoSpacing"/>
              <w:rPr>
                <w:rFonts w:cs="Arial"/>
                <w:szCs w:val="20"/>
              </w:rPr>
            </w:pPr>
            <w:r w:rsidRPr="00730DE4">
              <w:rPr>
                <w:rFonts w:cs="Arial"/>
                <w:szCs w:val="20"/>
              </w:rPr>
              <w:t>2023–24***</w:t>
            </w:r>
          </w:p>
        </w:tc>
        <w:tc>
          <w:tcPr>
            <w:tcW w:w="489" w:type="pct"/>
          </w:tcPr>
          <w:p w14:paraId="6C98934C" w14:textId="77777777" w:rsidR="00FA2FF9" w:rsidRPr="00730DE4" w:rsidRDefault="00FA2FF9" w:rsidP="00E97A82">
            <w:pPr>
              <w:pStyle w:val="NoSpacing"/>
            </w:pPr>
            <w:r w:rsidRPr="00730DE4">
              <w:rPr>
                <w:rFonts w:cs="Arial"/>
                <w:szCs w:val="20"/>
              </w:rPr>
              <w:t>Headcount</w:t>
            </w:r>
          </w:p>
        </w:tc>
        <w:tc>
          <w:tcPr>
            <w:tcW w:w="411" w:type="pct"/>
            <w:vAlign w:val="bottom"/>
          </w:tcPr>
          <w:p w14:paraId="3457BFCC" w14:textId="77777777" w:rsidR="00FA2FF9" w:rsidRPr="00730DE4" w:rsidRDefault="00FA2FF9" w:rsidP="00E71FB5">
            <w:pPr>
              <w:pStyle w:val="NoSpacing"/>
              <w:jc w:val="right"/>
            </w:pPr>
            <w:r w:rsidRPr="00730DE4">
              <w:rPr>
                <w:rFonts w:cs="Arial"/>
                <w:szCs w:val="20"/>
              </w:rPr>
              <w:t>6466</w:t>
            </w:r>
          </w:p>
        </w:tc>
        <w:tc>
          <w:tcPr>
            <w:tcW w:w="522" w:type="pct"/>
            <w:vAlign w:val="bottom"/>
          </w:tcPr>
          <w:p w14:paraId="2565D23F" w14:textId="77777777" w:rsidR="00FA2FF9" w:rsidRPr="00730DE4" w:rsidRDefault="00FA2FF9" w:rsidP="00E71FB5">
            <w:pPr>
              <w:pStyle w:val="NoSpacing"/>
              <w:jc w:val="right"/>
            </w:pPr>
            <w:r w:rsidRPr="00730DE4">
              <w:rPr>
                <w:rFonts w:cs="Arial"/>
                <w:szCs w:val="20"/>
              </w:rPr>
              <w:t>174</w:t>
            </w:r>
          </w:p>
        </w:tc>
        <w:tc>
          <w:tcPr>
            <w:tcW w:w="497" w:type="pct"/>
            <w:vAlign w:val="bottom"/>
          </w:tcPr>
          <w:p w14:paraId="4E3F8C42" w14:textId="77777777" w:rsidR="00FA2FF9" w:rsidRPr="00730DE4" w:rsidRDefault="00FA2FF9" w:rsidP="00E71FB5">
            <w:pPr>
              <w:pStyle w:val="NoSpacing"/>
              <w:jc w:val="right"/>
            </w:pPr>
            <w:r w:rsidRPr="00730DE4">
              <w:rPr>
                <w:rFonts w:cs="Arial"/>
                <w:szCs w:val="20"/>
              </w:rPr>
              <w:t>202</w:t>
            </w:r>
          </w:p>
        </w:tc>
        <w:tc>
          <w:tcPr>
            <w:tcW w:w="494" w:type="pct"/>
            <w:vAlign w:val="bottom"/>
          </w:tcPr>
          <w:p w14:paraId="76F4A3DA" w14:textId="77777777" w:rsidR="00FA2FF9" w:rsidRPr="00730DE4" w:rsidRDefault="00FA2FF9" w:rsidP="00E71FB5">
            <w:pPr>
              <w:pStyle w:val="NoSpacing"/>
              <w:jc w:val="right"/>
            </w:pPr>
            <w:r w:rsidRPr="00730DE4">
              <w:rPr>
                <w:rFonts w:cs="Arial"/>
                <w:szCs w:val="20"/>
              </w:rPr>
              <w:t>27</w:t>
            </w:r>
          </w:p>
        </w:tc>
        <w:tc>
          <w:tcPr>
            <w:tcW w:w="457" w:type="pct"/>
            <w:vAlign w:val="bottom"/>
          </w:tcPr>
          <w:p w14:paraId="223EE745" w14:textId="77777777" w:rsidR="00FA2FF9" w:rsidRPr="00730DE4" w:rsidRDefault="00FA2FF9" w:rsidP="00E71FB5">
            <w:pPr>
              <w:pStyle w:val="NoSpacing"/>
              <w:jc w:val="right"/>
            </w:pPr>
            <w:r w:rsidRPr="00730DE4">
              <w:rPr>
                <w:rFonts w:cs="Arial"/>
                <w:szCs w:val="20"/>
              </w:rPr>
              <w:t>543</w:t>
            </w:r>
          </w:p>
        </w:tc>
        <w:tc>
          <w:tcPr>
            <w:tcW w:w="591" w:type="pct"/>
            <w:vAlign w:val="bottom"/>
          </w:tcPr>
          <w:p w14:paraId="623B0C52" w14:textId="77777777" w:rsidR="00FA2FF9" w:rsidRPr="00730DE4" w:rsidRDefault="00FA2FF9" w:rsidP="00E71FB5">
            <w:pPr>
              <w:pStyle w:val="NoSpacing"/>
              <w:jc w:val="right"/>
            </w:pPr>
            <w:r w:rsidRPr="00730DE4">
              <w:rPr>
                <w:rFonts w:cs="Arial"/>
                <w:szCs w:val="20"/>
              </w:rPr>
              <w:t>1045</w:t>
            </w:r>
          </w:p>
        </w:tc>
        <w:tc>
          <w:tcPr>
            <w:tcW w:w="591" w:type="pct"/>
            <w:vAlign w:val="bottom"/>
          </w:tcPr>
          <w:p w14:paraId="0E547FDB" w14:textId="77777777" w:rsidR="00FA2FF9" w:rsidRPr="00730DE4" w:rsidRDefault="00FA2FF9" w:rsidP="00E71FB5">
            <w:pPr>
              <w:pStyle w:val="NoSpacing"/>
              <w:jc w:val="right"/>
            </w:pPr>
            <w:r w:rsidRPr="00730DE4">
              <w:rPr>
                <w:rFonts w:cs="Arial"/>
                <w:szCs w:val="20"/>
              </w:rPr>
              <w:t> </w:t>
            </w:r>
          </w:p>
        </w:tc>
        <w:tc>
          <w:tcPr>
            <w:tcW w:w="591" w:type="pct"/>
            <w:vAlign w:val="bottom"/>
          </w:tcPr>
          <w:p w14:paraId="5AB9B4C5" w14:textId="77777777" w:rsidR="00FA2FF9" w:rsidRPr="00730DE4" w:rsidRDefault="00FA2FF9" w:rsidP="00E71FB5">
            <w:pPr>
              <w:pStyle w:val="NoSpacing"/>
              <w:jc w:val="right"/>
            </w:pPr>
            <w:r w:rsidRPr="00730DE4">
              <w:rPr>
                <w:rFonts w:cs="Arial"/>
                <w:szCs w:val="20"/>
              </w:rPr>
              <w:t>728</w:t>
            </w:r>
          </w:p>
        </w:tc>
      </w:tr>
      <w:tr w:rsidR="000A65A9" w:rsidRPr="00730DE4" w14:paraId="5D0BDA92" w14:textId="77777777" w:rsidTr="0083114A">
        <w:tc>
          <w:tcPr>
            <w:tcW w:w="356" w:type="pct"/>
          </w:tcPr>
          <w:p w14:paraId="6921725A" w14:textId="77777777" w:rsidR="00FA2FF9" w:rsidRPr="00730DE4" w:rsidRDefault="00FA2FF9" w:rsidP="00E97A82">
            <w:pPr>
              <w:pStyle w:val="NoSpacing"/>
              <w:rPr>
                <w:rFonts w:cs="Arial"/>
                <w:szCs w:val="20"/>
              </w:rPr>
            </w:pPr>
            <w:r w:rsidRPr="00730DE4">
              <w:rPr>
                <w:rFonts w:cs="Arial"/>
                <w:szCs w:val="20"/>
              </w:rPr>
              <w:t>2023–24***</w:t>
            </w:r>
          </w:p>
        </w:tc>
        <w:tc>
          <w:tcPr>
            <w:tcW w:w="489" w:type="pct"/>
          </w:tcPr>
          <w:p w14:paraId="432CCE3F" w14:textId="77777777" w:rsidR="00FA2FF9" w:rsidRPr="00730DE4" w:rsidRDefault="00FA2FF9" w:rsidP="00E97A82">
            <w:pPr>
              <w:pStyle w:val="NoSpacing"/>
            </w:pPr>
            <w:r w:rsidRPr="00730DE4">
              <w:rPr>
                <w:rFonts w:cs="Arial"/>
                <w:szCs w:val="20"/>
              </w:rPr>
              <w:t>% of TMR</w:t>
            </w:r>
          </w:p>
        </w:tc>
        <w:tc>
          <w:tcPr>
            <w:tcW w:w="411" w:type="pct"/>
            <w:vAlign w:val="bottom"/>
          </w:tcPr>
          <w:p w14:paraId="28F121C7" w14:textId="77777777" w:rsidR="00FA2FF9" w:rsidRPr="00730DE4" w:rsidRDefault="00FA2FF9" w:rsidP="00E71FB5">
            <w:pPr>
              <w:pStyle w:val="NoSpacing"/>
              <w:jc w:val="right"/>
            </w:pPr>
            <w:r w:rsidRPr="00730DE4">
              <w:rPr>
                <w:rFonts w:cs="Arial"/>
                <w:szCs w:val="20"/>
              </w:rPr>
              <w:t>54%</w:t>
            </w:r>
          </w:p>
        </w:tc>
        <w:tc>
          <w:tcPr>
            <w:tcW w:w="522" w:type="pct"/>
            <w:vAlign w:val="bottom"/>
          </w:tcPr>
          <w:p w14:paraId="45A98F6E" w14:textId="77777777" w:rsidR="00FA2FF9" w:rsidRPr="00730DE4" w:rsidRDefault="00FA2FF9" w:rsidP="00E71FB5">
            <w:pPr>
              <w:pStyle w:val="NoSpacing"/>
              <w:jc w:val="right"/>
            </w:pPr>
            <w:r w:rsidRPr="00730DE4">
              <w:rPr>
                <w:rFonts w:cs="Arial"/>
                <w:szCs w:val="20"/>
              </w:rPr>
              <w:t>37%</w:t>
            </w:r>
          </w:p>
        </w:tc>
        <w:tc>
          <w:tcPr>
            <w:tcW w:w="497" w:type="pct"/>
            <w:vAlign w:val="bottom"/>
          </w:tcPr>
          <w:p w14:paraId="14F05B63" w14:textId="77777777" w:rsidR="00FA2FF9" w:rsidRPr="00730DE4" w:rsidRDefault="00FA2FF9" w:rsidP="00E71FB5">
            <w:pPr>
              <w:pStyle w:val="NoSpacing"/>
              <w:jc w:val="right"/>
            </w:pPr>
            <w:r w:rsidRPr="00730DE4">
              <w:rPr>
                <w:rFonts w:cs="Arial"/>
                <w:szCs w:val="20"/>
              </w:rPr>
              <w:t>2%</w:t>
            </w:r>
          </w:p>
        </w:tc>
        <w:tc>
          <w:tcPr>
            <w:tcW w:w="494" w:type="pct"/>
            <w:vAlign w:val="bottom"/>
          </w:tcPr>
          <w:p w14:paraId="63EE9212" w14:textId="77777777" w:rsidR="00FA2FF9" w:rsidRPr="00730DE4" w:rsidRDefault="00FA2FF9" w:rsidP="00E71FB5">
            <w:pPr>
              <w:pStyle w:val="NoSpacing"/>
              <w:jc w:val="right"/>
            </w:pPr>
            <w:r w:rsidRPr="00730DE4">
              <w:rPr>
                <w:rFonts w:cs="Arial"/>
                <w:szCs w:val="20"/>
              </w:rPr>
              <w:t>0.2%</w:t>
            </w:r>
          </w:p>
        </w:tc>
        <w:tc>
          <w:tcPr>
            <w:tcW w:w="457" w:type="pct"/>
            <w:vAlign w:val="bottom"/>
          </w:tcPr>
          <w:p w14:paraId="5266A3B7" w14:textId="77777777" w:rsidR="00FA2FF9" w:rsidRPr="00730DE4" w:rsidRDefault="00FA2FF9" w:rsidP="00E71FB5">
            <w:pPr>
              <w:pStyle w:val="NoSpacing"/>
              <w:jc w:val="right"/>
            </w:pPr>
            <w:r w:rsidRPr="00730DE4">
              <w:rPr>
                <w:rFonts w:cs="Arial"/>
                <w:szCs w:val="20"/>
              </w:rPr>
              <w:t>5%</w:t>
            </w:r>
          </w:p>
        </w:tc>
        <w:tc>
          <w:tcPr>
            <w:tcW w:w="591" w:type="pct"/>
            <w:vAlign w:val="bottom"/>
          </w:tcPr>
          <w:p w14:paraId="46A381E4" w14:textId="77777777" w:rsidR="00FA2FF9" w:rsidRPr="00730DE4" w:rsidRDefault="00FA2FF9" w:rsidP="00E71FB5">
            <w:pPr>
              <w:pStyle w:val="NoSpacing"/>
              <w:jc w:val="right"/>
            </w:pPr>
            <w:r w:rsidRPr="00730DE4">
              <w:rPr>
                <w:rFonts w:cs="Arial"/>
                <w:szCs w:val="20"/>
              </w:rPr>
              <w:t>9%</w:t>
            </w:r>
          </w:p>
        </w:tc>
        <w:tc>
          <w:tcPr>
            <w:tcW w:w="591" w:type="pct"/>
            <w:vAlign w:val="bottom"/>
          </w:tcPr>
          <w:p w14:paraId="09BADC93" w14:textId="77777777" w:rsidR="00FA2FF9" w:rsidRPr="00730DE4" w:rsidRDefault="00FA2FF9" w:rsidP="00E71FB5">
            <w:pPr>
              <w:pStyle w:val="NoSpacing"/>
              <w:jc w:val="right"/>
            </w:pPr>
            <w:r w:rsidRPr="00730DE4">
              <w:rPr>
                <w:rFonts w:cs="Arial"/>
                <w:szCs w:val="20"/>
              </w:rPr>
              <w:t> </w:t>
            </w:r>
          </w:p>
        </w:tc>
        <w:tc>
          <w:tcPr>
            <w:tcW w:w="591" w:type="pct"/>
            <w:vAlign w:val="bottom"/>
          </w:tcPr>
          <w:p w14:paraId="60ACB796" w14:textId="77777777" w:rsidR="00FA2FF9" w:rsidRPr="00730DE4" w:rsidRDefault="00FA2FF9" w:rsidP="00E71FB5">
            <w:pPr>
              <w:pStyle w:val="NoSpacing"/>
              <w:jc w:val="right"/>
            </w:pPr>
            <w:r w:rsidRPr="00730DE4">
              <w:rPr>
                <w:rFonts w:cs="Arial"/>
                <w:szCs w:val="20"/>
              </w:rPr>
              <w:t>6%</w:t>
            </w:r>
          </w:p>
        </w:tc>
      </w:tr>
      <w:tr w:rsidR="002D6779" w:rsidRPr="00730DE4" w14:paraId="0D238FB6" w14:textId="77777777" w:rsidTr="0083114A">
        <w:trPr>
          <w:cnfStyle w:val="000000100000" w:firstRow="0" w:lastRow="0" w:firstColumn="0" w:lastColumn="0" w:oddVBand="0" w:evenVBand="0" w:oddHBand="1" w:evenHBand="0" w:firstRowFirstColumn="0" w:firstRowLastColumn="0" w:lastRowFirstColumn="0" w:lastRowLastColumn="0"/>
        </w:trPr>
        <w:tc>
          <w:tcPr>
            <w:tcW w:w="356" w:type="pct"/>
          </w:tcPr>
          <w:p w14:paraId="2ACCEE27" w14:textId="77777777" w:rsidR="00FA2FF9" w:rsidRPr="00730DE4" w:rsidRDefault="00FA2FF9" w:rsidP="00E97A82">
            <w:pPr>
              <w:pStyle w:val="NoSpacing"/>
              <w:rPr>
                <w:rFonts w:cs="Arial"/>
                <w:szCs w:val="20"/>
              </w:rPr>
            </w:pPr>
            <w:r w:rsidRPr="00730DE4">
              <w:rPr>
                <w:rFonts w:cs="Arial"/>
                <w:szCs w:val="20"/>
              </w:rPr>
              <w:t>2022–23</w:t>
            </w:r>
          </w:p>
        </w:tc>
        <w:tc>
          <w:tcPr>
            <w:tcW w:w="489" w:type="pct"/>
          </w:tcPr>
          <w:p w14:paraId="12D92337" w14:textId="77777777" w:rsidR="00FA2FF9" w:rsidRPr="00730DE4" w:rsidRDefault="00FA2FF9" w:rsidP="00E97A82">
            <w:pPr>
              <w:pStyle w:val="NoSpacing"/>
            </w:pPr>
            <w:r w:rsidRPr="00730DE4">
              <w:rPr>
                <w:rFonts w:cs="Arial"/>
                <w:szCs w:val="20"/>
              </w:rPr>
              <w:t>Headcount</w:t>
            </w:r>
          </w:p>
        </w:tc>
        <w:tc>
          <w:tcPr>
            <w:tcW w:w="411" w:type="pct"/>
            <w:vAlign w:val="bottom"/>
          </w:tcPr>
          <w:p w14:paraId="2F28AEAD" w14:textId="77777777" w:rsidR="00FA2FF9" w:rsidRPr="00730DE4" w:rsidRDefault="00FA2FF9" w:rsidP="00E71FB5">
            <w:pPr>
              <w:pStyle w:val="NoSpacing"/>
              <w:jc w:val="right"/>
            </w:pPr>
            <w:r w:rsidRPr="00730DE4">
              <w:rPr>
                <w:rFonts w:cs="Arial"/>
                <w:szCs w:val="20"/>
              </w:rPr>
              <w:t>6307</w:t>
            </w:r>
          </w:p>
        </w:tc>
        <w:tc>
          <w:tcPr>
            <w:tcW w:w="522" w:type="pct"/>
            <w:vAlign w:val="bottom"/>
          </w:tcPr>
          <w:p w14:paraId="46C1F771" w14:textId="77777777" w:rsidR="00FA2FF9" w:rsidRPr="00730DE4" w:rsidRDefault="00FA2FF9" w:rsidP="00E71FB5">
            <w:pPr>
              <w:pStyle w:val="NoSpacing"/>
              <w:jc w:val="right"/>
            </w:pPr>
            <w:r w:rsidRPr="00730DE4">
              <w:rPr>
                <w:rFonts w:cs="Arial"/>
                <w:szCs w:val="20"/>
              </w:rPr>
              <w:t>166</w:t>
            </w:r>
          </w:p>
        </w:tc>
        <w:tc>
          <w:tcPr>
            <w:tcW w:w="497" w:type="pct"/>
            <w:vAlign w:val="bottom"/>
          </w:tcPr>
          <w:p w14:paraId="1A3E86AA" w14:textId="77777777" w:rsidR="00FA2FF9" w:rsidRPr="00730DE4" w:rsidRDefault="00FA2FF9" w:rsidP="00E71FB5">
            <w:pPr>
              <w:pStyle w:val="NoSpacing"/>
              <w:jc w:val="right"/>
            </w:pPr>
            <w:r w:rsidRPr="00730DE4">
              <w:rPr>
                <w:rFonts w:cs="Arial"/>
                <w:szCs w:val="20"/>
              </w:rPr>
              <w:t>190</w:t>
            </w:r>
          </w:p>
        </w:tc>
        <w:tc>
          <w:tcPr>
            <w:tcW w:w="494" w:type="pct"/>
            <w:vAlign w:val="bottom"/>
          </w:tcPr>
          <w:p w14:paraId="6BC0EEB6" w14:textId="77777777" w:rsidR="00FA2FF9" w:rsidRPr="00730DE4" w:rsidRDefault="00FA2FF9" w:rsidP="00E71FB5">
            <w:pPr>
              <w:pStyle w:val="NoSpacing"/>
              <w:jc w:val="right"/>
            </w:pPr>
            <w:r w:rsidRPr="00730DE4">
              <w:rPr>
                <w:rFonts w:cs="Arial"/>
                <w:szCs w:val="20"/>
              </w:rPr>
              <w:t>23</w:t>
            </w:r>
          </w:p>
        </w:tc>
        <w:tc>
          <w:tcPr>
            <w:tcW w:w="457" w:type="pct"/>
            <w:vAlign w:val="bottom"/>
          </w:tcPr>
          <w:p w14:paraId="6392BCD8" w14:textId="77777777" w:rsidR="00FA2FF9" w:rsidRPr="00730DE4" w:rsidRDefault="00FA2FF9" w:rsidP="00E71FB5">
            <w:pPr>
              <w:pStyle w:val="NoSpacing"/>
              <w:jc w:val="right"/>
            </w:pPr>
            <w:r w:rsidRPr="00730DE4">
              <w:rPr>
                <w:rFonts w:cs="Arial"/>
                <w:szCs w:val="20"/>
              </w:rPr>
              <w:t>526</w:t>
            </w:r>
          </w:p>
        </w:tc>
        <w:tc>
          <w:tcPr>
            <w:tcW w:w="591" w:type="pct"/>
            <w:vAlign w:val="bottom"/>
          </w:tcPr>
          <w:p w14:paraId="0F6386B5" w14:textId="77777777" w:rsidR="00FA2FF9" w:rsidRPr="00730DE4" w:rsidRDefault="00FA2FF9" w:rsidP="00E71FB5">
            <w:pPr>
              <w:pStyle w:val="NoSpacing"/>
              <w:jc w:val="right"/>
            </w:pPr>
          </w:p>
        </w:tc>
        <w:tc>
          <w:tcPr>
            <w:tcW w:w="591" w:type="pct"/>
            <w:vAlign w:val="bottom"/>
          </w:tcPr>
          <w:p w14:paraId="7833983B" w14:textId="77777777" w:rsidR="00FA2FF9" w:rsidRPr="00730DE4" w:rsidRDefault="00FA2FF9" w:rsidP="00E71FB5">
            <w:pPr>
              <w:pStyle w:val="NoSpacing"/>
              <w:jc w:val="right"/>
            </w:pPr>
            <w:r w:rsidRPr="00730DE4">
              <w:rPr>
                <w:rFonts w:cs="Arial"/>
                <w:szCs w:val="20"/>
              </w:rPr>
              <w:t>458</w:t>
            </w:r>
          </w:p>
        </w:tc>
        <w:tc>
          <w:tcPr>
            <w:tcW w:w="591" w:type="pct"/>
            <w:vAlign w:val="bottom"/>
          </w:tcPr>
          <w:p w14:paraId="6E63FE66" w14:textId="77777777" w:rsidR="00FA2FF9" w:rsidRPr="00730DE4" w:rsidRDefault="00FA2FF9" w:rsidP="00E71FB5">
            <w:pPr>
              <w:pStyle w:val="NoSpacing"/>
              <w:jc w:val="right"/>
            </w:pPr>
            <w:r w:rsidRPr="00730DE4">
              <w:rPr>
                <w:rFonts w:cs="Arial"/>
                <w:szCs w:val="20"/>
              </w:rPr>
              <w:t>586</w:t>
            </w:r>
          </w:p>
        </w:tc>
      </w:tr>
      <w:tr w:rsidR="000A65A9" w:rsidRPr="00730DE4" w14:paraId="0C950ECE" w14:textId="77777777" w:rsidTr="0083114A">
        <w:tc>
          <w:tcPr>
            <w:tcW w:w="356" w:type="pct"/>
          </w:tcPr>
          <w:p w14:paraId="284CE7F3" w14:textId="77777777" w:rsidR="00FA2FF9" w:rsidRPr="00730DE4" w:rsidRDefault="00FA2FF9" w:rsidP="00E97A82">
            <w:pPr>
              <w:pStyle w:val="NoSpacing"/>
              <w:rPr>
                <w:rFonts w:cs="Arial"/>
                <w:szCs w:val="20"/>
              </w:rPr>
            </w:pPr>
            <w:r w:rsidRPr="00730DE4">
              <w:rPr>
                <w:rFonts w:cs="Arial"/>
                <w:szCs w:val="20"/>
              </w:rPr>
              <w:t>2022–23</w:t>
            </w:r>
          </w:p>
        </w:tc>
        <w:tc>
          <w:tcPr>
            <w:tcW w:w="489" w:type="pct"/>
          </w:tcPr>
          <w:p w14:paraId="296B1CE9" w14:textId="77777777" w:rsidR="00FA2FF9" w:rsidRPr="00730DE4" w:rsidRDefault="00FA2FF9" w:rsidP="00E97A82">
            <w:pPr>
              <w:pStyle w:val="NoSpacing"/>
            </w:pPr>
            <w:r w:rsidRPr="00730DE4">
              <w:rPr>
                <w:rFonts w:cs="Arial"/>
                <w:szCs w:val="20"/>
              </w:rPr>
              <w:t>% of TMR</w:t>
            </w:r>
          </w:p>
        </w:tc>
        <w:tc>
          <w:tcPr>
            <w:tcW w:w="411" w:type="pct"/>
            <w:vAlign w:val="bottom"/>
          </w:tcPr>
          <w:p w14:paraId="0D40E300" w14:textId="77777777" w:rsidR="00FA2FF9" w:rsidRPr="00730DE4" w:rsidRDefault="00FA2FF9" w:rsidP="00E71FB5">
            <w:pPr>
              <w:pStyle w:val="NoSpacing"/>
              <w:jc w:val="right"/>
            </w:pPr>
            <w:r w:rsidRPr="00730DE4">
              <w:rPr>
                <w:rFonts w:cs="Arial"/>
                <w:szCs w:val="20"/>
              </w:rPr>
              <w:t>54%</w:t>
            </w:r>
          </w:p>
        </w:tc>
        <w:tc>
          <w:tcPr>
            <w:tcW w:w="522" w:type="pct"/>
            <w:vAlign w:val="bottom"/>
          </w:tcPr>
          <w:p w14:paraId="0D512E00" w14:textId="77777777" w:rsidR="00FA2FF9" w:rsidRPr="00730DE4" w:rsidRDefault="00FA2FF9" w:rsidP="00E71FB5">
            <w:pPr>
              <w:pStyle w:val="NoSpacing"/>
              <w:jc w:val="right"/>
            </w:pPr>
            <w:r w:rsidRPr="00730DE4">
              <w:rPr>
                <w:rFonts w:cs="Arial"/>
                <w:szCs w:val="20"/>
              </w:rPr>
              <w:t>37%</w:t>
            </w:r>
          </w:p>
        </w:tc>
        <w:tc>
          <w:tcPr>
            <w:tcW w:w="497" w:type="pct"/>
            <w:vAlign w:val="bottom"/>
          </w:tcPr>
          <w:p w14:paraId="7E5E75E9" w14:textId="77777777" w:rsidR="00FA2FF9" w:rsidRPr="00730DE4" w:rsidRDefault="00FA2FF9" w:rsidP="00E71FB5">
            <w:pPr>
              <w:pStyle w:val="NoSpacing"/>
              <w:jc w:val="right"/>
            </w:pPr>
            <w:r w:rsidRPr="00730DE4">
              <w:rPr>
                <w:rFonts w:cs="Arial"/>
                <w:szCs w:val="20"/>
              </w:rPr>
              <w:t>2%</w:t>
            </w:r>
          </w:p>
        </w:tc>
        <w:tc>
          <w:tcPr>
            <w:tcW w:w="494" w:type="pct"/>
            <w:vAlign w:val="bottom"/>
          </w:tcPr>
          <w:p w14:paraId="08DE6987" w14:textId="77777777" w:rsidR="00FA2FF9" w:rsidRPr="00730DE4" w:rsidRDefault="00FA2FF9" w:rsidP="00E71FB5">
            <w:pPr>
              <w:pStyle w:val="NoSpacing"/>
              <w:jc w:val="right"/>
            </w:pPr>
            <w:r w:rsidRPr="00730DE4">
              <w:rPr>
                <w:rFonts w:cs="Arial"/>
                <w:szCs w:val="20"/>
              </w:rPr>
              <w:t>0.2%</w:t>
            </w:r>
          </w:p>
        </w:tc>
        <w:tc>
          <w:tcPr>
            <w:tcW w:w="457" w:type="pct"/>
            <w:vAlign w:val="bottom"/>
          </w:tcPr>
          <w:p w14:paraId="57831983" w14:textId="77777777" w:rsidR="00FA2FF9" w:rsidRPr="00730DE4" w:rsidRDefault="00FA2FF9" w:rsidP="00E71FB5">
            <w:pPr>
              <w:pStyle w:val="NoSpacing"/>
              <w:jc w:val="right"/>
            </w:pPr>
            <w:r w:rsidRPr="00730DE4">
              <w:rPr>
                <w:rFonts w:cs="Arial"/>
                <w:szCs w:val="20"/>
              </w:rPr>
              <w:t>5%</w:t>
            </w:r>
          </w:p>
        </w:tc>
        <w:tc>
          <w:tcPr>
            <w:tcW w:w="591" w:type="pct"/>
            <w:vAlign w:val="bottom"/>
          </w:tcPr>
          <w:p w14:paraId="5B769CA4" w14:textId="77777777" w:rsidR="00FA2FF9" w:rsidRPr="00730DE4" w:rsidRDefault="00FA2FF9" w:rsidP="00E71FB5">
            <w:pPr>
              <w:pStyle w:val="NoSpacing"/>
              <w:jc w:val="right"/>
            </w:pPr>
          </w:p>
        </w:tc>
        <w:tc>
          <w:tcPr>
            <w:tcW w:w="591" w:type="pct"/>
            <w:vAlign w:val="bottom"/>
          </w:tcPr>
          <w:p w14:paraId="7064288D" w14:textId="77777777" w:rsidR="00FA2FF9" w:rsidRPr="00730DE4" w:rsidRDefault="00FA2FF9" w:rsidP="00E71FB5">
            <w:pPr>
              <w:pStyle w:val="NoSpacing"/>
              <w:jc w:val="right"/>
            </w:pPr>
            <w:r w:rsidRPr="00730DE4">
              <w:rPr>
                <w:rFonts w:cs="Arial"/>
                <w:szCs w:val="20"/>
              </w:rPr>
              <w:t>4%</w:t>
            </w:r>
          </w:p>
        </w:tc>
        <w:tc>
          <w:tcPr>
            <w:tcW w:w="591" w:type="pct"/>
            <w:vAlign w:val="bottom"/>
          </w:tcPr>
          <w:p w14:paraId="4D74956B" w14:textId="77777777" w:rsidR="00FA2FF9" w:rsidRPr="00730DE4" w:rsidRDefault="00FA2FF9" w:rsidP="00E71FB5">
            <w:pPr>
              <w:pStyle w:val="NoSpacing"/>
              <w:jc w:val="right"/>
            </w:pPr>
            <w:r w:rsidRPr="00730DE4">
              <w:rPr>
                <w:rFonts w:cs="Arial"/>
                <w:szCs w:val="20"/>
              </w:rPr>
              <w:t>5%</w:t>
            </w:r>
          </w:p>
        </w:tc>
      </w:tr>
      <w:tr w:rsidR="002D6779" w:rsidRPr="00730DE4" w14:paraId="53C85023" w14:textId="77777777" w:rsidTr="0083114A">
        <w:trPr>
          <w:cnfStyle w:val="000000100000" w:firstRow="0" w:lastRow="0" w:firstColumn="0" w:lastColumn="0" w:oddVBand="0" w:evenVBand="0" w:oddHBand="1" w:evenHBand="0" w:firstRowFirstColumn="0" w:firstRowLastColumn="0" w:lastRowFirstColumn="0" w:lastRowLastColumn="0"/>
        </w:trPr>
        <w:tc>
          <w:tcPr>
            <w:tcW w:w="356" w:type="pct"/>
          </w:tcPr>
          <w:p w14:paraId="4D659BA6" w14:textId="77777777" w:rsidR="00FA2FF9" w:rsidRPr="00730DE4" w:rsidRDefault="00FA2FF9" w:rsidP="00E97A82">
            <w:pPr>
              <w:pStyle w:val="NoSpacing"/>
              <w:rPr>
                <w:rFonts w:cs="Arial"/>
                <w:szCs w:val="20"/>
              </w:rPr>
            </w:pPr>
            <w:r w:rsidRPr="00730DE4">
              <w:rPr>
                <w:rFonts w:cs="Arial"/>
                <w:szCs w:val="20"/>
              </w:rPr>
              <w:t>2021–22</w:t>
            </w:r>
          </w:p>
        </w:tc>
        <w:tc>
          <w:tcPr>
            <w:tcW w:w="489" w:type="pct"/>
          </w:tcPr>
          <w:p w14:paraId="4E110C97" w14:textId="77777777" w:rsidR="00FA2FF9" w:rsidRPr="00730DE4" w:rsidRDefault="00FA2FF9" w:rsidP="00E97A82">
            <w:pPr>
              <w:pStyle w:val="NoSpacing"/>
            </w:pPr>
            <w:r w:rsidRPr="00730DE4">
              <w:rPr>
                <w:rFonts w:cs="Arial"/>
                <w:szCs w:val="20"/>
              </w:rPr>
              <w:t>Headcount</w:t>
            </w:r>
          </w:p>
        </w:tc>
        <w:tc>
          <w:tcPr>
            <w:tcW w:w="411" w:type="pct"/>
            <w:vAlign w:val="bottom"/>
          </w:tcPr>
          <w:p w14:paraId="7F1CDC29" w14:textId="77777777" w:rsidR="00FA2FF9" w:rsidRPr="00730DE4" w:rsidRDefault="00FA2FF9" w:rsidP="00E71FB5">
            <w:pPr>
              <w:pStyle w:val="NoSpacing"/>
              <w:jc w:val="right"/>
            </w:pPr>
            <w:r w:rsidRPr="00730DE4">
              <w:rPr>
                <w:rFonts w:cs="Arial"/>
                <w:szCs w:val="20"/>
              </w:rPr>
              <w:t>4982</w:t>
            </w:r>
          </w:p>
        </w:tc>
        <w:tc>
          <w:tcPr>
            <w:tcW w:w="522" w:type="pct"/>
            <w:vAlign w:val="bottom"/>
          </w:tcPr>
          <w:p w14:paraId="113712E6" w14:textId="77777777" w:rsidR="00FA2FF9" w:rsidRPr="00730DE4" w:rsidRDefault="00FA2FF9" w:rsidP="00E71FB5">
            <w:pPr>
              <w:pStyle w:val="NoSpacing"/>
              <w:jc w:val="right"/>
            </w:pPr>
            <w:r w:rsidRPr="00730DE4">
              <w:rPr>
                <w:rFonts w:cs="Arial"/>
                <w:szCs w:val="20"/>
              </w:rPr>
              <w:t>131</w:t>
            </w:r>
          </w:p>
        </w:tc>
        <w:tc>
          <w:tcPr>
            <w:tcW w:w="497" w:type="pct"/>
            <w:vAlign w:val="bottom"/>
          </w:tcPr>
          <w:p w14:paraId="08DCBABB" w14:textId="77777777" w:rsidR="00FA2FF9" w:rsidRPr="00730DE4" w:rsidRDefault="00FA2FF9" w:rsidP="00E71FB5">
            <w:pPr>
              <w:pStyle w:val="NoSpacing"/>
              <w:jc w:val="right"/>
            </w:pPr>
            <w:r w:rsidRPr="00730DE4">
              <w:rPr>
                <w:rFonts w:cs="Arial"/>
                <w:szCs w:val="20"/>
              </w:rPr>
              <w:t>153</w:t>
            </w:r>
          </w:p>
        </w:tc>
        <w:tc>
          <w:tcPr>
            <w:tcW w:w="494" w:type="pct"/>
            <w:vAlign w:val="bottom"/>
          </w:tcPr>
          <w:p w14:paraId="16F43BC1" w14:textId="77777777" w:rsidR="00FA2FF9" w:rsidRPr="00730DE4" w:rsidRDefault="00FA2FF9" w:rsidP="00E71FB5">
            <w:pPr>
              <w:pStyle w:val="NoSpacing"/>
              <w:jc w:val="right"/>
            </w:pPr>
            <w:r w:rsidRPr="00730DE4">
              <w:rPr>
                <w:rFonts w:cs="Arial"/>
                <w:szCs w:val="20"/>
              </w:rPr>
              <w:t>6</w:t>
            </w:r>
          </w:p>
        </w:tc>
        <w:tc>
          <w:tcPr>
            <w:tcW w:w="457" w:type="pct"/>
            <w:vAlign w:val="bottom"/>
          </w:tcPr>
          <w:p w14:paraId="32A507D9" w14:textId="77777777" w:rsidR="00FA2FF9" w:rsidRPr="00730DE4" w:rsidRDefault="00FA2FF9" w:rsidP="00E71FB5">
            <w:pPr>
              <w:pStyle w:val="NoSpacing"/>
              <w:jc w:val="right"/>
            </w:pPr>
            <w:r w:rsidRPr="00730DE4">
              <w:rPr>
                <w:rFonts w:cs="Arial"/>
                <w:szCs w:val="20"/>
              </w:rPr>
              <w:t>416</w:t>
            </w:r>
          </w:p>
        </w:tc>
        <w:tc>
          <w:tcPr>
            <w:tcW w:w="591" w:type="pct"/>
            <w:vAlign w:val="bottom"/>
          </w:tcPr>
          <w:p w14:paraId="002AD42C" w14:textId="77777777" w:rsidR="00FA2FF9" w:rsidRPr="00730DE4" w:rsidRDefault="00FA2FF9" w:rsidP="00E71FB5">
            <w:pPr>
              <w:pStyle w:val="NoSpacing"/>
              <w:jc w:val="right"/>
            </w:pPr>
          </w:p>
        </w:tc>
        <w:tc>
          <w:tcPr>
            <w:tcW w:w="591" w:type="pct"/>
            <w:vAlign w:val="bottom"/>
          </w:tcPr>
          <w:p w14:paraId="061A4247" w14:textId="77777777" w:rsidR="00FA2FF9" w:rsidRPr="00730DE4" w:rsidRDefault="00FA2FF9" w:rsidP="00E71FB5">
            <w:pPr>
              <w:pStyle w:val="NoSpacing"/>
              <w:jc w:val="right"/>
            </w:pPr>
            <w:r w:rsidRPr="00730DE4">
              <w:rPr>
                <w:rFonts w:cs="Arial"/>
                <w:szCs w:val="20"/>
              </w:rPr>
              <w:t>213</w:t>
            </w:r>
          </w:p>
        </w:tc>
        <w:tc>
          <w:tcPr>
            <w:tcW w:w="591" w:type="pct"/>
            <w:vAlign w:val="bottom"/>
          </w:tcPr>
          <w:p w14:paraId="386D4A4D" w14:textId="77777777" w:rsidR="00FA2FF9" w:rsidRPr="00730DE4" w:rsidRDefault="00FA2FF9" w:rsidP="00E71FB5">
            <w:pPr>
              <w:pStyle w:val="NoSpacing"/>
              <w:jc w:val="right"/>
            </w:pPr>
            <w:r w:rsidRPr="00730DE4">
              <w:rPr>
                <w:rFonts w:cs="Arial"/>
                <w:szCs w:val="20"/>
              </w:rPr>
              <w:t>251</w:t>
            </w:r>
          </w:p>
        </w:tc>
      </w:tr>
      <w:tr w:rsidR="000A65A9" w:rsidRPr="00730DE4" w14:paraId="4C32E8D6" w14:textId="77777777" w:rsidTr="0083114A">
        <w:tc>
          <w:tcPr>
            <w:tcW w:w="356" w:type="pct"/>
          </w:tcPr>
          <w:p w14:paraId="46B73272" w14:textId="77777777" w:rsidR="00FA2FF9" w:rsidRPr="00730DE4" w:rsidRDefault="00FA2FF9" w:rsidP="00E97A82">
            <w:pPr>
              <w:pStyle w:val="NoSpacing"/>
              <w:rPr>
                <w:rFonts w:cs="Arial"/>
                <w:szCs w:val="20"/>
              </w:rPr>
            </w:pPr>
            <w:r w:rsidRPr="00730DE4">
              <w:rPr>
                <w:rFonts w:cs="Arial"/>
                <w:szCs w:val="20"/>
              </w:rPr>
              <w:t>2021–22</w:t>
            </w:r>
          </w:p>
        </w:tc>
        <w:tc>
          <w:tcPr>
            <w:tcW w:w="489" w:type="pct"/>
          </w:tcPr>
          <w:p w14:paraId="7D17102F" w14:textId="77777777" w:rsidR="00FA2FF9" w:rsidRPr="00730DE4" w:rsidRDefault="00FA2FF9" w:rsidP="00E97A82">
            <w:pPr>
              <w:pStyle w:val="NoSpacing"/>
            </w:pPr>
            <w:r w:rsidRPr="00730DE4">
              <w:rPr>
                <w:rFonts w:cs="Arial"/>
                <w:szCs w:val="20"/>
              </w:rPr>
              <w:t>% of TMR</w:t>
            </w:r>
          </w:p>
        </w:tc>
        <w:tc>
          <w:tcPr>
            <w:tcW w:w="411" w:type="pct"/>
            <w:vAlign w:val="bottom"/>
          </w:tcPr>
          <w:p w14:paraId="78D4D3EE" w14:textId="77777777" w:rsidR="00FA2FF9" w:rsidRPr="00730DE4" w:rsidRDefault="00FA2FF9" w:rsidP="00E71FB5">
            <w:pPr>
              <w:pStyle w:val="NoSpacing"/>
              <w:jc w:val="right"/>
            </w:pPr>
            <w:r w:rsidRPr="00730DE4">
              <w:rPr>
                <w:rFonts w:cs="Arial"/>
                <w:szCs w:val="20"/>
              </w:rPr>
              <w:t>53%</w:t>
            </w:r>
          </w:p>
        </w:tc>
        <w:tc>
          <w:tcPr>
            <w:tcW w:w="522" w:type="pct"/>
            <w:vAlign w:val="bottom"/>
          </w:tcPr>
          <w:p w14:paraId="17D35137" w14:textId="77777777" w:rsidR="00FA2FF9" w:rsidRPr="00730DE4" w:rsidRDefault="00FA2FF9" w:rsidP="00E71FB5">
            <w:pPr>
              <w:pStyle w:val="NoSpacing"/>
              <w:jc w:val="right"/>
            </w:pPr>
            <w:r w:rsidRPr="00730DE4">
              <w:rPr>
                <w:rFonts w:cs="Arial"/>
                <w:szCs w:val="20"/>
              </w:rPr>
              <w:t>36%</w:t>
            </w:r>
          </w:p>
        </w:tc>
        <w:tc>
          <w:tcPr>
            <w:tcW w:w="497" w:type="pct"/>
            <w:vAlign w:val="bottom"/>
          </w:tcPr>
          <w:p w14:paraId="20DF7948" w14:textId="77777777" w:rsidR="00FA2FF9" w:rsidRPr="00730DE4" w:rsidRDefault="00FA2FF9" w:rsidP="00E71FB5">
            <w:pPr>
              <w:pStyle w:val="NoSpacing"/>
              <w:jc w:val="right"/>
            </w:pPr>
            <w:r w:rsidRPr="00730DE4">
              <w:rPr>
                <w:rFonts w:cs="Arial"/>
                <w:szCs w:val="20"/>
              </w:rPr>
              <w:t>2%</w:t>
            </w:r>
          </w:p>
        </w:tc>
        <w:tc>
          <w:tcPr>
            <w:tcW w:w="494" w:type="pct"/>
            <w:vAlign w:val="bottom"/>
          </w:tcPr>
          <w:p w14:paraId="383C91E1" w14:textId="77777777" w:rsidR="00FA2FF9" w:rsidRPr="00730DE4" w:rsidRDefault="00FA2FF9" w:rsidP="00E71FB5">
            <w:pPr>
              <w:pStyle w:val="NoSpacing"/>
              <w:jc w:val="right"/>
            </w:pPr>
            <w:r w:rsidRPr="00730DE4">
              <w:rPr>
                <w:rFonts w:cs="Arial"/>
                <w:szCs w:val="20"/>
              </w:rPr>
              <w:t>0.1%</w:t>
            </w:r>
          </w:p>
        </w:tc>
        <w:tc>
          <w:tcPr>
            <w:tcW w:w="457" w:type="pct"/>
            <w:vAlign w:val="bottom"/>
          </w:tcPr>
          <w:p w14:paraId="06B52C99" w14:textId="77777777" w:rsidR="00FA2FF9" w:rsidRPr="00730DE4" w:rsidRDefault="00FA2FF9" w:rsidP="00E71FB5">
            <w:pPr>
              <w:pStyle w:val="NoSpacing"/>
              <w:jc w:val="right"/>
            </w:pPr>
            <w:r w:rsidRPr="00730DE4">
              <w:rPr>
                <w:rFonts w:cs="Arial"/>
                <w:szCs w:val="20"/>
              </w:rPr>
              <w:t>4%</w:t>
            </w:r>
          </w:p>
        </w:tc>
        <w:tc>
          <w:tcPr>
            <w:tcW w:w="591" w:type="pct"/>
            <w:vAlign w:val="bottom"/>
          </w:tcPr>
          <w:p w14:paraId="6F7CA479" w14:textId="77777777" w:rsidR="00FA2FF9" w:rsidRPr="00730DE4" w:rsidRDefault="00FA2FF9" w:rsidP="00E71FB5">
            <w:pPr>
              <w:pStyle w:val="NoSpacing"/>
              <w:jc w:val="right"/>
            </w:pPr>
          </w:p>
        </w:tc>
        <w:tc>
          <w:tcPr>
            <w:tcW w:w="591" w:type="pct"/>
            <w:vAlign w:val="bottom"/>
          </w:tcPr>
          <w:p w14:paraId="1BBEAD52" w14:textId="77777777" w:rsidR="00FA2FF9" w:rsidRPr="00730DE4" w:rsidRDefault="00FA2FF9" w:rsidP="00E71FB5">
            <w:pPr>
              <w:pStyle w:val="NoSpacing"/>
              <w:jc w:val="right"/>
            </w:pPr>
            <w:r w:rsidRPr="00730DE4">
              <w:rPr>
                <w:rFonts w:cs="Arial"/>
                <w:szCs w:val="20"/>
              </w:rPr>
              <w:t>2%</w:t>
            </w:r>
          </w:p>
        </w:tc>
        <w:tc>
          <w:tcPr>
            <w:tcW w:w="591" w:type="pct"/>
            <w:vAlign w:val="bottom"/>
          </w:tcPr>
          <w:p w14:paraId="7D0BE3E6" w14:textId="77777777" w:rsidR="00FA2FF9" w:rsidRPr="00730DE4" w:rsidRDefault="00FA2FF9" w:rsidP="00E71FB5">
            <w:pPr>
              <w:pStyle w:val="NoSpacing"/>
              <w:jc w:val="right"/>
            </w:pPr>
            <w:r w:rsidRPr="00730DE4">
              <w:rPr>
                <w:rFonts w:cs="Arial"/>
                <w:szCs w:val="20"/>
              </w:rPr>
              <w:t>3%</w:t>
            </w:r>
          </w:p>
        </w:tc>
      </w:tr>
      <w:tr w:rsidR="002D6779" w:rsidRPr="00730DE4" w14:paraId="36ABF193" w14:textId="77777777" w:rsidTr="0083114A">
        <w:trPr>
          <w:cnfStyle w:val="000000100000" w:firstRow="0" w:lastRow="0" w:firstColumn="0" w:lastColumn="0" w:oddVBand="0" w:evenVBand="0" w:oddHBand="1" w:evenHBand="0" w:firstRowFirstColumn="0" w:firstRowLastColumn="0" w:lastRowFirstColumn="0" w:lastRowLastColumn="0"/>
        </w:trPr>
        <w:tc>
          <w:tcPr>
            <w:tcW w:w="356" w:type="pct"/>
          </w:tcPr>
          <w:p w14:paraId="581B445D" w14:textId="77777777" w:rsidR="00FA2FF9" w:rsidRPr="00730DE4" w:rsidRDefault="00FA2FF9" w:rsidP="00E97A82">
            <w:pPr>
              <w:pStyle w:val="NoSpacing"/>
              <w:rPr>
                <w:rFonts w:cs="Arial"/>
                <w:szCs w:val="20"/>
              </w:rPr>
            </w:pPr>
            <w:r w:rsidRPr="00730DE4">
              <w:rPr>
                <w:rFonts w:cs="Arial"/>
                <w:szCs w:val="20"/>
              </w:rPr>
              <w:t>2020–21</w:t>
            </w:r>
          </w:p>
        </w:tc>
        <w:tc>
          <w:tcPr>
            <w:tcW w:w="489" w:type="pct"/>
          </w:tcPr>
          <w:p w14:paraId="291A8FD5" w14:textId="77777777" w:rsidR="00FA2FF9" w:rsidRPr="00730DE4" w:rsidRDefault="00FA2FF9" w:rsidP="00E97A82">
            <w:pPr>
              <w:pStyle w:val="NoSpacing"/>
            </w:pPr>
            <w:r w:rsidRPr="00730DE4">
              <w:rPr>
                <w:rFonts w:cs="Arial"/>
                <w:szCs w:val="20"/>
              </w:rPr>
              <w:t>Headcount</w:t>
            </w:r>
          </w:p>
        </w:tc>
        <w:tc>
          <w:tcPr>
            <w:tcW w:w="411" w:type="pct"/>
            <w:vAlign w:val="bottom"/>
          </w:tcPr>
          <w:p w14:paraId="7B0CB55E" w14:textId="77777777" w:rsidR="00FA2FF9" w:rsidRPr="00730DE4" w:rsidRDefault="00FA2FF9" w:rsidP="00E71FB5">
            <w:pPr>
              <w:pStyle w:val="NoSpacing"/>
              <w:jc w:val="right"/>
            </w:pPr>
            <w:r w:rsidRPr="00730DE4">
              <w:rPr>
                <w:rFonts w:cs="Arial"/>
                <w:szCs w:val="20"/>
              </w:rPr>
              <w:t>5018</w:t>
            </w:r>
          </w:p>
        </w:tc>
        <w:tc>
          <w:tcPr>
            <w:tcW w:w="522" w:type="pct"/>
            <w:vAlign w:val="bottom"/>
          </w:tcPr>
          <w:p w14:paraId="3196D2EE" w14:textId="77777777" w:rsidR="00FA2FF9" w:rsidRPr="00730DE4" w:rsidRDefault="00FA2FF9" w:rsidP="00E71FB5">
            <w:pPr>
              <w:pStyle w:val="NoSpacing"/>
              <w:jc w:val="right"/>
            </w:pPr>
            <w:r w:rsidRPr="00730DE4">
              <w:rPr>
                <w:rFonts w:cs="Arial"/>
                <w:szCs w:val="20"/>
              </w:rPr>
              <w:t>116</w:t>
            </w:r>
          </w:p>
        </w:tc>
        <w:tc>
          <w:tcPr>
            <w:tcW w:w="497" w:type="pct"/>
            <w:vAlign w:val="bottom"/>
          </w:tcPr>
          <w:p w14:paraId="0226D100" w14:textId="77777777" w:rsidR="00FA2FF9" w:rsidRPr="00730DE4" w:rsidRDefault="00FA2FF9" w:rsidP="00E71FB5">
            <w:pPr>
              <w:pStyle w:val="NoSpacing"/>
              <w:jc w:val="right"/>
            </w:pPr>
            <w:r w:rsidRPr="00730DE4">
              <w:rPr>
                <w:rFonts w:cs="Arial"/>
                <w:szCs w:val="20"/>
              </w:rPr>
              <w:t>146</w:t>
            </w:r>
          </w:p>
        </w:tc>
        <w:tc>
          <w:tcPr>
            <w:tcW w:w="494" w:type="pct"/>
            <w:vAlign w:val="bottom"/>
          </w:tcPr>
          <w:p w14:paraId="262CACFE" w14:textId="77777777" w:rsidR="00FA2FF9" w:rsidRPr="00730DE4" w:rsidRDefault="00FA2FF9" w:rsidP="00E71FB5">
            <w:pPr>
              <w:pStyle w:val="NoSpacing"/>
              <w:jc w:val="right"/>
            </w:pPr>
          </w:p>
        </w:tc>
        <w:tc>
          <w:tcPr>
            <w:tcW w:w="457" w:type="pct"/>
            <w:vAlign w:val="bottom"/>
          </w:tcPr>
          <w:p w14:paraId="1AF54466" w14:textId="77777777" w:rsidR="00FA2FF9" w:rsidRPr="00730DE4" w:rsidRDefault="00FA2FF9" w:rsidP="00E71FB5">
            <w:pPr>
              <w:pStyle w:val="NoSpacing"/>
              <w:jc w:val="right"/>
            </w:pPr>
            <w:r w:rsidRPr="00730DE4">
              <w:rPr>
                <w:rFonts w:cs="Arial"/>
                <w:szCs w:val="20"/>
              </w:rPr>
              <w:t>440</w:t>
            </w:r>
          </w:p>
        </w:tc>
        <w:tc>
          <w:tcPr>
            <w:tcW w:w="591" w:type="pct"/>
            <w:vAlign w:val="bottom"/>
          </w:tcPr>
          <w:p w14:paraId="4E4DC968" w14:textId="77777777" w:rsidR="00FA2FF9" w:rsidRPr="00730DE4" w:rsidRDefault="00FA2FF9" w:rsidP="00E71FB5">
            <w:pPr>
              <w:pStyle w:val="NoSpacing"/>
              <w:jc w:val="right"/>
            </w:pPr>
          </w:p>
        </w:tc>
        <w:tc>
          <w:tcPr>
            <w:tcW w:w="591" w:type="pct"/>
            <w:vAlign w:val="bottom"/>
          </w:tcPr>
          <w:p w14:paraId="19347825" w14:textId="77777777" w:rsidR="00FA2FF9" w:rsidRPr="00730DE4" w:rsidRDefault="00FA2FF9" w:rsidP="00E71FB5">
            <w:pPr>
              <w:pStyle w:val="NoSpacing"/>
              <w:jc w:val="right"/>
            </w:pPr>
          </w:p>
        </w:tc>
        <w:tc>
          <w:tcPr>
            <w:tcW w:w="591" w:type="pct"/>
            <w:vAlign w:val="bottom"/>
          </w:tcPr>
          <w:p w14:paraId="0CF1E35C" w14:textId="77777777" w:rsidR="00FA2FF9" w:rsidRPr="00730DE4" w:rsidRDefault="00FA2FF9" w:rsidP="00E71FB5">
            <w:pPr>
              <w:pStyle w:val="NoSpacing"/>
              <w:jc w:val="right"/>
            </w:pPr>
            <w:r w:rsidRPr="00730DE4">
              <w:rPr>
                <w:rFonts w:cs="Arial"/>
                <w:szCs w:val="20"/>
              </w:rPr>
              <w:t>698</w:t>
            </w:r>
          </w:p>
        </w:tc>
      </w:tr>
      <w:tr w:rsidR="000A65A9" w:rsidRPr="00730DE4" w14:paraId="1601F85B" w14:textId="77777777" w:rsidTr="0083114A">
        <w:tc>
          <w:tcPr>
            <w:tcW w:w="356" w:type="pct"/>
          </w:tcPr>
          <w:p w14:paraId="7D5F743B" w14:textId="77777777" w:rsidR="00FA2FF9" w:rsidRPr="00730DE4" w:rsidRDefault="00FA2FF9" w:rsidP="00E97A82">
            <w:pPr>
              <w:pStyle w:val="NoSpacing"/>
              <w:rPr>
                <w:rFonts w:cs="Arial"/>
                <w:szCs w:val="20"/>
              </w:rPr>
            </w:pPr>
            <w:r w:rsidRPr="00730DE4">
              <w:rPr>
                <w:rFonts w:cs="Arial"/>
                <w:szCs w:val="20"/>
              </w:rPr>
              <w:t>2020–21</w:t>
            </w:r>
          </w:p>
        </w:tc>
        <w:tc>
          <w:tcPr>
            <w:tcW w:w="489" w:type="pct"/>
          </w:tcPr>
          <w:p w14:paraId="51FB07D9" w14:textId="77777777" w:rsidR="00FA2FF9" w:rsidRPr="00730DE4" w:rsidRDefault="00FA2FF9" w:rsidP="00E97A82">
            <w:pPr>
              <w:pStyle w:val="NoSpacing"/>
            </w:pPr>
            <w:r w:rsidRPr="00730DE4">
              <w:rPr>
                <w:rFonts w:cs="Arial"/>
                <w:szCs w:val="20"/>
              </w:rPr>
              <w:t>% of TMR</w:t>
            </w:r>
          </w:p>
        </w:tc>
        <w:tc>
          <w:tcPr>
            <w:tcW w:w="411" w:type="pct"/>
            <w:vAlign w:val="bottom"/>
          </w:tcPr>
          <w:p w14:paraId="2668F8F5" w14:textId="77777777" w:rsidR="00FA2FF9" w:rsidRPr="00730DE4" w:rsidRDefault="00FA2FF9" w:rsidP="00E71FB5">
            <w:pPr>
              <w:pStyle w:val="NoSpacing"/>
              <w:jc w:val="right"/>
            </w:pPr>
            <w:r w:rsidRPr="00730DE4">
              <w:rPr>
                <w:rFonts w:cs="Arial"/>
                <w:szCs w:val="20"/>
              </w:rPr>
              <w:t>53%</w:t>
            </w:r>
          </w:p>
        </w:tc>
        <w:tc>
          <w:tcPr>
            <w:tcW w:w="522" w:type="pct"/>
            <w:vAlign w:val="bottom"/>
          </w:tcPr>
          <w:p w14:paraId="2423A2C7" w14:textId="77777777" w:rsidR="00FA2FF9" w:rsidRPr="00730DE4" w:rsidRDefault="00FA2FF9" w:rsidP="00E71FB5">
            <w:pPr>
              <w:pStyle w:val="NoSpacing"/>
              <w:jc w:val="right"/>
            </w:pPr>
            <w:r w:rsidRPr="00730DE4">
              <w:rPr>
                <w:rFonts w:cs="Arial"/>
                <w:sz w:val="16"/>
                <w:szCs w:val="16"/>
              </w:rPr>
              <w:t>34%</w:t>
            </w:r>
          </w:p>
        </w:tc>
        <w:tc>
          <w:tcPr>
            <w:tcW w:w="497" w:type="pct"/>
            <w:vAlign w:val="bottom"/>
          </w:tcPr>
          <w:p w14:paraId="0628629F" w14:textId="77777777" w:rsidR="00FA2FF9" w:rsidRPr="00730DE4" w:rsidRDefault="00FA2FF9" w:rsidP="00E71FB5">
            <w:pPr>
              <w:pStyle w:val="NoSpacing"/>
              <w:jc w:val="right"/>
            </w:pPr>
            <w:r w:rsidRPr="00730DE4">
              <w:rPr>
                <w:rFonts w:cs="Arial"/>
                <w:szCs w:val="20"/>
              </w:rPr>
              <w:t>2%</w:t>
            </w:r>
          </w:p>
        </w:tc>
        <w:tc>
          <w:tcPr>
            <w:tcW w:w="494" w:type="pct"/>
            <w:vAlign w:val="bottom"/>
          </w:tcPr>
          <w:p w14:paraId="565C1553" w14:textId="77777777" w:rsidR="00FA2FF9" w:rsidRPr="00730DE4" w:rsidRDefault="00FA2FF9" w:rsidP="00E71FB5">
            <w:pPr>
              <w:pStyle w:val="NoSpacing"/>
              <w:jc w:val="right"/>
            </w:pPr>
          </w:p>
        </w:tc>
        <w:tc>
          <w:tcPr>
            <w:tcW w:w="457" w:type="pct"/>
            <w:vAlign w:val="bottom"/>
          </w:tcPr>
          <w:p w14:paraId="25AAE766" w14:textId="77777777" w:rsidR="00FA2FF9" w:rsidRPr="00730DE4" w:rsidRDefault="00FA2FF9" w:rsidP="00E71FB5">
            <w:pPr>
              <w:pStyle w:val="NoSpacing"/>
              <w:jc w:val="right"/>
            </w:pPr>
            <w:r w:rsidRPr="00730DE4">
              <w:rPr>
                <w:rFonts w:cs="Arial"/>
                <w:szCs w:val="20"/>
              </w:rPr>
              <w:t>5%</w:t>
            </w:r>
          </w:p>
        </w:tc>
        <w:tc>
          <w:tcPr>
            <w:tcW w:w="591" w:type="pct"/>
            <w:vAlign w:val="bottom"/>
          </w:tcPr>
          <w:p w14:paraId="287BEA28" w14:textId="77777777" w:rsidR="00FA2FF9" w:rsidRPr="00730DE4" w:rsidRDefault="00FA2FF9" w:rsidP="00E71FB5">
            <w:pPr>
              <w:pStyle w:val="NoSpacing"/>
              <w:jc w:val="right"/>
            </w:pPr>
          </w:p>
        </w:tc>
        <w:tc>
          <w:tcPr>
            <w:tcW w:w="591" w:type="pct"/>
            <w:vAlign w:val="bottom"/>
          </w:tcPr>
          <w:p w14:paraId="34D2B98D" w14:textId="77777777" w:rsidR="00FA2FF9" w:rsidRPr="00730DE4" w:rsidRDefault="00FA2FF9" w:rsidP="00E71FB5">
            <w:pPr>
              <w:pStyle w:val="NoSpacing"/>
              <w:jc w:val="right"/>
            </w:pPr>
          </w:p>
        </w:tc>
        <w:tc>
          <w:tcPr>
            <w:tcW w:w="591" w:type="pct"/>
            <w:vAlign w:val="bottom"/>
          </w:tcPr>
          <w:p w14:paraId="132538D5" w14:textId="77777777" w:rsidR="00FA2FF9" w:rsidRPr="00730DE4" w:rsidRDefault="00FA2FF9" w:rsidP="00E71FB5">
            <w:pPr>
              <w:pStyle w:val="NoSpacing"/>
              <w:jc w:val="right"/>
            </w:pPr>
            <w:r w:rsidRPr="00730DE4">
              <w:rPr>
                <w:rFonts w:cs="Arial"/>
                <w:szCs w:val="20"/>
              </w:rPr>
              <w:t>7%</w:t>
            </w:r>
          </w:p>
        </w:tc>
      </w:tr>
      <w:tr w:rsidR="002D6779" w:rsidRPr="00730DE4" w14:paraId="5B3D6C59" w14:textId="77777777" w:rsidTr="0083114A">
        <w:trPr>
          <w:cnfStyle w:val="000000100000" w:firstRow="0" w:lastRow="0" w:firstColumn="0" w:lastColumn="0" w:oddVBand="0" w:evenVBand="0" w:oddHBand="1" w:evenHBand="0" w:firstRowFirstColumn="0" w:firstRowLastColumn="0" w:lastRowFirstColumn="0" w:lastRowLastColumn="0"/>
        </w:trPr>
        <w:tc>
          <w:tcPr>
            <w:tcW w:w="356" w:type="pct"/>
          </w:tcPr>
          <w:p w14:paraId="64A17EA4" w14:textId="77777777" w:rsidR="00FA2FF9" w:rsidRPr="00730DE4" w:rsidRDefault="00FA2FF9" w:rsidP="00E97A82">
            <w:pPr>
              <w:pStyle w:val="NoSpacing"/>
              <w:rPr>
                <w:rFonts w:cs="Arial"/>
                <w:szCs w:val="20"/>
              </w:rPr>
            </w:pPr>
            <w:r w:rsidRPr="00730DE4">
              <w:rPr>
                <w:rFonts w:cs="Arial"/>
                <w:szCs w:val="20"/>
              </w:rPr>
              <w:t>2019–20</w:t>
            </w:r>
          </w:p>
        </w:tc>
        <w:tc>
          <w:tcPr>
            <w:tcW w:w="489" w:type="pct"/>
          </w:tcPr>
          <w:p w14:paraId="228453A3" w14:textId="77777777" w:rsidR="00FA2FF9" w:rsidRPr="00730DE4" w:rsidRDefault="00FA2FF9" w:rsidP="00E97A82">
            <w:pPr>
              <w:pStyle w:val="NoSpacing"/>
            </w:pPr>
            <w:r w:rsidRPr="00730DE4">
              <w:rPr>
                <w:rFonts w:cs="Arial"/>
                <w:szCs w:val="20"/>
              </w:rPr>
              <w:t>Headcount</w:t>
            </w:r>
          </w:p>
        </w:tc>
        <w:tc>
          <w:tcPr>
            <w:tcW w:w="411" w:type="pct"/>
            <w:vAlign w:val="bottom"/>
          </w:tcPr>
          <w:p w14:paraId="498969EF" w14:textId="77777777" w:rsidR="00FA2FF9" w:rsidRPr="00730DE4" w:rsidRDefault="00FA2FF9" w:rsidP="00E71FB5">
            <w:pPr>
              <w:pStyle w:val="NoSpacing"/>
              <w:jc w:val="right"/>
            </w:pPr>
            <w:r w:rsidRPr="00730DE4">
              <w:rPr>
                <w:rFonts w:cs="Arial"/>
                <w:szCs w:val="20"/>
              </w:rPr>
              <w:t>4993</w:t>
            </w:r>
          </w:p>
        </w:tc>
        <w:tc>
          <w:tcPr>
            <w:tcW w:w="522" w:type="pct"/>
            <w:vAlign w:val="bottom"/>
          </w:tcPr>
          <w:p w14:paraId="37B1C7DF" w14:textId="77777777" w:rsidR="00FA2FF9" w:rsidRPr="00730DE4" w:rsidRDefault="00FA2FF9" w:rsidP="00E71FB5">
            <w:pPr>
              <w:pStyle w:val="NoSpacing"/>
              <w:jc w:val="right"/>
            </w:pPr>
            <w:r w:rsidRPr="00730DE4">
              <w:rPr>
                <w:rFonts w:cs="Arial"/>
                <w:szCs w:val="20"/>
              </w:rPr>
              <w:t>106</w:t>
            </w:r>
          </w:p>
        </w:tc>
        <w:tc>
          <w:tcPr>
            <w:tcW w:w="497" w:type="pct"/>
            <w:vAlign w:val="bottom"/>
          </w:tcPr>
          <w:p w14:paraId="3A4D8BE1" w14:textId="77777777" w:rsidR="00FA2FF9" w:rsidRPr="00730DE4" w:rsidRDefault="00FA2FF9" w:rsidP="00E71FB5">
            <w:pPr>
              <w:pStyle w:val="NoSpacing"/>
              <w:jc w:val="right"/>
            </w:pPr>
            <w:r w:rsidRPr="00730DE4">
              <w:rPr>
                <w:rFonts w:cs="Arial"/>
                <w:szCs w:val="20"/>
              </w:rPr>
              <w:t>131</w:t>
            </w:r>
          </w:p>
        </w:tc>
        <w:tc>
          <w:tcPr>
            <w:tcW w:w="494" w:type="pct"/>
            <w:vAlign w:val="bottom"/>
          </w:tcPr>
          <w:p w14:paraId="4BFC16B9" w14:textId="77777777" w:rsidR="00FA2FF9" w:rsidRPr="00730DE4" w:rsidRDefault="00FA2FF9" w:rsidP="00E71FB5">
            <w:pPr>
              <w:pStyle w:val="NoSpacing"/>
              <w:jc w:val="right"/>
            </w:pPr>
          </w:p>
        </w:tc>
        <w:tc>
          <w:tcPr>
            <w:tcW w:w="457" w:type="pct"/>
            <w:vAlign w:val="bottom"/>
          </w:tcPr>
          <w:p w14:paraId="210084D6" w14:textId="77777777" w:rsidR="00FA2FF9" w:rsidRPr="00730DE4" w:rsidRDefault="00FA2FF9" w:rsidP="00E71FB5">
            <w:pPr>
              <w:pStyle w:val="NoSpacing"/>
              <w:jc w:val="right"/>
            </w:pPr>
            <w:r w:rsidRPr="00730DE4">
              <w:rPr>
                <w:rFonts w:cs="Arial"/>
                <w:szCs w:val="20"/>
              </w:rPr>
              <w:t>470</w:t>
            </w:r>
          </w:p>
        </w:tc>
        <w:tc>
          <w:tcPr>
            <w:tcW w:w="591" w:type="pct"/>
            <w:vAlign w:val="bottom"/>
          </w:tcPr>
          <w:p w14:paraId="2BF4C01D" w14:textId="77777777" w:rsidR="00FA2FF9" w:rsidRPr="00730DE4" w:rsidRDefault="00FA2FF9" w:rsidP="00E71FB5">
            <w:pPr>
              <w:pStyle w:val="NoSpacing"/>
              <w:jc w:val="right"/>
            </w:pPr>
          </w:p>
        </w:tc>
        <w:tc>
          <w:tcPr>
            <w:tcW w:w="591" w:type="pct"/>
            <w:vAlign w:val="bottom"/>
          </w:tcPr>
          <w:p w14:paraId="677ADF1E" w14:textId="77777777" w:rsidR="00FA2FF9" w:rsidRPr="00730DE4" w:rsidRDefault="00FA2FF9" w:rsidP="00E71FB5">
            <w:pPr>
              <w:pStyle w:val="NoSpacing"/>
              <w:jc w:val="right"/>
            </w:pPr>
          </w:p>
        </w:tc>
        <w:tc>
          <w:tcPr>
            <w:tcW w:w="591" w:type="pct"/>
            <w:vAlign w:val="bottom"/>
          </w:tcPr>
          <w:p w14:paraId="6FCE5FC8" w14:textId="77777777" w:rsidR="00FA2FF9" w:rsidRPr="00730DE4" w:rsidRDefault="00FA2FF9" w:rsidP="00E71FB5">
            <w:pPr>
              <w:pStyle w:val="NoSpacing"/>
              <w:jc w:val="right"/>
            </w:pPr>
            <w:r w:rsidRPr="00730DE4">
              <w:rPr>
                <w:rFonts w:cs="Arial"/>
                <w:szCs w:val="20"/>
              </w:rPr>
              <w:t>674</w:t>
            </w:r>
          </w:p>
        </w:tc>
      </w:tr>
      <w:tr w:rsidR="000A65A9" w:rsidRPr="00730DE4" w14:paraId="24E27C37" w14:textId="77777777" w:rsidTr="0083114A">
        <w:tc>
          <w:tcPr>
            <w:tcW w:w="356" w:type="pct"/>
          </w:tcPr>
          <w:p w14:paraId="5E72735D" w14:textId="77777777" w:rsidR="00FA2FF9" w:rsidRPr="00730DE4" w:rsidRDefault="00FA2FF9" w:rsidP="00E97A82">
            <w:pPr>
              <w:pStyle w:val="NoSpacing"/>
              <w:rPr>
                <w:rFonts w:cs="Arial"/>
                <w:szCs w:val="20"/>
              </w:rPr>
            </w:pPr>
            <w:r w:rsidRPr="00730DE4">
              <w:rPr>
                <w:rFonts w:cs="Arial"/>
                <w:szCs w:val="20"/>
              </w:rPr>
              <w:t>2019–20</w:t>
            </w:r>
          </w:p>
        </w:tc>
        <w:tc>
          <w:tcPr>
            <w:tcW w:w="489" w:type="pct"/>
          </w:tcPr>
          <w:p w14:paraId="67C0993D" w14:textId="77777777" w:rsidR="00FA2FF9" w:rsidRPr="00730DE4" w:rsidRDefault="00FA2FF9" w:rsidP="00E97A82">
            <w:pPr>
              <w:pStyle w:val="NoSpacing"/>
            </w:pPr>
            <w:r w:rsidRPr="00730DE4">
              <w:rPr>
                <w:rFonts w:cs="Arial"/>
                <w:szCs w:val="20"/>
              </w:rPr>
              <w:t>% of TMR</w:t>
            </w:r>
          </w:p>
        </w:tc>
        <w:tc>
          <w:tcPr>
            <w:tcW w:w="411" w:type="pct"/>
            <w:vAlign w:val="bottom"/>
          </w:tcPr>
          <w:p w14:paraId="62C3ACEC" w14:textId="77777777" w:rsidR="00FA2FF9" w:rsidRPr="00730DE4" w:rsidRDefault="00FA2FF9" w:rsidP="00E71FB5">
            <w:pPr>
              <w:pStyle w:val="NoSpacing"/>
              <w:jc w:val="right"/>
            </w:pPr>
            <w:r w:rsidRPr="00730DE4">
              <w:rPr>
                <w:rFonts w:cs="Arial"/>
                <w:szCs w:val="20"/>
              </w:rPr>
              <w:t>53%</w:t>
            </w:r>
          </w:p>
        </w:tc>
        <w:tc>
          <w:tcPr>
            <w:tcW w:w="522" w:type="pct"/>
            <w:vAlign w:val="bottom"/>
          </w:tcPr>
          <w:p w14:paraId="07CDCBEE" w14:textId="77777777" w:rsidR="00FA2FF9" w:rsidRPr="00730DE4" w:rsidRDefault="00FA2FF9" w:rsidP="00E71FB5">
            <w:pPr>
              <w:pStyle w:val="NoSpacing"/>
              <w:jc w:val="right"/>
            </w:pPr>
            <w:r w:rsidRPr="00730DE4">
              <w:rPr>
                <w:rFonts w:cs="Arial"/>
                <w:szCs w:val="20"/>
              </w:rPr>
              <w:t>32%</w:t>
            </w:r>
          </w:p>
        </w:tc>
        <w:tc>
          <w:tcPr>
            <w:tcW w:w="497" w:type="pct"/>
            <w:vAlign w:val="bottom"/>
          </w:tcPr>
          <w:p w14:paraId="7D15160A" w14:textId="77777777" w:rsidR="00FA2FF9" w:rsidRPr="00730DE4" w:rsidRDefault="00FA2FF9" w:rsidP="00E71FB5">
            <w:pPr>
              <w:pStyle w:val="NoSpacing"/>
              <w:jc w:val="right"/>
            </w:pPr>
            <w:r w:rsidRPr="00730DE4">
              <w:rPr>
                <w:rFonts w:cs="Arial"/>
                <w:szCs w:val="20"/>
              </w:rPr>
              <w:t>1%</w:t>
            </w:r>
          </w:p>
        </w:tc>
        <w:tc>
          <w:tcPr>
            <w:tcW w:w="494" w:type="pct"/>
            <w:vAlign w:val="bottom"/>
          </w:tcPr>
          <w:p w14:paraId="2CFB80C2" w14:textId="77777777" w:rsidR="00FA2FF9" w:rsidRPr="00730DE4" w:rsidRDefault="00FA2FF9" w:rsidP="00E71FB5">
            <w:pPr>
              <w:pStyle w:val="NoSpacing"/>
              <w:jc w:val="right"/>
            </w:pPr>
          </w:p>
        </w:tc>
        <w:tc>
          <w:tcPr>
            <w:tcW w:w="457" w:type="pct"/>
            <w:vAlign w:val="bottom"/>
          </w:tcPr>
          <w:p w14:paraId="47876785" w14:textId="77777777" w:rsidR="00FA2FF9" w:rsidRPr="00730DE4" w:rsidRDefault="00FA2FF9" w:rsidP="00E71FB5">
            <w:pPr>
              <w:pStyle w:val="NoSpacing"/>
              <w:jc w:val="right"/>
            </w:pPr>
            <w:r w:rsidRPr="00730DE4">
              <w:rPr>
                <w:rFonts w:cs="Arial"/>
                <w:szCs w:val="20"/>
              </w:rPr>
              <w:t>5%</w:t>
            </w:r>
          </w:p>
        </w:tc>
        <w:tc>
          <w:tcPr>
            <w:tcW w:w="591" w:type="pct"/>
            <w:vAlign w:val="bottom"/>
          </w:tcPr>
          <w:p w14:paraId="309B3960" w14:textId="77777777" w:rsidR="00FA2FF9" w:rsidRPr="00730DE4" w:rsidRDefault="00FA2FF9" w:rsidP="00E71FB5">
            <w:pPr>
              <w:pStyle w:val="NoSpacing"/>
              <w:jc w:val="right"/>
            </w:pPr>
          </w:p>
        </w:tc>
        <w:tc>
          <w:tcPr>
            <w:tcW w:w="591" w:type="pct"/>
            <w:vAlign w:val="bottom"/>
          </w:tcPr>
          <w:p w14:paraId="4DF4EC78" w14:textId="77777777" w:rsidR="00FA2FF9" w:rsidRPr="00730DE4" w:rsidRDefault="00FA2FF9" w:rsidP="00E71FB5">
            <w:pPr>
              <w:pStyle w:val="NoSpacing"/>
              <w:jc w:val="right"/>
            </w:pPr>
          </w:p>
        </w:tc>
        <w:tc>
          <w:tcPr>
            <w:tcW w:w="591" w:type="pct"/>
            <w:vAlign w:val="bottom"/>
          </w:tcPr>
          <w:p w14:paraId="48209434" w14:textId="77777777" w:rsidR="00FA2FF9" w:rsidRPr="00730DE4" w:rsidRDefault="00FA2FF9" w:rsidP="00E71FB5">
            <w:pPr>
              <w:pStyle w:val="NoSpacing"/>
              <w:jc w:val="right"/>
            </w:pPr>
            <w:r w:rsidRPr="00730DE4">
              <w:rPr>
                <w:rFonts w:cs="Arial"/>
                <w:szCs w:val="20"/>
              </w:rPr>
              <w:t>7%</w:t>
            </w:r>
          </w:p>
        </w:tc>
      </w:tr>
      <w:tr w:rsidR="002D6779" w:rsidRPr="00730DE4" w14:paraId="271F751C" w14:textId="77777777" w:rsidTr="0083114A">
        <w:trPr>
          <w:cnfStyle w:val="000000100000" w:firstRow="0" w:lastRow="0" w:firstColumn="0" w:lastColumn="0" w:oddVBand="0" w:evenVBand="0" w:oddHBand="1" w:evenHBand="0" w:firstRowFirstColumn="0" w:firstRowLastColumn="0" w:lastRowFirstColumn="0" w:lastRowLastColumn="0"/>
        </w:trPr>
        <w:tc>
          <w:tcPr>
            <w:tcW w:w="356" w:type="pct"/>
          </w:tcPr>
          <w:p w14:paraId="1FC3FDFC" w14:textId="77777777" w:rsidR="00FA2FF9" w:rsidRPr="00730DE4" w:rsidRDefault="00FA2FF9" w:rsidP="00E97A82">
            <w:pPr>
              <w:pStyle w:val="NoSpacing"/>
              <w:rPr>
                <w:rFonts w:cs="Arial"/>
                <w:szCs w:val="20"/>
              </w:rPr>
            </w:pPr>
            <w:r w:rsidRPr="00730DE4">
              <w:rPr>
                <w:rFonts w:cs="Arial"/>
                <w:szCs w:val="20"/>
              </w:rPr>
              <w:t>2018–19</w:t>
            </w:r>
          </w:p>
        </w:tc>
        <w:tc>
          <w:tcPr>
            <w:tcW w:w="489" w:type="pct"/>
          </w:tcPr>
          <w:p w14:paraId="3CF36245" w14:textId="77777777" w:rsidR="00FA2FF9" w:rsidRPr="00730DE4" w:rsidRDefault="00FA2FF9" w:rsidP="00E97A82">
            <w:pPr>
              <w:pStyle w:val="NoSpacing"/>
            </w:pPr>
            <w:r w:rsidRPr="00730DE4">
              <w:rPr>
                <w:rFonts w:cs="Arial"/>
                <w:szCs w:val="20"/>
              </w:rPr>
              <w:t>Headcount</w:t>
            </w:r>
          </w:p>
        </w:tc>
        <w:tc>
          <w:tcPr>
            <w:tcW w:w="411" w:type="pct"/>
            <w:vAlign w:val="bottom"/>
          </w:tcPr>
          <w:p w14:paraId="600DD3F8" w14:textId="77777777" w:rsidR="00FA2FF9" w:rsidRPr="00730DE4" w:rsidRDefault="00FA2FF9" w:rsidP="00E71FB5">
            <w:pPr>
              <w:pStyle w:val="NoSpacing"/>
              <w:jc w:val="right"/>
            </w:pPr>
            <w:r w:rsidRPr="00730DE4">
              <w:rPr>
                <w:rFonts w:cs="Arial"/>
                <w:szCs w:val="20"/>
              </w:rPr>
              <w:t>4892</w:t>
            </w:r>
          </w:p>
        </w:tc>
        <w:tc>
          <w:tcPr>
            <w:tcW w:w="522" w:type="pct"/>
            <w:vAlign w:val="bottom"/>
          </w:tcPr>
          <w:p w14:paraId="0D89C84F" w14:textId="77777777" w:rsidR="00FA2FF9" w:rsidRPr="00730DE4" w:rsidRDefault="00FA2FF9" w:rsidP="00E71FB5">
            <w:pPr>
              <w:pStyle w:val="NoSpacing"/>
              <w:jc w:val="right"/>
            </w:pPr>
            <w:r w:rsidRPr="00730DE4">
              <w:rPr>
                <w:rFonts w:cs="Arial"/>
                <w:szCs w:val="20"/>
              </w:rPr>
              <w:t>97</w:t>
            </w:r>
          </w:p>
        </w:tc>
        <w:tc>
          <w:tcPr>
            <w:tcW w:w="497" w:type="pct"/>
            <w:vAlign w:val="bottom"/>
          </w:tcPr>
          <w:p w14:paraId="79D631CC" w14:textId="77777777" w:rsidR="00FA2FF9" w:rsidRPr="00730DE4" w:rsidRDefault="00FA2FF9" w:rsidP="00E71FB5">
            <w:pPr>
              <w:pStyle w:val="NoSpacing"/>
              <w:jc w:val="right"/>
            </w:pPr>
            <w:r w:rsidRPr="00730DE4">
              <w:rPr>
                <w:rFonts w:cs="Arial"/>
                <w:szCs w:val="20"/>
              </w:rPr>
              <w:t>132</w:t>
            </w:r>
          </w:p>
        </w:tc>
        <w:tc>
          <w:tcPr>
            <w:tcW w:w="494" w:type="pct"/>
            <w:vAlign w:val="bottom"/>
          </w:tcPr>
          <w:p w14:paraId="29415AAB" w14:textId="77777777" w:rsidR="00FA2FF9" w:rsidRPr="00730DE4" w:rsidRDefault="00FA2FF9" w:rsidP="00E71FB5">
            <w:pPr>
              <w:pStyle w:val="NoSpacing"/>
              <w:jc w:val="right"/>
            </w:pPr>
          </w:p>
        </w:tc>
        <w:tc>
          <w:tcPr>
            <w:tcW w:w="457" w:type="pct"/>
            <w:vAlign w:val="bottom"/>
          </w:tcPr>
          <w:p w14:paraId="4B4019D4" w14:textId="77777777" w:rsidR="00FA2FF9" w:rsidRPr="00730DE4" w:rsidRDefault="00FA2FF9" w:rsidP="00E71FB5">
            <w:pPr>
              <w:pStyle w:val="NoSpacing"/>
              <w:jc w:val="right"/>
            </w:pPr>
            <w:r w:rsidRPr="00730DE4">
              <w:rPr>
                <w:rFonts w:cs="Arial"/>
                <w:szCs w:val="20"/>
              </w:rPr>
              <w:t>480</w:t>
            </w:r>
          </w:p>
        </w:tc>
        <w:tc>
          <w:tcPr>
            <w:tcW w:w="591" w:type="pct"/>
            <w:vAlign w:val="bottom"/>
          </w:tcPr>
          <w:p w14:paraId="752BAD55" w14:textId="77777777" w:rsidR="00FA2FF9" w:rsidRPr="00730DE4" w:rsidRDefault="00FA2FF9" w:rsidP="00E71FB5">
            <w:pPr>
              <w:pStyle w:val="NoSpacing"/>
              <w:jc w:val="right"/>
            </w:pPr>
          </w:p>
        </w:tc>
        <w:tc>
          <w:tcPr>
            <w:tcW w:w="591" w:type="pct"/>
            <w:vAlign w:val="bottom"/>
          </w:tcPr>
          <w:p w14:paraId="27A5957C" w14:textId="77777777" w:rsidR="00FA2FF9" w:rsidRPr="00730DE4" w:rsidRDefault="00FA2FF9" w:rsidP="00E71FB5">
            <w:pPr>
              <w:pStyle w:val="NoSpacing"/>
              <w:jc w:val="right"/>
            </w:pPr>
          </w:p>
        </w:tc>
        <w:tc>
          <w:tcPr>
            <w:tcW w:w="591" w:type="pct"/>
            <w:vAlign w:val="bottom"/>
          </w:tcPr>
          <w:p w14:paraId="1664766A" w14:textId="77777777" w:rsidR="00FA2FF9" w:rsidRPr="00730DE4" w:rsidRDefault="00FA2FF9" w:rsidP="00E71FB5">
            <w:pPr>
              <w:pStyle w:val="NoSpacing"/>
              <w:jc w:val="right"/>
            </w:pPr>
            <w:r w:rsidRPr="00730DE4">
              <w:rPr>
                <w:rFonts w:cs="Arial"/>
                <w:szCs w:val="20"/>
              </w:rPr>
              <w:t>600</w:t>
            </w:r>
          </w:p>
        </w:tc>
      </w:tr>
      <w:tr w:rsidR="000A65A9" w:rsidRPr="00730DE4" w14:paraId="03960E89" w14:textId="77777777" w:rsidTr="0083114A">
        <w:tc>
          <w:tcPr>
            <w:tcW w:w="356" w:type="pct"/>
          </w:tcPr>
          <w:p w14:paraId="7CDC7A47" w14:textId="77777777" w:rsidR="00FA2FF9" w:rsidRPr="00730DE4" w:rsidRDefault="00FA2FF9" w:rsidP="00E97A82">
            <w:pPr>
              <w:pStyle w:val="NoSpacing"/>
              <w:rPr>
                <w:rFonts w:cs="Arial"/>
                <w:szCs w:val="20"/>
              </w:rPr>
            </w:pPr>
            <w:r w:rsidRPr="00730DE4">
              <w:rPr>
                <w:rFonts w:cs="Arial"/>
                <w:szCs w:val="20"/>
              </w:rPr>
              <w:t>2018–19</w:t>
            </w:r>
          </w:p>
        </w:tc>
        <w:tc>
          <w:tcPr>
            <w:tcW w:w="489" w:type="pct"/>
          </w:tcPr>
          <w:p w14:paraId="314BDE18" w14:textId="77777777" w:rsidR="00FA2FF9" w:rsidRPr="00730DE4" w:rsidRDefault="00FA2FF9" w:rsidP="00E97A82">
            <w:pPr>
              <w:pStyle w:val="NoSpacing"/>
            </w:pPr>
            <w:r w:rsidRPr="00730DE4">
              <w:rPr>
                <w:rFonts w:cs="Arial"/>
                <w:szCs w:val="20"/>
              </w:rPr>
              <w:t>% of TMR</w:t>
            </w:r>
          </w:p>
        </w:tc>
        <w:tc>
          <w:tcPr>
            <w:tcW w:w="411" w:type="pct"/>
            <w:vAlign w:val="bottom"/>
          </w:tcPr>
          <w:p w14:paraId="46941290" w14:textId="77777777" w:rsidR="00FA2FF9" w:rsidRPr="00730DE4" w:rsidRDefault="00FA2FF9" w:rsidP="00E71FB5">
            <w:pPr>
              <w:pStyle w:val="NoSpacing"/>
              <w:jc w:val="right"/>
            </w:pPr>
            <w:r w:rsidRPr="00730DE4">
              <w:rPr>
                <w:rFonts w:cs="Arial"/>
                <w:szCs w:val="20"/>
              </w:rPr>
              <w:t>53%</w:t>
            </w:r>
          </w:p>
        </w:tc>
        <w:tc>
          <w:tcPr>
            <w:tcW w:w="522" w:type="pct"/>
            <w:vAlign w:val="bottom"/>
          </w:tcPr>
          <w:p w14:paraId="399901F8" w14:textId="77777777" w:rsidR="00FA2FF9" w:rsidRPr="00730DE4" w:rsidRDefault="00FA2FF9" w:rsidP="00E71FB5">
            <w:pPr>
              <w:pStyle w:val="NoSpacing"/>
              <w:jc w:val="right"/>
            </w:pPr>
            <w:r w:rsidRPr="00730DE4">
              <w:rPr>
                <w:rFonts w:cs="Arial"/>
                <w:szCs w:val="20"/>
              </w:rPr>
              <w:t>30%</w:t>
            </w:r>
          </w:p>
        </w:tc>
        <w:tc>
          <w:tcPr>
            <w:tcW w:w="497" w:type="pct"/>
            <w:vAlign w:val="bottom"/>
          </w:tcPr>
          <w:p w14:paraId="3DED50E6" w14:textId="77777777" w:rsidR="00FA2FF9" w:rsidRPr="00730DE4" w:rsidRDefault="00FA2FF9" w:rsidP="00E71FB5">
            <w:pPr>
              <w:pStyle w:val="NoSpacing"/>
              <w:jc w:val="right"/>
            </w:pPr>
            <w:r w:rsidRPr="00730DE4">
              <w:rPr>
                <w:rFonts w:cs="Arial"/>
                <w:szCs w:val="20"/>
              </w:rPr>
              <w:t>1%</w:t>
            </w:r>
          </w:p>
        </w:tc>
        <w:tc>
          <w:tcPr>
            <w:tcW w:w="494" w:type="pct"/>
            <w:vAlign w:val="bottom"/>
          </w:tcPr>
          <w:p w14:paraId="54455E2C" w14:textId="77777777" w:rsidR="00FA2FF9" w:rsidRPr="00730DE4" w:rsidRDefault="00FA2FF9" w:rsidP="00E71FB5">
            <w:pPr>
              <w:pStyle w:val="NoSpacing"/>
              <w:jc w:val="right"/>
            </w:pPr>
          </w:p>
        </w:tc>
        <w:tc>
          <w:tcPr>
            <w:tcW w:w="457" w:type="pct"/>
            <w:vAlign w:val="bottom"/>
          </w:tcPr>
          <w:p w14:paraId="043A96EE" w14:textId="77777777" w:rsidR="00FA2FF9" w:rsidRPr="00730DE4" w:rsidRDefault="00FA2FF9" w:rsidP="00E71FB5">
            <w:pPr>
              <w:pStyle w:val="NoSpacing"/>
              <w:jc w:val="right"/>
            </w:pPr>
            <w:r w:rsidRPr="00730DE4">
              <w:rPr>
                <w:rFonts w:cs="Arial"/>
                <w:szCs w:val="20"/>
              </w:rPr>
              <w:t>5%</w:t>
            </w:r>
          </w:p>
        </w:tc>
        <w:tc>
          <w:tcPr>
            <w:tcW w:w="591" w:type="pct"/>
            <w:vAlign w:val="bottom"/>
          </w:tcPr>
          <w:p w14:paraId="56BCCCE0" w14:textId="77777777" w:rsidR="00FA2FF9" w:rsidRPr="00730DE4" w:rsidRDefault="00FA2FF9" w:rsidP="00E71FB5">
            <w:pPr>
              <w:pStyle w:val="NoSpacing"/>
              <w:jc w:val="right"/>
            </w:pPr>
          </w:p>
        </w:tc>
        <w:tc>
          <w:tcPr>
            <w:tcW w:w="591" w:type="pct"/>
            <w:vAlign w:val="bottom"/>
          </w:tcPr>
          <w:p w14:paraId="240C91DB" w14:textId="77777777" w:rsidR="00FA2FF9" w:rsidRPr="00730DE4" w:rsidRDefault="00FA2FF9" w:rsidP="00E71FB5">
            <w:pPr>
              <w:pStyle w:val="NoSpacing"/>
              <w:jc w:val="right"/>
            </w:pPr>
          </w:p>
        </w:tc>
        <w:tc>
          <w:tcPr>
            <w:tcW w:w="591" w:type="pct"/>
            <w:vAlign w:val="bottom"/>
          </w:tcPr>
          <w:p w14:paraId="1144484B" w14:textId="77777777" w:rsidR="00FA2FF9" w:rsidRPr="00730DE4" w:rsidRDefault="00FA2FF9" w:rsidP="00E71FB5">
            <w:pPr>
              <w:pStyle w:val="NoSpacing"/>
              <w:jc w:val="right"/>
            </w:pPr>
            <w:r w:rsidRPr="00730DE4">
              <w:rPr>
                <w:rFonts w:cs="Arial"/>
                <w:szCs w:val="20"/>
              </w:rPr>
              <w:t>7%</w:t>
            </w:r>
          </w:p>
        </w:tc>
      </w:tr>
      <w:tr w:rsidR="002D6779" w:rsidRPr="00730DE4" w14:paraId="55EA9664" w14:textId="77777777" w:rsidTr="0083114A">
        <w:trPr>
          <w:cnfStyle w:val="000000100000" w:firstRow="0" w:lastRow="0" w:firstColumn="0" w:lastColumn="0" w:oddVBand="0" w:evenVBand="0" w:oddHBand="1" w:evenHBand="0" w:firstRowFirstColumn="0" w:firstRowLastColumn="0" w:lastRowFirstColumn="0" w:lastRowLastColumn="0"/>
        </w:trPr>
        <w:tc>
          <w:tcPr>
            <w:tcW w:w="356" w:type="pct"/>
          </w:tcPr>
          <w:p w14:paraId="2EB85478" w14:textId="77777777" w:rsidR="00FA2FF9" w:rsidRPr="00730DE4" w:rsidRDefault="00FA2FF9" w:rsidP="00E97A82">
            <w:pPr>
              <w:pStyle w:val="NoSpacing"/>
              <w:rPr>
                <w:rFonts w:cs="Arial"/>
                <w:szCs w:val="20"/>
              </w:rPr>
            </w:pPr>
            <w:r w:rsidRPr="00730DE4">
              <w:rPr>
                <w:rFonts w:cs="Arial"/>
                <w:szCs w:val="20"/>
              </w:rPr>
              <w:t>2017–18</w:t>
            </w:r>
          </w:p>
        </w:tc>
        <w:tc>
          <w:tcPr>
            <w:tcW w:w="489" w:type="pct"/>
          </w:tcPr>
          <w:p w14:paraId="708D49FF" w14:textId="77777777" w:rsidR="00FA2FF9" w:rsidRPr="00730DE4" w:rsidRDefault="00FA2FF9" w:rsidP="00E97A82">
            <w:pPr>
              <w:pStyle w:val="NoSpacing"/>
            </w:pPr>
            <w:r w:rsidRPr="00730DE4">
              <w:rPr>
                <w:rFonts w:cs="Arial"/>
                <w:szCs w:val="20"/>
              </w:rPr>
              <w:t>Headcount</w:t>
            </w:r>
          </w:p>
        </w:tc>
        <w:tc>
          <w:tcPr>
            <w:tcW w:w="411" w:type="pct"/>
            <w:vAlign w:val="bottom"/>
          </w:tcPr>
          <w:p w14:paraId="775CA3A2" w14:textId="77777777" w:rsidR="00FA2FF9" w:rsidRPr="00730DE4" w:rsidRDefault="00FA2FF9" w:rsidP="00E71FB5">
            <w:pPr>
              <w:pStyle w:val="NoSpacing"/>
              <w:jc w:val="right"/>
            </w:pPr>
            <w:r w:rsidRPr="00730DE4">
              <w:rPr>
                <w:rFonts w:cs="Arial"/>
                <w:szCs w:val="20"/>
              </w:rPr>
              <w:t>4885</w:t>
            </w:r>
          </w:p>
        </w:tc>
        <w:tc>
          <w:tcPr>
            <w:tcW w:w="522" w:type="pct"/>
            <w:vAlign w:val="bottom"/>
          </w:tcPr>
          <w:p w14:paraId="37FE828D" w14:textId="77777777" w:rsidR="00FA2FF9" w:rsidRPr="00730DE4" w:rsidRDefault="00FA2FF9" w:rsidP="00E71FB5">
            <w:pPr>
              <w:pStyle w:val="NoSpacing"/>
              <w:jc w:val="right"/>
            </w:pPr>
            <w:r w:rsidRPr="00730DE4">
              <w:rPr>
                <w:rFonts w:cs="Arial"/>
                <w:szCs w:val="20"/>
              </w:rPr>
              <w:t>104</w:t>
            </w:r>
          </w:p>
        </w:tc>
        <w:tc>
          <w:tcPr>
            <w:tcW w:w="497" w:type="pct"/>
            <w:vAlign w:val="bottom"/>
          </w:tcPr>
          <w:p w14:paraId="39E32913" w14:textId="77777777" w:rsidR="00FA2FF9" w:rsidRPr="00730DE4" w:rsidRDefault="00FA2FF9" w:rsidP="00E71FB5">
            <w:pPr>
              <w:pStyle w:val="NoSpacing"/>
              <w:jc w:val="right"/>
            </w:pPr>
            <w:r w:rsidRPr="00730DE4">
              <w:rPr>
                <w:rFonts w:cs="Arial"/>
                <w:szCs w:val="20"/>
              </w:rPr>
              <w:t>122</w:t>
            </w:r>
          </w:p>
        </w:tc>
        <w:tc>
          <w:tcPr>
            <w:tcW w:w="494" w:type="pct"/>
            <w:vAlign w:val="bottom"/>
          </w:tcPr>
          <w:p w14:paraId="5AAB8D2D" w14:textId="77777777" w:rsidR="00FA2FF9" w:rsidRPr="00730DE4" w:rsidRDefault="00FA2FF9" w:rsidP="00E71FB5">
            <w:pPr>
              <w:pStyle w:val="NoSpacing"/>
              <w:jc w:val="right"/>
            </w:pPr>
          </w:p>
        </w:tc>
        <w:tc>
          <w:tcPr>
            <w:tcW w:w="457" w:type="pct"/>
            <w:vAlign w:val="bottom"/>
          </w:tcPr>
          <w:p w14:paraId="0253D7EF" w14:textId="77777777" w:rsidR="00FA2FF9" w:rsidRPr="00730DE4" w:rsidRDefault="00FA2FF9" w:rsidP="00E71FB5">
            <w:pPr>
              <w:pStyle w:val="NoSpacing"/>
              <w:jc w:val="right"/>
            </w:pPr>
            <w:r w:rsidRPr="00730DE4">
              <w:rPr>
                <w:rFonts w:cs="Arial"/>
                <w:szCs w:val="20"/>
              </w:rPr>
              <w:t>543</w:t>
            </w:r>
          </w:p>
        </w:tc>
        <w:tc>
          <w:tcPr>
            <w:tcW w:w="591" w:type="pct"/>
            <w:vAlign w:val="bottom"/>
          </w:tcPr>
          <w:p w14:paraId="658FA478" w14:textId="77777777" w:rsidR="00FA2FF9" w:rsidRPr="00730DE4" w:rsidRDefault="00FA2FF9" w:rsidP="00E71FB5">
            <w:pPr>
              <w:pStyle w:val="NoSpacing"/>
              <w:jc w:val="right"/>
            </w:pPr>
          </w:p>
        </w:tc>
        <w:tc>
          <w:tcPr>
            <w:tcW w:w="591" w:type="pct"/>
            <w:vAlign w:val="bottom"/>
          </w:tcPr>
          <w:p w14:paraId="52A575B9" w14:textId="77777777" w:rsidR="00FA2FF9" w:rsidRPr="00730DE4" w:rsidRDefault="00FA2FF9" w:rsidP="00E71FB5">
            <w:pPr>
              <w:pStyle w:val="NoSpacing"/>
              <w:jc w:val="right"/>
            </w:pPr>
          </w:p>
        </w:tc>
        <w:tc>
          <w:tcPr>
            <w:tcW w:w="591" w:type="pct"/>
            <w:vAlign w:val="bottom"/>
          </w:tcPr>
          <w:p w14:paraId="30A21ACA" w14:textId="77777777" w:rsidR="00FA2FF9" w:rsidRPr="00730DE4" w:rsidRDefault="00FA2FF9" w:rsidP="00E71FB5">
            <w:pPr>
              <w:pStyle w:val="NoSpacing"/>
              <w:jc w:val="right"/>
            </w:pPr>
            <w:r w:rsidRPr="00730DE4">
              <w:rPr>
                <w:rFonts w:cs="Arial"/>
                <w:szCs w:val="20"/>
              </w:rPr>
              <w:t>596</w:t>
            </w:r>
          </w:p>
        </w:tc>
      </w:tr>
      <w:tr w:rsidR="000A65A9" w:rsidRPr="00730DE4" w14:paraId="616FA6A1" w14:textId="77777777" w:rsidTr="0083114A">
        <w:tc>
          <w:tcPr>
            <w:tcW w:w="356" w:type="pct"/>
          </w:tcPr>
          <w:p w14:paraId="23986075" w14:textId="77777777" w:rsidR="00FA2FF9" w:rsidRPr="00730DE4" w:rsidRDefault="00FA2FF9" w:rsidP="00E97A82">
            <w:pPr>
              <w:pStyle w:val="NoSpacing"/>
              <w:rPr>
                <w:rFonts w:cs="Arial"/>
                <w:szCs w:val="20"/>
              </w:rPr>
            </w:pPr>
            <w:r w:rsidRPr="00730DE4">
              <w:rPr>
                <w:rFonts w:cs="Arial"/>
                <w:szCs w:val="20"/>
              </w:rPr>
              <w:t>2017–18</w:t>
            </w:r>
          </w:p>
        </w:tc>
        <w:tc>
          <w:tcPr>
            <w:tcW w:w="489" w:type="pct"/>
          </w:tcPr>
          <w:p w14:paraId="27B93216" w14:textId="77777777" w:rsidR="00FA2FF9" w:rsidRPr="00730DE4" w:rsidRDefault="00FA2FF9" w:rsidP="00E97A82">
            <w:pPr>
              <w:pStyle w:val="NoSpacing"/>
            </w:pPr>
            <w:r w:rsidRPr="00730DE4">
              <w:rPr>
                <w:rFonts w:cs="Arial"/>
                <w:szCs w:val="20"/>
              </w:rPr>
              <w:t>% of TMR</w:t>
            </w:r>
          </w:p>
        </w:tc>
        <w:tc>
          <w:tcPr>
            <w:tcW w:w="411" w:type="pct"/>
            <w:vAlign w:val="bottom"/>
          </w:tcPr>
          <w:p w14:paraId="06C337B5" w14:textId="77777777" w:rsidR="00FA2FF9" w:rsidRPr="00730DE4" w:rsidRDefault="00FA2FF9" w:rsidP="00E71FB5">
            <w:pPr>
              <w:pStyle w:val="NoSpacing"/>
              <w:jc w:val="right"/>
            </w:pPr>
            <w:r w:rsidRPr="00730DE4">
              <w:rPr>
                <w:rFonts w:cs="Arial"/>
                <w:szCs w:val="20"/>
              </w:rPr>
              <w:t>53%</w:t>
            </w:r>
          </w:p>
        </w:tc>
        <w:tc>
          <w:tcPr>
            <w:tcW w:w="522" w:type="pct"/>
            <w:vAlign w:val="bottom"/>
          </w:tcPr>
          <w:p w14:paraId="0A3CD9B3" w14:textId="77777777" w:rsidR="00FA2FF9" w:rsidRPr="00730DE4" w:rsidRDefault="00FA2FF9" w:rsidP="00E71FB5">
            <w:pPr>
              <w:pStyle w:val="NoSpacing"/>
              <w:jc w:val="right"/>
            </w:pPr>
            <w:r w:rsidRPr="00730DE4">
              <w:rPr>
                <w:rFonts w:cs="Arial"/>
                <w:szCs w:val="20"/>
              </w:rPr>
              <w:t>32%</w:t>
            </w:r>
          </w:p>
        </w:tc>
        <w:tc>
          <w:tcPr>
            <w:tcW w:w="497" w:type="pct"/>
            <w:vAlign w:val="bottom"/>
          </w:tcPr>
          <w:p w14:paraId="5B784B51" w14:textId="77777777" w:rsidR="00FA2FF9" w:rsidRPr="00730DE4" w:rsidRDefault="00FA2FF9" w:rsidP="00E71FB5">
            <w:pPr>
              <w:pStyle w:val="NoSpacing"/>
              <w:jc w:val="right"/>
            </w:pPr>
            <w:r w:rsidRPr="00730DE4">
              <w:rPr>
                <w:rFonts w:cs="Arial"/>
                <w:szCs w:val="20"/>
              </w:rPr>
              <w:t>1%</w:t>
            </w:r>
          </w:p>
        </w:tc>
        <w:tc>
          <w:tcPr>
            <w:tcW w:w="494" w:type="pct"/>
            <w:vAlign w:val="bottom"/>
          </w:tcPr>
          <w:p w14:paraId="30EE5179" w14:textId="77777777" w:rsidR="00FA2FF9" w:rsidRPr="00730DE4" w:rsidRDefault="00FA2FF9" w:rsidP="00E71FB5">
            <w:pPr>
              <w:pStyle w:val="NoSpacing"/>
              <w:jc w:val="right"/>
            </w:pPr>
          </w:p>
        </w:tc>
        <w:tc>
          <w:tcPr>
            <w:tcW w:w="457" w:type="pct"/>
            <w:vAlign w:val="bottom"/>
          </w:tcPr>
          <w:p w14:paraId="41B849C7" w14:textId="77777777" w:rsidR="00FA2FF9" w:rsidRPr="00730DE4" w:rsidRDefault="00FA2FF9" w:rsidP="00E71FB5">
            <w:pPr>
              <w:pStyle w:val="NoSpacing"/>
              <w:jc w:val="right"/>
            </w:pPr>
            <w:r w:rsidRPr="00730DE4">
              <w:rPr>
                <w:rFonts w:cs="Arial"/>
                <w:szCs w:val="20"/>
              </w:rPr>
              <w:t>6%</w:t>
            </w:r>
          </w:p>
        </w:tc>
        <w:tc>
          <w:tcPr>
            <w:tcW w:w="591" w:type="pct"/>
            <w:vAlign w:val="bottom"/>
          </w:tcPr>
          <w:p w14:paraId="55F32152" w14:textId="77777777" w:rsidR="00FA2FF9" w:rsidRPr="00730DE4" w:rsidRDefault="00FA2FF9" w:rsidP="00E71FB5">
            <w:pPr>
              <w:pStyle w:val="NoSpacing"/>
              <w:jc w:val="right"/>
            </w:pPr>
          </w:p>
        </w:tc>
        <w:tc>
          <w:tcPr>
            <w:tcW w:w="591" w:type="pct"/>
            <w:vAlign w:val="bottom"/>
          </w:tcPr>
          <w:p w14:paraId="6B52324F" w14:textId="77777777" w:rsidR="00FA2FF9" w:rsidRPr="00730DE4" w:rsidRDefault="00FA2FF9" w:rsidP="00E71FB5">
            <w:pPr>
              <w:pStyle w:val="NoSpacing"/>
              <w:jc w:val="right"/>
            </w:pPr>
          </w:p>
        </w:tc>
        <w:tc>
          <w:tcPr>
            <w:tcW w:w="591" w:type="pct"/>
            <w:vAlign w:val="bottom"/>
          </w:tcPr>
          <w:p w14:paraId="4B60F3A4" w14:textId="77777777" w:rsidR="00FA2FF9" w:rsidRPr="00730DE4" w:rsidRDefault="00FA2FF9" w:rsidP="00E71FB5">
            <w:pPr>
              <w:pStyle w:val="NoSpacing"/>
              <w:jc w:val="right"/>
            </w:pPr>
            <w:r w:rsidRPr="00730DE4">
              <w:rPr>
                <w:rFonts w:cs="Arial"/>
                <w:szCs w:val="20"/>
              </w:rPr>
              <w:t>6%</w:t>
            </w:r>
          </w:p>
        </w:tc>
      </w:tr>
      <w:tr w:rsidR="002D6779" w:rsidRPr="00730DE4" w14:paraId="38E2B570" w14:textId="77777777" w:rsidTr="0083114A">
        <w:trPr>
          <w:cnfStyle w:val="000000100000" w:firstRow="0" w:lastRow="0" w:firstColumn="0" w:lastColumn="0" w:oddVBand="0" w:evenVBand="0" w:oddHBand="1" w:evenHBand="0" w:firstRowFirstColumn="0" w:firstRowLastColumn="0" w:lastRowFirstColumn="0" w:lastRowLastColumn="0"/>
        </w:trPr>
        <w:tc>
          <w:tcPr>
            <w:tcW w:w="356" w:type="pct"/>
          </w:tcPr>
          <w:p w14:paraId="13585658" w14:textId="77777777" w:rsidR="00FA2FF9" w:rsidRPr="00730DE4" w:rsidRDefault="00FA2FF9" w:rsidP="00E97A82">
            <w:pPr>
              <w:pStyle w:val="NoSpacing"/>
              <w:rPr>
                <w:rFonts w:cs="Arial"/>
                <w:szCs w:val="20"/>
              </w:rPr>
            </w:pPr>
            <w:r w:rsidRPr="00730DE4">
              <w:rPr>
                <w:rFonts w:cs="Arial"/>
                <w:szCs w:val="20"/>
              </w:rPr>
              <w:t>2016–17</w:t>
            </w:r>
          </w:p>
        </w:tc>
        <w:tc>
          <w:tcPr>
            <w:tcW w:w="489" w:type="pct"/>
          </w:tcPr>
          <w:p w14:paraId="3EF51801" w14:textId="77777777" w:rsidR="00FA2FF9" w:rsidRPr="00730DE4" w:rsidRDefault="00FA2FF9" w:rsidP="00E97A82">
            <w:pPr>
              <w:pStyle w:val="NoSpacing"/>
              <w:rPr>
                <w:rFonts w:cs="Arial"/>
                <w:szCs w:val="20"/>
              </w:rPr>
            </w:pPr>
            <w:r w:rsidRPr="00730DE4">
              <w:rPr>
                <w:rFonts w:cs="Arial"/>
                <w:szCs w:val="20"/>
              </w:rPr>
              <w:t>Headcount</w:t>
            </w:r>
          </w:p>
        </w:tc>
        <w:tc>
          <w:tcPr>
            <w:tcW w:w="411" w:type="pct"/>
            <w:vAlign w:val="bottom"/>
          </w:tcPr>
          <w:p w14:paraId="5BA6B461" w14:textId="77777777" w:rsidR="00FA2FF9" w:rsidRPr="00730DE4" w:rsidRDefault="00FA2FF9" w:rsidP="00E71FB5">
            <w:pPr>
              <w:pStyle w:val="NoSpacing"/>
              <w:jc w:val="right"/>
              <w:rPr>
                <w:rFonts w:cs="Arial"/>
                <w:szCs w:val="20"/>
              </w:rPr>
            </w:pPr>
            <w:r w:rsidRPr="00730DE4">
              <w:rPr>
                <w:rFonts w:cs="Arial"/>
                <w:szCs w:val="20"/>
              </w:rPr>
              <w:t>4844</w:t>
            </w:r>
          </w:p>
        </w:tc>
        <w:tc>
          <w:tcPr>
            <w:tcW w:w="522" w:type="pct"/>
            <w:vAlign w:val="bottom"/>
          </w:tcPr>
          <w:p w14:paraId="2562DB29" w14:textId="77777777" w:rsidR="00FA2FF9" w:rsidRPr="00730DE4" w:rsidRDefault="00FA2FF9" w:rsidP="00E71FB5">
            <w:pPr>
              <w:pStyle w:val="NoSpacing"/>
              <w:jc w:val="right"/>
              <w:rPr>
                <w:rFonts w:cs="Arial"/>
                <w:szCs w:val="20"/>
              </w:rPr>
            </w:pPr>
            <w:r w:rsidRPr="00730DE4">
              <w:rPr>
                <w:rFonts w:cs="Arial"/>
                <w:szCs w:val="20"/>
              </w:rPr>
              <w:t>101</w:t>
            </w:r>
          </w:p>
        </w:tc>
        <w:tc>
          <w:tcPr>
            <w:tcW w:w="497" w:type="pct"/>
            <w:vAlign w:val="bottom"/>
          </w:tcPr>
          <w:p w14:paraId="5C7E7947" w14:textId="77777777" w:rsidR="00FA2FF9" w:rsidRPr="00730DE4" w:rsidRDefault="00FA2FF9" w:rsidP="00E71FB5">
            <w:pPr>
              <w:pStyle w:val="NoSpacing"/>
              <w:jc w:val="right"/>
              <w:rPr>
                <w:rFonts w:cs="Arial"/>
                <w:szCs w:val="20"/>
              </w:rPr>
            </w:pPr>
            <w:r w:rsidRPr="00730DE4">
              <w:rPr>
                <w:rFonts w:cs="Arial"/>
                <w:szCs w:val="20"/>
              </w:rPr>
              <w:t>97</w:t>
            </w:r>
          </w:p>
        </w:tc>
        <w:tc>
          <w:tcPr>
            <w:tcW w:w="494" w:type="pct"/>
            <w:vAlign w:val="bottom"/>
          </w:tcPr>
          <w:p w14:paraId="7AFF7A45" w14:textId="77777777" w:rsidR="00FA2FF9" w:rsidRPr="00730DE4" w:rsidRDefault="00FA2FF9" w:rsidP="00E71FB5">
            <w:pPr>
              <w:pStyle w:val="NoSpacing"/>
              <w:jc w:val="right"/>
            </w:pPr>
          </w:p>
        </w:tc>
        <w:tc>
          <w:tcPr>
            <w:tcW w:w="457" w:type="pct"/>
            <w:vAlign w:val="bottom"/>
          </w:tcPr>
          <w:p w14:paraId="3602B555" w14:textId="77777777" w:rsidR="00FA2FF9" w:rsidRPr="00730DE4" w:rsidRDefault="00FA2FF9" w:rsidP="00E71FB5">
            <w:pPr>
              <w:pStyle w:val="NoSpacing"/>
              <w:jc w:val="right"/>
              <w:rPr>
                <w:rFonts w:cs="Arial"/>
                <w:szCs w:val="20"/>
              </w:rPr>
            </w:pPr>
            <w:r w:rsidRPr="00730DE4">
              <w:rPr>
                <w:rFonts w:cs="Arial"/>
                <w:szCs w:val="20"/>
              </w:rPr>
              <w:t>663</w:t>
            </w:r>
          </w:p>
        </w:tc>
        <w:tc>
          <w:tcPr>
            <w:tcW w:w="591" w:type="pct"/>
            <w:vAlign w:val="bottom"/>
          </w:tcPr>
          <w:p w14:paraId="20F358EB" w14:textId="77777777" w:rsidR="00FA2FF9" w:rsidRPr="00730DE4" w:rsidRDefault="00FA2FF9" w:rsidP="00E71FB5">
            <w:pPr>
              <w:pStyle w:val="NoSpacing"/>
              <w:jc w:val="right"/>
            </w:pPr>
          </w:p>
        </w:tc>
        <w:tc>
          <w:tcPr>
            <w:tcW w:w="591" w:type="pct"/>
            <w:vAlign w:val="bottom"/>
          </w:tcPr>
          <w:p w14:paraId="32A6FD73" w14:textId="77777777" w:rsidR="00FA2FF9" w:rsidRPr="00730DE4" w:rsidRDefault="00FA2FF9" w:rsidP="00E71FB5">
            <w:pPr>
              <w:pStyle w:val="NoSpacing"/>
              <w:jc w:val="right"/>
            </w:pPr>
          </w:p>
        </w:tc>
        <w:tc>
          <w:tcPr>
            <w:tcW w:w="591" w:type="pct"/>
            <w:vAlign w:val="bottom"/>
          </w:tcPr>
          <w:p w14:paraId="4B55E298" w14:textId="77777777" w:rsidR="00FA2FF9" w:rsidRPr="00730DE4" w:rsidRDefault="00FA2FF9" w:rsidP="00E71FB5">
            <w:pPr>
              <w:pStyle w:val="NoSpacing"/>
              <w:jc w:val="right"/>
              <w:rPr>
                <w:rFonts w:cs="Arial"/>
                <w:szCs w:val="20"/>
              </w:rPr>
            </w:pPr>
            <w:r w:rsidRPr="00730DE4">
              <w:rPr>
                <w:rFonts w:cs="Arial"/>
                <w:szCs w:val="20"/>
              </w:rPr>
              <w:t>524</w:t>
            </w:r>
          </w:p>
        </w:tc>
      </w:tr>
      <w:tr w:rsidR="000A65A9" w:rsidRPr="00730DE4" w14:paraId="1E66697E" w14:textId="77777777" w:rsidTr="0083114A">
        <w:tc>
          <w:tcPr>
            <w:tcW w:w="356" w:type="pct"/>
          </w:tcPr>
          <w:p w14:paraId="6C5769D1" w14:textId="77777777" w:rsidR="00FA2FF9" w:rsidRPr="00730DE4" w:rsidRDefault="00FA2FF9" w:rsidP="00E97A82">
            <w:pPr>
              <w:pStyle w:val="NoSpacing"/>
              <w:rPr>
                <w:rFonts w:cs="Arial"/>
                <w:szCs w:val="20"/>
              </w:rPr>
            </w:pPr>
            <w:r w:rsidRPr="00730DE4">
              <w:rPr>
                <w:rFonts w:cs="Arial"/>
                <w:szCs w:val="20"/>
              </w:rPr>
              <w:t>2016–17</w:t>
            </w:r>
          </w:p>
        </w:tc>
        <w:tc>
          <w:tcPr>
            <w:tcW w:w="489" w:type="pct"/>
          </w:tcPr>
          <w:p w14:paraId="708378D9" w14:textId="77777777" w:rsidR="00FA2FF9" w:rsidRPr="00730DE4" w:rsidRDefault="00FA2FF9" w:rsidP="00E97A82">
            <w:pPr>
              <w:pStyle w:val="NoSpacing"/>
              <w:rPr>
                <w:rFonts w:cs="Arial"/>
                <w:szCs w:val="20"/>
              </w:rPr>
            </w:pPr>
            <w:r w:rsidRPr="00730DE4">
              <w:rPr>
                <w:rFonts w:cs="Arial"/>
                <w:szCs w:val="20"/>
              </w:rPr>
              <w:t>% of TMR</w:t>
            </w:r>
          </w:p>
        </w:tc>
        <w:tc>
          <w:tcPr>
            <w:tcW w:w="411" w:type="pct"/>
            <w:vAlign w:val="bottom"/>
          </w:tcPr>
          <w:p w14:paraId="7EC01BD5" w14:textId="77777777" w:rsidR="00FA2FF9" w:rsidRPr="00730DE4" w:rsidRDefault="00FA2FF9" w:rsidP="00E71FB5">
            <w:pPr>
              <w:pStyle w:val="NoSpacing"/>
              <w:jc w:val="right"/>
              <w:rPr>
                <w:rFonts w:cs="Arial"/>
                <w:szCs w:val="20"/>
              </w:rPr>
            </w:pPr>
            <w:r w:rsidRPr="00730DE4">
              <w:rPr>
                <w:rFonts w:cs="Arial"/>
                <w:szCs w:val="20"/>
              </w:rPr>
              <w:t>53%</w:t>
            </w:r>
          </w:p>
        </w:tc>
        <w:tc>
          <w:tcPr>
            <w:tcW w:w="522" w:type="pct"/>
            <w:vAlign w:val="bottom"/>
          </w:tcPr>
          <w:p w14:paraId="2AF8B616" w14:textId="77777777" w:rsidR="00FA2FF9" w:rsidRPr="00730DE4" w:rsidRDefault="00FA2FF9" w:rsidP="00E71FB5">
            <w:pPr>
              <w:pStyle w:val="NoSpacing"/>
              <w:jc w:val="right"/>
              <w:rPr>
                <w:rFonts w:cs="Arial"/>
                <w:szCs w:val="20"/>
              </w:rPr>
            </w:pPr>
            <w:r w:rsidRPr="00730DE4">
              <w:rPr>
                <w:rFonts w:cs="Arial"/>
                <w:szCs w:val="20"/>
              </w:rPr>
              <w:t>30%</w:t>
            </w:r>
          </w:p>
        </w:tc>
        <w:tc>
          <w:tcPr>
            <w:tcW w:w="497" w:type="pct"/>
            <w:vAlign w:val="bottom"/>
          </w:tcPr>
          <w:p w14:paraId="226E3FA3" w14:textId="77777777" w:rsidR="00FA2FF9" w:rsidRPr="00730DE4" w:rsidRDefault="00FA2FF9" w:rsidP="00E71FB5">
            <w:pPr>
              <w:pStyle w:val="NoSpacing"/>
              <w:jc w:val="right"/>
              <w:rPr>
                <w:rFonts w:cs="Arial"/>
                <w:szCs w:val="20"/>
              </w:rPr>
            </w:pPr>
            <w:r w:rsidRPr="00730DE4">
              <w:rPr>
                <w:rFonts w:cs="Arial"/>
                <w:szCs w:val="20"/>
              </w:rPr>
              <w:t>1%</w:t>
            </w:r>
          </w:p>
        </w:tc>
        <w:tc>
          <w:tcPr>
            <w:tcW w:w="494" w:type="pct"/>
            <w:vAlign w:val="bottom"/>
          </w:tcPr>
          <w:p w14:paraId="7A8C1B4A" w14:textId="77777777" w:rsidR="00FA2FF9" w:rsidRPr="00730DE4" w:rsidRDefault="00FA2FF9" w:rsidP="00E71FB5">
            <w:pPr>
              <w:pStyle w:val="NoSpacing"/>
              <w:jc w:val="right"/>
            </w:pPr>
          </w:p>
        </w:tc>
        <w:tc>
          <w:tcPr>
            <w:tcW w:w="457" w:type="pct"/>
            <w:vAlign w:val="bottom"/>
          </w:tcPr>
          <w:p w14:paraId="6BFFE63C" w14:textId="77777777" w:rsidR="00FA2FF9" w:rsidRPr="00730DE4" w:rsidRDefault="00FA2FF9" w:rsidP="00E71FB5">
            <w:pPr>
              <w:pStyle w:val="NoSpacing"/>
              <w:jc w:val="right"/>
              <w:rPr>
                <w:rFonts w:cs="Arial"/>
                <w:szCs w:val="20"/>
              </w:rPr>
            </w:pPr>
            <w:r w:rsidRPr="00730DE4">
              <w:rPr>
                <w:rFonts w:cs="Arial"/>
                <w:szCs w:val="20"/>
              </w:rPr>
              <w:t>7%</w:t>
            </w:r>
          </w:p>
        </w:tc>
        <w:tc>
          <w:tcPr>
            <w:tcW w:w="591" w:type="pct"/>
            <w:vAlign w:val="bottom"/>
          </w:tcPr>
          <w:p w14:paraId="53306B7B" w14:textId="77777777" w:rsidR="00FA2FF9" w:rsidRPr="00730DE4" w:rsidRDefault="00FA2FF9" w:rsidP="00E71FB5">
            <w:pPr>
              <w:pStyle w:val="NoSpacing"/>
              <w:jc w:val="right"/>
            </w:pPr>
          </w:p>
        </w:tc>
        <w:tc>
          <w:tcPr>
            <w:tcW w:w="591" w:type="pct"/>
            <w:vAlign w:val="bottom"/>
          </w:tcPr>
          <w:p w14:paraId="039825E1" w14:textId="77777777" w:rsidR="00FA2FF9" w:rsidRPr="00730DE4" w:rsidRDefault="00FA2FF9" w:rsidP="00E71FB5">
            <w:pPr>
              <w:pStyle w:val="NoSpacing"/>
              <w:jc w:val="right"/>
            </w:pPr>
          </w:p>
        </w:tc>
        <w:tc>
          <w:tcPr>
            <w:tcW w:w="591" w:type="pct"/>
            <w:vAlign w:val="bottom"/>
          </w:tcPr>
          <w:p w14:paraId="7EF1D431" w14:textId="77777777" w:rsidR="00FA2FF9" w:rsidRPr="00730DE4" w:rsidRDefault="00FA2FF9" w:rsidP="00E71FB5">
            <w:pPr>
              <w:pStyle w:val="NoSpacing"/>
              <w:jc w:val="right"/>
              <w:rPr>
                <w:rFonts w:cs="Arial"/>
                <w:szCs w:val="20"/>
              </w:rPr>
            </w:pPr>
            <w:r w:rsidRPr="00730DE4">
              <w:rPr>
                <w:rFonts w:cs="Arial"/>
                <w:szCs w:val="20"/>
              </w:rPr>
              <w:t>6%</w:t>
            </w:r>
          </w:p>
        </w:tc>
      </w:tr>
      <w:tr w:rsidR="002D6779" w:rsidRPr="00730DE4" w14:paraId="34195589" w14:textId="77777777" w:rsidTr="0083114A">
        <w:trPr>
          <w:cnfStyle w:val="000000100000" w:firstRow="0" w:lastRow="0" w:firstColumn="0" w:lastColumn="0" w:oddVBand="0" w:evenVBand="0" w:oddHBand="1" w:evenHBand="0" w:firstRowFirstColumn="0" w:firstRowLastColumn="0" w:lastRowFirstColumn="0" w:lastRowLastColumn="0"/>
        </w:trPr>
        <w:tc>
          <w:tcPr>
            <w:tcW w:w="356" w:type="pct"/>
          </w:tcPr>
          <w:p w14:paraId="59E9CCD5" w14:textId="77777777" w:rsidR="00FA2FF9" w:rsidRPr="00730DE4" w:rsidRDefault="00FA2FF9" w:rsidP="00E97A82">
            <w:pPr>
              <w:pStyle w:val="NoSpacing"/>
              <w:rPr>
                <w:rFonts w:cs="Arial"/>
                <w:szCs w:val="20"/>
              </w:rPr>
            </w:pPr>
            <w:r w:rsidRPr="00730DE4">
              <w:rPr>
                <w:rFonts w:cs="Arial"/>
                <w:szCs w:val="20"/>
              </w:rPr>
              <w:t>2015–16</w:t>
            </w:r>
          </w:p>
        </w:tc>
        <w:tc>
          <w:tcPr>
            <w:tcW w:w="489" w:type="pct"/>
          </w:tcPr>
          <w:p w14:paraId="7963DAD9" w14:textId="77777777" w:rsidR="00FA2FF9" w:rsidRPr="00730DE4" w:rsidRDefault="00FA2FF9" w:rsidP="00E97A82">
            <w:pPr>
              <w:pStyle w:val="NoSpacing"/>
              <w:rPr>
                <w:rFonts w:cs="Arial"/>
                <w:szCs w:val="20"/>
              </w:rPr>
            </w:pPr>
            <w:r w:rsidRPr="00730DE4">
              <w:rPr>
                <w:rFonts w:cs="Arial"/>
                <w:szCs w:val="20"/>
              </w:rPr>
              <w:t>Headcount</w:t>
            </w:r>
          </w:p>
        </w:tc>
        <w:tc>
          <w:tcPr>
            <w:tcW w:w="411" w:type="pct"/>
            <w:vAlign w:val="bottom"/>
          </w:tcPr>
          <w:p w14:paraId="06CF9E03" w14:textId="77777777" w:rsidR="00FA2FF9" w:rsidRPr="00730DE4" w:rsidRDefault="00FA2FF9" w:rsidP="00E71FB5">
            <w:pPr>
              <w:pStyle w:val="NoSpacing"/>
              <w:jc w:val="right"/>
              <w:rPr>
                <w:rFonts w:cs="Arial"/>
                <w:szCs w:val="20"/>
              </w:rPr>
            </w:pPr>
            <w:r w:rsidRPr="00730DE4">
              <w:rPr>
                <w:rFonts w:cs="Arial"/>
                <w:szCs w:val="20"/>
              </w:rPr>
              <w:t>4703</w:t>
            </w:r>
          </w:p>
        </w:tc>
        <w:tc>
          <w:tcPr>
            <w:tcW w:w="522" w:type="pct"/>
            <w:vAlign w:val="bottom"/>
          </w:tcPr>
          <w:p w14:paraId="65ED9136" w14:textId="77777777" w:rsidR="00FA2FF9" w:rsidRPr="00730DE4" w:rsidRDefault="00FA2FF9" w:rsidP="00E71FB5">
            <w:pPr>
              <w:pStyle w:val="NoSpacing"/>
              <w:jc w:val="right"/>
              <w:rPr>
                <w:rFonts w:cs="Arial"/>
                <w:szCs w:val="20"/>
              </w:rPr>
            </w:pPr>
            <w:r w:rsidRPr="00730DE4">
              <w:rPr>
                <w:rFonts w:cs="Arial"/>
                <w:szCs w:val="20"/>
              </w:rPr>
              <w:t>85</w:t>
            </w:r>
          </w:p>
        </w:tc>
        <w:tc>
          <w:tcPr>
            <w:tcW w:w="497" w:type="pct"/>
            <w:vAlign w:val="bottom"/>
          </w:tcPr>
          <w:p w14:paraId="65E8A054" w14:textId="77777777" w:rsidR="00FA2FF9" w:rsidRPr="00730DE4" w:rsidRDefault="00FA2FF9" w:rsidP="00E71FB5">
            <w:pPr>
              <w:pStyle w:val="NoSpacing"/>
              <w:jc w:val="right"/>
              <w:rPr>
                <w:rFonts w:cs="Arial"/>
                <w:szCs w:val="20"/>
              </w:rPr>
            </w:pPr>
            <w:r w:rsidRPr="00730DE4">
              <w:rPr>
                <w:rFonts w:cs="Arial"/>
                <w:szCs w:val="20"/>
              </w:rPr>
              <w:t>106</w:t>
            </w:r>
          </w:p>
        </w:tc>
        <w:tc>
          <w:tcPr>
            <w:tcW w:w="494" w:type="pct"/>
            <w:vAlign w:val="bottom"/>
          </w:tcPr>
          <w:p w14:paraId="285B9CF2" w14:textId="77777777" w:rsidR="00FA2FF9" w:rsidRPr="00730DE4" w:rsidRDefault="00FA2FF9" w:rsidP="00E71FB5">
            <w:pPr>
              <w:pStyle w:val="NoSpacing"/>
              <w:jc w:val="right"/>
            </w:pPr>
          </w:p>
        </w:tc>
        <w:tc>
          <w:tcPr>
            <w:tcW w:w="457" w:type="pct"/>
            <w:vAlign w:val="bottom"/>
          </w:tcPr>
          <w:p w14:paraId="5DA0AF01" w14:textId="77777777" w:rsidR="00FA2FF9" w:rsidRPr="00730DE4" w:rsidRDefault="00FA2FF9" w:rsidP="00E71FB5">
            <w:pPr>
              <w:pStyle w:val="NoSpacing"/>
              <w:jc w:val="right"/>
              <w:rPr>
                <w:rFonts w:cs="Arial"/>
                <w:szCs w:val="20"/>
              </w:rPr>
            </w:pPr>
            <w:r w:rsidRPr="00730DE4">
              <w:rPr>
                <w:rFonts w:cs="Arial"/>
                <w:szCs w:val="20"/>
              </w:rPr>
              <w:t>718</w:t>
            </w:r>
          </w:p>
        </w:tc>
        <w:tc>
          <w:tcPr>
            <w:tcW w:w="591" w:type="pct"/>
            <w:vAlign w:val="bottom"/>
          </w:tcPr>
          <w:p w14:paraId="786690F4" w14:textId="77777777" w:rsidR="00FA2FF9" w:rsidRPr="00730DE4" w:rsidRDefault="00FA2FF9" w:rsidP="00E71FB5">
            <w:pPr>
              <w:pStyle w:val="NoSpacing"/>
              <w:jc w:val="right"/>
            </w:pPr>
          </w:p>
        </w:tc>
        <w:tc>
          <w:tcPr>
            <w:tcW w:w="591" w:type="pct"/>
            <w:vAlign w:val="bottom"/>
          </w:tcPr>
          <w:p w14:paraId="11D3C772" w14:textId="77777777" w:rsidR="00FA2FF9" w:rsidRPr="00730DE4" w:rsidRDefault="00FA2FF9" w:rsidP="00E71FB5">
            <w:pPr>
              <w:pStyle w:val="NoSpacing"/>
              <w:jc w:val="right"/>
            </w:pPr>
          </w:p>
        </w:tc>
        <w:tc>
          <w:tcPr>
            <w:tcW w:w="591" w:type="pct"/>
            <w:vAlign w:val="bottom"/>
          </w:tcPr>
          <w:p w14:paraId="04971BFC" w14:textId="77777777" w:rsidR="00FA2FF9" w:rsidRPr="00730DE4" w:rsidRDefault="00FA2FF9" w:rsidP="00E71FB5">
            <w:pPr>
              <w:pStyle w:val="NoSpacing"/>
              <w:jc w:val="right"/>
              <w:rPr>
                <w:rFonts w:cs="Arial"/>
                <w:szCs w:val="20"/>
              </w:rPr>
            </w:pPr>
            <w:r w:rsidRPr="00730DE4">
              <w:rPr>
                <w:rFonts w:cs="Arial"/>
                <w:szCs w:val="20"/>
              </w:rPr>
              <w:t>525</w:t>
            </w:r>
          </w:p>
        </w:tc>
      </w:tr>
      <w:tr w:rsidR="000A65A9" w:rsidRPr="00730DE4" w14:paraId="495831D1" w14:textId="77777777" w:rsidTr="0083114A">
        <w:tc>
          <w:tcPr>
            <w:tcW w:w="356" w:type="pct"/>
          </w:tcPr>
          <w:p w14:paraId="4AF32B15" w14:textId="77777777" w:rsidR="00FA2FF9" w:rsidRPr="00730DE4" w:rsidRDefault="00FA2FF9" w:rsidP="00E97A82">
            <w:pPr>
              <w:pStyle w:val="NoSpacing"/>
              <w:rPr>
                <w:rFonts w:cs="Arial"/>
                <w:szCs w:val="20"/>
              </w:rPr>
            </w:pPr>
            <w:r w:rsidRPr="00730DE4">
              <w:rPr>
                <w:rFonts w:cs="Arial"/>
                <w:szCs w:val="20"/>
              </w:rPr>
              <w:t>2015–16</w:t>
            </w:r>
          </w:p>
        </w:tc>
        <w:tc>
          <w:tcPr>
            <w:tcW w:w="489" w:type="pct"/>
          </w:tcPr>
          <w:p w14:paraId="6DC894F3" w14:textId="77777777" w:rsidR="00FA2FF9" w:rsidRPr="00730DE4" w:rsidRDefault="00FA2FF9" w:rsidP="00E97A82">
            <w:pPr>
              <w:pStyle w:val="NoSpacing"/>
              <w:rPr>
                <w:rFonts w:cs="Arial"/>
                <w:szCs w:val="20"/>
              </w:rPr>
            </w:pPr>
            <w:r w:rsidRPr="00730DE4">
              <w:rPr>
                <w:rFonts w:cs="Arial"/>
                <w:szCs w:val="20"/>
              </w:rPr>
              <w:t>% of TMR</w:t>
            </w:r>
          </w:p>
        </w:tc>
        <w:tc>
          <w:tcPr>
            <w:tcW w:w="411" w:type="pct"/>
            <w:vAlign w:val="bottom"/>
          </w:tcPr>
          <w:p w14:paraId="430723B1" w14:textId="77777777" w:rsidR="00FA2FF9" w:rsidRPr="00730DE4" w:rsidRDefault="00FA2FF9" w:rsidP="00E71FB5">
            <w:pPr>
              <w:pStyle w:val="NoSpacing"/>
              <w:jc w:val="right"/>
              <w:rPr>
                <w:rFonts w:cs="Arial"/>
                <w:szCs w:val="20"/>
              </w:rPr>
            </w:pPr>
            <w:r w:rsidRPr="00730DE4">
              <w:rPr>
                <w:rFonts w:cs="Arial"/>
                <w:szCs w:val="20"/>
              </w:rPr>
              <w:t>53%</w:t>
            </w:r>
          </w:p>
        </w:tc>
        <w:tc>
          <w:tcPr>
            <w:tcW w:w="522" w:type="pct"/>
            <w:vAlign w:val="bottom"/>
          </w:tcPr>
          <w:p w14:paraId="03F1090F" w14:textId="77777777" w:rsidR="00FA2FF9" w:rsidRPr="00730DE4" w:rsidRDefault="00FA2FF9" w:rsidP="00E71FB5">
            <w:pPr>
              <w:pStyle w:val="NoSpacing"/>
              <w:jc w:val="right"/>
              <w:rPr>
                <w:rFonts w:cs="Arial"/>
                <w:szCs w:val="20"/>
              </w:rPr>
            </w:pPr>
            <w:r w:rsidRPr="00730DE4">
              <w:rPr>
                <w:rFonts w:cs="Arial"/>
                <w:szCs w:val="20"/>
              </w:rPr>
              <w:t>27%</w:t>
            </w:r>
          </w:p>
        </w:tc>
        <w:tc>
          <w:tcPr>
            <w:tcW w:w="497" w:type="pct"/>
            <w:vAlign w:val="bottom"/>
          </w:tcPr>
          <w:p w14:paraId="50F52A10" w14:textId="77777777" w:rsidR="00FA2FF9" w:rsidRPr="00730DE4" w:rsidRDefault="00FA2FF9" w:rsidP="00E71FB5">
            <w:pPr>
              <w:pStyle w:val="NoSpacing"/>
              <w:jc w:val="right"/>
              <w:rPr>
                <w:rFonts w:cs="Arial"/>
                <w:szCs w:val="20"/>
              </w:rPr>
            </w:pPr>
            <w:r w:rsidRPr="00730DE4">
              <w:rPr>
                <w:rFonts w:cs="Arial"/>
                <w:szCs w:val="20"/>
              </w:rPr>
              <w:t>1%</w:t>
            </w:r>
          </w:p>
        </w:tc>
        <w:tc>
          <w:tcPr>
            <w:tcW w:w="494" w:type="pct"/>
            <w:vAlign w:val="bottom"/>
          </w:tcPr>
          <w:p w14:paraId="685B88B1" w14:textId="77777777" w:rsidR="00FA2FF9" w:rsidRPr="00730DE4" w:rsidRDefault="00FA2FF9" w:rsidP="00E71FB5">
            <w:pPr>
              <w:pStyle w:val="NoSpacing"/>
              <w:jc w:val="right"/>
            </w:pPr>
          </w:p>
        </w:tc>
        <w:tc>
          <w:tcPr>
            <w:tcW w:w="457" w:type="pct"/>
            <w:vAlign w:val="bottom"/>
          </w:tcPr>
          <w:p w14:paraId="1A97E930" w14:textId="77777777" w:rsidR="00FA2FF9" w:rsidRPr="00730DE4" w:rsidRDefault="00FA2FF9" w:rsidP="00E71FB5">
            <w:pPr>
              <w:pStyle w:val="NoSpacing"/>
              <w:jc w:val="right"/>
              <w:rPr>
                <w:rFonts w:cs="Arial"/>
                <w:szCs w:val="20"/>
              </w:rPr>
            </w:pPr>
            <w:r w:rsidRPr="00730DE4">
              <w:rPr>
                <w:rFonts w:cs="Arial"/>
                <w:szCs w:val="20"/>
              </w:rPr>
              <w:t>8%</w:t>
            </w:r>
          </w:p>
        </w:tc>
        <w:tc>
          <w:tcPr>
            <w:tcW w:w="591" w:type="pct"/>
            <w:vAlign w:val="bottom"/>
          </w:tcPr>
          <w:p w14:paraId="50D985B7" w14:textId="77777777" w:rsidR="00FA2FF9" w:rsidRPr="00730DE4" w:rsidRDefault="00FA2FF9" w:rsidP="00E71FB5">
            <w:pPr>
              <w:pStyle w:val="NoSpacing"/>
              <w:jc w:val="right"/>
            </w:pPr>
          </w:p>
        </w:tc>
        <w:tc>
          <w:tcPr>
            <w:tcW w:w="591" w:type="pct"/>
            <w:vAlign w:val="bottom"/>
          </w:tcPr>
          <w:p w14:paraId="43EBAEEC" w14:textId="77777777" w:rsidR="00FA2FF9" w:rsidRPr="00730DE4" w:rsidRDefault="00FA2FF9" w:rsidP="00E71FB5">
            <w:pPr>
              <w:pStyle w:val="NoSpacing"/>
              <w:jc w:val="right"/>
            </w:pPr>
          </w:p>
        </w:tc>
        <w:tc>
          <w:tcPr>
            <w:tcW w:w="591" w:type="pct"/>
            <w:vAlign w:val="bottom"/>
          </w:tcPr>
          <w:p w14:paraId="43A26DB9" w14:textId="77777777" w:rsidR="00FA2FF9" w:rsidRPr="00730DE4" w:rsidRDefault="00FA2FF9" w:rsidP="00E71FB5">
            <w:pPr>
              <w:pStyle w:val="NoSpacing"/>
              <w:jc w:val="right"/>
              <w:rPr>
                <w:rFonts w:cs="Arial"/>
                <w:szCs w:val="20"/>
              </w:rPr>
            </w:pPr>
            <w:r w:rsidRPr="00730DE4">
              <w:rPr>
                <w:rFonts w:cs="Arial"/>
                <w:szCs w:val="20"/>
              </w:rPr>
              <w:t>6%</w:t>
            </w:r>
          </w:p>
        </w:tc>
      </w:tr>
      <w:tr w:rsidR="002D6779" w:rsidRPr="00730DE4" w14:paraId="4B5C46CB" w14:textId="77777777" w:rsidTr="0083114A">
        <w:trPr>
          <w:cnfStyle w:val="000000100000" w:firstRow="0" w:lastRow="0" w:firstColumn="0" w:lastColumn="0" w:oddVBand="0" w:evenVBand="0" w:oddHBand="1" w:evenHBand="0" w:firstRowFirstColumn="0" w:firstRowLastColumn="0" w:lastRowFirstColumn="0" w:lastRowLastColumn="0"/>
        </w:trPr>
        <w:tc>
          <w:tcPr>
            <w:tcW w:w="356" w:type="pct"/>
          </w:tcPr>
          <w:p w14:paraId="577BF012" w14:textId="77777777" w:rsidR="00FA2FF9" w:rsidRPr="00730DE4" w:rsidRDefault="00FA2FF9" w:rsidP="00E97A82">
            <w:pPr>
              <w:pStyle w:val="NoSpacing"/>
              <w:rPr>
                <w:rFonts w:cs="Arial"/>
                <w:szCs w:val="20"/>
              </w:rPr>
            </w:pPr>
            <w:r w:rsidRPr="00730DE4">
              <w:rPr>
                <w:rFonts w:cs="Arial"/>
                <w:szCs w:val="20"/>
              </w:rPr>
              <w:t>2014–15</w:t>
            </w:r>
          </w:p>
        </w:tc>
        <w:tc>
          <w:tcPr>
            <w:tcW w:w="489" w:type="pct"/>
          </w:tcPr>
          <w:p w14:paraId="48B5D7E0" w14:textId="77777777" w:rsidR="00FA2FF9" w:rsidRPr="00730DE4" w:rsidRDefault="00FA2FF9" w:rsidP="00E97A82">
            <w:pPr>
              <w:pStyle w:val="NoSpacing"/>
              <w:rPr>
                <w:rFonts w:cs="Arial"/>
                <w:szCs w:val="20"/>
              </w:rPr>
            </w:pPr>
            <w:r w:rsidRPr="00730DE4">
              <w:rPr>
                <w:rFonts w:cs="Arial"/>
                <w:szCs w:val="20"/>
              </w:rPr>
              <w:t>Headcount</w:t>
            </w:r>
          </w:p>
        </w:tc>
        <w:tc>
          <w:tcPr>
            <w:tcW w:w="411" w:type="pct"/>
            <w:vAlign w:val="bottom"/>
          </w:tcPr>
          <w:p w14:paraId="03279774" w14:textId="77777777" w:rsidR="00FA2FF9" w:rsidRPr="00730DE4" w:rsidRDefault="00FA2FF9" w:rsidP="00E71FB5">
            <w:pPr>
              <w:pStyle w:val="NoSpacing"/>
              <w:jc w:val="right"/>
              <w:rPr>
                <w:rFonts w:cs="Arial"/>
                <w:szCs w:val="20"/>
              </w:rPr>
            </w:pPr>
            <w:r w:rsidRPr="00730DE4">
              <w:rPr>
                <w:rFonts w:cs="Arial"/>
                <w:szCs w:val="20"/>
              </w:rPr>
              <w:t>4639</w:t>
            </w:r>
          </w:p>
        </w:tc>
        <w:tc>
          <w:tcPr>
            <w:tcW w:w="522" w:type="pct"/>
            <w:vAlign w:val="bottom"/>
          </w:tcPr>
          <w:p w14:paraId="20E9DFE9" w14:textId="77777777" w:rsidR="00FA2FF9" w:rsidRPr="00730DE4" w:rsidRDefault="00FA2FF9" w:rsidP="00E71FB5">
            <w:pPr>
              <w:pStyle w:val="NoSpacing"/>
              <w:jc w:val="right"/>
              <w:rPr>
                <w:rFonts w:cs="Arial"/>
                <w:szCs w:val="20"/>
              </w:rPr>
            </w:pPr>
            <w:r w:rsidRPr="00730DE4">
              <w:rPr>
                <w:rFonts w:cs="Arial"/>
                <w:szCs w:val="20"/>
              </w:rPr>
              <w:t>78</w:t>
            </w:r>
          </w:p>
        </w:tc>
        <w:tc>
          <w:tcPr>
            <w:tcW w:w="497" w:type="pct"/>
            <w:vAlign w:val="bottom"/>
          </w:tcPr>
          <w:p w14:paraId="473FABEA" w14:textId="77777777" w:rsidR="00FA2FF9" w:rsidRPr="00730DE4" w:rsidRDefault="00FA2FF9" w:rsidP="00E71FB5">
            <w:pPr>
              <w:pStyle w:val="NoSpacing"/>
              <w:jc w:val="right"/>
              <w:rPr>
                <w:rFonts w:cs="Arial"/>
                <w:szCs w:val="20"/>
              </w:rPr>
            </w:pPr>
            <w:r w:rsidRPr="00730DE4">
              <w:rPr>
                <w:rFonts w:cs="Arial"/>
                <w:szCs w:val="20"/>
              </w:rPr>
              <w:t>107</w:t>
            </w:r>
          </w:p>
        </w:tc>
        <w:tc>
          <w:tcPr>
            <w:tcW w:w="494" w:type="pct"/>
            <w:vAlign w:val="bottom"/>
          </w:tcPr>
          <w:p w14:paraId="70B2F850" w14:textId="77777777" w:rsidR="00FA2FF9" w:rsidRPr="00730DE4" w:rsidRDefault="00FA2FF9" w:rsidP="00E71FB5">
            <w:pPr>
              <w:pStyle w:val="NoSpacing"/>
              <w:jc w:val="right"/>
            </w:pPr>
          </w:p>
        </w:tc>
        <w:tc>
          <w:tcPr>
            <w:tcW w:w="457" w:type="pct"/>
            <w:vAlign w:val="bottom"/>
          </w:tcPr>
          <w:p w14:paraId="1CECF9C5" w14:textId="77777777" w:rsidR="00FA2FF9" w:rsidRPr="00730DE4" w:rsidRDefault="00FA2FF9" w:rsidP="00E71FB5">
            <w:pPr>
              <w:pStyle w:val="NoSpacing"/>
              <w:jc w:val="right"/>
              <w:rPr>
                <w:rFonts w:cs="Arial"/>
                <w:szCs w:val="20"/>
              </w:rPr>
            </w:pPr>
            <w:r w:rsidRPr="00730DE4">
              <w:rPr>
                <w:rFonts w:cs="Arial"/>
                <w:szCs w:val="20"/>
              </w:rPr>
              <w:t>771</w:t>
            </w:r>
          </w:p>
        </w:tc>
        <w:tc>
          <w:tcPr>
            <w:tcW w:w="591" w:type="pct"/>
            <w:vAlign w:val="bottom"/>
          </w:tcPr>
          <w:p w14:paraId="4A36B2D6" w14:textId="77777777" w:rsidR="00FA2FF9" w:rsidRPr="00730DE4" w:rsidRDefault="00FA2FF9" w:rsidP="00E71FB5">
            <w:pPr>
              <w:pStyle w:val="NoSpacing"/>
              <w:jc w:val="right"/>
            </w:pPr>
          </w:p>
        </w:tc>
        <w:tc>
          <w:tcPr>
            <w:tcW w:w="591" w:type="pct"/>
            <w:vAlign w:val="bottom"/>
          </w:tcPr>
          <w:p w14:paraId="2F77A564" w14:textId="77777777" w:rsidR="00FA2FF9" w:rsidRPr="00730DE4" w:rsidRDefault="00FA2FF9" w:rsidP="00E71FB5">
            <w:pPr>
              <w:pStyle w:val="NoSpacing"/>
              <w:jc w:val="right"/>
            </w:pPr>
          </w:p>
        </w:tc>
        <w:tc>
          <w:tcPr>
            <w:tcW w:w="591" w:type="pct"/>
            <w:vAlign w:val="bottom"/>
          </w:tcPr>
          <w:p w14:paraId="1C10CB84" w14:textId="77777777" w:rsidR="00FA2FF9" w:rsidRPr="00730DE4" w:rsidRDefault="00FA2FF9" w:rsidP="00E71FB5">
            <w:pPr>
              <w:pStyle w:val="NoSpacing"/>
              <w:jc w:val="right"/>
              <w:rPr>
                <w:rFonts w:cs="Arial"/>
                <w:szCs w:val="20"/>
              </w:rPr>
            </w:pPr>
            <w:r w:rsidRPr="00730DE4">
              <w:rPr>
                <w:rFonts w:cs="Arial"/>
                <w:szCs w:val="20"/>
              </w:rPr>
              <w:t>535</w:t>
            </w:r>
          </w:p>
        </w:tc>
      </w:tr>
      <w:tr w:rsidR="000A65A9" w:rsidRPr="00730DE4" w14:paraId="47CC1878" w14:textId="77777777" w:rsidTr="0083114A">
        <w:tc>
          <w:tcPr>
            <w:tcW w:w="356" w:type="pct"/>
          </w:tcPr>
          <w:p w14:paraId="2E14AA4C" w14:textId="77777777" w:rsidR="00FA2FF9" w:rsidRPr="00730DE4" w:rsidRDefault="00FA2FF9" w:rsidP="00E97A82">
            <w:pPr>
              <w:pStyle w:val="NoSpacing"/>
              <w:rPr>
                <w:rFonts w:cs="Arial"/>
                <w:szCs w:val="20"/>
              </w:rPr>
            </w:pPr>
            <w:r w:rsidRPr="00730DE4">
              <w:rPr>
                <w:rFonts w:cs="Arial"/>
                <w:szCs w:val="20"/>
              </w:rPr>
              <w:t>2014–15</w:t>
            </w:r>
          </w:p>
        </w:tc>
        <w:tc>
          <w:tcPr>
            <w:tcW w:w="489" w:type="pct"/>
          </w:tcPr>
          <w:p w14:paraId="69D5E333" w14:textId="77777777" w:rsidR="00FA2FF9" w:rsidRPr="00730DE4" w:rsidRDefault="00FA2FF9" w:rsidP="00E97A82">
            <w:pPr>
              <w:pStyle w:val="NoSpacing"/>
              <w:rPr>
                <w:rFonts w:cs="Arial"/>
                <w:szCs w:val="20"/>
              </w:rPr>
            </w:pPr>
            <w:r w:rsidRPr="00730DE4">
              <w:rPr>
                <w:rFonts w:cs="Arial"/>
                <w:szCs w:val="20"/>
              </w:rPr>
              <w:t>% of TMR</w:t>
            </w:r>
          </w:p>
        </w:tc>
        <w:tc>
          <w:tcPr>
            <w:tcW w:w="411" w:type="pct"/>
            <w:vAlign w:val="bottom"/>
          </w:tcPr>
          <w:p w14:paraId="4D7A0134" w14:textId="77777777" w:rsidR="00FA2FF9" w:rsidRPr="00730DE4" w:rsidRDefault="00FA2FF9" w:rsidP="00E71FB5">
            <w:pPr>
              <w:pStyle w:val="NoSpacing"/>
              <w:jc w:val="right"/>
              <w:rPr>
                <w:rFonts w:cs="Arial"/>
                <w:szCs w:val="20"/>
              </w:rPr>
            </w:pPr>
            <w:r w:rsidRPr="00730DE4">
              <w:rPr>
                <w:rFonts w:cs="Arial"/>
                <w:szCs w:val="20"/>
              </w:rPr>
              <w:t>53%</w:t>
            </w:r>
          </w:p>
        </w:tc>
        <w:tc>
          <w:tcPr>
            <w:tcW w:w="522" w:type="pct"/>
            <w:vAlign w:val="bottom"/>
          </w:tcPr>
          <w:p w14:paraId="5C8D1463" w14:textId="77777777" w:rsidR="00FA2FF9" w:rsidRPr="00730DE4" w:rsidRDefault="00FA2FF9" w:rsidP="00E71FB5">
            <w:pPr>
              <w:pStyle w:val="NoSpacing"/>
              <w:jc w:val="right"/>
              <w:rPr>
                <w:rFonts w:cs="Arial"/>
                <w:szCs w:val="20"/>
              </w:rPr>
            </w:pPr>
            <w:r w:rsidRPr="00730DE4">
              <w:rPr>
                <w:rFonts w:cs="Arial"/>
                <w:szCs w:val="20"/>
              </w:rPr>
              <w:t>27%</w:t>
            </w:r>
          </w:p>
        </w:tc>
        <w:tc>
          <w:tcPr>
            <w:tcW w:w="497" w:type="pct"/>
            <w:vAlign w:val="bottom"/>
          </w:tcPr>
          <w:p w14:paraId="2B53F468" w14:textId="77777777" w:rsidR="00FA2FF9" w:rsidRPr="00730DE4" w:rsidRDefault="00FA2FF9" w:rsidP="00E71FB5">
            <w:pPr>
              <w:pStyle w:val="NoSpacing"/>
              <w:jc w:val="right"/>
              <w:rPr>
                <w:rFonts w:cs="Arial"/>
                <w:szCs w:val="20"/>
              </w:rPr>
            </w:pPr>
            <w:r w:rsidRPr="00730DE4">
              <w:rPr>
                <w:rFonts w:cs="Arial"/>
                <w:szCs w:val="20"/>
              </w:rPr>
              <w:t>1%</w:t>
            </w:r>
          </w:p>
        </w:tc>
        <w:tc>
          <w:tcPr>
            <w:tcW w:w="494" w:type="pct"/>
            <w:vAlign w:val="bottom"/>
          </w:tcPr>
          <w:p w14:paraId="4ED3F679" w14:textId="77777777" w:rsidR="00FA2FF9" w:rsidRPr="00730DE4" w:rsidRDefault="00FA2FF9" w:rsidP="00E71FB5">
            <w:pPr>
              <w:pStyle w:val="NoSpacing"/>
              <w:jc w:val="right"/>
            </w:pPr>
          </w:p>
        </w:tc>
        <w:tc>
          <w:tcPr>
            <w:tcW w:w="457" w:type="pct"/>
            <w:vAlign w:val="bottom"/>
          </w:tcPr>
          <w:p w14:paraId="34A35EBE" w14:textId="77777777" w:rsidR="00FA2FF9" w:rsidRPr="00730DE4" w:rsidRDefault="00FA2FF9" w:rsidP="00E71FB5">
            <w:pPr>
              <w:pStyle w:val="NoSpacing"/>
              <w:jc w:val="right"/>
              <w:rPr>
                <w:rFonts w:cs="Arial"/>
                <w:szCs w:val="20"/>
              </w:rPr>
            </w:pPr>
            <w:r w:rsidRPr="00730DE4">
              <w:rPr>
                <w:rFonts w:cs="Arial"/>
                <w:szCs w:val="20"/>
              </w:rPr>
              <w:t>9%</w:t>
            </w:r>
          </w:p>
        </w:tc>
        <w:tc>
          <w:tcPr>
            <w:tcW w:w="591" w:type="pct"/>
            <w:vAlign w:val="bottom"/>
          </w:tcPr>
          <w:p w14:paraId="7A76703E" w14:textId="77777777" w:rsidR="00FA2FF9" w:rsidRPr="00730DE4" w:rsidRDefault="00FA2FF9" w:rsidP="00E71FB5">
            <w:pPr>
              <w:pStyle w:val="NoSpacing"/>
              <w:jc w:val="right"/>
            </w:pPr>
          </w:p>
        </w:tc>
        <w:tc>
          <w:tcPr>
            <w:tcW w:w="591" w:type="pct"/>
            <w:vAlign w:val="bottom"/>
          </w:tcPr>
          <w:p w14:paraId="2CBCF6D5" w14:textId="77777777" w:rsidR="00FA2FF9" w:rsidRPr="00730DE4" w:rsidRDefault="00FA2FF9" w:rsidP="00E71FB5">
            <w:pPr>
              <w:pStyle w:val="NoSpacing"/>
              <w:jc w:val="right"/>
            </w:pPr>
          </w:p>
        </w:tc>
        <w:tc>
          <w:tcPr>
            <w:tcW w:w="591" w:type="pct"/>
            <w:vAlign w:val="bottom"/>
          </w:tcPr>
          <w:p w14:paraId="68560A0A" w14:textId="77777777" w:rsidR="00FA2FF9" w:rsidRPr="00730DE4" w:rsidRDefault="00FA2FF9" w:rsidP="00E71FB5">
            <w:pPr>
              <w:pStyle w:val="NoSpacing"/>
              <w:jc w:val="right"/>
              <w:rPr>
                <w:rFonts w:cs="Arial"/>
                <w:szCs w:val="20"/>
              </w:rPr>
            </w:pPr>
            <w:r w:rsidRPr="00730DE4">
              <w:rPr>
                <w:rFonts w:cs="Arial"/>
                <w:szCs w:val="20"/>
              </w:rPr>
              <w:t>6%</w:t>
            </w:r>
          </w:p>
        </w:tc>
      </w:tr>
    </w:tbl>
    <w:p w14:paraId="7E5E6790" w14:textId="77777777" w:rsidR="00FA2FF9" w:rsidRPr="00730DE4" w:rsidRDefault="00FA2FF9" w:rsidP="00CE5AC2">
      <w:pPr>
        <w:pStyle w:val="Caption"/>
      </w:pPr>
      <w:r w:rsidRPr="00730DE4">
        <w:t>*** Figures includes QGCDG data.</w:t>
      </w:r>
    </w:p>
    <w:p w14:paraId="06B7EB70" w14:textId="77777777" w:rsidR="00FA2FF9" w:rsidRPr="00730DE4" w:rsidRDefault="00FA2FF9" w:rsidP="0083114A">
      <w:pPr>
        <w:pStyle w:val="Caption"/>
      </w:pPr>
      <w:r w:rsidRPr="00730DE4">
        <w:t>1 The Women in Leadership Roles figure only includes employees at classification Senior Officers = Employees classified as SO or s122/s155SO and Senior Executive Service and Chief Executives = Employees classified as SES, CEO, s122/s155 SES or s122/s155CEO as per 2023 Annual Reporting requirements set out in Section 15. Previous years' figures included Maritime Safety Queensland equivalent salary level employees.</w:t>
      </w:r>
    </w:p>
    <w:p w14:paraId="58CFDF5C" w14:textId="77777777" w:rsidR="00FA2FF9" w:rsidRPr="00730DE4" w:rsidRDefault="00FA2FF9" w:rsidP="0083114A">
      <w:pPr>
        <w:pStyle w:val="Caption"/>
      </w:pPr>
      <w:r w:rsidRPr="00730DE4">
        <w:t>Data Source: TMR SAP Business Warehouse and Aurion</w:t>
      </w:r>
    </w:p>
    <w:p w14:paraId="1842D00E" w14:textId="77777777" w:rsidR="002D6779" w:rsidRPr="00730DE4" w:rsidRDefault="002D6779" w:rsidP="00BB0F75">
      <w:pPr>
        <w:pStyle w:val="FigureCaption"/>
        <w:sectPr w:rsidR="002D6779" w:rsidRPr="00730DE4" w:rsidSect="00773DE6">
          <w:pgSz w:w="16838" w:h="11906" w:orient="landscape" w:code="9"/>
          <w:pgMar w:top="1134" w:right="1418" w:bottom="1418" w:left="1418" w:header="454" w:footer="454" w:gutter="0"/>
          <w:cols w:space="708"/>
          <w:titlePg/>
          <w:docGrid w:linePitch="360"/>
        </w:sectPr>
      </w:pPr>
    </w:p>
    <w:p w14:paraId="7B92CCB9" w14:textId="77777777" w:rsidR="00FA2FF9" w:rsidRPr="00730DE4" w:rsidRDefault="00FA2FF9" w:rsidP="00BB0F75">
      <w:pPr>
        <w:pStyle w:val="FigureCaption"/>
      </w:pPr>
      <w:r w:rsidRPr="00730DE4">
        <w:t>Table 39: Target group data equal employment opportunities (EEO) at 14 June 2024</w:t>
      </w:r>
      <w:r w:rsidRPr="00730DE4">
        <w:rPr>
          <w:vertAlign w:val="superscript"/>
        </w:rPr>
        <w:t>2</w:t>
      </w:r>
      <w:r w:rsidRPr="00730DE4">
        <w:t>: Gender</w:t>
      </w:r>
    </w:p>
    <w:tbl>
      <w:tblPr>
        <w:tblStyle w:val="TMRDefault"/>
        <w:tblW w:w="5000" w:type="pct"/>
        <w:tblLook w:val="04A0" w:firstRow="1" w:lastRow="0" w:firstColumn="1" w:lastColumn="0" w:noHBand="0" w:noVBand="1"/>
      </w:tblPr>
      <w:tblGrid>
        <w:gridCol w:w="1559"/>
        <w:gridCol w:w="1688"/>
        <w:gridCol w:w="1843"/>
        <w:gridCol w:w="2024"/>
        <w:gridCol w:w="1946"/>
      </w:tblGrid>
      <w:tr w:rsidR="000A65A9" w:rsidRPr="00730DE4" w14:paraId="459B4E84" w14:textId="77777777" w:rsidTr="00E71FB5">
        <w:trPr>
          <w:cnfStyle w:val="100000000000" w:firstRow="1" w:lastRow="0" w:firstColumn="0" w:lastColumn="0" w:oddVBand="0" w:evenVBand="0" w:oddHBand="0" w:evenHBand="0" w:firstRowFirstColumn="0" w:firstRowLastColumn="0" w:lastRowFirstColumn="0" w:lastRowLastColumn="0"/>
          <w:tblHeader/>
        </w:trPr>
        <w:tc>
          <w:tcPr>
            <w:tcW w:w="860" w:type="pct"/>
          </w:tcPr>
          <w:p w14:paraId="49C4DEC6" w14:textId="77777777" w:rsidR="00FA2FF9" w:rsidRPr="00730DE4" w:rsidRDefault="00FA2FF9" w:rsidP="006761E8">
            <w:pPr>
              <w:pStyle w:val="NoSpacing"/>
              <w:rPr>
                <w:color w:val="FFFFFF" w:themeColor="background1"/>
              </w:rPr>
            </w:pPr>
          </w:p>
        </w:tc>
        <w:tc>
          <w:tcPr>
            <w:tcW w:w="931" w:type="pct"/>
          </w:tcPr>
          <w:p w14:paraId="20A33EA7" w14:textId="77777777" w:rsidR="00FA2FF9" w:rsidRPr="00730DE4" w:rsidRDefault="00FA2FF9" w:rsidP="006761E8">
            <w:pPr>
              <w:pStyle w:val="NoSpacing"/>
              <w:rPr>
                <w:color w:val="FFFFFF" w:themeColor="background1"/>
              </w:rPr>
            </w:pPr>
          </w:p>
        </w:tc>
        <w:tc>
          <w:tcPr>
            <w:tcW w:w="1017" w:type="pct"/>
            <w:vAlign w:val="bottom"/>
          </w:tcPr>
          <w:p w14:paraId="31A755A6" w14:textId="77777777" w:rsidR="00FA2FF9" w:rsidRPr="00730DE4" w:rsidRDefault="00FA2FF9" w:rsidP="00393FD1">
            <w:pPr>
              <w:pStyle w:val="NoSpacing"/>
              <w:jc w:val="right"/>
              <w:rPr>
                <w:color w:val="FFFFFF" w:themeColor="background1"/>
              </w:rPr>
            </w:pPr>
            <w:r w:rsidRPr="00730DE4">
              <w:rPr>
                <w:color w:val="FFFFFF" w:themeColor="background1"/>
              </w:rPr>
              <w:t>Man</w:t>
            </w:r>
          </w:p>
        </w:tc>
        <w:tc>
          <w:tcPr>
            <w:tcW w:w="1117" w:type="pct"/>
            <w:vAlign w:val="bottom"/>
          </w:tcPr>
          <w:p w14:paraId="7B8D97FE" w14:textId="77777777" w:rsidR="00FA2FF9" w:rsidRPr="00730DE4" w:rsidRDefault="00FA2FF9" w:rsidP="00393FD1">
            <w:pPr>
              <w:pStyle w:val="NoSpacing"/>
              <w:jc w:val="right"/>
              <w:rPr>
                <w:color w:val="FFFFFF" w:themeColor="background1"/>
              </w:rPr>
            </w:pPr>
            <w:r w:rsidRPr="00730DE4">
              <w:rPr>
                <w:color w:val="FFFFFF" w:themeColor="background1"/>
              </w:rPr>
              <w:t>Woman</w:t>
            </w:r>
          </w:p>
        </w:tc>
        <w:tc>
          <w:tcPr>
            <w:tcW w:w="1074" w:type="pct"/>
            <w:vAlign w:val="bottom"/>
          </w:tcPr>
          <w:p w14:paraId="020CF18D" w14:textId="77777777" w:rsidR="00FA2FF9" w:rsidRPr="00730DE4" w:rsidRDefault="00FA2FF9" w:rsidP="00393FD1">
            <w:pPr>
              <w:pStyle w:val="NoSpacing"/>
              <w:jc w:val="right"/>
              <w:rPr>
                <w:color w:val="FFFFFF" w:themeColor="background1"/>
              </w:rPr>
            </w:pPr>
            <w:r w:rsidRPr="00730DE4">
              <w:rPr>
                <w:color w:val="FFFFFF" w:themeColor="background1"/>
              </w:rPr>
              <w:t>Non-binary</w:t>
            </w:r>
          </w:p>
        </w:tc>
      </w:tr>
      <w:tr w:rsidR="000A65A9" w:rsidRPr="00730DE4" w14:paraId="7B82218A" w14:textId="77777777" w:rsidTr="00E71FB5">
        <w:trPr>
          <w:cnfStyle w:val="000000100000" w:firstRow="0" w:lastRow="0" w:firstColumn="0" w:lastColumn="0" w:oddVBand="0" w:evenVBand="0" w:oddHBand="1" w:evenHBand="0" w:firstRowFirstColumn="0" w:firstRowLastColumn="0" w:lastRowFirstColumn="0" w:lastRowLastColumn="0"/>
        </w:trPr>
        <w:tc>
          <w:tcPr>
            <w:tcW w:w="860" w:type="pct"/>
          </w:tcPr>
          <w:p w14:paraId="722002CE" w14:textId="77777777" w:rsidR="00FA2FF9" w:rsidRPr="00730DE4" w:rsidRDefault="00FA2FF9" w:rsidP="00E97A82">
            <w:pPr>
              <w:pStyle w:val="NoSpacing"/>
            </w:pPr>
            <w:r w:rsidRPr="00730DE4">
              <w:rPr>
                <w:rFonts w:cs="Arial"/>
                <w:szCs w:val="20"/>
              </w:rPr>
              <w:t>2023–24</w:t>
            </w:r>
          </w:p>
        </w:tc>
        <w:tc>
          <w:tcPr>
            <w:tcW w:w="931" w:type="pct"/>
          </w:tcPr>
          <w:p w14:paraId="51189C69" w14:textId="77777777" w:rsidR="00FA2FF9" w:rsidRPr="00730DE4" w:rsidRDefault="00FA2FF9" w:rsidP="00E97A82">
            <w:pPr>
              <w:pStyle w:val="NoSpacing"/>
            </w:pPr>
            <w:r w:rsidRPr="00730DE4">
              <w:rPr>
                <w:rFonts w:cs="Arial"/>
                <w:szCs w:val="20"/>
              </w:rPr>
              <w:t>Headcount</w:t>
            </w:r>
          </w:p>
        </w:tc>
        <w:tc>
          <w:tcPr>
            <w:tcW w:w="1017" w:type="pct"/>
          </w:tcPr>
          <w:p w14:paraId="3835407C" w14:textId="77777777" w:rsidR="00FA2FF9" w:rsidRPr="00730DE4" w:rsidRDefault="00FA2FF9" w:rsidP="00393FD1">
            <w:pPr>
              <w:pStyle w:val="NoSpacing"/>
              <w:jc w:val="right"/>
            </w:pPr>
            <w:r w:rsidRPr="00730DE4">
              <w:t>5381</w:t>
            </w:r>
          </w:p>
        </w:tc>
        <w:tc>
          <w:tcPr>
            <w:tcW w:w="1117" w:type="pct"/>
          </w:tcPr>
          <w:p w14:paraId="6DF7B4CE" w14:textId="77777777" w:rsidR="00FA2FF9" w:rsidRPr="00730DE4" w:rsidRDefault="00FA2FF9" w:rsidP="00393FD1">
            <w:pPr>
              <w:pStyle w:val="NoSpacing"/>
              <w:jc w:val="right"/>
            </w:pPr>
            <w:r w:rsidRPr="00730DE4">
              <w:t>6466</w:t>
            </w:r>
          </w:p>
        </w:tc>
        <w:tc>
          <w:tcPr>
            <w:tcW w:w="1074" w:type="pct"/>
          </w:tcPr>
          <w:p w14:paraId="52E021EB" w14:textId="77777777" w:rsidR="00FA2FF9" w:rsidRPr="00730DE4" w:rsidRDefault="00FA2FF9" w:rsidP="00393FD1">
            <w:pPr>
              <w:pStyle w:val="NoSpacing"/>
              <w:jc w:val="right"/>
            </w:pPr>
            <w:r w:rsidRPr="00730DE4">
              <w:t>13</w:t>
            </w:r>
          </w:p>
        </w:tc>
      </w:tr>
      <w:tr w:rsidR="000A65A9" w:rsidRPr="00730DE4" w14:paraId="5C0CD33D" w14:textId="77777777" w:rsidTr="00E71FB5">
        <w:tc>
          <w:tcPr>
            <w:tcW w:w="860" w:type="pct"/>
          </w:tcPr>
          <w:p w14:paraId="4A4D9DEC" w14:textId="77777777" w:rsidR="00FA2FF9" w:rsidRPr="00730DE4" w:rsidRDefault="00FA2FF9" w:rsidP="00E97A82">
            <w:pPr>
              <w:pStyle w:val="NoSpacing"/>
            </w:pPr>
            <w:r w:rsidRPr="00730DE4">
              <w:rPr>
                <w:rFonts w:cs="Arial"/>
                <w:szCs w:val="20"/>
              </w:rPr>
              <w:t>2023–24</w:t>
            </w:r>
          </w:p>
        </w:tc>
        <w:tc>
          <w:tcPr>
            <w:tcW w:w="931" w:type="pct"/>
          </w:tcPr>
          <w:p w14:paraId="1EB04B11" w14:textId="77777777" w:rsidR="00FA2FF9" w:rsidRPr="00730DE4" w:rsidRDefault="00FA2FF9" w:rsidP="00E97A82">
            <w:pPr>
              <w:pStyle w:val="NoSpacing"/>
            </w:pPr>
            <w:r w:rsidRPr="00730DE4">
              <w:rPr>
                <w:rFonts w:cs="Arial"/>
                <w:szCs w:val="20"/>
              </w:rPr>
              <w:t>% of TMR</w:t>
            </w:r>
          </w:p>
        </w:tc>
        <w:tc>
          <w:tcPr>
            <w:tcW w:w="1017" w:type="pct"/>
          </w:tcPr>
          <w:p w14:paraId="6C3C86F7" w14:textId="77777777" w:rsidR="00FA2FF9" w:rsidRPr="00730DE4" w:rsidRDefault="00FA2FF9" w:rsidP="00393FD1">
            <w:pPr>
              <w:pStyle w:val="NoSpacing"/>
              <w:jc w:val="right"/>
            </w:pPr>
            <w:r w:rsidRPr="00730DE4">
              <w:t>45%</w:t>
            </w:r>
          </w:p>
        </w:tc>
        <w:tc>
          <w:tcPr>
            <w:tcW w:w="1117" w:type="pct"/>
          </w:tcPr>
          <w:p w14:paraId="6912AFFC" w14:textId="77777777" w:rsidR="00FA2FF9" w:rsidRPr="00730DE4" w:rsidRDefault="00FA2FF9" w:rsidP="00393FD1">
            <w:pPr>
              <w:pStyle w:val="NoSpacing"/>
              <w:jc w:val="right"/>
            </w:pPr>
            <w:r w:rsidRPr="00730DE4">
              <w:t>55%</w:t>
            </w:r>
          </w:p>
        </w:tc>
        <w:tc>
          <w:tcPr>
            <w:tcW w:w="1074" w:type="pct"/>
          </w:tcPr>
          <w:p w14:paraId="0CF632F0" w14:textId="77777777" w:rsidR="00FA2FF9" w:rsidRPr="00730DE4" w:rsidRDefault="00FA2FF9" w:rsidP="00393FD1">
            <w:pPr>
              <w:pStyle w:val="NoSpacing"/>
              <w:jc w:val="right"/>
            </w:pPr>
            <w:r w:rsidRPr="00730DE4">
              <w:t>0.1%</w:t>
            </w:r>
          </w:p>
        </w:tc>
      </w:tr>
      <w:tr w:rsidR="000A65A9" w:rsidRPr="00730DE4" w14:paraId="6E3E4A51" w14:textId="77777777" w:rsidTr="00E71FB5">
        <w:trPr>
          <w:cnfStyle w:val="000000100000" w:firstRow="0" w:lastRow="0" w:firstColumn="0" w:lastColumn="0" w:oddVBand="0" w:evenVBand="0" w:oddHBand="1" w:evenHBand="0" w:firstRowFirstColumn="0" w:firstRowLastColumn="0" w:lastRowFirstColumn="0" w:lastRowLastColumn="0"/>
        </w:trPr>
        <w:tc>
          <w:tcPr>
            <w:tcW w:w="860" w:type="pct"/>
          </w:tcPr>
          <w:p w14:paraId="7310B1E2" w14:textId="77777777" w:rsidR="00FA2FF9" w:rsidRPr="00730DE4" w:rsidRDefault="00FA2FF9" w:rsidP="00E97A82">
            <w:pPr>
              <w:pStyle w:val="NoSpacing"/>
            </w:pPr>
            <w:r w:rsidRPr="00730DE4">
              <w:rPr>
                <w:rFonts w:cs="Arial"/>
                <w:szCs w:val="20"/>
              </w:rPr>
              <w:t>2022–23</w:t>
            </w:r>
          </w:p>
        </w:tc>
        <w:tc>
          <w:tcPr>
            <w:tcW w:w="931" w:type="pct"/>
          </w:tcPr>
          <w:p w14:paraId="62852C6D" w14:textId="77777777" w:rsidR="00FA2FF9" w:rsidRPr="00730DE4" w:rsidRDefault="00FA2FF9" w:rsidP="00E97A82">
            <w:pPr>
              <w:pStyle w:val="NoSpacing"/>
            </w:pPr>
            <w:r w:rsidRPr="00730DE4">
              <w:rPr>
                <w:rFonts w:cs="Arial"/>
                <w:szCs w:val="20"/>
              </w:rPr>
              <w:t>Headcount</w:t>
            </w:r>
          </w:p>
        </w:tc>
        <w:tc>
          <w:tcPr>
            <w:tcW w:w="1017" w:type="pct"/>
          </w:tcPr>
          <w:p w14:paraId="2A063F38" w14:textId="77777777" w:rsidR="00FA2FF9" w:rsidRPr="00730DE4" w:rsidRDefault="00FA2FF9" w:rsidP="00393FD1">
            <w:pPr>
              <w:pStyle w:val="NoSpacing"/>
              <w:jc w:val="right"/>
            </w:pPr>
            <w:r w:rsidRPr="00730DE4">
              <w:t>5318</w:t>
            </w:r>
          </w:p>
        </w:tc>
        <w:tc>
          <w:tcPr>
            <w:tcW w:w="1117" w:type="pct"/>
          </w:tcPr>
          <w:p w14:paraId="4CB41738" w14:textId="77777777" w:rsidR="00FA2FF9" w:rsidRPr="00730DE4" w:rsidRDefault="00FA2FF9" w:rsidP="00393FD1">
            <w:pPr>
              <w:pStyle w:val="NoSpacing"/>
              <w:jc w:val="right"/>
            </w:pPr>
            <w:r w:rsidRPr="00730DE4">
              <w:t>6307</w:t>
            </w:r>
          </w:p>
        </w:tc>
        <w:tc>
          <w:tcPr>
            <w:tcW w:w="1074" w:type="pct"/>
          </w:tcPr>
          <w:p w14:paraId="33EB8AF3" w14:textId="77777777" w:rsidR="00FA2FF9" w:rsidRPr="00730DE4" w:rsidRDefault="00FA2FF9" w:rsidP="00393FD1">
            <w:pPr>
              <w:pStyle w:val="NoSpacing"/>
              <w:jc w:val="right"/>
            </w:pPr>
            <w:r w:rsidRPr="00730DE4">
              <w:t>11</w:t>
            </w:r>
          </w:p>
        </w:tc>
      </w:tr>
      <w:tr w:rsidR="000A65A9" w:rsidRPr="00730DE4" w14:paraId="1C949306" w14:textId="77777777" w:rsidTr="00E71FB5">
        <w:tc>
          <w:tcPr>
            <w:tcW w:w="860" w:type="pct"/>
          </w:tcPr>
          <w:p w14:paraId="66B5EE8C" w14:textId="77777777" w:rsidR="00FA2FF9" w:rsidRPr="00730DE4" w:rsidRDefault="00FA2FF9" w:rsidP="00E97A82">
            <w:pPr>
              <w:pStyle w:val="NoSpacing"/>
            </w:pPr>
            <w:r w:rsidRPr="00730DE4">
              <w:rPr>
                <w:rFonts w:cs="Arial"/>
                <w:szCs w:val="20"/>
              </w:rPr>
              <w:t>2022–23</w:t>
            </w:r>
          </w:p>
        </w:tc>
        <w:tc>
          <w:tcPr>
            <w:tcW w:w="931" w:type="pct"/>
          </w:tcPr>
          <w:p w14:paraId="6C8D6B11" w14:textId="77777777" w:rsidR="00FA2FF9" w:rsidRPr="00730DE4" w:rsidRDefault="00FA2FF9" w:rsidP="00E97A82">
            <w:pPr>
              <w:pStyle w:val="NoSpacing"/>
            </w:pPr>
            <w:r w:rsidRPr="00730DE4">
              <w:rPr>
                <w:rFonts w:cs="Arial"/>
                <w:szCs w:val="20"/>
              </w:rPr>
              <w:t>% of TMR</w:t>
            </w:r>
          </w:p>
        </w:tc>
        <w:tc>
          <w:tcPr>
            <w:tcW w:w="1017" w:type="pct"/>
          </w:tcPr>
          <w:p w14:paraId="08514ED6" w14:textId="77777777" w:rsidR="00FA2FF9" w:rsidRPr="00730DE4" w:rsidRDefault="00FA2FF9" w:rsidP="00393FD1">
            <w:pPr>
              <w:pStyle w:val="NoSpacing"/>
              <w:jc w:val="right"/>
            </w:pPr>
            <w:r w:rsidRPr="00730DE4">
              <w:t>46%</w:t>
            </w:r>
          </w:p>
        </w:tc>
        <w:tc>
          <w:tcPr>
            <w:tcW w:w="1117" w:type="pct"/>
          </w:tcPr>
          <w:p w14:paraId="324A0B56" w14:textId="77777777" w:rsidR="00FA2FF9" w:rsidRPr="00730DE4" w:rsidRDefault="00FA2FF9" w:rsidP="00393FD1">
            <w:pPr>
              <w:pStyle w:val="NoSpacing"/>
              <w:jc w:val="right"/>
            </w:pPr>
            <w:r w:rsidRPr="00730DE4">
              <w:t>54%</w:t>
            </w:r>
          </w:p>
        </w:tc>
        <w:tc>
          <w:tcPr>
            <w:tcW w:w="1074" w:type="pct"/>
          </w:tcPr>
          <w:p w14:paraId="5DA1A06E" w14:textId="77777777" w:rsidR="00FA2FF9" w:rsidRPr="00730DE4" w:rsidRDefault="00FA2FF9" w:rsidP="00393FD1">
            <w:pPr>
              <w:pStyle w:val="NoSpacing"/>
              <w:jc w:val="right"/>
            </w:pPr>
            <w:r w:rsidRPr="00730DE4">
              <w:t>0.1%</w:t>
            </w:r>
          </w:p>
        </w:tc>
      </w:tr>
      <w:tr w:rsidR="000A65A9" w:rsidRPr="00730DE4" w14:paraId="2726D581" w14:textId="77777777" w:rsidTr="00E71FB5">
        <w:trPr>
          <w:cnfStyle w:val="000000100000" w:firstRow="0" w:lastRow="0" w:firstColumn="0" w:lastColumn="0" w:oddVBand="0" w:evenVBand="0" w:oddHBand="1" w:evenHBand="0" w:firstRowFirstColumn="0" w:firstRowLastColumn="0" w:lastRowFirstColumn="0" w:lastRowLastColumn="0"/>
        </w:trPr>
        <w:tc>
          <w:tcPr>
            <w:tcW w:w="860" w:type="pct"/>
          </w:tcPr>
          <w:p w14:paraId="0AD918B6" w14:textId="77777777" w:rsidR="00FA2FF9" w:rsidRPr="00730DE4" w:rsidRDefault="00FA2FF9" w:rsidP="00E97A82">
            <w:pPr>
              <w:pStyle w:val="NoSpacing"/>
            </w:pPr>
            <w:r w:rsidRPr="00730DE4">
              <w:rPr>
                <w:rFonts w:cs="Arial"/>
                <w:szCs w:val="20"/>
              </w:rPr>
              <w:t>2021–22</w:t>
            </w:r>
          </w:p>
        </w:tc>
        <w:tc>
          <w:tcPr>
            <w:tcW w:w="931" w:type="pct"/>
          </w:tcPr>
          <w:p w14:paraId="4595B531" w14:textId="77777777" w:rsidR="00FA2FF9" w:rsidRPr="00730DE4" w:rsidRDefault="00FA2FF9" w:rsidP="00E97A82">
            <w:pPr>
              <w:pStyle w:val="NoSpacing"/>
            </w:pPr>
            <w:r w:rsidRPr="00730DE4">
              <w:rPr>
                <w:rFonts w:cs="Arial"/>
                <w:szCs w:val="20"/>
              </w:rPr>
              <w:t>Headcount</w:t>
            </w:r>
          </w:p>
        </w:tc>
        <w:tc>
          <w:tcPr>
            <w:tcW w:w="1017" w:type="pct"/>
          </w:tcPr>
          <w:p w14:paraId="1B54DFAF" w14:textId="77777777" w:rsidR="00FA2FF9" w:rsidRPr="00730DE4" w:rsidRDefault="00FA2FF9" w:rsidP="00393FD1">
            <w:pPr>
              <w:pStyle w:val="NoSpacing"/>
              <w:jc w:val="right"/>
            </w:pPr>
            <w:r w:rsidRPr="00730DE4">
              <w:t>4491</w:t>
            </w:r>
          </w:p>
        </w:tc>
        <w:tc>
          <w:tcPr>
            <w:tcW w:w="1117" w:type="pct"/>
          </w:tcPr>
          <w:p w14:paraId="22160FF9" w14:textId="77777777" w:rsidR="00FA2FF9" w:rsidRPr="00730DE4" w:rsidRDefault="00FA2FF9" w:rsidP="00393FD1">
            <w:pPr>
              <w:pStyle w:val="NoSpacing"/>
              <w:jc w:val="right"/>
            </w:pPr>
            <w:r w:rsidRPr="00730DE4">
              <w:t>4982</w:t>
            </w:r>
          </w:p>
        </w:tc>
        <w:tc>
          <w:tcPr>
            <w:tcW w:w="1074" w:type="pct"/>
          </w:tcPr>
          <w:p w14:paraId="436F7D4D" w14:textId="77777777" w:rsidR="00FA2FF9" w:rsidRPr="00730DE4" w:rsidRDefault="00FA2FF9" w:rsidP="00393FD1">
            <w:pPr>
              <w:pStyle w:val="NoSpacing"/>
              <w:jc w:val="right"/>
            </w:pPr>
            <w:r w:rsidRPr="00730DE4">
              <w:t>&lt;5</w:t>
            </w:r>
          </w:p>
        </w:tc>
      </w:tr>
      <w:tr w:rsidR="000A65A9" w:rsidRPr="00730DE4" w14:paraId="727FFA58" w14:textId="77777777" w:rsidTr="00E71FB5">
        <w:tc>
          <w:tcPr>
            <w:tcW w:w="860" w:type="pct"/>
          </w:tcPr>
          <w:p w14:paraId="17D98A3C" w14:textId="77777777" w:rsidR="00FA2FF9" w:rsidRPr="00730DE4" w:rsidRDefault="00FA2FF9" w:rsidP="00E97A82">
            <w:pPr>
              <w:pStyle w:val="NoSpacing"/>
            </w:pPr>
            <w:r w:rsidRPr="00730DE4">
              <w:rPr>
                <w:rFonts w:cs="Arial"/>
                <w:szCs w:val="20"/>
              </w:rPr>
              <w:t>2021–22</w:t>
            </w:r>
          </w:p>
        </w:tc>
        <w:tc>
          <w:tcPr>
            <w:tcW w:w="931" w:type="pct"/>
          </w:tcPr>
          <w:p w14:paraId="0F98E782" w14:textId="77777777" w:rsidR="00FA2FF9" w:rsidRPr="00730DE4" w:rsidRDefault="00FA2FF9" w:rsidP="00E97A82">
            <w:pPr>
              <w:pStyle w:val="NoSpacing"/>
            </w:pPr>
            <w:r w:rsidRPr="00730DE4">
              <w:rPr>
                <w:rFonts w:cs="Arial"/>
                <w:szCs w:val="20"/>
              </w:rPr>
              <w:t>% of TMR</w:t>
            </w:r>
          </w:p>
        </w:tc>
        <w:tc>
          <w:tcPr>
            <w:tcW w:w="1017" w:type="pct"/>
          </w:tcPr>
          <w:p w14:paraId="77F6132E" w14:textId="77777777" w:rsidR="00FA2FF9" w:rsidRPr="00730DE4" w:rsidRDefault="00FA2FF9" w:rsidP="00393FD1">
            <w:pPr>
              <w:pStyle w:val="NoSpacing"/>
              <w:jc w:val="right"/>
            </w:pPr>
            <w:r w:rsidRPr="00730DE4">
              <w:t>47%</w:t>
            </w:r>
          </w:p>
        </w:tc>
        <w:tc>
          <w:tcPr>
            <w:tcW w:w="1117" w:type="pct"/>
          </w:tcPr>
          <w:p w14:paraId="364ACB51" w14:textId="77777777" w:rsidR="00FA2FF9" w:rsidRPr="00730DE4" w:rsidRDefault="00FA2FF9" w:rsidP="00393FD1">
            <w:pPr>
              <w:pStyle w:val="NoSpacing"/>
              <w:jc w:val="right"/>
            </w:pPr>
            <w:r w:rsidRPr="00730DE4">
              <w:t>53%</w:t>
            </w:r>
          </w:p>
        </w:tc>
        <w:tc>
          <w:tcPr>
            <w:tcW w:w="1074" w:type="pct"/>
          </w:tcPr>
          <w:p w14:paraId="6E66A2C9" w14:textId="77777777" w:rsidR="00FA2FF9" w:rsidRPr="00730DE4" w:rsidRDefault="00FA2FF9" w:rsidP="00393FD1">
            <w:pPr>
              <w:pStyle w:val="NoSpacing"/>
              <w:jc w:val="right"/>
            </w:pPr>
            <w:r w:rsidRPr="00730DE4">
              <w:t>0.01%</w:t>
            </w:r>
          </w:p>
        </w:tc>
      </w:tr>
    </w:tbl>
    <w:p w14:paraId="3BFB43CE" w14:textId="77777777" w:rsidR="00FA2FF9" w:rsidRPr="00730DE4" w:rsidRDefault="00FA2FF9" w:rsidP="006D716F">
      <w:pPr>
        <w:pStyle w:val="Caption"/>
      </w:pPr>
      <w:r w:rsidRPr="00730DE4">
        <w:t>2 To ensure privacy, in tables where there are less than 5 respondents in a category, specific numbers are replaced by &lt;5.</w:t>
      </w:r>
    </w:p>
    <w:p w14:paraId="31650868" w14:textId="77777777" w:rsidR="00FA2FF9" w:rsidRPr="00730DE4" w:rsidRDefault="00FA2FF9" w:rsidP="0083114A">
      <w:pPr>
        <w:pStyle w:val="Caption"/>
      </w:pPr>
      <w:r w:rsidRPr="00730DE4">
        <w:t>Data Source: TMR SAP Business Warehouse and Aurion</w:t>
      </w:r>
    </w:p>
    <w:p w14:paraId="0C005E11" w14:textId="77777777" w:rsidR="00FA2FF9" w:rsidRPr="00730DE4" w:rsidRDefault="00FA2FF9" w:rsidP="00470CE4">
      <w:pPr>
        <w:pStyle w:val="FigureCaption"/>
      </w:pPr>
      <w:r w:rsidRPr="00730DE4">
        <w:t>Table 40: Comparative Workforce data as at 14 June 2024</w:t>
      </w:r>
    </w:p>
    <w:p w14:paraId="05257551" w14:textId="77777777" w:rsidR="00FA2FF9" w:rsidRPr="00730DE4" w:rsidRDefault="00FA2FF9" w:rsidP="002B7001">
      <w:pPr>
        <w:pStyle w:val="Heading4"/>
      </w:pPr>
      <w:bookmarkStart w:id="1162" w:name="_Toc180487608"/>
      <w:bookmarkStart w:id="1163" w:name="_Toc180490814"/>
      <w:bookmarkStart w:id="1164" w:name="_Toc180491847"/>
      <w:r w:rsidRPr="00730DE4">
        <w:t>Headcount</w:t>
      </w:r>
      <w:bookmarkEnd w:id="1162"/>
      <w:bookmarkEnd w:id="1163"/>
      <w:bookmarkEnd w:id="1164"/>
    </w:p>
    <w:tbl>
      <w:tblPr>
        <w:tblStyle w:val="TMRDefault"/>
        <w:tblW w:w="5000" w:type="pct"/>
        <w:tblLook w:val="04E0" w:firstRow="1" w:lastRow="1" w:firstColumn="1" w:lastColumn="0" w:noHBand="0" w:noVBand="1"/>
      </w:tblPr>
      <w:tblGrid>
        <w:gridCol w:w="1663"/>
        <w:gridCol w:w="1303"/>
        <w:gridCol w:w="1345"/>
        <w:gridCol w:w="1573"/>
        <w:gridCol w:w="3176"/>
      </w:tblGrid>
      <w:tr w:rsidR="000A65A9" w:rsidRPr="00730DE4" w14:paraId="2AAF19E8" w14:textId="77777777" w:rsidTr="00393FD1">
        <w:trPr>
          <w:cnfStyle w:val="100000000000" w:firstRow="1" w:lastRow="0" w:firstColumn="0" w:lastColumn="0" w:oddVBand="0" w:evenVBand="0" w:oddHBand="0" w:evenHBand="0" w:firstRowFirstColumn="0" w:firstRowLastColumn="0" w:lastRowFirstColumn="0" w:lastRowLastColumn="0"/>
          <w:trHeight w:val="255"/>
          <w:tblHeader/>
        </w:trPr>
        <w:tc>
          <w:tcPr>
            <w:tcW w:w="918" w:type="pct"/>
            <w:noWrap/>
            <w:hideMark/>
          </w:tcPr>
          <w:p w14:paraId="1E531B25" w14:textId="77777777" w:rsidR="00FA2FF9" w:rsidRPr="00730DE4" w:rsidRDefault="00FA2FF9" w:rsidP="006761E8">
            <w:pPr>
              <w:pStyle w:val="NoSpacing"/>
              <w:rPr>
                <w:b w:val="0"/>
                <w:bCs/>
                <w:color w:val="FFFFFF" w:themeColor="background1"/>
              </w:rPr>
            </w:pPr>
            <w:r w:rsidRPr="00730DE4">
              <w:rPr>
                <w:b w:val="0"/>
                <w:bCs/>
                <w:color w:val="FFFFFF" w:themeColor="background1"/>
              </w:rPr>
              <w:t>Gender</w:t>
            </w:r>
          </w:p>
        </w:tc>
        <w:tc>
          <w:tcPr>
            <w:tcW w:w="719" w:type="pct"/>
            <w:noWrap/>
            <w:hideMark/>
          </w:tcPr>
          <w:p w14:paraId="75452A3D" w14:textId="77777777" w:rsidR="00FA2FF9" w:rsidRPr="00730DE4" w:rsidRDefault="00FA2FF9" w:rsidP="00393FD1">
            <w:pPr>
              <w:pStyle w:val="NoSpacing"/>
              <w:jc w:val="right"/>
              <w:rPr>
                <w:bCs/>
                <w:color w:val="FFFFFF" w:themeColor="background1"/>
              </w:rPr>
            </w:pPr>
            <w:r w:rsidRPr="00730DE4">
              <w:rPr>
                <w:bCs/>
                <w:color w:val="FFFFFF" w:themeColor="background1"/>
              </w:rPr>
              <w:t>Full time</w:t>
            </w:r>
          </w:p>
        </w:tc>
        <w:tc>
          <w:tcPr>
            <w:tcW w:w="742" w:type="pct"/>
            <w:noWrap/>
            <w:hideMark/>
          </w:tcPr>
          <w:p w14:paraId="79725128" w14:textId="77777777" w:rsidR="00FA2FF9" w:rsidRPr="00730DE4" w:rsidRDefault="00FA2FF9" w:rsidP="00393FD1">
            <w:pPr>
              <w:pStyle w:val="NoSpacing"/>
              <w:jc w:val="right"/>
              <w:rPr>
                <w:bCs/>
                <w:color w:val="FFFFFF" w:themeColor="background1"/>
              </w:rPr>
            </w:pPr>
            <w:r w:rsidRPr="00730DE4">
              <w:rPr>
                <w:bCs/>
                <w:color w:val="FFFFFF" w:themeColor="background1"/>
              </w:rPr>
              <w:t>Part time</w:t>
            </w:r>
          </w:p>
        </w:tc>
        <w:tc>
          <w:tcPr>
            <w:tcW w:w="868" w:type="pct"/>
            <w:noWrap/>
            <w:hideMark/>
          </w:tcPr>
          <w:p w14:paraId="31A0540F" w14:textId="77777777" w:rsidR="00FA2FF9" w:rsidRPr="00730DE4" w:rsidRDefault="00FA2FF9" w:rsidP="00393FD1">
            <w:pPr>
              <w:pStyle w:val="NoSpacing"/>
              <w:jc w:val="right"/>
              <w:rPr>
                <w:bCs/>
                <w:color w:val="FFFFFF" w:themeColor="background1"/>
              </w:rPr>
            </w:pPr>
            <w:r w:rsidRPr="00730DE4">
              <w:rPr>
                <w:bCs/>
                <w:color w:val="FFFFFF" w:themeColor="background1"/>
              </w:rPr>
              <w:t>Casual</w:t>
            </w:r>
          </w:p>
        </w:tc>
        <w:tc>
          <w:tcPr>
            <w:tcW w:w="1753" w:type="pct"/>
            <w:noWrap/>
            <w:hideMark/>
          </w:tcPr>
          <w:p w14:paraId="6EC585E8" w14:textId="77777777" w:rsidR="00FA2FF9" w:rsidRPr="00730DE4" w:rsidRDefault="00FA2FF9" w:rsidP="00393FD1">
            <w:pPr>
              <w:pStyle w:val="NoSpacing"/>
              <w:jc w:val="right"/>
              <w:rPr>
                <w:bCs/>
                <w:color w:val="FFFFFF" w:themeColor="background1"/>
              </w:rPr>
            </w:pPr>
            <w:r w:rsidRPr="00730DE4">
              <w:rPr>
                <w:bCs/>
                <w:color w:val="FFFFFF" w:themeColor="background1"/>
              </w:rPr>
              <w:t>Total</w:t>
            </w:r>
          </w:p>
        </w:tc>
      </w:tr>
      <w:tr w:rsidR="000A65A9" w:rsidRPr="00730DE4" w14:paraId="6EA81A2B" w14:textId="77777777" w:rsidTr="00393FD1">
        <w:trPr>
          <w:cnfStyle w:val="000000100000" w:firstRow="0" w:lastRow="0" w:firstColumn="0" w:lastColumn="0" w:oddVBand="0" w:evenVBand="0" w:oddHBand="1" w:evenHBand="0" w:firstRowFirstColumn="0" w:firstRowLastColumn="0" w:lastRowFirstColumn="0" w:lastRowLastColumn="0"/>
          <w:trHeight w:val="255"/>
        </w:trPr>
        <w:tc>
          <w:tcPr>
            <w:tcW w:w="918" w:type="pct"/>
            <w:noWrap/>
            <w:hideMark/>
          </w:tcPr>
          <w:p w14:paraId="1A81A03E" w14:textId="77777777" w:rsidR="00FA2FF9" w:rsidRPr="00730DE4" w:rsidRDefault="00FA2FF9" w:rsidP="00E97A82">
            <w:pPr>
              <w:pStyle w:val="NoSpacing"/>
            </w:pPr>
            <w:r w:rsidRPr="00730DE4">
              <w:t>Woman</w:t>
            </w:r>
          </w:p>
        </w:tc>
        <w:tc>
          <w:tcPr>
            <w:tcW w:w="719" w:type="pct"/>
            <w:noWrap/>
            <w:hideMark/>
          </w:tcPr>
          <w:p w14:paraId="79ED1E85" w14:textId="77777777" w:rsidR="00FA2FF9" w:rsidRPr="00730DE4" w:rsidRDefault="00FA2FF9" w:rsidP="00393FD1">
            <w:pPr>
              <w:pStyle w:val="NoSpacing"/>
              <w:jc w:val="right"/>
            </w:pPr>
            <w:r w:rsidRPr="00730DE4">
              <w:t>3889</w:t>
            </w:r>
          </w:p>
        </w:tc>
        <w:tc>
          <w:tcPr>
            <w:tcW w:w="742" w:type="pct"/>
            <w:noWrap/>
            <w:hideMark/>
          </w:tcPr>
          <w:p w14:paraId="18B8D6C5" w14:textId="77777777" w:rsidR="00FA2FF9" w:rsidRPr="00730DE4" w:rsidRDefault="00FA2FF9" w:rsidP="00393FD1">
            <w:pPr>
              <w:pStyle w:val="NoSpacing"/>
              <w:jc w:val="right"/>
            </w:pPr>
            <w:r w:rsidRPr="00730DE4">
              <w:t>1108</w:t>
            </w:r>
          </w:p>
        </w:tc>
        <w:tc>
          <w:tcPr>
            <w:tcW w:w="868" w:type="pct"/>
            <w:noWrap/>
            <w:hideMark/>
          </w:tcPr>
          <w:p w14:paraId="06140030" w14:textId="77777777" w:rsidR="00FA2FF9" w:rsidRPr="00730DE4" w:rsidRDefault="00FA2FF9" w:rsidP="00393FD1">
            <w:pPr>
              <w:pStyle w:val="NoSpacing"/>
              <w:jc w:val="right"/>
            </w:pPr>
            <w:r w:rsidRPr="00730DE4">
              <w:t>1469</w:t>
            </w:r>
          </w:p>
        </w:tc>
        <w:tc>
          <w:tcPr>
            <w:tcW w:w="1753" w:type="pct"/>
            <w:noWrap/>
            <w:hideMark/>
          </w:tcPr>
          <w:p w14:paraId="4857E2E4" w14:textId="77777777" w:rsidR="00FA2FF9" w:rsidRPr="00730DE4" w:rsidRDefault="00FA2FF9" w:rsidP="00393FD1">
            <w:pPr>
              <w:pStyle w:val="NoSpacing"/>
              <w:jc w:val="right"/>
            </w:pPr>
            <w:r w:rsidRPr="00730DE4">
              <w:t>6466</w:t>
            </w:r>
          </w:p>
        </w:tc>
      </w:tr>
      <w:tr w:rsidR="000A65A9" w:rsidRPr="00730DE4" w14:paraId="7A649C69" w14:textId="77777777" w:rsidTr="00393FD1">
        <w:trPr>
          <w:trHeight w:val="255"/>
        </w:trPr>
        <w:tc>
          <w:tcPr>
            <w:tcW w:w="918" w:type="pct"/>
            <w:noWrap/>
            <w:hideMark/>
          </w:tcPr>
          <w:p w14:paraId="4200DF8D" w14:textId="77777777" w:rsidR="00FA2FF9" w:rsidRPr="00730DE4" w:rsidRDefault="00FA2FF9" w:rsidP="00E97A82">
            <w:pPr>
              <w:pStyle w:val="NoSpacing"/>
            </w:pPr>
            <w:r w:rsidRPr="00730DE4">
              <w:t>Man</w:t>
            </w:r>
          </w:p>
        </w:tc>
        <w:tc>
          <w:tcPr>
            <w:tcW w:w="719" w:type="pct"/>
            <w:noWrap/>
            <w:hideMark/>
          </w:tcPr>
          <w:p w14:paraId="368D0ED9" w14:textId="77777777" w:rsidR="00FA2FF9" w:rsidRPr="00730DE4" w:rsidRDefault="00FA2FF9" w:rsidP="00393FD1">
            <w:pPr>
              <w:pStyle w:val="NoSpacing"/>
              <w:jc w:val="right"/>
            </w:pPr>
            <w:r w:rsidRPr="00730DE4">
              <w:t>4635</w:t>
            </w:r>
          </w:p>
        </w:tc>
        <w:tc>
          <w:tcPr>
            <w:tcW w:w="742" w:type="pct"/>
            <w:noWrap/>
            <w:hideMark/>
          </w:tcPr>
          <w:p w14:paraId="5C7F6084" w14:textId="77777777" w:rsidR="00FA2FF9" w:rsidRPr="00730DE4" w:rsidRDefault="00FA2FF9" w:rsidP="00393FD1">
            <w:pPr>
              <w:pStyle w:val="NoSpacing"/>
              <w:jc w:val="right"/>
            </w:pPr>
            <w:r w:rsidRPr="00730DE4">
              <w:t>148</w:t>
            </w:r>
          </w:p>
        </w:tc>
        <w:tc>
          <w:tcPr>
            <w:tcW w:w="868" w:type="pct"/>
            <w:noWrap/>
            <w:hideMark/>
          </w:tcPr>
          <w:p w14:paraId="1DA67EF3" w14:textId="77777777" w:rsidR="00FA2FF9" w:rsidRPr="00730DE4" w:rsidRDefault="00FA2FF9" w:rsidP="00393FD1">
            <w:pPr>
              <w:pStyle w:val="NoSpacing"/>
              <w:jc w:val="right"/>
            </w:pPr>
            <w:r w:rsidRPr="00730DE4">
              <w:t>598</w:t>
            </w:r>
          </w:p>
        </w:tc>
        <w:tc>
          <w:tcPr>
            <w:tcW w:w="1753" w:type="pct"/>
            <w:noWrap/>
            <w:hideMark/>
          </w:tcPr>
          <w:p w14:paraId="1760DF56" w14:textId="77777777" w:rsidR="00FA2FF9" w:rsidRPr="00730DE4" w:rsidRDefault="00FA2FF9" w:rsidP="00393FD1">
            <w:pPr>
              <w:pStyle w:val="NoSpacing"/>
              <w:jc w:val="right"/>
            </w:pPr>
            <w:r w:rsidRPr="00730DE4">
              <w:t>5381</w:t>
            </w:r>
          </w:p>
        </w:tc>
      </w:tr>
      <w:tr w:rsidR="000A65A9" w:rsidRPr="00730DE4" w14:paraId="0BABF2AE" w14:textId="77777777" w:rsidTr="00393FD1">
        <w:trPr>
          <w:cnfStyle w:val="000000100000" w:firstRow="0" w:lastRow="0" w:firstColumn="0" w:lastColumn="0" w:oddVBand="0" w:evenVBand="0" w:oddHBand="1" w:evenHBand="0" w:firstRowFirstColumn="0" w:firstRowLastColumn="0" w:lastRowFirstColumn="0" w:lastRowLastColumn="0"/>
          <w:trHeight w:val="255"/>
        </w:trPr>
        <w:tc>
          <w:tcPr>
            <w:tcW w:w="918" w:type="pct"/>
            <w:noWrap/>
            <w:hideMark/>
          </w:tcPr>
          <w:p w14:paraId="00D174DD" w14:textId="77777777" w:rsidR="00FA2FF9" w:rsidRPr="00730DE4" w:rsidRDefault="00FA2FF9" w:rsidP="00E97A82">
            <w:pPr>
              <w:pStyle w:val="NoSpacing"/>
            </w:pPr>
            <w:r w:rsidRPr="00730DE4">
              <w:t>Non-binary</w:t>
            </w:r>
          </w:p>
        </w:tc>
        <w:tc>
          <w:tcPr>
            <w:tcW w:w="719" w:type="pct"/>
            <w:noWrap/>
            <w:hideMark/>
          </w:tcPr>
          <w:p w14:paraId="7E7CFA8E" w14:textId="77777777" w:rsidR="00FA2FF9" w:rsidRPr="00730DE4" w:rsidRDefault="00FA2FF9" w:rsidP="00393FD1">
            <w:pPr>
              <w:pStyle w:val="NoSpacing"/>
              <w:jc w:val="right"/>
            </w:pPr>
            <w:r w:rsidRPr="00730DE4">
              <w:t>12</w:t>
            </w:r>
          </w:p>
        </w:tc>
        <w:tc>
          <w:tcPr>
            <w:tcW w:w="742" w:type="pct"/>
            <w:noWrap/>
            <w:hideMark/>
          </w:tcPr>
          <w:p w14:paraId="1BA5033D" w14:textId="77777777" w:rsidR="00FA2FF9" w:rsidRPr="00730DE4" w:rsidRDefault="00FA2FF9" w:rsidP="00393FD1">
            <w:pPr>
              <w:pStyle w:val="NoSpacing"/>
              <w:jc w:val="right"/>
            </w:pPr>
            <w:r w:rsidRPr="00730DE4">
              <w:t>1</w:t>
            </w:r>
          </w:p>
        </w:tc>
        <w:tc>
          <w:tcPr>
            <w:tcW w:w="868" w:type="pct"/>
            <w:noWrap/>
            <w:hideMark/>
          </w:tcPr>
          <w:p w14:paraId="2479FE86" w14:textId="77777777" w:rsidR="00FA2FF9" w:rsidRPr="00730DE4" w:rsidRDefault="00FA2FF9" w:rsidP="00393FD1">
            <w:pPr>
              <w:pStyle w:val="NoSpacing"/>
              <w:jc w:val="right"/>
            </w:pPr>
          </w:p>
        </w:tc>
        <w:tc>
          <w:tcPr>
            <w:tcW w:w="1753" w:type="pct"/>
            <w:noWrap/>
            <w:hideMark/>
          </w:tcPr>
          <w:p w14:paraId="77261977" w14:textId="77777777" w:rsidR="00FA2FF9" w:rsidRPr="00730DE4" w:rsidRDefault="00FA2FF9" w:rsidP="00393FD1">
            <w:pPr>
              <w:pStyle w:val="NoSpacing"/>
              <w:jc w:val="right"/>
            </w:pPr>
            <w:r w:rsidRPr="00730DE4">
              <w:t>13</w:t>
            </w:r>
          </w:p>
        </w:tc>
      </w:tr>
      <w:tr w:rsidR="000A65A9" w:rsidRPr="00730DE4" w14:paraId="6912F0FB" w14:textId="77777777" w:rsidTr="00393FD1">
        <w:trPr>
          <w:cnfStyle w:val="010000000000" w:firstRow="0" w:lastRow="1" w:firstColumn="0" w:lastColumn="0" w:oddVBand="0" w:evenVBand="0" w:oddHBand="0" w:evenHBand="0" w:firstRowFirstColumn="0" w:firstRowLastColumn="0" w:lastRowFirstColumn="0" w:lastRowLastColumn="0"/>
          <w:trHeight w:val="255"/>
        </w:trPr>
        <w:tc>
          <w:tcPr>
            <w:tcW w:w="918" w:type="pct"/>
            <w:noWrap/>
            <w:hideMark/>
          </w:tcPr>
          <w:p w14:paraId="5E89A7D8" w14:textId="77777777" w:rsidR="00FA2FF9" w:rsidRPr="00730DE4" w:rsidRDefault="00FA2FF9" w:rsidP="00E97A82">
            <w:pPr>
              <w:pStyle w:val="NoSpacing"/>
            </w:pPr>
            <w:r w:rsidRPr="00730DE4">
              <w:t>Grand Total</w:t>
            </w:r>
          </w:p>
        </w:tc>
        <w:tc>
          <w:tcPr>
            <w:tcW w:w="719" w:type="pct"/>
            <w:noWrap/>
            <w:hideMark/>
          </w:tcPr>
          <w:p w14:paraId="61F8F0DE" w14:textId="77777777" w:rsidR="00FA2FF9" w:rsidRPr="00730DE4" w:rsidRDefault="00FA2FF9" w:rsidP="00393FD1">
            <w:pPr>
              <w:pStyle w:val="NoSpacing"/>
              <w:jc w:val="right"/>
            </w:pPr>
            <w:r w:rsidRPr="00730DE4">
              <w:t>8536</w:t>
            </w:r>
          </w:p>
        </w:tc>
        <w:tc>
          <w:tcPr>
            <w:tcW w:w="742" w:type="pct"/>
            <w:noWrap/>
            <w:hideMark/>
          </w:tcPr>
          <w:p w14:paraId="263D67F7" w14:textId="77777777" w:rsidR="00FA2FF9" w:rsidRPr="00730DE4" w:rsidRDefault="00FA2FF9" w:rsidP="00393FD1">
            <w:pPr>
              <w:pStyle w:val="NoSpacing"/>
              <w:jc w:val="right"/>
            </w:pPr>
            <w:r w:rsidRPr="00730DE4">
              <w:t>1257</w:t>
            </w:r>
          </w:p>
        </w:tc>
        <w:tc>
          <w:tcPr>
            <w:tcW w:w="868" w:type="pct"/>
            <w:noWrap/>
            <w:hideMark/>
          </w:tcPr>
          <w:p w14:paraId="1CCA371D" w14:textId="77777777" w:rsidR="00FA2FF9" w:rsidRPr="00730DE4" w:rsidRDefault="00FA2FF9" w:rsidP="00393FD1">
            <w:pPr>
              <w:pStyle w:val="NoSpacing"/>
              <w:jc w:val="right"/>
            </w:pPr>
            <w:r w:rsidRPr="00730DE4">
              <w:t>2067</w:t>
            </w:r>
          </w:p>
        </w:tc>
        <w:tc>
          <w:tcPr>
            <w:tcW w:w="1753" w:type="pct"/>
            <w:noWrap/>
            <w:hideMark/>
          </w:tcPr>
          <w:p w14:paraId="14B118D9" w14:textId="77777777" w:rsidR="00FA2FF9" w:rsidRPr="00730DE4" w:rsidRDefault="00FA2FF9" w:rsidP="00393FD1">
            <w:pPr>
              <w:pStyle w:val="NoSpacing"/>
              <w:jc w:val="right"/>
            </w:pPr>
            <w:r w:rsidRPr="00730DE4">
              <w:t>11,860</w:t>
            </w:r>
          </w:p>
        </w:tc>
      </w:tr>
    </w:tbl>
    <w:p w14:paraId="078846EC" w14:textId="77777777" w:rsidR="00FA2FF9" w:rsidRPr="00730DE4" w:rsidRDefault="00FA2FF9" w:rsidP="00BB0F75">
      <w:pPr>
        <w:pStyle w:val="FigureCaption"/>
      </w:pPr>
    </w:p>
    <w:tbl>
      <w:tblPr>
        <w:tblStyle w:val="TMRDefault"/>
        <w:tblW w:w="5000" w:type="pct"/>
        <w:tblLook w:val="04E0" w:firstRow="1" w:lastRow="1" w:firstColumn="1" w:lastColumn="0" w:noHBand="0" w:noVBand="1"/>
      </w:tblPr>
      <w:tblGrid>
        <w:gridCol w:w="1755"/>
        <w:gridCol w:w="1303"/>
        <w:gridCol w:w="1345"/>
        <w:gridCol w:w="1535"/>
        <w:gridCol w:w="3122"/>
      </w:tblGrid>
      <w:tr w:rsidR="000A65A9" w:rsidRPr="00730DE4" w14:paraId="7577621A" w14:textId="77777777" w:rsidTr="00BB0F75">
        <w:trPr>
          <w:cnfStyle w:val="100000000000" w:firstRow="1" w:lastRow="0" w:firstColumn="0" w:lastColumn="0" w:oddVBand="0" w:evenVBand="0" w:oddHBand="0" w:evenHBand="0" w:firstRowFirstColumn="0" w:firstRowLastColumn="0" w:lastRowFirstColumn="0" w:lastRowLastColumn="0"/>
          <w:trHeight w:val="255"/>
          <w:tblHeader/>
        </w:trPr>
        <w:tc>
          <w:tcPr>
            <w:tcW w:w="969" w:type="pct"/>
            <w:noWrap/>
            <w:hideMark/>
          </w:tcPr>
          <w:p w14:paraId="121576F9" w14:textId="77777777" w:rsidR="00FA2FF9" w:rsidRPr="00730DE4" w:rsidRDefault="00FA2FF9" w:rsidP="006761E8">
            <w:pPr>
              <w:pStyle w:val="NoSpacing"/>
              <w:rPr>
                <w:b w:val="0"/>
                <w:bCs/>
                <w:color w:val="FFFFFF" w:themeColor="background1"/>
                <w:lang w:eastAsia="en-AU"/>
              </w:rPr>
            </w:pPr>
            <w:r w:rsidRPr="00730DE4">
              <w:rPr>
                <w:rFonts w:cs="Arial"/>
                <w:b w:val="0"/>
                <w:bCs/>
                <w:color w:val="FFFFFF" w:themeColor="background1"/>
                <w:szCs w:val="20"/>
                <w:lang w:eastAsia="en-AU"/>
              </w:rPr>
              <w:t>Age</w:t>
            </w:r>
          </w:p>
        </w:tc>
        <w:tc>
          <w:tcPr>
            <w:tcW w:w="719" w:type="pct"/>
            <w:noWrap/>
            <w:hideMark/>
          </w:tcPr>
          <w:p w14:paraId="5C81DA83" w14:textId="77777777" w:rsidR="00FA2FF9" w:rsidRPr="00730DE4" w:rsidRDefault="00FA2FF9" w:rsidP="00393FD1">
            <w:pPr>
              <w:pStyle w:val="NoSpacing"/>
              <w:jc w:val="right"/>
              <w:rPr>
                <w:rFonts w:cs="Arial"/>
                <w:bCs/>
                <w:color w:val="FFFFFF" w:themeColor="background1"/>
                <w:szCs w:val="20"/>
                <w:lang w:eastAsia="en-AU"/>
              </w:rPr>
            </w:pPr>
            <w:r w:rsidRPr="00730DE4">
              <w:rPr>
                <w:rFonts w:cs="Arial"/>
                <w:bCs/>
                <w:color w:val="FFFFFF" w:themeColor="background1"/>
                <w:szCs w:val="20"/>
                <w:lang w:eastAsia="en-AU"/>
              </w:rPr>
              <w:t>Full time</w:t>
            </w:r>
          </w:p>
        </w:tc>
        <w:tc>
          <w:tcPr>
            <w:tcW w:w="742" w:type="pct"/>
            <w:noWrap/>
            <w:hideMark/>
          </w:tcPr>
          <w:p w14:paraId="7CA8CC4C" w14:textId="77777777" w:rsidR="00FA2FF9" w:rsidRPr="00730DE4" w:rsidRDefault="00FA2FF9" w:rsidP="00393FD1">
            <w:pPr>
              <w:pStyle w:val="NoSpacing"/>
              <w:jc w:val="right"/>
              <w:rPr>
                <w:rFonts w:cs="Arial"/>
                <w:bCs/>
                <w:color w:val="FFFFFF" w:themeColor="background1"/>
                <w:szCs w:val="20"/>
                <w:lang w:eastAsia="en-AU"/>
              </w:rPr>
            </w:pPr>
            <w:r w:rsidRPr="00730DE4">
              <w:rPr>
                <w:rFonts w:cs="Arial"/>
                <w:bCs/>
                <w:color w:val="FFFFFF" w:themeColor="background1"/>
                <w:szCs w:val="20"/>
                <w:lang w:eastAsia="en-AU"/>
              </w:rPr>
              <w:t>Part time</w:t>
            </w:r>
          </w:p>
        </w:tc>
        <w:tc>
          <w:tcPr>
            <w:tcW w:w="847" w:type="pct"/>
            <w:noWrap/>
            <w:hideMark/>
          </w:tcPr>
          <w:p w14:paraId="72B27159" w14:textId="77777777" w:rsidR="00FA2FF9" w:rsidRPr="00730DE4" w:rsidRDefault="00FA2FF9" w:rsidP="00393FD1">
            <w:pPr>
              <w:pStyle w:val="NoSpacing"/>
              <w:jc w:val="right"/>
              <w:rPr>
                <w:rFonts w:cs="Arial"/>
                <w:bCs/>
                <w:color w:val="FFFFFF" w:themeColor="background1"/>
                <w:szCs w:val="20"/>
                <w:lang w:eastAsia="en-AU"/>
              </w:rPr>
            </w:pPr>
            <w:r w:rsidRPr="00730DE4">
              <w:rPr>
                <w:rFonts w:cs="Arial"/>
                <w:bCs/>
                <w:color w:val="FFFFFF" w:themeColor="background1"/>
                <w:szCs w:val="20"/>
                <w:lang w:eastAsia="en-AU"/>
              </w:rPr>
              <w:t>Casual</w:t>
            </w:r>
          </w:p>
        </w:tc>
        <w:tc>
          <w:tcPr>
            <w:tcW w:w="1723" w:type="pct"/>
            <w:noWrap/>
            <w:hideMark/>
          </w:tcPr>
          <w:p w14:paraId="42B35958" w14:textId="77777777" w:rsidR="00FA2FF9" w:rsidRPr="00730DE4" w:rsidRDefault="00FA2FF9" w:rsidP="00393FD1">
            <w:pPr>
              <w:pStyle w:val="NoSpacing"/>
              <w:jc w:val="right"/>
              <w:rPr>
                <w:rFonts w:cs="Arial"/>
                <w:bCs/>
                <w:color w:val="FFFFFF" w:themeColor="background1"/>
                <w:szCs w:val="20"/>
                <w:lang w:eastAsia="en-AU"/>
              </w:rPr>
            </w:pPr>
            <w:r w:rsidRPr="00730DE4">
              <w:rPr>
                <w:rFonts w:cs="Arial"/>
                <w:bCs/>
                <w:color w:val="FFFFFF" w:themeColor="background1"/>
                <w:szCs w:val="20"/>
                <w:lang w:eastAsia="en-AU"/>
              </w:rPr>
              <w:t>Total</w:t>
            </w:r>
          </w:p>
        </w:tc>
      </w:tr>
      <w:tr w:rsidR="000A65A9" w:rsidRPr="00730DE4" w14:paraId="7D73EA16" w14:textId="77777777" w:rsidTr="00BB0F75">
        <w:trPr>
          <w:cnfStyle w:val="000000100000" w:firstRow="0" w:lastRow="0" w:firstColumn="0" w:lastColumn="0" w:oddVBand="0" w:evenVBand="0" w:oddHBand="1" w:evenHBand="0" w:firstRowFirstColumn="0" w:firstRowLastColumn="0" w:lastRowFirstColumn="0" w:lastRowLastColumn="0"/>
          <w:trHeight w:val="255"/>
        </w:trPr>
        <w:tc>
          <w:tcPr>
            <w:tcW w:w="969" w:type="pct"/>
            <w:noWrap/>
            <w:hideMark/>
          </w:tcPr>
          <w:p w14:paraId="7FFB772D" w14:textId="77777777" w:rsidR="00FA2FF9" w:rsidRPr="00730DE4" w:rsidRDefault="00FA2FF9" w:rsidP="00E97A82">
            <w:pPr>
              <w:pStyle w:val="NoSpacing"/>
              <w:rPr>
                <w:rFonts w:cs="Arial"/>
                <w:color w:val="000000"/>
                <w:szCs w:val="20"/>
                <w:lang w:eastAsia="en-AU"/>
              </w:rPr>
            </w:pPr>
            <w:r w:rsidRPr="00730DE4">
              <w:rPr>
                <w:rFonts w:cs="Arial"/>
                <w:color w:val="000000"/>
                <w:szCs w:val="20"/>
                <w:lang w:eastAsia="en-AU"/>
              </w:rPr>
              <w:t>&lt; 25 Years</w:t>
            </w:r>
          </w:p>
        </w:tc>
        <w:tc>
          <w:tcPr>
            <w:tcW w:w="719" w:type="pct"/>
            <w:noWrap/>
            <w:hideMark/>
          </w:tcPr>
          <w:p w14:paraId="6D1803BD" w14:textId="77777777" w:rsidR="00FA2FF9" w:rsidRPr="00730DE4" w:rsidRDefault="00FA2FF9" w:rsidP="00393FD1">
            <w:pPr>
              <w:pStyle w:val="NoSpacing"/>
              <w:jc w:val="right"/>
              <w:rPr>
                <w:rFonts w:cs="Arial"/>
                <w:color w:val="000000"/>
                <w:szCs w:val="20"/>
                <w:lang w:eastAsia="en-AU"/>
              </w:rPr>
            </w:pPr>
            <w:r w:rsidRPr="00730DE4">
              <w:t>263</w:t>
            </w:r>
          </w:p>
        </w:tc>
        <w:tc>
          <w:tcPr>
            <w:tcW w:w="742" w:type="pct"/>
            <w:noWrap/>
            <w:hideMark/>
          </w:tcPr>
          <w:p w14:paraId="4D545661" w14:textId="77777777" w:rsidR="00FA2FF9" w:rsidRPr="00730DE4" w:rsidRDefault="00FA2FF9" w:rsidP="00393FD1">
            <w:pPr>
              <w:pStyle w:val="NoSpacing"/>
              <w:jc w:val="right"/>
              <w:rPr>
                <w:rFonts w:cs="Arial"/>
                <w:color w:val="000000"/>
                <w:szCs w:val="20"/>
                <w:lang w:eastAsia="en-AU"/>
              </w:rPr>
            </w:pPr>
            <w:r w:rsidRPr="00730DE4">
              <w:t>31</w:t>
            </w:r>
          </w:p>
        </w:tc>
        <w:tc>
          <w:tcPr>
            <w:tcW w:w="847" w:type="pct"/>
            <w:noWrap/>
            <w:hideMark/>
          </w:tcPr>
          <w:p w14:paraId="3782B6A8" w14:textId="77777777" w:rsidR="00FA2FF9" w:rsidRPr="00730DE4" w:rsidRDefault="00FA2FF9" w:rsidP="00393FD1">
            <w:pPr>
              <w:pStyle w:val="NoSpacing"/>
              <w:jc w:val="right"/>
              <w:rPr>
                <w:rFonts w:cs="Arial"/>
                <w:color w:val="000000"/>
                <w:szCs w:val="20"/>
                <w:lang w:eastAsia="en-AU"/>
              </w:rPr>
            </w:pPr>
            <w:r w:rsidRPr="00730DE4">
              <w:t>50</w:t>
            </w:r>
          </w:p>
        </w:tc>
        <w:tc>
          <w:tcPr>
            <w:tcW w:w="1723" w:type="pct"/>
            <w:noWrap/>
            <w:hideMark/>
          </w:tcPr>
          <w:p w14:paraId="2CA628B1" w14:textId="77777777" w:rsidR="00FA2FF9" w:rsidRPr="00730DE4" w:rsidRDefault="00FA2FF9" w:rsidP="00393FD1">
            <w:pPr>
              <w:pStyle w:val="NoSpacing"/>
              <w:jc w:val="right"/>
              <w:rPr>
                <w:rFonts w:cs="Arial"/>
                <w:color w:val="000000"/>
                <w:szCs w:val="20"/>
                <w:lang w:eastAsia="en-AU"/>
              </w:rPr>
            </w:pPr>
            <w:r w:rsidRPr="00730DE4">
              <w:t>344</w:t>
            </w:r>
          </w:p>
        </w:tc>
      </w:tr>
      <w:tr w:rsidR="002D6779" w:rsidRPr="00730DE4" w14:paraId="6703F012" w14:textId="77777777" w:rsidTr="00BB0F75">
        <w:trPr>
          <w:trHeight w:val="255"/>
        </w:trPr>
        <w:tc>
          <w:tcPr>
            <w:tcW w:w="969" w:type="pct"/>
            <w:noWrap/>
            <w:hideMark/>
          </w:tcPr>
          <w:p w14:paraId="62E83B63" w14:textId="77777777" w:rsidR="00FA2FF9" w:rsidRPr="00730DE4" w:rsidRDefault="00FA2FF9" w:rsidP="00E97A82">
            <w:pPr>
              <w:pStyle w:val="NoSpacing"/>
              <w:rPr>
                <w:rFonts w:cs="Arial"/>
                <w:color w:val="000000"/>
                <w:szCs w:val="20"/>
                <w:lang w:eastAsia="en-AU"/>
              </w:rPr>
            </w:pPr>
            <w:r w:rsidRPr="00730DE4">
              <w:rPr>
                <w:rFonts w:cs="Arial"/>
                <w:color w:val="000000"/>
                <w:szCs w:val="20"/>
                <w:lang w:eastAsia="en-AU"/>
              </w:rPr>
              <w:t>25–34 Years</w:t>
            </w:r>
          </w:p>
        </w:tc>
        <w:tc>
          <w:tcPr>
            <w:tcW w:w="719" w:type="pct"/>
            <w:noWrap/>
            <w:hideMark/>
          </w:tcPr>
          <w:p w14:paraId="023B264D" w14:textId="77777777" w:rsidR="00FA2FF9" w:rsidRPr="00730DE4" w:rsidRDefault="00FA2FF9" w:rsidP="00393FD1">
            <w:pPr>
              <w:pStyle w:val="NoSpacing"/>
              <w:jc w:val="right"/>
              <w:rPr>
                <w:rFonts w:cs="Arial"/>
                <w:color w:val="000000"/>
                <w:szCs w:val="20"/>
                <w:lang w:eastAsia="en-AU"/>
              </w:rPr>
            </w:pPr>
            <w:r w:rsidRPr="00730DE4">
              <w:t>1356</w:t>
            </w:r>
          </w:p>
        </w:tc>
        <w:tc>
          <w:tcPr>
            <w:tcW w:w="742" w:type="pct"/>
            <w:noWrap/>
            <w:hideMark/>
          </w:tcPr>
          <w:p w14:paraId="32390994" w14:textId="77777777" w:rsidR="00FA2FF9" w:rsidRPr="00730DE4" w:rsidRDefault="00FA2FF9" w:rsidP="00393FD1">
            <w:pPr>
              <w:pStyle w:val="NoSpacing"/>
              <w:jc w:val="right"/>
              <w:rPr>
                <w:rFonts w:cs="Arial"/>
                <w:color w:val="000000"/>
                <w:szCs w:val="20"/>
                <w:lang w:eastAsia="en-AU"/>
              </w:rPr>
            </w:pPr>
            <w:r w:rsidRPr="00730DE4">
              <w:t>138</w:t>
            </w:r>
          </w:p>
        </w:tc>
        <w:tc>
          <w:tcPr>
            <w:tcW w:w="847" w:type="pct"/>
            <w:noWrap/>
            <w:hideMark/>
          </w:tcPr>
          <w:p w14:paraId="51312FAF" w14:textId="77777777" w:rsidR="00FA2FF9" w:rsidRPr="00730DE4" w:rsidRDefault="00FA2FF9" w:rsidP="00393FD1">
            <w:pPr>
              <w:pStyle w:val="NoSpacing"/>
              <w:jc w:val="right"/>
              <w:rPr>
                <w:rFonts w:cs="Arial"/>
                <w:color w:val="000000"/>
                <w:szCs w:val="20"/>
                <w:lang w:eastAsia="en-AU"/>
              </w:rPr>
            </w:pPr>
            <w:r w:rsidRPr="00730DE4">
              <w:t>99</w:t>
            </w:r>
          </w:p>
        </w:tc>
        <w:tc>
          <w:tcPr>
            <w:tcW w:w="1723" w:type="pct"/>
            <w:noWrap/>
            <w:hideMark/>
          </w:tcPr>
          <w:p w14:paraId="66FF30E7" w14:textId="77777777" w:rsidR="00FA2FF9" w:rsidRPr="00730DE4" w:rsidRDefault="00FA2FF9" w:rsidP="00393FD1">
            <w:pPr>
              <w:pStyle w:val="NoSpacing"/>
              <w:jc w:val="right"/>
              <w:rPr>
                <w:rFonts w:cs="Arial"/>
                <w:color w:val="000000"/>
                <w:szCs w:val="20"/>
                <w:lang w:eastAsia="en-AU"/>
              </w:rPr>
            </w:pPr>
            <w:r w:rsidRPr="00730DE4">
              <w:t>1593</w:t>
            </w:r>
          </w:p>
        </w:tc>
      </w:tr>
      <w:tr w:rsidR="000A65A9" w:rsidRPr="00730DE4" w14:paraId="45515B14" w14:textId="77777777" w:rsidTr="00BB0F75">
        <w:trPr>
          <w:cnfStyle w:val="000000100000" w:firstRow="0" w:lastRow="0" w:firstColumn="0" w:lastColumn="0" w:oddVBand="0" w:evenVBand="0" w:oddHBand="1" w:evenHBand="0" w:firstRowFirstColumn="0" w:firstRowLastColumn="0" w:lastRowFirstColumn="0" w:lastRowLastColumn="0"/>
          <w:trHeight w:val="255"/>
        </w:trPr>
        <w:tc>
          <w:tcPr>
            <w:tcW w:w="969" w:type="pct"/>
            <w:noWrap/>
            <w:hideMark/>
          </w:tcPr>
          <w:p w14:paraId="1D1DE0CC" w14:textId="77777777" w:rsidR="00FA2FF9" w:rsidRPr="00730DE4" w:rsidRDefault="00FA2FF9" w:rsidP="00E97A82">
            <w:pPr>
              <w:pStyle w:val="NoSpacing"/>
              <w:rPr>
                <w:rFonts w:cs="Arial"/>
                <w:color w:val="000000"/>
                <w:szCs w:val="20"/>
                <w:lang w:eastAsia="en-AU"/>
              </w:rPr>
            </w:pPr>
            <w:r w:rsidRPr="00730DE4">
              <w:rPr>
                <w:rFonts w:cs="Arial"/>
                <w:color w:val="000000"/>
                <w:szCs w:val="20"/>
                <w:lang w:eastAsia="en-AU"/>
              </w:rPr>
              <w:t>35–44 Years</w:t>
            </w:r>
          </w:p>
        </w:tc>
        <w:tc>
          <w:tcPr>
            <w:tcW w:w="719" w:type="pct"/>
            <w:noWrap/>
            <w:hideMark/>
          </w:tcPr>
          <w:p w14:paraId="1E45A80F" w14:textId="77777777" w:rsidR="00FA2FF9" w:rsidRPr="00730DE4" w:rsidRDefault="00FA2FF9" w:rsidP="00393FD1">
            <w:pPr>
              <w:pStyle w:val="NoSpacing"/>
              <w:jc w:val="right"/>
              <w:rPr>
                <w:rFonts w:cs="Arial"/>
                <w:color w:val="000000"/>
                <w:szCs w:val="20"/>
                <w:lang w:eastAsia="en-AU"/>
              </w:rPr>
            </w:pPr>
            <w:r w:rsidRPr="00730DE4">
              <w:t>2125</w:t>
            </w:r>
          </w:p>
        </w:tc>
        <w:tc>
          <w:tcPr>
            <w:tcW w:w="742" w:type="pct"/>
            <w:noWrap/>
            <w:hideMark/>
          </w:tcPr>
          <w:p w14:paraId="714D18E5" w14:textId="77777777" w:rsidR="00FA2FF9" w:rsidRPr="00730DE4" w:rsidRDefault="00FA2FF9" w:rsidP="00393FD1">
            <w:pPr>
              <w:pStyle w:val="NoSpacing"/>
              <w:jc w:val="right"/>
              <w:rPr>
                <w:rFonts w:cs="Arial"/>
                <w:color w:val="000000"/>
                <w:szCs w:val="20"/>
                <w:lang w:eastAsia="en-AU"/>
              </w:rPr>
            </w:pPr>
            <w:r w:rsidRPr="00730DE4">
              <w:t>411</w:t>
            </w:r>
          </w:p>
        </w:tc>
        <w:tc>
          <w:tcPr>
            <w:tcW w:w="847" w:type="pct"/>
            <w:noWrap/>
            <w:hideMark/>
          </w:tcPr>
          <w:p w14:paraId="35C0F40A" w14:textId="77777777" w:rsidR="00FA2FF9" w:rsidRPr="00730DE4" w:rsidRDefault="00FA2FF9" w:rsidP="00393FD1">
            <w:pPr>
              <w:pStyle w:val="NoSpacing"/>
              <w:jc w:val="right"/>
              <w:rPr>
                <w:rFonts w:cs="Arial"/>
                <w:color w:val="000000"/>
                <w:szCs w:val="20"/>
                <w:lang w:eastAsia="en-AU"/>
              </w:rPr>
            </w:pPr>
            <w:r w:rsidRPr="00730DE4">
              <w:t>164</w:t>
            </w:r>
          </w:p>
        </w:tc>
        <w:tc>
          <w:tcPr>
            <w:tcW w:w="1723" w:type="pct"/>
            <w:noWrap/>
            <w:hideMark/>
          </w:tcPr>
          <w:p w14:paraId="465EFE5F" w14:textId="77777777" w:rsidR="00FA2FF9" w:rsidRPr="00730DE4" w:rsidRDefault="00FA2FF9" w:rsidP="00393FD1">
            <w:pPr>
              <w:pStyle w:val="NoSpacing"/>
              <w:jc w:val="right"/>
              <w:rPr>
                <w:rFonts w:cs="Arial"/>
                <w:color w:val="000000"/>
                <w:szCs w:val="20"/>
                <w:lang w:eastAsia="en-AU"/>
              </w:rPr>
            </w:pPr>
            <w:r w:rsidRPr="00730DE4">
              <w:t>2700</w:t>
            </w:r>
          </w:p>
        </w:tc>
      </w:tr>
      <w:tr w:rsidR="002D6779" w:rsidRPr="00730DE4" w14:paraId="122F6A69" w14:textId="77777777" w:rsidTr="00BB0F75">
        <w:trPr>
          <w:trHeight w:val="255"/>
        </w:trPr>
        <w:tc>
          <w:tcPr>
            <w:tcW w:w="969" w:type="pct"/>
            <w:noWrap/>
            <w:hideMark/>
          </w:tcPr>
          <w:p w14:paraId="5D1FDC90" w14:textId="77777777" w:rsidR="00FA2FF9" w:rsidRPr="00730DE4" w:rsidRDefault="00FA2FF9" w:rsidP="00E97A82">
            <w:pPr>
              <w:pStyle w:val="NoSpacing"/>
              <w:rPr>
                <w:rFonts w:cs="Arial"/>
                <w:color w:val="000000"/>
                <w:szCs w:val="20"/>
                <w:lang w:eastAsia="en-AU"/>
              </w:rPr>
            </w:pPr>
            <w:r w:rsidRPr="00730DE4">
              <w:rPr>
                <w:rFonts w:cs="Arial"/>
                <w:color w:val="000000"/>
                <w:szCs w:val="20"/>
                <w:lang w:eastAsia="en-AU"/>
              </w:rPr>
              <w:t>45–54 Years</w:t>
            </w:r>
          </w:p>
        </w:tc>
        <w:tc>
          <w:tcPr>
            <w:tcW w:w="719" w:type="pct"/>
            <w:noWrap/>
            <w:hideMark/>
          </w:tcPr>
          <w:p w14:paraId="2A5D7966" w14:textId="77777777" w:rsidR="00FA2FF9" w:rsidRPr="00730DE4" w:rsidRDefault="00FA2FF9" w:rsidP="00393FD1">
            <w:pPr>
              <w:pStyle w:val="NoSpacing"/>
              <w:jc w:val="right"/>
              <w:rPr>
                <w:rFonts w:cs="Arial"/>
                <w:color w:val="000000"/>
                <w:szCs w:val="20"/>
                <w:lang w:eastAsia="en-AU"/>
              </w:rPr>
            </w:pPr>
            <w:r w:rsidRPr="00730DE4">
              <w:t>2519</w:t>
            </w:r>
          </w:p>
        </w:tc>
        <w:tc>
          <w:tcPr>
            <w:tcW w:w="742" w:type="pct"/>
            <w:noWrap/>
            <w:hideMark/>
          </w:tcPr>
          <w:p w14:paraId="5F0705E9" w14:textId="77777777" w:rsidR="00FA2FF9" w:rsidRPr="00730DE4" w:rsidRDefault="00FA2FF9" w:rsidP="00393FD1">
            <w:pPr>
              <w:pStyle w:val="NoSpacing"/>
              <w:jc w:val="right"/>
              <w:rPr>
                <w:rFonts w:cs="Arial"/>
                <w:color w:val="000000"/>
                <w:szCs w:val="20"/>
                <w:lang w:eastAsia="en-AU"/>
              </w:rPr>
            </w:pPr>
            <w:r w:rsidRPr="00730DE4">
              <w:t>323</w:t>
            </w:r>
          </w:p>
        </w:tc>
        <w:tc>
          <w:tcPr>
            <w:tcW w:w="847" w:type="pct"/>
            <w:noWrap/>
            <w:hideMark/>
          </w:tcPr>
          <w:p w14:paraId="2B7A9CE7" w14:textId="77777777" w:rsidR="00FA2FF9" w:rsidRPr="00730DE4" w:rsidRDefault="00FA2FF9" w:rsidP="00393FD1">
            <w:pPr>
              <w:pStyle w:val="NoSpacing"/>
              <w:jc w:val="right"/>
              <w:rPr>
                <w:rFonts w:cs="Arial"/>
                <w:color w:val="000000"/>
                <w:szCs w:val="20"/>
                <w:lang w:eastAsia="en-AU"/>
              </w:rPr>
            </w:pPr>
            <w:r w:rsidRPr="00730DE4">
              <w:t>287</w:t>
            </w:r>
          </w:p>
        </w:tc>
        <w:tc>
          <w:tcPr>
            <w:tcW w:w="1723" w:type="pct"/>
            <w:noWrap/>
            <w:hideMark/>
          </w:tcPr>
          <w:p w14:paraId="19E21AEB" w14:textId="77777777" w:rsidR="00FA2FF9" w:rsidRPr="00730DE4" w:rsidRDefault="00FA2FF9" w:rsidP="00393FD1">
            <w:pPr>
              <w:pStyle w:val="NoSpacing"/>
              <w:jc w:val="right"/>
              <w:rPr>
                <w:rFonts w:cs="Arial"/>
                <w:color w:val="000000"/>
                <w:szCs w:val="20"/>
                <w:lang w:eastAsia="en-AU"/>
              </w:rPr>
            </w:pPr>
            <w:r w:rsidRPr="00730DE4">
              <w:t>3129</w:t>
            </w:r>
          </w:p>
        </w:tc>
      </w:tr>
      <w:tr w:rsidR="000A65A9" w:rsidRPr="00730DE4" w14:paraId="1C4C4565" w14:textId="77777777" w:rsidTr="00BB0F75">
        <w:trPr>
          <w:cnfStyle w:val="000000100000" w:firstRow="0" w:lastRow="0" w:firstColumn="0" w:lastColumn="0" w:oddVBand="0" w:evenVBand="0" w:oddHBand="1" w:evenHBand="0" w:firstRowFirstColumn="0" w:firstRowLastColumn="0" w:lastRowFirstColumn="0" w:lastRowLastColumn="0"/>
          <w:trHeight w:val="255"/>
        </w:trPr>
        <w:tc>
          <w:tcPr>
            <w:tcW w:w="969" w:type="pct"/>
            <w:noWrap/>
            <w:hideMark/>
          </w:tcPr>
          <w:p w14:paraId="40120B19" w14:textId="77777777" w:rsidR="00FA2FF9" w:rsidRPr="00730DE4" w:rsidRDefault="00FA2FF9" w:rsidP="00E97A82">
            <w:pPr>
              <w:pStyle w:val="NoSpacing"/>
              <w:rPr>
                <w:rFonts w:cs="Arial"/>
                <w:color w:val="000000"/>
                <w:szCs w:val="20"/>
                <w:lang w:eastAsia="en-AU"/>
              </w:rPr>
            </w:pPr>
            <w:r w:rsidRPr="00730DE4">
              <w:rPr>
                <w:rFonts w:cs="Arial"/>
                <w:color w:val="000000"/>
                <w:szCs w:val="20"/>
                <w:lang w:eastAsia="en-AU"/>
              </w:rPr>
              <w:t>55–64 Years</w:t>
            </w:r>
          </w:p>
        </w:tc>
        <w:tc>
          <w:tcPr>
            <w:tcW w:w="719" w:type="pct"/>
            <w:noWrap/>
            <w:hideMark/>
          </w:tcPr>
          <w:p w14:paraId="0F408677" w14:textId="77777777" w:rsidR="00FA2FF9" w:rsidRPr="00730DE4" w:rsidRDefault="00FA2FF9" w:rsidP="00393FD1">
            <w:pPr>
              <w:pStyle w:val="NoSpacing"/>
              <w:jc w:val="right"/>
              <w:rPr>
                <w:rFonts w:cs="Arial"/>
                <w:color w:val="000000"/>
                <w:szCs w:val="20"/>
                <w:lang w:eastAsia="en-AU"/>
              </w:rPr>
            </w:pPr>
            <w:r w:rsidRPr="00730DE4">
              <w:t>1871</w:t>
            </w:r>
          </w:p>
        </w:tc>
        <w:tc>
          <w:tcPr>
            <w:tcW w:w="742" w:type="pct"/>
            <w:noWrap/>
            <w:hideMark/>
          </w:tcPr>
          <w:p w14:paraId="3973488A" w14:textId="77777777" w:rsidR="00FA2FF9" w:rsidRPr="00730DE4" w:rsidRDefault="00FA2FF9" w:rsidP="00393FD1">
            <w:pPr>
              <w:pStyle w:val="NoSpacing"/>
              <w:jc w:val="right"/>
              <w:rPr>
                <w:rFonts w:cs="Arial"/>
                <w:color w:val="000000"/>
                <w:szCs w:val="20"/>
                <w:lang w:eastAsia="en-AU"/>
              </w:rPr>
            </w:pPr>
            <w:r w:rsidRPr="00730DE4">
              <w:t>266</w:t>
            </w:r>
          </w:p>
        </w:tc>
        <w:tc>
          <w:tcPr>
            <w:tcW w:w="847" w:type="pct"/>
            <w:noWrap/>
            <w:hideMark/>
          </w:tcPr>
          <w:p w14:paraId="16B2B0A6" w14:textId="77777777" w:rsidR="00FA2FF9" w:rsidRPr="00730DE4" w:rsidRDefault="00FA2FF9" w:rsidP="00393FD1">
            <w:pPr>
              <w:pStyle w:val="NoSpacing"/>
              <w:jc w:val="right"/>
              <w:rPr>
                <w:rFonts w:cs="Arial"/>
                <w:color w:val="000000"/>
                <w:szCs w:val="20"/>
                <w:lang w:eastAsia="en-AU"/>
              </w:rPr>
            </w:pPr>
            <w:r w:rsidRPr="00730DE4">
              <w:t>505</w:t>
            </w:r>
          </w:p>
        </w:tc>
        <w:tc>
          <w:tcPr>
            <w:tcW w:w="1723" w:type="pct"/>
            <w:noWrap/>
            <w:hideMark/>
          </w:tcPr>
          <w:p w14:paraId="602F93F7" w14:textId="77777777" w:rsidR="00FA2FF9" w:rsidRPr="00730DE4" w:rsidRDefault="00FA2FF9" w:rsidP="00393FD1">
            <w:pPr>
              <w:pStyle w:val="NoSpacing"/>
              <w:jc w:val="right"/>
              <w:rPr>
                <w:rFonts w:cs="Arial"/>
                <w:color w:val="000000"/>
                <w:szCs w:val="20"/>
                <w:lang w:eastAsia="en-AU"/>
              </w:rPr>
            </w:pPr>
            <w:r w:rsidRPr="00730DE4">
              <w:t>2642</w:t>
            </w:r>
          </w:p>
        </w:tc>
      </w:tr>
      <w:tr w:rsidR="002D6779" w:rsidRPr="00730DE4" w14:paraId="28C05BF2" w14:textId="77777777" w:rsidTr="00BB0F75">
        <w:trPr>
          <w:trHeight w:val="255"/>
        </w:trPr>
        <w:tc>
          <w:tcPr>
            <w:tcW w:w="969" w:type="pct"/>
            <w:noWrap/>
            <w:hideMark/>
          </w:tcPr>
          <w:p w14:paraId="350F054A" w14:textId="77777777" w:rsidR="00FA2FF9" w:rsidRPr="00730DE4" w:rsidRDefault="00FA2FF9" w:rsidP="00E97A82">
            <w:pPr>
              <w:pStyle w:val="NoSpacing"/>
              <w:rPr>
                <w:rFonts w:cs="Arial"/>
                <w:color w:val="000000"/>
                <w:szCs w:val="20"/>
                <w:lang w:eastAsia="en-AU"/>
              </w:rPr>
            </w:pPr>
            <w:r w:rsidRPr="00730DE4">
              <w:rPr>
                <w:rFonts w:cs="Arial"/>
                <w:color w:val="000000"/>
                <w:szCs w:val="20"/>
                <w:lang w:eastAsia="en-AU"/>
              </w:rPr>
              <w:t>&gt; 65 Years</w:t>
            </w:r>
          </w:p>
        </w:tc>
        <w:tc>
          <w:tcPr>
            <w:tcW w:w="719" w:type="pct"/>
            <w:noWrap/>
            <w:hideMark/>
          </w:tcPr>
          <w:p w14:paraId="1C4ABA4E" w14:textId="77777777" w:rsidR="00FA2FF9" w:rsidRPr="00730DE4" w:rsidRDefault="00FA2FF9" w:rsidP="00393FD1">
            <w:pPr>
              <w:pStyle w:val="NoSpacing"/>
              <w:jc w:val="right"/>
              <w:rPr>
                <w:rFonts w:cs="Arial"/>
                <w:color w:val="000000"/>
                <w:szCs w:val="20"/>
                <w:lang w:eastAsia="en-AU"/>
              </w:rPr>
            </w:pPr>
            <w:r w:rsidRPr="00730DE4">
              <w:t>402</w:t>
            </w:r>
          </w:p>
        </w:tc>
        <w:tc>
          <w:tcPr>
            <w:tcW w:w="742" w:type="pct"/>
            <w:noWrap/>
            <w:hideMark/>
          </w:tcPr>
          <w:p w14:paraId="79DA14AE" w14:textId="77777777" w:rsidR="00FA2FF9" w:rsidRPr="00730DE4" w:rsidRDefault="00FA2FF9" w:rsidP="00393FD1">
            <w:pPr>
              <w:pStyle w:val="NoSpacing"/>
              <w:jc w:val="right"/>
              <w:rPr>
                <w:rFonts w:cs="Arial"/>
                <w:color w:val="000000"/>
                <w:szCs w:val="20"/>
                <w:lang w:eastAsia="en-AU"/>
              </w:rPr>
            </w:pPr>
            <w:r w:rsidRPr="00730DE4">
              <w:t>88</w:t>
            </w:r>
          </w:p>
        </w:tc>
        <w:tc>
          <w:tcPr>
            <w:tcW w:w="847" w:type="pct"/>
            <w:noWrap/>
            <w:hideMark/>
          </w:tcPr>
          <w:p w14:paraId="3E5848F4" w14:textId="77777777" w:rsidR="00FA2FF9" w:rsidRPr="00730DE4" w:rsidRDefault="00FA2FF9" w:rsidP="00393FD1">
            <w:pPr>
              <w:pStyle w:val="NoSpacing"/>
              <w:jc w:val="right"/>
              <w:rPr>
                <w:rFonts w:cs="Arial"/>
                <w:color w:val="000000"/>
                <w:szCs w:val="20"/>
                <w:lang w:eastAsia="en-AU"/>
              </w:rPr>
            </w:pPr>
            <w:r w:rsidRPr="00730DE4">
              <w:t>962</w:t>
            </w:r>
          </w:p>
        </w:tc>
        <w:tc>
          <w:tcPr>
            <w:tcW w:w="1723" w:type="pct"/>
            <w:noWrap/>
            <w:hideMark/>
          </w:tcPr>
          <w:p w14:paraId="5BF3884A" w14:textId="77777777" w:rsidR="00FA2FF9" w:rsidRPr="00730DE4" w:rsidRDefault="00FA2FF9" w:rsidP="00393FD1">
            <w:pPr>
              <w:pStyle w:val="NoSpacing"/>
              <w:jc w:val="right"/>
              <w:rPr>
                <w:rFonts w:cs="Arial"/>
                <w:color w:val="000000"/>
                <w:szCs w:val="20"/>
                <w:lang w:eastAsia="en-AU"/>
              </w:rPr>
            </w:pPr>
            <w:r w:rsidRPr="00730DE4">
              <w:t>1452</w:t>
            </w:r>
          </w:p>
        </w:tc>
      </w:tr>
      <w:tr w:rsidR="000A65A9" w:rsidRPr="00730DE4" w14:paraId="1F4B48F5" w14:textId="77777777" w:rsidTr="00BB0F75">
        <w:trPr>
          <w:cnfStyle w:val="010000000000" w:firstRow="0" w:lastRow="1" w:firstColumn="0" w:lastColumn="0" w:oddVBand="0" w:evenVBand="0" w:oddHBand="0" w:evenHBand="0" w:firstRowFirstColumn="0" w:firstRowLastColumn="0" w:lastRowFirstColumn="0" w:lastRowLastColumn="0"/>
          <w:trHeight w:val="255"/>
        </w:trPr>
        <w:tc>
          <w:tcPr>
            <w:tcW w:w="969" w:type="pct"/>
            <w:noWrap/>
            <w:hideMark/>
          </w:tcPr>
          <w:p w14:paraId="76941D51" w14:textId="77777777" w:rsidR="00FA2FF9" w:rsidRPr="00730DE4" w:rsidRDefault="00FA2FF9" w:rsidP="00E97A82">
            <w:pPr>
              <w:pStyle w:val="NoSpacing"/>
              <w:rPr>
                <w:rFonts w:cs="Arial"/>
                <w:color w:val="000000"/>
                <w:szCs w:val="20"/>
                <w:lang w:eastAsia="en-AU"/>
              </w:rPr>
            </w:pPr>
            <w:r w:rsidRPr="00730DE4">
              <w:rPr>
                <w:rFonts w:cs="Arial"/>
                <w:color w:val="000000"/>
                <w:szCs w:val="20"/>
                <w:lang w:eastAsia="en-AU"/>
              </w:rPr>
              <w:t>Grand Total</w:t>
            </w:r>
          </w:p>
        </w:tc>
        <w:tc>
          <w:tcPr>
            <w:tcW w:w="719" w:type="pct"/>
            <w:noWrap/>
            <w:hideMark/>
          </w:tcPr>
          <w:p w14:paraId="2B35946E" w14:textId="77777777" w:rsidR="00FA2FF9" w:rsidRPr="00730DE4" w:rsidRDefault="00FA2FF9" w:rsidP="00393FD1">
            <w:pPr>
              <w:pStyle w:val="NoSpacing"/>
              <w:jc w:val="right"/>
              <w:rPr>
                <w:rFonts w:cs="Arial"/>
                <w:color w:val="000000"/>
                <w:szCs w:val="20"/>
                <w:lang w:eastAsia="en-AU"/>
              </w:rPr>
            </w:pPr>
            <w:r w:rsidRPr="00730DE4">
              <w:t>8536</w:t>
            </w:r>
          </w:p>
        </w:tc>
        <w:tc>
          <w:tcPr>
            <w:tcW w:w="742" w:type="pct"/>
            <w:noWrap/>
            <w:hideMark/>
          </w:tcPr>
          <w:p w14:paraId="418BF7EF" w14:textId="77777777" w:rsidR="00FA2FF9" w:rsidRPr="00730DE4" w:rsidRDefault="00FA2FF9" w:rsidP="00393FD1">
            <w:pPr>
              <w:pStyle w:val="NoSpacing"/>
              <w:jc w:val="right"/>
              <w:rPr>
                <w:rFonts w:cs="Arial"/>
                <w:color w:val="000000"/>
                <w:szCs w:val="20"/>
                <w:lang w:eastAsia="en-AU"/>
              </w:rPr>
            </w:pPr>
            <w:r w:rsidRPr="00730DE4">
              <w:t>1257</w:t>
            </w:r>
          </w:p>
        </w:tc>
        <w:tc>
          <w:tcPr>
            <w:tcW w:w="847" w:type="pct"/>
            <w:noWrap/>
            <w:hideMark/>
          </w:tcPr>
          <w:p w14:paraId="31B3599A" w14:textId="77777777" w:rsidR="00FA2FF9" w:rsidRPr="00730DE4" w:rsidRDefault="00FA2FF9" w:rsidP="00393FD1">
            <w:pPr>
              <w:pStyle w:val="NoSpacing"/>
              <w:jc w:val="right"/>
              <w:rPr>
                <w:rFonts w:cs="Arial"/>
                <w:color w:val="000000"/>
                <w:szCs w:val="20"/>
                <w:lang w:eastAsia="en-AU"/>
              </w:rPr>
            </w:pPr>
            <w:r w:rsidRPr="00730DE4">
              <w:t>2067</w:t>
            </w:r>
          </w:p>
        </w:tc>
        <w:tc>
          <w:tcPr>
            <w:tcW w:w="1723" w:type="pct"/>
            <w:noWrap/>
            <w:hideMark/>
          </w:tcPr>
          <w:p w14:paraId="48813140" w14:textId="77777777" w:rsidR="00FA2FF9" w:rsidRPr="00730DE4" w:rsidRDefault="00FA2FF9" w:rsidP="00393FD1">
            <w:pPr>
              <w:pStyle w:val="NoSpacing"/>
              <w:jc w:val="right"/>
              <w:rPr>
                <w:rFonts w:cs="Arial"/>
                <w:color w:val="000000"/>
                <w:szCs w:val="20"/>
                <w:lang w:eastAsia="en-AU"/>
              </w:rPr>
            </w:pPr>
            <w:r w:rsidRPr="00730DE4">
              <w:t>11,860</w:t>
            </w:r>
          </w:p>
        </w:tc>
      </w:tr>
    </w:tbl>
    <w:p w14:paraId="30CA4214" w14:textId="77777777" w:rsidR="00FA2FF9" w:rsidRPr="00730DE4" w:rsidRDefault="00FA2FF9" w:rsidP="00BB0F75">
      <w:pPr>
        <w:pStyle w:val="FigureCaption"/>
      </w:pPr>
    </w:p>
    <w:tbl>
      <w:tblPr>
        <w:tblStyle w:val="TMRDefault"/>
        <w:tblW w:w="5000" w:type="pct"/>
        <w:tblLook w:val="04E0" w:firstRow="1" w:lastRow="1" w:firstColumn="1" w:lastColumn="0" w:noHBand="0" w:noVBand="1"/>
      </w:tblPr>
      <w:tblGrid>
        <w:gridCol w:w="2823"/>
        <w:gridCol w:w="1303"/>
        <w:gridCol w:w="1345"/>
        <w:gridCol w:w="1105"/>
        <w:gridCol w:w="2484"/>
      </w:tblGrid>
      <w:tr w:rsidR="000A65A9" w:rsidRPr="00730DE4" w14:paraId="445D6193" w14:textId="77777777" w:rsidTr="00BB0F75">
        <w:trPr>
          <w:cnfStyle w:val="100000000000" w:firstRow="1" w:lastRow="0" w:firstColumn="0" w:lastColumn="0" w:oddVBand="0" w:evenVBand="0" w:oddHBand="0" w:evenHBand="0" w:firstRowFirstColumn="0" w:firstRowLastColumn="0" w:lastRowFirstColumn="0" w:lastRowLastColumn="0"/>
          <w:trHeight w:val="255"/>
          <w:tblHeader/>
        </w:trPr>
        <w:tc>
          <w:tcPr>
            <w:tcW w:w="1558" w:type="pct"/>
            <w:noWrap/>
            <w:hideMark/>
          </w:tcPr>
          <w:p w14:paraId="5A55D773" w14:textId="77777777" w:rsidR="00FA2FF9" w:rsidRPr="00730DE4" w:rsidRDefault="00FA2FF9" w:rsidP="006761E8">
            <w:pPr>
              <w:pStyle w:val="NoSpacing"/>
              <w:rPr>
                <w:b w:val="0"/>
                <w:bCs/>
                <w:color w:val="FFFFFF" w:themeColor="background1"/>
                <w:lang w:eastAsia="en-AU"/>
              </w:rPr>
            </w:pPr>
            <w:r w:rsidRPr="00730DE4">
              <w:rPr>
                <w:rFonts w:cs="Arial"/>
                <w:b w:val="0"/>
                <w:bCs/>
                <w:color w:val="FFFFFF" w:themeColor="background1"/>
                <w:szCs w:val="20"/>
                <w:lang w:eastAsia="en-AU"/>
              </w:rPr>
              <w:t xml:space="preserve">Equivalent Salary Level </w:t>
            </w:r>
          </w:p>
        </w:tc>
        <w:tc>
          <w:tcPr>
            <w:tcW w:w="719" w:type="pct"/>
            <w:noWrap/>
            <w:hideMark/>
          </w:tcPr>
          <w:p w14:paraId="2A373CFB" w14:textId="77777777" w:rsidR="00FA2FF9" w:rsidRPr="00730DE4" w:rsidRDefault="00FA2FF9" w:rsidP="00393FD1">
            <w:pPr>
              <w:pStyle w:val="NoSpacing"/>
              <w:jc w:val="right"/>
              <w:rPr>
                <w:rFonts w:cs="Arial"/>
                <w:bCs/>
                <w:color w:val="FFFFFF" w:themeColor="background1"/>
                <w:szCs w:val="20"/>
                <w:lang w:eastAsia="en-AU"/>
              </w:rPr>
            </w:pPr>
            <w:r w:rsidRPr="00730DE4">
              <w:rPr>
                <w:rFonts w:cs="Arial"/>
                <w:bCs/>
                <w:color w:val="FFFFFF" w:themeColor="background1"/>
                <w:szCs w:val="20"/>
                <w:lang w:eastAsia="en-AU"/>
              </w:rPr>
              <w:t>Full time</w:t>
            </w:r>
          </w:p>
        </w:tc>
        <w:tc>
          <w:tcPr>
            <w:tcW w:w="742" w:type="pct"/>
            <w:noWrap/>
            <w:hideMark/>
          </w:tcPr>
          <w:p w14:paraId="242B39BC" w14:textId="77777777" w:rsidR="00FA2FF9" w:rsidRPr="00730DE4" w:rsidRDefault="00FA2FF9" w:rsidP="00393FD1">
            <w:pPr>
              <w:pStyle w:val="NoSpacing"/>
              <w:jc w:val="right"/>
              <w:rPr>
                <w:rFonts w:cs="Arial"/>
                <w:bCs/>
                <w:color w:val="FFFFFF" w:themeColor="background1"/>
                <w:szCs w:val="20"/>
                <w:lang w:eastAsia="en-AU"/>
              </w:rPr>
            </w:pPr>
            <w:r w:rsidRPr="00730DE4">
              <w:rPr>
                <w:rFonts w:cs="Arial"/>
                <w:bCs/>
                <w:color w:val="FFFFFF" w:themeColor="background1"/>
                <w:szCs w:val="20"/>
                <w:lang w:eastAsia="en-AU"/>
              </w:rPr>
              <w:t>Part time</w:t>
            </w:r>
          </w:p>
        </w:tc>
        <w:tc>
          <w:tcPr>
            <w:tcW w:w="610" w:type="pct"/>
            <w:noWrap/>
            <w:hideMark/>
          </w:tcPr>
          <w:p w14:paraId="29529EE4" w14:textId="77777777" w:rsidR="00FA2FF9" w:rsidRPr="00730DE4" w:rsidRDefault="00FA2FF9" w:rsidP="00393FD1">
            <w:pPr>
              <w:pStyle w:val="NoSpacing"/>
              <w:jc w:val="right"/>
              <w:rPr>
                <w:rFonts w:cs="Arial"/>
                <w:bCs/>
                <w:color w:val="FFFFFF" w:themeColor="background1"/>
                <w:szCs w:val="20"/>
                <w:lang w:eastAsia="en-AU"/>
              </w:rPr>
            </w:pPr>
            <w:r w:rsidRPr="00730DE4">
              <w:rPr>
                <w:rFonts w:cs="Arial"/>
                <w:bCs/>
                <w:color w:val="FFFFFF" w:themeColor="background1"/>
                <w:szCs w:val="20"/>
                <w:lang w:eastAsia="en-AU"/>
              </w:rPr>
              <w:t>Casual</w:t>
            </w:r>
          </w:p>
        </w:tc>
        <w:tc>
          <w:tcPr>
            <w:tcW w:w="1371" w:type="pct"/>
            <w:noWrap/>
            <w:hideMark/>
          </w:tcPr>
          <w:p w14:paraId="61A65024" w14:textId="77777777" w:rsidR="00FA2FF9" w:rsidRPr="00730DE4" w:rsidRDefault="00FA2FF9" w:rsidP="00393FD1">
            <w:pPr>
              <w:pStyle w:val="NoSpacing"/>
              <w:jc w:val="right"/>
              <w:rPr>
                <w:rFonts w:cs="Arial"/>
                <w:bCs/>
                <w:color w:val="FFFFFF" w:themeColor="background1"/>
                <w:szCs w:val="20"/>
                <w:lang w:eastAsia="en-AU"/>
              </w:rPr>
            </w:pPr>
            <w:r w:rsidRPr="00730DE4">
              <w:rPr>
                <w:rFonts w:cs="Arial"/>
                <w:bCs/>
                <w:color w:val="FFFFFF" w:themeColor="background1"/>
                <w:szCs w:val="20"/>
                <w:lang w:eastAsia="en-AU"/>
              </w:rPr>
              <w:t>Total</w:t>
            </w:r>
          </w:p>
        </w:tc>
      </w:tr>
      <w:tr w:rsidR="000A65A9" w:rsidRPr="00730DE4" w14:paraId="245493A8" w14:textId="77777777" w:rsidTr="00BB0F75">
        <w:trPr>
          <w:cnfStyle w:val="000000100000" w:firstRow="0" w:lastRow="0" w:firstColumn="0" w:lastColumn="0" w:oddVBand="0" w:evenVBand="0" w:oddHBand="1" w:evenHBand="0" w:firstRowFirstColumn="0" w:firstRowLastColumn="0" w:lastRowFirstColumn="0" w:lastRowLastColumn="0"/>
          <w:trHeight w:val="255"/>
        </w:trPr>
        <w:tc>
          <w:tcPr>
            <w:tcW w:w="1558" w:type="pct"/>
            <w:noWrap/>
            <w:hideMark/>
          </w:tcPr>
          <w:p w14:paraId="4D751ED7" w14:textId="77777777" w:rsidR="00FA2FF9" w:rsidRPr="00730DE4" w:rsidRDefault="00FA2FF9" w:rsidP="00E97A82">
            <w:pPr>
              <w:pStyle w:val="NoSpacing"/>
              <w:rPr>
                <w:rFonts w:cs="Arial"/>
                <w:color w:val="000000"/>
                <w:szCs w:val="20"/>
                <w:lang w:eastAsia="en-AU"/>
              </w:rPr>
            </w:pPr>
            <w:r w:rsidRPr="00730DE4">
              <w:rPr>
                <w:rFonts w:cs="Arial"/>
                <w:color w:val="000000"/>
                <w:szCs w:val="20"/>
                <w:lang w:eastAsia="en-AU"/>
              </w:rPr>
              <w:t>AO1</w:t>
            </w:r>
          </w:p>
        </w:tc>
        <w:tc>
          <w:tcPr>
            <w:tcW w:w="719" w:type="pct"/>
            <w:noWrap/>
            <w:hideMark/>
          </w:tcPr>
          <w:p w14:paraId="212D012A" w14:textId="77777777" w:rsidR="00FA2FF9" w:rsidRPr="00730DE4" w:rsidRDefault="00FA2FF9" w:rsidP="00393FD1">
            <w:pPr>
              <w:pStyle w:val="NoSpacing"/>
              <w:jc w:val="right"/>
              <w:rPr>
                <w:rFonts w:cs="Arial"/>
                <w:color w:val="000000"/>
                <w:szCs w:val="20"/>
                <w:lang w:eastAsia="en-AU"/>
              </w:rPr>
            </w:pPr>
            <w:r w:rsidRPr="00730DE4">
              <w:t>7</w:t>
            </w:r>
          </w:p>
        </w:tc>
        <w:tc>
          <w:tcPr>
            <w:tcW w:w="742" w:type="pct"/>
            <w:noWrap/>
            <w:hideMark/>
          </w:tcPr>
          <w:p w14:paraId="569260AE" w14:textId="77777777" w:rsidR="00FA2FF9" w:rsidRPr="00730DE4" w:rsidRDefault="00FA2FF9" w:rsidP="00393FD1">
            <w:pPr>
              <w:pStyle w:val="NoSpacing"/>
              <w:jc w:val="right"/>
              <w:rPr>
                <w:rFonts w:cs="Arial"/>
                <w:color w:val="000000"/>
                <w:szCs w:val="20"/>
                <w:lang w:eastAsia="en-AU"/>
              </w:rPr>
            </w:pPr>
            <w:r w:rsidRPr="00730DE4">
              <w:t>3</w:t>
            </w:r>
          </w:p>
        </w:tc>
        <w:tc>
          <w:tcPr>
            <w:tcW w:w="610" w:type="pct"/>
            <w:noWrap/>
            <w:hideMark/>
          </w:tcPr>
          <w:p w14:paraId="4893C46F" w14:textId="77777777" w:rsidR="00FA2FF9" w:rsidRPr="00730DE4" w:rsidRDefault="00FA2FF9" w:rsidP="00393FD1">
            <w:pPr>
              <w:pStyle w:val="NoSpacing"/>
              <w:jc w:val="right"/>
              <w:rPr>
                <w:rFonts w:cs="Arial"/>
                <w:color w:val="000000"/>
                <w:szCs w:val="20"/>
                <w:lang w:eastAsia="en-AU"/>
              </w:rPr>
            </w:pPr>
          </w:p>
        </w:tc>
        <w:tc>
          <w:tcPr>
            <w:tcW w:w="1371" w:type="pct"/>
            <w:noWrap/>
            <w:hideMark/>
          </w:tcPr>
          <w:p w14:paraId="67E3AC44" w14:textId="77777777" w:rsidR="00FA2FF9" w:rsidRPr="00730DE4" w:rsidRDefault="00FA2FF9" w:rsidP="00393FD1">
            <w:pPr>
              <w:pStyle w:val="NoSpacing"/>
              <w:jc w:val="right"/>
              <w:rPr>
                <w:rFonts w:cs="Arial"/>
                <w:color w:val="000000"/>
                <w:szCs w:val="20"/>
                <w:lang w:eastAsia="en-AU"/>
              </w:rPr>
            </w:pPr>
            <w:r w:rsidRPr="00730DE4">
              <w:t>10</w:t>
            </w:r>
          </w:p>
        </w:tc>
      </w:tr>
      <w:tr w:rsidR="002D6779" w:rsidRPr="00730DE4" w14:paraId="32CB76ED" w14:textId="77777777" w:rsidTr="00BB0F75">
        <w:trPr>
          <w:trHeight w:val="255"/>
        </w:trPr>
        <w:tc>
          <w:tcPr>
            <w:tcW w:w="1558" w:type="pct"/>
            <w:noWrap/>
            <w:hideMark/>
          </w:tcPr>
          <w:p w14:paraId="5BB15D89" w14:textId="77777777" w:rsidR="00FA2FF9" w:rsidRPr="00730DE4" w:rsidRDefault="00FA2FF9" w:rsidP="00E97A82">
            <w:pPr>
              <w:pStyle w:val="NoSpacing"/>
              <w:rPr>
                <w:rFonts w:cs="Arial"/>
                <w:color w:val="000000"/>
                <w:szCs w:val="20"/>
                <w:lang w:eastAsia="en-AU"/>
              </w:rPr>
            </w:pPr>
            <w:r w:rsidRPr="00730DE4">
              <w:rPr>
                <w:rFonts w:cs="Arial"/>
                <w:color w:val="000000"/>
                <w:szCs w:val="20"/>
                <w:lang w:eastAsia="en-AU"/>
              </w:rPr>
              <w:t>AO2</w:t>
            </w:r>
          </w:p>
        </w:tc>
        <w:tc>
          <w:tcPr>
            <w:tcW w:w="719" w:type="pct"/>
            <w:noWrap/>
            <w:hideMark/>
          </w:tcPr>
          <w:p w14:paraId="3E5E31E1" w14:textId="77777777" w:rsidR="00FA2FF9" w:rsidRPr="00730DE4" w:rsidRDefault="00FA2FF9" w:rsidP="00393FD1">
            <w:pPr>
              <w:pStyle w:val="NoSpacing"/>
              <w:jc w:val="right"/>
              <w:rPr>
                <w:rFonts w:cs="Arial"/>
                <w:color w:val="000000"/>
                <w:szCs w:val="20"/>
                <w:lang w:eastAsia="en-AU"/>
              </w:rPr>
            </w:pPr>
            <w:r w:rsidRPr="00730DE4">
              <w:t>690</w:t>
            </w:r>
          </w:p>
        </w:tc>
        <w:tc>
          <w:tcPr>
            <w:tcW w:w="742" w:type="pct"/>
            <w:noWrap/>
            <w:hideMark/>
          </w:tcPr>
          <w:p w14:paraId="3EAC47CD" w14:textId="77777777" w:rsidR="00FA2FF9" w:rsidRPr="00730DE4" w:rsidRDefault="00FA2FF9" w:rsidP="00393FD1">
            <w:pPr>
              <w:pStyle w:val="NoSpacing"/>
              <w:jc w:val="right"/>
              <w:rPr>
                <w:rFonts w:cs="Arial"/>
                <w:color w:val="000000"/>
                <w:szCs w:val="20"/>
                <w:lang w:eastAsia="en-AU"/>
              </w:rPr>
            </w:pPr>
            <w:r w:rsidRPr="00730DE4">
              <w:t>41</w:t>
            </w:r>
          </w:p>
        </w:tc>
        <w:tc>
          <w:tcPr>
            <w:tcW w:w="610" w:type="pct"/>
            <w:noWrap/>
            <w:hideMark/>
          </w:tcPr>
          <w:p w14:paraId="724B4CC0" w14:textId="77777777" w:rsidR="00FA2FF9" w:rsidRPr="00730DE4" w:rsidRDefault="00FA2FF9" w:rsidP="00393FD1">
            <w:pPr>
              <w:pStyle w:val="NoSpacing"/>
              <w:jc w:val="right"/>
              <w:rPr>
                <w:rFonts w:cs="Arial"/>
                <w:color w:val="000000"/>
                <w:szCs w:val="20"/>
                <w:lang w:eastAsia="en-AU"/>
              </w:rPr>
            </w:pPr>
            <w:r w:rsidRPr="00730DE4">
              <w:t>1951</w:t>
            </w:r>
          </w:p>
        </w:tc>
        <w:tc>
          <w:tcPr>
            <w:tcW w:w="1371" w:type="pct"/>
            <w:noWrap/>
            <w:hideMark/>
          </w:tcPr>
          <w:p w14:paraId="4DCC5451" w14:textId="77777777" w:rsidR="00FA2FF9" w:rsidRPr="00730DE4" w:rsidRDefault="00FA2FF9" w:rsidP="00393FD1">
            <w:pPr>
              <w:pStyle w:val="NoSpacing"/>
              <w:jc w:val="right"/>
              <w:rPr>
                <w:rFonts w:cs="Arial"/>
                <w:color w:val="000000"/>
                <w:szCs w:val="20"/>
                <w:lang w:eastAsia="en-AU"/>
              </w:rPr>
            </w:pPr>
            <w:r w:rsidRPr="00730DE4">
              <w:t>2682</w:t>
            </w:r>
          </w:p>
        </w:tc>
      </w:tr>
      <w:tr w:rsidR="000A65A9" w:rsidRPr="00730DE4" w14:paraId="79DE5291" w14:textId="77777777" w:rsidTr="00BB0F75">
        <w:trPr>
          <w:cnfStyle w:val="000000100000" w:firstRow="0" w:lastRow="0" w:firstColumn="0" w:lastColumn="0" w:oddVBand="0" w:evenVBand="0" w:oddHBand="1" w:evenHBand="0" w:firstRowFirstColumn="0" w:firstRowLastColumn="0" w:lastRowFirstColumn="0" w:lastRowLastColumn="0"/>
          <w:trHeight w:val="255"/>
        </w:trPr>
        <w:tc>
          <w:tcPr>
            <w:tcW w:w="1558" w:type="pct"/>
            <w:noWrap/>
            <w:hideMark/>
          </w:tcPr>
          <w:p w14:paraId="429E3139" w14:textId="77777777" w:rsidR="00FA2FF9" w:rsidRPr="00730DE4" w:rsidRDefault="00FA2FF9" w:rsidP="00E97A82">
            <w:pPr>
              <w:pStyle w:val="NoSpacing"/>
              <w:rPr>
                <w:rFonts w:cs="Arial"/>
                <w:color w:val="000000"/>
                <w:szCs w:val="20"/>
                <w:lang w:eastAsia="en-AU"/>
              </w:rPr>
            </w:pPr>
            <w:r w:rsidRPr="00730DE4">
              <w:rPr>
                <w:rFonts w:cs="Arial"/>
                <w:color w:val="000000"/>
                <w:szCs w:val="20"/>
                <w:lang w:eastAsia="en-AU"/>
              </w:rPr>
              <w:t>AO3</w:t>
            </w:r>
          </w:p>
        </w:tc>
        <w:tc>
          <w:tcPr>
            <w:tcW w:w="719" w:type="pct"/>
            <w:noWrap/>
            <w:hideMark/>
          </w:tcPr>
          <w:p w14:paraId="49D32A5A" w14:textId="77777777" w:rsidR="00FA2FF9" w:rsidRPr="00730DE4" w:rsidRDefault="00FA2FF9" w:rsidP="00393FD1">
            <w:pPr>
              <w:pStyle w:val="NoSpacing"/>
              <w:jc w:val="right"/>
              <w:rPr>
                <w:rFonts w:cs="Arial"/>
                <w:color w:val="000000"/>
                <w:szCs w:val="20"/>
                <w:lang w:eastAsia="en-AU"/>
              </w:rPr>
            </w:pPr>
            <w:r w:rsidRPr="00730DE4">
              <w:t>1569</w:t>
            </w:r>
          </w:p>
        </w:tc>
        <w:tc>
          <w:tcPr>
            <w:tcW w:w="742" w:type="pct"/>
            <w:noWrap/>
            <w:hideMark/>
          </w:tcPr>
          <w:p w14:paraId="450CA5F2" w14:textId="77777777" w:rsidR="00FA2FF9" w:rsidRPr="00730DE4" w:rsidRDefault="00FA2FF9" w:rsidP="00393FD1">
            <w:pPr>
              <w:pStyle w:val="NoSpacing"/>
              <w:jc w:val="right"/>
              <w:rPr>
                <w:rFonts w:cs="Arial"/>
                <w:color w:val="000000"/>
                <w:szCs w:val="20"/>
                <w:lang w:eastAsia="en-AU"/>
              </w:rPr>
            </w:pPr>
            <w:r w:rsidRPr="00730DE4">
              <w:t>484</w:t>
            </w:r>
          </w:p>
        </w:tc>
        <w:tc>
          <w:tcPr>
            <w:tcW w:w="610" w:type="pct"/>
            <w:noWrap/>
            <w:hideMark/>
          </w:tcPr>
          <w:p w14:paraId="11471A4C" w14:textId="77777777" w:rsidR="00FA2FF9" w:rsidRPr="00730DE4" w:rsidRDefault="00FA2FF9" w:rsidP="00393FD1">
            <w:pPr>
              <w:pStyle w:val="NoSpacing"/>
              <w:jc w:val="right"/>
              <w:rPr>
                <w:rFonts w:cs="Arial"/>
                <w:color w:val="000000"/>
                <w:szCs w:val="20"/>
                <w:lang w:eastAsia="en-AU"/>
              </w:rPr>
            </w:pPr>
            <w:r w:rsidRPr="00730DE4">
              <w:t>89</w:t>
            </w:r>
          </w:p>
        </w:tc>
        <w:tc>
          <w:tcPr>
            <w:tcW w:w="1371" w:type="pct"/>
            <w:noWrap/>
            <w:hideMark/>
          </w:tcPr>
          <w:p w14:paraId="6FC87FDE" w14:textId="77777777" w:rsidR="00FA2FF9" w:rsidRPr="00730DE4" w:rsidRDefault="00FA2FF9" w:rsidP="00393FD1">
            <w:pPr>
              <w:pStyle w:val="NoSpacing"/>
              <w:jc w:val="right"/>
              <w:rPr>
                <w:rFonts w:cs="Arial"/>
                <w:color w:val="000000"/>
                <w:szCs w:val="20"/>
                <w:lang w:eastAsia="en-AU"/>
              </w:rPr>
            </w:pPr>
            <w:r w:rsidRPr="00730DE4">
              <w:t>2142</w:t>
            </w:r>
          </w:p>
        </w:tc>
      </w:tr>
      <w:tr w:rsidR="002D6779" w:rsidRPr="00730DE4" w14:paraId="37303AF2" w14:textId="77777777" w:rsidTr="00BB0F75">
        <w:trPr>
          <w:trHeight w:val="255"/>
        </w:trPr>
        <w:tc>
          <w:tcPr>
            <w:tcW w:w="1558" w:type="pct"/>
            <w:noWrap/>
            <w:hideMark/>
          </w:tcPr>
          <w:p w14:paraId="61128CAB" w14:textId="77777777" w:rsidR="00FA2FF9" w:rsidRPr="00730DE4" w:rsidRDefault="00FA2FF9" w:rsidP="00E97A82">
            <w:pPr>
              <w:pStyle w:val="NoSpacing"/>
              <w:rPr>
                <w:rFonts w:cs="Arial"/>
                <w:color w:val="000000"/>
                <w:szCs w:val="20"/>
                <w:lang w:eastAsia="en-AU"/>
              </w:rPr>
            </w:pPr>
            <w:r w:rsidRPr="00730DE4">
              <w:rPr>
                <w:rFonts w:cs="Arial"/>
                <w:color w:val="000000"/>
                <w:szCs w:val="20"/>
                <w:lang w:eastAsia="en-AU"/>
              </w:rPr>
              <w:t>AO4</w:t>
            </w:r>
          </w:p>
        </w:tc>
        <w:tc>
          <w:tcPr>
            <w:tcW w:w="719" w:type="pct"/>
            <w:noWrap/>
            <w:hideMark/>
          </w:tcPr>
          <w:p w14:paraId="1FAB700A" w14:textId="77777777" w:rsidR="00FA2FF9" w:rsidRPr="00730DE4" w:rsidRDefault="00FA2FF9" w:rsidP="00393FD1">
            <w:pPr>
              <w:pStyle w:val="NoSpacing"/>
              <w:jc w:val="right"/>
              <w:rPr>
                <w:rFonts w:cs="Arial"/>
                <w:color w:val="000000"/>
                <w:szCs w:val="20"/>
                <w:lang w:eastAsia="en-AU"/>
              </w:rPr>
            </w:pPr>
            <w:r w:rsidRPr="00730DE4">
              <w:t>1188</w:t>
            </w:r>
          </w:p>
        </w:tc>
        <w:tc>
          <w:tcPr>
            <w:tcW w:w="742" w:type="pct"/>
            <w:noWrap/>
            <w:hideMark/>
          </w:tcPr>
          <w:p w14:paraId="0EF5E309" w14:textId="77777777" w:rsidR="00FA2FF9" w:rsidRPr="00730DE4" w:rsidRDefault="00FA2FF9" w:rsidP="00393FD1">
            <w:pPr>
              <w:pStyle w:val="NoSpacing"/>
              <w:jc w:val="right"/>
              <w:rPr>
                <w:rFonts w:cs="Arial"/>
                <w:color w:val="000000"/>
                <w:szCs w:val="20"/>
                <w:lang w:eastAsia="en-AU"/>
              </w:rPr>
            </w:pPr>
            <w:r w:rsidRPr="00730DE4">
              <w:t>264</w:t>
            </w:r>
          </w:p>
        </w:tc>
        <w:tc>
          <w:tcPr>
            <w:tcW w:w="610" w:type="pct"/>
            <w:noWrap/>
            <w:hideMark/>
          </w:tcPr>
          <w:p w14:paraId="0A139AFA" w14:textId="77777777" w:rsidR="00FA2FF9" w:rsidRPr="00730DE4" w:rsidRDefault="00FA2FF9" w:rsidP="00393FD1">
            <w:pPr>
              <w:pStyle w:val="NoSpacing"/>
              <w:jc w:val="right"/>
              <w:rPr>
                <w:rFonts w:cs="Arial"/>
                <w:color w:val="000000"/>
                <w:szCs w:val="20"/>
                <w:lang w:eastAsia="en-AU"/>
              </w:rPr>
            </w:pPr>
            <w:r w:rsidRPr="00730DE4">
              <w:t>5</w:t>
            </w:r>
          </w:p>
        </w:tc>
        <w:tc>
          <w:tcPr>
            <w:tcW w:w="1371" w:type="pct"/>
            <w:noWrap/>
            <w:hideMark/>
          </w:tcPr>
          <w:p w14:paraId="2D2D1FF8" w14:textId="77777777" w:rsidR="00FA2FF9" w:rsidRPr="00730DE4" w:rsidRDefault="00FA2FF9" w:rsidP="00393FD1">
            <w:pPr>
              <w:pStyle w:val="NoSpacing"/>
              <w:jc w:val="right"/>
              <w:rPr>
                <w:rFonts w:cs="Arial"/>
                <w:color w:val="000000"/>
                <w:szCs w:val="20"/>
                <w:lang w:eastAsia="en-AU"/>
              </w:rPr>
            </w:pPr>
            <w:r w:rsidRPr="00730DE4">
              <w:t>1457</w:t>
            </w:r>
          </w:p>
        </w:tc>
      </w:tr>
      <w:tr w:rsidR="000A65A9" w:rsidRPr="00730DE4" w14:paraId="2A5F0CE0" w14:textId="77777777" w:rsidTr="00BB0F75">
        <w:trPr>
          <w:cnfStyle w:val="000000100000" w:firstRow="0" w:lastRow="0" w:firstColumn="0" w:lastColumn="0" w:oddVBand="0" w:evenVBand="0" w:oddHBand="1" w:evenHBand="0" w:firstRowFirstColumn="0" w:firstRowLastColumn="0" w:lastRowFirstColumn="0" w:lastRowLastColumn="0"/>
          <w:trHeight w:val="255"/>
        </w:trPr>
        <w:tc>
          <w:tcPr>
            <w:tcW w:w="1558" w:type="pct"/>
            <w:noWrap/>
            <w:hideMark/>
          </w:tcPr>
          <w:p w14:paraId="50522530" w14:textId="77777777" w:rsidR="00FA2FF9" w:rsidRPr="00730DE4" w:rsidRDefault="00FA2FF9" w:rsidP="00E97A82">
            <w:pPr>
              <w:pStyle w:val="NoSpacing"/>
              <w:rPr>
                <w:rFonts w:cs="Arial"/>
                <w:color w:val="000000"/>
                <w:szCs w:val="20"/>
                <w:lang w:eastAsia="en-AU"/>
              </w:rPr>
            </w:pPr>
            <w:r w:rsidRPr="00730DE4">
              <w:rPr>
                <w:rFonts w:cs="Arial"/>
                <w:color w:val="000000"/>
                <w:szCs w:val="20"/>
                <w:lang w:eastAsia="en-AU"/>
              </w:rPr>
              <w:t>AO5</w:t>
            </w:r>
          </w:p>
        </w:tc>
        <w:tc>
          <w:tcPr>
            <w:tcW w:w="719" w:type="pct"/>
            <w:noWrap/>
            <w:hideMark/>
          </w:tcPr>
          <w:p w14:paraId="7A698304" w14:textId="77777777" w:rsidR="00FA2FF9" w:rsidRPr="00730DE4" w:rsidRDefault="00FA2FF9" w:rsidP="00393FD1">
            <w:pPr>
              <w:pStyle w:val="NoSpacing"/>
              <w:jc w:val="right"/>
              <w:rPr>
                <w:rFonts w:cs="Arial"/>
                <w:color w:val="000000"/>
                <w:szCs w:val="20"/>
                <w:lang w:eastAsia="en-AU"/>
              </w:rPr>
            </w:pPr>
            <w:r w:rsidRPr="00730DE4">
              <w:t>1309</w:t>
            </w:r>
          </w:p>
        </w:tc>
        <w:tc>
          <w:tcPr>
            <w:tcW w:w="742" w:type="pct"/>
            <w:noWrap/>
            <w:hideMark/>
          </w:tcPr>
          <w:p w14:paraId="3CD435D3" w14:textId="77777777" w:rsidR="00FA2FF9" w:rsidRPr="00730DE4" w:rsidRDefault="00FA2FF9" w:rsidP="00393FD1">
            <w:pPr>
              <w:pStyle w:val="NoSpacing"/>
              <w:jc w:val="right"/>
              <w:rPr>
                <w:rFonts w:cs="Arial"/>
                <w:color w:val="000000"/>
                <w:szCs w:val="20"/>
                <w:lang w:eastAsia="en-AU"/>
              </w:rPr>
            </w:pPr>
            <w:r w:rsidRPr="00730DE4">
              <w:t>129</w:t>
            </w:r>
          </w:p>
        </w:tc>
        <w:tc>
          <w:tcPr>
            <w:tcW w:w="610" w:type="pct"/>
            <w:noWrap/>
            <w:hideMark/>
          </w:tcPr>
          <w:p w14:paraId="3421C5C8" w14:textId="77777777" w:rsidR="00FA2FF9" w:rsidRPr="00730DE4" w:rsidRDefault="00FA2FF9" w:rsidP="00393FD1">
            <w:pPr>
              <w:pStyle w:val="NoSpacing"/>
              <w:jc w:val="right"/>
              <w:rPr>
                <w:rFonts w:cs="Arial"/>
                <w:color w:val="000000"/>
                <w:szCs w:val="20"/>
                <w:lang w:eastAsia="en-AU"/>
              </w:rPr>
            </w:pPr>
            <w:r w:rsidRPr="00730DE4">
              <w:t>1</w:t>
            </w:r>
          </w:p>
        </w:tc>
        <w:tc>
          <w:tcPr>
            <w:tcW w:w="1371" w:type="pct"/>
            <w:noWrap/>
            <w:hideMark/>
          </w:tcPr>
          <w:p w14:paraId="0EAD533D" w14:textId="77777777" w:rsidR="00FA2FF9" w:rsidRPr="00730DE4" w:rsidRDefault="00FA2FF9" w:rsidP="00393FD1">
            <w:pPr>
              <w:pStyle w:val="NoSpacing"/>
              <w:jc w:val="right"/>
              <w:rPr>
                <w:rFonts w:cs="Arial"/>
                <w:color w:val="000000"/>
                <w:szCs w:val="20"/>
                <w:lang w:eastAsia="en-AU"/>
              </w:rPr>
            </w:pPr>
            <w:r w:rsidRPr="00730DE4">
              <w:t>1439</w:t>
            </w:r>
          </w:p>
        </w:tc>
      </w:tr>
      <w:tr w:rsidR="002D6779" w:rsidRPr="00730DE4" w14:paraId="0613F384" w14:textId="77777777" w:rsidTr="00BB0F75">
        <w:trPr>
          <w:trHeight w:val="255"/>
        </w:trPr>
        <w:tc>
          <w:tcPr>
            <w:tcW w:w="1558" w:type="pct"/>
            <w:noWrap/>
            <w:hideMark/>
          </w:tcPr>
          <w:p w14:paraId="1B7DAC51" w14:textId="77777777" w:rsidR="00FA2FF9" w:rsidRPr="00730DE4" w:rsidRDefault="00FA2FF9" w:rsidP="00E97A82">
            <w:pPr>
              <w:pStyle w:val="NoSpacing"/>
              <w:rPr>
                <w:rFonts w:cs="Arial"/>
                <w:color w:val="000000"/>
                <w:szCs w:val="20"/>
                <w:lang w:eastAsia="en-AU"/>
              </w:rPr>
            </w:pPr>
            <w:r w:rsidRPr="00730DE4">
              <w:rPr>
                <w:rFonts w:cs="Arial"/>
                <w:color w:val="000000"/>
                <w:szCs w:val="20"/>
                <w:lang w:eastAsia="en-AU"/>
              </w:rPr>
              <w:t>AO6</w:t>
            </w:r>
          </w:p>
        </w:tc>
        <w:tc>
          <w:tcPr>
            <w:tcW w:w="719" w:type="pct"/>
            <w:noWrap/>
            <w:hideMark/>
          </w:tcPr>
          <w:p w14:paraId="3F486915" w14:textId="77777777" w:rsidR="00FA2FF9" w:rsidRPr="00730DE4" w:rsidRDefault="00FA2FF9" w:rsidP="00393FD1">
            <w:pPr>
              <w:pStyle w:val="NoSpacing"/>
              <w:jc w:val="right"/>
              <w:rPr>
                <w:rFonts w:cs="Arial"/>
                <w:color w:val="000000"/>
                <w:szCs w:val="20"/>
                <w:lang w:eastAsia="en-AU"/>
              </w:rPr>
            </w:pPr>
            <w:r w:rsidRPr="00730DE4">
              <w:t>1190</w:t>
            </w:r>
          </w:p>
        </w:tc>
        <w:tc>
          <w:tcPr>
            <w:tcW w:w="742" w:type="pct"/>
            <w:noWrap/>
            <w:hideMark/>
          </w:tcPr>
          <w:p w14:paraId="57F4134F" w14:textId="77777777" w:rsidR="00FA2FF9" w:rsidRPr="00730DE4" w:rsidRDefault="00FA2FF9" w:rsidP="00393FD1">
            <w:pPr>
              <w:pStyle w:val="NoSpacing"/>
              <w:jc w:val="right"/>
              <w:rPr>
                <w:rFonts w:cs="Arial"/>
                <w:color w:val="000000"/>
                <w:szCs w:val="20"/>
                <w:lang w:eastAsia="en-AU"/>
              </w:rPr>
            </w:pPr>
            <w:r w:rsidRPr="00730DE4">
              <w:t>127</w:t>
            </w:r>
          </w:p>
        </w:tc>
        <w:tc>
          <w:tcPr>
            <w:tcW w:w="610" w:type="pct"/>
            <w:noWrap/>
            <w:hideMark/>
          </w:tcPr>
          <w:p w14:paraId="49959EE2" w14:textId="77777777" w:rsidR="00FA2FF9" w:rsidRPr="00730DE4" w:rsidRDefault="00FA2FF9" w:rsidP="00393FD1">
            <w:pPr>
              <w:pStyle w:val="NoSpacing"/>
              <w:jc w:val="right"/>
              <w:rPr>
                <w:rFonts w:cs="Arial"/>
                <w:color w:val="000000"/>
                <w:szCs w:val="20"/>
                <w:lang w:eastAsia="en-AU"/>
              </w:rPr>
            </w:pPr>
          </w:p>
        </w:tc>
        <w:tc>
          <w:tcPr>
            <w:tcW w:w="1371" w:type="pct"/>
            <w:noWrap/>
            <w:hideMark/>
          </w:tcPr>
          <w:p w14:paraId="0BFD0E22" w14:textId="77777777" w:rsidR="00FA2FF9" w:rsidRPr="00730DE4" w:rsidRDefault="00FA2FF9" w:rsidP="00393FD1">
            <w:pPr>
              <w:pStyle w:val="NoSpacing"/>
              <w:jc w:val="right"/>
              <w:rPr>
                <w:rFonts w:cs="Arial"/>
                <w:color w:val="000000"/>
                <w:szCs w:val="20"/>
                <w:lang w:eastAsia="en-AU"/>
              </w:rPr>
            </w:pPr>
            <w:r w:rsidRPr="00730DE4">
              <w:t>1317</w:t>
            </w:r>
          </w:p>
        </w:tc>
      </w:tr>
      <w:tr w:rsidR="000A65A9" w:rsidRPr="00730DE4" w14:paraId="25857A67" w14:textId="77777777" w:rsidTr="00BB0F75">
        <w:trPr>
          <w:cnfStyle w:val="000000100000" w:firstRow="0" w:lastRow="0" w:firstColumn="0" w:lastColumn="0" w:oddVBand="0" w:evenVBand="0" w:oddHBand="1" w:evenHBand="0" w:firstRowFirstColumn="0" w:firstRowLastColumn="0" w:lastRowFirstColumn="0" w:lastRowLastColumn="0"/>
          <w:trHeight w:val="255"/>
        </w:trPr>
        <w:tc>
          <w:tcPr>
            <w:tcW w:w="1558" w:type="pct"/>
            <w:noWrap/>
            <w:hideMark/>
          </w:tcPr>
          <w:p w14:paraId="4671B52B" w14:textId="77777777" w:rsidR="00FA2FF9" w:rsidRPr="00730DE4" w:rsidRDefault="00FA2FF9" w:rsidP="00E97A82">
            <w:pPr>
              <w:pStyle w:val="NoSpacing"/>
              <w:rPr>
                <w:rFonts w:cs="Arial"/>
                <w:color w:val="000000"/>
                <w:szCs w:val="20"/>
                <w:lang w:eastAsia="en-AU"/>
              </w:rPr>
            </w:pPr>
            <w:r w:rsidRPr="00730DE4">
              <w:rPr>
                <w:rFonts w:cs="Arial"/>
                <w:color w:val="000000"/>
                <w:szCs w:val="20"/>
                <w:lang w:eastAsia="en-AU"/>
              </w:rPr>
              <w:t>AO7</w:t>
            </w:r>
          </w:p>
        </w:tc>
        <w:tc>
          <w:tcPr>
            <w:tcW w:w="719" w:type="pct"/>
            <w:noWrap/>
            <w:hideMark/>
          </w:tcPr>
          <w:p w14:paraId="133FFE87" w14:textId="77777777" w:rsidR="00FA2FF9" w:rsidRPr="00730DE4" w:rsidRDefault="00FA2FF9" w:rsidP="00393FD1">
            <w:pPr>
              <w:pStyle w:val="NoSpacing"/>
              <w:jc w:val="right"/>
              <w:rPr>
                <w:rFonts w:cs="Arial"/>
                <w:color w:val="000000"/>
                <w:szCs w:val="20"/>
                <w:lang w:eastAsia="en-AU"/>
              </w:rPr>
            </w:pPr>
            <w:r w:rsidRPr="00730DE4">
              <w:t>1197</w:t>
            </w:r>
          </w:p>
        </w:tc>
        <w:tc>
          <w:tcPr>
            <w:tcW w:w="742" w:type="pct"/>
            <w:noWrap/>
            <w:hideMark/>
          </w:tcPr>
          <w:p w14:paraId="19143499" w14:textId="77777777" w:rsidR="00FA2FF9" w:rsidRPr="00730DE4" w:rsidRDefault="00FA2FF9" w:rsidP="00393FD1">
            <w:pPr>
              <w:pStyle w:val="NoSpacing"/>
              <w:jc w:val="right"/>
              <w:rPr>
                <w:rFonts w:cs="Arial"/>
                <w:color w:val="000000"/>
                <w:szCs w:val="20"/>
                <w:lang w:eastAsia="en-AU"/>
              </w:rPr>
            </w:pPr>
            <w:r w:rsidRPr="00730DE4">
              <w:t>125</w:t>
            </w:r>
          </w:p>
        </w:tc>
        <w:tc>
          <w:tcPr>
            <w:tcW w:w="610" w:type="pct"/>
            <w:noWrap/>
            <w:hideMark/>
          </w:tcPr>
          <w:p w14:paraId="373283DC" w14:textId="77777777" w:rsidR="00FA2FF9" w:rsidRPr="00730DE4" w:rsidRDefault="00FA2FF9" w:rsidP="00393FD1">
            <w:pPr>
              <w:pStyle w:val="NoSpacing"/>
              <w:jc w:val="right"/>
              <w:rPr>
                <w:rFonts w:cs="Arial"/>
                <w:color w:val="000000"/>
                <w:szCs w:val="20"/>
                <w:lang w:eastAsia="en-AU"/>
              </w:rPr>
            </w:pPr>
            <w:r w:rsidRPr="00730DE4">
              <w:t>10</w:t>
            </w:r>
          </w:p>
        </w:tc>
        <w:tc>
          <w:tcPr>
            <w:tcW w:w="1371" w:type="pct"/>
            <w:noWrap/>
            <w:hideMark/>
          </w:tcPr>
          <w:p w14:paraId="27F96431" w14:textId="77777777" w:rsidR="00FA2FF9" w:rsidRPr="00730DE4" w:rsidRDefault="00FA2FF9" w:rsidP="00393FD1">
            <w:pPr>
              <w:pStyle w:val="NoSpacing"/>
              <w:jc w:val="right"/>
              <w:rPr>
                <w:rFonts w:cs="Arial"/>
                <w:color w:val="000000"/>
                <w:szCs w:val="20"/>
                <w:lang w:eastAsia="en-AU"/>
              </w:rPr>
            </w:pPr>
            <w:r w:rsidRPr="00730DE4">
              <w:t>1332</w:t>
            </w:r>
          </w:p>
        </w:tc>
      </w:tr>
      <w:tr w:rsidR="002D6779" w:rsidRPr="00730DE4" w14:paraId="527DBE18" w14:textId="77777777" w:rsidTr="00BB0F75">
        <w:trPr>
          <w:trHeight w:val="255"/>
        </w:trPr>
        <w:tc>
          <w:tcPr>
            <w:tcW w:w="1558" w:type="pct"/>
            <w:noWrap/>
            <w:hideMark/>
          </w:tcPr>
          <w:p w14:paraId="0CB589A7" w14:textId="77777777" w:rsidR="00FA2FF9" w:rsidRPr="00730DE4" w:rsidRDefault="00FA2FF9" w:rsidP="00E97A82">
            <w:pPr>
              <w:pStyle w:val="NoSpacing"/>
              <w:rPr>
                <w:rFonts w:cs="Arial"/>
                <w:color w:val="000000"/>
                <w:szCs w:val="20"/>
                <w:lang w:eastAsia="en-AU"/>
              </w:rPr>
            </w:pPr>
            <w:r w:rsidRPr="00730DE4">
              <w:rPr>
                <w:rFonts w:cs="Arial"/>
                <w:color w:val="000000"/>
                <w:szCs w:val="20"/>
                <w:lang w:eastAsia="en-AU"/>
              </w:rPr>
              <w:t>AO8</w:t>
            </w:r>
          </w:p>
        </w:tc>
        <w:tc>
          <w:tcPr>
            <w:tcW w:w="719" w:type="pct"/>
            <w:noWrap/>
            <w:hideMark/>
          </w:tcPr>
          <w:p w14:paraId="2B6E830B" w14:textId="77777777" w:rsidR="00FA2FF9" w:rsidRPr="00730DE4" w:rsidRDefault="00FA2FF9" w:rsidP="00393FD1">
            <w:pPr>
              <w:pStyle w:val="NoSpacing"/>
              <w:jc w:val="right"/>
              <w:rPr>
                <w:rFonts w:cs="Arial"/>
                <w:color w:val="000000"/>
                <w:szCs w:val="20"/>
                <w:lang w:eastAsia="en-AU"/>
              </w:rPr>
            </w:pPr>
            <w:r w:rsidRPr="00730DE4">
              <w:t>910</w:t>
            </w:r>
          </w:p>
        </w:tc>
        <w:tc>
          <w:tcPr>
            <w:tcW w:w="742" w:type="pct"/>
            <w:noWrap/>
            <w:hideMark/>
          </w:tcPr>
          <w:p w14:paraId="49A5F963" w14:textId="77777777" w:rsidR="00FA2FF9" w:rsidRPr="00730DE4" w:rsidRDefault="00FA2FF9" w:rsidP="00393FD1">
            <w:pPr>
              <w:pStyle w:val="NoSpacing"/>
              <w:jc w:val="right"/>
              <w:rPr>
                <w:rFonts w:cs="Arial"/>
                <w:color w:val="000000"/>
                <w:szCs w:val="20"/>
                <w:lang w:eastAsia="en-AU"/>
              </w:rPr>
            </w:pPr>
            <w:r w:rsidRPr="00730DE4">
              <w:t>67</w:t>
            </w:r>
          </w:p>
        </w:tc>
        <w:tc>
          <w:tcPr>
            <w:tcW w:w="610" w:type="pct"/>
            <w:noWrap/>
            <w:hideMark/>
          </w:tcPr>
          <w:p w14:paraId="7F5D343C" w14:textId="77777777" w:rsidR="00FA2FF9" w:rsidRPr="00730DE4" w:rsidRDefault="00FA2FF9" w:rsidP="00393FD1">
            <w:pPr>
              <w:pStyle w:val="NoSpacing"/>
              <w:jc w:val="right"/>
              <w:rPr>
                <w:rFonts w:cs="Arial"/>
                <w:color w:val="000000"/>
                <w:szCs w:val="20"/>
                <w:lang w:eastAsia="en-AU"/>
              </w:rPr>
            </w:pPr>
            <w:r w:rsidRPr="00730DE4">
              <w:t>11</w:t>
            </w:r>
          </w:p>
        </w:tc>
        <w:tc>
          <w:tcPr>
            <w:tcW w:w="1371" w:type="pct"/>
            <w:noWrap/>
            <w:hideMark/>
          </w:tcPr>
          <w:p w14:paraId="35A9E9DE" w14:textId="77777777" w:rsidR="00FA2FF9" w:rsidRPr="00730DE4" w:rsidRDefault="00FA2FF9" w:rsidP="00393FD1">
            <w:pPr>
              <w:pStyle w:val="NoSpacing"/>
              <w:jc w:val="right"/>
              <w:rPr>
                <w:rFonts w:cs="Arial"/>
                <w:color w:val="000000"/>
                <w:szCs w:val="20"/>
                <w:lang w:eastAsia="en-AU"/>
              </w:rPr>
            </w:pPr>
            <w:r w:rsidRPr="00730DE4">
              <w:t>988</w:t>
            </w:r>
          </w:p>
        </w:tc>
      </w:tr>
      <w:tr w:rsidR="000A65A9" w:rsidRPr="00730DE4" w14:paraId="770BA454" w14:textId="77777777" w:rsidTr="00BB0F75">
        <w:trPr>
          <w:cnfStyle w:val="000000100000" w:firstRow="0" w:lastRow="0" w:firstColumn="0" w:lastColumn="0" w:oddVBand="0" w:evenVBand="0" w:oddHBand="1" w:evenHBand="0" w:firstRowFirstColumn="0" w:firstRowLastColumn="0" w:lastRowFirstColumn="0" w:lastRowLastColumn="0"/>
          <w:trHeight w:val="255"/>
        </w:trPr>
        <w:tc>
          <w:tcPr>
            <w:tcW w:w="1558" w:type="pct"/>
            <w:noWrap/>
            <w:hideMark/>
          </w:tcPr>
          <w:p w14:paraId="3CF26D65" w14:textId="77777777" w:rsidR="00FA2FF9" w:rsidRPr="00730DE4" w:rsidRDefault="00FA2FF9" w:rsidP="00E97A82">
            <w:pPr>
              <w:pStyle w:val="NoSpacing"/>
              <w:rPr>
                <w:rFonts w:cs="Arial"/>
                <w:color w:val="000000"/>
                <w:szCs w:val="20"/>
                <w:lang w:eastAsia="en-AU"/>
              </w:rPr>
            </w:pPr>
            <w:r w:rsidRPr="00730DE4">
              <w:rPr>
                <w:rFonts w:cs="Arial"/>
                <w:color w:val="000000"/>
                <w:szCs w:val="20"/>
                <w:lang w:eastAsia="en-AU"/>
              </w:rPr>
              <w:t>SO</w:t>
            </w:r>
          </w:p>
        </w:tc>
        <w:tc>
          <w:tcPr>
            <w:tcW w:w="719" w:type="pct"/>
            <w:noWrap/>
            <w:hideMark/>
          </w:tcPr>
          <w:p w14:paraId="3B5B8AE4" w14:textId="77777777" w:rsidR="00FA2FF9" w:rsidRPr="00730DE4" w:rsidRDefault="00FA2FF9" w:rsidP="00393FD1">
            <w:pPr>
              <w:pStyle w:val="NoSpacing"/>
              <w:jc w:val="right"/>
              <w:rPr>
                <w:rFonts w:cs="Arial"/>
                <w:color w:val="000000"/>
                <w:szCs w:val="20"/>
                <w:lang w:eastAsia="en-AU"/>
              </w:rPr>
            </w:pPr>
            <w:r w:rsidRPr="00730DE4">
              <w:t>336</w:t>
            </w:r>
          </w:p>
        </w:tc>
        <w:tc>
          <w:tcPr>
            <w:tcW w:w="742" w:type="pct"/>
            <w:noWrap/>
            <w:hideMark/>
          </w:tcPr>
          <w:p w14:paraId="41EC2671" w14:textId="77777777" w:rsidR="00FA2FF9" w:rsidRPr="00730DE4" w:rsidRDefault="00FA2FF9" w:rsidP="00393FD1">
            <w:pPr>
              <w:pStyle w:val="NoSpacing"/>
              <w:jc w:val="right"/>
              <w:rPr>
                <w:rFonts w:cs="Arial"/>
                <w:color w:val="000000"/>
                <w:szCs w:val="20"/>
                <w:lang w:eastAsia="en-AU"/>
              </w:rPr>
            </w:pPr>
            <w:r w:rsidRPr="00730DE4">
              <w:t>13</w:t>
            </w:r>
          </w:p>
        </w:tc>
        <w:tc>
          <w:tcPr>
            <w:tcW w:w="610" w:type="pct"/>
            <w:noWrap/>
            <w:hideMark/>
          </w:tcPr>
          <w:p w14:paraId="1B8BA02F" w14:textId="77777777" w:rsidR="00FA2FF9" w:rsidRPr="00730DE4" w:rsidRDefault="00FA2FF9" w:rsidP="00393FD1">
            <w:pPr>
              <w:pStyle w:val="NoSpacing"/>
              <w:jc w:val="right"/>
              <w:rPr>
                <w:rFonts w:cs="Arial"/>
                <w:color w:val="000000"/>
                <w:szCs w:val="20"/>
                <w:lang w:eastAsia="en-AU"/>
              </w:rPr>
            </w:pPr>
          </w:p>
        </w:tc>
        <w:tc>
          <w:tcPr>
            <w:tcW w:w="1371" w:type="pct"/>
            <w:noWrap/>
            <w:hideMark/>
          </w:tcPr>
          <w:p w14:paraId="568CEA76" w14:textId="77777777" w:rsidR="00FA2FF9" w:rsidRPr="00730DE4" w:rsidRDefault="00FA2FF9" w:rsidP="00393FD1">
            <w:pPr>
              <w:pStyle w:val="NoSpacing"/>
              <w:jc w:val="right"/>
              <w:rPr>
                <w:rFonts w:cs="Arial"/>
                <w:color w:val="000000"/>
                <w:szCs w:val="20"/>
                <w:lang w:eastAsia="en-AU"/>
              </w:rPr>
            </w:pPr>
            <w:r w:rsidRPr="00730DE4">
              <w:t>349</w:t>
            </w:r>
          </w:p>
        </w:tc>
      </w:tr>
      <w:tr w:rsidR="002D6779" w:rsidRPr="00730DE4" w14:paraId="666858BE" w14:textId="77777777" w:rsidTr="00BB0F75">
        <w:trPr>
          <w:trHeight w:val="255"/>
        </w:trPr>
        <w:tc>
          <w:tcPr>
            <w:tcW w:w="1558" w:type="pct"/>
            <w:noWrap/>
            <w:hideMark/>
          </w:tcPr>
          <w:p w14:paraId="14AC2733" w14:textId="77777777" w:rsidR="00FA2FF9" w:rsidRPr="00730DE4" w:rsidRDefault="00FA2FF9" w:rsidP="00E97A82">
            <w:pPr>
              <w:pStyle w:val="NoSpacing"/>
              <w:rPr>
                <w:rFonts w:cs="Arial"/>
                <w:color w:val="000000"/>
                <w:szCs w:val="20"/>
                <w:lang w:eastAsia="en-AU"/>
              </w:rPr>
            </w:pPr>
            <w:r w:rsidRPr="00730DE4">
              <w:rPr>
                <w:rFonts w:cs="Arial"/>
                <w:color w:val="000000"/>
                <w:szCs w:val="20"/>
                <w:lang w:eastAsia="en-AU"/>
              </w:rPr>
              <w:t>SES</w:t>
            </w:r>
          </w:p>
        </w:tc>
        <w:tc>
          <w:tcPr>
            <w:tcW w:w="719" w:type="pct"/>
            <w:noWrap/>
            <w:hideMark/>
          </w:tcPr>
          <w:p w14:paraId="2B688C98" w14:textId="77777777" w:rsidR="00FA2FF9" w:rsidRPr="00730DE4" w:rsidRDefault="00FA2FF9" w:rsidP="00393FD1">
            <w:pPr>
              <w:pStyle w:val="NoSpacing"/>
              <w:jc w:val="right"/>
              <w:rPr>
                <w:rFonts w:cs="Arial"/>
                <w:color w:val="000000"/>
                <w:szCs w:val="20"/>
                <w:lang w:eastAsia="en-AU"/>
              </w:rPr>
            </w:pPr>
            <w:r w:rsidRPr="00730DE4">
              <w:t>140</w:t>
            </w:r>
          </w:p>
        </w:tc>
        <w:tc>
          <w:tcPr>
            <w:tcW w:w="742" w:type="pct"/>
            <w:noWrap/>
            <w:hideMark/>
          </w:tcPr>
          <w:p w14:paraId="64E67E7B" w14:textId="77777777" w:rsidR="00FA2FF9" w:rsidRPr="00730DE4" w:rsidRDefault="00FA2FF9" w:rsidP="00393FD1">
            <w:pPr>
              <w:pStyle w:val="NoSpacing"/>
              <w:jc w:val="right"/>
              <w:rPr>
                <w:rFonts w:cs="Arial"/>
                <w:color w:val="000000"/>
                <w:szCs w:val="20"/>
                <w:lang w:eastAsia="en-AU"/>
              </w:rPr>
            </w:pPr>
            <w:r w:rsidRPr="00730DE4">
              <w:t>4</w:t>
            </w:r>
          </w:p>
        </w:tc>
        <w:tc>
          <w:tcPr>
            <w:tcW w:w="610" w:type="pct"/>
            <w:noWrap/>
            <w:hideMark/>
          </w:tcPr>
          <w:p w14:paraId="798F17A9" w14:textId="77777777" w:rsidR="00FA2FF9" w:rsidRPr="00730DE4" w:rsidRDefault="00FA2FF9" w:rsidP="00393FD1">
            <w:pPr>
              <w:pStyle w:val="NoSpacing"/>
              <w:jc w:val="right"/>
              <w:rPr>
                <w:rFonts w:cs="Arial"/>
                <w:color w:val="000000"/>
                <w:szCs w:val="20"/>
                <w:lang w:eastAsia="en-AU"/>
              </w:rPr>
            </w:pPr>
          </w:p>
        </w:tc>
        <w:tc>
          <w:tcPr>
            <w:tcW w:w="1371" w:type="pct"/>
            <w:noWrap/>
            <w:hideMark/>
          </w:tcPr>
          <w:p w14:paraId="018BAC94" w14:textId="77777777" w:rsidR="00FA2FF9" w:rsidRPr="00730DE4" w:rsidRDefault="00FA2FF9" w:rsidP="00393FD1">
            <w:pPr>
              <w:pStyle w:val="NoSpacing"/>
              <w:jc w:val="right"/>
              <w:rPr>
                <w:rFonts w:cs="Arial"/>
                <w:color w:val="000000"/>
                <w:szCs w:val="20"/>
                <w:lang w:eastAsia="en-AU"/>
              </w:rPr>
            </w:pPr>
            <w:r w:rsidRPr="00730DE4">
              <w:t>144</w:t>
            </w:r>
          </w:p>
        </w:tc>
      </w:tr>
      <w:tr w:rsidR="000A65A9" w:rsidRPr="00730DE4" w14:paraId="6E40317D" w14:textId="77777777" w:rsidTr="00BB0F75">
        <w:trPr>
          <w:cnfStyle w:val="010000000000" w:firstRow="0" w:lastRow="1" w:firstColumn="0" w:lastColumn="0" w:oddVBand="0" w:evenVBand="0" w:oddHBand="0" w:evenHBand="0" w:firstRowFirstColumn="0" w:firstRowLastColumn="0" w:lastRowFirstColumn="0" w:lastRowLastColumn="0"/>
          <w:trHeight w:val="255"/>
        </w:trPr>
        <w:tc>
          <w:tcPr>
            <w:tcW w:w="1558" w:type="pct"/>
            <w:noWrap/>
            <w:hideMark/>
          </w:tcPr>
          <w:p w14:paraId="4C216CF5" w14:textId="77777777" w:rsidR="00FA2FF9" w:rsidRPr="00730DE4" w:rsidRDefault="00FA2FF9" w:rsidP="00E97A82">
            <w:pPr>
              <w:pStyle w:val="NoSpacing"/>
              <w:rPr>
                <w:rFonts w:cs="Arial"/>
                <w:color w:val="000000"/>
                <w:szCs w:val="20"/>
                <w:lang w:eastAsia="en-AU"/>
              </w:rPr>
            </w:pPr>
            <w:r w:rsidRPr="00730DE4">
              <w:rPr>
                <w:rFonts w:cs="Arial"/>
                <w:color w:val="000000"/>
                <w:szCs w:val="20"/>
                <w:lang w:eastAsia="en-AU"/>
              </w:rPr>
              <w:t>Grand Total</w:t>
            </w:r>
          </w:p>
        </w:tc>
        <w:tc>
          <w:tcPr>
            <w:tcW w:w="719" w:type="pct"/>
            <w:noWrap/>
            <w:hideMark/>
          </w:tcPr>
          <w:p w14:paraId="395DC294" w14:textId="77777777" w:rsidR="00FA2FF9" w:rsidRPr="00730DE4" w:rsidRDefault="00FA2FF9" w:rsidP="00393FD1">
            <w:pPr>
              <w:pStyle w:val="NoSpacing"/>
              <w:jc w:val="right"/>
              <w:rPr>
                <w:rFonts w:cs="Arial"/>
                <w:color w:val="000000"/>
                <w:szCs w:val="20"/>
                <w:lang w:eastAsia="en-AU"/>
              </w:rPr>
            </w:pPr>
            <w:r w:rsidRPr="00730DE4">
              <w:t>8536</w:t>
            </w:r>
          </w:p>
        </w:tc>
        <w:tc>
          <w:tcPr>
            <w:tcW w:w="742" w:type="pct"/>
            <w:noWrap/>
            <w:hideMark/>
          </w:tcPr>
          <w:p w14:paraId="5CFE7DDB" w14:textId="77777777" w:rsidR="00FA2FF9" w:rsidRPr="00730DE4" w:rsidRDefault="00FA2FF9" w:rsidP="00393FD1">
            <w:pPr>
              <w:pStyle w:val="NoSpacing"/>
              <w:jc w:val="right"/>
              <w:rPr>
                <w:rFonts w:cs="Arial"/>
                <w:color w:val="000000"/>
                <w:szCs w:val="20"/>
                <w:lang w:eastAsia="en-AU"/>
              </w:rPr>
            </w:pPr>
            <w:r w:rsidRPr="00730DE4">
              <w:t>1257</w:t>
            </w:r>
          </w:p>
        </w:tc>
        <w:tc>
          <w:tcPr>
            <w:tcW w:w="610" w:type="pct"/>
            <w:noWrap/>
            <w:hideMark/>
          </w:tcPr>
          <w:p w14:paraId="2A2F2F73" w14:textId="77777777" w:rsidR="00FA2FF9" w:rsidRPr="00730DE4" w:rsidRDefault="00FA2FF9" w:rsidP="00393FD1">
            <w:pPr>
              <w:pStyle w:val="NoSpacing"/>
              <w:jc w:val="right"/>
              <w:rPr>
                <w:rFonts w:cs="Arial"/>
                <w:color w:val="000000"/>
                <w:szCs w:val="20"/>
                <w:lang w:eastAsia="en-AU"/>
              </w:rPr>
            </w:pPr>
            <w:r w:rsidRPr="00730DE4">
              <w:t>2067</w:t>
            </w:r>
          </w:p>
        </w:tc>
        <w:tc>
          <w:tcPr>
            <w:tcW w:w="1371" w:type="pct"/>
            <w:noWrap/>
            <w:hideMark/>
          </w:tcPr>
          <w:p w14:paraId="6F3C100A" w14:textId="77777777" w:rsidR="00FA2FF9" w:rsidRPr="00730DE4" w:rsidRDefault="00FA2FF9" w:rsidP="00393FD1">
            <w:pPr>
              <w:pStyle w:val="NoSpacing"/>
              <w:jc w:val="right"/>
              <w:rPr>
                <w:rFonts w:cs="Arial"/>
                <w:color w:val="000000"/>
                <w:szCs w:val="20"/>
                <w:lang w:eastAsia="en-AU"/>
              </w:rPr>
            </w:pPr>
            <w:r w:rsidRPr="00730DE4">
              <w:t>11,860</w:t>
            </w:r>
          </w:p>
        </w:tc>
      </w:tr>
    </w:tbl>
    <w:p w14:paraId="2A8E73FF" w14:textId="77777777" w:rsidR="00FA2FF9" w:rsidRPr="00730DE4" w:rsidRDefault="00FA2FF9" w:rsidP="00BB0F75">
      <w:pPr>
        <w:pStyle w:val="FigureCaption"/>
      </w:pPr>
    </w:p>
    <w:tbl>
      <w:tblPr>
        <w:tblStyle w:val="TMRDefault"/>
        <w:tblW w:w="4994" w:type="pct"/>
        <w:tblInd w:w="5" w:type="dxa"/>
        <w:tblLook w:val="04A0" w:firstRow="1" w:lastRow="0" w:firstColumn="1" w:lastColumn="0" w:noHBand="0" w:noVBand="1"/>
      </w:tblPr>
      <w:tblGrid>
        <w:gridCol w:w="1999"/>
        <w:gridCol w:w="1303"/>
        <w:gridCol w:w="1278"/>
        <w:gridCol w:w="1345"/>
        <w:gridCol w:w="3124"/>
      </w:tblGrid>
      <w:tr w:rsidR="000A65A9" w:rsidRPr="00730DE4" w14:paraId="397C17E4" w14:textId="77777777" w:rsidTr="00E97A82">
        <w:trPr>
          <w:cnfStyle w:val="100000000000" w:firstRow="1" w:lastRow="0" w:firstColumn="0" w:lastColumn="0" w:oddVBand="0" w:evenVBand="0" w:oddHBand="0" w:evenHBand="0" w:firstRowFirstColumn="0" w:firstRowLastColumn="0" w:lastRowFirstColumn="0" w:lastRowLastColumn="0"/>
          <w:trHeight w:val="255"/>
        </w:trPr>
        <w:tc>
          <w:tcPr>
            <w:tcW w:w="1105" w:type="pct"/>
            <w:noWrap/>
          </w:tcPr>
          <w:p w14:paraId="3604CC50" w14:textId="77777777" w:rsidR="00FA2FF9" w:rsidRPr="00730DE4" w:rsidRDefault="00FA2FF9" w:rsidP="006761E8">
            <w:pPr>
              <w:pStyle w:val="NoSpacing"/>
              <w:rPr>
                <w:color w:val="FFFFFF" w:themeColor="background1"/>
              </w:rPr>
            </w:pPr>
            <w:r w:rsidRPr="00730DE4">
              <w:rPr>
                <w:color w:val="FFFFFF" w:themeColor="background1"/>
                <w:lang w:eastAsia="en-AU"/>
              </w:rPr>
              <w:t>Comparison</w:t>
            </w:r>
          </w:p>
        </w:tc>
        <w:tc>
          <w:tcPr>
            <w:tcW w:w="720" w:type="pct"/>
            <w:noWrap/>
          </w:tcPr>
          <w:p w14:paraId="711EE842" w14:textId="77777777" w:rsidR="00FA2FF9" w:rsidRPr="00730DE4" w:rsidRDefault="00FA2FF9" w:rsidP="00393FD1">
            <w:pPr>
              <w:pStyle w:val="NoSpacing"/>
              <w:jc w:val="right"/>
              <w:rPr>
                <w:color w:val="FFFFFF" w:themeColor="background1"/>
              </w:rPr>
            </w:pPr>
            <w:r w:rsidRPr="00730DE4">
              <w:rPr>
                <w:color w:val="FFFFFF" w:themeColor="background1"/>
              </w:rPr>
              <w:t>Full time</w:t>
            </w:r>
          </w:p>
        </w:tc>
        <w:tc>
          <w:tcPr>
            <w:tcW w:w="706" w:type="pct"/>
            <w:noWrap/>
          </w:tcPr>
          <w:p w14:paraId="49C12BF4" w14:textId="77777777" w:rsidR="00FA2FF9" w:rsidRPr="00730DE4" w:rsidRDefault="00FA2FF9" w:rsidP="00393FD1">
            <w:pPr>
              <w:pStyle w:val="NoSpacing"/>
              <w:jc w:val="right"/>
              <w:rPr>
                <w:b w:val="0"/>
                <w:color w:val="FFFFFF" w:themeColor="background1"/>
              </w:rPr>
            </w:pPr>
            <w:r w:rsidRPr="00730DE4">
              <w:rPr>
                <w:b w:val="0"/>
                <w:color w:val="FFFFFF" w:themeColor="background1"/>
              </w:rPr>
              <w:t>Part time</w:t>
            </w:r>
          </w:p>
        </w:tc>
        <w:tc>
          <w:tcPr>
            <w:tcW w:w="743" w:type="pct"/>
            <w:noWrap/>
          </w:tcPr>
          <w:p w14:paraId="12C012C6" w14:textId="77777777" w:rsidR="00FA2FF9" w:rsidRPr="00730DE4" w:rsidRDefault="00FA2FF9" w:rsidP="00393FD1">
            <w:pPr>
              <w:pStyle w:val="NoSpacing"/>
              <w:jc w:val="right"/>
              <w:rPr>
                <w:b w:val="0"/>
                <w:color w:val="FFFFFF" w:themeColor="background1"/>
              </w:rPr>
            </w:pPr>
            <w:r w:rsidRPr="00730DE4">
              <w:rPr>
                <w:b w:val="0"/>
                <w:color w:val="FFFFFF" w:themeColor="background1"/>
              </w:rPr>
              <w:t>Casual</w:t>
            </w:r>
          </w:p>
        </w:tc>
        <w:tc>
          <w:tcPr>
            <w:tcW w:w="1726" w:type="pct"/>
            <w:noWrap/>
          </w:tcPr>
          <w:p w14:paraId="6D9CF551" w14:textId="77777777" w:rsidR="00FA2FF9" w:rsidRPr="00730DE4" w:rsidRDefault="00FA2FF9" w:rsidP="00393FD1">
            <w:pPr>
              <w:pStyle w:val="NoSpacing"/>
              <w:jc w:val="right"/>
              <w:rPr>
                <w:b w:val="0"/>
                <w:color w:val="FFFFFF" w:themeColor="background1"/>
              </w:rPr>
            </w:pPr>
            <w:r w:rsidRPr="00730DE4">
              <w:rPr>
                <w:b w:val="0"/>
                <w:color w:val="FFFFFF" w:themeColor="background1"/>
              </w:rPr>
              <w:t>Total</w:t>
            </w:r>
          </w:p>
        </w:tc>
      </w:tr>
      <w:tr w:rsidR="000A65A9" w:rsidRPr="00730DE4" w14:paraId="06FED45D" w14:textId="77777777" w:rsidTr="00E97A82">
        <w:trPr>
          <w:cnfStyle w:val="000000100000" w:firstRow="0" w:lastRow="0" w:firstColumn="0" w:lastColumn="0" w:oddVBand="0" w:evenVBand="0" w:oddHBand="1" w:evenHBand="0" w:firstRowFirstColumn="0" w:firstRowLastColumn="0" w:lastRowFirstColumn="0" w:lastRowLastColumn="0"/>
          <w:trHeight w:val="255"/>
        </w:trPr>
        <w:tc>
          <w:tcPr>
            <w:tcW w:w="1105" w:type="pct"/>
            <w:noWrap/>
          </w:tcPr>
          <w:p w14:paraId="68AD5C38" w14:textId="77777777" w:rsidR="00FA2FF9" w:rsidRPr="00730DE4" w:rsidRDefault="00FA2FF9" w:rsidP="00E97A82">
            <w:pPr>
              <w:pStyle w:val="NoSpacing"/>
              <w:rPr>
                <w:lang w:eastAsia="en-AU"/>
              </w:rPr>
            </w:pPr>
            <w:r w:rsidRPr="00730DE4">
              <w:rPr>
                <w:lang w:eastAsia="en-AU"/>
              </w:rPr>
              <w:t>Mar—24</w:t>
            </w:r>
          </w:p>
        </w:tc>
        <w:tc>
          <w:tcPr>
            <w:tcW w:w="720" w:type="pct"/>
            <w:noWrap/>
          </w:tcPr>
          <w:p w14:paraId="5DB7BABE" w14:textId="77777777" w:rsidR="00FA2FF9" w:rsidRPr="00730DE4" w:rsidRDefault="00FA2FF9" w:rsidP="00393FD1">
            <w:pPr>
              <w:pStyle w:val="NoSpacing"/>
              <w:jc w:val="right"/>
              <w:rPr>
                <w:lang w:eastAsia="en-AU"/>
              </w:rPr>
            </w:pPr>
            <w:r w:rsidRPr="00730DE4">
              <w:t>8536</w:t>
            </w:r>
          </w:p>
        </w:tc>
        <w:tc>
          <w:tcPr>
            <w:tcW w:w="706" w:type="pct"/>
            <w:noWrap/>
          </w:tcPr>
          <w:p w14:paraId="6C83E22A" w14:textId="77777777" w:rsidR="00FA2FF9" w:rsidRPr="00730DE4" w:rsidRDefault="00FA2FF9" w:rsidP="00393FD1">
            <w:pPr>
              <w:pStyle w:val="NoSpacing"/>
              <w:jc w:val="right"/>
              <w:rPr>
                <w:lang w:eastAsia="en-AU"/>
              </w:rPr>
            </w:pPr>
            <w:r w:rsidRPr="00730DE4">
              <w:t>1257</w:t>
            </w:r>
          </w:p>
        </w:tc>
        <w:tc>
          <w:tcPr>
            <w:tcW w:w="743" w:type="pct"/>
            <w:noWrap/>
          </w:tcPr>
          <w:p w14:paraId="1A88489E" w14:textId="77777777" w:rsidR="00FA2FF9" w:rsidRPr="00730DE4" w:rsidRDefault="00FA2FF9" w:rsidP="00393FD1">
            <w:pPr>
              <w:pStyle w:val="NoSpacing"/>
              <w:jc w:val="right"/>
              <w:rPr>
                <w:lang w:eastAsia="en-AU"/>
              </w:rPr>
            </w:pPr>
            <w:r w:rsidRPr="00730DE4">
              <w:t>2067</w:t>
            </w:r>
          </w:p>
        </w:tc>
        <w:tc>
          <w:tcPr>
            <w:tcW w:w="1726" w:type="pct"/>
            <w:noWrap/>
          </w:tcPr>
          <w:p w14:paraId="7956837A" w14:textId="77777777" w:rsidR="00FA2FF9" w:rsidRPr="00730DE4" w:rsidRDefault="00FA2FF9" w:rsidP="00393FD1">
            <w:pPr>
              <w:pStyle w:val="NoSpacing"/>
              <w:jc w:val="right"/>
              <w:rPr>
                <w:lang w:eastAsia="en-AU"/>
              </w:rPr>
            </w:pPr>
            <w:r w:rsidRPr="00730DE4">
              <w:t>11,860</w:t>
            </w:r>
          </w:p>
        </w:tc>
      </w:tr>
      <w:tr w:rsidR="002D6779" w:rsidRPr="00730DE4" w14:paraId="4D430B89" w14:textId="77777777" w:rsidTr="00E97A82">
        <w:trPr>
          <w:trHeight w:val="255"/>
        </w:trPr>
        <w:tc>
          <w:tcPr>
            <w:tcW w:w="1105" w:type="pct"/>
            <w:noWrap/>
            <w:hideMark/>
          </w:tcPr>
          <w:p w14:paraId="79259CC5" w14:textId="77777777" w:rsidR="00FA2FF9" w:rsidRPr="00730DE4" w:rsidRDefault="00FA2FF9" w:rsidP="00E97A82">
            <w:pPr>
              <w:pStyle w:val="NoSpacing"/>
              <w:rPr>
                <w:lang w:eastAsia="en-AU"/>
              </w:rPr>
            </w:pPr>
            <w:r w:rsidRPr="00730DE4">
              <w:rPr>
                <w:lang w:eastAsia="en-AU"/>
              </w:rPr>
              <w:t>Jun—23</w:t>
            </w:r>
          </w:p>
        </w:tc>
        <w:tc>
          <w:tcPr>
            <w:tcW w:w="720" w:type="pct"/>
            <w:noWrap/>
            <w:hideMark/>
          </w:tcPr>
          <w:p w14:paraId="32FC191E" w14:textId="77777777" w:rsidR="00FA2FF9" w:rsidRPr="00730DE4" w:rsidRDefault="00FA2FF9" w:rsidP="00393FD1">
            <w:pPr>
              <w:pStyle w:val="NoSpacing"/>
              <w:jc w:val="right"/>
              <w:rPr>
                <w:lang w:eastAsia="en-AU"/>
              </w:rPr>
            </w:pPr>
            <w:r w:rsidRPr="00730DE4">
              <w:t>8363</w:t>
            </w:r>
          </w:p>
        </w:tc>
        <w:tc>
          <w:tcPr>
            <w:tcW w:w="706" w:type="pct"/>
            <w:noWrap/>
            <w:hideMark/>
          </w:tcPr>
          <w:p w14:paraId="0C5C6EF1" w14:textId="77777777" w:rsidR="00FA2FF9" w:rsidRPr="00730DE4" w:rsidRDefault="00FA2FF9" w:rsidP="00393FD1">
            <w:pPr>
              <w:pStyle w:val="NoSpacing"/>
              <w:jc w:val="right"/>
              <w:rPr>
                <w:lang w:eastAsia="en-AU"/>
              </w:rPr>
            </w:pPr>
            <w:r w:rsidRPr="00730DE4">
              <w:t>1246</w:t>
            </w:r>
          </w:p>
        </w:tc>
        <w:tc>
          <w:tcPr>
            <w:tcW w:w="743" w:type="pct"/>
            <w:noWrap/>
            <w:hideMark/>
          </w:tcPr>
          <w:p w14:paraId="5118BB43" w14:textId="77777777" w:rsidR="00FA2FF9" w:rsidRPr="00730DE4" w:rsidRDefault="00FA2FF9" w:rsidP="00393FD1">
            <w:pPr>
              <w:pStyle w:val="NoSpacing"/>
              <w:jc w:val="right"/>
              <w:rPr>
                <w:lang w:eastAsia="en-AU"/>
              </w:rPr>
            </w:pPr>
            <w:r w:rsidRPr="00730DE4">
              <w:t>2027</w:t>
            </w:r>
          </w:p>
        </w:tc>
        <w:tc>
          <w:tcPr>
            <w:tcW w:w="1726" w:type="pct"/>
            <w:noWrap/>
            <w:hideMark/>
          </w:tcPr>
          <w:p w14:paraId="3CD4DD85" w14:textId="77777777" w:rsidR="00FA2FF9" w:rsidRPr="00730DE4" w:rsidRDefault="00FA2FF9" w:rsidP="00393FD1">
            <w:pPr>
              <w:pStyle w:val="NoSpacing"/>
              <w:jc w:val="right"/>
              <w:rPr>
                <w:lang w:eastAsia="en-AU"/>
              </w:rPr>
            </w:pPr>
            <w:r w:rsidRPr="00730DE4">
              <w:t>11,636</w:t>
            </w:r>
          </w:p>
        </w:tc>
      </w:tr>
      <w:tr w:rsidR="000A65A9" w:rsidRPr="00730DE4" w14:paraId="7003E991" w14:textId="77777777" w:rsidTr="00E97A82">
        <w:trPr>
          <w:cnfStyle w:val="000000100000" w:firstRow="0" w:lastRow="0" w:firstColumn="0" w:lastColumn="0" w:oddVBand="0" w:evenVBand="0" w:oddHBand="1" w:evenHBand="0" w:firstRowFirstColumn="0" w:firstRowLastColumn="0" w:lastRowFirstColumn="0" w:lastRowLastColumn="0"/>
          <w:trHeight w:val="255"/>
        </w:trPr>
        <w:tc>
          <w:tcPr>
            <w:tcW w:w="1105" w:type="pct"/>
            <w:noWrap/>
            <w:hideMark/>
          </w:tcPr>
          <w:p w14:paraId="201E66E8" w14:textId="77777777" w:rsidR="00FA2FF9" w:rsidRPr="00730DE4" w:rsidRDefault="00FA2FF9" w:rsidP="00E97A82">
            <w:pPr>
              <w:pStyle w:val="NoSpacing"/>
              <w:rPr>
                <w:color w:val="auto"/>
                <w:lang w:eastAsia="en-AU"/>
              </w:rPr>
            </w:pPr>
            <w:r w:rsidRPr="00730DE4">
              <w:rPr>
                <w:color w:val="auto"/>
                <w:lang w:eastAsia="en-AU"/>
              </w:rPr>
              <w:t>Jun—22</w:t>
            </w:r>
          </w:p>
        </w:tc>
        <w:tc>
          <w:tcPr>
            <w:tcW w:w="720" w:type="pct"/>
            <w:noWrap/>
            <w:hideMark/>
          </w:tcPr>
          <w:p w14:paraId="495E877B" w14:textId="77777777" w:rsidR="00FA2FF9" w:rsidRPr="00730DE4" w:rsidRDefault="00FA2FF9" w:rsidP="00393FD1">
            <w:pPr>
              <w:pStyle w:val="NoSpacing"/>
              <w:jc w:val="right"/>
              <w:rPr>
                <w:lang w:eastAsia="en-AU"/>
              </w:rPr>
            </w:pPr>
            <w:r w:rsidRPr="00730DE4">
              <w:t>6606</w:t>
            </w:r>
          </w:p>
        </w:tc>
        <w:tc>
          <w:tcPr>
            <w:tcW w:w="706" w:type="pct"/>
            <w:noWrap/>
            <w:hideMark/>
          </w:tcPr>
          <w:p w14:paraId="4A80522C" w14:textId="77777777" w:rsidR="00FA2FF9" w:rsidRPr="00730DE4" w:rsidRDefault="00FA2FF9" w:rsidP="00393FD1">
            <w:pPr>
              <w:pStyle w:val="NoSpacing"/>
              <w:jc w:val="right"/>
              <w:rPr>
                <w:lang w:eastAsia="en-AU"/>
              </w:rPr>
            </w:pPr>
            <w:r w:rsidRPr="00730DE4">
              <w:t>907</w:t>
            </w:r>
          </w:p>
        </w:tc>
        <w:tc>
          <w:tcPr>
            <w:tcW w:w="743" w:type="pct"/>
            <w:noWrap/>
            <w:hideMark/>
          </w:tcPr>
          <w:p w14:paraId="37DD4FAE" w14:textId="77777777" w:rsidR="00FA2FF9" w:rsidRPr="00730DE4" w:rsidRDefault="00FA2FF9" w:rsidP="00393FD1">
            <w:pPr>
              <w:pStyle w:val="NoSpacing"/>
              <w:jc w:val="right"/>
              <w:rPr>
                <w:lang w:eastAsia="en-AU"/>
              </w:rPr>
            </w:pPr>
            <w:r w:rsidRPr="00730DE4">
              <w:t>1961</w:t>
            </w:r>
          </w:p>
        </w:tc>
        <w:tc>
          <w:tcPr>
            <w:tcW w:w="1726" w:type="pct"/>
            <w:noWrap/>
            <w:hideMark/>
          </w:tcPr>
          <w:p w14:paraId="40469D0E" w14:textId="77777777" w:rsidR="00FA2FF9" w:rsidRPr="00730DE4" w:rsidRDefault="00FA2FF9" w:rsidP="00393FD1">
            <w:pPr>
              <w:pStyle w:val="NoSpacing"/>
              <w:jc w:val="right"/>
              <w:rPr>
                <w:lang w:eastAsia="en-AU"/>
              </w:rPr>
            </w:pPr>
            <w:r w:rsidRPr="00730DE4">
              <w:t>9474</w:t>
            </w:r>
          </w:p>
        </w:tc>
      </w:tr>
      <w:tr w:rsidR="002D6779" w:rsidRPr="00730DE4" w14:paraId="52CD2411" w14:textId="77777777" w:rsidTr="00E97A82">
        <w:trPr>
          <w:trHeight w:val="255"/>
        </w:trPr>
        <w:tc>
          <w:tcPr>
            <w:tcW w:w="1105" w:type="pct"/>
            <w:noWrap/>
            <w:hideMark/>
          </w:tcPr>
          <w:p w14:paraId="61244474" w14:textId="77777777" w:rsidR="00FA2FF9" w:rsidRPr="00730DE4" w:rsidRDefault="00FA2FF9" w:rsidP="00E97A82">
            <w:pPr>
              <w:pStyle w:val="NoSpacing"/>
              <w:rPr>
                <w:color w:val="auto"/>
                <w:lang w:eastAsia="en-AU"/>
              </w:rPr>
            </w:pPr>
            <w:r w:rsidRPr="00730DE4">
              <w:rPr>
                <w:color w:val="auto"/>
                <w:lang w:eastAsia="en-AU"/>
              </w:rPr>
              <w:t>Jun—21</w:t>
            </w:r>
          </w:p>
        </w:tc>
        <w:tc>
          <w:tcPr>
            <w:tcW w:w="720" w:type="pct"/>
            <w:noWrap/>
            <w:hideMark/>
          </w:tcPr>
          <w:p w14:paraId="4762FBD1" w14:textId="77777777" w:rsidR="00FA2FF9" w:rsidRPr="00730DE4" w:rsidRDefault="00FA2FF9" w:rsidP="00393FD1">
            <w:pPr>
              <w:pStyle w:val="NoSpacing"/>
              <w:jc w:val="right"/>
              <w:rPr>
                <w:lang w:eastAsia="en-AU"/>
              </w:rPr>
            </w:pPr>
            <w:r w:rsidRPr="00730DE4">
              <w:t>6531</w:t>
            </w:r>
          </w:p>
        </w:tc>
        <w:tc>
          <w:tcPr>
            <w:tcW w:w="706" w:type="pct"/>
            <w:noWrap/>
            <w:hideMark/>
          </w:tcPr>
          <w:p w14:paraId="3B636D6C" w14:textId="77777777" w:rsidR="00FA2FF9" w:rsidRPr="00730DE4" w:rsidRDefault="00FA2FF9" w:rsidP="00393FD1">
            <w:pPr>
              <w:pStyle w:val="NoSpacing"/>
              <w:jc w:val="right"/>
              <w:rPr>
                <w:lang w:eastAsia="en-AU"/>
              </w:rPr>
            </w:pPr>
            <w:r w:rsidRPr="00730DE4">
              <w:t>909</w:t>
            </w:r>
          </w:p>
        </w:tc>
        <w:tc>
          <w:tcPr>
            <w:tcW w:w="743" w:type="pct"/>
            <w:noWrap/>
            <w:hideMark/>
          </w:tcPr>
          <w:p w14:paraId="7069A2AC" w14:textId="77777777" w:rsidR="00FA2FF9" w:rsidRPr="00730DE4" w:rsidRDefault="00FA2FF9" w:rsidP="00393FD1">
            <w:pPr>
              <w:pStyle w:val="NoSpacing"/>
              <w:jc w:val="right"/>
              <w:rPr>
                <w:lang w:eastAsia="en-AU"/>
              </w:rPr>
            </w:pPr>
            <w:r w:rsidRPr="00730DE4">
              <w:t>2020</w:t>
            </w:r>
          </w:p>
        </w:tc>
        <w:tc>
          <w:tcPr>
            <w:tcW w:w="1726" w:type="pct"/>
            <w:noWrap/>
            <w:hideMark/>
          </w:tcPr>
          <w:p w14:paraId="1F92838B" w14:textId="77777777" w:rsidR="00FA2FF9" w:rsidRPr="00730DE4" w:rsidRDefault="00FA2FF9" w:rsidP="00393FD1">
            <w:pPr>
              <w:pStyle w:val="NoSpacing"/>
              <w:jc w:val="right"/>
              <w:rPr>
                <w:lang w:eastAsia="en-AU"/>
              </w:rPr>
            </w:pPr>
            <w:r w:rsidRPr="00730DE4">
              <w:t>9460</w:t>
            </w:r>
          </w:p>
        </w:tc>
      </w:tr>
      <w:tr w:rsidR="000A65A9" w:rsidRPr="00730DE4" w14:paraId="1FE56911" w14:textId="77777777" w:rsidTr="00E97A82">
        <w:trPr>
          <w:cnfStyle w:val="000000100000" w:firstRow="0" w:lastRow="0" w:firstColumn="0" w:lastColumn="0" w:oddVBand="0" w:evenVBand="0" w:oddHBand="1" w:evenHBand="0" w:firstRowFirstColumn="0" w:firstRowLastColumn="0" w:lastRowFirstColumn="0" w:lastRowLastColumn="0"/>
          <w:trHeight w:val="255"/>
        </w:trPr>
        <w:tc>
          <w:tcPr>
            <w:tcW w:w="1105" w:type="pct"/>
            <w:noWrap/>
            <w:hideMark/>
          </w:tcPr>
          <w:p w14:paraId="22ED7F56" w14:textId="77777777" w:rsidR="00FA2FF9" w:rsidRPr="00730DE4" w:rsidRDefault="00FA2FF9" w:rsidP="00E97A82">
            <w:pPr>
              <w:pStyle w:val="NoSpacing"/>
              <w:rPr>
                <w:lang w:eastAsia="en-AU"/>
              </w:rPr>
            </w:pPr>
            <w:r w:rsidRPr="00730DE4">
              <w:rPr>
                <w:lang w:eastAsia="en-AU"/>
              </w:rPr>
              <w:t>Jun—20</w:t>
            </w:r>
          </w:p>
        </w:tc>
        <w:tc>
          <w:tcPr>
            <w:tcW w:w="720" w:type="pct"/>
            <w:noWrap/>
            <w:hideMark/>
          </w:tcPr>
          <w:p w14:paraId="0C3AD3F2" w14:textId="77777777" w:rsidR="00FA2FF9" w:rsidRPr="00730DE4" w:rsidRDefault="00FA2FF9" w:rsidP="00393FD1">
            <w:pPr>
              <w:pStyle w:val="NoSpacing"/>
              <w:jc w:val="right"/>
              <w:rPr>
                <w:lang w:eastAsia="en-AU"/>
              </w:rPr>
            </w:pPr>
            <w:r w:rsidRPr="00730DE4">
              <w:t>6487</w:t>
            </w:r>
          </w:p>
        </w:tc>
        <w:tc>
          <w:tcPr>
            <w:tcW w:w="706" w:type="pct"/>
            <w:noWrap/>
            <w:hideMark/>
          </w:tcPr>
          <w:p w14:paraId="47E1AC40" w14:textId="77777777" w:rsidR="00FA2FF9" w:rsidRPr="00730DE4" w:rsidRDefault="00FA2FF9" w:rsidP="00393FD1">
            <w:pPr>
              <w:pStyle w:val="NoSpacing"/>
              <w:jc w:val="right"/>
              <w:rPr>
                <w:lang w:eastAsia="en-AU"/>
              </w:rPr>
            </w:pPr>
            <w:r w:rsidRPr="00730DE4">
              <w:t>844</w:t>
            </w:r>
          </w:p>
        </w:tc>
        <w:tc>
          <w:tcPr>
            <w:tcW w:w="743" w:type="pct"/>
            <w:noWrap/>
            <w:hideMark/>
          </w:tcPr>
          <w:p w14:paraId="3799FC13" w14:textId="77777777" w:rsidR="00FA2FF9" w:rsidRPr="00730DE4" w:rsidRDefault="00FA2FF9" w:rsidP="00393FD1">
            <w:pPr>
              <w:pStyle w:val="NoSpacing"/>
              <w:jc w:val="right"/>
              <w:rPr>
                <w:lang w:eastAsia="en-AU"/>
              </w:rPr>
            </w:pPr>
            <w:r w:rsidRPr="00730DE4">
              <w:t>2115</w:t>
            </w:r>
          </w:p>
        </w:tc>
        <w:tc>
          <w:tcPr>
            <w:tcW w:w="1726" w:type="pct"/>
            <w:noWrap/>
            <w:hideMark/>
          </w:tcPr>
          <w:p w14:paraId="2968432A" w14:textId="77777777" w:rsidR="00FA2FF9" w:rsidRPr="00730DE4" w:rsidRDefault="00FA2FF9" w:rsidP="00393FD1">
            <w:pPr>
              <w:pStyle w:val="NoSpacing"/>
              <w:jc w:val="right"/>
              <w:rPr>
                <w:lang w:eastAsia="en-AU"/>
              </w:rPr>
            </w:pPr>
            <w:r w:rsidRPr="00730DE4">
              <w:t>9446</w:t>
            </w:r>
          </w:p>
        </w:tc>
      </w:tr>
    </w:tbl>
    <w:p w14:paraId="776B6145" w14:textId="77777777" w:rsidR="00FA2FF9" w:rsidRPr="00730DE4" w:rsidRDefault="00FA2FF9" w:rsidP="002B7001">
      <w:pPr>
        <w:pStyle w:val="Heading4"/>
      </w:pPr>
      <w:bookmarkStart w:id="1165" w:name="_Toc180487609"/>
      <w:bookmarkStart w:id="1166" w:name="_Toc180490815"/>
      <w:bookmarkStart w:id="1167" w:name="_Toc180491848"/>
      <w:r w:rsidRPr="00730DE4">
        <w:t>Full Time Equivalent (FTE)</w:t>
      </w:r>
      <w:bookmarkEnd w:id="1165"/>
      <w:bookmarkEnd w:id="1166"/>
      <w:bookmarkEnd w:id="1167"/>
    </w:p>
    <w:tbl>
      <w:tblPr>
        <w:tblStyle w:val="TMRDefault"/>
        <w:tblW w:w="5000" w:type="pct"/>
        <w:tblLook w:val="04E0" w:firstRow="1" w:lastRow="1" w:firstColumn="1" w:lastColumn="0" w:noHBand="0" w:noVBand="1"/>
      </w:tblPr>
      <w:tblGrid>
        <w:gridCol w:w="2025"/>
        <w:gridCol w:w="2026"/>
        <w:gridCol w:w="1984"/>
        <w:gridCol w:w="1671"/>
        <w:gridCol w:w="1354"/>
      </w:tblGrid>
      <w:tr w:rsidR="000A65A9" w:rsidRPr="00730DE4" w14:paraId="7F06414F" w14:textId="77777777" w:rsidTr="00393FD1">
        <w:trPr>
          <w:cnfStyle w:val="100000000000" w:firstRow="1" w:lastRow="0" w:firstColumn="0" w:lastColumn="0" w:oddVBand="0" w:evenVBand="0" w:oddHBand="0" w:evenHBand="0" w:firstRowFirstColumn="0" w:firstRowLastColumn="0" w:lastRowFirstColumn="0" w:lastRowLastColumn="0"/>
          <w:trHeight w:val="255"/>
          <w:tblHeader/>
        </w:trPr>
        <w:tc>
          <w:tcPr>
            <w:tcW w:w="1118" w:type="pct"/>
          </w:tcPr>
          <w:p w14:paraId="53A6FE88" w14:textId="77777777" w:rsidR="00FA2FF9" w:rsidRPr="00730DE4" w:rsidRDefault="00FA2FF9" w:rsidP="006761E8">
            <w:pPr>
              <w:pStyle w:val="NoSpacing"/>
              <w:rPr>
                <w:b w:val="0"/>
                <w:bCs/>
                <w:color w:val="FFFFFF" w:themeColor="background1"/>
              </w:rPr>
            </w:pPr>
            <w:r w:rsidRPr="00730DE4">
              <w:rPr>
                <w:b w:val="0"/>
                <w:bCs/>
                <w:color w:val="FFFFFF" w:themeColor="background1"/>
              </w:rPr>
              <w:t>Gender</w:t>
            </w:r>
          </w:p>
        </w:tc>
        <w:tc>
          <w:tcPr>
            <w:tcW w:w="1118" w:type="pct"/>
            <w:noWrap/>
            <w:hideMark/>
          </w:tcPr>
          <w:p w14:paraId="487F91BB" w14:textId="77777777" w:rsidR="00FA2FF9" w:rsidRPr="00730DE4" w:rsidRDefault="00FA2FF9" w:rsidP="00393FD1">
            <w:pPr>
              <w:pStyle w:val="NoSpacing"/>
              <w:jc w:val="right"/>
              <w:rPr>
                <w:b w:val="0"/>
                <w:bCs/>
                <w:color w:val="FFFFFF" w:themeColor="background1"/>
              </w:rPr>
            </w:pPr>
            <w:r w:rsidRPr="00730DE4">
              <w:rPr>
                <w:b w:val="0"/>
                <w:bCs/>
                <w:color w:val="FFFFFF" w:themeColor="background1"/>
              </w:rPr>
              <w:t>Full time</w:t>
            </w:r>
          </w:p>
        </w:tc>
        <w:tc>
          <w:tcPr>
            <w:tcW w:w="1095" w:type="pct"/>
            <w:noWrap/>
            <w:hideMark/>
          </w:tcPr>
          <w:p w14:paraId="6106831B" w14:textId="77777777" w:rsidR="00FA2FF9" w:rsidRPr="00730DE4" w:rsidRDefault="00FA2FF9" w:rsidP="00393FD1">
            <w:pPr>
              <w:pStyle w:val="NoSpacing"/>
              <w:jc w:val="right"/>
              <w:rPr>
                <w:bCs/>
                <w:color w:val="FFFFFF" w:themeColor="background1"/>
              </w:rPr>
            </w:pPr>
            <w:r w:rsidRPr="00730DE4">
              <w:rPr>
                <w:bCs/>
                <w:color w:val="FFFFFF" w:themeColor="background1"/>
              </w:rPr>
              <w:t>Part time</w:t>
            </w:r>
          </w:p>
        </w:tc>
        <w:tc>
          <w:tcPr>
            <w:tcW w:w="922" w:type="pct"/>
            <w:noWrap/>
            <w:hideMark/>
          </w:tcPr>
          <w:p w14:paraId="51E08A49" w14:textId="77777777" w:rsidR="00FA2FF9" w:rsidRPr="00730DE4" w:rsidRDefault="00FA2FF9" w:rsidP="00393FD1">
            <w:pPr>
              <w:pStyle w:val="NoSpacing"/>
              <w:jc w:val="right"/>
              <w:rPr>
                <w:bCs/>
                <w:color w:val="FFFFFF" w:themeColor="background1"/>
              </w:rPr>
            </w:pPr>
            <w:r w:rsidRPr="00730DE4">
              <w:rPr>
                <w:bCs/>
                <w:color w:val="FFFFFF" w:themeColor="background1"/>
              </w:rPr>
              <w:t>Casual</w:t>
            </w:r>
          </w:p>
        </w:tc>
        <w:tc>
          <w:tcPr>
            <w:tcW w:w="747" w:type="pct"/>
            <w:noWrap/>
            <w:hideMark/>
          </w:tcPr>
          <w:p w14:paraId="2E25E671" w14:textId="77777777" w:rsidR="00FA2FF9" w:rsidRPr="00730DE4" w:rsidRDefault="00FA2FF9" w:rsidP="00393FD1">
            <w:pPr>
              <w:pStyle w:val="NoSpacing"/>
              <w:jc w:val="right"/>
              <w:rPr>
                <w:bCs/>
                <w:color w:val="FFFFFF" w:themeColor="background1"/>
              </w:rPr>
            </w:pPr>
            <w:r w:rsidRPr="00730DE4">
              <w:rPr>
                <w:bCs/>
                <w:color w:val="FFFFFF" w:themeColor="background1"/>
              </w:rPr>
              <w:t>Total</w:t>
            </w:r>
          </w:p>
        </w:tc>
      </w:tr>
      <w:tr w:rsidR="000A65A9" w:rsidRPr="00730DE4" w14:paraId="00F51AB3" w14:textId="77777777" w:rsidTr="00393FD1">
        <w:trPr>
          <w:cnfStyle w:val="000000100000" w:firstRow="0" w:lastRow="0" w:firstColumn="0" w:lastColumn="0" w:oddVBand="0" w:evenVBand="0" w:oddHBand="1" w:evenHBand="0" w:firstRowFirstColumn="0" w:firstRowLastColumn="0" w:lastRowFirstColumn="0" w:lastRowLastColumn="0"/>
          <w:trHeight w:val="255"/>
        </w:trPr>
        <w:tc>
          <w:tcPr>
            <w:tcW w:w="1118" w:type="pct"/>
            <w:vAlign w:val="bottom"/>
          </w:tcPr>
          <w:p w14:paraId="2E045FBF" w14:textId="77777777" w:rsidR="00FA2FF9" w:rsidRPr="00730DE4" w:rsidRDefault="00FA2FF9" w:rsidP="004D39BC">
            <w:pPr>
              <w:pStyle w:val="NoSpacing"/>
            </w:pPr>
            <w:r w:rsidRPr="00730DE4">
              <w:t>Woman</w:t>
            </w:r>
          </w:p>
        </w:tc>
        <w:tc>
          <w:tcPr>
            <w:tcW w:w="1118" w:type="pct"/>
            <w:noWrap/>
            <w:hideMark/>
          </w:tcPr>
          <w:p w14:paraId="78D9F986" w14:textId="77777777" w:rsidR="00FA2FF9" w:rsidRPr="00730DE4" w:rsidRDefault="00FA2FF9" w:rsidP="00393FD1">
            <w:pPr>
              <w:pStyle w:val="NoSpacing"/>
              <w:jc w:val="right"/>
            </w:pPr>
            <w:r w:rsidRPr="00730DE4">
              <w:t>3818</w:t>
            </w:r>
          </w:p>
        </w:tc>
        <w:tc>
          <w:tcPr>
            <w:tcW w:w="1095" w:type="pct"/>
            <w:noWrap/>
            <w:hideMark/>
          </w:tcPr>
          <w:p w14:paraId="5D469365" w14:textId="77777777" w:rsidR="00FA2FF9" w:rsidRPr="00730DE4" w:rsidRDefault="00FA2FF9" w:rsidP="00393FD1">
            <w:pPr>
              <w:pStyle w:val="NoSpacing"/>
              <w:jc w:val="right"/>
            </w:pPr>
            <w:r w:rsidRPr="00730DE4">
              <w:t>781</w:t>
            </w:r>
          </w:p>
        </w:tc>
        <w:tc>
          <w:tcPr>
            <w:tcW w:w="922" w:type="pct"/>
            <w:noWrap/>
            <w:hideMark/>
          </w:tcPr>
          <w:p w14:paraId="7791847F" w14:textId="77777777" w:rsidR="00FA2FF9" w:rsidRPr="00730DE4" w:rsidRDefault="00FA2FF9" w:rsidP="00393FD1">
            <w:pPr>
              <w:pStyle w:val="NoSpacing"/>
              <w:jc w:val="right"/>
            </w:pPr>
            <w:r w:rsidRPr="00730DE4">
              <w:t>226</w:t>
            </w:r>
          </w:p>
        </w:tc>
        <w:tc>
          <w:tcPr>
            <w:tcW w:w="747" w:type="pct"/>
            <w:noWrap/>
            <w:hideMark/>
          </w:tcPr>
          <w:p w14:paraId="2494F12D" w14:textId="77777777" w:rsidR="00FA2FF9" w:rsidRPr="00730DE4" w:rsidRDefault="00FA2FF9" w:rsidP="00393FD1">
            <w:pPr>
              <w:pStyle w:val="NoSpacing"/>
              <w:jc w:val="right"/>
            </w:pPr>
            <w:r w:rsidRPr="00730DE4">
              <w:t>4825</w:t>
            </w:r>
          </w:p>
        </w:tc>
      </w:tr>
      <w:tr w:rsidR="002D6779" w:rsidRPr="00730DE4" w14:paraId="1B76CD19" w14:textId="77777777" w:rsidTr="00393FD1">
        <w:trPr>
          <w:trHeight w:val="255"/>
        </w:trPr>
        <w:tc>
          <w:tcPr>
            <w:tcW w:w="1118" w:type="pct"/>
            <w:vAlign w:val="bottom"/>
          </w:tcPr>
          <w:p w14:paraId="560E0637" w14:textId="77777777" w:rsidR="00FA2FF9" w:rsidRPr="00730DE4" w:rsidRDefault="00FA2FF9" w:rsidP="004D39BC">
            <w:pPr>
              <w:pStyle w:val="NoSpacing"/>
            </w:pPr>
            <w:r w:rsidRPr="00730DE4">
              <w:t>Man</w:t>
            </w:r>
          </w:p>
        </w:tc>
        <w:tc>
          <w:tcPr>
            <w:tcW w:w="1118" w:type="pct"/>
            <w:noWrap/>
            <w:hideMark/>
          </w:tcPr>
          <w:p w14:paraId="731146DE" w14:textId="77777777" w:rsidR="00FA2FF9" w:rsidRPr="00730DE4" w:rsidRDefault="00FA2FF9" w:rsidP="00393FD1">
            <w:pPr>
              <w:pStyle w:val="NoSpacing"/>
              <w:jc w:val="right"/>
            </w:pPr>
            <w:r w:rsidRPr="00730DE4">
              <w:t>4578</w:t>
            </w:r>
          </w:p>
        </w:tc>
        <w:tc>
          <w:tcPr>
            <w:tcW w:w="1095" w:type="pct"/>
            <w:noWrap/>
            <w:hideMark/>
          </w:tcPr>
          <w:p w14:paraId="78D8A49C" w14:textId="77777777" w:rsidR="00FA2FF9" w:rsidRPr="00730DE4" w:rsidRDefault="00FA2FF9" w:rsidP="00393FD1">
            <w:pPr>
              <w:pStyle w:val="NoSpacing"/>
              <w:jc w:val="right"/>
            </w:pPr>
            <w:r w:rsidRPr="00730DE4">
              <w:t>101</w:t>
            </w:r>
          </w:p>
        </w:tc>
        <w:tc>
          <w:tcPr>
            <w:tcW w:w="922" w:type="pct"/>
            <w:noWrap/>
            <w:hideMark/>
          </w:tcPr>
          <w:p w14:paraId="2A2FFF84" w14:textId="77777777" w:rsidR="00FA2FF9" w:rsidRPr="00730DE4" w:rsidRDefault="00FA2FF9" w:rsidP="00393FD1">
            <w:pPr>
              <w:pStyle w:val="NoSpacing"/>
              <w:jc w:val="right"/>
            </w:pPr>
            <w:r w:rsidRPr="00730DE4">
              <w:t>101</w:t>
            </w:r>
          </w:p>
        </w:tc>
        <w:tc>
          <w:tcPr>
            <w:tcW w:w="747" w:type="pct"/>
            <w:noWrap/>
            <w:hideMark/>
          </w:tcPr>
          <w:p w14:paraId="0E6A34C3" w14:textId="77777777" w:rsidR="00FA2FF9" w:rsidRPr="00730DE4" w:rsidRDefault="00FA2FF9" w:rsidP="00393FD1">
            <w:pPr>
              <w:pStyle w:val="NoSpacing"/>
              <w:jc w:val="right"/>
            </w:pPr>
            <w:r w:rsidRPr="00730DE4">
              <w:t>4781</w:t>
            </w:r>
          </w:p>
        </w:tc>
      </w:tr>
      <w:tr w:rsidR="000A65A9" w:rsidRPr="00730DE4" w14:paraId="7D47E983" w14:textId="77777777" w:rsidTr="00393FD1">
        <w:trPr>
          <w:cnfStyle w:val="000000100000" w:firstRow="0" w:lastRow="0" w:firstColumn="0" w:lastColumn="0" w:oddVBand="0" w:evenVBand="0" w:oddHBand="1" w:evenHBand="0" w:firstRowFirstColumn="0" w:firstRowLastColumn="0" w:lastRowFirstColumn="0" w:lastRowLastColumn="0"/>
          <w:trHeight w:val="255"/>
        </w:trPr>
        <w:tc>
          <w:tcPr>
            <w:tcW w:w="1118" w:type="pct"/>
            <w:vAlign w:val="bottom"/>
          </w:tcPr>
          <w:p w14:paraId="37A6EAA9" w14:textId="77777777" w:rsidR="00FA2FF9" w:rsidRPr="00730DE4" w:rsidRDefault="00FA2FF9" w:rsidP="004D39BC">
            <w:pPr>
              <w:pStyle w:val="NoSpacing"/>
            </w:pPr>
            <w:r w:rsidRPr="00730DE4">
              <w:t>Non-binary</w:t>
            </w:r>
          </w:p>
        </w:tc>
        <w:tc>
          <w:tcPr>
            <w:tcW w:w="1118" w:type="pct"/>
            <w:noWrap/>
            <w:hideMark/>
          </w:tcPr>
          <w:p w14:paraId="1985202D" w14:textId="77777777" w:rsidR="00FA2FF9" w:rsidRPr="00730DE4" w:rsidRDefault="00FA2FF9" w:rsidP="00393FD1">
            <w:pPr>
              <w:pStyle w:val="NoSpacing"/>
              <w:jc w:val="right"/>
            </w:pPr>
            <w:r w:rsidRPr="00730DE4">
              <w:t>12</w:t>
            </w:r>
          </w:p>
        </w:tc>
        <w:tc>
          <w:tcPr>
            <w:tcW w:w="1095" w:type="pct"/>
            <w:noWrap/>
            <w:hideMark/>
          </w:tcPr>
          <w:p w14:paraId="23301C77" w14:textId="77777777" w:rsidR="00FA2FF9" w:rsidRPr="00730DE4" w:rsidRDefault="00FA2FF9" w:rsidP="00393FD1">
            <w:pPr>
              <w:pStyle w:val="NoSpacing"/>
              <w:jc w:val="right"/>
            </w:pPr>
            <w:r w:rsidRPr="00730DE4">
              <w:t>1</w:t>
            </w:r>
          </w:p>
        </w:tc>
        <w:tc>
          <w:tcPr>
            <w:tcW w:w="922" w:type="pct"/>
            <w:noWrap/>
            <w:hideMark/>
          </w:tcPr>
          <w:p w14:paraId="07C0CAF7" w14:textId="77777777" w:rsidR="00FA2FF9" w:rsidRPr="00730DE4" w:rsidRDefault="00FA2FF9" w:rsidP="00393FD1">
            <w:pPr>
              <w:pStyle w:val="NoSpacing"/>
              <w:jc w:val="right"/>
            </w:pPr>
          </w:p>
        </w:tc>
        <w:tc>
          <w:tcPr>
            <w:tcW w:w="747" w:type="pct"/>
            <w:noWrap/>
            <w:hideMark/>
          </w:tcPr>
          <w:p w14:paraId="0A370F05" w14:textId="77777777" w:rsidR="00FA2FF9" w:rsidRPr="00730DE4" w:rsidRDefault="00FA2FF9" w:rsidP="00393FD1">
            <w:pPr>
              <w:pStyle w:val="NoSpacing"/>
              <w:jc w:val="right"/>
            </w:pPr>
            <w:r w:rsidRPr="00730DE4">
              <w:t>13</w:t>
            </w:r>
          </w:p>
        </w:tc>
      </w:tr>
      <w:tr w:rsidR="000A65A9" w:rsidRPr="00730DE4" w14:paraId="6F099394" w14:textId="77777777" w:rsidTr="00393FD1">
        <w:trPr>
          <w:cnfStyle w:val="010000000000" w:firstRow="0" w:lastRow="1" w:firstColumn="0" w:lastColumn="0" w:oddVBand="0" w:evenVBand="0" w:oddHBand="0" w:evenHBand="0" w:firstRowFirstColumn="0" w:firstRowLastColumn="0" w:lastRowFirstColumn="0" w:lastRowLastColumn="0"/>
          <w:trHeight w:val="255"/>
        </w:trPr>
        <w:tc>
          <w:tcPr>
            <w:tcW w:w="1118" w:type="pct"/>
            <w:vAlign w:val="bottom"/>
          </w:tcPr>
          <w:p w14:paraId="4AD6375B" w14:textId="77777777" w:rsidR="00FA2FF9" w:rsidRPr="00730DE4" w:rsidRDefault="00FA2FF9" w:rsidP="004D39BC">
            <w:pPr>
              <w:pStyle w:val="NoSpacing"/>
            </w:pPr>
            <w:r w:rsidRPr="00730DE4">
              <w:t>Grand Total</w:t>
            </w:r>
          </w:p>
        </w:tc>
        <w:tc>
          <w:tcPr>
            <w:tcW w:w="1118" w:type="pct"/>
            <w:noWrap/>
            <w:hideMark/>
          </w:tcPr>
          <w:p w14:paraId="17168623" w14:textId="77777777" w:rsidR="00FA2FF9" w:rsidRPr="00730DE4" w:rsidRDefault="00FA2FF9" w:rsidP="00393FD1">
            <w:pPr>
              <w:pStyle w:val="NoSpacing"/>
              <w:jc w:val="right"/>
            </w:pPr>
            <w:r w:rsidRPr="00730DE4">
              <w:t>8408</w:t>
            </w:r>
          </w:p>
        </w:tc>
        <w:tc>
          <w:tcPr>
            <w:tcW w:w="1095" w:type="pct"/>
            <w:noWrap/>
            <w:hideMark/>
          </w:tcPr>
          <w:p w14:paraId="5624ABA7" w14:textId="77777777" w:rsidR="00FA2FF9" w:rsidRPr="00730DE4" w:rsidRDefault="00FA2FF9" w:rsidP="00393FD1">
            <w:pPr>
              <w:pStyle w:val="NoSpacing"/>
              <w:jc w:val="right"/>
            </w:pPr>
            <w:r w:rsidRPr="00730DE4">
              <w:t>883</w:t>
            </w:r>
          </w:p>
        </w:tc>
        <w:tc>
          <w:tcPr>
            <w:tcW w:w="922" w:type="pct"/>
            <w:noWrap/>
            <w:hideMark/>
          </w:tcPr>
          <w:p w14:paraId="57DA15AF" w14:textId="77777777" w:rsidR="00FA2FF9" w:rsidRPr="00730DE4" w:rsidRDefault="00FA2FF9" w:rsidP="00393FD1">
            <w:pPr>
              <w:pStyle w:val="NoSpacing"/>
              <w:jc w:val="right"/>
            </w:pPr>
            <w:r w:rsidRPr="00730DE4">
              <w:t>327</w:t>
            </w:r>
          </w:p>
        </w:tc>
        <w:tc>
          <w:tcPr>
            <w:tcW w:w="747" w:type="pct"/>
            <w:noWrap/>
            <w:hideMark/>
          </w:tcPr>
          <w:p w14:paraId="647EC99E" w14:textId="77777777" w:rsidR="00FA2FF9" w:rsidRPr="00730DE4" w:rsidRDefault="00FA2FF9" w:rsidP="00393FD1">
            <w:pPr>
              <w:pStyle w:val="NoSpacing"/>
              <w:jc w:val="right"/>
            </w:pPr>
            <w:r w:rsidRPr="00730DE4">
              <w:t>9619</w:t>
            </w:r>
          </w:p>
        </w:tc>
      </w:tr>
    </w:tbl>
    <w:p w14:paraId="1A543B0E" w14:textId="77777777" w:rsidR="00FA2FF9" w:rsidRPr="00730DE4" w:rsidRDefault="00FA2FF9" w:rsidP="00BB0F75">
      <w:pPr>
        <w:pStyle w:val="FigureCaption"/>
      </w:pPr>
    </w:p>
    <w:tbl>
      <w:tblPr>
        <w:tblStyle w:val="TMRDefault"/>
        <w:tblW w:w="5001" w:type="pct"/>
        <w:tblLook w:val="04E0" w:firstRow="1" w:lastRow="1" w:firstColumn="1" w:lastColumn="0" w:noHBand="0" w:noVBand="1"/>
      </w:tblPr>
      <w:tblGrid>
        <w:gridCol w:w="1755"/>
        <w:gridCol w:w="1754"/>
        <w:gridCol w:w="2046"/>
        <w:gridCol w:w="1754"/>
        <w:gridCol w:w="1753"/>
      </w:tblGrid>
      <w:tr w:rsidR="000A65A9" w:rsidRPr="00730DE4" w14:paraId="492466F9" w14:textId="77777777" w:rsidTr="006761E8">
        <w:trPr>
          <w:cnfStyle w:val="100000000000" w:firstRow="1" w:lastRow="0" w:firstColumn="0" w:lastColumn="0" w:oddVBand="0" w:evenVBand="0" w:oddHBand="0" w:evenHBand="0" w:firstRowFirstColumn="0" w:firstRowLastColumn="0" w:lastRowFirstColumn="0" w:lastRowLastColumn="0"/>
          <w:trHeight w:val="255"/>
        </w:trPr>
        <w:tc>
          <w:tcPr>
            <w:tcW w:w="968" w:type="pct"/>
          </w:tcPr>
          <w:p w14:paraId="2C6A54AA" w14:textId="77777777" w:rsidR="00FA2FF9" w:rsidRPr="00730DE4" w:rsidRDefault="00FA2FF9" w:rsidP="006761E8">
            <w:pPr>
              <w:pStyle w:val="NoSpacing"/>
              <w:rPr>
                <w:rFonts w:eastAsia="Times New Roman"/>
                <w:b w:val="0"/>
                <w:bCs/>
                <w:color w:val="FFFFFF" w:themeColor="background1"/>
                <w:lang w:eastAsia="en-AU"/>
              </w:rPr>
            </w:pPr>
            <w:r w:rsidRPr="00730DE4">
              <w:rPr>
                <w:b w:val="0"/>
                <w:bCs/>
                <w:color w:val="FFFFFF" w:themeColor="background1"/>
                <w:lang w:eastAsia="en-AU"/>
              </w:rPr>
              <w:t>Age</w:t>
            </w:r>
          </w:p>
        </w:tc>
        <w:tc>
          <w:tcPr>
            <w:tcW w:w="968" w:type="pct"/>
            <w:noWrap/>
          </w:tcPr>
          <w:p w14:paraId="063EC9AA" w14:textId="77777777" w:rsidR="00FA2FF9" w:rsidRPr="00730DE4" w:rsidRDefault="00FA2FF9" w:rsidP="00393FD1">
            <w:pPr>
              <w:pStyle w:val="NoSpacing"/>
              <w:jc w:val="right"/>
              <w:rPr>
                <w:rFonts w:eastAsia="Times New Roman"/>
                <w:b w:val="0"/>
                <w:bCs/>
                <w:color w:val="FFFFFF" w:themeColor="background1"/>
                <w:lang w:eastAsia="en-AU"/>
              </w:rPr>
            </w:pPr>
            <w:r w:rsidRPr="00730DE4">
              <w:rPr>
                <w:b w:val="0"/>
                <w:bCs/>
                <w:color w:val="FFFFFF" w:themeColor="background1"/>
                <w:lang w:eastAsia="en-AU"/>
              </w:rPr>
              <w:t>Full time</w:t>
            </w:r>
          </w:p>
        </w:tc>
        <w:tc>
          <w:tcPr>
            <w:tcW w:w="1129" w:type="pct"/>
            <w:noWrap/>
          </w:tcPr>
          <w:p w14:paraId="31CB324F" w14:textId="77777777" w:rsidR="00FA2FF9" w:rsidRPr="00730DE4" w:rsidRDefault="00FA2FF9" w:rsidP="00393FD1">
            <w:pPr>
              <w:pStyle w:val="NoSpacing"/>
              <w:jc w:val="right"/>
              <w:rPr>
                <w:rFonts w:eastAsia="Times New Roman"/>
                <w:b w:val="0"/>
                <w:bCs/>
                <w:color w:val="FFFFFF" w:themeColor="background1"/>
                <w:lang w:eastAsia="en-AU"/>
              </w:rPr>
            </w:pPr>
            <w:r w:rsidRPr="00730DE4">
              <w:rPr>
                <w:b w:val="0"/>
                <w:bCs/>
                <w:color w:val="FFFFFF" w:themeColor="background1"/>
                <w:lang w:eastAsia="en-AU"/>
              </w:rPr>
              <w:t>Part time</w:t>
            </w:r>
          </w:p>
        </w:tc>
        <w:tc>
          <w:tcPr>
            <w:tcW w:w="968" w:type="pct"/>
            <w:noWrap/>
          </w:tcPr>
          <w:p w14:paraId="5B55D957" w14:textId="77777777" w:rsidR="00FA2FF9" w:rsidRPr="00730DE4" w:rsidRDefault="00FA2FF9" w:rsidP="00393FD1">
            <w:pPr>
              <w:pStyle w:val="NoSpacing"/>
              <w:jc w:val="right"/>
              <w:rPr>
                <w:rFonts w:eastAsia="Times New Roman"/>
                <w:b w:val="0"/>
                <w:bCs/>
                <w:color w:val="FFFFFF" w:themeColor="background1"/>
                <w:lang w:eastAsia="en-AU"/>
              </w:rPr>
            </w:pPr>
            <w:r w:rsidRPr="00730DE4">
              <w:rPr>
                <w:b w:val="0"/>
                <w:bCs/>
                <w:color w:val="FFFFFF" w:themeColor="background1"/>
                <w:lang w:eastAsia="en-AU"/>
              </w:rPr>
              <w:t>Casual</w:t>
            </w:r>
          </w:p>
        </w:tc>
        <w:tc>
          <w:tcPr>
            <w:tcW w:w="967" w:type="pct"/>
            <w:noWrap/>
          </w:tcPr>
          <w:p w14:paraId="077FB3E1" w14:textId="77777777" w:rsidR="00FA2FF9" w:rsidRPr="00730DE4" w:rsidRDefault="00FA2FF9" w:rsidP="00393FD1">
            <w:pPr>
              <w:pStyle w:val="NoSpacing"/>
              <w:jc w:val="right"/>
              <w:rPr>
                <w:rFonts w:eastAsia="Times New Roman"/>
                <w:b w:val="0"/>
                <w:bCs/>
                <w:color w:val="FFFFFF" w:themeColor="background1"/>
                <w:lang w:eastAsia="en-AU"/>
              </w:rPr>
            </w:pPr>
            <w:r w:rsidRPr="00730DE4">
              <w:rPr>
                <w:b w:val="0"/>
                <w:bCs/>
                <w:color w:val="FFFFFF" w:themeColor="background1"/>
                <w:lang w:eastAsia="en-AU"/>
              </w:rPr>
              <w:t>Total</w:t>
            </w:r>
          </w:p>
        </w:tc>
      </w:tr>
      <w:tr w:rsidR="000A65A9" w:rsidRPr="00730DE4" w14:paraId="79994872" w14:textId="77777777" w:rsidTr="00901CBD">
        <w:trPr>
          <w:cnfStyle w:val="000000100000" w:firstRow="0" w:lastRow="0" w:firstColumn="0" w:lastColumn="0" w:oddVBand="0" w:evenVBand="0" w:oddHBand="1" w:evenHBand="0" w:firstRowFirstColumn="0" w:firstRowLastColumn="0" w:lastRowFirstColumn="0" w:lastRowLastColumn="0"/>
          <w:trHeight w:val="255"/>
        </w:trPr>
        <w:tc>
          <w:tcPr>
            <w:tcW w:w="968" w:type="pct"/>
            <w:vAlign w:val="bottom"/>
          </w:tcPr>
          <w:p w14:paraId="148F4D0E" w14:textId="77777777" w:rsidR="00FA2FF9" w:rsidRPr="00730DE4" w:rsidRDefault="00FA2FF9" w:rsidP="00E837BF">
            <w:pPr>
              <w:pStyle w:val="NoSpacing"/>
              <w:rPr>
                <w:rFonts w:eastAsia="Times New Roman"/>
                <w:color w:val="000000"/>
                <w:lang w:eastAsia="en-AU"/>
              </w:rPr>
            </w:pPr>
            <w:r w:rsidRPr="00730DE4">
              <w:rPr>
                <w:color w:val="000000"/>
              </w:rPr>
              <w:t>&lt; 25 Years</w:t>
            </w:r>
          </w:p>
        </w:tc>
        <w:tc>
          <w:tcPr>
            <w:tcW w:w="968" w:type="pct"/>
            <w:noWrap/>
          </w:tcPr>
          <w:p w14:paraId="588BC975" w14:textId="77777777" w:rsidR="00FA2FF9" w:rsidRPr="00730DE4" w:rsidRDefault="00FA2FF9" w:rsidP="00393FD1">
            <w:pPr>
              <w:pStyle w:val="NoSpacing"/>
              <w:jc w:val="right"/>
              <w:rPr>
                <w:rFonts w:eastAsia="Times New Roman"/>
                <w:color w:val="000000"/>
                <w:lang w:eastAsia="en-AU"/>
              </w:rPr>
            </w:pPr>
            <w:r w:rsidRPr="00730DE4">
              <w:t>258</w:t>
            </w:r>
          </w:p>
        </w:tc>
        <w:tc>
          <w:tcPr>
            <w:tcW w:w="1129" w:type="pct"/>
            <w:noWrap/>
          </w:tcPr>
          <w:p w14:paraId="05BC7043" w14:textId="77777777" w:rsidR="00FA2FF9" w:rsidRPr="00730DE4" w:rsidRDefault="00FA2FF9" w:rsidP="00393FD1">
            <w:pPr>
              <w:pStyle w:val="NoSpacing"/>
              <w:jc w:val="right"/>
              <w:rPr>
                <w:rFonts w:eastAsia="Times New Roman"/>
                <w:color w:val="000000"/>
                <w:lang w:eastAsia="en-AU"/>
              </w:rPr>
            </w:pPr>
            <w:r w:rsidRPr="00730DE4">
              <w:t>18</w:t>
            </w:r>
          </w:p>
        </w:tc>
        <w:tc>
          <w:tcPr>
            <w:tcW w:w="968" w:type="pct"/>
            <w:noWrap/>
          </w:tcPr>
          <w:p w14:paraId="292B7D41" w14:textId="77777777" w:rsidR="00FA2FF9" w:rsidRPr="00730DE4" w:rsidRDefault="00FA2FF9" w:rsidP="00393FD1">
            <w:pPr>
              <w:pStyle w:val="NoSpacing"/>
              <w:jc w:val="right"/>
              <w:rPr>
                <w:rFonts w:eastAsia="Times New Roman"/>
                <w:color w:val="000000"/>
                <w:lang w:eastAsia="en-AU"/>
              </w:rPr>
            </w:pPr>
            <w:r w:rsidRPr="00730DE4">
              <w:t>15</w:t>
            </w:r>
          </w:p>
        </w:tc>
        <w:tc>
          <w:tcPr>
            <w:tcW w:w="967" w:type="pct"/>
            <w:noWrap/>
          </w:tcPr>
          <w:p w14:paraId="0470E1F6" w14:textId="77777777" w:rsidR="00FA2FF9" w:rsidRPr="00730DE4" w:rsidRDefault="00FA2FF9" w:rsidP="00393FD1">
            <w:pPr>
              <w:pStyle w:val="NoSpacing"/>
              <w:jc w:val="right"/>
              <w:rPr>
                <w:rFonts w:eastAsia="Times New Roman"/>
                <w:color w:val="auto"/>
                <w:lang w:eastAsia="en-AU"/>
              </w:rPr>
            </w:pPr>
            <w:r w:rsidRPr="00730DE4">
              <w:t>291</w:t>
            </w:r>
          </w:p>
        </w:tc>
      </w:tr>
      <w:tr w:rsidR="002D6779" w:rsidRPr="00730DE4" w14:paraId="1BAEC5F5" w14:textId="77777777" w:rsidTr="00901CBD">
        <w:trPr>
          <w:trHeight w:val="255"/>
        </w:trPr>
        <w:tc>
          <w:tcPr>
            <w:tcW w:w="968" w:type="pct"/>
            <w:vAlign w:val="bottom"/>
          </w:tcPr>
          <w:p w14:paraId="087D3275" w14:textId="77777777" w:rsidR="00FA2FF9" w:rsidRPr="00730DE4" w:rsidRDefault="00FA2FF9" w:rsidP="00E837BF">
            <w:pPr>
              <w:pStyle w:val="NoSpacing"/>
              <w:rPr>
                <w:rFonts w:eastAsia="Times New Roman"/>
                <w:color w:val="000000"/>
                <w:lang w:eastAsia="en-AU"/>
              </w:rPr>
            </w:pPr>
            <w:r w:rsidRPr="00730DE4">
              <w:rPr>
                <w:color w:val="000000"/>
              </w:rPr>
              <w:t>25–34 Years</w:t>
            </w:r>
          </w:p>
        </w:tc>
        <w:tc>
          <w:tcPr>
            <w:tcW w:w="968" w:type="pct"/>
            <w:noWrap/>
          </w:tcPr>
          <w:p w14:paraId="46055B7D" w14:textId="77777777" w:rsidR="00FA2FF9" w:rsidRPr="00730DE4" w:rsidRDefault="00FA2FF9" w:rsidP="00393FD1">
            <w:pPr>
              <w:pStyle w:val="NoSpacing"/>
              <w:jc w:val="right"/>
              <w:rPr>
                <w:rFonts w:eastAsia="Times New Roman"/>
                <w:color w:val="000000"/>
                <w:lang w:eastAsia="en-AU"/>
              </w:rPr>
            </w:pPr>
            <w:r w:rsidRPr="00730DE4">
              <w:t>1330</w:t>
            </w:r>
          </w:p>
        </w:tc>
        <w:tc>
          <w:tcPr>
            <w:tcW w:w="1129" w:type="pct"/>
            <w:noWrap/>
          </w:tcPr>
          <w:p w14:paraId="5693B1F6" w14:textId="77777777" w:rsidR="00FA2FF9" w:rsidRPr="00730DE4" w:rsidRDefault="00FA2FF9" w:rsidP="00393FD1">
            <w:pPr>
              <w:pStyle w:val="NoSpacing"/>
              <w:jc w:val="right"/>
              <w:rPr>
                <w:rFonts w:eastAsia="Times New Roman"/>
                <w:color w:val="000000"/>
                <w:lang w:eastAsia="en-AU"/>
              </w:rPr>
            </w:pPr>
            <w:r w:rsidRPr="00730DE4">
              <w:t>89</w:t>
            </w:r>
          </w:p>
        </w:tc>
        <w:tc>
          <w:tcPr>
            <w:tcW w:w="968" w:type="pct"/>
            <w:noWrap/>
          </w:tcPr>
          <w:p w14:paraId="7B1F0540" w14:textId="77777777" w:rsidR="00FA2FF9" w:rsidRPr="00730DE4" w:rsidRDefault="00FA2FF9" w:rsidP="00393FD1">
            <w:pPr>
              <w:pStyle w:val="NoSpacing"/>
              <w:jc w:val="right"/>
              <w:rPr>
                <w:rFonts w:eastAsia="Times New Roman"/>
                <w:color w:val="000000"/>
                <w:lang w:eastAsia="en-AU"/>
              </w:rPr>
            </w:pPr>
            <w:r w:rsidRPr="00730DE4">
              <w:t>24</w:t>
            </w:r>
          </w:p>
        </w:tc>
        <w:tc>
          <w:tcPr>
            <w:tcW w:w="967" w:type="pct"/>
            <w:noWrap/>
          </w:tcPr>
          <w:p w14:paraId="7019751D" w14:textId="77777777" w:rsidR="00FA2FF9" w:rsidRPr="00730DE4" w:rsidRDefault="00FA2FF9" w:rsidP="00393FD1">
            <w:pPr>
              <w:pStyle w:val="NoSpacing"/>
              <w:jc w:val="right"/>
              <w:rPr>
                <w:rFonts w:eastAsia="Times New Roman"/>
                <w:color w:val="auto"/>
                <w:lang w:eastAsia="en-AU"/>
              </w:rPr>
            </w:pPr>
            <w:r w:rsidRPr="00730DE4">
              <w:t>1443</w:t>
            </w:r>
          </w:p>
        </w:tc>
      </w:tr>
      <w:tr w:rsidR="000A65A9" w:rsidRPr="00730DE4" w14:paraId="0700F5D6" w14:textId="77777777" w:rsidTr="00901CBD">
        <w:trPr>
          <w:cnfStyle w:val="000000100000" w:firstRow="0" w:lastRow="0" w:firstColumn="0" w:lastColumn="0" w:oddVBand="0" w:evenVBand="0" w:oddHBand="1" w:evenHBand="0" w:firstRowFirstColumn="0" w:firstRowLastColumn="0" w:lastRowFirstColumn="0" w:lastRowLastColumn="0"/>
          <w:trHeight w:val="255"/>
        </w:trPr>
        <w:tc>
          <w:tcPr>
            <w:tcW w:w="968" w:type="pct"/>
            <w:vAlign w:val="bottom"/>
          </w:tcPr>
          <w:p w14:paraId="1AED1B8D" w14:textId="77777777" w:rsidR="00FA2FF9" w:rsidRPr="00730DE4" w:rsidRDefault="00FA2FF9" w:rsidP="00E837BF">
            <w:pPr>
              <w:pStyle w:val="NoSpacing"/>
              <w:rPr>
                <w:rFonts w:eastAsia="Times New Roman"/>
                <w:color w:val="000000"/>
                <w:lang w:eastAsia="en-AU"/>
              </w:rPr>
            </w:pPr>
            <w:r w:rsidRPr="00730DE4">
              <w:rPr>
                <w:color w:val="000000"/>
              </w:rPr>
              <w:t>35–44 Years</w:t>
            </w:r>
          </w:p>
        </w:tc>
        <w:tc>
          <w:tcPr>
            <w:tcW w:w="968" w:type="pct"/>
            <w:noWrap/>
          </w:tcPr>
          <w:p w14:paraId="1546B802" w14:textId="77777777" w:rsidR="00FA2FF9" w:rsidRPr="00730DE4" w:rsidRDefault="00FA2FF9" w:rsidP="00393FD1">
            <w:pPr>
              <w:pStyle w:val="NoSpacing"/>
              <w:jc w:val="right"/>
              <w:rPr>
                <w:rFonts w:eastAsia="Times New Roman"/>
                <w:color w:val="000000"/>
                <w:lang w:eastAsia="en-AU"/>
              </w:rPr>
            </w:pPr>
            <w:r w:rsidRPr="00730DE4">
              <w:t>2091</w:t>
            </w:r>
          </w:p>
        </w:tc>
        <w:tc>
          <w:tcPr>
            <w:tcW w:w="1129" w:type="pct"/>
            <w:noWrap/>
          </w:tcPr>
          <w:p w14:paraId="550DD8A7" w14:textId="77777777" w:rsidR="00FA2FF9" w:rsidRPr="00730DE4" w:rsidRDefault="00FA2FF9" w:rsidP="00393FD1">
            <w:pPr>
              <w:pStyle w:val="NoSpacing"/>
              <w:jc w:val="right"/>
              <w:rPr>
                <w:rFonts w:eastAsia="Times New Roman"/>
                <w:color w:val="000000"/>
                <w:lang w:eastAsia="en-AU"/>
              </w:rPr>
            </w:pPr>
            <w:r w:rsidRPr="00730DE4">
              <w:t>296</w:t>
            </w:r>
          </w:p>
        </w:tc>
        <w:tc>
          <w:tcPr>
            <w:tcW w:w="968" w:type="pct"/>
            <w:noWrap/>
          </w:tcPr>
          <w:p w14:paraId="0F3D53CA" w14:textId="77777777" w:rsidR="00FA2FF9" w:rsidRPr="00730DE4" w:rsidRDefault="00FA2FF9" w:rsidP="00393FD1">
            <w:pPr>
              <w:pStyle w:val="NoSpacing"/>
              <w:jc w:val="right"/>
              <w:rPr>
                <w:rFonts w:eastAsia="Times New Roman"/>
                <w:color w:val="000000"/>
                <w:lang w:eastAsia="en-AU"/>
              </w:rPr>
            </w:pPr>
            <w:r w:rsidRPr="00730DE4">
              <w:t>37</w:t>
            </w:r>
          </w:p>
        </w:tc>
        <w:tc>
          <w:tcPr>
            <w:tcW w:w="967" w:type="pct"/>
            <w:noWrap/>
          </w:tcPr>
          <w:p w14:paraId="3EC42D0C" w14:textId="77777777" w:rsidR="00FA2FF9" w:rsidRPr="00730DE4" w:rsidRDefault="00FA2FF9" w:rsidP="00393FD1">
            <w:pPr>
              <w:pStyle w:val="NoSpacing"/>
              <w:jc w:val="right"/>
              <w:rPr>
                <w:rFonts w:eastAsia="Times New Roman"/>
                <w:color w:val="auto"/>
                <w:lang w:eastAsia="en-AU"/>
              </w:rPr>
            </w:pPr>
            <w:r w:rsidRPr="00730DE4">
              <w:t>2425</w:t>
            </w:r>
          </w:p>
        </w:tc>
      </w:tr>
      <w:tr w:rsidR="002D6779" w:rsidRPr="00730DE4" w14:paraId="4AA290EB" w14:textId="77777777" w:rsidTr="00901CBD">
        <w:trPr>
          <w:trHeight w:val="255"/>
        </w:trPr>
        <w:tc>
          <w:tcPr>
            <w:tcW w:w="968" w:type="pct"/>
            <w:vAlign w:val="bottom"/>
          </w:tcPr>
          <w:p w14:paraId="4AE3C95D" w14:textId="77777777" w:rsidR="00FA2FF9" w:rsidRPr="00730DE4" w:rsidRDefault="00FA2FF9" w:rsidP="00E837BF">
            <w:pPr>
              <w:pStyle w:val="NoSpacing"/>
              <w:rPr>
                <w:rFonts w:eastAsia="Times New Roman"/>
                <w:color w:val="000000"/>
                <w:lang w:eastAsia="en-AU"/>
              </w:rPr>
            </w:pPr>
            <w:r w:rsidRPr="00730DE4">
              <w:rPr>
                <w:color w:val="000000"/>
              </w:rPr>
              <w:t>45–54 Years</w:t>
            </w:r>
          </w:p>
        </w:tc>
        <w:tc>
          <w:tcPr>
            <w:tcW w:w="968" w:type="pct"/>
            <w:noWrap/>
          </w:tcPr>
          <w:p w14:paraId="1FB0DE96" w14:textId="77777777" w:rsidR="00FA2FF9" w:rsidRPr="00730DE4" w:rsidRDefault="00FA2FF9" w:rsidP="00393FD1">
            <w:pPr>
              <w:pStyle w:val="NoSpacing"/>
              <w:jc w:val="right"/>
              <w:rPr>
                <w:rFonts w:eastAsia="Times New Roman"/>
                <w:color w:val="000000"/>
                <w:lang w:eastAsia="en-AU"/>
              </w:rPr>
            </w:pPr>
            <w:r w:rsidRPr="00730DE4">
              <w:t>2499</w:t>
            </w:r>
          </w:p>
        </w:tc>
        <w:tc>
          <w:tcPr>
            <w:tcW w:w="1129" w:type="pct"/>
            <w:noWrap/>
          </w:tcPr>
          <w:p w14:paraId="5F57E640" w14:textId="77777777" w:rsidR="00FA2FF9" w:rsidRPr="00730DE4" w:rsidRDefault="00FA2FF9" w:rsidP="00393FD1">
            <w:pPr>
              <w:pStyle w:val="NoSpacing"/>
              <w:jc w:val="right"/>
              <w:rPr>
                <w:rFonts w:eastAsia="Times New Roman"/>
                <w:color w:val="000000"/>
                <w:lang w:eastAsia="en-AU"/>
              </w:rPr>
            </w:pPr>
            <w:r w:rsidRPr="00730DE4">
              <w:t>238</w:t>
            </w:r>
          </w:p>
        </w:tc>
        <w:tc>
          <w:tcPr>
            <w:tcW w:w="968" w:type="pct"/>
            <w:noWrap/>
          </w:tcPr>
          <w:p w14:paraId="4A290336" w14:textId="77777777" w:rsidR="00FA2FF9" w:rsidRPr="00730DE4" w:rsidRDefault="00FA2FF9" w:rsidP="00393FD1">
            <w:pPr>
              <w:pStyle w:val="NoSpacing"/>
              <w:jc w:val="right"/>
              <w:rPr>
                <w:rFonts w:eastAsia="Times New Roman"/>
                <w:color w:val="000000"/>
                <w:lang w:eastAsia="en-AU"/>
              </w:rPr>
            </w:pPr>
            <w:r w:rsidRPr="00730DE4">
              <w:t>49</w:t>
            </w:r>
          </w:p>
        </w:tc>
        <w:tc>
          <w:tcPr>
            <w:tcW w:w="967" w:type="pct"/>
            <w:noWrap/>
          </w:tcPr>
          <w:p w14:paraId="226CFFEB" w14:textId="77777777" w:rsidR="00FA2FF9" w:rsidRPr="00730DE4" w:rsidRDefault="00FA2FF9" w:rsidP="00393FD1">
            <w:pPr>
              <w:pStyle w:val="NoSpacing"/>
              <w:jc w:val="right"/>
              <w:rPr>
                <w:rFonts w:eastAsia="Times New Roman"/>
                <w:color w:val="auto"/>
                <w:lang w:eastAsia="en-AU"/>
              </w:rPr>
            </w:pPr>
            <w:r w:rsidRPr="00730DE4">
              <w:t>2786</w:t>
            </w:r>
          </w:p>
        </w:tc>
      </w:tr>
      <w:tr w:rsidR="000A65A9" w:rsidRPr="00730DE4" w14:paraId="5D02F8C5" w14:textId="77777777" w:rsidTr="00901CBD">
        <w:trPr>
          <w:cnfStyle w:val="000000100000" w:firstRow="0" w:lastRow="0" w:firstColumn="0" w:lastColumn="0" w:oddVBand="0" w:evenVBand="0" w:oddHBand="1" w:evenHBand="0" w:firstRowFirstColumn="0" w:firstRowLastColumn="0" w:lastRowFirstColumn="0" w:lastRowLastColumn="0"/>
          <w:trHeight w:val="255"/>
        </w:trPr>
        <w:tc>
          <w:tcPr>
            <w:tcW w:w="968" w:type="pct"/>
            <w:vAlign w:val="bottom"/>
          </w:tcPr>
          <w:p w14:paraId="599E6A33" w14:textId="77777777" w:rsidR="00FA2FF9" w:rsidRPr="00730DE4" w:rsidRDefault="00FA2FF9" w:rsidP="00E837BF">
            <w:pPr>
              <w:pStyle w:val="NoSpacing"/>
              <w:rPr>
                <w:rFonts w:eastAsia="Times New Roman"/>
                <w:color w:val="000000"/>
                <w:lang w:eastAsia="en-AU"/>
              </w:rPr>
            </w:pPr>
            <w:r w:rsidRPr="00730DE4">
              <w:rPr>
                <w:color w:val="000000"/>
              </w:rPr>
              <w:t>55–64 Years</w:t>
            </w:r>
          </w:p>
        </w:tc>
        <w:tc>
          <w:tcPr>
            <w:tcW w:w="968" w:type="pct"/>
            <w:noWrap/>
          </w:tcPr>
          <w:p w14:paraId="2D5D16C5" w14:textId="77777777" w:rsidR="00FA2FF9" w:rsidRPr="00730DE4" w:rsidRDefault="00FA2FF9" w:rsidP="00393FD1">
            <w:pPr>
              <w:pStyle w:val="NoSpacing"/>
              <w:jc w:val="right"/>
              <w:rPr>
                <w:rFonts w:eastAsia="Times New Roman"/>
                <w:color w:val="000000"/>
                <w:lang w:eastAsia="en-AU"/>
              </w:rPr>
            </w:pPr>
            <w:r w:rsidRPr="00730DE4">
              <w:t>1841</w:t>
            </w:r>
          </w:p>
        </w:tc>
        <w:tc>
          <w:tcPr>
            <w:tcW w:w="1129" w:type="pct"/>
            <w:noWrap/>
          </w:tcPr>
          <w:p w14:paraId="673F6126" w14:textId="77777777" w:rsidR="00FA2FF9" w:rsidRPr="00730DE4" w:rsidRDefault="00FA2FF9" w:rsidP="00393FD1">
            <w:pPr>
              <w:pStyle w:val="NoSpacing"/>
              <w:jc w:val="right"/>
              <w:rPr>
                <w:rFonts w:eastAsia="Times New Roman"/>
                <w:color w:val="000000"/>
                <w:lang w:eastAsia="en-AU"/>
              </w:rPr>
            </w:pPr>
            <w:r w:rsidRPr="00730DE4">
              <w:t>188</w:t>
            </w:r>
          </w:p>
        </w:tc>
        <w:tc>
          <w:tcPr>
            <w:tcW w:w="968" w:type="pct"/>
            <w:noWrap/>
          </w:tcPr>
          <w:p w14:paraId="057EE9FE" w14:textId="77777777" w:rsidR="00FA2FF9" w:rsidRPr="00730DE4" w:rsidRDefault="00FA2FF9" w:rsidP="00393FD1">
            <w:pPr>
              <w:pStyle w:val="NoSpacing"/>
              <w:jc w:val="right"/>
              <w:rPr>
                <w:rFonts w:eastAsia="Times New Roman"/>
                <w:color w:val="000000"/>
                <w:lang w:eastAsia="en-AU"/>
              </w:rPr>
            </w:pPr>
            <w:r w:rsidRPr="00730DE4">
              <w:t>77</w:t>
            </w:r>
          </w:p>
        </w:tc>
        <w:tc>
          <w:tcPr>
            <w:tcW w:w="967" w:type="pct"/>
            <w:noWrap/>
          </w:tcPr>
          <w:p w14:paraId="70E35A10" w14:textId="77777777" w:rsidR="00FA2FF9" w:rsidRPr="00730DE4" w:rsidRDefault="00FA2FF9" w:rsidP="00393FD1">
            <w:pPr>
              <w:pStyle w:val="NoSpacing"/>
              <w:jc w:val="right"/>
              <w:rPr>
                <w:rFonts w:eastAsia="Times New Roman"/>
                <w:color w:val="auto"/>
                <w:lang w:eastAsia="en-AU"/>
              </w:rPr>
            </w:pPr>
            <w:r w:rsidRPr="00730DE4">
              <w:t>2105</w:t>
            </w:r>
          </w:p>
        </w:tc>
      </w:tr>
      <w:tr w:rsidR="002D6779" w:rsidRPr="00730DE4" w14:paraId="02B7261F" w14:textId="77777777" w:rsidTr="00901CBD">
        <w:trPr>
          <w:trHeight w:val="255"/>
        </w:trPr>
        <w:tc>
          <w:tcPr>
            <w:tcW w:w="968" w:type="pct"/>
            <w:vAlign w:val="bottom"/>
          </w:tcPr>
          <w:p w14:paraId="560E7934" w14:textId="77777777" w:rsidR="00FA2FF9" w:rsidRPr="00730DE4" w:rsidRDefault="00FA2FF9" w:rsidP="00E837BF">
            <w:pPr>
              <w:pStyle w:val="NoSpacing"/>
              <w:rPr>
                <w:rFonts w:eastAsia="Times New Roman"/>
                <w:color w:val="000000"/>
                <w:lang w:eastAsia="en-AU"/>
              </w:rPr>
            </w:pPr>
            <w:r w:rsidRPr="00730DE4">
              <w:rPr>
                <w:color w:val="000000"/>
              </w:rPr>
              <w:t>&gt; 65 Years</w:t>
            </w:r>
          </w:p>
        </w:tc>
        <w:tc>
          <w:tcPr>
            <w:tcW w:w="968" w:type="pct"/>
            <w:noWrap/>
          </w:tcPr>
          <w:p w14:paraId="044C9F5A" w14:textId="77777777" w:rsidR="00FA2FF9" w:rsidRPr="00730DE4" w:rsidRDefault="00FA2FF9" w:rsidP="00393FD1">
            <w:pPr>
              <w:pStyle w:val="NoSpacing"/>
              <w:jc w:val="right"/>
              <w:rPr>
                <w:rFonts w:eastAsia="Times New Roman"/>
                <w:color w:val="000000"/>
                <w:lang w:eastAsia="en-AU"/>
              </w:rPr>
            </w:pPr>
            <w:r w:rsidRPr="00730DE4">
              <w:t>390</w:t>
            </w:r>
          </w:p>
        </w:tc>
        <w:tc>
          <w:tcPr>
            <w:tcW w:w="1129" w:type="pct"/>
            <w:noWrap/>
          </w:tcPr>
          <w:p w14:paraId="0A8A02E9" w14:textId="77777777" w:rsidR="00FA2FF9" w:rsidRPr="00730DE4" w:rsidRDefault="00FA2FF9" w:rsidP="00393FD1">
            <w:pPr>
              <w:pStyle w:val="NoSpacing"/>
              <w:jc w:val="right"/>
              <w:rPr>
                <w:rFonts w:eastAsia="Times New Roman"/>
                <w:color w:val="000000"/>
                <w:lang w:eastAsia="en-AU"/>
              </w:rPr>
            </w:pPr>
            <w:r w:rsidRPr="00730DE4">
              <w:t>55</w:t>
            </w:r>
          </w:p>
        </w:tc>
        <w:tc>
          <w:tcPr>
            <w:tcW w:w="968" w:type="pct"/>
            <w:noWrap/>
          </w:tcPr>
          <w:p w14:paraId="6B9E557F" w14:textId="77777777" w:rsidR="00FA2FF9" w:rsidRPr="00730DE4" w:rsidRDefault="00FA2FF9" w:rsidP="00393FD1">
            <w:pPr>
              <w:pStyle w:val="NoSpacing"/>
              <w:jc w:val="right"/>
              <w:rPr>
                <w:rFonts w:eastAsia="Times New Roman"/>
                <w:color w:val="000000"/>
                <w:lang w:eastAsia="en-AU"/>
              </w:rPr>
            </w:pPr>
            <w:r w:rsidRPr="00730DE4">
              <w:t>124</w:t>
            </w:r>
          </w:p>
        </w:tc>
        <w:tc>
          <w:tcPr>
            <w:tcW w:w="967" w:type="pct"/>
            <w:noWrap/>
          </w:tcPr>
          <w:p w14:paraId="3442D376" w14:textId="77777777" w:rsidR="00FA2FF9" w:rsidRPr="00730DE4" w:rsidRDefault="00FA2FF9" w:rsidP="00393FD1">
            <w:pPr>
              <w:pStyle w:val="NoSpacing"/>
              <w:jc w:val="right"/>
              <w:rPr>
                <w:rFonts w:eastAsia="Times New Roman"/>
                <w:color w:val="auto"/>
                <w:lang w:eastAsia="en-AU"/>
              </w:rPr>
            </w:pPr>
            <w:r w:rsidRPr="00730DE4">
              <w:t>569</w:t>
            </w:r>
          </w:p>
        </w:tc>
      </w:tr>
      <w:tr w:rsidR="000A65A9" w:rsidRPr="00730DE4" w14:paraId="35A6DB67" w14:textId="77777777" w:rsidTr="00AF3C30">
        <w:trPr>
          <w:cnfStyle w:val="010000000000" w:firstRow="0" w:lastRow="1" w:firstColumn="0" w:lastColumn="0" w:oddVBand="0" w:evenVBand="0" w:oddHBand="0" w:evenHBand="0" w:firstRowFirstColumn="0" w:firstRowLastColumn="0" w:lastRowFirstColumn="0" w:lastRowLastColumn="0"/>
          <w:trHeight w:val="255"/>
        </w:trPr>
        <w:tc>
          <w:tcPr>
            <w:tcW w:w="968" w:type="pct"/>
            <w:vAlign w:val="bottom"/>
          </w:tcPr>
          <w:p w14:paraId="473E14FB" w14:textId="77777777" w:rsidR="00FA2FF9" w:rsidRPr="00730DE4" w:rsidRDefault="00FA2FF9" w:rsidP="00E837BF">
            <w:pPr>
              <w:pStyle w:val="NoSpacing"/>
              <w:rPr>
                <w:rFonts w:eastAsia="Times New Roman"/>
                <w:color w:val="000000"/>
                <w:lang w:eastAsia="en-AU"/>
              </w:rPr>
            </w:pPr>
            <w:r w:rsidRPr="00730DE4">
              <w:rPr>
                <w:color w:val="000000"/>
              </w:rPr>
              <w:t>Grand Total</w:t>
            </w:r>
          </w:p>
        </w:tc>
        <w:tc>
          <w:tcPr>
            <w:tcW w:w="968" w:type="pct"/>
            <w:noWrap/>
          </w:tcPr>
          <w:p w14:paraId="33B7B0FC" w14:textId="77777777" w:rsidR="00FA2FF9" w:rsidRPr="00730DE4" w:rsidRDefault="00FA2FF9" w:rsidP="00393FD1">
            <w:pPr>
              <w:pStyle w:val="NoSpacing"/>
              <w:jc w:val="right"/>
              <w:rPr>
                <w:rFonts w:eastAsia="Times New Roman"/>
                <w:color w:val="000000"/>
                <w:lang w:eastAsia="en-AU"/>
              </w:rPr>
            </w:pPr>
            <w:r w:rsidRPr="00730DE4">
              <w:t>8408</w:t>
            </w:r>
          </w:p>
        </w:tc>
        <w:tc>
          <w:tcPr>
            <w:tcW w:w="1129" w:type="pct"/>
            <w:noWrap/>
          </w:tcPr>
          <w:p w14:paraId="290D8F30" w14:textId="77777777" w:rsidR="00FA2FF9" w:rsidRPr="00730DE4" w:rsidRDefault="00FA2FF9" w:rsidP="00393FD1">
            <w:pPr>
              <w:pStyle w:val="NoSpacing"/>
              <w:jc w:val="right"/>
              <w:rPr>
                <w:rFonts w:eastAsia="Times New Roman"/>
                <w:color w:val="000000"/>
                <w:lang w:eastAsia="en-AU"/>
              </w:rPr>
            </w:pPr>
            <w:r w:rsidRPr="00730DE4">
              <w:t>883</w:t>
            </w:r>
          </w:p>
        </w:tc>
        <w:tc>
          <w:tcPr>
            <w:tcW w:w="968" w:type="pct"/>
            <w:noWrap/>
          </w:tcPr>
          <w:p w14:paraId="083ADD89" w14:textId="77777777" w:rsidR="00FA2FF9" w:rsidRPr="00730DE4" w:rsidRDefault="00FA2FF9" w:rsidP="00393FD1">
            <w:pPr>
              <w:pStyle w:val="NoSpacing"/>
              <w:jc w:val="right"/>
              <w:rPr>
                <w:rFonts w:eastAsia="Times New Roman"/>
                <w:color w:val="000000"/>
                <w:lang w:eastAsia="en-AU"/>
              </w:rPr>
            </w:pPr>
            <w:r w:rsidRPr="00730DE4">
              <w:t>327</w:t>
            </w:r>
          </w:p>
        </w:tc>
        <w:tc>
          <w:tcPr>
            <w:tcW w:w="967" w:type="pct"/>
            <w:noWrap/>
          </w:tcPr>
          <w:p w14:paraId="555193FB" w14:textId="77777777" w:rsidR="00FA2FF9" w:rsidRPr="00730DE4" w:rsidRDefault="00FA2FF9" w:rsidP="00393FD1">
            <w:pPr>
              <w:pStyle w:val="NoSpacing"/>
              <w:jc w:val="right"/>
              <w:rPr>
                <w:rFonts w:eastAsia="Times New Roman"/>
                <w:color w:val="000000"/>
                <w:lang w:eastAsia="en-AU"/>
              </w:rPr>
            </w:pPr>
            <w:r w:rsidRPr="00730DE4">
              <w:t>9619</w:t>
            </w:r>
          </w:p>
        </w:tc>
      </w:tr>
    </w:tbl>
    <w:p w14:paraId="589CD369" w14:textId="77777777" w:rsidR="00FA2FF9" w:rsidRPr="00730DE4" w:rsidRDefault="00FA2FF9" w:rsidP="00BB0F75">
      <w:pPr>
        <w:pStyle w:val="FigureCaption"/>
      </w:pPr>
    </w:p>
    <w:tbl>
      <w:tblPr>
        <w:tblStyle w:val="TMRDefault"/>
        <w:tblW w:w="5000" w:type="pct"/>
        <w:tblLook w:val="04E0" w:firstRow="1" w:lastRow="1" w:firstColumn="1" w:lastColumn="0" w:noHBand="0" w:noVBand="1"/>
      </w:tblPr>
      <w:tblGrid>
        <w:gridCol w:w="1754"/>
        <w:gridCol w:w="1754"/>
        <w:gridCol w:w="2046"/>
        <w:gridCol w:w="1754"/>
        <w:gridCol w:w="1752"/>
      </w:tblGrid>
      <w:tr w:rsidR="000A65A9" w:rsidRPr="00730DE4" w14:paraId="7AFA7529" w14:textId="77777777" w:rsidTr="00F92D4B">
        <w:trPr>
          <w:cnfStyle w:val="100000000000" w:firstRow="1" w:lastRow="0" w:firstColumn="0" w:lastColumn="0" w:oddVBand="0" w:evenVBand="0" w:oddHBand="0" w:evenHBand="0" w:firstRowFirstColumn="0" w:firstRowLastColumn="0" w:lastRowFirstColumn="0" w:lastRowLastColumn="0"/>
          <w:trHeight w:val="255"/>
          <w:tblHeader/>
        </w:trPr>
        <w:tc>
          <w:tcPr>
            <w:tcW w:w="968" w:type="pct"/>
          </w:tcPr>
          <w:p w14:paraId="13674AA0" w14:textId="77777777" w:rsidR="00FA2FF9" w:rsidRPr="00730DE4" w:rsidRDefault="00FA2FF9" w:rsidP="006761E8">
            <w:pPr>
              <w:pStyle w:val="NoSpacing"/>
              <w:rPr>
                <w:rFonts w:eastAsia="Times New Roman"/>
                <w:b w:val="0"/>
                <w:bCs/>
                <w:color w:val="FFFFFF" w:themeColor="background1"/>
                <w:lang w:eastAsia="en-AU"/>
              </w:rPr>
            </w:pPr>
            <w:r w:rsidRPr="00730DE4">
              <w:rPr>
                <w:b w:val="0"/>
                <w:bCs/>
                <w:color w:val="FFFFFF" w:themeColor="background1"/>
                <w:lang w:eastAsia="en-AU"/>
              </w:rPr>
              <w:t xml:space="preserve">Equivalent Salary Level </w:t>
            </w:r>
          </w:p>
        </w:tc>
        <w:tc>
          <w:tcPr>
            <w:tcW w:w="968" w:type="pct"/>
            <w:noWrap/>
          </w:tcPr>
          <w:p w14:paraId="7CA689AE" w14:textId="77777777" w:rsidR="00FA2FF9" w:rsidRPr="00730DE4" w:rsidRDefault="00FA2FF9" w:rsidP="00393FD1">
            <w:pPr>
              <w:pStyle w:val="NoSpacing"/>
              <w:jc w:val="right"/>
              <w:rPr>
                <w:rFonts w:eastAsia="Times New Roman"/>
                <w:b w:val="0"/>
                <w:bCs/>
                <w:color w:val="FFFFFF" w:themeColor="background1"/>
                <w:lang w:eastAsia="en-AU"/>
              </w:rPr>
            </w:pPr>
            <w:r w:rsidRPr="00730DE4">
              <w:rPr>
                <w:b w:val="0"/>
                <w:bCs/>
                <w:color w:val="FFFFFF" w:themeColor="background1"/>
                <w:lang w:eastAsia="en-AU"/>
              </w:rPr>
              <w:t>Full time</w:t>
            </w:r>
          </w:p>
        </w:tc>
        <w:tc>
          <w:tcPr>
            <w:tcW w:w="1129" w:type="pct"/>
            <w:noWrap/>
          </w:tcPr>
          <w:p w14:paraId="1BFCC2D6" w14:textId="77777777" w:rsidR="00FA2FF9" w:rsidRPr="00730DE4" w:rsidRDefault="00FA2FF9" w:rsidP="00393FD1">
            <w:pPr>
              <w:pStyle w:val="NoSpacing"/>
              <w:jc w:val="right"/>
              <w:rPr>
                <w:rFonts w:eastAsia="Times New Roman"/>
                <w:b w:val="0"/>
                <w:bCs/>
                <w:color w:val="FFFFFF" w:themeColor="background1"/>
                <w:lang w:eastAsia="en-AU"/>
              </w:rPr>
            </w:pPr>
            <w:r w:rsidRPr="00730DE4">
              <w:rPr>
                <w:b w:val="0"/>
                <w:bCs/>
                <w:color w:val="FFFFFF" w:themeColor="background1"/>
                <w:lang w:eastAsia="en-AU"/>
              </w:rPr>
              <w:t>Part time</w:t>
            </w:r>
          </w:p>
        </w:tc>
        <w:tc>
          <w:tcPr>
            <w:tcW w:w="968" w:type="pct"/>
            <w:noWrap/>
          </w:tcPr>
          <w:p w14:paraId="4ACB5180" w14:textId="77777777" w:rsidR="00FA2FF9" w:rsidRPr="00730DE4" w:rsidRDefault="00FA2FF9" w:rsidP="00393FD1">
            <w:pPr>
              <w:pStyle w:val="NoSpacing"/>
              <w:jc w:val="right"/>
              <w:rPr>
                <w:rFonts w:eastAsia="Times New Roman"/>
                <w:b w:val="0"/>
                <w:bCs/>
                <w:color w:val="FFFFFF" w:themeColor="background1"/>
                <w:lang w:eastAsia="en-AU"/>
              </w:rPr>
            </w:pPr>
            <w:r w:rsidRPr="00730DE4">
              <w:rPr>
                <w:b w:val="0"/>
                <w:bCs/>
                <w:color w:val="FFFFFF" w:themeColor="background1"/>
                <w:lang w:eastAsia="en-AU"/>
              </w:rPr>
              <w:t>Casual</w:t>
            </w:r>
          </w:p>
        </w:tc>
        <w:tc>
          <w:tcPr>
            <w:tcW w:w="967" w:type="pct"/>
            <w:noWrap/>
          </w:tcPr>
          <w:p w14:paraId="75027975" w14:textId="77777777" w:rsidR="00FA2FF9" w:rsidRPr="00730DE4" w:rsidRDefault="00FA2FF9" w:rsidP="00393FD1">
            <w:pPr>
              <w:pStyle w:val="NoSpacing"/>
              <w:jc w:val="right"/>
              <w:rPr>
                <w:rFonts w:eastAsia="Times New Roman"/>
                <w:b w:val="0"/>
                <w:bCs/>
                <w:color w:val="FFFFFF" w:themeColor="background1"/>
                <w:lang w:eastAsia="en-AU"/>
              </w:rPr>
            </w:pPr>
            <w:r w:rsidRPr="00730DE4">
              <w:rPr>
                <w:b w:val="0"/>
                <w:bCs/>
                <w:color w:val="FFFFFF" w:themeColor="background1"/>
                <w:lang w:eastAsia="en-AU"/>
              </w:rPr>
              <w:t>Total</w:t>
            </w:r>
          </w:p>
        </w:tc>
      </w:tr>
      <w:tr w:rsidR="000A65A9" w:rsidRPr="00730DE4" w14:paraId="428B37CB" w14:textId="77777777" w:rsidTr="00F92D4B">
        <w:trPr>
          <w:cnfStyle w:val="000000100000" w:firstRow="0" w:lastRow="0" w:firstColumn="0" w:lastColumn="0" w:oddVBand="0" w:evenVBand="0" w:oddHBand="1" w:evenHBand="0" w:firstRowFirstColumn="0" w:firstRowLastColumn="0" w:lastRowFirstColumn="0" w:lastRowLastColumn="0"/>
          <w:trHeight w:val="255"/>
        </w:trPr>
        <w:tc>
          <w:tcPr>
            <w:tcW w:w="968" w:type="pct"/>
            <w:vAlign w:val="bottom"/>
          </w:tcPr>
          <w:p w14:paraId="756DA93E" w14:textId="77777777" w:rsidR="00FA2FF9" w:rsidRPr="00730DE4" w:rsidRDefault="00FA2FF9" w:rsidP="001D7310">
            <w:pPr>
              <w:pStyle w:val="NoSpacing"/>
              <w:rPr>
                <w:rFonts w:eastAsia="Times New Roman"/>
                <w:color w:val="000000"/>
                <w:lang w:eastAsia="en-AU"/>
              </w:rPr>
            </w:pPr>
            <w:r w:rsidRPr="00730DE4">
              <w:rPr>
                <w:color w:val="000000"/>
              </w:rPr>
              <w:t>AO1</w:t>
            </w:r>
          </w:p>
        </w:tc>
        <w:tc>
          <w:tcPr>
            <w:tcW w:w="968" w:type="pct"/>
            <w:noWrap/>
          </w:tcPr>
          <w:p w14:paraId="0B029967" w14:textId="77777777" w:rsidR="00FA2FF9" w:rsidRPr="00730DE4" w:rsidRDefault="00FA2FF9" w:rsidP="00393FD1">
            <w:pPr>
              <w:pStyle w:val="NoSpacing"/>
              <w:jc w:val="right"/>
              <w:rPr>
                <w:rFonts w:eastAsia="Times New Roman"/>
                <w:color w:val="000000"/>
                <w:lang w:eastAsia="en-AU"/>
              </w:rPr>
            </w:pPr>
            <w:r w:rsidRPr="00730DE4">
              <w:t>6</w:t>
            </w:r>
          </w:p>
        </w:tc>
        <w:tc>
          <w:tcPr>
            <w:tcW w:w="1129" w:type="pct"/>
            <w:noWrap/>
          </w:tcPr>
          <w:p w14:paraId="7DC3AADA" w14:textId="77777777" w:rsidR="00FA2FF9" w:rsidRPr="00730DE4" w:rsidRDefault="00FA2FF9" w:rsidP="00393FD1">
            <w:pPr>
              <w:pStyle w:val="NoSpacing"/>
              <w:jc w:val="right"/>
              <w:rPr>
                <w:rFonts w:eastAsia="Times New Roman"/>
                <w:color w:val="000000"/>
                <w:lang w:eastAsia="en-AU"/>
              </w:rPr>
            </w:pPr>
            <w:r w:rsidRPr="00730DE4">
              <w:t>1</w:t>
            </w:r>
          </w:p>
        </w:tc>
        <w:tc>
          <w:tcPr>
            <w:tcW w:w="968" w:type="pct"/>
            <w:noWrap/>
          </w:tcPr>
          <w:p w14:paraId="567E745D" w14:textId="77777777" w:rsidR="00FA2FF9" w:rsidRPr="00730DE4" w:rsidRDefault="00FA2FF9" w:rsidP="00393FD1">
            <w:pPr>
              <w:pStyle w:val="NoSpacing"/>
              <w:jc w:val="right"/>
              <w:rPr>
                <w:rFonts w:eastAsia="Times New Roman"/>
                <w:color w:val="000000"/>
                <w:lang w:eastAsia="en-AU"/>
              </w:rPr>
            </w:pPr>
          </w:p>
        </w:tc>
        <w:tc>
          <w:tcPr>
            <w:tcW w:w="967" w:type="pct"/>
            <w:noWrap/>
          </w:tcPr>
          <w:p w14:paraId="4C4307B3" w14:textId="77777777" w:rsidR="00FA2FF9" w:rsidRPr="00730DE4" w:rsidRDefault="00FA2FF9" w:rsidP="00393FD1">
            <w:pPr>
              <w:pStyle w:val="NoSpacing"/>
              <w:jc w:val="right"/>
              <w:rPr>
                <w:rFonts w:eastAsia="Times New Roman"/>
                <w:color w:val="auto"/>
                <w:lang w:eastAsia="en-AU"/>
              </w:rPr>
            </w:pPr>
            <w:r w:rsidRPr="00730DE4">
              <w:t>7</w:t>
            </w:r>
          </w:p>
        </w:tc>
      </w:tr>
      <w:tr w:rsidR="00FA2FF9" w:rsidRPr="00730DE4" w14:paraId="2A5786AA" w14:textId="77777777" w:rsidTr="00F92D4B">
        <w:trPr>
          <w:trHeight w:val="255"/>
        </w:trPr>
        <w:tc>
          <w:tcPr>
            <w:tcW w:w="968" w:type="pct"/>
            <w:vAlign w:val="bottom"/>
          </w:tcPr>
          <w:p w14:paraId="71E83172" w14:textId="77777777" w:rsidR="00FA2FF9" w:rsidRPr="00730DE4" w:rsidRDefault="00FA2FF9" w:rsidP="001D7310">
            <w:pPr>
              <w:pStyle w:val="NoSpacing"/>
              <w:rPr>
                <w:rFonts w:eastAsia="Times New Roman"/>
                <w:color w:val="000000"/>
                <w:lang w:eastAsia="en-AU"/>
              </w:rPr>
            </w:pPr>
            <w:r w:rsidRPr="00730DE4">
              <w:rPr>
                <w:color w:val="000000"/>
              </w:rPr>
              <w:t>AO2</w:t>
            </w:r>
          </w:p>
        </w:tc>
        <w:tc>
          <w:tcPr>
            <w:tcW w:w="968" w:type="pct"/>
            <w:noWrap/>
            <w:hideMark/>
          </w:tcPr>
          <w:p w14:paraId="73BDE649" w14:textId="77777777" w:rsidR="00FA2FF9" w:rsidRPr="00730DE4" w:rsidRDefault="00FA2FF9" w:rsidP="00393FD1">
            <w:pPr>
              <w:pStyle w:val="NoSpacing"/>
              <w:jc w:val="right"/>
              <w:rPr>
                <w:rFonts w:eastAsia="Times New Roman"/>
                <w:color w:val="000000"/>
                <w:lang w:eastAsia="en-AU"/>
              </w:rPr>
            </w:pPr>
            <w:r w:rsidRPr="00730DE4">
              <w:t>681</w:t>
            </w:r>
          </w:p>
        </w:tc>
        <w:tc>
          <w:tcPr>
            <w:tcW w:w="1129" w:type="pct"/>
            <w:noWrap/>
            <w:hideMark/>
          </w:tcPr>
          <w:p w14:paraId="573872BB" w14:textId="77777777" w:rsidR="00FA2FF9" w:rsidRPr="00730DE4" w:rsidRDefault="00FA2FF9" w:rsidP="00393FD1">
            <w:pPr>
              <w:pStyle w:val="NoSpacing"/>
              <w:jc w:val="right"/>
              <w:rPr>
                <w:rFonts w:eastAsia="Times New Roman"/>
                <w:color w:val="000000"/>
                <w:lang w:eastAsia="en-AU"/>
              </w:rPr>
            </w:pPr>
            <w:r w:rsidRPr="00730DE4">
              <w:t>22</w:t>
            </w:r>
          </w:p>
        </w:tc>
        <w:tc>
          <w:tcPr>
            <w:tcW w:w="968" w:type="pct"/>
            <w:noWrap/>
            <w:hideMark/>
          </w:tcPr>
          <w:p w14:paraId="2B9665A6" w14:textId="77777777" w:rsidR="00FA2FF9" w:rsidRPr="00730DE4" w:rsidRDefault="00FA2FF9" w:rsidP="00393FD1">
            <w:pPr>
              <w:pStyle w:val="NoSpacing"/>
              <w:jc w:val="right"/>
              <w:rPr>
                <w:rFonts w:eastAsia="Times New Roman"/>
                <w:color w:val="000000"/>
                <w:lang w:eastAsia="en-AU"/>
              </w:rPr>
            </w:pPr>
            <w:r w:rsidRPr="00730DE4">
              <w:t>255</w:t>
            </w:r>
          </w:p>
        </w:tc>
        <w:tc>
          <w:tcPr>
            <w:tcW w:w="967" w:type="pct"/>
            <w:noWrap/>
            <w:hideMark/>
          </w:tcPr>
          <w:p w14:paraId="43C6527E" w14:textId="77777777" w:rsidR="00FA2FF9" w:rsidRPr="00730DE4" w:rsidRDefault="00FA2FF9" w:rsidP="00393FD1">
            <w:pPr>
              <w:pStyle w:val="NoSpacing"/>
              <w:jc w:val="right"/>
              <w:rPr>
                <w:rFonts w:eastAsia="Times New Roman"/>
                <w:color w:val="auto"/>
                <w:lang w:eastAsia="en-AU"/>
              </w:rPr>
            </w:pPr>
            <w:r w:rsidRPr="00730DE4">
              <w:t>959</w:t>
            </w:r>
          </w:p>
        </w:tc>
      </w:tr>
      <w:tr w:rsidR="000A65A9" w:rsidRPr="00730DE4" w14:paraId="1E34E0FC" w14:textId="77777777" w:rsidTr="00F92D4B">
        <w:trPr>
          <w:cnfStyle w:val="000000100000" w:firstRow="0" w:lastRow="0" w:firstColumn="0" w:lastColumn="0" w:oddVBand="0" w:evenVBand="0" w:oddHBand="1" w:evenHBand="0" w:firstRowFirstColumn="0" w:firstRowLastColumn="0" w:lastRowFirstColumn="0" w:lastRowLastColumn="0"/>
          <w:trHeight w:val="255"/>
        </w:trPr>
        <w:tc>
          <w:tcPr>
            <w:tcW w:w="968" w:type="pct"/>
            <w:vAlign w:val="bottom"/>
          </w:tcPr>
          <w:p w14:paraId="7AD5E7E5" w14:textId="77777777" w:rsidR="00FA2FF9" w:rsidRPr="00730DE4" w:rsidRDefault="00FA2FF9" w:rsidP="001D7310">
            <w:pPr>
              <w:pStyle w:val="NoSpacing"/>
              <w:rPr>
                <w:rFonts w:eastAsia="Times New Roman"/>
                <w:color w:val="000000"/>
                <w:lang w:eastAsia="en-AU"/>
              </w:rPr>
            </w:pPr>
            <w:r w:rsidRPr="00730DE4">
              <w:rPr>
                <w:color w:val="000000"/>
              </w:rPr>
              <w:t>AO3</w:t>
            </w:r>
          </w:p>
        </w:tc>
        <w:tc>
          <w:tcPr>
            <w:tcW w:w="968" w:type="pct"/>
            <w:noWrap/>
            <w:hideMark/>
          </w:tcPr>
          <w:p w14:paraId="7B2E289C" w14:textId="77777777" w:rsidR="00FA2FF9" w:rsidRPr="00730DE4" w:rsidRDefault="00FA2FF9" w:rsidP="00393FD1">
            <w:pPr>
              <w:pStyle w:val="NoSpacing"/>
              <w:jc w:val="right"/>
              <w:rPr>
                <w:rFonts w:eastAsia="Times New Roman"/>
                <w:color w:val="000000"/>
                <w:lang w:eastAsia="en-AU"/>
              </w:rPr>
            </w:pPr>
            <w:r w:rsidRPr="00730DE4">
              <w:t>1540</w:t>
            </w:r>
          </w:p>
        </w:tc>
        <w:tc>
          <w:tcPr>
            <w:tcW w:w="1129" w:type="pct"/>
            <w:noWrap/>
            <w:hideMark/>
          </w:tcPr>
          <w:p w14:paraId="34D8E295" w14:textId="77777777" w:rsidR="00FA2FF9" w:rsidRPr="00730DE4" w:rsidRDefault="00FA2FF9" w:rsidP="00393FD1">
            <w:pPr>
              <w:pStyle w:val="NoSpacing"/>
              <w:jc w:val="right"/>
              <w:rPr>
                <w:rFonts w:eastAsia="Times New Roman"/>
                <w:color w:val="000000"/>
                <w:lang w:eastAsia="en-AU"/>
              </w:rPr>
            </w:pPr>
            <w:r w:rsidRPr="00730DE4">
              <w:t>329</w:t>
            </w:r>
          </w:p>
        </w:tc>
        <w:tc>
          <w:tcPr>
            <w:tcW w:w="968" w:type="pct"/>
            <w:noWrap/>
            <w:hideMark/>
          </w:tcPr>
          <w:p w14:paraId="7F7935FB" w14:textId="77777777" w:rsidR="00FA2FF9" w:rsidRPr="00730DE4" w:rsidRDefault="00FA2FF9" w:rsidP="00393FD1">
            <w:pPr>
              <w:pStyle w:val="NoSpacing"/>
              <w:jc w:val="right"/>
              <w:rPr>
                <w:rFonts w:eastAsia="Times New Roman"/>
                <w:color w:val="000000"/>
                <w:lang w:eastAsia="en-AU"/>
              </w:rPr>
            </w:pPr>
            <w:r w:rsidRPr="00730DE4">
              <w:t>55</w:t>
            </w:r>
          </w:p>
        </w:tc>
        <w:tc>
          <w:tcPr>
            <w:tcW w:w="967" w:type="pct"/>
            <w:noWrap/>
            <w:hideMark/>
          </w:tcPr>
          <w:p w14:paraId="6818E5CD" w14:textId="77777777" w:rsidR="00FA2FF9" w:rsidRPr="00730DE4" w:rsidRDefault="00FA2FF9" w:rsidP="00393FD1">
            <w:pPr>
              <w:pStyle w:val="NoSpacing"/>
              <w:jc w:val="right"/>
              <w:rPr>
                <w:rFonts w:eastAsia="Times New Roman"/>
                <w:color w:val="auto"/>
                <w:lang w:eastAsia="en-AU"/>
              </w:rPr>
            </w:pPr>
            <w:r w:rsidRPr="00730DE4">
              <w:t>1924</w:t>
            </w:r>
          </w:p>
        </w:tc>
      </w:tr>
      <w:tr w:rsidR="00FA2FF9" w:rsidRPr="00730DE4" w14:paraId="1DA0A86E" w14:textId="77777777" w:rsidTr="00F92D4B">
        <w:trPr>
          <w:trHeight w:val="255"/>
        </w:trPr>
        <w:tc>
          <w:tcPr>
            <w:tcW w:w="968" w:type="pct"/>
            <w:vAlign w:val="bottom"/>
          </w:tcPr>
          <w:p w14:paraId="6DA7F285" w14:textId="77777777" w:rsidR="00FA2FF9" w:rsidRPr="00730DE4" w:rsidRDefault="00FA2FF9" w:rsidP="001D7310">
            <w:pPr>
              <w:pStyle w:val="NoSpacing"/>
              <w:rPr>
                <w:rFonts w:eastAsia="Times New Roman"/>
                <w:color w:val="000000"/>
                <w:lang w:eastAsia="en-AU"/>
              </w:rPr>
            </w:pPr>
            <w:r w:rsidRPr="00730DE4">
              <w:rPr>
                <w:color w:val="000000"/>
              </w:rPr>
              <w:t>AO4</w:t>
            </w:r>
          </w:p>
        </w:tc>
        <w:tc>
          <w:tcPr>
            <w:tcW w:w="968" w:type="pct"/>
            <w:noWrap/>
            <w:hideMark/>
          </w:tcPr>
          <w:p w14:paraId="5F0FC363" w14:textId="77777777" w:rsidR="00FA2FF9" w:rsidRPr="00730DE4" w:rsidRDefault="00FA2FF9" w:rsidP="00393FD1">
            <w:pPr>
              <w:pStyle w:val="NoSpacing"/>
              <w:jc w:val="right"/>
              <w:rPr>
                <w:rFonts w:eastAsia="Times New Roman"/>
                <w:color w:val="000000"/>
                <w:lang w:eastAsia="en-AU"/>
              </w:rPr>
            </w:pPr>
            <w:r w:rsidRPr="00730DE4">
              <w:t>1172</w:t>
            </w:r>
          </w:p>
        </w:tc>
        <w:tc>
          <w:tcPr>
            <w:tcW w:w="1129" w:type="pct"/>
            <w:noWrap/>
            <w:hideMark/>
          </w:tcPr>
          <w:p w14:paraId="7AC79C88" w14:textId="77777777" w:rsidR="00FA2FF9" w:rsidRPr="00730DE4" w:rsidRDefault="00FA2FF9" w:rsidP="00393FD1">
            <w:pPr>
              <w:pStyle w:val="NoSpacing"/>
              <w:jc w:val="right"/>
              <w:rPr>
                <w:rFonts w:eastAsia="Times New Roman"/>
                <w:color w:val="000000"/>
                <w:lang w:eastAsia="en-AU"/>
              </w:rPr>
            </w:pPr>
            <w:r w:rsidRPr="00730DE4">
              <w:t>187</w:t>
            </w:r>
          </w:p>
        </w:tc>
        <w:tc>
          <w:tcPr>
            <w:tcW w:w="968" w:type="pct"/>
            <w:noWrap/>
            <w:hideMark/>
          </w:tcPr>
          <w:p w14:paraId="56CCF901" w14:textId="77777777" w:rsidR="00FA2FF9" w:rsidRPr="00730DE4" w:rsidRDefault="00FA2FF9" w:rsidP="00393FD1">
            <w:pPr>
              <w:pStyle w:val="NoSpacing"/>
              <w:jc w:val="right"/>
              <w:rPr>
                <w:rFonts w:eastAsia="Times New Roman"/>
                <w:color w:val="000000"/>
                <w:lang w:eastAsia="en-AU"/>
              </w:rPr>
            </w:pPr>
            <w:r w:rsidRPr="00730DE4">
              <w:t>2</w:t>
            </w:r>
          </w:p>
        </w:tc>
        <w:tc>
          <w:tcPr>
            <w:tcW w:w="967" w:type="pct"/>
            <w:noWrap/>
            <w:hideMark/>
          </w:tcPr>
          <w:p w14:paraId="10796EE9" w14:textId="77777777" w:rsidR="00FA2FF9" w:rsidRPr="00730DE4" w:rsidRDefault="00FA2FF9" w:rsidP="00393FD1">
            <w:pPr>
              <w:pStyle w:val="NoSpacing"/>
              <w:jc w:val="right"/>
              <w:rPr>
                <w:rFonts w:eastAsia="Times New Roman"/>
                <w:color w:val="auto"/>
                <w:lang w:eastAsia="en-AU"/>
              </w:rPr>
            </w:pPr>
            <w:r w:rsidRPr="00730DE4">
              <w:t>1361</w:t>
            </w:r>
          </w:p>
        </w:tc>
      </w:tr>
      <w:tr w:rsidR="000A65A9" w:rsidRPr="00730DE4" w14:paraId="7DA4E57E" w14:textId="77777777" w:rsidTr="00F92D4B">
        <w:trPr>
          <w:cnfStyle w:val="000000100000" w:firstRow="0" w:lastRow="0" w:firstColumn="0" w:lastColumn="0" w:oddVBand="0" w:evenVBand="0" w:oddHBand="1" w:evenHBand="0" w:firstRowFirstColumn="0" w:firstRowLastColumn="0" w:lastRowFirstColumn="0" w:lastRowLastColumn="0"/>
          <w:trHeight w:val="255"/>
        </w:trPr>
        <w:tc>
          <w:tcPr>
            <w:tcW w:w="968" w:type="pct"/>
            <w:vAlign w:val="bottom"/>
          </w:tcPr>
          <w:p w14:paraId="376A37E3" w14:textId="77777777" w:rsidR="00FA2FF9" w:rsidRPr="00730DE4" w:rsidRDefault="00FA2FF9" w:rsidP="001D7310">
            <w:pPr>
              <w:pStyle w:val="NoSpacing"/>
              <w:rPr>
                <w:rFonts w:eastAsia="Times New Roman"/>
                <w:color w:val="000000"/>
                <w:lang w:eastAsia="en-AU"/>
              </w:rPr>
            </w:pPr>
            <w:r w:rsidRPr="00730DE4">
              <w:rPr>
                <w:color w:val="000000"/>
              </w:rPr>
              <w:t>AO5</w:t>
            </w:r>
          </w:p>
        </w:tc>
        <w:tc>
          <w:tcPr>
            <w:tcW w:w="968" w:type="pct"/>
            <w:noWrap/>
            <w:hideMark/>
          </w:tcPr>
          <w:p w14:paraId="00EED496" w14:textId="77777777" w:rsidR="00FA2FF9" w:rsidRPr="00730DE4" w:rsidRDefault="00FA2FF9" w:rsidP="00393FD1">
            <w:pPr>
              <w:pStyle w:val="NoSpacing"/>
              <w:jc w:val="right"/>
              <w:rPr>
                <w:rFonts w:eastAsia="Times New Roman"/>
                <w:color w:val="000000"/>
                <w:lang w:eastAsia="en-AU"/>
              </w:rPr>
            </w:pPr>
            <w:r w:rsidRPr="00730DE4">
              <w:t>1286</w:t>
            </w:r>
          </w:p>
        </w:tc>
        <w:tc>
          <w:tcPr>
            <w:tcW w:w="1129" w:type="pct"/>
            <w:noWrap/>
            <w:hideMark/>
          </w:tcPr>
          <w:p w14:paraId="655E3F27" w14:textId="77777777" w:rsidR="00FA2FF9" w:rsidRPr="00730DE4" w:rsidRDefault="00FA2FF9" w:rsidP="00393FD1">
            <w:pPr>
              <w:pStyle w:val="NoSpacing"/>
              <w:jc w:val="right"/>
              <w:rPr>
                <w:rFonts w:eastAsia="Times New Roman"/>
                <w:color w:val="000000"/>
                <w:lang w:eastAsia="en-AU"/>
              </w:rPr>
            </w:pPr>
            <w:r w:rsidRPr="00730DE4">
              <w:t>93</w:t>
            </w:r>
          </w:p>
        </w:tc>
        <w:tc>
          <w:tcPr>
            <w:tcW w:w="968" w:type="pct"/>
            <w:noWrap/>
            <w:hideMark/>
          </w:tcPr>
          <w:p w14:paraId="6BA9B201" w14:textId="77777777" w:rsidR="00FA2FF9" w:rsidRPr="00730DE4" w:rsidRDefault="00FA2FF9" w:rsidP="00393FD1">
            <w:pPr>
              <w:pStyle w:val="NoSpacing"/>
              <w:jc w:val="right"/>
              <w:rPr>
                <w:rFonts w:eastAsia="Times New Roman"/>
                <w:color w:val="000000"/>
                <w:lang w:eastAsia="en-AU"/>
              </w:rPr>
            </w:pPr>
            <w:r w:rsidRPr="00730DE4">
              <w:t>0</w:t>
            </w:r>
          </w:p>
        </w:tc>
        <w:tc>
          <w:tcPr>
            <w:tcW w:w="967" w:type="pct"/>
            <w:noWrap/>
            <w:hideMark/>
          </w:tcPr>
          <w:p w14:paraId="681EB8D0" w14:textId="77777777" w:rsidR="00FA2FF9" w:rsidRPr="00730DE4" w:rsidRDefault="00FA2FF9" w:rsidP="00393FD1">
            <w:pPr>
              <w:pStyle w:val="NoSpacing"/>
              <w:jc w:val="right"/>
              <w:rPr>
                <w:rFonts w:eastAsia="Times New Roman"/>
                <w:color w:val="auto"/>
                <w:lang w:eastAsia="en-AU"/>
              </w:rPr>
            </w:pPr>
            <w:r w:rsidRPr="00730DE4">
              <w:t>1380</w:t>
            </w:r>
          </w:p>
        </w:tc>
      </w:tr>
      <w:tr w:rsidR="00FA2FF9" w:rsidRPr="00730DE4" w14:paraId="55E2EA81" w14:textId="77777777" w:rsidTr="00F92D4B">
        <w:trPr>
          <w:trHeight w:val="255"/>
        </w:trPr>
        <w:tc>
          <w:tcPr>
            <w:tcW w:w="968" w:type="pct"/>
            <w:vAlign w:val="bottom"/>
          </w:tcPr>
          <w:p w14:paraId="3A04FC20" w14:textId="77777777" w:rsidR="00FA2FF9" w:rsidRPr="00730DE4" w:rsidRDefault="00FA2FF9" w:rsidP="001D7310">
            <w:pPr>
              <w:pStyle w:val="NoSpacing"/>
              <w:rPr>
                <w:rFonts w:eastAsia="Times New Roman"/>
                <w:color w:val="000000"/>
                <w:lang w:eastAsia="en-AU"/>
              </w:rPr>
            </w:pPr>
            <w:r w:rsidRPr="00730DE4">
              <w:rPr>
                <w:color w:val="000000"/>
              </w:rPr>
              <w:t>AO6</w:t>
            </w:r>
          </w:p>
        </w:tc>
        <w:tc>
          <w:tcPr>
            <w:tcW w:w="968" w:type="pct"/>
            <w:noWrap/>
            <w:hideMark/>
          </w:tcPr>
          <w:p w14:paraId="6C491A16" w14:textId="77777777" w:rsidR="00FA2FF9" w:rsidRPr="00730DE4" w:rsidRDefault="00FA2FF9" w:rsidP="00393FD1">
            <w:pPr>
              <w:pStyle w:val="NoSpacing"/>
              <w:jc w:val="right"/>
              <w:rPr>
                <w:rFonts w:eastAsia="Times New Roman"/>
                <w:color w:val="000000"/>
                <w:lang w:eastAsia="en-AU"/>
              </w:rPr>
            </w:pPr>
            <w:r w:rsidRPr="00730DE4">
              <w:t>1174</w:t>
            </w:r>
          </w:p>
        </w:tc>
        <w:tc>
          <w:tcPr>
            <w:tcW w:w="1129" w:type="pct"/>
            <w:noWrap/>
            <w:hideMark/>
          </w:tcPr>
          <w:p w14:paraId="4B7A9C40" w14:textId="77777777" w:rsidR="00FA2FF9" w:rsidRPr="00730DE4" w:rsidRDefault="00FA2FF9" w:rsidP="00393FD1">
            <w:pPr>
              <w:pStyle w:val="NoSpacing"/>
              <w:jc w:val="right"/>
              <w:rPr>
                <w:rFonts w:eastAsia="Times New Roman"/>
                <w:color w:val="000000"/>
                <w:lang w:eastAsia="en-AU"/>
              </w:rPr>
            </w:pPr>
            <w:r w:rsidRPr="00730DE4">
              <w:t>92</w:t>
            </w:r>
          </w:p>
        </w:tc>
        <w:tc>
          <w:tcPr>
            <w:tcW w:w="968" w:type="pct"/>
            <w:noWrap/>
            <w:hideMark/>
          </w:tcPr>
          <w:p w14:paraId="39C93092" w14:textId="77777777" w:rsidR="00FA2FF9" w:rsidRPr="00730DE4" w:rsidRDefault="00FA2FF9" w:rsidP="00393FD1">
            <w:pPr>
              <w:pStyle w:val="NoSpacing"/>
              <w:jc w:val="right"/>
              <w:rPr>
                <w:rFonts w:eastAsia="Times New Roman"/>
                <w:color w:val="000000"/>
                <w:lang w:eastAsia="en-AU"/>
              </w:rPr>
            </w:pPr>
          </w:p>
        </w:tc>
        <w:tc>
          <w:tcPr>
            <w:tcW w:w="967" w:type="pct"/>
            <w:noWrap/>
            <w:hideMark/>
          </w:tcPr>
          <w:p w14:paraId="76592B66" w14:textId="77777777" w:rsidR="00FA2FF9" w:rsidRPr="00730DE4" w:rsidRDefault="00FA2FF9" w:rsidP="00393FD1">
            <w:pPr>
              <w:pStyle w:val="NoSpacing"/>
              <w:jc w:val="right"/>
              <w:rPr>
                <w:rFonts w:eastAsia="Times New Roman"/>
                <w:color w:val="auto"/>
                <w:lang w:eastAsia="en-AU"/>
              </w:rPr>
            </w:pPr>
            <w:r w:rsidRPr="00730DE4">
              <w:t>1266</w:t>
            </w:r>
          </w:p>
        </w:tc>
      </w:tr>
      <w:tr w:rsidR="000A65A9" w:rsidRPr="00730DE4" w14:paraId="62D01E3B" w14:textId="77777777" w:rsidTr="00F92D4B">
        <w:trPr>
          <w:cnfStyle w:val="000000100000" w:firstRow="0" w:lastRow="0" w:firstColumn="0" w:lastColumn="0" w:oddVBand="0" w:evenVBand="0" w:oddHBand="1" w:evenHBand="0" w:firstRowFirstColumn="0" w:firstRowLastColumn="0" w:lastRowFirstColumn="0" w:lastRowLastColumn="0"/>
          <w:trHeight w:val="255"/>
        </w:trPr>
        <w:tc>
          <w:tcPr>
            <w:tcW w:w="968" w:type="pct"/>
            <w:vAlign w:val="bottom"/>
          </w:tcPr>
          <w:p w14:paraId="7D4B39D7" w14:textId="77777777" w:rsidR="00FA2FF9" w:rsidRPr="00730DE4" w:rsidRDefault="00FA2FF9" w:rsidP="001D7310">
            <w:pPr>
              <w:pStyle w:val="NoSpacing"/>
              <w:rPr>
                <w:rFonts w:eastAsia="Times New Roman"/>
                <w:color w:val="000000"/>
                <w:lang w:eastAsia="en-AU"/>
              </w:rPr>
            </w:pPr>
            <w:r w:rsidRPr="00730DE4">
              <w:rPr>
                <w:color w:val="000000"/>
              </w:rPr>
              <w:t>AO7</w:t>
            </w:r>
          </w:p>
        </w:tc>
        <w:tc>
          <w:tcPr>
            <w:tcW w:w="968" w:type="pct"/>
            <w:noWrap/>
            <w:hideMark/>
          </w:tcPr>
          <w:p w14:paraId="49F6EB49" w14:textId="77777777" w:rsidR="00FA2FF9" w:rsidRPr="00730DE4" w:rsidRDefault="00FA2FF9" w:rsidP="00393FD1">
            <w:pPr>
              <w:pStyle w:val="NoSpacing"/>
              <w:jc w:val="right"/>
              <w:rPr>
                <w:rFonts w:eastAsia="Times New Roman"/>
                <w:color w:val="000000"/>
                <w:lang w:eastAsia="en-AU"/>
              </w:rPr>
            </w:pPr>
            <w:r w:rsidRPr="00730DE4">
              <w:t>1181</w:t>
            </w:r>
          </w:p>
        </w:tc>
        <w:tc>
          <w:tcPr>
            <w:tcW w:w="1129" w:type="pct"/>
            <w:noWrap/>
            <w:hideMark/>
          </w:tcPr>
          <w:p w14:paraId="20AD24DD" w14:textId="77777777" w:rsidR="00FA2FF9" w:rsidRPr="00730DE4" w:rsidRDefault="00FA2FF9" w:rsidP="00393FD1">
            <w:pPr>
              <w:pStyle w:val="NoSpacing"/>
              <w:jc w:val="right"/>
              <w:rPr>
                <w:rFonts w:eastAsia="Times New Roman"/>
                <w:color w:val="000000"/>
                <w:lang w:eastAsia="en-AU"/>
              </w:rPr>
            </w:pPr>
            <w:r w:rsidRPr="00730DE4">
              <w:t>94</w:t>
            </w:r>
          </w:p>
        </w:tc>
        <w:tc>
          <w:tcPr>
            <w:tcW w:w="968" w:type="pct"/>
            <w:noWrap/>
            <w:hideMark/>
          </w:tcPr>
          <w:p w14:paraId="2D6C07DB" w14:textId="77777777" w:rsidR="00FA2FF9" w:rsidRPr="00730DE4" w:rsidRDefault="00FA2FF9" w:rsidP="00393FD1">
            <w:pPr>
              <w:pStyle w:val="NoSpacing"/>
              <w:jc w:val="right"/>
              <w:rPr>
                <w:rFonts w:eastAsia="Times New Roman"/>
                <w:color w:val="000000"/>
                <w:lang w:eastAsia="en-AU"/>
              </w:rPr>
            </w:pPr>
            <w:r w:rsidRPr="00730DE4">
              <w:t>7</w:t>
            </w:r>
          </w:p>
        </w:tc>
        <w:tc>
          <w:tcPr>
            <w:tcW w:w="967" w:type="pct"/>
            <w:noWrap/>
            <w:hideMark/>
          </w:tcPr>
          <w:p w14:paraId="247620AC" w14:textId="77777777" w:rsidR="00FA2FF9" w:rsidRPr="00730DE4" w:rsidRDefault="00FA2FF9" w:rsidP="00393FD1">
            <w:pPr>
              <w:pStyle w:val="NoSpacing"/>
              <w:jc w:val="right"/>
              <w:rPr>
                <w:rFonts w:eastAsia="Times New Roman"/>
                <w:color w:val="auto"/>
                <w:lang w:eastAsia="en-AU"/>
              </w:rPr>
            </w:pPr>
            <w:r w:rsidRPr="00730DE4">
              <w:t>1282</w:t>
            </w:r>
          </w:p>
        </w:tc>
      </w:tr>
      <w:tr w:rsidR="00FA2FF9" w:rsidRPr="00730DE4" w14:paraId="53AA5113" w14:textId="77777777" w:rsidTr="00F92D4B">
        <w:trPr>
          <w:trHeight w:val="255"/>
        </w:trPr>
        <w:tc>
          <w:tcPr>
            <w:tcW w:w="968" w:type="pct"/>
            <w:vAlign w:val="bottom"/>
          </w:tcPr>
          <w:p w14:paraId="65249CAA" w14:textId="77777777" w:rsidR="00FA2FF9" w:rsidRPr="00730DE4" w:rsidRDefault="00FA2FF9" w:rsidP="001D7310">
            <w:pPr>
              <w:pStyle w:val="NoSpacing"/>
              <w:rPr>
                <w:rFonts w:eastAsia="Times New Roman"/>
                <w:color w:val="000000"/>
                <w:lang w:eastAsia="en-AU"/>
              </w:rPr>
            </w:pPr>
            <w:r w:rsidRPr="00730DE4">
              <w:rPr>
                <w:color w:val="000000"/>
              </w:rPr>
              <w:t>AO8</w:t>
            </w:r>
          </w:p>
        </w:tc>
        <w:tc>
          <w:tcPr>
            <w:tcW w:w="968" w:type="pct"/>
            <w:noWrap/>
            <w:hideMark/>
          </w:tcPr>
          <w:p w14:paraId="489B20CA" w14:textId="77777777" w:rsidR="00FA2FF9" w:rsidRPr="00730DE4" w:rsidRDefault="00FA2FF9" w:rsidP="00393FD1">
            <w:pPr>
              <w:pStyle w:val="NoSpacing"/>
              <w:jc w:val="right"/>
              <w:rPr>
                <w:rFonts w:eastAsia="Times New Roman"/>
                <w:color w:val="000000"/>
                <w:lang w:eastAsia="en-AU"/>
              </w:rPr>
            </w:pPr>
            <w:r w:rsidRPr="00730DE4">
              <w:t>897</w:t>
            </w:r>
          </w:p>
        </w:tc>
        <w:tc>
          <w:tcPr>
            <w:tcW w:w="1129" w:type="pct"/>
            <w:noWrap/>
            <w:hideMark/>
          </w:tcPr>
          <w:p w14:paraId="0245C8F7" w14:textId="77777777" w:rsidR="00FA2FF9" w:rsidRPr="00730DE4" w:rsidRDefault="00FA2FF9" w:rsidP="00393FD1">
            <w:pPr>
              <w:pStyle w:val="NoSpacing"/>
              <w:jc w:val="right"/>
              <w:rPr>
                <w:rFonts w:eastAsia="Times New Roman"/>
                <w:color w:val="000000"/>
                <w:lang w:eastAsia="en-AU"/>
              </w:rPr>
            </w:pPr>
            <w:r w:rsidRPr="00730DE4">
              <w:t>53</w:t>
            </w:r>
          </w:p>
        </w:tc>
        <w:tc>
          <w:tcPr>
            <w:tcW w:w="968" w:type="pct"/>
            <w:noWrap/>
            <w:hideMark/>
          </w:tcPr>
          <w:p w14:paraId="4A3B6E91" w14:textId="77777777" w:rsidR="00FA2FF9" w:rsidRPr="00730DE4" w:rsidRDefault="00FA2FF9" w:rsidP="00393FD1">
            <w:pPr>
              <w:pStyle w:val="NoSpacing"/>
              <w:jc w:val="right"/>
              <w:rPr>
                <w:rFonts w:eastAsia="Times New Roman"/>
                <w:color w:val="000000"/>
                <w:lang w:eastAsia="en-AU"/>
              </w:rPr>
            </w:pPr>
            <w:r w:rsidRPr="00730DE4">
              <w:t>7</w:t>
            </w:r>
          </w:p>
        </w:tc>
        <w:tc>
          <w:tcPr>
            <w:tcW w:w="967" w:type="pct"/>
            <w:noWrap/>
            <w:hideMark/>
          </w:tcPr>
          <w:p w14:paraId="650D8B6A" w14:textId="77777777" w:rsidR="00FA2FF9" w:rsidRPr="00730DE4" w:rsidRDefault="00FA2FF9" w:rsidP="00393FD1">
            <w:pPr>
              <w:pStyle w:val="NoSpacing"/>
              <w:jc w:val="right"/>
              <w:rPr>
                <w:rFonts w:eastAsia="Times New Roman"/>
                <w:color w:val="auto"/>
                <w:lang w:eastAsia="en-AU"/>
              </w:rPr>
            </w:pPr>
            <w:r w:rsidRPr="00730DE4">
              <w:t>957</w:t>
            </w:r>
          </w:p>
        </w:tc>
      </w:tr>
      <w:tr w:rsidR="000A65A9" w:rsidRPr="00730DE4" w14:paraId="5669D0BA" w14:textId="77777777" w:rsidTr="00F92D4B">
        <w:trPr>
          <w:cnfStyle w:val="000000100000" w:firstRow="0" w:lastRow="0" w:firstColumn="0" w:lastColumn="0" w:oddVBand="0" w:evenVBand="0" w:oddHBand="1" w:evenHBand="0" w:firstRowFirstColumn="0" w:firstRowLastColumn="0" w:lastRowFirstColumn="0" w:lastRowLastColumn="0"/>
          <w:trHeight w:val="255"/>
        </w:trPr>
        <w:tc>
          <w:tcPr>
            <w:tcW w:w="968" w:type="pct"/>
            <w:vAlign w:val="bottom"/>
          </w:tcPr>
          <w:p w14:paraId="47F53180" w14:textId="77777777" w:rsidR="00FA2FF9" w:rsidRPr="00730DE4" w:rsidRDefault="00FA2FF9" w:rsidP="001D7310">
            <w:pPr>
              <w:pStyle w:val="NoSpacing"/>
              <w:rPr>
                <w:rFonts w:eastAsia="Times New Roman"/>
                <w:color w:val="000000"/>
                <w:lang w:eastAsia="en-AU"/>
              </w:rPr>
            </w:pPr>
            <w:r w:rsidRPr="00730DE4">
              <w:rPr>
                <w:color w:val="000000"/>
              </w:rPr>
              <w:t>SO</w:t>
            </w:r>
          </w:p>
        </w:tc>
        <w:tc>
          <w:tcPr>
            <w:tcW w:w="968" w:type="pct"/>
            <w:noWrap/>
            <w:hideMark/>
          </w:tcPr>
          <w:p w14:paraId="2478CF0C" w14:textId="77777777" w:rsidR="00FA2FF9" w:rsidRPr="00730DE4" w:rsidRDefault="00FA2FF9" w:rsidP="00393FD1">
            <w:pPr>
              <w:pStyle w:val="NoSpacing"/>
              <w:jc w:val="right"/>
              <w:rPr>
                <w:rFonts w:eastAsia="Times New Roman"/>
                <w:color w:val="000000"/>
                <w:lang w:eastAsia="en-AU"/>
              </w:rPr>
            </w:pPr>
            <w:r w:rsidRPr="00730DE4">
              <w:t>330</w:t>
            </w:r>
          </w:p>
        </w:tc>
        <w:tc>
          <w:tcPr>
            <w:tcW w:w="1129" w:type="pct"/>
            <w:noWrap/>
            <w:hideMark/>
          </w:tcPr>
          <w:p w14:paraId="49ABC724" w14:textId="77777777" w:rsidR="00FA2FF9" w:rsidRPr="00730DE4" w:rsidRDefault="00FA2FF9" w:rsidP="00393FD1">
            <w:pPr>
              <w:pStyle w:val="NoSpacing"/>
              <w:jc w:val="right"/>
              <w:rPr>
                <w:rFonts w:eastAsia="Times New Roman"/>
                <w:color w:val="000000"/>
                <w:lang w:eastAsia="en-AU"/>
              </w:rPr>
            </w:pPr>
            <w:r w:rsidRPr="00730DE4">
              <w:t>9</w:t>
            </w:r>
          </w:p>
        </w:tc>
        <w:tc>
          <w:tcPr>
            <w:tcW w:w="968" w:type="pct"/>
            <w:noWrap/>
            <w:hideMark/>
          </w:tcPr>
          <w:p w14:paraId="5E038A5D" w14:textId="77777777" w:rsidR="00FA2FF9" w:rsidRPr="00730DE4" w:rsidRDefault="00FA2FF9" w:rsidP="00393FD1">
            <w:pPr>
              <w:pStyle w:val="NoSpacing"/>
              <w:jc w:val="right"/>
              <w:rPr>
                <w:rFonts w:eastAsia="Times New Roman"/>
                <w:color w:val="000000"/>
                <w:lang w:eastAsia="en-AU"/>
              </w:rPr>
            </w:pPr>
          </w:p>
        </w:tc>
        <w:tc>
          <w:tcPr>
            <w:tcW w:w="967" w:type="pct"/>
            <w:noWrap/>
            <w:hideMark/>
          </w:tcPr>
          <w:p w14:paraId="48E00D44" w14:textId="77777777" w:rsidR="00FA2FF9" w:rsidRPr="00730DE4" w:rsidRDefault="00FA2FF9" w:rsidP="00393FD1">
            <w:pPr>
              <w:pStyle w:val="NoSpacing"/>
              <w:jc w:val="right"/>
              <w:rPr>
                <w:rFonts w:eastAsia="Times New Roman"/>
                <w:color w:val="auto"/>
                <w:lang w:eastAsia="en-AU"/>
              </w:rPr>
            </w:pPr>
            <w:r w:rsidRPr="00730DE4">
              <w:t>340</w:t>
            </w:r>
          </w:p>
        </w:tc>
      </w:tr>
      <w:tr w:rsidR="00FA2FF9" w:rsidRPr="00730DE4" w14:paraId="04832C02" w14:textId="77777777" w:rsidTr="00F92D4B">
        <w:trPr>
          <w:trHeight w:val="255"/>
        </w:trPr>
        <w:tc>
          <w:tcPr>
            <w:tcW w:w="968" w:type="pct"/>
            <w:vAlign w:val="bottom"/>
          </w:tcPr>
          <w:p w14:paraId="34796668" w14:textId="77777777" w:rsidR="00FA2FF9" w:rsidRPr="00730DE4" w:rsidRDefault="00FA2FF9" w:rsidP="001D7310">
            <w:pPr>
              <w:pStyle w:val="NoSpacing"/>
              <w:rPr>
                <w:rFonts w:eastAsia="Times New Roman"/>
                <w:color w:val="000000"/>
                <w:lang w:eastAsia="en-AU"/>
              </w:rPr>
            </w:pPr>
            <w:r w:rsidRPr="00730DE4">
              <w:rPr>
                <w:color w:val="000000"/>
              </w:rPr>
              <w:t>SES</w:t>
            </w:r>
          </w:p>
        </w:tc>
        <w:tc>
          <w:tcPr>
            <w:tcW w:w="968" w:type="pct"/>
            <w:noWrap/>
            <w:hideMark/>
          </w:tcPr>
          <w:p w14:paraId="305A80C5" w14:textId="77777777" w:rsidR="00FA2FF9" w:rsidRPr="00730DE4" w:rsidRDefault="00FA2FF9" w:rsidP="00393FD1">
            <w:pPr>
              <w:pStyle w:val="NoSpacing"/>
              <w:jc w:val="right"/>
              <w:rPr>
                <w:rFonts w:eastAsia="Times New Roman"/>
                <w:color w:val="000000"/>
                <w:lang w:eastAsia="en-AU"/>
              </w:rPr>
            </w:pPr>
            <w:r w:rsidRPr="00730DE4">
              <w:t>140</w:t>
            </w:r>
          </w:p>
        </w:tc>
        <w:tc>
          <w:tcPr>
            <w:tcW w:w="1129" w:type="pct"/>
            <w:noWrap/>
            <w:hideMark/>
          </w:tcPr>
          <w:p w14:paraId="1B0AC901" w14:textId="77777777" w:rsidR="00FA2FF9" w:rsidRPr="00730DE4" w:rsidRDefault="00FA2FF9" w:rsidP="00393FD1">
            <w:pPr>
              <w:pStyle w:val="NoSpacing"/>
              <w:jc w:val="right"/>
              <w:rPr>
                <w:rFonts w:eastAsia="Times New Roman"/>
                <w:color w:val="000000"/>
                <w:lang w:eastAsia="en-AU"/>
              </w:rPr>
            </w:pPr>
            <w:r w:rsidRPr="00730DE4">
              <w:t>4</w:t>
            </w:r>
          </w:p>
        </w:tc>
        <w:tc>
          <w:tcPr>
            <w:tcW w:w="968" w:type="pct"/>
            <w:noWrap/>
            <w:hideMark/>
          </w:tcPr>
          <w:p w14:paraId="07CDF120" w14:textId="77777777" w:rsidR="00FA2FF9" w:rsidRPr="00730DE4" w:rsidRDefault="00FA2FF9" w:rsidP="00393FD1">
            <w:pPr>
              <w:pStyle w:val="NoSpacing"/>
              <w:jc w:val="right"/>
              <w:rPr>
                <w:rFonts w:eastAsia="Times New Roman"/>
                <w:color w:val="000000"/>
                <w:lang w:eastAsia="en-AU"/>
              </w:rPr>
            </w:pPr>
          </w:p>
        </w:tc>
        <w:tc>
          <w:tcPr>
            <w:tcW w:w="967" w:type="pct"/>
            <w:noWrap/>
            <w:hideMark/>
          </w:tcPr>
          <w:p w14:paraId="02A8103A" w14:textId="77777777" w:rsidR="00FA2FF9" w:rsidRPr="00730DE4" w:rsidRDefault="00FA2FF9" w:rsidP="00393FD1">
            <w:pPr>
              <w:pStyle w:val="NoSpacing"/>
              <w:jc w:val="right"/>
              <w:rPr>
                <w:rFonts w:eastAsia="Times New Roman"/>
                <w:color w:val="auto"/>
                <w:lang w:eastAsia="en-AU"/>
              </w:rPr>
            </w:pPr>
            <w:r w:rsidRPr="00730DE4">
              <w:t>143</w:t>
            </w:r>
          </w:p>
        </w:tc>
      </w:tr>
      <w:tr w:rsidR="002D6779" w:rsidRPr="00730DE4" w14:paraId="65A4E598" w14:textId="77777777" w:rsidTr="00F92D4B">
        <w:trPr>
          <w:cnfStyle w:val="010000000000" w:firstRow="0" w:lastRow="1" w:firstColumn="0" w:lastColumn="0" w:oddVBand="0" w:evenVBand="0" w:oddHBand="0" w:evenHBand="0" w:firstRowFirstColumn="0" w:firstRowLastColumn="0" w:lastRowFirstColumn="0" w:lastRowLastColumn="0"/>
          <w:trHeight w:val="255"/>
        </w:trPr>
        <w:tc>
          <w:tcPr>
            <w:tcW w:w="968" w:type="pct"/>
            <w:vAlign w:val="bottom"/>
          </w:tcPr>
          <w:p w14:paraId="373BFF47" w14:textId="77777777" w:rsidR="00FA2FF9" w:rsidRPr="00730DE4" w:rsidRDefault="00FA2FF9" w:rsidP="001D7310">
            <w:pPr>
              <w:pStyle w:val="NoSpacing"/>
              <w:rPr>
                <w:rFonts w:eastAsia="Times New Roman"/>
                <w:color w:val="000000"/>
                <w:lang w:eastAsia="en-AU"/>
              </w:rPr>
            </w:pPr>
            <w:r w:rsidRPr="00730DE4">
              <w:rPr>
                <w:color w:val="000000"/>
              </w:rPr>
              <w:t>Grand Total</w:t>
            </w:r>
          </w:p>
        </w:tc>
        <w:tc>
          <w:tcPr>
            <w:tcW w:w="968" w:type="pct"/>
            <w:noWrap/>
            <w:hideMark/>
          </w:tcPr>
          <w:p w14:paraId="13BD1A42" w14:textId="77777777" w:rsidR="00FA2FF9" w:rsidRPr="00730DE4" w:rsidRDefault="00FA2FF9" w:rsidP="00393FD1">
            <w:pPr>
              <w:pStyle w:val="NoSpacing"/>
              <w:jc w:val="right"/>
              <w:rPr>
                <w:rFonts w:eastAsia="Times New Roman"/>
                <w:color w:val="000000"/>
                <w:lang w:eastAsia="en-AU"/>
              </w:rPr>
            </w:pPr>
            <w:r w:rsidRPr="00730DE4">
              <w:t>8408</w:t>
            </w:r>
          </w:p>
        </w:tc>
        <w:tc>
          <w:tcPr>
            <w:tcW w:w="1129" w:type="pct"/>
            <w:noWrap/>
            <w:hideMark/>
          </w:tcPr>
          <w:p w14:paraId="58A50781" w14:textId="77777777" w:rsidR="00FA2FF9" w:rsidRPr="00730DE4" w:rsidRDefault="00FA2FF9" w:rsidP="00393FD1">
            <w:pPr>
              <w:pStyle w:val="NoSpacing"/>
              <w:jc w:val="right"/>
              <w:rPr>
                <w:rFonts w:eastAsia="Times New Roman"/>
                <w:color w:val="000000"/>
                <w:lang w:eastAsia="en-AU"/>
              </w:rPr>
            </w:pPr>
            <w:r w:rsidRPr="00730DE4">
              <w:t>883</w:t>
            </w:r>
          </w:p>
        </w:tc>
        <w:tc>
          <w:tcPr>
            <w:tcW w:w="968" w:type="pct"/>
            <w:noWrap/>
            <w:hideMark/>
          </w:tcPr>
          <w:p w14:paraId="4E1DBC2D" w14:textId="77777777" w:rsidR="00FA2FF9" w:rsidRPr="00730DE4" w:rsidRDefault="00FA2FF9" w:rsidP="00393FD1">
            <w:pPr>
              <w:pStyle w:val="NoSpacing"/>
              <w:jc w:val="right"/>
              <w:rPr>
                <w:rFonts w:eastAsia="Times New Roman"/>
                <w:color w:val="000000"/>
                <w:lang w:eastAsia="en-AU"/>
              </w:rPr>
            </w:pPr>
            <w:r w:rsidRPr="00730DE4">
              <w:t>327</w:t>
            </w:r>
          </w:p>
        </w:tc>
        <w:tc>
          <w:tcPr>
            <w:tcW w:w="967" w:type="pct"/>
            <w:noWrap/>
            <w:hideMark/>
          </w:tcPr>
          <w:p w14:paraId="65C8DBCB" w14:textId="77777777" w:rsidR="00FA2FF9" w:rsidRPr="00730DE4" w:rsidRDefault="00FA2FF9" w:rsidP="00393FD1">
            <w:pPr>
              <w:pStyle w:val="NoSpacing"/>
              <w:jc w:val="right"/>
              <w:rPr>
                <w:rFonts w:eastAsia="Times New Roman"/>
                <w:color w:val="000000"/>
                <w:lang w:eastAsia="en-AU"/>
              </w:rPr>
            </w:pPr>
            <w:r w:rsidRPr="00730DE4">
              <w:t>9619</w:t>
            </w:r>
          </w:p>
        </w:tc>
      </w:tr>
    </w:tbl>
    <w:p w14:paraId="278C19D4" w14:textId="77777777" w:rsidR="00FA2FF9" w:rsidRPr="00730DE4" w:rsidRDefault="00FA2FF9" w:rsidP="00BB0F75">
      <w:pPr>
        <w:pStyle w:val="FigureCaption"/>
      </w:pPr>
    </w:p>
    <w:tbl>
      <w:tblPr>
        <w:tblStyle w:val="TMRDefault"/>
        <w:tblW w:w="5000" w:type="pct"/>
        <w:tblLook w:val="04A0" w:firstRow="1" w:lastRow="0" w:firstColumn="1" w:lastColumn="0" w:noHBand="0" w:noVBand="1"/>
      </w:tblPr>
      <w:tblGrid>
        <w:gridCol w:w="2447"/>
        <w:gridCol w:w="1857"/>
        <w:gridCol w:w="1915"/>
        <w:gridCol w:w="1573"/>
        <w:gridCol w:w="1268"/>
      </w:tblGrid>
      <w:tr w:rsidR="000A65A9" w:rsidRPr="00730DE4" w14:paraId="0D7B1127" w14:textId="77777777" w:rsidTr="002C676B">
        <w:trPr>
          <w:cnfStyle w:val="100000000000" w:firstRow="1" w:lastRow="0" w:firstColumn="0" w:lastColumn="0" w:oddVBand="0" w:evenVBand="0" w:oddHBand="0" w:evenHBand="0" w:firstRowFirstColumn="0" w:firstRowLastColumn="0" w:lastRowFirstColumn="0" w:lastRowLastColumn="0"/>
          <w:trHeight w:val="255"/>
        </w:trPr>
        <w:tc>
          <w:tcPr>
            <w:tcW w:w="1350" w:type="pct"/>
          </w:tcPr>
          <w:p w14:paraId="44C7B08F" w14:textId="77777777" w:rsidR="00FA2FF9" w:rsidRPr="00730DE4" w:rsidRDefault="00FA2FF9" w:rsidP="003A1B8D">
            <w:pPr>
              <w:spacing w:before="0" w:line="240" w:lineRule="auto"/>
              <w:rPr>
                <w:color w:val="FFFFFF" w:themeColor="background1"/>
              </w:rPr>
            </w:pPr>
            <w:r w:rsidRPr="00730DE4">
              <w:rPr>
                <w:color w:val="FFFFFF" w:themeColor="background1"/>
              </w:rPr>
              <w:t>Comparison</w:t>
            </w:r>
          </w:p>
        </w:tc>
        <w:tc>
          <w:tcPr>
            <w:tcW w:w="1025" w:type="pct"/>
            <w:noWrap/>
          </w:tcPr>
          <w:p w14:paraId="3BCD46ED" w14:textId="77777777" w:rsidR="00FA2FF9" w:rsidRPr="00730DE4" w:rsidRDefault="00FA2FF9" w:rsidP="00393FD1">
            <w:pPr>
              <w:spacing w:before="0" w:line="240" w:lineRule="auto"/>
              <w:jc w:val="right"/>
              <w:rPr>
                <w:color w:val="FFFFFF" w:themeColor="background1"/>
                <w:lang w:eastAsia="en-AU"/>
              </w:rPr>
            </w:pPr>
            <w:r w:rsidRPr="00730DE4">
              <w:rPr>
                <w:color w:val="FFFFFF" w:themeColor="background1"/>
              </w:rPr>
              <w:t>Full time</w:t>
            </w:r>
          </w:p>
        </w:tc>
        <w:tc>
          <w:tcPr>
            <w:tcW w:w="1057" w:type="pct"/>
            <w:noWrap/>
          </w:tcPr>
          <w:p w14:paraId="4D26B7EE" w14:textId="77777777" w:rsidR="00FA2FF9" w:rsidRPr="00730DE4" w:rsidRDefault="00FA2FF9" w:rsidP="00393FD1">
            <w:pPr>
              <w:spacing w:before="0" w:line="240" w:lineRule="auto"/>
              <w:jc w:val="right"/>
              <w:rPr>
                <w:color w:val="FFFFFF" w:themeColor="background1"/>
                <w:lang w:eastAsia="en-AU"/>
              </w:rPr>
            </w:pPr>
            <w:r w:rsidRPr="00730DE4">
              <w:rPr>
                <w:color w:val="FFFFFF" w:themeColor="background1"/>
              </w:rPr>
              <w:t>Part time</w:t>
            </w:r>
          </w:p>
        </w:tc>
        <w:tc>
          <w:tcPr>
            <w:tcW w:w="868" w:type="pct"/>
            <w:noWrap/>
          </w:tcPr>
          <w:p w14:paraId="616B0A63" w14:textId="77777777" w:rsidR="00FA2FF9" w:rsidRPr="00730DE4" w:rsidRDefault="00FA2FF9" w:rsidP="00393FD1">
            <w:pPr>
              <w:spacing w:before="0" w:line="240" w:lineRule="auto"/>
              <w:jc w:val="right"/>
              <w:rPr>
                <w:color w:val="FFFFFF" w:themeColor="background1"/>
                <w:lang w:eastAsia="en-AU"/>
              </w:rPr>
            </w:pPr>
            <w:r w:rsidRPr="00730DE4">
              <w:rPr>
                <w:color w:val="FFFFFF" w:themeColor="background1"/>
              </w:rPr>
              <w:t>Casual</w:t>
            </w:r>
          </w:p>
        </w:tc>
        <w:tc>
          <w:tcPr>
            <w:tcW w:w="700" w:type="pct"/>
            <w:noWrap/>
          </w:tcPr>
          <w:p w14:paraId="627A6B81" w14:textId="77777777" w:rsidR="00FA2FF9" w:rsidRPr="00730DE4" w:rsidRDefault="00FA2FF9" w:rsidP="00393FD1">
            <w:pPr>
              <w:spacing w:before="0" w:line="240" w:lineRule="auto"/>
              <w:jc w:val="right"/>
              <w:rPr>
                <w:color w:val="FFFFFF" w:themeColor="background1"/>
                <w:lang w:eastAsia="en-AU"/>
              </w:rPr>
            </w:pPr>
            <w:r w:rsidRPr="00730DE4">
              <w:rPr>
                <w:color w:val="FFFFFF" w:themeColor="background1"/>
              </w:rPr>
              <w:t>Total</w:t>
            </w:r>
          </w:p>
        </w:tc>
      </w:tr>
      <w:tr w:rsidR="000A65A9" w:rsidRPr="00730DE4" w14:paraId="243825EE" w14:textId="77777777" w:rsidTr="002C676B">
        <w:trPr>
          <w:cnfStyle w:val="000000100000" w:firstRow="0" w:lastRow="0" w:firstColumn="0" w:lastColumn="0" w:oddVBand="0" w:evenVBand="0" w:oddHBand="1" w:evenHBand="0" w:firstRowFirstColumn="0" w:firstRowLastColumn="0" w:lastRowFirstColumn="0" w:lastRowLastColumn="0"/>
          <w:trHeight w:val="255"/>
        </w:trPr>
        <w:tc>
          <w:tcPr>
            <w:tcW w:w="1350" w:type="pct"/>
            <w:vAlign w:val="bottom"/>
          </w:tcPr>
          <w:p w14:paraId="454DBE1D" w14:textId="77777777" w:rsidR="00FA2FF9" w:rsidRPr="00730DE4" w:rsidRDefault="00FA2FF9" w:rsidP="00042956">
            <w:pPr>
              <w:spacing w:before="0" w:line="240" w:lineRule="auto"/>
            </w:pPr>
            <w:r w:rsidRPr="00730DE4">
              <w:t>Mar—24</w:t>
            </w:r>
          </w:p>
        </w:tc>
        <w:tc>
          <w:tcPr>
            <w:tcW w:w="1025" w:type="pct"/>
            <w:noWrap/>
          </w:tcPr>
          <w:p w14:paraId="52833A2C" w14:textId="77777777" w:rsidR="00FA2FF9" w:rsidRPr="00730DE4" w:rsidRDefault="00FA2FF9" w:rsidP="00393FD1">
            <w:pPr>
              <w:spacing w:before="0" w:line="240" w:lineRule="auto"/>
              <w:jc w:val="right"/>
            </w:pPr>
            <w:r w:rsidRPr="00730DE4">
              <w:t>8408</w:t>
            </w:r>
          </w:p>
        </w:tc>
        <w:tc>
          <w:tcPr>
            <w:tcW w:w="1057" w:type="pct"/>
            <w:noWrap/>
          </w:tcPr>
          <w:p w14:paraId="0F5B8972" w14:textId="77777777" w:rsidR="00FA2FF9" w:rsidRPr="00730DE4" w:rsidRDefault="00FA2FF9" w:rsidP="00393FD1">
            <w:pPr>
              <w:spacing w:before="0" w:line="240" w:lineRule="auto"/>
              <w:jc w:val="right"/>
            </w:pPr>
            <w:r w:rsidRPr="00730DE4">
              <w:t>883</w:t>
            </w:r>
          </w:p>
        </w:tc>
        <w:tc>
          <w:tcPr>
            <w:tcW w:w="868" w:type="pct"/>
            <w:noWrap/>
          </w:tcPr>
          <w:p w14:paraId="45B49DA0" w14:textId="77777777" w:rsidR="00FA2FF9" w:rsidRPr="00730DE4" w:rsidRDefault="00FA2FF9" w:rsidP="00393FD1">
            <w:pPr>
              <w:spacing w:before="0" w:line="240" w:lineRule="auto"/>
              <w:jc w:val="right"/>
            </w:pPr>
            <w:r w:rsidRPr="00730DE4">
              <w:t>327</w:t>
            </w:r>
          </w:p>
        </w:tc>
        <w:tc>
          <w:tcPr>
            <w:tcW w:w="700" w:type="pct"/>
            <w:noWrap/>
          </w:tcPr>
          <w:p w14:paraId="3D0FDA58" w14:textId="77777777" w:rsidR="00FA2FF9" w:rsidRPr="00730DE4" w:rsidRDefault="00FA2FF9" w:rsidP="00393FD1">
            <w:pPr>
              <w:spacing w:before="0" w:line="240" w:lineRule="auto"/>
              <w:jc w:val="right"/>
            </w:pPr>
            <w:r w:rsidRPr="00730DE4">
              <w:t>9619</w:t>
            </w:r>
          </w:p>
        </w:tc>
      </w:tr>
      <w:tr w:rsidR="00FA2FF9" w:rsidRPr="00730DE4" w14:paraId="08C8E25D" w14:textId="77777777" w:rsidTr="002C676B">
        <w:trPr>
          <w:trHeight w:val="255"/>
        </w:trPr>
        <w:tc>
          <w:tcPr>
            <w:tcW w:w="1350" w:type="pct"/>
            <w:vAlign w:val="bottom"/>
          </w:tcPr>
          <w:p w14:paraId="1913EBA3" w14:textId="77777777" w:rsidR="00FA2FF9" w:rsidRPr="00730DE4" w:rsidRDefault="00FA2FF9" w:rsidP="00042956">
            <w:pPr>
              <w:spacing w:before="0" w:line="240" w:lineRule="auto"/>
            </w:pPr>
            <w:r w:rsidRPr="00730DE4">
              <w:t>Jun—23</w:t>
            </w:r>
          </w:p>
        </w:tc>
        <w:tc>
          <w:tcPr>
            <w:tcW w:w="1025" w:type="pct"/>
            <w:noWrap/>
            <w:hideMark/>
          </w:tcPr>
          <w:p w14:paraId="2C438D54" w14:textId="77777777" w:rsidR="00FA2FF9" w:rsidRPr="00730DE4" w:rsidRDefault="00FA2FF9" w:rsidP="00393FD1">
            <w:pPr>
              <w:spacing w:before="0" w:line="240" w:lineRule="auto"/>
              <w:jc w:val="right"/>
              <w:rPr>
                <w:lang w:eastAsia="en-AU"/>
              </w:rPr>
            </w:pPr>
            <w:r w:rsidRPr="00730DE4">
              <w:t>8232</w:t>
            </w:r>
          </w:p>
        </w:tc>
        <w:tc>
          <w:tcPr>
            <w:tcW w:w="1057" w:type="pct"/>
            <w:noWrap/>
            <w:hideMark/>
          </w:tcPr>
          <w:p w14:paraId="3691A370" w14:textId="77777777" w:rsidR="00FA2FF9" w:rsidRPr="00730DE4" w:rsidRDefault="00FA2FF9" w:rsidP="00393FD1">
            <w:pPr>
              <w:spacing w:before="0" w:line="240" w:lineRule="auto"/>
              <w:jc w:val="right"/>
              <w:rPr>
                <w:lang w:eastAsia="en-AU"/>
              </w:rPr>
            </w:pPr>
            <w:r w:rsidRPr="00730DE4">
              <w:t>868</w:t>
            </w:r>
          </w:p>
        </w:tc>
        <w:tc>
          <w:tcPr>
            <w:tcW w:w="868" w:type="pct"/>
            <w:noWrap/>
            <w:hideMark/>
          </w:tcPr>
          <w:p w14:paraId="0C37C3F3" w14:textId="77777777" w:rsidR="00FA2FF9" w:rsidRPr="00730DE4" w:rsidRDefault="00FA2FF9" w:rsidP="00393FD1">
            <w:pPr>
              <w:spacing w:before="0" w:line="240" w:lineRule="auto"/>
              <w:jc w:val="right"/>
              <w:rPr>
                <w:lang w:eastAsia="en-AU"/>
              </w:rPr>
            </w:pPr>
            <w:r w:rsidRPr="00730DE4">
              <w:t>338</w:t>
            </w:r>
          </w:p>
        </w:tc>
        <w:tc>
          <w:tcPr>
            <w:tcW w:w="700" w:type="pct"/>
            <w:noWrap/>
            <w:hideMark/>
          </w:tcPr>
          <w:p w14:paraId="526506F6" w14:textId="77777777" w:rsidR="00FA2FF9" w:rsidRPr="00730DE4" w:rsidRDefault="00FA2FF9" w:rsidP="00393FD1">
            <w:pPr>
              <w:spacing w:before="0" w:line="240" w:lineRule="auto"/>
              <w:jc w:val="right"/>
              <w:rPr>
                <w:lang w:eastAsia="en-AU"/>
              </w:rPr>
            </w:pPr>
            <w:r w:rsidRPr="00730DE4">
              <w:t>9438</w:t>
            </w:r>
          </w:p>
        </w:tc>
      </w:tr>
      <w:tr w:rsidR="000A65A9" w:rsidRPr="00730DE4" w14:paraId="4D20F48D" w14:textId="77777777" w:rsidTr="002C676B">
        <w:trPr>
          <w:cnfStyle w:val="000000100000" w:firstRow="0" w:lastRow="0" w:firstColumn="0" w:lastColumn="0" w:oddVBand="0" w:evenVBand="0" w:oddHBand="1" w:evenHBand="0" w:firstRowFirstColumn="0" w:firstRowLastColumn="0" w:lastRowFirstColumn="0" w:lastRowLastColumn="0"/>
          <w:trHeight w:val="255"/>
        </w:trPr>
        <w:tc>
          <w:tcPr>
            <w:tcW w:w="1350" w:type="pct"/>
            <w:vAlign w:val="bottom"/>
          </w:tcPr>
          <w:p w14:paraId="1DA0B8D8" w14:textId="77777777" w:rsidR="00FA2FF9" w:rsidRPr="00730DE4" w:rsidRDefault="00FA2FF9" w:rsidP="00042956">
            <w:pPr>
              <w:spacing w:before="0" w:line="240" w:lineRule="auto"/>
            </w:pPr>
            <w:r w:rsidRPr="00730DE4">
              <w:t>Jun—22</w:t>
            </w:r>
          </w:p>
        </w:tc>
        <w:tc>
          <w:tcPr>
            <w:tcW w:w="1025" w:type="pct"/>
            <w:noWrap/>
            <w:hideMark/>
          </w:tcPr>
          <w:p w14:paraId="39DFECA5" w14:textId="77777777" w:rsidR="00FA2FF9" w:rsidRPr="00730DE4" w:rsidRDefault="00FA2FF9" w:rsidP="00393FD1">
            <w:pPr>
              <w:spacing w:before="0" w:line="240" w:lineRule="auto"/>
              <w:jc w:val="right"/>
              <w:rPr>
                <w:lang w:eastAsia="en-AU"/>
              </w:rPr>
            </w:pPr>
            <w:r w:rsidRPr="00730DE4">
              <w:t>6481</w:t>
            </w:r>
          </w:p>
        </w:tc>
        <w:tc>
          <w:tcPr>
            <w:tcW w:w="1057" w:type="pct"/>
            <w:noWrap/>
            <w:hideMark/>
          </w:tcPr>
          <w:p w14:paraId="5E8635EE" w14:textId="77777777" w:rsidR="00FA2FF9" w:rsidRPr="00730DE4" w:rsidRDefault="00FA2FF9" w:rsidP="00393FD1">
            <w:pPr>
              <w:spacing w:before="0" w:line="240" w:lineRule="auto"/>
              <w:jc w:val="right"/>
              <w:rPr>
                <w:lang w:eastAsia="en-AU"/>
              </w:rPr>
            </w:pPr>
            <w:r w:rsidRPr="00730DE4">
              <w:t>623</w:t>
            </w:r>
          </w:p>
        </w:tc>
        <w:tc>
          <w:tcPr>
            <w:tcW w:w="868" w:type="pct"/>
            <w:noWrap/>
            <w:hideMark/>
          </w:tcPr>
          <w:p w14:paraId="5DCFC9F2" w14:textId="77777777" w:rsidR="00FA2FF9" w:rsidRPr="00730DE4" w:rsidRDefault="00FA2FF9" w:rsidP="00393FD1">
            <w:pPr>
              <w:spacing w:before="0" w:line="240" w:lineRule="auto"/>
              <w:jc w:val="right"/>
              <w:rPr>
                <w:lang w:eastAsia="en-AU"/>
              </w:rPr>
            </w:pPr>
            <w:r w:rsidRPr="00730DE4">
              <w:t>301</w:t>
            </w:r>
          </w:p>
        </w:tc>
        <w:tc>
          <w:tcPr>
            <w:tcW w:w="700" w:type="pct"/>
            <w:noWrap/>
            <w:hideMark/>
          </w:tcPr>
          <w:p w14:paraId="078324A1" w14:textId="77777777" w:rsidR="00FA2FF9" w:rsidRPr="00730DE4" w:rsidRDefault="00FA2FF9" w:rsidP="00393FD1">
            <w:pPr>
              <w:spacing w:before="0" w:line="240" w:lineRule="auto"/>
              <w:jc w:val="right"/>
              <w:rPr>
                <w:lang w:eastAsia="en-AU"/>
              </w:rPr>
            </w:pPr>
            <w:r w:rsidRPr="00730DE4">
              <w:t>7405</w:t>
            </w:r>
          </w:p>
        </w:tc>
      </w:tr>
      <w:tr w:rsidR="00FA2FF9" w:rsidRPr="00730DE4" w14:paraId="0D765931" w14:textId="77777777" w:rsidTr="002C676B">
        <w:trPr>
          <w:trHeight w:val="255"/>
        </w:trPr>
        <w:tc>
          <w:tcPr>
            <w:tcW w:w="1350" w:type="pct"/>
            <w:vAlign w:val="bottom"/>
          </w:tcPr>
          <w:p w14:paraId="0452AAAE" w14:textId="77777777" w:rsidR="00FA2FF9" w:rsidRPr="00730DE4" w:rsidRDefault="00FA2FF9" w:rsidP="00042956">
            <w:pPr>
              <w:spacing w:before="0" w:line="240" w:lineRule="auto"/>
            </w:pPr>
            <w:r w:rsidRPr="00730DE4">
              <w:t>Jun—21</w:t>
            </w:r>
          </w:p>
        </w:tc>
        <w:tc>
          <w:tcPr>
            <w:tcW w:w="1025" w:type="pct"/>
            <w:noWrap/>
            <w:hideMark/>
          </w:tcPr>
          <w:p w14:paraId="726A8670" w14:textId="77777777" w:rsidR="00FA2FF9" w:rsidRPr="00730DE4" w:rsidRDefault="00FA2FF9" w:rsidP="00393FD1">
            <w:pPr>
              <w:spacing w:before="0" w:line="240" w:lineRule="auto"/>
              <w:jc w:val="right"/>
              <w:rPr>
                <w:lang w:eastAsia="en-AU"/>
              </w:rPr>
            </w:pPr>
            <w:r w:rsidRPr="00730DE4">
              <w:t>6431</w:t>
            </w:r>
          </w:p>
        </w:tc>
        <w:tc>
          <w:tcPr>
            <w:tcW w:w="1057" w:type="pct"/>
            <w:noWrap/>
            <w:hideMark/>
          </w:tcPr>
          <w:p w14:paraId="7BB45D7C" w14:textId="77777777" w:rsidR="00FA2FF9" w:rsidRPr="00730DE4" w:rsidRDefault="00FA2FF9" w:rsidP="00393FD1">
            <w:pPr>
              <w:spacing w:before="0" w:line="240" w:lineRule="auto"/>
              <w:jc w:val="right"/>
              <w:rPr>
                <w:lang w:eastAsia="en-AU"/>
              </w:rPr>
            </w:pPr>
            <w:r w:rsidRPr="00730DE4">
              <w:t>630</w:t>
            </w:r>
          </w:p>
        </w:tc>
        <w:tc>
          <w:tcPr>
            <w:tcW w:w="868" w:type="pct"/>
            <w:noWrap/>
            <w:hideMark/>
          </w:tcPr>
          <w:p w14:paraId="51736657" w14:textId="77777777" w:rsidR="00FA2FF9" w:rsidRPr="00730DE4" w:rsidRDefault="00FA2FF9" w:rsidP="00393FD1">
            <w:pPr>
              <w:spacing w:before="0" w:line="240" w:lineRule="auto"/>
              <w:jc w:val="right"/>
              <w:rPr>
                <w:lang w:eastAsia="en-AU"/>
              </w:rPr>
            </w:pPr>
            <w:r w:rsidRPr="00730DE4">
              <w:t>321</w:t>
            </w:r>
          </w:p>
        </w:tc>
        <w:tc>
          <w:tcPr>
            <w:tcW w:w="700" w:type="pct"/>
            <w:noWrap/>
            <w:hideMark/>
          </w:tcPr>
          <w:p w14:paraId="532A0107" w14:textId="77777777" w:rsidR="00FA2FF9" w:rsidRPr="00730DE4" w:rsidRDefault="00FA2FF9" w:rsidP="00393FD1">
            <w:pPr>
              <w:spacing w:before="0" w:line="240" w:lineRule="auto"/>
              <w:jc w:val="right"/>
              <w:rPr>
                <w:lang w:eastAsia="en-AU"/>
              </w:rPr>
            </w:pPr>
            <w:r w:rsidRPr="00730DE4">
              <w:t>7382</w:t>
            </w:r>
          </w:p>
        </w:tc>
      </w:tr>
      <w:tr w:rsidR="000A65A9" w:rsidRPr="00730DE4" w14:paraId="159FA9C4" w14:textId="77777777" w:rsidTr="002C676B">
        <w:trPr>
          <w:cnfStyle w:val="000000100000" w:firstRow="0" w:lastRow="0" w:firstColumn="0" w:lastColumn="0" w:oddVBand="0" w:evenVBand="0" w:oddHBand="1" w:evenHBand="0" w:firstRowFirstColumn="0" w:firstRowLastColumn="0" w:lastRowFirstColumn="0" w:lastRowLastColumn="0"/>
          <w:trHeight w:val="255"/>
        </w:trPr>
        <w:tc>
          <w:tcPr>
            <w:tcW w:w="1350" w:type="pct"/>
            <w:vAlign w:val="center"/>
          </w:tcPr>
          <w:p w14:paraId="104852A5" w14:textId="77777777" w:rsidR="00FA2FF9" w:rsidRPr="00730DE4" w:rsidRDefault="00FA2FF9" w:rsidP="00042956">
            <w:pPr>
              <w:spacing w:before="0" w:line="240" w:lineRule="auto"/>
            </w:pPr>
            <w:r w:rsidRPr="00730DE4">
              <w:t>Jun—20</w:t>
            </w:r>
          </w:p>
        </w:tc>
        <w:tc>
          <w:tcPr>
            <w:tcW w:w="1025" w:type="pct"/>
            <w:noWrap/>
            <w:hideMark/>
          </w:tcPr>
          <w:p w14:paraId="41972D01" w14:textId="77777777" w:rsidR="00FA2FF9" w:rsidRPr="00730DE4" w:rsidRDefault="00FA2FF9" w:rsidP="00393FD1">
            <w:pPr>
              <w:spacing w:before="0" w:line="240" w:lineRule="auto"/>
              <w:jc w:val="right"/>
              <w:rPr>
                <w:lang w:eastAsia="en-AU"/>
              </w:rPr>
            </w:pPr>
            <w:r w:rsidRPr="00730DE4">
              <w:t>6404</w:t>
            </w:r>
          </w:p>
        </w:tc>
        <w:tc>
          <w:tcPr>
            <w:tcW w:w="1057" w:type="pct"/>
            <w:noWrap/>
            <w:hideMark/>
          </w:tcPr>
          <w:p w14:paraId="5FA64785" w14:textId="77777777" w:rsidR="00FA2FF9" w:rsidRPr="00730DE4" w:rsidRDefault="00FA2FF9" w:rsidP="00393FD1">
            <w:pPr>
              <w:spacing w:before="0" w:line="240" w:lineRule="auto"/>
              <w:jc w:val="right"/>
              <w:rPr>
                <w:lang w:eastAsia="en-AU"/>
              </w:rPr>
            </w:pPr>
            <w:r w:rsidRPr="00730DE4">
              <w:t>583</w:t>
            </w:r>
          </w:p>
        </w:tc>
        <w:tc>
          <w:tcPr>
            <w:tcW w:w="868" w:type="pct"/>
            <w:noWrap/>
            <w:hideMark/>
          </w:tcPr>
          <w:p w14:paraId="09129016" w14:textId="77777777" w:rsidR="00FA2FF9" w:rsidRPr="00730DE4" w:rsidRDefault="00FA2FF9" w:rsidP="00393FD1">
            <w:pPr>
              <w:spacing w:before="0" w:line="240" w:lineRule="auto"/>
              <w:jc w:val="right"/>
              <w:rPr>
                <w:lang w:eastAsia="en-AU"/>
              </w:rPr>
            </w:pPr>
            <w:r w:rsidRPr="00730DE4">
              <w:t>346</w:t>
            </w:r>
          </w:p>
        </w:tc>
        <w:tc>
          <w:tcPr>
            <w:tcW w:w="700" w:type="pct"/>
            <w:noWrap/>
            <w:hideMark/>
          </w:tcPr>
          <w:p w14:paraId="282E5C82" w14:textId="77777777" w:rsidR="00FA2FF9" w:rsidRPr="00730DE4" w:rsidRDefault="00FA2FF9" w:rsidP="00393FD1">
            <w:pPr>
              <w:spacing w:before="0" w:line="240" w:lineRule="auto"/>
              <w:jc w:val="right"/>
              <w:rPr>
                <w:lang w:eastAsia="en-AU"/>
              </w:rPr>
            </w:pPr>
            <w:r w:rsidRPr="00730DE4">
              <w:t>7333</w:t>
            </w:r>
          </w:p>
        </w:tc>
      </w:tr>
    </w:tbl>
    <w:p w14:paraId="2AF10C3A" w14:textId="77777777" w:rsidR="00FA2FF9" w:rsidRPr="00730DE4" w:rsidRDefault="00FA2FF9" w:rsidP="0083114A">
      <w:pPr>
        <w:pStyle w:val="Caption"/>
      </w:pPr>
      <w:r w:rsidRPr="00730DE4">
        <w:t>Note: Figures within tables include QGCDG data.</w:t>
      </w:r>
    </w:p>
    <w:p w14:paraId="7C6ED9DE" w14:textId="77777777" w:rsidR="00FA2FF9" w:rsidRPr="00730DE4" w:rsidRDefault="00FA2FF9" w:rsidP="002B7001">
      <w:pPr>
        <w:pStyle w:val="Heading3"/>
        <w:rPr>
          <w:lang w:val="en-US"/>
        </w:rPr>
      </w:pPr>
      <w:bookmarkStart w:id="1168" w:name="_Toc180487610"/>
      <w:bookmarkStart w:id="1169" w:name="_Toc180490816"/>
      <w:bookmarkStart w:id="1170" w:name="_Toc180491849"/>
      <w:r w:rsidRPr="00730DE4">
        <w:rPr>
          <w:lang w:val="en-US"/>
        </w:rPr>
        <w:t>Strategic Workforce Planning</w:t>
      </w:r>
      <w:bookmarkEnd w:id="1168"/>
      <w:bookmarkEnd w:id="1169"/>
      <w:bookmarkEnd w:id="1170"/>
    </w:p>
    <w:p w14:paraId="43A920D2" w14:textId="77777777" w:rsidR="00FA2FF9" w:rsidRPr="00730DE4" w:rsidRDefault="00FA2FF9" w:rsidP="000E33C4">
      <w:r w:rsidRPr="00730DE4">
        <w:t xml:space="preserve">TMR </w:t>
      </w:r>
      <w:r w:rsidRPr="00730DE4">
        <w:rPr>
          <w:lang w:val="en-US"/>
        </w:rPr>
        <w:t xml:space="preserve">acknowledges the diverse needs of individuals in the workforce and aims to cultivate, advance, and motivate its people to ensure they are supported at work. </w:t>
      </w:r>
    </w:p>
    <w:p w14:paraId="4A5CE5D7" w14:textId="77777777" w:rsidR="00FA2FF9" w:rsidRPr="00730DE4" w:rsidRDefault="00FA2FF9" w:rsidP="000E33C4">
      <w:pPr>
        <w:rPr>
          <w:lang w:val="en-US"/>
        </w:rPr>
      </w:pPr>
      <w:r w:rsidRPr="00730DE4">
        <w:t xml:space="preserve">The </w:t>
      </w:r>
      <w:r w:rsidRPr="00730DE4">
        <w:rPr>
          <w:lang w:val="en-US"/>
        </w:rPr>
        <w:t xml:space="preserve">TMR </w:t>
      </w:r>
      <w:r w:rsidRPr="00730DE4">
        <w:rPr>
          <w:rStyle w:val="Emphasis"/>
        </w:rPr>
        <w:t xml:space="preserve">Strategic Workforce Plan 2020–2024 </w:t>
      </w:r>
      <w:r w:rsidRPr="00730DE4">
        <w:t xml:space="preserve">(updated for 2022–24) </w:t>
      </w:r>
      <w:r w:rsidRPr="00730DE4">
        <w:rPr>
          <w:lang w:val="en-US"/>
        </w:rPr>
        <w:t>sets out</w:t>
      </w:r>
      <w:r w:rsidRPr="00730DE4">
        <w:t xml:space="preserve"> the pathway to achieve a workforce that is </w:t>
      </w:r>
      <w:r w:rsidRPr="00730DE4">
        <w:rPr>
          <w:lang w:val="en-US"/>
        </w:rPr>
        <w:t>purpose-driven, capable, mobile, safe, and healthy.</w:t>
      </w:r>
    </w:p>
    <w:p w14:paraId="68EA42DE" w14:textId="77777777" w:rsidR="00FA2FF9" w:rsidRPr="00730DE4" w:rsidRDefault="00FA2FF9" w:rsidP="000E33C4">
      <w:r w:rsidRPr="00730DE4">
        <w:rPr>
          <w:lang w:val="en-US"/>
        </w:rPr>
        <w:t>The priority areas are:</w:t>
      </w:r>
    </w:p>
    <w:p w14:paraId="7E142FB6" w14:textId="77777777" w:rsidR="00FA2FF9" w:rsidRPr="00730DE4" w:rsidRDefault="00FA2FF9" w:rsidP="000E33C4">
      <w:pPr>
        <w:pStyle w:val="ListBullet"/>
        <w:rPr>
          <w:lang w:val="en-US"/>
        </w:rPr>
      </w:pPr>
      <w:r w:rsidRPr="00730DE4">
        <w:rPr>
          <w:lang w:val="en-US"/>
        </w:rPr>
        <w:t>mental health and wellbeing</w:t>
      </w:r>
    </w:p>
    <w:p w14:paraId="67775CFD" w14:textId="77777777" w:rsidR="00FA2FF9" w:rsidRPr="00730DE4" w:rsidRDefault="00FA2FF9" w:rsidP="000E33C4">
      <w:pPr>
        <w:pStyle w:val="ListBullet"/>
        <w:rPr>
          <w:lang w:val="en-US"/>
        </w:rPr>
      </w:pPr>
      <w:r w:rsidRPr="00730DE4">
        <w:rPr>
          <w:lang w:val="en-US"/>
        </w:rPr>
        <w:t xml:space="preserve">enterprise bargaining </w:t>
      </w:r>
    </w:p>
    <w:p w14:paraId="69374A1F" w14:textId="77777777" w:rsidR="00FA2FF9" w:rsidRPr="00730DE4" w:rsidRDefault="00FA2FF9" w:rsidP="000E33C4">
      <w:pPr>
        <w:pStyle w:val="ListBullet"/>
        <w:rPr>
          <w:lang w:val="en-US"/>
        </w:rPr>
      </w:pPr>
      <w:r w:rsidRPr="00730DE4">
        <w:rPr>
          <w:lang w:val="en-US"/>
        </w:rPr>
        <w:t xml:space="preserve">leadership and management </w:t>
      </w:r>
    </w:p>
    <w:p w14:paraId="09237CE7" w14:textId="77777777" w:rsidR="00FA2FF9" w:rsidRPr="00730DE4" w:rsidRDefault="00FA2FF9" w:rsidP="000E33C4">
      <w:pPr>
        <w:pStyle w:val="ListBullet"/>
        <w:rPr>
          <w:lang w:val="en-US"/>
        </w:rPr>
      </w:pPr>
      <w:r w:rsidRPr="00730DE4">
        <w:rPr>
          <w:lang w:val="en-US"/>
        </w:rPr>
        <w:t xml:space="preserve">talent attraction and retention. </w:t>
      </w:r>
    </w:p>
    <w:p w14:paraId="317B6423" w14:textId="77777777" w:rsidR="00FA2FF9" w:rsidRPr="00730DE4" w:rsidRDefault="00FA2FF9" w:rsidP="000E33C4">
      <w:r w:rsidRPr="00730DE4">
        <w:t>In 202</w:t>
      </w:r>
      <w:r w:rsidRPr="00730DE4">
        <w:rPr>
          <w:lang w:val="en-US"/>
        </w:rPr>
        <w:t>3–24</w:t>
      </w:r>
      <w:r w:rsidRPr="00730DE4">
        <w:t>, TMR</w:t>
      </w:r>
      <w:r w:rsidRPr="00730DE4">
        <w:rPr>
          <w:lang w:val="en-US"/>
        </w:rPr>
        <w:t xml:space="preserve"> cultivated a</w:t>
      </w:r>
      <w:r w:rsidRPr="00730DE4">
        <w:t xml:space="preserve"> flexible and future-proof workforce </w:t>
      </w:r>
      <w:r w:rsidRPr="00730DE4">
        <w:rPr>
          <w:lang w:val="en-US"/>
        </w:rPr>
        <w:t>through</w:t>
      </w:r>
      <w:r w:rsidRPr="00730DE4">
        <w:t xml:space="preserve"> </w:t>
      </w:r>
      <w:r w:rsidRPr="00730DE4">
        <w:rPr>
          <w:lang w:val="en-US"/>
        </w:rPr>
        <w:t>initiatives including</w:t>
      </w:r>
      <w:r w:rsidRPr="00730DE4">
        <w:t>:</w:t>
      </w:r>
    </w:p>
    <w:p w14:paraId="65BD71B9" w14:textId="77777777" w:rsidR="00FA2FF9" w:rsidRPr="00730DE4" w:rsidRDefault="00FA2FF9" w:rsidP="000E33C4">
      <w:pPr>
        <w:pStyle w:val="ListBullet"/>
        <w:rPr>
          <w:lang w:val="en-US"/>
        </w:rPr>
      </w:pPr>
      <w:r w:rsidRPr="00730DE4">
        <w:rPr>
          <w:lang w:val="en-US"/>
        </w:rPr>
        <w:t xml:space="preserve">Negotiations of contemporary employment conditions including: </w:t>
      </w:r>
    </w:p>
    <w:p w14:paraId="2FC0AC56" w14:textId="77777777" w:rsidR="00FA2FF9" w:rsidRPr="00730DE4" w:rsidRDefault="00FA2FF9" w:rsidP="000E33C4">
      <w:pPr>
        <w:pStyle w:val="ListBullet2"/>
        <w:rPr>
          <w:rStyle w:val="Emphasis"/>
        </w:rPr>
      </w:pPr>
      <w:r w:rsidRPr="00730DE4">
        <w:rPr>
          <w:rStyle w:val="Emphasis"/>
        </w:rPr>
        <w:t>Transport and Main Roads Certified Agreement 2022</w:t>
      </w:r>
    </w:p>
    <w:p w14:paraId="0DA028D3" w14:textId="77777777" w:rsidR="00FA2FF9" w:rsidRPr="00730DE4" w:rsidRDefault="00FA2FF9" w:rsidP="000E33C4">
      <w:pPr>
        <w:pStyle w:val="ListBullet2"/>
        <w:rPr>
          <w:rStyle w:val="Emphasis"/>
        </w:rPr>
      </w:pPr>
      <w:r w:rsidRPr="00730DE4">
        <w:rPr>
          <w:rStyle w:val="Emphasis"/>
        </w:rPr>
        <w:t>Transport and Main Roads Operational Employees Certified Agreement 2022</w:t>
      </w:r>
    </w:p>
    <w:p w14:paraId="544AE85D" w14:textId="77777777" w:rsidR="00FA2FF9" w:rsidRPr="00730DE4" w:rsidRDefault="00FA2FF9" w:rsidP="000E33C4">
      <w:pPr>
        <w:pStyle w:val="ListBullet2"/>
        <w:rPr>
          <w:rStyle w:val="Emphasis"/>
        </w:rPr>
      </w:pPr>
      <w:r w:rsidRPr="00730DE4">
        <w:rPr>
          <w:rStyle w:val="Emphasis"/>
        </w:rPr>
        <w:t xml:space="preserve">Maritime Safety Queensland, Maritime Operations Certified agreement 2022 </w:t>
      </w:r>
    </w:p>
    <w:p w14:paraId="58C11D16" w14:textId="77777777" w:rsidR="00FA2FF9" w:rsidRPr="00730DE4" w:rsidRDefault="00FA2FF9" w:rsidP="000E33C4">
      <w:pPr>
        <w:pStyle w:val="ListBullet2"/>
        <w:rPr>
          <w:rStyle w:val="Emphasis"/>
        </w:rPr>
      </w:pPr>
      <w:r w:rsidRPr="00730DE4">
        <w:rPr>
          <w:rStyle w:val="Emphasis"/>
        </w:rPr>
        <w:t>CITEC Certified Agreement 2022</w:t>
      </w:r>
      <w:r w:rsidRPr="00730DE4">
        <w:t>.</w:t>
      </w:r>
    </w:p>
    <w:p w14:paraId="0385C504" w14:textId="77777777" w:rsidR="00FA2FF9" w:rsidRPr="00730DE4" w:rsidRDefault="00FA2FF9" w:rsidP="000E33C4">
      <w:pPr>
        <w:pStyle w:val="ListBullet"/>
        <w:rPr>
          <w:lang w:val="en-US"/>
        </w:rPr>
      </w:pPr>
      <w:r w:rsidRPr="00730DE4">
        <w:t>Enh</w:t>
      </w:r>
      <w:r w:rsidRPr="00730DE4">
        <w:rPr>
          <w:lang w:val="en-US"/>
        </w:rPr>
        <w:t>anced leadership capability by delivering a bespoke leadership development roadmap supporting capability uplift of emerging and established leaders, including targeted offerings for Women in Leadership and mental health training for managers.</w:t>
      </w:r>
    </w:p>
    <w:p w14:paraId="3DE3CCC5" w14:textId="77777777" w:rsidR="00FA2FF9" w:rsidRPr="00730DE4" w:rsidRDefault="00FA2FF9" w:rsidP="000E33C4">
      <w:pPr>
        <w:pStyle w:val="ListBullet"/>
        <w:rPr>
          <w:lang w:val="en-US"/>
        </w:rPr>
      </w:pPr>
      <w:r w:rsidRPr="00730DE4">
        <w:rPr>
          <w:lang w:val="en-US"/>
        </w:rPr>
        <w:t xml:space="preserve">Guided by a refreshed </w:t>
      </w:r>
      <w:r w:rsidRPr="00730DE4">
        <w:rPr>
          <w:rStyle w:val="Emphasis"/>
        </w:rPr>
        <w:t xml:space="preserve">TMR Recruitment and Selection Procedure </w:t>
      </w:r>
      <w:r w:rsidRPr="00730DE4">
        <w:rPr>
          <w:lang w:val="en-US"/>
        </w:rPr>
        <w:t xml:space="preserve">and aligning with changes to the </w:t>
      </w:r>
      <w:r w:rsidRPr="00730DE4">
        <w:rPr>
          <w:rStyle w:val="Emphasis"/>
        </w:rPr>
        <w:t xml:space="preserve">Public Sector Act 2022, </w:t>
      </w:r>
      <w:r w:rsidRPr="00730DE4">
        <w:rPr>
          <w:lang w:val="en-US"/>
        </w:rPr>
        <w:t>adopted contemporary requirement and selection practices, delivered capability uplift, and updated resources and artifacts to ensure a diverse and inclusive workforce.</w:t>
      </w:r>
    </w:p>
    <w:p w14:paraId="673382BF" w14:textId="77777777" w:rsidR="00FA2FF9" w:rsidRPr="00730DE4" w:rsidRDefault="00FA2FF9" w:rsidP="00535F85">
      <w:pPr>
        <w:pStyle w:val="ListBullet"/>
        <w:rPr>
          <w:lang w:val="en-US"/>
        </w:rPr>
      </w:pPr>
      <w:r w:rsidRPr="00730DE4">
        <w:rPr>
          <w:lang w:val="en-US"/>
        </w:rPr>
        <w:t xml:space="preserve">Expanded Entry Pathways Programs to ensure diversity of the workforce including Aboriginal and Torres Strait Islander people traineeships and TMR Internship framework. </w:t>
      </w:r>
    </w:p>
    <w:p w14:paraId="3E2BC9C8" w14:textId="77777777" w:rsidR="00FA2FF9" w:rsidRPr="00730DE4" w:rsidRDefault="00FA2FF9" w:rsidP="002B7001">
      <w:pPr>
        <w:pStyle w:val="Heading3"/>
        <w:rPr>
          <w:lang w:val="en-US"/>
        </w:rPr>
      </w:pPr>
      <w:bookmarkStart w:id="1171" w:name="_Toc180487611"/>
      <w:bookmarkStart w:id="1172" w:name="_Toc180490817"/>
      <w:bookmarkStart w:id="1173" w:name="_Toc180491850"/>
      <w:r w:rsidRPr="00730DE4">
        <w:rPr>
          <w:lang w:val="en-US"/>
        </w:rPr>
        <w:t>Cloud enablement</w:t>
      </w:r>
      <w:bookmarkEnd w:id="1171"/>
      <w:bookmarkEnd w:id="1172"/>
      <w:bookmarkEnd w:id="1173"/>
      <w:r w:rsidRPr="00730DE4">
        <w:rPr>
          <w:lang w:val="en-US"/>
        </w:rPr>
        <w:t xml:space="preserve"> </w:t>
      </w:r>
    </w:p>
    <w:p w14:paraId="30E8C2D1" w14:textId="77777777" w:rsidR="00FA2FF9" w:rsidRPr="00730DE4" w:rsidRDefault="00FA2FF9" w:rsidP="00535F85">
      <w:pPr>
        <w:rPr>
          <w:lang w:val="en-US"/>
        </w:rPr>
      </w:pPr>
      <w:r w:rsidRPr="00730DE4">
        <w:rPr>
          <w:lang w:val="en-US"/>
        </w:rPr>
        <w:t xml:space="preserve">TMR continues to align practices with the 'cloud-first' approach, adhering to the whole-of-government </w:t>
      </w:r>
      <w:r w:rsidRPr="00730DE4">
        <w:rPr>
          <w:rStyle w:val="Emphasis"/>
        </w:rPr>
        <w:t>Cloud Computing Strategy.</w:t>
      </w:r>
    </w:p>
    <w:p w14:paraId="6C869880" w14:textId="77777777" w:rsidR="00FA2FF9" w:rsidRPr="00730DE4" w:rsidRDefault="00FA2FF9" w:rsidP="00535F85">
      <w:pPr>
        <w:rPr>
          <w:lang w:val="en-US"/>
        </w:rPr>
      </w:pPr>
      <w:r w:rsidRPr="00730DE4">
        <w:rPr>
          <w:lang w:val="en-US"/>
        </w:rPr>
        <w:t xml:space="preserve">The Cloud Horizon project was completed, with 69 eligible systems and 578 servers migrated. This has empowered TMR system owners and end users through access to scalable, flexible, and innovative IT services. The project has also enhanced system resilience and security. </w:t>
      </w:r>
    </w:p>
    <w:p w14:paraId="029558C5" w14:textId="77777777" w:rsidR="00FA2FF9" w:rsidRPr="00730DE4" w:rsidRDefault="00FA2FF9" w:rsidP="00535F85">
      <w:pPr>
        <w:rPr>
          <w:lang w:val="en-US"/>
        </w:rPr>
      </w:pPr>
      <w:r w:rsidRPr="00730DE4">
        <w:rPr>
          <w:lang w:val="en-US"/>
        </w:rPr>
        <w:t>TMR's ongoing adoption of cloud-based services is now extending to some of our most complex workloads, ensuring that every area within TMR reaps the benefits. These advantages include:</w:t>
      </w:r>
    </w:p>
    <w:p w14:paraId="367B3131" w14:textId="77777777" w:rsidR="00FA2FF9" w:rsidRPr="00730DE4" w:rsidRDefault="00FA2FF9" w:rsidP="00535F85">
      <w:pPr>
        <w:pStyle w:val="ListBullet"/>
        <w:rPr>
          <w:lang w:val="en-US"/>
        </w:rPr>
      </w:pPr>
      <w:r w:rsidRPr="00730DE4">
        <w:rPr>
          <w:lang w:val="en-US"/>
        </w:rPr>
        <w:t>superior security capabilities</w:t>
      </w:r>
    </w:p>
    <w:p w14:paraId="2F1B046A" w14:textId="77777777" w:rsidR="00FA2FF9" w:rsidRPr="00730DE4" w:rsidRDefault="00FA2FF9" w:rsidP="00535F85">
      <w:pPr>
        <w:pStyle w:val="ListBullet"/>
        <w:rPr>
          <w:lang w:val="en-US"/>
        </w:rPr>
      </w:pPr>
      <w:r w:rsidRPr="00730DE4">
        <w:rPr>
          <w:lang w:val="en-US"/>
        </w:rPr>
        <w:t>compliance with Australian and international security standards such as Infosec Registered Assessors Program and International Organisation for Standardisation (ISO) 27001</w:t>
      </w:r>
    </w:p>
    <w:p w14:paraId="3A85184C" w14:textId="77777777" w:rsidR="00FA2FF9" w:rsidRPr="00730DE4" w:rsidRDefault="00FA2FF9" w:rsidP="00535F85">
      <w:pPr>
        <w:pStyle w:val="ListBullet"/>
        <w:rPr>
          <w:lang w:val="en-US"/>
        </w:rPr>
      </w:pPr>
      <w:r w:rsidRPr="00730DE4">
        <w:rPr>
          <w:lang w:val="en-US"/>
        </w:rPr>
        <w:t>automatic protection from Distributed Denial of Services (DDOS) attacks</w:t>
      </w:r>
    </w:p>
    <w:p w14:paraId="1F01E185" w14:textId="77777777" w:rsidR="00FA2FF9" w:rsidRPr="00730DE4" w:rsidRDefault="00FA2FF9" w:rsidP="00535F85">
      <w:pPr>
        <w:pStyle w:val="ListBullet"/>
        <w:rPr>
          <w:lang w:val="en-US"/>
        </w:rPr>
      </w:pPr>
      <w:r w:rsidRPr="00730DE4">
        <w:rPr>
          <w:lang w:val="en-US"/>
        </w:rPr>
        <w:t>assurance of the security of the cloud platform itself, including the foundational IT infrastructure, computer, and network services.</w:t>
      </w:r>
    </w:p>
    <w:p w14:paraId="263570DA" w14:textId="77777777" w:rsidR="00FA2FF9" w:rsidRPr="00730DE4" w:rsidRDefault="00FA2FF9" w:rsidP="00535F85">
      <w:pPr>
        <w:rPr>
          <w:lang w:val="en-US"/>
        </w:rPr>
      </w:pPr>
      <w:r w:rsidRPr="00730DE4">
        <w:rPr>
          <w:lang w:val="en-US"/>
        </w:rPr>
        <w:t>TMR is planning for enhanced investment in cloud technologies and is committed to providing secure, cost-effective IT services.</w:t>
      </w:r>
    </w:p>
    <w:p w14:paraId="6B372440" w14:textId="77777777" w:rsidR="00FA2FF9" w:rsidRPr="00730DE4" w:rsidRDefault="00FA2FF9" w:rsidP="002B7001">
      <w:pPr>
        <w:pStyle w:val="Heading3"/>
        <w:rPr>
          <w:lang w:val="en-US"/>
        </w:rPr>
      </w:pPr>
      <w:bookmarkStart w:id="1174" w:name="_Toc180487612"/>
      <w:bookmarkStart w:id="1175" w:name="_Toc180490818"/>
      <w:bookmarkStart w:id="1176" w:name="_Toc180491851"/>
      <w:r w:rsidRPr="00730DE4">
        <w:rPr>
          <w:lang w:val="en-US"/>
        </w:rPr>
        <w:t>Digital capability</w:t>
      </w:r>
      <w:bookmarkEnd w:id="1174"/>
      <w:bookmarkEnd w:id="1175"/>
      <w:bookmarkEnd w:id="1176"/>
      <w:r w:rsidRPr="00730DE4">
        <w:rPr>
          <w:lang w:val="en-US"/>
        </w:rPr>
        <w:t xml:space="preserve"> </w:t>
      </w:r>
    </w:p>
    <w:p w14:paraId="3D7688E9" w14:textId="77777777" w:rsidR="00FA2FF9" w:rsidRPr="00730DE4" w:rsidRDefault="00FA2FF9" w:rsidP="00535F85">
      <w:pPr>
        <w:rPr>
          <w:lang w:val="en-US"/>
        </w:rPr>
      </w:pPr>
      <w:r w:rsidRPr="00730DE4">
        <w:rPr>
          <w:lang w:val="en-US"/>
        </w:rPr>
        <w:t xml:space="preserve">The TMR Learning Strategy identifies digital and data as a priority capability. To ensure TMR’s workforce has the capabilities required, TMR facilitates a range of courses and programs for staff, including: </w:t>
      </w:r>
    </w:p>
    <w:p w14:paraId="076F2E96" w14:textId="77777777" w:rsidR="00FA2FF9" w:rsidRPr="00730DE4" w:rsidRDefault="00FA2FF9" w:rsidP="00535F85">
      <w:pPr>
        <w:pStyle w:val="ListBullet"/>
        <w:rPr>
          <w:lang w:val="en-US"/>
        </w:rPr>
      </w:pPr>
      <w:r w:rsidRPr="00730DE4">
        <w:rPr>
          <w:lang w:val="en-US"/>
        </w:rPr>
        <w:t>Digital Capability Explorer (DCX) Learning Pathway—a guided learning pathway of eLearning courses</w:t>
      </w:r>
    </w:p>
    <w:p w14:paraId="4F5ADF19" w14:textId="77777777" w:rsidR="00FA2FF9" w:rsidRPr="00730DE4" w:rsidRDefault="00FA2FF9" w:rsidP="00535F85">
      <w:pPr>
        <w:pStyle w:val="ListBullet"/>
        <w:rPr>
          <w:lang w:val="en-US"/>
        </w:rPr>
      </w:pPr>
      <w:r w:rsidRPr="00730DE4">
        <w:rPr>
          <w:lang w:val="en-US"/>
        </w:rPr>
        <w:t xml:space="preserve">Digital Mindset Coach eLearning course </w:t>
      </w:r>
    </w:p>
    <w:p w14:paraId="6C2D9B2B" w14:textId="77777777" w:rsidR="00FA2FF9" w:rsidRPr="00730DE4" w:rsidRDefault="00FA2FF9" w:rsidP="00535F85">
      <w:pPr>
        <w:pStyle w:val="ListBullet"/>
        <w:rPr>
          <w:lang w:val="en-US"/>
        </w:rPr>
      </w:pPr>
      <w:r w:rsidRPr="00730DE4">
        <w:rPr>
          <w:lang w:val="en-US"/>
        </w:rPr>
        <w:t>DigiCAT—TMR’s web-based digital capability self-assessment tool that assesses individuals against TMR’s Digital Capability Framework and suggests tailored learning and development options.</w:t>
      </w:r>
    </w:p>
    <w:p w14:paraId="2CA6BFB3" w14:textId="77777777" w:rsidR="00FA2FF9" w:rsidRPr="00730DE4" w:rsidRDefault="00FA2FF9" w:rsidP="00535F85">
      <w:pPr>
        <w:rPr>
          <w:lang w:val="en-US"/>
        </w:rPr>
      </w:pPr>
      <w:r w:rsidRPr="00730DE4">
        <w:rPr>
          <w:lang w:val="en-US"/>
        </w:rPr>
        <w:t xml:space="preserve">These offerings are regularly reviewed to ensure they capture current trends. In 2023–24: </w:t>
      </w:r>
    </w:p>
    <w:p w14:paraId="14151244" w14:textId="77777777" w:rsidR="00FA2FF9" w:rsidRPr="00730DE4" w:rsidRDefault="00FA2FF9" w:rsidP="00535F85">
      <w:pPr>
        <w:pStyle w:val="ListBullet"/>
        <w:rPr>
          <w:lang w:val="en-US"/>
        </w:rPr>
      </w:pPr>
      <w:r w:rsidRPr="00730DE4">
        <w:rPr>
          <w:lang w:val="en-US"/>
        </w:rPr>
        <w:t>Digital Service Design Playbook was created to enhance the digital service design capability at TMR</w:t>
      </w:r>
    </w:p>
    <w:p w14:paraId="076A8530" w14:textId="77777777" w:rsidR="00FA2FF9" w:rsidRPr="00730DE4" w:rsidRDefault="00FA2FF9" w:rsidP="00535F85">
      <w:pPr>
        <w:pStyle w:val="ListBullet"/>
        <w:rPr>
          <w:lang w:val="en-US"/>
        </w:rPr>
      </w:pPr>
      <w:r w:rsidRPr="00730DE4">
        <w:rPr>
          <w:lang w:val="en-US"/>
        </w:rPr>
        <w:t>beta version of the Digital Service Design Playbook was published on forgov.qld.gov.au in September 2023, making this made TMR's enterprise design resources available to other agencies</w:t>
      </w:r>
    </w:p>
    <w:p w14:paraId="1C8424AF" w14:textId="77777777" w:rsidR="00FA2FF9" w:rsidRPr="00730DE4" w:rsidRDefault="00FA2FF9" w:rsidP="00535F85">
      <w:pPr>
        <w:pStyle w:val="ListBullet"/>
        <w:rPr>
          <w:lang w:val="en-US"/>
        </w:rPr>
      </w:pPr>
      <w:r w:rsidRPr="00730DE4">
        <w:rPr>
          <w:lang w:val="en-US"/>
        </w:rPr>
        <w:t>a Generative AI course was developed to provide TMR employees with a foundational understanding of GenAI.</w:t>
      </w:r>
    </w:p>
    <w:p w14:paraId="1480016D" w14:textId="77777777" w:rsidR="00FA2FF9" w:rsidRPr="00730DE4" w:rsidRDefault="00FA2FF9" w:rsidP="00535F85">
      <w:pPr>
        <w:rPr>
          <w:lang w:val="en-US"/>
        </w:rPr>
      </w:pPr>
      <w:r w:rsidRPr="00730DE4">
        <w:rPr>
          <w:lang w:val="en-US"/>
        </w:rPr>
        <w:t>TMR presents annual events to build staff capability, including Design Thinking Week and INCITE data and analytics showcase, with presentations and workshops from TMR teams and industry experts. For the first time, these events were opened to all Queensland Government employees, fostering knowledge sharing across the public sector.</w:t>
      </w:r>
    </w:p>
    <w:p w14:paraId="0DC380C0" w14:textId="77777777" w:rsidR="00FA2FF9" w:rsidRPr="00730DE4" w:rsidRDefault="00FA2FF9" w:rsidP="00535F85">
      <w:pPr>
        <w:pStyle w:val="MessageHeader"/>
        <w:rPr>
          <w:lang w:val="en-US"/>
        </w:rPr>
      </w:pPr>
      <w:r w:rsidRPr="00730DE4">
        <w:rPr>
          <w:lang w:val="en-US"/>
        </w:rPr>
        <w:t xml:space="preserve">For more information </w:t>
      </w:r>
      <w:r w:rsidRPr="00730DE4">
        <w:rPr>
          <w:lang w:val="en-US"/>
        </w:rPr>
        <w:br/>
      </w:r>
      <w:hyperlink r:id="rId140" w:history="1">
        <w:r w:rsidRPr="00730DE4">
          <w:rPr>
            <w:rStyle w:val="Hyperlink"/>
            <w:lang w:val="en-US"/>
          </w:rPr>
          <w:t>https://www.forgov.qld.gov.au/service-delivery-and-community-support/design-public-services/digital-service-design-playbook</w:t>
        </w:r>
      </w:hyperlink>
    </w:p>
    <w:p w14:paraId="202F0A89" w14:textId="77777777" w:rsidR="00FA2FF9" w:rsidRPr="00730DE4" w:rsidRDefault="00FA2FF9" w:rsidP="002B7001">
      <w:pPr>
        <w:pStyle w:val="Heading3"/>
        <w:rPr>
          <w:lang w:val="en-US"/>
        </w:rPr>
      </w:pPr>
      <w:bookmarkStart w:id="1177" w:name="_Toc180487613"/>
      <w:bookmarkStart w:id="1178" w:name="_Toc180490819"/>
      <w:bookmarkStart w:id="1179" w:name="_Toc180491852"/>
      <w:r w:rsidRPr="00730DE4">
        <w:rPr>
          <w:lang w:val="en-US"/>
        </w:rPr>
        <w:t>Industrial relations</w:t>
      </w:r>
      <w:bookmarkEnd w:id="1177"/>
      <w:bookmarkEnd w:id="1178"/>
      <w:bookmarkEnd w:id="1179"/>
    </w:p>
    <w:p w14:paraId="47B3F9DE" w14:textId="77777777" w:rsidR="00FA2FF9" w:rsidRPr="00730DE4" w:rsidRDefault="00FA2FF9" w:rsidP="00535F85">
      <w:pPr>
        <w:rPr>
          <w:lang w:val="en-US"/>
        </w:rPr>
      </w:pPr>
      <w:r w:rsidRPr="00730DE4">
        <w:rPr>
          <w:lang w:val="en-US"/>
        </w:rPr>
        <w:t xml:space="preserve">During 2023–24, TMR continued to experience an increase in complex case management issues. This increase can be attributed to employees increased awareness of their options to raise grievances and concerns relating to conduct and performance matters, knowing TMR will actively manage and address their concerns in accordance with the </w:t>
      </w:r>
      <w:r w:rsidRPr="00730DE4">
        <w:rPr>
          <w:rStyle w:val="Emphasis"/>
        </w:rPr>
        <w:t>Public Sector Act 2022,</w:t>
      </w:r>
      <w:r w:rsidRPr="00730DE4">
        <w:rPr>
          <w:lang w:val="en-US"/>
        </w:rPr>
        <w:t xml:space="preserve"> and supporting directives. </w:t>
      </w:r>
    </w:p>
    <w:p w14:paraId="5E859A28" w14:textId="77777777" w:rsidR="00FA2FF9" w:rsidRPr="00730DE4" w:rsidRDefault="00FA2FF9" w:rsidP="00535F85">
      <w:pPr>
        <w:rPr>
          <w:lang w:val="en-US"/>
        </w:rPr>
      </w:pPr>
      <w:r w:rsidRPr="00730DE4">
        <w:rPr>
          <w:lang w:val="en-US"/>
        </w:rPr>
        <w:t xml:space="preserve">The HR Case Management team proactively engaged with the HR Network to provide multidisciplinary analysis on complex matters and strategic advice and guidance on early intervention strategies to ensure managers and supervisors take affirmative action to address performance, behaviour, and conduct concerns in a timely manner and to mitigate risks of psychosocial harm. </w:t>
      </w:r>
    </w:p>
    <w:p w14:paraId="4677C892" w14:textId="77777777" w:rsidR="00FA2FF9" w:rsidRPr="00730DE4" w:rsidRDefault="00FA2FF9" w:rsidP="00371BB9">
      <w:r w:rsidRPr="00730DE4">
        <w:t>The Industrial Relations team continues to work closely with senior management, key departmental employees, government, and ten different unions to implement the department’s four Certified Agreements applicable to the employees within the department and to support HR and business leads with ensuring compliance and best practice processes.</w:t>
      </w:r>
    </w:p>
    <w:p w14:paraId="7C567349" w14:textId="77777777" w:rsidR="00FA2FF9" w:rsidRPr="00730DE4" w:rsidRDefault="00FA2FF9" w:rsidP="00535F85">
      <w:pPr>
        <w:rPr>
          <w:lang w:val="en-US"/>
        </w:rPr>
      </w:pPr>
      <w:r w:rsidRPr="00730DE4">
        <w:rPr>
          <w:lang w:val="en-US"/>
        </w:rPr>
        <w:t xml:space="preserve">Since the machinery-of-government changes in May 2023, TMR's Human Resources Branch has been actively integrating TMR and the former Department of Communities, Housing and Digital Economy HR policies within TMR's HR policy framework. </w:t>
      </w:r>
    </w:p>
    <w:p w14:paraId="1B91A717" w14:textId="77777777" w:rsidR="00FA2FF9" w:rsidRPr="00730DE4" w:rsidRDefault="00FA2FF9" w:rsidP="002B7001">
      <w:pPr>
        <w:pStyle w:val="Heading3"/>
        <w:rPr>
          <w:lang w:val="en-US"/>
        </w:rPr>
      </w:pPr>
      <w:bookmarkStart w:id="1180" w:name="_Toc180487614"/>
      <w:bookmarkStart w:id="1181" w:name="_Toc180490820"/>
      <w:bookmarkStart w:id="1182" w:name="_Toc180491853"/>
      <w:r w:rsidRPr="00730DE4">
        <w:rPr>
          <w:lang w:val="en-US"/>
        </w:rPr>
        <w:t>Redundancy and retrenchment</w:t>
      </w:r>
      <w:bookmarkEnd w:id="1180"/>
      <w:bookmarkEnd w:id="1181"/>
      <w:bookmarkEnd w:id="1182"/>
    </w:p>
    <w:p w14:paraId="3DC3E2AA" w14:textId="77777777" w:rsidR="00FA2FF9" w:rsidRPr="00730DE4" w:rsidRDefault="00FA2FF9" w:rsidP="00535F85">
      <w:pPr>
        <w:rPr>
          <w:lang w:val="en-US"/>
        </w:rPr>
      </w:pPr>
      <w:r w:rsidRPr="00730DE4">
        <w:rPr>
          <w:lang w:val="en-US"/>
        </w:rPr>
        <w:t xml:space="preserve">During 2023–24, 26 employees received redundancy packages in accordance with the Queensland Government Directive 04/18 at a cost of </w:t>
      </w:r>
      <w:r w:rsidRPr="00730DE4">
        <w:rPr>
          <w:lang w:eastAsia="en-AU"/>
        </w:rPr>
        <w:t>$4,609,620.07</w:t>
      </w:r>
      <w:r w:rsidRPr="00730DE4">
        <w:t>.</w:t>
      </w:r>
    </w:p>
    <w:p w14:paraId="27A7D163" w14:textId="77777777" w:rsidR="00094BA5" w:rsidRPr="00730DE4" w:rsidRDefault="00094BA5">
      <w:pPr>
        <w:suppressAutoHyphens w:val="0"/>
        <w:spacing w:before="0" w:line="259" w:lineRule="auto"/>
        <w:rPr>
          <w:rFonts w:eastAsiaTheme="majorEastAsia" w:cstheme="majorBidi"/>
          <w:color w:val="080C0F" w:themeColor="text1"/>
          <w:sz w:val="60"/>
          <w:szCs w:val="32"/>
        </w:rPr>
      </w:pPr>
      <w:r w:rsidRPr="00730DE4">
        <w:br w:type="page"/>
      </w:r>
    </w:p>
    <w:p w14:paraId="1EDB6E46" w14:textId="0EC7F251" w:rsidR="00FA2FF9" w:rsidRPr="00730DE4" w:rsidRDefault="00FA2FF9" w:rsidP="002B7001">
      <w:pPr>
        <w:pStyle w:val="Heading2"/>
      </w:pPr>
      <w:bookmarkStart w:id="1183" w:name="_Toc180490821"/>
      <w:bookmarkStart w:id="1184" w:name="_Toc180491854"/>
      <w:r w:rsidRPr="00730DE4">
        <w:t>Digital uplift of our information and processes</w:t>
      </w:r>
      <w:bookmarkEnd w:id="1183"/>
      <w:bookmarkEnd w:id="1184"/>
    </w:p>
    <w:p w14:paraId="63223717" w14:textId="77777777" w:rsidR="00FA2FF9" w:rsidRPr="00730DE4" w:rsidRDefault="00FA2FF9" w:rsidP="002B7001">
      <w:pPr>
        <w:pStyle w:val="Heading3"/>
        <w:rPr>
          <w:lang w:val="en-US"/>
        </w:rPr>
      </w:pPr>
      <w:bookmarkStart w:id="1185" w:name="_Toc180487616"/>
      <w:bookmarkStart w:id="1186" w:name="_Toc180490822"/>
      <w:bookmarkStart w:id="1187" w:name="_Toc180491855"/>
      <w:r w:rsidRPr="00730DE4">
        <w:rPr>
          <w:lang w:val="en-US"/>
        </w:rPr>
        <w:t>ICT resources strategic planning</w:t>
      </w:r>
      <w:bookmarkEnd w:id="1185"/>
      <w:bookmarkEnd w:id="1186"/>
      <w:bookmarkEnd w:id="1187"/>
    </w:p>
    <w:p w14:paraId="32A84805" w14:textId="77777777" w:rsidR="00FA2FF9" w:rsidRPr="00730DE4" w:rsidRDefault="00FA2FF9" w:rsidP="004E4AD0">
      <w:pPr>
        <w:rPr>
          <w:lang w:val="en-US"/>
        </w:rPr>
      </w:pPr>
      <w:r w:rsidRPr="00730DE4">
        <w:rPr>
          <w:lang w:val="en-US"/>
        </w:rPr>
        <w:t>An ICT asset register is used to uphold a consistent and evidence-based approach for managing ICT assets and planning.</w:t>
      </w:r>
    </w:p>
    <w:p w14:paraId="7CDFB969" w14:textId="77777777" w:rsidR="00FA2FF9" w:rsidRPr="00730DE4" w:rsidRDefault="00FA2FF9" w:rsidP="004E4AD0">
      <w:pPr>
        <w:rPr>
          <w:lang w:val="en-US"/>
        </w:rPr>
      </w:pPr>
      <w:r w:rsidRPr="00730DE4">
        <w:rPr>
          <w:lang w:val="en-US"/>
        </w:rPr>
        <w:t>In conjunction with the ICT portfolio of work, the register provides details on current and planned activities that impact TMR's resources and the effectiveness and efficiency of those resources, in supporting delivery of TMR's services.</w:t>
      </w:r>
    </w:p>
    <w:p w14:paraId="2DD8E9EE" w14:textId="77777777" w:rsidR="00FA2FF9" w:rsidRPr="00730DE4" w:rsidRDefault="00FA2FF9" w:rsidP="004E4AD0">
      <w:pPr>
        <w:rPr>
          <w:lang w:val="en-US"/>
        </w:rPr>
      </w:pPr>
      <w:r w:rsidRPr="00730DE4">
        <w:rPr>
          <w:lang w:val="en-US"/>
        </w:rPr>
        <w:t>The ICT asset register records functional, financial, and lifecycle information about the application, technology, and information assets the department has investment authority over.</w:t>
      </w:r>
    </w:p>
    <w:p w14:paraId="759321CE" w14:textId="77777777" w:rsidR="00FA2FF9" w:rsidRPr="00730DE4" w:rsidRDefault="00FA2FF9" w:rsidP="004E4AD0">
      <w:pPr>
        <w:rPr>
          <w:lang w:val="en-US"/>
        </w:rPr>
      </w:pPr>
      <w:r w:rsidRPr="00730DE4">
        <w:rPr>
          <w:lang w:val="en-US"/>
        </w:rPr>
        <w:t>The register supports business capability planning and ICT portfolio investment analysis at the department and whole-of-government level. Additionally, it is the enterprise source of information for the QGCDG's ICT Resources reporting, which contributes to improving whole-of-government ICT policies and custodianship.</w:t>
      </w:r>
    </w:p>
    <w:p w14:paraId="2884CD94" w14:textId="77777777" w:rsidR="00FA2FF9" w:rsidRPr="00730DE4" w:rsidRDefault="00FA2FF9" w:rsidP="004E4AD0">
      <w:pPr>
        <w:rPr>
          <w:lang w:val="en-US"/>
        </w:rPr>
      </w:pPr>
      <w:r w:rsidRPr="00730DE4">
        <w:rPr>
          <w:lang w:val="en-US"/>
        </w:rPr>
        <w:t>TMR has robust planning processes supported by an ICT Portfolio Management Framework. The ICT Portfolio of Work is determined by the Information and Systems Committee, using a portfolio definition cycle to set the direction of the ICT portfolio over a planning horizon of four years, aligned to TMR's Strategic Plan.</w:t>
      </w:r>
    </w:p>
    <w:p w14:paraId="09CF766B" w14:textId="77777777" w:rsidR="00FA2FF9" w:rsidRPr="00730DE4" w:rsidRDefault="00FA2FF9" w:rsidP="002B7001">
      <w:pPr>
        <w:pStyle w:val="Heading3"/>
      </w:pPr>
      <w:bookmarkStart w:id="1188" w:name="_Toc180487617"/>
      <w:bookmarkStart w:id="1189" w:name="_Toc180490823"/>
      <w:bookmarkStart w:id="1190" w:name="_Toc180491856"/>
      <w:r w:rsidRPr="00730DE4">
        <w:t>Driving a modern digital workplace</w:t>
      </w:r>
      <w:bookmarkEnd w:id="1188"/>
      <w:bookmarkEnd w:id="1189"/>
      <w:bookmarkEnd w:id="1190"/>
      <w:r w:rsidRPr="00730DE4">
        <w:t xml:space="preserve"> </w:t>
      </w:r>
    </w:p>
    <w:p w14:paraId="76FE9D91" w14:textId="77777777" w:rsidR="00FA2FF9" w:rsidRPr="00730DE4" w:rsidRDefault="00FA2FF9" w:rsidP="00750CCB">
      <w:r w:rsidRPr="00730DE4">
        <w:t>TMR has continued to leverage the investment made in mobility and collaboration across the state. In 2023–24, an additional 20 TMR workplaces were fitted with Microsoft Teams meeting rooms, taking the total number of collaboration spaces to more than 230.</w:t>
      </w:r>
    </w:p>
    <w:p w14:paraId="20EFB472" w14:textId="77777777" w:rsidR="00FA2FF9" w:rsidRPr="00730DE4" w:rsidRDefault="00FA2FF9" w:rsidP="00750CCB">
      <w:r w:rsidRPr="00730DE4">
        <w:t>TMR has embraced the benefits of a digital workplace with more than 50,000 meetings hosted on the platform each month connecting staff, stakeholders, and customers across the state.</w:t>
      </w:r>
    </w:p>
    <w:p w14:paraId="26EA3B21" w14:textId="77777777" w:rsidR="00FA2FF9" w:rsidRPr="00730DE4" w:rsidRDefault="00FA2FF9" w:rsidP="00750CCB">
      <w:r w:rsidRPr="00730DE4">
        <w:t>TMR has expanded corporate desktop offerings by establishing a virtual desktop capability, creating virtual workstations that can be accessed from any location via the internet. This has enhanced TMR's ability to collaborate and work with leading industry partners across the globe.</w:t>
      </w:r>
    </w:p>
    <w:p w14:paraId="02EB1FEF" w14:textId="77777777" w:rsidR="00FA2FF9" w:rsidRPr="00730DE4" w:rsidRDefault="00FA2FF9" w:rsidP="002B7001">
      <w:pPr>
        <w:pStyle w:val="Heading3"/>
      </w:pPr>
      <w:bookmarkStart w:id="1191" w:name="_Toc180487618"/>
      <w:bookmarkStart w:id="1192" w:name="_Toc180490824"/>
      <w:bookmarkStart w:id="1193" w:name="_Toc180491857"/>
      <w:r w:rsidRPr="00730DE4">
        <w:t>Digitisation of corporate processes</w:t>
      </w:r>
      <w:bookmarkEnd w:id="1191"/>
      <w:bookmarkEnd w:id="1192"/>
      <w:bookmarkEnd w:id="1193"/>
    </w:p>
    <w:p w14:paraId="1134B71E" w14:textId="77777777" w:rsidR="00FA2FF9" w:rsidRPr="00730DE4" w:rsidRDefault="00FA2FF9" w:rsidP="00750CCB">
      <w:r w:rsidRPr="00730DE4">
        <w:t>TMR continued its journey of digitisation of corporate processes.</w:t>
      </w:r>
    </w:p>
    <w:p w14:paraId="2E61C295" w14:textId="77777777" w:rsidR="00FA2FF9" w:rsidRPr="00730DE4" w:rsidRDefault="00FA2FF9" w:rsidP="00750CCB">
      <w:r w:rsidRPr="00730DE4">
        <w:t>The Source-2-Pay project took out the Best State Government Project category in the iTnews Benchmark Awards for delivering a project that resulted in internal efficiencies or improved citizen services—with over 6800 purchase orders transacted through the system and a 95.4 per cent on-time payment rate. Following the successful delivery of the Source-2-Pay project, TMR is focused on transitioning additional categories of spend onto the new platform.</w:t>
      </w:r>
    </w:p>
    <w:p w14:paraId="77729FF3" w14:textId="77777777" w:rsidR="00FA2FF9" w:rsidRPr="00730DE4" w:rsidRDefault="00FA2FF9" w:rsidP="004E4AD0">
      <w:r w:rsidRPr="00730DE4">
        <w:t>During the year, the Real Estate module of SAP was implemented covering 204 locations, 340 buildings, and 631 rental spaces. This portfolio represents government employee housing leased through the Department of Housing, Local Government, Planning and Public Works (DHLGPPW) for TMR staff, DHLGPPW</w:t>
      </w:r>
      <w:r w:rsidRPr="00730DE4">
        <w:rPr>
          <w:rFonts w:eastAsia="Times New Roman" w:cs="Arial"/>
          <w:color w:val="000000"/>
        </w:rPr>
        <w:t xml:space="preserve"> </w:t>
      </w:r>
      <w:r w:rsidRPr="00730DE4">
        <w:t>leased buildings, and TMR-owned properties under the management of the TMR facilities team. As a result, TMR benefits from a full in-system property register with up-to-date information, better property management of occupancy, and utilisation of building space which supports decision making on selling underutilised assets or exiting leases.</w:t>
      </w:r>
    </w:p>
    <w:p w14:paraId="05D18D32" w14:textId="77777777" w:rsidR="00094BA5" w:rsidRPr="00730DE4" w:rsidRDefault="00094BA5">
      <w:pPr>
        <w:suppressAutoHyphens w:val="0"/>
        <w:spacing w:before="0" w:line="259" w:lineRule="auto"/>
        <w:rPr>
          <w:rFonts w:eastAsiaTheme="majorEastAsia" w:cstheme="majorBidi"/>
          <w:color w:val="080C0F" w:themeColor="text1"/>
          <w:sz w:val="60"/>
          <w:szCs w:val="32"/>
        </w:rPr>
      </w:pPr>
      <w:r w:rsidRPr="00730DE4">
        <w:br w:type="page"/>
      </w:r>
    </w:p>
    <w:p w14:paraId="036F149C" w14:textId="6C189323" w:rsidR="00FA2FF9" w:rsidRPr="00730DE4" w:rsidRDefault="00FA2FF9" w:rsidP="002B7001">
      <w:pPr>
        <w:pStyle w:val="Heading2"/>
      </w:pPr>
      <w:bookmarkStart w:id="1194" w:name="_Toc180490825"/>
      <w:bookmarkStart w:id="1195" w:name="_Toc180491858"/>
      <w:r w:rsidRPr="00730DE4">
        <w:t>Creating a diverse and inclusive workforce</w:t>
      </w:r>
      <w:bookmarkEnd w:id="1194"/>
      <w:bookmarkEnd w:id="1195"/>
    </w:p>
    <w:p w14:paraId="5776445E" w14:textId="77777777" w:rsidR="00FA2FF9" w:rsidRPr="00730DE4" w:rsidRDefault="00FA2FF9" w:rsidP="002B7001">
      <w:pPr>
        <w:pStyle w:val="Heading3"/>
        <w:rPr>
          <w:lang w:val="en-US"/>
        </w:rPr>
      </w:pPr>
      <w:bookmarkStart w:id="1196" w:name="_Toc180487620"/>
      <w:bookmarkStart w:id="1197" w:name="_Toc180490826"/>
      <w:bookmarkStart w:id="1198" w:name="_Toc180491859"/>
      <w:r w:rsidRPr="00730DE4">
        <w:rPr>
          <w:lang w:val="en-US"/>
        </w:rPr>
        <w:t>Culturally and Linguistically Diverse</w:t>
      </w:r>
      <w:bookmarkEnd w:id="1196"/>
      <w:bookmarkEnd w:id="1197"/>
      <w:bookmarkEnd w:id="1198"/>
    </w:p>
    <w:p w14:paraId="6F299D9E" w14:textId="77777777" w:rsidR="00FA2FF9" w:rsidRPr="00730DE4" w:rsidRDefault="00FA2FF9" w:rsidP="00BC1313">
      <w:pPr>
        <w:rPr>
          <w:lang w:val="en-US"/>
        </w:rPr>
      </w:pPr>
      <w:r w:rsidRPr="00730DE4">
        <w:rPr>
          <w:lang w:val="en-US"/>
        </w:rPr>
        <w:t>TMR continues embrace diversity and inclusivity in the workforce and workplaces, recognise TMR's diverse cultural heritage, and celebrate the great benefits it offers across Queensland.</w:t>
      </w:r>
    </w:p>
    <w:p w14:paraId="2A909D94" w14:textId="77777777" w:rsidR="00FA2FF9" w:rsidRPr="00730DE4" w:rsidRDefault="00FA2FF9" w:rsidP="00BC1313">
      <w:pPr>
        <w:rPr>
          <w:lang w:val="en-US"/>
        </w:rPr>
      </w:pPr>
      <w:r w:rsidRPr="00730DE4">
        <w:rPr>
          <w:lang w:val="en-US"/>
        </w:rPr>
        <w:t>To better support and understand employees who are culturally diverse, TMR now captures information about people who speak a language other than English at home and people who are non-English speaking from the country of their birth.</w:t>
      </w:r>
    </w:p>
    <w:p w14:paraId="08F9EEE4" w14:textId="77777777" w:rsidR="00FA2FF9" w:rsidRPr="00730DE4" w:rsidRDefault="00FA2FF9" w:rsidP="00BC1313">
      <w:pPr>
        <w:rPr>
          <w:lang w:val="en-US"/>
        </w:rPr>
      </w:pPr>
      <w:r w:rsidRPr="00730DE4">
        <w:rPr>
          <w:lang w:val="en-US"/>
        </w:rPr>
        <w:t>This knowledge helps ensure TMR reflects the diverse community of Queensland that it serves. As of 30 June 2024, TMR has 1045 employees born overseas in a mainly English-speaking country and 728 employees that speak a language other than English at home.</w:t>
      </w:r>
    </w:p>
    <w:p w14:paraId="774E562D" w14:textId="77777777" w:rsidR="00FA2FF9" w:rsidRPr="00730DE4" w:rsidRDefault="00FA2FF9" w:rsidP="00BC1313">
      <w:pPr>
        <w:rPr>
          <w:lang w:val="en-US"/>
        </w:rPr>
      </w:pPr>
      <w:r w:rsidRPr="00730DE4">
        <w:rPr>
          <w:lang w:val="en-US"/>
        </w:rPr>
        <w:t>TMR supports Harmony Week, acknowledging the strengths TMR staff's cultural diversity provides for Queenslanders and the need to continue to strive to eliminate racial discrimination within communities. In March 2024, TMR people also shared their stories through Viva Engage (TMR's internal social media platform) and held 'Taste of Harmony' events in support for Harmony week and the United Nations International Day for the Elimination of Racial Discrimination.</w:t>
      </w:r>
    </w:p>
    <w:p w14:paraId="134CE2C7" w14:textId="77777777" w:rsidR="00FA2FF9" w:rsidRPr="00730DE4" w:rsidRDefault="00FA2FF9" w:rsidP="00BC1313">
      <w:pPr>
        <w:rPr>
          <w:lang w:val="en-US"/>
        </w:rPr>
      </w:pPr>
      <w:r w:rsidRPr="00730DE4">
        <w:rPr>
          <w:lang w:val="en-US"/>
        </w:rPr>
        <w:t xml:space="preserve">In September 2023, TMR published an updated </w:t>
      </w:r>
      <w:r w:rsidRPr="00730DE4">
        <w:rPr>
          <w:rStyle w:val="Emphasis"/>
        </w:rPr>
        <w:t>Multicultural Action Plan.</w:t>
      </w:r>
    </w:p>
    <w:p w14:paraId="07A4AB76" w14:textId="77777777" w:rsidR="00FA2FF9" w:rsidRPr="00730DE4" w:rsidRDefault="00FA2FF9" w:rsidP="00BC1313">
      <w:pPr>
        <w:rPr>
          <w:rStyle w:val="Emphasis"/>
        </w:rPr>
      </w:pPr>
      <w:r w:rsidRPr="00730DE4">
        <w:rPr>
          <w:lang w:val="en-US"/>
        </w:rPr>
        <w:t xml:space="preserve">TMR is currently in consultation with Multicultural Affairs Queensland on the whole-of-government Queensland </w:t>
      </w:r>
      <w:r w:rsidRPr="00730DE4">
        <w:rPr>
          <w:rStyle w:val="Emphasis"/>
        </w:rPr>
        <w:t>Multicultural Action Plan 2024–25 to 2026–27.</w:t>
      </w:r>
    </w:p>
    <w:p w14:paraId="53528610" w14:textId="77777777" w:rsidR="00FA2FF9" w:rsidRPr="00730DE4" w:rsidRDefault="00FA2FF9" w:rsidP="002B7001">
      <w:pPr>
        <w:pStyle w:val="Heading3"/>
        <w:rPr>
          <w:lang w:val="en-US"/>
        </w:rPr>
      </w:pPr>
      <w:bookmarkStart w:id="1199" w:name="_Toc180487621"/>
      <w:bookmarkStart w:id="1200" w:name="_Toc180490827"/>
      <w:bookmarkStart w:id="1201" w:name="_Toc180491860"/>
      <w:r w:rsidRPr="00730DE4">
        <w:rPr>
          <w:lang w:val="en-US"/>
        </w:rPr>
        <w:t>Aboriginal and Torres Strait Islander cultures and people</w:t>
      </w:r>
      <w:bookmarkEnd w:id="1199"/>
      <w:bookmarkEnd w:id="1200"/>
      <w:bookmarkEnd w:id="1201"/>
    </w:p>
    <w:p w14:paraId="1FEDF67F" w14:textId="77777777" w:rsidR="00FA2FF9" w:rsidRPr="00730DE4" w:rsidRDefault="00FA2FF9" w:rsidP="00BC1313">
      <w:pPr>
        <w:rPr>
          <w:lang w:val="en-US"/>
        </w:rPr>
      </w:pPr>
      <w:r w:rsidRPr="00730DE4">
        <w:rPr>
          <w:lang w:val="en-US"/>
        </w:rPr>
        <w:t>In 2023–24, TMR continued to support Aboriginal and Torres Strait Islander employees, grow knowledge and capability across our business, and support the workforce in connecting with First Nations peoples to deliver services and programs that consider the diversity in our communities and the needs of TMR customers.</w:t>
      </w:r>
    </w:p>
    <w:p w14:paraId="07162215" w14:textId="77777777" w:rsidR="00FA2FF9" w:rsidRPr="00730DE4" w:rsidRDefault="00FA2FF9" w:rsidP="00BC1313">
      <w:pPr>
        <w:rPr>
          <w:lang w:val="en-US"/>
        </w:rPr>
      </w:pPr>
      <w:r w:rsidRPr="00730DE4">
        <w:rPr>
          <w:lang w:val="en-US"/>
        </w:rPr>
        <w:t>This included:</w:t>
      </w:r>
    </w:p>
    <w:p w14:paraId="77263F17" w14:textId="77777777" w:rsidR="00FA2FF9" w:rsidRPr="00730DE4" w:rsidRDefault="00FA2FF9" w:rsidP="00BC1313">
      <w:pPr>
        <w:pStyle w:val="ListBullet"/>
        <w:rPr>
          <w:lang w:val="en-US"/>
        </w:rPr>
      </w:pPr>
      <w:r w:rsidRPr="00730DE4">
        <w:rPr>
          <w:lang w:val="en-US"/>
        </w:rPr>
        <w:t>continuation of the Indigenous Employee Network, with over 40 members</w:t>
      </w:r>
    </w:p>
    <w:p w14:paraId="114F4FCB" w14:textId="77777777" w:rsidR="00FA2FF9" w:rsidRPr="00730DE4" w:rsidRDefault="00FA2FF9" w:rsidP="00BC1313">
      <w:pPr>
        <w:pStyle w:val="ListBullet"/>
        <w:rPr>
          <w:lang w:val="en-US"/>
        </w:rPr>
      </w:pPr>
      <w:r w:rsidRPr="00730DE4">
        <w:rPr>
          <w:lang w:val="en-US"/>
        </w:rPr>
        <w:t>continuation of the First Nations Reference Group, with 15 members who provide culturally led input on policies, programs, and initiatives that impact Aboriginal and Torres Strait Islander people</w:t>
      </w:r>
    </w:p>
    <w:p w14:paraId="2AB4CABB" w14:textId="77777777" w:rsidR="00FA2FF9" w:rsidRPr="00730DE4" w:rsidRDefault="00FA2FF9" w:rsidP="00BC1313">
      <w:pPr>
        <w:pStyle w:val="ListBullet"/>
        <w:rPr>
          <w:lang w:val="en-US"/>
        </w:rPr>
      </w:pPr>
      <w:r w:rsidRPr="00730DE4">
        <w:rPr>
          <w:lang w:val="en-US"/>
        </w:rPr>
        <w:t>investment in a Transport Academic Partnerships project to assess and better understand the cultural inclusiveness and safety of Aboriginal and Torres Strait Islander employees at TMR</w:t>
      </w:r>
    </w:p>
    <w:p w14:paraId="74D2334F" w14:textId="77777777" w:rsidR="00FA2FF9" w:rsidRPr="00730DE4" w:rsidRDefault="00FA2FF9" w:rsidP="00BC1313">
      <w:pPr>
        <w:pStyle w:val="ListBullet"/>
        <w:rPr>
          <w:lang w:val="en-US"/>
        </w:rPr>
      </w:pPr>
      <w:r w:rsidRPr="00730DE4">
        <w:rPr>
          <w:lang w:val="en-US"/>
        </w:rPr>
        <w:t>formally established two roles that were Identified as best suited to an Aboriginal and/or Torres Strait Islander person</w:t>
      </w:r>
    </w:p>
    <w:p w14:paraId="3F075390" w14:textId="77777777" w:rsidR="00FA2FF9" w:rsidRPr="00730DE4" w:rsidRDefault="00FA2FF9" w:rsidP="00BC1313">
      <w:pPr>
        <w:pStyle w:val="ListBullet"/>
        <w:rPr>
          <w:lang w:val="en-US"/>
        </w:rPr>
      </w:pPr>
      <w:r w:rsidRPr="00730DE4">
        <w:rPr>
          <w:lang w:val="en-US"/>
        </w:rPr>
        <w:t>commitment to permanency of roles within TMR’s Indigenous Strategy Team</w:t>
      </w:r>
    </w:p>
    <w:p w14:paraId="171D8A84" w14:textId="77777777" w:rsidR="00FA2FF9" w:rsidRPr="00730DE4" w:rsidRDefault="00FA2FF9" w:rsidP="00BC1313">
      <w:pPr>
        <w:pStyle w:val="ListBullet"/>
        <w:rPr>
          <w:lang w:val="en-US"/>
        </w:rPr>
      </w:pPr>
      <w:r w:rsidRPr="00730DE4">
        <w:rPr>
          <w:lang w:val="en-US"/>
        </w:rPr>
        <w:t>delivery of cultural awareness and capability training—Starting the Journey, Black Card Training, Minjerribah Moorgumpin Stradbroke Island, and Building on the Strengths of Our Stories</w:t>
      </w:r>
    </w:p>
    <w:p w14:paraId="63579D34" w14:textId="77777777" w:rsidR="00FA2FF9" w:rsidRPr="00730DE4" w:rsidRDefault="00FA2FF9" w:rsidP="00BC1313">
      <w:pPr>
        <w:pStyle w:val="ListBullet"/>
        <w:rPr>
          <w:lang w:val="en-US"/>
        </w:rPr>
      </w:pPr>
      <w:r w:rsidRPr="00730DE4">
        <w:rPr>
          <w:lang w:val="en-US"/>
        </w:rPr>
        <w:t>support, promoted, and participated in events such as National Reconciliation Week, NAIDOC Week, National Apology Day, Mabo Day, Sorry Day, and Close the Gap Day</w:t>
      </w:r>
    </w:p>
    <w:p w14:paraId="3336B706" w14:textId="77777777" w:rsidR="00FA2FF9" w:rsidRPr="00730DE4" w:rsidRDefault="00FA2FF9" w:rsidP="00BC1313">
      <w:pPr>
        <w:pStyle w:val="ListBullet"/>
        <w:rPr>
          <w:lang w:val="en-US"/>
        </w:rPr>
      </w:pPr>
      <w:r w:rsidRPr="00730DE4">
        <w:rPr>
          <w:lang w:val="en-US"/>
        </w:rPr>
        <w:t>regular communication through internal articles and senior leader messaging, intranet content, and TMR Indigenous Celebrations group.</w:t>
      </w:r>
    </w:p>
    <w:p w14:paraId="55182091" w14:textId="77777777" w:rsidR="00FA2FF9" w:rsidRPr="00730DE4" w:rsidRDefault="00FA2FF9" w:rsidP="002B7001">
      <w:pPr>
        <w:pStyle w:val="Heading3"/>
        <w:rPr>
          <w:lang w:val="en-US"/>
        </w:rPr>
      </w:pPr>
      <w:bookmarkStart w:id="1202" w:name="_Toc180487622"/>
      <w:bookmarkStart w:id="1203" w:name="_Toc180490828"/>
      <w:bookmarkStart w:id="1204" w:name="_Toc180491861"/>
      <w:r w:rsidRPr="00730DE4">
        <w:rPr>
          <w:lang w:val="en-US"/>
        </w:rPr>
        <w:t>Flexible work</w:t>
      </w:r>
      <w:bookmarkEnd w:id="1202"/>
      <w:bookmarkEnd w:id="1203"/>
      <w:bookmarkEnd w:id="1204"/>
      <w:r w:rsidRPr="00730DE4">
        <w:rPr>
          <w:lang w:val="en-US"/>
        </w:rPr>
        <w:t xml:space="preserve"> </w:t>
      </w:r>
    </w:p>
    <w:p w14:paraId="19A64E25" w14:textId="77777777" w:rsidR="00FA2FF9" w:rsidRPr="00730DE4" w:rsidRDefault="00FA2FF9" w:rsidP="00BC1313">
      <w:pPr>
        <w:rPr>
          <w:lang w:val="en-US"/>
        </w:rPr>
      </w:pPr>
      <w:r w:rsidRPr="00730DE4">
        <w:rPr>
          <w:lang w:val="en-US"/>
        </w:rPr>
        <w:t>TMR continues with its commitment to support agile and flexible work and the principles that support successful implementation of flexible working in line with the Queensland Government's Flexible by Design Framework. In the 2023 Working for Queensland survey, 83 per cent of staff indicated they had the flexibility they needed, which is eight per cent above the Queensland public sector average, and up one per cent from 2022.</w:t>
      </w:r>
    </w:p>
    <w:p w14:paraId="1C109166" w14:textId="77777777" w:rsidR="00FA2FF9" w:rsidRPr="00730DE4" w:rsidRDefault="00FA2FF9" w:rsidP="00BC1313">
      <w:pPr>
        <w:rPr>
          <w:lang w:val="en-US"/>
        </w:rPr>
      </w:pPr>
      <w:r w:rsidRPr="00730DE4">
        <w:rPr>
          <w:lang w:val="en-US"/>
        </w:rPr>
        <w:t>TMR employees have access to flexible working arrangements including accumulated hours, flexible start and finish times, job sharing, and working remotely.</w:t>
      </w:r>
    </w:p>
    <w:p w14:paraId="42A6B31F" w14:textId="77777777" w:rsidR="00FA2FF9" w:rsidRPr="00730DE4" w:rsidRDefault="00FA2FF9" w:rsidP="002B7001">
      <w:pPr>
        <w:pStyle w:val="Heading3"/>
        <w:rPr>
          <w:lang w:val="en-US"/>
        </w:rPr>
      </w:pPr>
      <w:bookmarkStart w:id="1205" w:name="_Toc180487623"/>
      <w:bookmarkStart w:id="1206" w:name="_Toc180490829"/>
      <w:bookmarkStart w:id="1207" w:name="_Toc180491862"/>
      <w:r w:rsidRPr="00730DE4">
        <w:rPr>
          <w:lang w:val="en-US"/>
        </w:rPr>
        <w:t>Programs on gender equity</w:t>
      </w:r>
      <w:bookmarkEnd w:id="1205"/>
      <w:bookmarkEnd w:id="1206"/>
      <w:bookmarkEnd w:id="1207"/>
    </w:p>
    <w:p w14:paraId="10328787" w14:textId="77777777" w:rsidR="00FA2FF9" w:rsidRPr="00730DE4" w:rsidRDefault="00FA2FF9" w:rsidP="002B7001">
      <w:pPr>
        <w:pStyle w:val="Heading4"/>
        <w:rPr>
          <w:lang w:val="en-US"/>
        </w:rPr>
      </w:pPr>
      <w:bookmarkStart w:id="1208" w:name="_Toc180487624"/>
      <w:bookmarkStart w:id="1209" w:name="_Toc180490830"/>
      <w:bookmarkStart w:id="1210" w:name="_Toc180491863"/>
      <w:r w:rsidRPr="00730DE4">
        <w:rPr>
          <w:lang w:val="en-US"/>
        </w:rPr>
        <w:t>TMR Wonder Women program</w:t>
      </w:r>
      <w:bookmarkEnd w:id="1208"/>
      <w:bookmarkEnd w:id="1209"/>
      <w:bookmarkEnd w:id="1210"/>
    </w:p>
    <w:p w14:paraId="7D8602A8" w14:textId="77777777" w:rsidR="00FA2FF9" w:rsidRPr="00730DE4" w:rsidRDefault="00FA2FF9" w:rsidP="00BC1313">
      <w:pPr>
        <w:rPr>
          <w:lang w:val="en-US"/>
        </w:rPr>
      </w:pPr>
      <w:r w:rsidRPr="00730DE4">
        <w:rPr>
          <w:lang w:val="en-US"/>
        </w:rPr>
        <w:t>In March 2024, TMR celebrated International Women's Day and Queensland Women's Week, including acknowledging the recipients of the 2024 Wonder Women.</w:t>
      </w:r>
    </w:p>
    <w:p w14:paraId="1920E537" w14:textId="77777777" w:rsidR="00FA2FF9" w:rsidRPr="00730DE4" w:rsidRDefault="00FA2FF9" w:rsidP="00BC1313">
      <w:pPr>
        <w:rPr>
          <w:lang w:val="en-US"/>
        </w:rPr>
      </w:pPr>
      <w:r w:rsidRPr="00730DE4">
        <w:rPr>
          <w:lang w:val="en-US"/>
        </w:rPr>
        <w:t>The TMR Wonder Women Program celebrates the diverse and inspirational women of TMR who work across our many disciplines and help us drive the journey.</w:t>
      </w:r>
    </w:p>
    <w:p w14:paraId="1E061DF7" w14:textId="77777777" w:rsidR="00FA2FF9" w:rsidRPr="00730DE4" w:rsidRDefault="00FA2FF9" w:rsidP="00BC1313">
      <w:pPr>
        <w:rPr>
          <w:lang w:val="en-US"/>
        </w:rPr>
      </w:pPr>
      <w:r w:rsidRPr="00730DE4">
        <w:rPr>
          <w:lang w:val="en-US"/>
        </w:rPr>
        <w:t>Nominated by their​ colleagues, TMR's Wonder Women have been chosen for their leadership, innovation, dedication, and advocacy, both at work and in the community.</w:t>
      </w:r>
    </w:p>
    <w:p w14:paraId="6BB83BEF" w14:textId="77777777" w:rsidR="00FA2FF9" w:rsidRPr="00730DE4" w:rsidRDefault="00FA2FF9" w:rsidP="00BC1313">
      <w:pPr>
        <w:rPr>
          <w:lang w:val="en-US"/>
        </w:rPr>
      </w:pPr>
      <w:r w:rsidRPr="00730DE4">
        <w:rPr>
          <w:lang w:val="en-US"/>
        </w:rPr>
        <w:t>The 2024 TMR Wonder Women are:</w:t>
      </w:r>
    </w:p>
    <w:p w14:paraId="15E02A4D" w14:textId="77777777" w:rsidR="00FA2FF9" w:rsidRPr="00730DE4" w:rsidRDefault="00FA2FF9" w:rsidP="00BC1313">
      <w:pPr>
        <w:pStyle w:val="ListBullet"/>
        <w:rPr>
          <w:lang w:val="en-US"/>
        </w:rPr>
      </w:pPr>
      <w:r w:rsidRPr="00730DE4">
        <w:rPr>
          <w:lang w:val="en-US"/>
        </w:rPr>
        <w:t>Shannon Hagan—The Compassionate</w:t>
      </w:r>
    </w:p>
    <w:p w14:paraId="53C383CB" w14:textId="77777777" w:rsidR="00FA2FF9" w:rsidRPr="00730DE4" w:rsidRDefault="00FA2FF9" w:rsidP="00BC1313">
      <w:pPr>
        <w:pStyle w:val="ListBullet"/>
        <w:rPr>
          <w:lang w:val="en-US"/>
        </w:rPr>
      </w:pPr>
      <w:r w:rsidRPr="00730DE4">
        <w:rPr>
          <w:lang w:val="en-US"/>
        </w:rPr>
        <w:t>Sharon Litchfield—The Compassionate</w:t>
      </w:r>
    </w:p>
    <w:p w14:paraId="0EA3E8F4" w14:textId="77777777" w:rsidR="00FA2FF9" w:rsidRPr="00730DE4" w:rsidRDefault="00FA2FF9" w:rsidP="00BC1313">
      <w:pPr>
        <w:pStyle w:val="ListBullet"/>
        <w:rPr>
          <w:lang w:val="en-US"/>
        </w:rPr>
      </w:pPr>
      <w:r w:rsidRPr="00730DE4">
        <w:rPr>
          <w:lang w:val="en-US"/>
        </w:rPr>
        <w:t>Alyce Schlothauer—The Compassionate</w:t>
      </w:r>
    </w:p>
    <w:p w14:paraId="412C82D3" w14:textId="77777777" w:rsidR="00FA2FF9" w:rsidRPr="00730DE4" w:rsidRDefault="00FA2FF9" w:rsidP="00BC1313">
      <w:pPr>
        <w:pStyle w:val="ListBullet"/>
        <w:rPr>
          <w:lang w:val="en-US"/>
        </w:rPr>
      </w:pPr>
      <w:r w:rsidRPr="00730DE4">
        <w:rPr>
          <w:lang w:val="en-US"/>
        </w:rPr>
        <w:t>Celina Green—The Quiet Achiever</w:t>
      </w:r>
    </w:p>
    <w:p w14:paraId="63A3BC9B" w14:textId="77777777" w:rsidR="00FA2FF9" w:rsidRPr="00730DE4" w:rsidRDefault="00FA2FF9" w:rsidP="00BC1313">
      <w:pPr>
        <w:pStyle w:val="ListBullet"/>
        <w:rPr>
          <w:lang w:val="en-US"/>
        </w:rPr>
      </w:pPr>
      <w:r w:rsidRPr="00730DE4">
        <w:rPr>
          <w:lang w:val="en-US"/>
        </w:rPr>
        <w:t>Kylee Petersen—The Quiet Achiever</w:t>
      </w:r>
    </w:p>
    <w:p w14:paraId="1B876BFD" w14:textId="77777777" w:rsidR="00FA2FF9" w:rsidRPr="00730DE4" w:rsidRDefault="00FA2FF9" w:rsidP="00BC1313">
      <w:pPr>
        <w:pStyle w:val="ListBullet"/>
        <w:rPr>
          <w:lang w:val="en-US"/>
        </w:rPr>
      </w:pPr>
      <w:r w:rsidRPr="00730DE4">
        <w:rPr>
          <w:lang w:val="en-US"/>
        </w:rPr>
        <w:t>Yolandi Combrink—The Trail Blazer</w:t>
      </w:r>
    </w:p>
    <w:p w14:paraId="35468F0B" w14:textId="77777777" w:rsidR="00FA2FF9" w:rsidRPr="00730DE4" w:rsidRDefault="00FA2FF9" w:rsidP="00BC1313">
      <w:pPr>
        <w:pStyle w:val="ListBullet"/>
        <w:rPr>
          <w:lang w:val="en-US"/>
        </w:rPr>
      </w:pPr>
      <w:r w:rsidRPr="00730DE4">
        <w:rPr>
          <w:lang w:val="en-US"/>
        </w:rPr>
        <w:t>Navjeet Kaur—The Trail Blazer</w:t>
      </w:r>
    </w:p>
    <w:p w14:paraId="6EEA736F" w14:textId="77777777" w:rsidR="00FA2FF9" w:rsidRPr="00730DE4" w:rsidRDefault="00FA2FF9" w:rsidP="00BC1313">
      <w:pPr>
        <w:pStyle w:val="ListBullet"/>
        <w:rPr>
          <w:lang w:val="en-US"/>
        </w:rPr>
      </w:pPr>
      <w:r w:rsidRPr="00730DE4">
        <w:rPr>
          <w:lang w:val="en-US"/>
        </w:rPr>
        <w:t>Samantha Bailey—The Up-and-Comer</w:t>
      </w:r>
    </w:p>
    <w:p w14:paraId="335B4C61" w14:textId="77777777" w:rsidR="00FA2FF9" w:rsidRPr="00730DE4" w:rsidRDefault="00FA2FF9" w:rsidP="00BC1313">
      <w:pPr>
        <w:pStyle w:val="ListBullet"/>
        <w:rPr>
          <w:lang w:val="en-US"/>
        </w:rPr>
      </w:pPr>
      <w:r w:rsidRPr="00730DE4">
        <w:rPr>
          <w:lang w:val="en-US"/>
        </w:rPr>
        <w:t>Diana Huxley—The Up-and-Comer</w:t>
      </w:r>
    </w:p>
    <w:p w14:paraId="508E042C" w14:textId="77777777" w:rsidR="00FA2FF9" w:rsidRPr="00730DE4" w:rsidRDefault="00FA2FF9" w:rsidP="00BC1313">
      <w:pPr>
        <w:pStyle w:val="ListBullet"/>
        <w:rPr>
          <w:lang w:val="en-US"/>
        </w:rPr>
      </w:pPr>
      <w:r w:rsidRPr="00730DE4">
        <w:rPr>
          <w:lang w:val="en-US"/>
        </w:rPr>
        <w:t>Caitlin Rofe—The Up-and-Comer.</w:t>
      </w:r>
    </w:p>
    <w:p w14:paraId="7342EB24" w14:textId="77777777" w:rsidR="00FA2FF9" w:rsidRPr="00730DE4" w:rsidRDefault="00FA2FF9" w:rsidP="002B7001">
      <w:pPr>
        <w:pStyle w:val="Heading4"/>
        <w:rPr>
          <w:lang w:val="en-US"/>
        </w:rPr>
      </w:pPr>
      <w:bookmarkStart w:id="1211" w:name="_Toc180487625"/>
      <w:bookmarkStart w:id="1212" w:name="_Toc180490831"/>
      <w:bookmarkStart w:id="1213" w:name="_Toc180491864"/>
      <w:r w:rsidRPr="00730DE4">
        <w:rPr>
          <w:lang w:val="en-US"/>
        </w:rPr>
        <w:t>UNIQ You Sponsorship</w:t>
      </w:r>
      <w:bookmarkEnd w:id="1211"/>
      <w:bookmarkEnd w:id="1212"/>
      <w:bookmarkEnd w:id="1213"/>
      <w:r w:rsidRPr="00730DE4">
        <w:rPr>
          <w:lang w:val="en-US"/>
        </w:rPr>
        <w:t> </w:t>
      </w:r>
    </w:p>
    <w:p w14:paraId="6943B824" w14:textId="77777777" w:rsidR="00FA2FF9" w:rsidRPr="00730DE4" w:rsidRDefault="00FA2FF9" w:rsidP="00BC1313">
      <w:pPr>
        <w:rPr>
          <w:lang w:val="en-US"/>
        </w:rPr>
      </w:pPr>
      <w:r w:rsidRPr="00730DE4">
        <w:rPr>
          <w:lang w:val="en-US"/>
        </w:rPr>
        <w:t>The UNIQ You sponsorship program connects female school students from grade nine to 12 with female advisories from non-traditional roles to build a future pipeline for industries where women are currently under-represented.</w:t>
      </w:r>
    </w:p>
    <w:p w14:paraId="65FC24DA" w14:textId="77777777" w:rsidR="00FA2FF9" w:rsidRPr="00730DE4" w:rsidRDefault="00FA2FF9" w:rsidP="00BC1313">
      <w:pPr>
        <w:rPr>
          <w:lang w:val="en-US"/>
        </w:rPr>
      </w:pPr>
      <w:r w:rsidRPr="00730DE4">
        <w:rPr>
          <w:lang w:val="en-US"/>
        </w:rPr>
        <w:t>The purpose of the program is to enhance the gender diversity of the Queensland workforce, particularly within non-traditional and unique roles, to achieve gender equity, and to close the gender pay gap.</w:t>
      </w:r>
    </w:p>
    <w:p w14:paraId="151EAEFE" w14:textId="77777777" w:rsidR="00FA2FF9" w:rsidRPr="00730DE4" w:rsidRDefault="00FA2FF9" w:rsidP="00BC1313">
      <w:pPr>
        <w:rPr>
          <w:lang w:val="en-US"/>
        </w:rPr>
      </w:pPr>
      <w:r w:rsidRPr="00730DE4">
        <w:rPr>
          <w:lang w:val="en-US"/>
        </w:rPr>
        <w:t>TMR has led the sponsorship for whole-of-government for the last 12 months and will continue over the next three year period. Over the last 12 months, the following highlights have been noted:</w:t>
      </w:r>
    </w:p>
    <w:p w14:paraId="552BFA0C" w14:textId="77777777" w:rsidR="00FA2FF9" w:rsidRPr="00730DE4" w:rsidRDefault="00FA2FF9" w:rsidP="00BC1313">
      <w:pPr>
        <w:pStyle w:val="ListBullet"/>
        <w:rPr>
          <w:lang w:val="en-US"/>
        </w:rPr>
      </w:pPr>
      <w:r w:rsidRPr="00730DE4">
        <w:rPr>
          <w:lang w:val="en-US"/>
        </w:rPr>
        <w:t>all five TMR advisors reported positive outcomes, citing ease in connecting with students</w:t>
      </w:r>
    </w:p>
    <w:p w14:paraId="13248BE8" w14:textId="77777777" w:rsidR="00FA2FF9" w:rsidRPr="00730DE4" w:rsidRDefault="00FA2FF9" w:rsidP="00BC1313">
      <w:pPr>
        <w:pStyle w:val="ListBullet"/>
        <w:rPr>
          <w:lang w:val="en-US"/>
        </w:rPr>
      </w:pPr>
      <w:r w:rsidRPr="00730DE4">
        <w:rPr>
          <w:lang w:val="en-US"/>
        </w:rPr>
        <w:t>high student interest</w:t>
      </w:r>
    </w:p>
    <w:p w14:paraId="7C180C2F" w14:textId="77777777" w:rsidR="00FA2FF9" w:rsidRPr="00730DE4" w:rsidRDefault="00FA2FF9" w:rsidP="00BC1313">
      <w:pPr>
        <w:pStyle w:val="ListBullet"/>
        <w:rPr>
          <w:lang w:val="en-US"/>
        </w:rPr>
      </w:pPr>
      <w:r w:rsidRPr="00730DE4">
        <w:rPr>
          <w:lang w:val="en-US"/>
        </w:rPr>
        <w:t>networking opportunities across agencies</w:t>
      </w:r>
    </w:p>
    <w:p w14:paraId="41985D29" w14:textId="77777777" w:rsidR="00FA2FF9" w:rsidRPr="00730DE4" w:rsidRDefault="00FA2FF9" w:rsidP="00BC1313">
      <w:pPr>
        <w:pStyle w:val="ListBullet"/>
        <w:rPr>
          <w:lang w:val="en-US"/>
        </w:rPr>
      </w:pPr>
      <w:r w:rsidRPr="00730DE4">
        <w:rPr>
          <w:lang w:val="en-US"/>
        </w:rPr>
        <w:t>responsive program coordinators.</w:t>
      </w:r>
    </w:p>
    <w:p w14:paraId="0D3AD1ED" w14:textId="77777777" w:rsidR="00FA2FF9" w:rsidRPr="00730DE4" w:rsidRDefault="00FA2FF9" w:rsidP="00BC1313">
      <w:pPr>
        <w:rPr>
          <w:lang w:val="en-US"/>
        </w:rPr>
      </w:pPr>
      <w:r w:rsidRPr="00730DE4">
        <w:rPr>
          <w:lang w:val="en-US"/>
        </w:rPr>
        <w:t>TMR directly connected with schools statewide to promote additional pathway information, including apprenticeships, internships, and graduate programs. In 2023–24:</w:t>
      </w:r>
    </w:p>
    <w:p w14:paraId="24943762" w14:textId="77777777" w:rsidR="00FA2FF9" w:rsidRPr="00730DE4" w:rsidRDefault="00FA2FF9" w:rsidP="00BC1313">
      <w:pPr>
        <w:pStyle w:val="ListBullet"/>
        <w:rPr>
          <w:lang w:val="en-US"/>
        </w:rPr>
      </w:pPr>
      <w:r w:rsidRPr="00730DE4">
        <w:rPr>
          <w:lang w:val="en-US"/>
        </w:rPr>
        <w:t>515 students from 14 different schools engaged with advisors</w:t>
      </w:r>
    </w:p>
    <w:p w14:paraId="651D6C9D" w14:textId="77777777" w:rsidR="00FA2FF9" w:rsidRPr="00730DE4" w:rsidRDefault="00FA2FF9" w:rsidP="00BC1313">
      <w:pPr>
        <w:pStyle w:val="ListBullet"/>
        <w:rPr>
          <w:lang w:val="en-US"/>
        </w:rPr>
      </w:pPr>
      <w:r w:rsidRPr="00730DE4">
        <w:rPr>
          <w:lang w:val="en-US"/>
        </w:rPr>
        <w:t>over 1000 calls had between female students and advisors</w:t>
      </w:r>
    </w:p>
    <w:p w14:paraId="34DC9DD9" w14:textId="77777777" w:rsidR="00FA2FF9" w:rsidRPr="00730DE4" w:rsidRDefault="00FA2FF9" w:rsidP="00BC1313">
      <w:pPr>
        <w:pStyle w:val="ListBullet"/>
        <w:rPr>
          <w:lang w:val="en-US"/>
        </w:rPr>
      </w:pPr>
      <w:r w:rsidRPr="00730DE4">
        <w:rPr>
          <w:lang w:val="en-US"/>
        </w:rPr>
        <w:t>government interactions accounted for over 60 per cent of all UNIQ You interactions of advisors with students</w:t>
      </w:r>
    </w:p>
    <w:p w14:paraId="0EA06D5E" w14:textId="77777777" w:rsidR="00FA2FF9" w:rsidRPr="00730DE4" w:rsidRDefault="00FA2FF9" w:rsidP="00BC1313">
      <w:pPr>
        <w:pStyle w:val="ListBullet"/>
        <w:rPr>
          <w:lang w:val="en-US"/>
        </w:rPr>
      </w:pPr>
      <w:r w:rsidRPr="00730DE4">
        <w:rPr>
          <w:lang w:val="en-US"/>
        </w:rPr>
        <w:t>TMR contributed 70 per cent of the government interactions, constituting 35–38 per cent of all interactions with UNIQ You.</w:t>
      </w:r>
    </w:p>
    <w:p w14:paraId="3B907954" w14:textId="77777777" w:rsidR="00FA2FF9" w:rsidRPr="00730DE4" w:rsidRDefault="00FA2FF9" w:rsidP="00BC1313">
      <w:pPr>
        <w:rPr>
          <w:lang w:val="en-US"/>
        </w:rPr>
      </w:pPr>
      <w:r w:rsidRPr="00730DE4">
        <w:rPr>
          <w:lang w:val="en-US"/>
        </w:rPr>
        <w:t>Representation and inclusion of Aboriginal and Torres Strait Islander girls and young women, as well as culturally and linguistically diverse stakeholders and beneficiaries, were included in the program contributing to a diverse entry pathway pool of applicants.</w:t>
      </w:r>
    </w:p>
    <w:p w14:paraId="308B5E9D" w14:textId="77777777" w:rsidR="00FA2FF9" w:rsidRPr="00730DE4" w:rsidRDefault="00FA2FF9" w:rsidP="002B7001">
      <w:pPr>
        <w:pStyle w:val="Heading3"/>
        <w:rPr>
          <w:lang w:val="en-US"/>
        </w:rPr>
      </w:pPr>
      <w:bookmarkStart w:id="1214" w:name="_Toc180487626"/>
      <w:bookmarkStart w:id="1215" w:name="_Toc180490832"/>
      <w:bookmarkStart w:id="1216" w:name="_Toc180491865"/>
      <w:r w:rsidRPr="00730DE4">
        <w:rPr>
          <w:lang w:val="en-US"/>
        </w:rPr>
        <w:t>LGBTIQ+</w:t>
      </w:r>
      <w:bookmarkEnd w:id="1214"/>
      <w:bookmarkEnd w:id="1215"/>
      <w:bookmarkEnd w:id="1216"/>
    </w:p>
    <w:p w14:paraId="6DB9715E" w14:textId="77777777" w:rsidR="00FA2FF9" w:rsidRPr="00730DE4" w:rsidRDefault="00FA2FF9" w:rsidP="00BC1313">
      <w:pPr>
        <w:rPr>
          <w:lang w:val="en-US"/>
        </w:rPr>
      </w:pPr>
      <w:r w:rsidRPr="00730DE4">
        <w:rPr>
          <w:lang w:val="en-US"/>
        </w:rPr>
        <w:t>TMR supports LGBTIQ+ employees through the OneTMR Pride Network, which has grown from three members to 130 members and works closely with Pride in Diversity to provide awareness, education, and support to employees.</w:t>
      </w:r>
    </w:p>
    <w:p w14:paraId="7E3F1629" w14:textId="77777777" w:rsidR="00FA2FF9" w:rsidRPr="00730DE4" w:rsidRDefault="00FA2FF9" w:rsidP="00BC1313">
      <w:pPr>
        <w:rPr>
          <w:lang w:val="en-US"/>
        </w:rPr>
      </w:pPr>
      <w:r w:rsidRPr="00730DE4">
        <w:rPr>
          <w:lang w:val="en-US"/>
        </w:rPr>
        <w:t>In 2023, TMR was a co-sponsor of the Brisbane Pride festival and rally to demonstrate the department’s support for TMR’s diverse workforce. Over 20 TMR people marched in the parade and hundreds of people met with TMR people who were staffing the booth to discuss TMR as an inclusive place to work. This contrasts with 2022, when only two TMR staff marched.</w:t>
      </w:r>
    </w:p>
    <w:p w14:paraId="55421C34" w14:textId="77777777" w:rsidR="00FA2FF9" w:rsidRPr="00730DE4" w:rsidRDefault="00FA2FF9" w:rsidP="00BC1313">
      <w:pPr>
        <w:rPr>
          <w:lang w:val="en-US"/>
        </w:rPr>
      </w:pPr>
      <w:r w:rsidRPr="00730DE4">
        <w:rPr>
          <w:lang w:val="en-US"/>
        </w:rPr>
        <w:t>The combined efforts of everyone involved in this sponsorship, rally and fair day exemplified TMR’s commitment to the LGBTIQ+ community, in demonstrating a truly welcoming diverse and representative workforce.</w:t>
      </w:r>
    </w:p>
    <w:p w14:paraId="6440D3BA" w14:textId="77777777" w:rsidR="00FA2FF9" w:rsidRPr="00730DE4" w:rsidRDefault="00FA2FF9" w:rsidP="00BC1313">
      <w:pPr>
        <w:rPr>
          <w:lang w:val="en-US"/>
        </w:rPr>
      </w:pPr>
      <w:r w:rsidRPr="00730DE4">
        <w:rPr>
          <w:lang w:val="en-US"/>
        </w:rPr>
        <w:t>TMR supported the LGBTQ Light Up and the Night Charity Gala and members from the ELT and the TMR LGBTIQ+ community took part in the event raising awareness for the LGBTQ Domestic Violence Awareness Foundation.</w:t>
      </w:r>
    </w:p>
    <w:p w14:paraId="2607626F" w14:textId="77777777" w:rsidR="00FA2FF9" w:rsidRPr="00730DE4" w:rsidRDefault="00FA2FF9" w:rsidP="002B7001">
      <w:pPr>
        <w:pStyle w:val="Heading3"/>
        <w:rPr>
          <w:lang w:val="en-US"/>
        </w:rPr>
      </w:pPr>
      <w:bookmarkStart w:id="1217" w:name="_Toc180487627"/>
      <w:bookmarkStart w:id="1218" w:name="_Toc180490833"/>
      <w:bookmarkStart w:id="1219" w:name="_Toc180491866"/>
      <w:r w:rsidRPr="00730DE4">
        <w:rPr>
          <w:lang w:val="en-US"/>
        </w:rPr>
        <w:t>Programs on the prevention of domestic and family violence</w:t>
      </w:r>
      <w:bookmarkEnd w:id="1217"/>
      <w:bookmarkEnd w:id="1218"/>
      <w:bookmarkEnd w:id="1219"/>
    </w:p>
    <w:p w14:paraId="04580A54" w14:textId="77777777" w:rsidR="00FA2FF9" w:rsidRPr="00730DE4" w:rsidRDefault="00FA2FF9" w:rsidP="00BC1313">
      <w:pPr>
        <w:rPr>
          <w:lang w:val="en-US"/>
        </w:rPr>
      </w:pPr>
      <w:r w:rsidRPr="00730DE4">
        <w:rPr>
          <w:lang w:val="en-US"/>
        </w:rPr>
        <w:t>In 2023–24, TMR continued to advocate DFV awareness and prevention. The program is actively supported through ongoing communications from the Director-General and Executive Champion for the Prevention of DFV.</w:t>
      </w:r>
    </w:p>
    <w:p w14:paraId="4090EF5D" w14:textId="77777777" w:rsidR="00FA2FF9" w:rsidRPr="00730DE4" w:rsidRDefault="00FA2FF9" w:rsidP="00BC1313">
      <w:pPr>
        <w:rPr>
          <w:lang w:val="en-US"/>
        </w:rPr>
      </w:pPr>
      <w:r w:rsidRPr="00730DE4">
        <w:rPr>
          <w:lang w:val="en-US"/>
        </w:rPr>
        <w:t>TMR ensures staff are equipped to recognise, respond, and refer fellow colleagues or customers who are experiencing DFV through training provided through the Public Sector Commission and Challenge DV. This online training is mandatory for all TMR staff to complete.</w:t>
      </w:r>
    </w:p>
    <w:p w14:paraId="133B9B21" w14:textId="77777777" w:rsidR="00FA2FF9" w:rsidRPr="00730DE4" w:rsidRDefault="00FA2FF9" w:rsidP="00BC1313">
      <w:pPr>
        <w:rPr>
          <w:lang w:val="en-US"/>
        </w:rPr>
      </w:pPr>
      <w:r w:rsidRPr="00730DE4">
        <w:rPr>
          <w:lang w:val="en-US"/>
        </w:rPr>
        <w:t>TMR also continued its partnership with WorkHaven on the Fresh Start for Me online coaching program. This program assists employees who are impacted by DFV and a number of TMR staff have used it to build a life beyond DFV.</w:t>
      </w:r>
    </w:p>
    <w:p w14:paraId="70BAFA61" w14:textId="77777777" w:rsidR="00FA2FF9" w:rsidRPr="00730DE4" w:rsidRDefault="00FA2FF9" w:rsidP="00BC1313">
      <w:pPr>
        <w:rPr>
          <w:lang w:val="en-US"/>
        </w:rPr>
      </w:pPr>
      <w:r w:rsidRPr="00730DE4">
        <w:rPr>
          <w:lang w:val="en-US"/>
        </w:rPr>
        <w:t>TMR raised awareness of DFV and championed prevention during 2023–24 through:</w:t>
      </w:r>
    </w:p>
    <w:p w14:paraId="502460AF" w14:textId="77777777" w:rsidR="00FA2FF9" w:rsidRPr="00730DE4" w:rsidRDefault="00FA2FF9" w:rsidP="00BC1313">
      <w:pPr>
        <w:pStyle w:val="ListBullet"/>
        <w:rPr>
          <w:lang w:val="en-US"/>
        </w:rPr>
      </w:pPr>
      <w:r w:rsidRPr="00730DE4">
        <w:rPr>
          <w:lang w:val="en-US"/>
        </w:rPr>
        <w:t>leading Queensland Government sponsorship of the Darkness to Daylight Challenge, for the ninth consecutive year with a strong presence from TMR employees and executives</w:t>
      </w:r>
    </w:p>
    <w:p w14:paraId="1E9E06BF" w14:textId="77777777" w:rsidR="00FA2FF9" w:rsidRPr="00730DE4" w:rsidRDefault="00FA2FF9" w:rsidP="00BC1313">
      <w:pPr>
        <w:pStyle w:val="ListBullet"/>
        <w:rPr>
          <w:lang w:val="en-US"/>
        </w:rPr>
      </w:pPr>
      <w:r w:rsidRPr="00730DE4">
        <w:rPr>
          <w:lang w:val="en-US"/>
        </w:rPr>
        <w:t>during May, Domestic and Family Violence Prevention Month, employees were encouraged to engage with resources and access the following initiatives:</w:t>
      </w:r>
    </w:p>
    <w:p w14:paraId="2F7599D1" w14:textId="77777777" w:rsidR="00FA2FF9" w:rsidRPr="00730DE4" w:rsidRDefault="00FA2FF9" w:rsidP="00BC1313">
      <w:pPr>
        <w:pStyle w:val="ListBullet2"/>
        <w:rPr>
          <w:lang w:val="en-US"/>
        </w:rPr>
      </w:pPr>
      <w:r w:rsidRPr="00730DE4">
        <w:rPr>
          <w:lang w:val="en-US"/>
        </w:rPr>
        <w:t>a webinar delivered by Challenge DV unpacking the foundational response framework of Recognise, Respond, and Refer that will be made available to all employees</w:t>
      </w:r>
    </w:p>
    <w:p w14:paraId="4D9AA4E4" w14:textId="77777777" w:rsidR="00FA2FF9" w:rsidRPr="00730DE4" w:rsidRDefault="00FA2FF9" w:rsidP="00BC1313">
      <w:pPr>
        <w:pStyle w:val="ListBullet2"/>
        <w:rPr>
          <w:lang w:val="en-US"/>
        </w:rPr>
      </w:pPr>
      <w:r w:rsidRPr="00730DE4">
        <w:rPr>
          <w:lang w:val="en-US"/>
        </w:rPr>
        <w:t>messaging on LGBTQIA+ Domestic Violence Awareness Day</w:t>
      </w:r>
    </w:p>
    <w:p w14:paraId="40B4A0FC" w14:textId="77777777" w:rsidR="00FA2FF9" w:rsidRPr="00730DE4" w:rsidRDefault="00FA2FF9" w:rsidP="00BC1313">
      <w:pPr>
        <w:pStyle w:val="ListBullet2"/>
        <w:rPr>
          <w:lang w:val="en-US"/>
        </w:rPr>
      </w:pPr>
      <w:r w:rsidRPr="00730DE4">
        <w:rPr>
          <w:lang w:val="en-US"/>
        </w:rPr>
        <w:t>showcasing of the Queensland Government Multi-Agency Implementation Group’s series of videos which focus on men’s action towards violence prevention</w:t>
      </w:r>
    </w:p>
    <w:p w14:paraId="6C90BB6F" w14:textId="77777777" w:rsidR="00FA2FF9" w:rsidRPr="00730DE4" w:rsidRDefault="00FA2FF9" w:rsidP="00BC1313">
      <w:pPr>
        <w:pStyle w:val="ListBullet2"/>
        <w:rPr>
          <w:lang w:val="en-US"/>
        </w:rPr>
      </w:pPr>
      <w:r w:rsidRPr="00730DE4">
        <w:rPr>
          <w:lang w:val="en-US"/>
        </w:rPr>
        <w:t>attendance at the Light up the Night LGBTQ+ fundraising gala. This year marks the third year of the gala, and TMR has attended each year. The event raises funds and awareness to support LGBTQ+ victims and survivors of DFV.</w:t>
      </w:r>
    </w:p>
    <w:p w14:paraId="07739401" w14:textId="77777777" w:rsidR="00FA2FF9" w:rsidRPr="00730DE4" w:rsidRDefault="00FA2FF9" w:rsidP="00BC1313">
      <w:pPr>
        <w:rPr>
          <w:lang w:val="en-US"/>
        </w:rPr>
      </w:pPr>
      <w:r w:rsidRPr="00730DE4">
        <w:rPr>
          <w:lang w:val="en-US"/>
        </w:rPr>
        <w:t>TMR is committed to creating a culture and work environment that is safe, supportive, and, importantly, demonstrates zero tolerance for DFV. Support is promoted on the DFV intranet page, internal policies, and the Employee Assistance Program.</w:t>
      </w:r>
    </w:p>
    <w:p w14:paraId="78019572" w14:textId="77777777" w:rsidR="00FA2FF9" w:rsidRPr="00730DE4" w:rsidRDefault="00FA2FF9" w:rsidP="002B7001">
      <w:pPr>
        <w:pStyle w:val="Heading3"/>
        <w:rPr>
          <w:lang w:val="en-US"/>
        </w:rPr>
      </w:pPr>
      <w:bookmarkStart w:id="1220" w:name="_Toc180487628"/>
      <w:bookmarkStart w:id="1221" w:name="_Toc180490834"/>
      <w:bookmarkStart w:id="1222" w:name="_Toc180491867"/>
      <w:bookmarkStart w:id="1223" w:name="_Hlk163142046"/>
      <w:r w:rsidRPr="00730DE4">
        <w:rPr>
          <w:lang w:val="en-US"/>
        </w:rPr>
        <w:t>Cultural Heritage Cadetship Trial</w:t>
      </w:r>
      <w:bookmarkEnd w:id="1220"/>
      <w:bookmarkEnd w:id="1221"/>
      <w:bookmarkEnd w:id="1222"/>
    </w:p>
    <w:bookmarkEnd w:id="1223"/>
    <w:p w14:paraId="6FCF2142" w14:textId="77777777" w:rsidR="00FA2FF9" w:rsidRPr="00730DE4" w:rsidRDefault="00FA2FF9" w:rsidP="00BC1313">
      <w:pPr>
        <w:rPr>
          <w:lang w:val="en-US"/>
        </w:rPr>
      </w:pPr>
      <w:r w:rsidRPr="00730DE4">
        <w:rPr>
          <w:lang w:val="en-US"/>
        </w:rPr>
        <w:t>The South West District is trialling an identified Cultural Heritage Cadetship program.</w:t>
      </w:r>
    </w:p>
    <w:p w14:paraId="783BE213" w14:textId="77777777" w:rsidR="00FA2FF9" w:rsidRPr="00730DE4" w:rsidRDefault="00FA2FF9" w:rsidP="00BC1313">
      <w:pPr>
        <w:rPr>
          <w:lang w:val="en-US"/>
        </w:rPr>
      </w:pPr>
      <w:r w:rsidRPr="00730DE4">
        <w:rPr>
          <w:lang w:val="en-US"/>
        </w:rPr>
        <w:t>This pioneering program is intended for an Aboriginal or Torres Strait Islander tertiary student currently studying a degree in archaeology, anthropology, social science, law, Indigenous studies, or related discipline.</w:t>
      </w:r>
    </w:p>
    <w:p w14:paraId="2C5CF1E8" w14:textId="77777777" w:rsidR="00FA2FF9" w:rsidRPr="00730DE4" w:rsidRDefault="00FA2FF9" w:rsidP="00BC1313">
      <w:pPr>
        <w:rPr>
          <w:lang w:val="en-US"/>
        </w:rPr>
      </w:pPr>
      <w:r w:rsidRPr="00730DE4">
        <w:rPr>
          <w:lang w:val="en-US"/>
        </w:rPr>
        <w:t>Under this program, the selected student will have the chance to work part-time at the TMR Roma office, gaining professional experience while studying. A significant feature of the program is that TMR will cover tertiary fees and the successful applicant will be offered the opportunity to continue working for TMR at the completion of their program.</w:t>
      </w:r>
    </w:p>
    <w:p w14:paraId="04B926A1" w14:textId="77777777" w:rsidR="00FA2FF9" w:rsidRPr="00730DE4" w:rsidRDefault="00FA2FF9" w:rsidP="00BC1313">
      <w:pPr>
        <w:rPr>
          <w:lang w:val="en-US"/>
        </w:rPr>
      </w:pPr>
      <w:r w:rsidRPr="00730DE4">
        <w:rPr>
          <w:lang w:val="en-US"/>
        </w:rPr>
        <w:t>Being an identified role, the Cultural Heritage Cadetship will provide an additional career entry pathway for Aboriginal and Torres Strait Islander people in regional Queensland.</w:t>
      </w:r>
    </w:p>
    <w:p w14:paraId="4E0B9DB1" w14:textId="77777777" w:rsidR="00FA2FF9" w:rsidRPr="00730DE4" w:rsidRDefault="00FA2FF9" w:rsidP="00BC1313">
      <w:pPr>
        <w:rPr>
          <w:lang w:val="en-US"/>
        </w:rPr>
      </w:pPr>
      <w:r w:rsidRPr="00730DE4">
        <w:rPr>
          <w:lang w:val="en-US"/>
        </w:rPr>
        <w:t>If the trial is successful, TMR will consider rolling out the Cultural Heritage Cadetship program in more TMR Districts.</w:t>
      </w:r>
    </w:p>
    <w:p w14:paraId="2EAD79C6" w14:textId="77777777" w:rsidR="00FA2FF9" w:rsidRPr="00730DE4" w:rsidRDefault="00FA2FF9" w:rsidP="002B7001">
      <w:pPr>
        <w:pStyle w:val="Heading3"/>
        <w:rPr>
          <w:lang w:val="en-US"/>
        </w:rPr>
      </w:pPr>
      <w:bookmarkStart w:id="1224" w:name="_Toc180487629"/>
      <w:bookmarkStart w:id="1225" w:name="_Toc180490835"/>
      <w:bookmarkStart w:id="1226" w:name="_Toc180491868"/>
      <w:r w:rsidRPr="00730DE4">
        <w:rPr>
          <w:lang w:val="en-US"/>
        </w:rPr>
        <w:t>Women in Engineering Program</w:t>
      </w:r>
      <w:bookmarkEnd w:id="1224"/>
      <w:bookmarkEnd w:id="1225"/>
      <w:bookmarkEnd w:id="1226"/>
    </w:p>
    <w:p w14:paraId="50257F0A" w14:textId="77777777" w:rsidR="00FA2FF9" w:rsidRPr="00730DE4" w:rsidRDefault="00FA2FF9" w:rsidP="00BC1313">
      <w:pPr>
        <w:rPr>
          <w:lang w:val="en-US"/>
        </w:rPr>
      </w:pPr>
      <w:r w:rsidRPr="00730DE4">
        <w:rPr>
          <w:lang w:val="en-US"/>
        </w:rPr>
        <w:t>The Women in Engineering Program aims to attract, support, retain, and celebrate women in engineering by focusing on:</w:t>
      </w:r>
    </w:p>
    <w:p w14:paraId="498781DE" w14:textId="77777777" w:rsidR="00FA2FF9" w:rsidRPr="00730DE4" w:rsidRDefault="00FA2FF9" w:rsidP="00BC1313">
      <w:pPr>
        <w:pStyle w:val="ListBullet"/>
        <w:rPr>
          <w:lang w:val="en-US"/>
        </w:rPr>
      </w:pPr>
      <w:r w:rsidRPr="00730DE4">
        <w:rPr>
          <w:lang w:val="en-US"/>
        </w:rPr>
        <w:t>early awareness—providing an opportunity for primary and secondary school students to engage with science, technology, engineering, and mathematics (STEM) through practical activities</w:t>
      </w:r>
    </w:p>
    <w:p w14:paraId="6E8DF651" w14:textId="77777777" w:rsidR="00FA2FF9" w:rsidRPr="00730DE4" w:rsidRDefault="00FA2FF9" w:rsidP="00BC1313">
      <w:pPr>
        <w:pStyle w:val="ListBullet"/>
        <w:rPr>
          <w:lang w:val="en-US"/>
        </w:rPr>
      </w:pPr>
      <w:r w:rsidRPr="00730DE4">
        <w:rPr>
          <w:lang w:val="en-US"/>
        </w:rPr>
        <w:t xml:space="preserve">continued engagement—supporting female high school and university students to consider or continue studies in STEM </w:t>
      </w:r>
    </w:p>
    <w:p w14:paraId="572F6501" w14:textId="77777777" w:rsidR="00FA2FF9" w:rsidRPr="00730DE4" w:rsidRDefault="00FA2FF9" w:rsidP="00BC1313">
      <w:pPr>
        <w:pStyle w:val="ListBullet"/>
        <w:rPr>
          <w:lang w:val="en-US"/>
        </w:rPr>
      </w:pPr>
      <w:r w:rsidRPr="00730DE4">
        <w:rPr>
          <w:lang w:val="en-US"/>
        </w:rPr>
        <w:t>professional support and development—delivering workplace engagement and networking events to inspire, celebrate, and retain female engineers.</w:t>
      </w:r>
    </w:p>
    <w:p w14:paraId="5042C0A3" w14:textId="77777777" w:rsidR="00FA2FF9" w:rsidRPr="00730DE4" w:rsidRDefault="00FA2FF9" w:rsidP="00BC1313">
      <w:pPr>
        <w:rPr>
          <w:lang w:val="en-US"/>
        </w:rPr>
      </w:pPr>
      <w:r w:rsidRPr="00730DE4">
        <w:rPr>
          <w:lang w:val="en-US"/>
        </w:rPr>
        <w:t>TMR supported initiatives during 2023–24 included:</w:t>
      </w:r>
    </w:p>
    <w:p w14:paraId="2BE50EEC" w14:textId="77777777" w:rsidR="00FA2FF9" w:rsidRPr="00730DE4" w:rsidRDefault="00FA2FF9" w:rsidP="00BC1313">
      <w:pPr>
        <w:pStyle w:val="ListBullet"/>
        <w:rPr>
          <w:lang w:val="en-US"/>
        </w:rPr>
      </w:pPr>
      <w:r w:rsidRPr="00730DE4">
        <w:rPr>
          <w:lang w:val="en-US"/>
        </w:rPr>
        <w:t>sponsored the Engineering Link Group—441 high school students, of which 51 per cent were female, participated in workshops and competitions</w:t>
      </w:r>
    </w:p>
    <w:p w14:paraId="0D7A482F" w14:textId="77777777" w:rsidR="00FA2FF9" w:rsidRPr="00730DE4" w:rsidRDefault="00FA2FF9" w:rsidP="00BC1313">
      <w:pPr>
        <w:pStyle w:val="ListBullet"/>
        <w:rPr>
          <w:lang w:val="en-US"/>
        </w:rPr>
      </w:pPr>
      <w:r w:rsidRPr="00730DE4">
        <w:rPr>
          <w:lang w:val="en-US"/>
        </w:rPr>
        <w:t>awarded $24,000 in bursaries to six high-performing women studying Engineering, delivered in partnership with QUT and the National Council of Women of Queensland</w:t>
      </w:r>
    </w:p>
    <w:p w14:paraId="272FDB63" w14:textId="77777777" w:rsidR="00FA2FF9" w:rsidRPr="00730DE4" w:rsidRDefault="00FA2FF9" w:rsidP="00BC1313">
      <w:pPr>
        <w:pStyle w:val="ListBullet"/>
        <w:rPr>
          <w:lang w:val="en-US"/>
        </w:rPr>
      </w:pPr>
      <w:r w:rsidRPr="00730DE4">
        <w:rPr>
          <w:lang w:val="en-US"/>
        </w:rPr>
        <w:t>sponsored a table at Engineers Australia International Women in Engineering lunch</w:t>
      </w:r>
    </w:p>
    <w:p w14:paraId="72003429" w14:textId="77777777" w:rsidR="00FA2FF9" w:rsidRPr="00730DE4" w:rsidRDefault="00FA2FF9" w:rsidP="00BC1313">
      <w:pPr>
        <w:pStyle w:val="ListBullet"/>
        <w:rPr>
          <w:lang w:val="en-US"/>
        </w:rPr>
      </w:pPr>
      <w:r w:rsidRPr="00730DE4">
        <w:rPr>
          <w:lang w:val="en-US"/>
        </w:rPr>
        <w:t>supported TMR graduates to participate in an all-female build for the Constructionarium program.</w:t>
      </w:r>
    </w:p>
    <w:p w14:paraId="0CDE08E0" w14:textId="77777777" w:rsidR="00FA2FF9" w:rsidRPr="00730DE4" w:rsidRDefault="00FA2FF9" w:rsidP="002B7001">
      <w:pPr>
        <w:pStyle w:val="Heading3"/>
        <w:rPr>
          <w:lang w:val="en-US"/>
        </w:rPr>
      </w:pPr>
      <w:bookmarkStart w:id="1227" w:name="_Toc180487630"/>
      <w:bookmarkStart w:id="1228" w:name="_Toc180490836"/>
      <w:bookmarkStart w:id="1229" w:name="_Toc180491869"/>
      <w:r w:rsidRPr="00730DE4">
        <w:rPr>
          <w:lang w:val="en-US"/>
        </w:rPr>
        <w:t>RoadTek Women in Construction</w:t>
      </w:r>
      <w:bookmarkEnd w:id="1227"/>
      <w:bookmarkEnd w:id="1228"/>
      <w:bookmarkEnd w:id="1229"/>
    </w:p>
    <w:p w14:paraId="3D073624" w14:textId="77777777" w:rsidR="00FA2FF9" w:rsidRPr="00730DE4" w:rsidRDefault="00FA2FF9" w:rsidP="00BC1313">
      <w:pPr>
        <w:rPr>
          <w:lang w:val="en-US"/>
        </w:rPr>
      </w:pPr>
      <w:r w:rsidRPr="00730DE4">
        <w:rPr>
          <w:lang w:val="en-US"/>
        </w:rPr>
        <w:t>RoadTek welcomed its ninth Women in Construction program cohort in March 2024. The program provides women across Queensland with an entryway to the construction industry. At program launch, 15 women joined the program, with 15 of those graduating and still employed with RoadTek in June 2024.</w:t>
      </w:r>
    </w:p>
    <w:p w14:paraId="58B4E8D4" w14:textId="77777777" w:rsidR="00FA2FF9" w:rsidRPr="00730DE4" w:rsidRDefault="00FA2FF9" w:rsidP="00BC1313">
      <w:pPr>
        <w:rPr>
          <w:lang w:val="en-US"/>
        </w:rPr>
      </w:pPr>
      <w:r w:rsidRPr="00730DE4">
        <w:rPr>
          <w:lang w:val="en-US"/>
        </w:rPr>
        <w:t>Participants undertook theoretical and practical training to gain certification in five units of a Certificate 3 in Civil Construction (Road Construction and Maintenance).</w:t>
      </w:r>
    </w:p>
    <w:p w14:paraId="2F55007B" w14:textId="77777777" w:rsidR="00FA2FF9" w:rsidRPr="00730DE4" w:rsidRDefault="00FA2FF9" w:rsidP="00BC1313">
      <w:pPr>
        <w:rPr>
          <w:lang w:val="en-US"/>
        </w:rPr>
      </w:pPr>
      <w:r w:rsidRPr="00730DE4">
        <w:rPr>
          <w:lang w:val="en-US"/>
        </w:rPr>
        <w:t>This unique blend of classroom and practical training ensures that women have basic safety and underpinning civil construction knowledge to achieve a long-term career in the civil construction industry.</w:t>
      </w:r>
    </w:p>
    <w:p w14:paraId="6B004500" w14:textId="77777777" w:rsidR="00FA2FF9" w:rsidRPr="00730DE4" w:rsidRDefault="00FA2FF9" w:rsidP="00BC1313">
      <w:pPr>
        <w:rPr>
          <w:lang w:val="en-US"/>
        </w:rPr>
      </w:pPr>
      <w:r w:rsidRPr="00730DE4">
        <w:rPr>
          <w:lang w:val="en-US"/>
        </w:rPr>
        <w:t xml:space="preserve">Since the program started 119 women have signed up and 98 successfully completed the program. </w:t>
      </w:r>
    </w:p>
    <w:p w14:paraId="0463F46F" w14:textId="77777777" w:rsidR="00FA2FF9" w:rsidRPr="00730DE4" w:rsidRDefault="00FA2FF9" w:rsidP="005C7887">
      <w:r w:rsidRPr="00730DE4">
        <w:rPr>
          <w:lang w:val="en-US"/>
        </w:rPr>
        <w:t>As a result of its success, RoadTek has seen an increase in the number of female construction workers, with 90 per cent of past participants choosing to stay in the civil construction industry.</w:t>
      </w:r>
    </w:p>
    <w:p w14:paraId="6981B156" w14:textId="77777777" w:rsidR="00094BA5" w:rsidRPr="00730DE4" w:rsidRDefault="00094BA5">
      <w:pPr>
        <w:suppressAutoHyphens w:val="0"/>
        <w:spacing w:before="0" w:line="259" w:lineRule="auto"/>
        <w:rPr>
          <w:rFonts w:eastAsiaTheme="majorEastAsia" w:cstheme="majorBidi"/>
          <w:color w:val="080C0F" w:themeColor="text1"/>
          <w:sz w:val="60"/>
          <w:szCs w:val="32"/>
        </w:rPr>
      </w:pPr>
      <w:r w:rsidRPr="00730DE4">
        <w:br w:type="page"/>
      </w:r>
    </w:p>
    <w:p w14:paraId="09A4FB4D" w14:textId="532264CB" w:rsidR="00FA2FF9" w:rsidRPr="00730DE4" w:rsidRDefault="00FA2FF9" w:rsidP="002B7001">
      <w:pPr>
        <w:pStyle w:val="Heading2"/>
      </w:pPr>
      <w:bookmarkStart w:id="1230" w:name="_Toc180490837"/>
      <w:bookmarkStart w:id="1231" w:name="_Toc180491870"/>
      <w:r w:rsidRPr="00730DE4">
        <w:t>Attracting talented people</w:t>
      </w:r>
      <w:bookmarkEnd w:id="1230"/>
      <w:bookmarkEnd w:id="1231"/>
    </w:p>
    <w:p w14:paraId="19497C90" w14:textId="77777777" w:rsidR="00FA2FF9" w:rsidRPr="00730DE4" w:rsidRDefault="00FA2FF9" w:rsidP="002B7001">
      <w:pPr>
        <w:pStyle w:val="Heading3"/>
        <w:rPr>
          <w:lang w:val="en-US"/>
        </w:rPr>
      </w:pPr>
      <w:bookmarkStart w:id="1232" w:name="_Toc180487632"/>
      <w:bookmarkStart w:id="1233" w:name="_Toc180490838"/>
      <w:bookmarkStart w:id="1234" w:name="_Toc180491871"/>
      <w:r w:rsidRPr="00730DE4">
        <w:rPr>
          <w:lang w:val="en-US"/>
        </w:rPr>
        <w:t>Learning strategy</w:t>
      </w:r>
      <w:bookmarkEnd w:id="1232"/>
      <w:bookmarkEnd w:id="1233"/>
      <w:bookmarkEnd w:id="1234"/>
    </w:p>
    <w:p w14:paraId="333C4DA5" w14:textId="77777777" w:rsidR="00FA2FF9" w:rsidRPr="00730DE4" w:rsidRDefault="00FA2FF9" w:rsidP="00416976">
      <w:pPr>
        <w:rPr>
          <w:lang w:val="en-US"/>
        </w:rPr>
      </w:pPr>
      <w:r w:rsidRPr="00730DE4">
        <w:rPr>
          <w:lang w:val="en-US"/>
        </w:rPr>
        <w:t xml:space="preserve">The </w:t>
      </w:r>
      <w:r w:rsidRPr="00730DE4">
        <w:rPr>
          <w:rStyle w:val="Emphasis"/>
        </w:rPr>
        <w:t>TMR Learning Strategy 2021–24</w:t>
      </w:r>
      <w:r w:rsidRPr="00730DE4">
        <w:t xml:space="preserve"> underpins the continuous growth of TMR’s learning culture through targeted initiatives supporting employees to drive their development, managers to develop teams for performance excellence, and capability specialists to design quality and accessible learning to meet the needs of TMR's people.</w:t>
      </w:r>
    </w:p>
    <w:p w14:paraId="2B7B88A9" w14:textId="77777777" w:rsidR="00FA2FF9" w:rsidRPr="00730DE4" w:rsidRDefault="00FA2FF9" w:rsidP="00416976">
      <w:pPr>
        <w:rPr>
          <w:lang w:val="en-US"/>
        </w:rPr>
      </w:pPr>
      <w:r w:rsidRPr="00730DE4">
        <w:rPr>
          <w:lang w:val="en-US"/>
        </w:rPr>
        <w:t>Since its inception, the strategy has changed the learning landscape in TMR, delivering several key resources and tools including:</w:t>
      </w:r>
    </w:p>
    <w:p w14:paraId="3D368D71" w14:textId="77777777" w:rsidR="00FA2FF9" w:rsidRPr="00730DE4" w:rsidRDefault="00FA2FF9" w:rsidP="00416976">
      <w:pPr>
        <w:pStyle w:val="ListBullet"/>
        <w:rPr>
          <w:lang w:val="en-US"/>
        </w:rPr>
      </w:pPr>
      <w:r w:rsidRPr="00730DE4">
        <w:rPr>
          <w:lang w:val="en-US"/>
        </w:rPr>
        <w:t>LinkedIn Learning</w:t>
      </w:r>
    </w:p>
    <w:p w14:paraId="70DCFDEA" w14:textId="77777777" w:rsidR="00FA2FF9" w:rsidRPr="00730DE4" w:rsidRDefault="00FA2FF9" w:rsidP="00416976">
      <w:pPr>
        <w:pStyle w:val="ListBullet"/>
        <w:rPr>
          <w:lang w:val="en-US"/>
        </w:rPr>
      </w:pPr>
      <w:r w:rsidRPr="00730DE4">
        <w:rPr>
          <w:lang w:val="en-US"/>
        </w:rPr>
        <w:t xml:space="preserve">TMR Learning Personas </w:t>
      </w:r>
    </w:p>
    <w:p w14:paraId="6906005A" w14:textId="77777777" w:rsidR="00FA2FF9" w:rsidRPr="00730DE4" w:rsidRDefault="00FA2FF9" w:rsidP="00416976">
      <w:pPr>
        <w:pStyle w:val="ListBullet"/>
        <w:rPr>
          <w:lang w:val="en-US"/>
        </w:rPr>
      </w:pPr>
      <w:r w:rsidRPr="00730DE4">
        <w:rPr>
          <w:lang w:val="en-US"/>
        </w:rPr>
        <w:t>Learning Architecture Guides</w:t>
      </w:r>
    </w:p>
    <w:p w14:paraId="264870C3" w14:textId="77777777" w:rsidR="00FA2FF9" w:rsidRPr="00730DE4" w:rsidRDefault="00FA2FF9" w:rsidP="00416976">
      <w:pPr>
        <w:pStyle w:val="ListBullet"/>
        <w:rPr>
          <w:lang w:val="en-US"/>
        </w:rPr>
      </w:pPr>
      <w:r w:rsidRPr="00730DE4">
        <w:rPr>
          <w:lang w:val="en-US"/>
        </w:rPr>
        <w:t>TMR Learning Calendar</w:t>
      </w:r>
    </w:p>
    <w:p w14:paraId="441AAA2D" w14:textId="77777777" w:rsidR="00FA2FF9" w:rsidRPr="00730DE4" w:rsidRDefault="00FA2FF9" w:rsidP="00416976">
      <w:pPr>
        <w:pStyle w:val="ListBullet"/>
        <w:rPr>
          <w:lang w:val="en-US"/>
        </w:rPr>
      </w:pPr>
      <w:r w:rsidRPr="00730DE4">
        <w:rPr>
          <w:lang w:val="en-US"/>
        </w:rPr>
        <w:t>TMR Development Library.</w:t>
      </w:r>
    </w:p>
    <w:p w14:paraId="4DFF692C" w14:textId="77777777" w:rsidR="00FA2FF9" w:rsidRPr="00730DE4" w:rsidRDefault="00FA2FF9" w:rsidP="00416976">
      <w:pPr>
        <w:rPr>
          <w:lang w:val="en-US"/>
        </w:rPr>
      </w:pPr>
      <w:r w:rsidRPr="00730DE4">
        <w:rPr>
          <w:lang w:val="en-US"/>
        </w:rPr>
        <w:t>The Development Library is a tailored development offering with curated resources designed to grow capability across TMR’s six priority capability areas:</w:t>
      </w:r>
    </w:p>
    <w:p w14:paraId="5A729B3E" w14:textId="77777777" w:rsidR="00FA2FF9" w:rsidRPr="00730DE4" w:rsidRDefault="00FA2FF9" w:rsidP="00416976">
      <w:pPr>
        <w:pStyle w:val="ListBullet"/>
        <w:rPr>
          <w:lang w:val="en-US"/>
        </w:rPr>
      </w:pPr>
      <w:r w:rsidRPr="00730DE4">
        <w:rPr>
          <w:lang w:val="en-US"/>
        </w:rPr>
        <w:t>digital and data</w:t>
      </w:r>
    </w:p>
    <w:p w14:paraId="79BA86B1" w14:textId="77777777" w:rsidR="00FA2FF9" w:rsidRPr="00730DE4" w:rsidRDefault="00FA2FF9" w:rsidP="00416976">
      <w:pPr>
        <w:pStyle w:val="ListBullet"/>
        <w:rPr>
          <w:lang w:val="en-US"/>
        </w:rPr>
      </w:pPr>
      <w:r w:rsidRPr="00730DE4">
        <w:rPr>
          <w:lang w:val="en-US"/>
        </w:rPr>
        <w:t>portfolio, program, and project management</w:t>
      </w:r>
    </w:p>
    <w:p w14:paraId="03CE2718" w14:textId="77777777" w:rsidR="00FA2FF9" w:rsidRPr="00730DE4" w:rsidRDefault="00FA2FF9" w:rsidP="00416976">
      <w:pPr>
        <w:pStyle w:val="ListBullet"/>
        <w:rPr>
          <w:lang w:val="en-US"/>
        </w:rPr>
      </w:pPr>
      <w:r w:rsidRPr="00730DE4">
        <w:rPr>
          <w:lang w:val="en-US"/>
        </w:rPr>
        <w:t>safety and wellbeing</w:t>
      </w:r>
    </w:p>
    <w:p w14:paraId="16BE81B0" w14:textId="77777777" w:rsidR="00FA2FF9" w:rsidRPr="00730DE4" w:rsidRDefault="00FA2FF9" w:rsidP="00416976">
      <w:pPr>
        <w:pStyle w:val="ListBullet"/>
        <w:rPr>
          <w:lang w:val="en-US"/>
        </w:rPr>
      </w:pPr>
      <w:r w:rsidRPr="00730DE4">
        <w:rPr>
          <w:lang w:val="en-US"/>
        </w:rPr>
        <w:t>leadership and management</w:t>
      </w:r>
    </w:p>
    <w:p w14:paraId="2581F8BB" w14:textId="77777777" w:rsidR="00FA2FF9" w:rsidRPr="00730DE4" w:rsidRDefault="00FA2FF9" w:rsidP="00416976">
      <w:pPr>
        <w:pStyle w:val="ListBullet"/>
        <w:rPr>
          <w:lang w:val="en-US"/>
        </w:rPr>
      </w:pPr>
      <w:r w:rsidRPr="00730DE4">
        <w:rPr>
          <w:lang w:val="en-US"/>
        </w:rPr>
        <w:t>general business skills</w:t>
      </w:r>
    </w:p>
    <w:p w14:paraId="062FF5D4" w14:textId="77777777" w:rsidR="00FA2FF9" w:rsidRPr="00730DE4" w:rsidRDefault="00FA2FF9" w:rsidP="00416976">
      <w:pPr>
        <w:pStyle w:val="ListBullet"/>
        <w:rPr>
          <w:lang w:val="en-US"/>
        </w:rPr>
      </w:pPr>
      <w:r w:rsidRPr="00730DE4">
        <w:rPr>
          <w:lang w:val="en-US"/>
        </w:rPr>
        <w:t>occupational technical competencies.</w:t>
      </w:r>
    </w:p>
    <w:p w14:paraId="78F67BF6" w14:textId="77777777" w:rsidR="00FA2FF9" w:rsidRPr="00730DE4" w:rsidRDefault="00FA2FF9" w:rsidP="00416976">
      <w:pPr>
        <w:rPr>
          <w:lang w:val="en-US"/>
        </w:rPr>
      </w:pPr>
      <w:r w:rsidRPr="00730DE4">
        <w:rPr>
          <w:lang w:val="en-US"/>
        </w:rPr>
        <w:t>In September 2023, TMR held the third annual TMR Learning Network Forum as part of International Adult Learners’ Week. The theme was ‘it's never too late to learn' and welcomed guest speakers from James Cook University, Australia Public Sector Training, and KEASE International who shared their valuable insights on learning agility, the digital future, and deliberate learning.</w:t>
      </w:r>
    </w:p>
    <w:p w14:paraId="22FE842E" w14:textId="77777777" w:rsidR="00FA2FF9" w:rsidRPr="00730DE4" w:rsidRDefault="00FA2FF9" w:rsidP="002B7001">
      <w:pPr>
        <w:pStyle w:val="Heading4"/>
        <w:rPr>
          <w:lang w:val="en-US"/>
        </w:rPr>
      </w:pPr>
      <w:bookmarkStart w:id="1235" w:name="_Toc180487633"/>
      <w:bookmarkStart w:id="1236" w:name="_Toc180490839"/>
      <w:bookmarkStart w:id="1237" w:name="_Toc180491872"/>
      <w:r w:rsidRPr="00730DE4">
        <w:rPr>
          <w:lang w:val="en-US"/>
        </w:rPr>
        <w:t>LinkedIn Learning</w:t>
      </w:r>
      <w:bookmarkEnd w:id="1235"/>
      <w:bookmarkEnd w:id="1236"/>
      <w:bookmarkEnd w:id="1237"/>
    </w:p>
    <w:p w14:paraId="19219D46" w14:textId="77777777" w:rsidR="00FA2FF9" w:rsidRPr="00730DE4" w:rsidRDefault="00FA2FF9" w:rsidP="00416976">
      <w:pPr>
        <w:rPr>
          <w:lang w:val="en-US"/>
        </w:rPr>
      </w:pPr>
      <w:r w:rsidRPr="00730DE4">
        <w:rPr>
          <w:lang w:val="en-US"/>
        </w:rPr>
        <w:t>Since its launch in February 2021, LinkedIn Learning has been promoted in regular communication activities and has 438 activated accounts as of 30 June 2024.</w:t>
      </w:r>
    </w:p>
    <w:p w14:paraId="399B41A0" w14:textId="77777777" w:rsidR="00FA2FF9" w:rsidRPr="00730DE4" w:rsidRDefault="00FA2FF9" w:rsidP="00416976">
      <w:pPr>
        <w:rPr>
          <w:lang w:val="en-US"/>
        </w:rPr>
      </w:pPr>
      <w:r w:rsidRPr="00730DE4">
        <w:rPr>
          <w:lang w:val="en-US"/>
        </w:rPr>
        <w:t xml:space="preserve">Recent LinkedIn Learning promotions include new AI-powered coach and Skills Evaluation functions for targeted development and growth, personalising the learning experience. </w:t>
      </w:r>
    </w:p>
    <w:p w14:paraId="14315DA3" w14:textId="77777777" w:rsidR="00FA2FF9" w:rsidRPr="00730DE4" w:rsidRDefault="00FA2FF9" w:rsidP="00416976">
      <w:pPr>
        <w:rPr>
          <w:lang w:val="en-US"/>
        </w:rPr>
      </w:pPr>
      <w:r w:rsidRPr="00730DE4">
        <w:rPr>
          <w:lang w:val="en-US"/>
        </w:rPr>
        <w:t>LinkedIn Learning corporate membership has enabled approximately 13 per cent of active LinkedIn Learners to engage with leadership content during the last year—352 unique learners upskilled in areas including interpersonal, team, project, executive leadership, and more. This was an increase of approximately 24.8 per cent compared to the previous year.</w:t>
      </w:r>
    </w:p>
    <w:p w14:paraId="44E1E6C5" w14:textId="77777777" w:rsidR="00FA2FF9" w:rsidRPr="00730DE4" w:rsidRDefault="00FA2FF9" w:rsidP="002B7001">
      <w:pPr>
        <w:pStyle w:val="Heading3"/>
        <w:rPr>
          <w:lang w:val="en-US"/>
        </w:rPr>
      </w:pPr>
      <w:bookmarkStart w:id="1238" w:name="_Toc180487634"/>
      <w:bookmarkStart w:id="1239" w:name="_Toc180490840"/>
      <w:bookmarkStart w:id="1240" w:name="_Toc180491873"/>
      <w:r w:rsidRPr="00730DE4">
        <w:rPr>
          <w:lang w:val="en-US"/>
        </w:rPr>
        <w:t>Leadership development</w:t>
      </w:r>
      <w:bookmarkEnd w:id="1238"/>
      <w:bookmarkEnd w:id="1239"/>
      <w:bookmarkEnd w:id="1240"/>
    </w:p>
    <w:p w14:paraId="295EE205" w14:textId="77777777" w:rsidR="00FA2FF9" w:rsidRPr="00730DE4" w:rsidRDefault="00FA2FF9" w:rsidP="00416976">
      <w:pPr>
        <w:rPr>
          <w:lang w:val="en-US"/>
        </w:rPr>
      </w:pPr>
      <w:r w:rsidRPr="00730DE4">
        <w:rPr>
          <w:lang w:val="en-US"/>
        </w:rPr>
        <w:t>TMR leaders are pivotal in delivering better services and outcomes for TMR and the people of Queensland. Developing contemporary leaders remains one of TMR's strategic workforce priorities.</w:t>
      </w:r>
    </w:p>
    <w:p w14:paraId="3811941D" w14:textId="77777777" w:rsidR="00FA2FF9" w:rsidRPr="00730DE4" w:rsidRDefault="00FA2FF9" w:rsidP="00416976">
      <w:pPr>
        <w:rPr>
          <w:lang w:val="en-US"/>
        </w:rPr>
      </w:pPr>
      <w:r w:rsidRPr="00730DE4">
        <w:rPr>
          <w:lang w:val="en-US"/>
        </w:rPr>
        <w:t>In response, TMR has continued the implementation of a bespoke Leadership Development Roadmap to support leaders at all levels with a range of learning opportunities to give leaders the confidence and mindsets to lead others into the future, ensure a pipeline of ready leaders, foster an inclusive and respectful workplace, and build resilience and adaptability to navigate change and disruption.</w:t>
      </w:r>
    </w:p>
    <w:p w14:paraId="156BDC27" w14:textId="77777777" w:rsidR="00FA2FF9" w:rsidRPr="00730DE4" w:rsidRDefault="00FA2FF9" w:rsidP="00416976">
      <w:pPr>
        <w:rPr>
          <w:lang w:val="en-US"/>
        </w:rPr>
      </w:pPr>
      <w:r w:rsidRPr="00730DE4">
        <w:rPr>
          <w:lang w:val="en-US"/>
        </w:rPr>
        <w:t>TMR rolled out a suite of leadership development offerings, including:</w:t>
      </w:r>
    </w:p>
    <w:p w14:paraId="65E97FCF" w14:textId="77777777" w:rsidR="00FA2FF9" w:rsidRPr="00730DE4" w:rsidRDefault="00FA2FF9" w:rsidP="00416976">
      <w:pPr>
        <w:pStyle w:val="ListBullet"/>
        <w:rPr>
          <w:lang w:val="en-US"/>
        </w:rPr>
      </w:pPr>
      <w:r w:rsidRPr="00730DE4">
        <w:rPr>
          <w:lang w:val="en-US"/>
        </w:rPr>
        <w:t>75 participants in Good-decision training delivered by the Queensland Ombudsman</w:t>
      </w:r>
    </w:p>
    <w:p w14:paraId="49D91884" w14:textId="77777777" w:rsidR="00FA2FF9" w:rsidRPr="00730DE4" w:rsidRDefault="00FA2FF9" w:rsidP="00416976">
      <w:pPr>
        <w:pStyle w:val="ListBullet"/>
        <w:rPr>
          <w:lang w:val="en-US"/>
        </w:rPr>
      </w:pPr>
      <w:r w:rsidRPr="00730DE4">
        <w:rPr>
          <w:lang w:val="en-US"/>
        </w:rPr>
        <w:t>21 participants in Leadership Ladder, TMR’s Women in Leadership program</w:t>
      </w:r>
    </w:p>
    <w:p w14:paraId="288E6482" w14:textId="77777777" w:rsidR="00FA2FF9" w:rsidRPr="00730DE4" w:rsidRDefault="00FA2FF9" w:rsidP="00416976">
      <w:pPr>
        <w:pStyle w:val="ListBullet"/>
        <w:rPr>
          <w:lang w:val="en-US"/>
        </w:rPr>
      </w:pPr>
      <w:r w:rsidRPr="00730DE4">
        <w:rPr>
          <w:lang w:val="en-US"/>
        </w:rPr>
        <w:t xml:space="preserve">99 participants in Performance Conversations and 44 participants in People Matters delivered by the Institute of Mangers and Leaders </w:t>
      </w:r>
    </w:p>
    <w:p w14:paraId="79B29FEC" w14:textId="77777777" w:rsidR="00FA2FF9" w:rsidRPr="00730DE4" w:rsidRDefault="00FA2FF9" w:rsidP="00416976">
      <w:pPr>
        <w:pStyle w:val="ListBullet"/>
        <w:rPr>
          <w:lang w:val="en-US"/>
        </w:rPr>
      </w:pPr>
      <w:r w:rsidRPr="00730DE4">
        <w:rPr>
          <w:lang w:val="en-US"/>
        </w:rPr>
        <w:t>15 participants in the Executive Coaching Program by Ezra</w:t>
      </w:r>
    </w:p>
    <w:p w14:paraId="54AE12A0" w14:textId="77777777" w:rsidR="00FA2FF9" w:rsidRPr="00730DE4" w:rsidRDefault="00FA2FF9" w:rsidP="00416976">
      <w:pPr>
        <w:pStyle w:val="ListBullet"/>
        <w:rPr>
          <w:lang w:val="en-US"/>
        </w:rPr>
      </w:pPr>
      <w:r w:rsidRPr="00730DE4">
        <w:rPr>
          <w:lang w:val="en-US"/>
        </w:rPr>
        <w:t>66 participants in Cultural Awareness Program—Minjerribah, Moorgumpin Elders in Council Aboriginal Corporation</w:t>
      </w:r>
    </w:p>
    <w:p w14:paraId="350D6190" w14:textId="77777777" w:rsidR="00FA2FF9" w:rsidRPr="00730DE4" w:rsidRDefault="00FA2FF9" w:rsidP="00416976">
      <w:pPr>
        <w:pStyle w:val="ListBullet"/>
        <w:rPr>
          <w:lang w:val="en-US"/>
        </w:rPr>
      </w:pPr>
      <w:r w:rsidRPr="00730DE4">
        <w:rPr>
          <w:lang w:val="en-US"/>
        </w:rPr>
        <w:t xml:space="preserve">282 participants in the TMR Positive Performance Management Program </w:t>
      </w:r>
    </w:p>
    <w:p w14:paraId="5D649831" w14:textId="77777777" w:rsidR="00FA2FF9" w:rsidRPr="00730DE4" w:rsidRDefault="00FA2FF9" w:rsidP="002D2489">
      <w:pPr>
        <w:pStyle w:val="ListBullet"/>
      </w:pPr>
      <w:r w:rsidRPr="00730DE4">
        <w:t>826 participants in the TMR Management Fundamental series, and 3602 unique viewers of modules covering, but not limited to, positive performance management, risk, procurement, wellbeing and psychosocial health, safety, change management, digital capability, recruitment, and diversity</w:t>
      </w:r>
    </w:p>
    <w:p w14:paraId="772F898E" w14:textId="77777777" w:rsidR="00FA2FF9" w:rsidRPr="00730DE4" w:rsidRDefault="00FA2FF9" w:rsidP="002D2489">
      <w:pPr>
        <w:pStyle w:val="ListBullet"/>
        <w:rPr>
          <w:lang w:val="en-US"/>
        </w:rPr>
      </w:pPr>
      <w:r w:rsidRPr="00730DE4">
        <w:rPr>
          <w:lang w:val="en-US"/>
        </w:rPr>
        <w:t>198 employees participated in TMR's Digital leadership pathway</w:t>
      </w:r>
    </w:p>
    <w:p w14:paraId="75BD1327" w14:textId="77777777" w:rsidR="00FA2FF9" w:rsidRPr="00730DE4" w:rsidRDefault="00FA2FF9" w:rsidP="00416976">
      <w:pPr>
        <w:pStyle w:val="ListBullet"/>
        <w:rPr>
          <w:lang w:val="en-US"/>
        </w:rPr>
      </w:pPr>
      <w:r w:rsidRPr="00730DE4">
        <w:rPr>
          <w:lang w:val="en-US"/>
        </w:rPr>
        <w:t>42 and 41 matched pairs, respectively, in the OneTMR Mentoring Program and Women in Leadership Mentoring Program, respectively</w:t>
      </w:r>
    </w:p>
    <w:p w14:paraId="7194C80F" w14:textId="77777777" w:rsidR="00FA2FF9" w:rsidRPr="00730DE4" w:rsidRDefault="00FA2FF9" w:rsidP="00416976">
      <w:pPr>
        <w:pStyle w:val="ListBullet"/>
        <w:rPr>
          <w:lang w:val="en-US"/>
        </w:rPr>
      </w:pPr>
      <w:r w:rsidRPr="00730DE4">
        <w:rPr>
          <w:lang w:val="en-US"/>
        </w:rPr>
        <w:t>498 participants in Recruitment and Selection capability uplift programs, delivered virtually, face-to-face, and on-demand via TMR’s newly developed Recruitment and Selection Essentials online module</w:t>
      </w:r>
    </w:p>
    <w:p w14:paraId="73CBE241" w14:textId="77777777" w:rsidR="00FA2FF9" w:rsidRPr="00730DE4" w:rsidRDefault="00FA2FF9" w:rsidP="00416976">
      <w:pPr>
        <w:pStyle w:val="ListBullet"/>
        <w:rPr>
          <w:lang w:val="en-US"/>
        </w:rPr>
      </w:pPr>
      <w:r w:rsidRPr="00730DE4">
        <w:rPr>
          <w:lang w:val="en-US"/>
        </w:rPr>
        <w:t>724 participants in Australian and New Zealand School of Government's (ANZSOG) masterclasses</w:t>
      </w:r>
    </w:p>
    <w:p w14:paraId="6FB3CCB9" w14:textId="77777777" w:rsidR="00FA2FF9" w:rsidRPr="00730DE4" w:rsidRDefault="00FA2FF9" w:rsidP="00416976">
      <w:pPr>
        <w:pStyle w:val="ListBullet"/>
        <w:rPr>
          <w:lang w:val="en-US"/>
        </w:rPr>
      </w:pPr>
      <w:r w:rsidRPr="00730DE4">
        <w:rPr>
          <w:lang w:val="en-US"/>
        </w:rPr>
        <w:t>three participants for the ANZSOG Executive Master of Public Administration</w:t>
      </w:r>
    </w:p>
    <w:p w14:paraId="5FC1D1D0" w14:textId="77777777" w:rsidR="00FA2FF9" w:rsidRPr="00730DE4" w:rsidRDefault="00FA2FF9" w:rsidP="00416976">
      <w:pPr>
        <w:pStyle w:val="ListBullet"/>
        <w:rPr>
          <w:lang w:val="en-US"/>
        </w:rPr>
      </w:pPr>
      <w:r w:rsidRPr="00730DE4">
        <w:rPr>
          <w:lang w:val="en-US"/>
        </w:rPr>
        <w:t>one scholarship in the ANZSOG Towards Strategic Leadership</w:t>
      </w:r>
    </w:p>
    <w:p w14:paraId="299AF51A" w14:textId="77777777" w:rsidR="00FA2FF9" w:rsidRPr="00730DE4" w:rsidRDefault="00FA2FF9" w:rsidP="00416976">
      <w:pPr>
        <w:pStyle w:val="ListBullet"/>
        <w:rPr>
          <w:lang w:val="en-US"/>
        </w:rPr>
      </w:pPr>
      <w:r w:rsidRPr="00730DE4">
        <w:rPr>
          <w:lang w:val="en-US"/>
        </w:rPr>
        <w:t>three participants in the QUT Public Sector Management Program</w:t>
      </w:r>
    </w:p>
    <w:p w14:paraId="38B9A66F" w14:textId="77777777" w:rsidR="00FA2FF9" w:rsidRPr="00730DE4" w:rsidRDefault="00FA2FF9" w:rsidP="00416976">
      <w:pPr>
        <w:pStyle w:val="ListBullet"/>
        <w:rPr>
          <w:lang w:val="en-US"/>
        </w:rPr>
      </w:pPr>
      <w:r w:rsidRPr="00730DE4">
        <w:rPr>
          <w:lang w:val="en-US"/>
        </w:rPr>
        <w:t>17 participants in the QUT online Everyday Conversations for Healthy Minds and for Better Conversations programs.</w:t>
      </w:r>
    </w:p>
    <w:p w14:paraId="4532CECF" w14:textId="77777777" w:rsidR="00FA2FF9" w:rsidRPr="00730DE4" w:rsidRDefault="00FA2FF9" w:rsidP="00416976">
      <w:pPr>
        <w:rPr>
          <w:lang w:val="en-US"/>
        </w:rPr>
      </w:pPr>
      <w:r w:rsidRPr="00730DE4">
        <w:rPr>
          <w:lang w:val="en-US"/>
        </w:rPr>
        <w:t>Formal training, coaching, mentoring, job shadowing, networking, individual research, on-the-job learning opportunities, and relieving in senior roles was also offered to eligible employees.</w:t>
      </w:r>
    </w:p>
    <w:p w14:paraId="4934B6E9" w14:textId="77777777" w:rsidR="00FA2FF9" w:rsidRPr="00730DE4" w:rsidRDefault="00FA2FF9" w:rsidP="002B7001">
      <w:pPr>
        <w:pStyle w:val="Heading3"/>
        <w:rPr>
          <w:lang w:val="en-US"/>
        </w:rPr>
      </w:pPr>
      <w:bookmarkStart w:id="1241" w:name="_Toc180487635"/>
      <w:bookmarkStart w:id="1242" w:name="_Toc180490841"/>
      <w:bookmarkStart w:id="1243" w:name="_Toc180491874"/>
      <w:r w:rsidRPr="00730DE4">
        <w:rPr>
          <w:lang w:val="en-US"/>
        </w:rPr>
        <w:t>TMR Graduate Program</w:t>
      </w:r>
      <w:bookmarkEnd w:id="1241"/>
      <w:bookmarkEnd w:id="1242"/>
      <w:bookmarkEnd w:id="1243"/>
    </w:p>
    <w:p w14:paraId="0659EF13" w14:textId="77777777" w:rsidR="00FA2FF9" w:rsidRPr="00730DE4" w:rsidRDefault="00FA2FF9" w:rsidP="00F831AF">
      <w:r w:rsidRPr="00730DE4">
        <w:t>Through the TMR Graduate Program, TMR is investing in people who are life-long learners, purpose driven, agile, mobile, and capable.</w:t>
      </w:r>
    </w:p>
    <w:p w14:paraId="43356AFE" w14:textId="77777777" w:rsidR="00FA2FF9" w:rsidRPr="00730DE4" w:rsidRDefault="00FA2FF9" w:rsidP="00F831AF">
      <w:r w:rsidRPr="00730DE4">
        <w:t>The program recruits a diverse cohort of passionate and motivated university graduates into a range of technical and professional disciplines, building a pipeline of employees who hold capabilities to become TMR’s future leaders.</w:t>
      </w:r>
    </w:p>
    <w:p w14:paraId="735669DD" w14:textId="77777777" w:rsidR="00FA2FF9" w:rsidRPr="00730DE4" w:rsidRDefault="00FA2FF9" w:rsidP="00F831AF">
      <w:pPr>
        <w:rPr>
          <w:rStyle w:val="Emphasis"/>
        </w:rPr>
      </w:pPr>
      <w:r w:rsidRPr="00730DE4">
        <w:t xml:space="preserve">Over 60 per cent of TMR graduates are in technical streams, with graduates gaining technical and professional capability development, building skills that align to the </w:t>
      </w:r>
      <w:r w:rsidRPr="00730DE4">
        <w:rPr>
          <w:rStyle w:val="Emphasis"/>
        </w:rPr>
        <w:t>TMR Strategic Workforce Plan 2021–2024</w:t>
      </w:r>
      <w:r w:rsidRPr="00730DE4">
        <w:t>.</w:t>
      </w:r>
    </w:p>
    <w:p w14:paraId="55282A16" w14:textId="77777777" w:rsidR="00FA2FF9" w:rsidRPr="00730DE4" w:rsidRDefault="00FA2FF9" w:rsidP="00F831AF">
      <w:r w:rsidRPr="00730DE4">
        <w:t>Feedback from participants included the programs' contemporary and engaging learning and development program, TMR's work-life balance, inclusive practices, and a well-being focused culture as strong motivators to apply. Participants found the program a valuable experience: ‘One of the main benefits to the TMR Gradate Program is the opportunity to learn new fundamental skills related to the job as well as learning other unique, interesting skills. During my time here, I have improved my dashboard development skills, documentation, and data processing skills, which are fundamental to my role, but also was given the opportunity to learn animation and design as part of communicating with the business.’</w:t>
      </w:r>
    </w:p>
    <w:p w14:paraId="00E36FED" w14:textId="77777777" w:rsidR="00FA2FF9" w:rsidRPr="00730DE4" w:rsidRDefault="00FA2FF9" w:rsidP="00F831AF">
      <w:r w:rsidRPr="00730DE4">
        <w:t>TMR's Graduate Program has placed 24 out of 25 in the 'Medium intake' category (intakes of 21–70) in the Australasian Association of Graduate Employers Top Graduate Programs for 2024. This award speaks highly of the quality of TMR’s program and the experience of TMR's 2023 graduates.</w:t>
      </w:r>
    </w:p>
    <w:p w14:paraId="30499A16" w14:textId="77777777" w:rsidR="00FA2FF9" w:rsidRPr="00730DE4" w:rsidRDefault="00FA2FF9" w:rsidP="00F831AF">
      <w:r w:rsidRPr="00730DE4">
        <w:t>TMR is an inclusive organisation that supports staff to bring different perspectives, beliefs, ideas, and cultures to the workplace. In 2023–24, TMR continued to strengthen its inclusive recruitment practices, seeking increased diversity within the program, affirming TMR’s commitment to support diversity in the workforce.</w:t>
      </w:r>
    </w:p>
    <w:p w14:paraId="12A9004F" w14:textId="77777777" w:rsidR="00FA2FF9" w:rsidRPr="00730DE4" w:rsidRDefault="00FA2FF9" w:rsidP="00F831AF">
      <w:r w:rsidRPr="00730DE4">
        <w:t>In February 2024, TMR onboarded 45 new graduates in various roles across the state. The additional intake of graduates increased the program total to 89 graduates across 20 disciplines in ten locations across Queensland.</w:t>
      </w:r>
    </w:p>
    <w:p w14:paraId="787D8C28" w14:textId="77777777" w:rsidR="00FA2FF9" w:rsidRPr="00730DE4" w:rsidRDefault="00FA2FF9" w:rsidP="00F831AF">
      <w:r w:rsidRPr="00730DE4">
        <w:t>Of the 45 new graduate roles:</w:t>
      </w:r>
    </w:p>
    <w:p w14:paraId="0376DE99" w14:textId="77777777" w:rsidR="00FA2FF9" w:rsidRPr="00730DE4" w:rsidRDefault="00FA2FF9" w:rsidP="00F831AF">
      <w:pPr>
        <w:pStyle w:val="ListBullet"/>
        <w:tabs>
          <w:tab w:val="num" w:pos="567"/>
        </w:tabs>
        <w:spacing w:before="80" w:line="320" w:lineRule="exact"/>
        <w:ind w:left="284" w:hanging="284"/>
      </w:pPr>
      <w:r w:rsidRPr="00730DE4">
        <w:t xml:space="preserve">29 per cent identified as people from a non-English speaking background </w:t>
      </w:r>
    </w:p>
    <w:p w14:paraId="0246396D" w14:textId="77777777" w:rsidR="00FA2FF9" w:rsidRPr="00730DE4" w:rsidRDefault="00FA2FF9" w:rsidP="00F831AF">
      <w:pPr>
        <w:pStyle w:val="ListBullet"/>
        <w:tabs>
          <w:tab w:val="num" w:pos="567"/>
        </w:tabs>
        <w:spacing w:before="80" w:line="320" w:lineRule="exact"/>
        <w:ind w:left="284" w:hanging="284"/>
      </w:pPr>
      <w:r w:rsidRPr="00730DE4">
        <w:t xml:space="preserve">four per cent identified as neurodiverse </w:t>
      </w:r>
    </w:p>
    <w:p w14:paraId="5B15B3A8" w14:textId="77777777" w:rsidR="00FA2FF9" w:rsidRPr="00730DE4" w:rsidRDefault="00FA2FF9" w:rsidP="00F831AF">
      <w:pPr>
        <w:pStyle w:val="ListBullet"/>
        <w:tabs>
          <w:tab w:val="num" w:pos="567"/>
        </w:tabs>
        <w:spacing w:before="80" w:line="320" w:lineRule="exact"/>
        <w:ind w:left="284" w:hanging="284"/>
      </w:pPr>
      <w:r w:rsidRPr="00730DE4">
        <w:t>36 per cent identified as female.</w:t>
      </w:r>
    </w:p>
    <w:p w14:paraId="6A9A228D" w14:textId="77777777" w:rsidR="00FA2FF9" w:rsidRPr="00730DE4" w:rsidRDefault="00FA2FF9" w:rsidP="002B7001">
      <w:pPr>
        <w:pStyle w:val="Heading3"/>
        <w:rPr>
          <w:lang w:val="en-US"/>
        </w:rPr>
      </w:pPr>
      <w:bookmarkStart w:id="1244" w:name="_Toc180487636"/>
      <w:bookmarkStart w:id="1245" w:name="_Toc180490842"/>
      <w:bookmarkStart w:id="1246" w:name="_Toc180491875"/>
      <w:r w:rsidRPr="00730DE4">
        <w:rPr>
          <w:lang w:val="en-US"/>
        </w:rPr>
        <w:t>Improved graduate pathways</w:t>
      </w:r>
      <w:bookmarkEnd w:id="1244"/>
      <w:bookmarkEnd w:id="1245"/>
      <w:bookmarkEnd w:id="1246"/>
    </w:p>
    <w:p w14:paraId="362C68FE" w14:textId="77777777" w:rsidR="00FA2FF9" w:rsidRPr="00730DE4" w:rsidRDefault="00FA2FF9" w:rsidP="00F831AF">
      <w:r w:rsidRPr="00730DE4">
        <w:t xml:space="preserve">Under the </w:t>
      </w:r>
      <w:r w:rsidRPr="00730DE4">
        <w:rPr>
          <w:rStyle w:val="Emphasis"/>
        </w:rPr>
        <w:t xml:space="preserve">Even Better Public Sector Strategy for Queensland 2024–2028 </w:t>
      </w:r>
      <w:r w:rsidRPr="00730DE4">
        <w:t>and related action plan, TMR has been partnering with the Public Sector Commission and Department of the Premier and Cabinet to develop a whole-of-sector, non-frontline graduate program.</w:t>
      </w:r>
    </w:p>
    <w:p w14:paraId="60C4B615" w14:textId="77777777" w:rsidR="00FA2FF9" w:rsidRPr="00730DE4" w:rsidRDefault="00FA2FF9" w:rsidP="00F831AF">
      <w:r w:rsidRPr="00730DE4">
        <w:t>The purpose of the program is to undergo a collaborative design of improved sector-wide graduate pathways, aimed at launching and supporting meaningful public sector careers.</w:t>
      </w:r>
    </w:p>
    <w:p w14:paraId="758A2D5A" w14:textId="77777777" w:rsidR="00FA2FF9" w:rsidRPr="00730DE4" w:rsidRDefault="00FA2FF9" w:rsidP="00F831AF">
      <w:r w:rsidRPr="00730DE4">
        <w:t>The program seeks to leverage, attract, and retain contemporary, fit-for-purpose skills in the sector and build the skills and expertise needed to do our work in a rapidly changing world.</w:t>
      </w:r>
    </w:p>
    <w:p w14:paraId="50FABAD9" w14:textId="77777777" w:rsidR="00FA2FF9" w:rsidRPr="00730DE4" w:rsidRDefault="00FA2FF9" w:rsidP="00F831AF">
      <w:r w:rsidRPr="00730DE4">
        <w:t>Program implementation will follow a three-phased approach, phase one will focus on recruitment of three priority graduate professions, policy, HR, and digital, and is scheduled to commence recruitment early-2026.</w:t>
      </w:r>
    </w:p>
    <w:p w14:paraId="3DDEF910" w14:textId="77777777" w:rsidR="00FA2FF9" w:rsidRPr="00730DE4" w:rsidRDefault="00FA2FF9" w:rsidP="002B7001">
      <w:pPr>
        <w:pStyle w:val="Heading3"/>
        <w:rPr>
          <w:lang w:val="en-US"/>
        </w:rPr>
      </w:pPr>
      <w:bookmarkStart w:id="1247" w:name="_Toc180487637"/>
      <w:bookmarkStart w:id="1248" w:name="_Toc180490843"/>
      <w:bookmarkStart w:id="1249" w:name="_Toc180491876"/>
      <w:r w:rsidRPr="00730DE4">
        <w:rPr>
          <w:lang w:val="en-US"/>
        </w:rPr>
        <w:t>Mentoring in TMR</w:t>
      </w:r>
      <w:bookmarkEnd w:id="1247"/>
      <w:bookmarkEnd w:id="1248"/>
      <w:bookmarkEnd w:id="1249"/>
    </w:p>
    <w:p w14:paraId="2E05B9AC" w14:textId="77777777" w:rsidR="00FA2FF9" w:rsidRPr="00730DE4" w:rsidRDefault="00FA2FF9" w:rsidP="002B7001">
      <w:pPr>
        <w:pStyle w:val="Heading4"/>
        <w:rPr>
          <w:lang w:val="en-US"/>
        </w:rPr>
      </w:pPr>
      <w:bookmarkStart w:id="1250" w:name="_Toc180487638"/>
      <w:bookmarkStart w:id="1251" w:name="_Toc180490844"/>
      <w:bookmarkStart w:id="1252" w:name="_Toc180491877"/>
      <w:r w:rsidRPr="00730DE4">
        <w:rPr>
          <w:lang w:val="en-US"/>
        </w:rPr>
        <w:t>Women in Leadership Mentoring Program</w:t>
      </w:r>
      <w:bookmarkEnd w:id="1250"/>
      <w:bookmarkEnd w:id="1251"/>
      <w:bookmarkEnd w:id="1252"/>
    </w:p>
    <w:p w14:paraId="2CB0D3AD" w14:textId="77777777" w:rsidR="00FA2FF9" w:rsidRPr="00730DE4" w:rsidRDefault="00FA2FF9" w:rsidP="00637051">
      <w:r w:rsidRPr="00730DE4">
        <w:t>The Women in Leadership Mentoring Program is a key initiative within TMR’s Gender Equity Plan. The program, now in its tenth year, is designed to meet the needs of women in the workforce by assisting them to achieve their career goals and aspirations.</w:t>
      </w:r>
    </w:p>
    <w:p w14:paraId="16B565AC" w14:textId="77777777" w:rsidR="00FA2FF9" w:rsidRPr="00730DE4" w:rsidRDefault="00FA2FF9" w:rsidP="00637051">
      <w:pPr>
        <w:rPr>
          <w:rStyle w:val="Emphasis"/>
        </w:rPr>
      </w:pPr>
      <w:r w:rsidRPr="00730DE4">
        <w:t>Participant feedback on the 2023 program was positive: 'I have developed a good personal and professional relationship with my mentor and gained a great deal of valuable resources from them. I am glad that I did this program and would encourage anyone to take part.'</w:t>
      </w:r>
    </w:p>
    <w:p w14:paraId="480A3872" w14:textId="77777777" w:rsidR="00FA2FF9" w:rsidRPr="00730DE4" w:rsidRDefault="00FA2FF9" w:rsidP="00637051">
      <w:r w:rsidRPr="00730DE4">
        <w:t>In 2024, 41 mentors and mentees are participating in the program, which commenced in early-June 2024 and will run through until December 2024, with virtual workshops.</w:t>
      </w:r>
    </w:p>
    <w:p w14:paraId="4B2459C3" w14:textId="77777777" w:rsidR="00FA2FF9" w:rsidRPr="00730DE4" w:rsidRDefault="00FA2FF9" w:rsidP="002B7001">
      <w:pPr>
        <w:pStyle w:val="Heading4"/>
        <w:rPr>
          <w:lang w:val="en-US"/>
        </w:rPr>
      </w:pPr>
      <w:bookmarkStart w:id="1253" w:name="_Toc180487639"/>
      <w:bookmarkStart w:id="1254" w:name="_Toc180490845"/>
      <w:bookmarkStart w:id="1255" w:name="_Toc180491878"/>
      <w:r w:rsidRPr="00730DE4">
        <w:rPr>
          <w:lang w:val="en-US"/>
        </w:rPr>
        <w:t>OneTMR Mentoring Program</w:t>
      </w:r>
      <w:bookmarkEnd w:id="1253"/>
      <w:bookmarkEnd w:id="1254"/>
      <w:bookmarkEnd w:id="1255"/>
    </w:p>
    <w:p w14:paraId="4C945A57" w14:textId="77777777" w:rsidR="00FA2FF9" w:rsidRPr="00730DE4" w:rsidRDefault="00FA2FF9" w:rsidP="00637051">
      <w:r w:rsidRPr="00730DE4">
        <w:t>The OneTMR Mentoring Program provides employees the opportunity to participate in a program which offers the opportunity to build capability, leadership skills, and networks to better understand the business through cross-collaboration.</w:t>
      </w:r>
    </w:p>
    <w:p w14:paraId="725AA6E6" w14:textId="77777777" w:rsidR="00FA2FF9" w:rsidRPr="00730DE4" w:rsidRDefault="00FA2FF9" w:rsidP="00637051">
      <w:r w:rsidRPr="00730DE4">
        <w:t>Participant feedback on the 2023 program was positive: 'It was a great opportunity to develop an understanding and learn from the person I was working with, and I feel they got value out of it too.'</w:t>
      </w:r>
    </w:p>
    <w:p w14:paraId="1AC1C9F5" w14:textId="77777777" w:rsidR="00FA2FF9" w:rsidRPr="00730DE4" w:rsidRDefault="00FA2FF9" w:rsidP="00637051">
      <w:r w:rsidRPr="00730DE4">
        <w:t>In 2024, 42 matched pairs are participating in the program, which commenced in early-June 2024 and will run through until December 2024.</w:t>
      </w:r>
    </w:p>
    <w:p w14:paraId="176D6DFC" w14:textId="77777777" w:rsidR="00FA2FF9" w:rsidRPr="00730DE4" w:rsidRDefault="00FA2FF9" w:rsidP="002B7001">
      <w:pPr>
        <w:pStyle w:val="Heading4"/>
        <w:rPr>
          <w:lang w:val="en-US"/>
        </w:rPr>
      </w:pPr>
      <w:bookmarkStart w:id="1256" w:name="_Toc180487640"/>
      <w:bookmarkStart w:id="1257" w:name="_Toc180490846"/>
      <w:bookmarkStart w:id="1258" w:name="_Toc180491879"/>
      <w:r w:rsidRPr="00730DE4">
        <w:rPr>
          <w:lang w:val="en-US"/>
        </w:rPr>
        <w:t>Program outcomes</w:t>
      </w:r>
      <w:bookmarkEnd w:id="1256"/>
      <w:bookmarkEnd w:id="1257"/>
      <w:bookmarkEnd w:id="1258"/>
    </w:p>
    <w:p w14:paraId="5C2115F1" w14:textId="77777777" w:rsidR="00FA2FF9" w:rsidRPr="00730DE4" w:rsidRDefault="00FA2FF9" w:rsidP="00637051">
      <w:r w:rsidRPr="00730DE4">
        <w:t>Feedback from last year's programs showed:</w:t>
      </w:r>
    </w:p>
    <w:p w14:paraId="7C539DA2" w14:textId="77777777" w:rsidR="00FA2FF9" w:rsidRPr="00730DE4" w:rsidRDefault="00FA2FF9" w:rsidP="00637051">
      <w:pPr>
        <w:pStyle w:val="ListBullet"/>
      </w:pPr>
      <w:r w:rsidRPr="00730DE4">
        <w:t>89 per cent of OneTMR and Women in Leadership survey participants had valuable learnings throughout the mentoring program and were satisfied with the program at completion</w:t>
      </w:r>
    </w:p>
    <w:p w14:paraId="2ED33CF3" w14:textId="77777777" w:rsidR="00FA2FF9" w:rsidRPr="00730DE4" w:rsidRDefault="00FA2FF9" w:rsidP="00416976">
      <w:pPr>
        <w:pStyle w:val="ListBullet"/>
      </w:pPr>
      <w:r w:rsidRPr="00730DE4">
        <w:t>92 per cent of OneTMR and Women in Leadership workshop survey participants also agreed that mentoring is a useful tool for career development.</w:t>
      </w:r>
    </w:p>
    <w:p w14:paraId="6D1500FC" w14:textId="77777777" w:rsidR="00094BA5" w:rsidRPr="00730DE4" w:rsidRDefault="00094BA5">
      <w:pPr>
        <w:suppressAutoHyphens w:val="0"/>
        <w:spacing w:before="0" w:line="259" w:lineRule="auto"/>
        <w:rPr>
          <w:rFonts w:eastAsiaTheme="majorEastAsia" w:cstheme="majorBidi"/>
          <w:color w:val="080C0F" w:themeColor="text1"/>
          <w:sz w:val="60"/>
          <w:szCs w:val="32"/>
        </w:rPr>
      </w:pPr>
      <w:r w:rsidRPr="00730DE4">
        <w:br w:type="page"/>
      </w:r>
    </w:p>
    <w:p w14:paraId="78D5FBBC" w14:textId="2F7D182B" w:rsidR="00FA2FF9" w:rsidRPr="00730DE4" w:rsidRDefault="00FA2FF9" w:rsidP="002B7001">
      <w:pPr>
        <w:pStyle w:val="Heading2"/>
      </w:pPr>
      <w:bookmarkStart w:id="1259" w:name="_Toc180490847"/>
      <w:bookmarkStart w:id="1260" w:name="_Toc180491880"/>
      <w:r w:rsidRPr="00730DE4">
        <w:t>Building a strong culture</w:t>
      </w:r>
      <w:bookmarkEnd w:id="1259"/>
      <w:bookmarkEnd w:id="1260"/>
    </w:p>
    <w:p w14:paraId="442743BF" w14:textId="77777777" w:rsidR="00FA2FF9" w:rsidRPr="00730DE4" w:rsidRDefault="00FA2FF9" w:rsidP="002B7001">
      <w:pPr>
        <w:pStyle w:val="Heading3"/>
        <w:rPr>
          <w:lang w:val="en-US"/>
        </w:rPr>
      </w:pPr>
      <w:bookmarkStart w:id="1261" w:name="_Toc180487642"/>
      <w:bookmarkStart w:id="1262" w:name="_Toc180490848"/>
      <w:bookmarkStart w:id="1263" w:name="_Toc180491881"/>
      <w:r w:rsidRPr="00730DE4">
        <w:rPr>
          <w:lang w:val="en-US"/>
        </w:rPr>
        <w:t>Working for Queensland survey</w:t>
      </w:r>
      <w:bookmarkEnd w:id="1261"/>
      <w:bookmarkEnd w:id="1262"/>
      <w:bookmarkEnd w:id="1263"/>
    </w:p>
    <w:p w14:paraId="315ED852" w14:textId="77777777" w:rsidR="00FA2FF9" w:rsidRPr="00730DE4" w:rsidRDefault="00FA2FF9" w:rsidP="007A70D8">
      <w:pPr>
        <w:rPr>
          <w:lang w:val="en-US"/>
        </w:rPr>
      </w:pPr>
      <w:r w:rsidRPr="00730DE4">
        <w:rPr>
          <w:lang w:val="en-US"/>
        </w:rPr>
        <w:t>The Working for Queensland survey provides an opportunity for TMR to help shape the future of the Queensland public service, while improving employees’ work experience.</w:t>
      </w:r>
    </w:p>
    <w:p w14:paraId="1E9D84C7" w14:textId="77777777" w:rsidR="00FA2FF9" w:rsidRPr="00730DE4" w:rsidRDefault="00FA2FF9" w:rsidP="007A70D8">
      <w:pPr>
        <w:rPr>
          <w:lang w:val="en-US"/>
        </w:rPr>
      </w:pPr>
      <w:r w:rsidRPr="00730DE4">
        <w:rPr>
          <w:lang w:val="en-US"/>
        </w:rPr>
        <w:t>Survey results inform the focus on enhancing employee engagement and building a positive workplace culture, strategy development, and resource investment.</w:t>
      </w:r>
    </w:p>
    <w:p w14:paraId="1BFB889B" w14:textId="77777777" w:rsidR="00FA2FF9" w:rsidRPr="00730DE4" w:rsidRDefault="00FA2FF9" w:rsidP="007A70D8">
      <w:pPr>
        <w:rPr>
          <w:lang w:val="en-US"/>
        </w:rPr>
      </w:pPr>
      <w:r w:rsidRPr="00730DE4">
        <w:rPr>
          <w:lang w:val="en-US"/>
        </w:rPr>
        <w:t>Despite undergoing a machinery-of-government change in 2023, 67 per cent of employees and contractors responded to the Working for Queensland survey—which is equivalent to 6977 employees completing the survey out of a possible 10,379 employees. The employee engagement score for TMR was 61 per cent.</w:t>
      </w:r>
    </w:p>
    <w:p w14:paraId="1BB472A2" w14:textId="77777777" w:rsidR="00FA2FF9" w:rsidRPr="00730DE4" w:rsidRDefault="00FA2FF9" w:rsidP="007A70D8">
      <w:pPr>
        <w:rPr>
          <w:lang w:val="en-US"/>
        </w:rPr>
      </w:pPr>
      <w:r w:rsidRPr="00730DE4">
        <w:rPr>
          <w:lang w:val="en-US"/>
        </w:rPr>
        <w:t>The results showed that TMR is more engaged than the sector average across multiple areas, with strengths including:</w:t>
      </w:r>
    </w:p>
    <w:p w14:paraId="749E7FE6" w14:textId="77777777" w:rsidR="00FA2FF9" w:rsidRPr="00730DE4" w:rsidRDefault="00FA2FF9" w:rsidP="007A70D8">
      <w:pPr>
        <w:pStyle w:val="ListBullet"/>
        <w:rPr>
          <w:lang w:val="en-US"/>
        </w:rPr>
      </w:pPr>
      <w:r w:rsidRPr="00730DE4">
        <w:rPr>
          <w:lang w:val="en-US"/>
        </w:rPr>
        <w:t>awareness of health and safety obligations</w:t>
      </w:r>
    </w:p>
    <w:p w14:paraId="7F9D8C98" w14:textId="77777777" w:rsidR="00FA2FF9" w:rsidRPr="00730DE4" w:rsidRDefault="00FA2FF9" w:rsidP="007A70D8">
      <w:pPr>
        <w:pStyle w:val="ListBullet"/>
        <w:rPr>
          <w:lang w:val="en-US"/>
        </w:rPr>
      </w:pPr>
      <w:r w:rsidRPr="00730DE4">
        <w:rPr>
          <w:lang w:val="en-US"/>
        </w:rPr>
        <w:t>understanding how employees' work contributes to TMR’s strategic objectives</w:t>
      </w:r>
    </w:p>
    <w:p w14:paraId="5A278EBD" w14:textId="77777777" w:rsidR="00FA2FF9" w:rsidRPr="00730DE4" w:rsidRDefault="00FA2FF9" w:rsidP="007A70D8">
      <w:pPr>
        <w:pStyle w:val="ListBullet"/>
        <w:rPr>
          <w:lang w:val="en-US"/>
        </w:rPr>
      </w:pPr>
      <w:r w:rsidRPr="00730DE4">
        <w:rPr>
          <w:lang w:val="en-US"/>
        </w:rPr>
        <w:t>managers and supervisors demonstrating honesty and integrity</w:t>
      </w:r>
    </w:p>
    <w:p w14:paraId="3A9BDBAD" w14:textId="77777777" w:rsidR="00FA2FF9" w:rsidRPr="00730DE4" w:rsidRDefault="00FA2FF9" w:rsidP="007A70D8">
      <w:pPr>
        <w:pStyle w:val="ListBullet"/>
        <w:rPr>
          <w:lang w:val="en-US"/>
        </w:rPr>
      </w:pPr>
      <w:r w:rsidRPr="00730DE4">
        <w:rPr>
          <w:lang w:val="en-US"/>
        </w:rPr>
        <w:t>workgroup support</w:t>
      </w:r>
    </w:p>
    <w:p w14:paraId="08474EB9" w14:textId="77777777" w:rsidR="00FA2FF9" w:rsidRPr="00730DE4" w:rsidRDefault="00FA2FF9" w:rsidP="007A70D8">
      <w:pPr>
        <w:pStyle w:val="ListBullet"/>
        <w:rPr>
          <w:lang w:val="en-US"/>
        </w:rPr>
      </w:pPr>
      <w:r w:rsidRPr="00730DE4">
        <w:rPr>
          <w:lang w:val="en-US"/>
        </w:rPr>
        <w:t>job clarity.</w:t>
      </w:r>
    </w:p>
    <w:p w14:paraId="32A3BEA3" w14:textId="77777777" w:rsidR="00FA2FF9" w:rsidRPr="00730DE4" w:rsidRDefault="00FA2FF9" w:rsidP="007A70D8">
      <w:pPr>
        <w:rPr>
          <w:lang w:val="en-US"/>
        </w:rPr>
      </w:pPr>
      <w:r w:rsidRPr="00730DE4">
        <w:rPr>
          <w:lang w:val="en-US"/>
        </w:rPr>
        <w:t>The business areas are continuing conversations in relation to the key initiatives identified in their plans for action. Survey results continue to assist TMR in identifying local opportunities to improve employee engagement.</w:t>
      </w:r>
    </w:p>
    <w:p w14:paraId="4ED54C3B" w14:textId="77777777" w:rsidR="00FA2FF9" w:rsidRPr="00730DE4" w:rsidRDefault="00FA2FF9" w:rsidP="002B7001">
      <w:pPr>
        <w:pStyle w:val="Heading3"/>
        <w:rPr>
          <w:lang w:val="en-US"/>
        </w:rPr>
      </w:pPr>
      <w:bookmarkStart w:id="1264" w:name="_Toc180487643"/>
      <w:bookmarkStart w:id="1265" w:name="_Toc180490849"/>
      <w:bookmarkStart w:id="1266" w:name="_Toc180491882"/>
      <w:r w:rsidRPr="00730DE4">
        <w:rPr>
          <w:lang w:val="en-US"/>
        </w:rPr>
        <w:t>Values and Culture Network</w:t>
      </w:r>
      <w:bookmarkEnd w:id="1264"/>
      <w:bookmarkEnd w:id="1265"/>
      <w:bookmarkEnd w:id="1266"/>
    </w:p>
    <w:p w14:paraId="67DA452E" w14:textId="77777777" w:rsidR="00FA2FF9" w:rsidRPr="00730DE4" w:rsidRDefault="00FA2FF9" w:rsidP="007A70D8">
      <w:pPr>
        <w:rPr>
          <w:lang w:val="en-US"/>
        </w:rPr>
      </w:pPr>
      <w:r w:rsidRPr="00730DE4">
        <w:rPr>
          <w:lang w:val="en-US"/>
        </w:rPr>
        <w:t>TMR’s Values and Culture Network actively promotes the Queensland public sector values and fosters a OneTMR culture. With over 20 members from across TMR, the network meets quarterly to discuss areas of focus, which, during 2023–24 included:</w:t>
      </w:r>
    </w:p>
    <w:p w14:paraId="3B9CD612" w14:textId="77777777" w:rsidR="00FA2FF9" w:rsidRPr="00730DE4" w:rsidRDefault="00FA2FF9" w:rsidP="007A70D8">
      <w:pPr>
        <w:pStyle w:val="ListBullet"/>
        <w:rPr>
          <w:lang w:val="en-US"/>
        </w:rPr>
      </w:pPr>
      <w:r w:rsidRPr="00730DE4">
        <w:rPr>
          <w:lang w:val="en-US"/>
        </w:rPr>
        <w:t>championing values and culture across key departmental initiatives such as encouraging participation in the Working for Queensland survey</w:t>
      </w:r>
    </w:p>
    <w:p w14:paraId="0ACD3AA6" w14:textId="77777777" w:rsidR="00FA2FF9" w:rsidRPr="00730DE4" w:rsidRDefault="00FA2FF9" w:rsidP="007A70D8">
      <w:pPr>
        <w:pStyle w:val="ListBullet"/>
        <w:rPr>
          <w:lang w:val="en-US"/>
        </w:rPr>
      </w:pPr>
      <w:r w:rsidRPr="00730DE4">
        <w:rPr>
          <w:lang w:val="en-US"/>
        </w:rPr>
        <w:t>participating in a CUBIE Awards shortlisting workshop with over 240 nominations reviewed across seven categories and progressed to the Director-General's panel for final determination</w:t>
      </w:r>
    </w:p>
    <w:p w14:paraId="7E4F9811" w14:textId="77777777" w:rsidR="00FA2FF9" w:rsidRPr="00730DE4" w:rsidRDefault="00FA2FF9" w:rsidP="007A70D8">
      <w:pPr>
        <w:pStyle w:val="ListBullet"/>
        <w:rPr>
          <w:lang w:val="en-US"/>
        </w:rPr>
      </w:pPr>
      <w:r w:rsidRPr="00730DE4">
        <w:rPr>
          <w:lang w:val="en-US"/>
        </w:rPr>
        <w:t>supporting TMR's Big Event which is a key onboarding activity for new employees</w:t>
      </w:r>
    </w:p>
    <w:p w14:paraId="4E89B2FF" w14:textId="77777777" w:rsidR="00FA2FF9" w:rsidRPr="00730DE4" w:rsidRDefault="00FA2FF9" w:rsidP="007A70D8">
      <w:pPr>
        <w:pStyle w:val="ListBullet"/>
        <w:rPr>
          <w:lang w:val="en-US"/>
        </w:rPr>
      </w:pPr>
      <w:r w:rsidRPr="00730DE4">
        <w:rPr>
          <w:lang w:val="en-US"/>
        </w:rPr>
        <w:t>participating in People 4 People (P4P) Week, Harmony Week celebrations, R U OK Day, the Darkness to Daylight event, Multicultural Month, and the 10,000 Step Challenge among other important causes and events</w:t>
      </w:r>
    </w:p>
    <w:p w14:paraId="13A4ACFE" w14:textId="77777777" w:rsidR="00FA2FF9" w:rsidRPr="00730DE4" w:rsidRDefault="00FA2FF9" w:rsidP="007A70D8">
      <w:pPr>
        <w:pStyle w:val="ListBullet"/>
        <w:rPr>
          <w:lang w:val="en-US"/>
        </w:rPr>
      </w:pPr>
      <w:r w:rsidRPr="00730DE4">
        <w:rPr>
          <w:lang w:val="en-US"/>
        </w:rPr>
        <w:t>participating in a Working for Queensland survey focus group. The event received positive feedback including 100 per cent of respondents reporting initiatives having an impact, particularly related to health and wellbeing. Nearly 100 per cent of respondents indicated the survey highlights reflected their local experience</w:t>
      </w:r>
    </w:p>
    <w:p w14:paraId="2F8D4346" w14:textId="77777777" w:rsidR="00FA2FF9" w:rsidRPr="00730DE4" w:rsidRDefault="00FA2FF9" w:rsidP="007A70D8">
      <w:pPr>
        <w:pStyle w:val="ListBullet"/>
        <w:rPr>
          <w:lang w:val="en-US"/>
        </w:rPr>
      </w:pPr>
      <w:r w:rsidRPr="00730DE4">
        <w:rPr>
          <w:lang w:val="en-US"/>
        </w:rPr>
        <w:t>continuing to build relationships in local, regional, and remote areas.</w:t>
      </w:r>
    </w:p>
    <w:p w14:paraId="595A9458" w14:textId="77777777" w:rsidR="00FA2FF9" w:rsidRPr="00730DE4" w:rsidRDefault="00FA2FF9" w:rsidP="002B7001">
      <w:pPr>
        <w:pStyle w:val="Heading3"/>
        <w:rPr>
          <w:lang w:val="en-US"/>
        </w:rPr>
      </w:pPr>
      <w:bookmarkStart w:id="1267" w:name="_Toc180487644"/>
      <w:bookmarkStart w:id="1268" w:name="_Toc180490850"/>
      <w:bookmarkStart w:id="1269" w:name="_Toc180491883"/>
      <w:r w:rsidRPr="00730DE4">
        <w:rPr>
          <w:lang w:val="en-US"/>
        </w:rPr>
        <w:t>CUBIE Awards</w:t>
      </w:r>
      <w:bookmarkEnd w:id="1267"/>
      <w:bookmarkEnd w:id="1268"/>
      <w:bookmarkEnd w:id="1269"/>
      <w:r w:rsidRPr="00730DE4">
        <w:rPr>
          <w:lang w:val="en-US"/>
        </w:rPr>
        <w:t xml:space="preserve"> </w:t>
      </w:r>
    </w:p>
    <w:p w14:paraId="02F9CB7D" w14:textId="77777777" w:rsidR="00FA2FF9" w:rsidRPr="00730DE4" w:rsidRDefault="00FA2FF9" w:rsidP="00E51AED">
      <w:pPr>
        <w:rPr>
          <w:lang w:val="en-US"/>
        </w:rPr>
      </w:pPr>
      <w:r w:rsidRPr="00730DE4">
        <w:rPr>
          <w:lang w:val="en-US"/>
        </w:rPr>
        <w:t>The CUBIE Awards are TMR’s annual recognition program that acknowledges achievements and behaviours aligned to the five Public Sector values. In December 2023, the annual CUBIE Awards were held for the tenth year. These awards were celebrated as the 'golden awards' ceremony to highlight the ten year anniversary. CUBIE candidates are nominated by their peers and managers based on their demonstrated commitment to these values.</w:t>
      </w:r>
    </w:p>
    <w:p w14:paraId="440033E1" w14:textId="77777777" w:rsidR="00FA2FF9" w:rsidRPr="00730DE4" w:rsidRDefault="00FA2FF9" w:rsidP="00E51AED">
      <w:pPr>
        <w:rPr>
          <w:lang w:val="en-US"/>
        </w:rPr>
      </w:pPr>
      <w:r w:rsidRPr="00730DE4">
        <w:rPr>
          <w:lang w:val="en-US"/>
        </w:rPr>
        <w:t>Winners are awarded in seven categories, with an additional Director-General all-rounder award. These were:</w:t>
      </w:r>
    </w:p>
    <w:p w14:paraId="56D324CB" w14:textId="77777777" w:rsidR="00FA2FF9" w:rsidRPr="00730DE4" w:rsidRDefault="00FA2FF9" w:rsidP="00E51AED">
      <w:pPr>
        <w:pStyle w:val="ListBullet"/>
        <w:rPr>
          <w:lang w:val="en-US"/>
        </w:rPr>
      </w:pPr>
      <w:r w:rsidRPr="00730DE4">
        <w:rPr>
          <w:lang w:val="en-US"/>
        </w:rPr>
        <w:t>customers first</w:t>
      </w:r>
    </w:p>
    <w:p w14:paraId="7D37595B" w14:textId="77777777" w:rsidR="00FA2FF9" w:rsidRPr="00730DE4" w:rsidRDefault="00FA2FF9" w:rsidP="00E51AED">
      <w:pPr>
        <w:pStyle w:val="ListBullet"/>
        <w:rPr>
          <w:lang w:val="en-US"/>
        </w:rPr>
      </w:pPr>
      <w:r w:rsidRPr="00730DE4">
        <w:rPr>
          <w:lang w:val="en-US"/>
        </w:rPr>
        <w:t>unleash potential</w:t>
      </w:r>
    </w:p>
    <w:p w14:paraId="4F6C018D" w14:textId="77777777" w:rsidR="00FA2FF9" w:rsidRPr="00730DE4" w:rsidRDefault="00FA2FF9" w:rsidP="00E51AED">
      <w:pPr>
        <w:pStyle w:val="ListBullet"/>
        <w:rPr>
          <w:lang w:val="en-US"/>
        </w:rPr>
      </w:pPr>
      <w:r w:rsidRPr="00730DE4">
        <w:rPr>
          <w:lang w:val="en-US"/>
        </w:rPr>
        <w:t>be courageous</w:t>
      </w:r>
    </w:p>
    <w:p w14:paraId="7D84640C" w14:textId="77777777" w:rsidR="00FA2FF9" w:rsidRPr="00730DE4" w:rsidRDefault="00FA2FF9" w:rsidP="00E51AED">
      <w:pPr>
        <w:pStyle w:val="ListBullet"/>
        <w:rPr>
          <w:lang w:val="en-US"/>
        </w:rPr>
      </w:pPr>
      <w:r w:rsidRPr="00730DE4">
        <w:rPr>
          <w:lang w:val="en-US"/>
        </w:rPr>
        <w:t>ideas into action</w:t>
      </w:r>
    </w:p>
    <w:p w14:paraId="5AFF1ACA" w14:textId="77777777" w:rsidR="00FA2FF9" w:rsidRPr="00730DE4" w:rsidRDefault="00FA2FF9" w:rsidP="00E51AED">
      <w:pPr>
        <w:pStyle w:val="ListBullet"/>
        <w:rPr>
          <w:lang w:val="en-US"/>
        </w:rPr>
      </w:pPr>
      <w:r w:rsidRPr="00730DE4">
        <w:rPr>
          <w:lang w:val="en-US"/>
        </w:rPr>
        <w:t>empower people</w:t>
      </w:r>
    </w:p>
    <w:p w14:paraId="07B3B019" w14:textId="77777777" w:rsidR="00FA2FF9" w:rsidRPr="00730DE4" w:rsidRDefault="00FA2FF9" w:rsidP="00E51AED">
      <w:pPr>
        <w:pStyle w:val="ListBullet"/>
        <w:rPr>
          <w:lang w:val="en-US"/>
        </w:rPr>
      </w:pPr>
      <w:r w:rsidRPr="00730DE4">
        <w:rPr>
          <w:lang w:val="en-US"/>
        </w:rPr>
        <w:t>OneTMR individual</w:t>
      </w:r>
    </w:p>
    <w:p w14:paraId="1377541A" w14:textId="77777777" w:rsidR="00FA2FF9" w:rsidRPr="00730DE4" w:rsidRDefault="00FA2FF9" w:rsidP="00E51AED">
      <w:pPr>
        <w:pStyle w:val="ListBullet"/>
        <w:rPr>
          <w:lang w:val="en-US"/>
        </w:rPr>
      </w:pPr>
      <w:r w:rsidRPr="00730DE4">
        <w:rPr>
          <w:lang w:val="en-US"/>
        </w:rPr>
        <w:t>OneTMR team</w:t>
      </w:r>
    </w:p>
    <w:p w14:paraId="63E21294" w14:textId="77777777" w:rsidR="00FA2FF9" w:rsidRPr="00730DE4" w:rsidRDefault="00FA2FF9" w:rsidP="00E51AED">
      <w:pPr>
        <w:pStyle w:val="ListBullet"/>
        <w:rPr>
          <w:lang w:val="en-US"/>
        </w:rPr>
      </w:pPr>
      <w:r w:rsidRPr="00730DE4">
        <w:rPr>
          <w:lang w:val="en-US"/>
        </w:rPr>
        <w:t>Director-General's all-rounder.</w:t>
      </w:r>
    </w:p>
    <w:p w14:paraId="72EFAD40" w14:textId="77777777" w:rsidR="00FA2FF9" w:rsidRPr="00730DE4" w:rsidRDefault="00FA2FF9" w:rsidP="00E51AED">
      <w:pPr>
        <w:rPr>
          <w:lang w:val="en-US"/>
        </w:rPr>
      </w:pPr>
      <w:r w:rsidRPr="00730DE4">
        <w:rPr>
          <w:lang w:val="en-US"/>
        </w:rPr>
        <w:t>A total of 1153 individuals and teams were nominated for a CUBIE Award by their peers, customers, and managers. In 2023, the OneTMR and Empower People values received the greatest number of nominations.</w:t>
      </w:r>
    </w:p>
    <w:p w14:paraId="6FD66942" w14:textId="77777777" w:rsidR="00FA2FF9" w:rsidRPr="00730DE4" w:rsidRDefault="00FA2FF9" w:rsidP="00E51AED">
      <w:pPr>
        <w:rPr>
          <w:lang w:val="en-US"/>
        </w:rPr>
      </w:pPr>
      <w:r w:rsidRPr="00730DE4">
        <w:rPr>
          <w:lang w:val="en-US"/>
        </w:rPr>
        <w:t>The winners of TMR’s CUBIE Awards are decided after progressing through branch awards during P4P Week, whole of TMR shortlisting by the Values and Culture Network, and to the final judging panel convened by the Director-General.</w:t>
      </w:r>
    </w:p>
    <w:p w14:paraId="0F90F04E" w14:textId="77777777" w:rsidR="00FA2FF9" w:rsidRPr="00730DE4" w:rsidRDefault="00FA2FF9" w:rsidP="00E51AED">
      <w:pPr>
        <w:rPr>
          <w:lang w:val="en-US"/>
        </w:rPr>
      </w:pPr>
      <w:r w:rsidRPr="00730DE4">
        <w:rPr>
          <w:lang w:val="en-US"/>
        </w:rPr>
        <w:t>The event had a 70 per cent increase in registrations year-on-year with 2023 having 469 while 2022 had 141 registrations. According to past event data, this is the highest level of registrations since 2017.</w:t>
      </w:r>
    </w:p>
    <w:p w14:paraId="465FA665" w14:textId="77777777" w:rsidR="00FA2FF9" w:rsidRPr="00730DE4" w:rsidRDefault="00FA2FF9" w:rsidP="00E51AED">
      <w:pPr>
        <w:rPr>
          <w:lang w:val="en-US"/>
        </w:rPr>
      </w:pPr>
      <w:r w:rsidRPr="00730DE4">
        <w:rPr>
          <w:lang w:val="en-US"/>
        </w:rPr>
        <w:t>The 2023 CUBIE Awards ceremony was held in Brisbane and livestreamed to employees across Queensland. A total of 554 people attended the event, 152 in-person and 402 online.</w:t>
      </w:r>
    </w:p>
    <w:p w14:paraId="5E7F4429" w14:textId="77777777" w:rsidR="00FA2FF9" w:rsidRPr="00730DE4" w:rsidRDefault="00FA2FF9" w:rsidP="00E51AED">
      <w:pPr>
        <w:rPr>
          <w:lang w:val="en-US"/>
        </w:rPr>
      </w:pPr>
      <w:r w:rsidRPr="00730DE4">
        <w:rPr>
          <w:lang w:val="en-US"/>
        </w:rPr>
        <w:t>P4P Week is an annual event in TMR, where teams come together to recognise local CUBIE winners. In 2023, TMR recognised 22 years since the first 'People 4 People' celebration occurred at the former Department of Transport.</w:t>
      </w:r>
    </w:p>
    <w:p w14:paraId="5366C012" w14:textId="77777777" w:rsidR="00FA2FF9" w:rsidRPr="00730DE4" w:rsidRDefault="00FA2FF9" w:rsidP="00E51AED">
      <w:pPr>
        <w:pStyle w:val="FigureCaption"/>
        <w:rPr>
          <w:lang w:val="en-US"/>
        </w:rPr>
      </w:pPr>
      <w:r w:rsidRPr="00730DE4">
        <w:rPr>
          <w:lang w:val="en-US"/>
        </w:rPr>
        <w:t>Table 43: Winners and Highly Commended for the 2023 CUBIE Awards</w:t>
      </w:r>
    </w:p>
    <w:tbl>
      <w:tblPr>
        <w:tblStyle w:val="TMRDefault"/>
        <w:tblW w:w="5000" w:type="pct"/>
        <w:tblLook w:val="04A0" w:firstRow="1" w:lastRow="0" w:firstColumn="1" w:lastColumn="0" w:noHBand="0" w:noVBand="1"/>
      </w:tblPr>
      <w:tblGrid>
        <w:gridCol w:w="1960"/>
        <w:gridCol w:w="3947"/>
        <w:gridCol w:w="3153"/>
      </w:tblGrid>
      <w:tr w:rsidR="00E13FD1" w:rsidRPr="00730DE4" w14:paraId="7A6B9DDC" w14:textId="77777777" w:rsidTr="005B60B8">
        <w:trPr>
          <w:cnfStyle w:val="100000000000" w:firstRow="1" w:lastRow="0" w:firstColumn="0" w:lastColumn="0" w:oddVBand="0" w:evenVBand="0" w:oddHBand="0" w:evenHBand="0" w:firstRowFirstColumn="0" w:firstRowLastColumn="0" w:lastRowFirstColumn="0" w:lastRowLastColumn="0"/>
          <w:cantSplit/>
          <w:trHeight w:val="225"/>
          <w:tblHeader/>
        </w:trPr>
        <w:tc>
          <w:tcPr>
            <w:tcW w:w="1081" w:type="pct"/>
            <w:tcMar>
              <w:top w:w="113" w:type="dxa"/>
              <w:left w:w="113" w:type="dxa"/>
              <w:bottom w:w="113" w:type="dxa"/>
              <w:right w:w="113" w:type="dxa"/>
            </w:tcMar>
          </w:tcPr>
          <w:p w14:paraId="27E350F3" w14:textId="77777777" w:rsidR="00E13FD1" w:rsidRPr="00730DE4" w:rsidRDefault="00E13FD1" w:rsidP="00E51AED">
            <w:pPr>
              <w:pStyle w:val="NoSpacing"/>
              <w:rPr>
                <w:color w:val="FFFFFF" w:themeColor="background1"/>
                <w:lang w:val="en-US"/>
              </w:rPr>
            </w:pPr>
            <w:r w:rsidRPr="00730DE4">
              <w:rPr>
                <w:color w:val="FFFFFF" w:themeColor="background1"/>
                <w:lang w:val="en-US"/>
              </w:rPr>
              <w:t xml:space="preserve">Category </w:t>
            </w:r>
          </w:p>
        </w:tc>
        <w:tc>
          <w:tcPr>
            <w:tcW w:w="2178" w:type="pct"/>
            <w:tcMar>
              <w:top w:w="113" w:type="dxa"/>
              <w:left w:w="113" w:type="dxa"/>
              <w:bottom w:w="113" w:type="dxa"/>
              <w:right w:w="113" w:type="dxa"/>
            </w:tcMar>
          </w:tcPr>
          <w:p w14:paraId="56A54F05" w14:textId="12E86F4B" w:rsidR="00E13FD1" w:rsidRPr="00730DE4" w:rsidRDefault="00E13FD1" w:rsidP="00E51AED">
            <w:pPr>
              <w:pStyle w:val="NoSpacing"/>
              <w:rPr>
                <w:color w:val="FFFFFF" w:themeColor="background1"/>
                <w:lang w:val="en-US"/>
              </w:rPr>
            </w:pPr>
            <w:r w:rsidRPr="00730DE4">
              <w:rPr>
                <w:color w:val="FFFFFF" w:themeColor="background1"/>
                <w:lang w:val="en-US"/>
              </w:rPr>
              <w:t>Winner</w:t>
            </w:r>
          </w:p>
        </w:tc>
        <w:tc>
          <w:tcPr>
            <w:tcW w:w="1740" w:type="pct"/>
            <w:tcMar>
              <w:top w:w="113" w:type="dxa"/>
              <w:left w:w="113" w:type="dxa"/>
              <w:bottom w:w="113" w:type="dxa"/>
              <w:right w:w="113" w:type="dxa"/>
            </w:tcMar>
          </w:tcPr>
          <w:p w14:paraId="1ED55D5E" w14:textId="77777777" w:rsidR="00E13FD1" w:rsidRPr="00730DE4" w:rsidRDefault="00E13FD1" w:rsidP="00E51AED">
            <w:pPr>
              <w:pStyle w:val="NoSpacing"/>
              <w:rPr>
                <w:color w:val="FFFFFF" w:themeColor="background1"/>
                <w:lang w:val="en-US"/>
              </w:rPr>
            </w:pPr>
            <w:r w:rsidRPr="00730DE4">
              <w:rPr>
                <w:color w:val="FFFFFF" w:themeColor="background1"/>
                <w:lang w:val="en-US"/>
              </w:rPr>
              <w:t>Highly Commended</w:t>
            </w:r>
          </w:p>
        </w:tc>
      </w:tr>
      <w:tr w:rsidR="00E13FD1" w:rsidRPr="00730DE4" w14:paraId="56316956" w14:textId="77777777" w:rsidTr="005B60B8">
        <w:trPr>
          <w:cnfStyle w:val="000000100000" w:firstRow="0" w:lastRow="0" w:firstColumn="0" w:lastColumn="0" w:oddVBand="0" w:evenVBand="0" w:oddHBand="1" w:evenHBand="0" w:firstRowFirstColumn="0" w:firstRowLastColumn="0" w:lastRowFirstColumn="0" w:lastRowLastColumn="0"/>
          <w:cantSplit/>
          <w:trHeight w:val="2768"/>
        </w:trPr>
        <w:tc>
          <w:tcPr>
            <w:tcW w:w="1081" w:type="pct"/>
            <w:tcMar>
              <w:top w:w="113" w:type="dxa"/>
              <w:left w:w="113" w:type="dxa"/>
              <w:bottom w:w="113" w:type="dxa"/>
              <w:right w:w="113" w:type="dxa"/>
            </w:tcMar>
          </w:tcPr>
          <w:p w14:paraId="0D940267" w14:textId="77777777" w:rsidR="00E13FD1" w:rsidRPr="00730DE4" w:rsidRDefault="00E13FD1" w:rsidP="00E51AED">
            <w:pPr>
              <w:pStyle w:val="NoSpacing"/>
              <w:rPr>
                <w:lang w:val="en-US"/>
              </w:rPr>
            </w:pPr>
            <w:r w:rsidRPr="00730DE4">
              <w:rPr>
                <w:lang w:val="en-US"/>
              </w:rPr>
              <w:t>Customers First</w:t>
            </w:r>
          </w:p>
        </w:tc>
        <w:tc>
          <w:tcPr>
            <w:tcW w:w="2178" w:type="pct"/>
            <w:tcMar>
              <w:top w:w="113" w:type="dxa"/>
              <w:left w:w="113" w:type="dxa"/>
              <w:bottom w:w="113" w:type="dxa"/>
              <w:right w:w="113" w:type="dxa"/>
            </w:tcMar>
          </w:tcPr>
          <w:p w14:paraId="022CD81A" w14:textId="4362E816" w:rsidR="00E13FD1" w:rsidRPr="00730DE4" w:rsidRDefault="00E13FD1" w:rsidP="00E51AED">
            <w:pPr>
              <w:pStyle w:val="NoSpacing"/>
              <w:rPr>
                <w:lang w:val="en-US"/>
              </w:rPr>
            </w:pPr>
            <w:r w:rsidRPr="00730DE4">
              <w:rPr>
                <w:rStyle w:val="Strong"/>
              </w:rPr>
              <w:t>Susan Devlin</w:t>
            </w:r>
            <w:r w:rsidRPr="00730DE4">
              <w:rPr>
                <w:lang w:val="en-US"/>
              </w:rPr>
              <w:t>, Translink, Rail Infrastructure Delivery</w:t>
            </w:r>
          </w:p>
        </w:tc>
        <w:tc>
          <w:tcPr>
            <w:tcW w:w="1740" w:type="pct"/>
            <w:tcMar>
              <w:top w:w="113" w:type="dxa"/>
              <w:left w:w="113" w:type="dxa"/>
              <w:bottom w:w="113" w:type="dxa"/>
              <w:right w:w="113" w:type="dxa"/>
            </w:tcMar>
          </w:tcPr>
          <w:p w14:paraId="0D6B1725" w14:textId="77777777" w:rsidR="00E13FD1" w:rsidRPr="00730DE4" w:rsidRDefault="00E13FD1" w:rsidP="00E51AED">
            <w:pPr>
              <w:pStyle w:val="NoSpacing"/>
              <w:rPr>
                <w:lang w:val="en-US"/>
              </w:rPr>
            </w:pPr>
            <w:r w:rsidRPr="00730DE4">
              <w:rPr>
                <w:rStyle w:val="Strong"/>
              </w:rPr>
              <w:t>Yannis Vamvakas</w:t>
            </w:r>
            <w:r w:rsidRPr="00730DE4">
              <w:rPr>
                <w:lang w:val="en-US"/>
              </w:rPr>
              <w:t>, Infrastructure Management and Delivery, Engineering and Technology</w:t>
            </w:r>
          </w:p>
          <w:p w14:paraId="606394AC" w14:textId="77777777" w:rsidR="00E13FD1" w:rsidRPr="00730DE4" w:rsidRDefault="00E13FD1" w:rsidP="00E51AED">
            <w:pPr>
              <w:pStyle w:val="NoSpacing"/>
              <w:rPr>
                <w:lang w:val="en-US"/>
              </w:rPr>
            </w:pPr>
          </w:p>
          <w:p w14:paraId="674B7E19" w14:textId="77777777" w:rsidR="00E13FD1" w:rsidRPr="00730DE4" w:rsidRDefault="00E13FD1" w:rsidP="00E51AED">
            <w:pPr>
              <w:pStyle w:val="NoSpacing"/>
              <w:rPr>
                <w:lang w:val="en-US"/>
              </w:rPr>
            </w:pPr>
            <w:r w:rsidRPr="00730DE4">
              <w:rPr>
                <w:rStyle w:val="Strong"/>
              </w:rPr>
              <w:t>Tiffany Foden</w:t>
            </w:r>
            <w:r w:rsidRPr="00730DE4">
              <w:rPr>
                <w:lang w:val="en-US"/>
              </w:rPr>
              <w:t>, Customer Services, Safety and Regulation, Customer Services</w:t>
            </w:r>
          </w:p>
        </w:tc>
      </w:tr>
      <w:tr w:rsidR="00E13FD1" w:rsidRPr="00730DE4" w14:paraId="68A8B1A8" w14:textId="77777777" w:rsidTr="005B60B8">
        <w:trPr>
          <w:cantSplit/>
          <w:trHeight w:val="1158"/>
        </w:trPr>
        <w:tc>
          <w:tcPr>
            <w:tcW w:w="1081" w:type="pct"/>
            <w:tcMar>
              <w:top w:w="113" w:type="dxa"/>
              <w:left w:w="113" w:type="dxa"/>
              <w:bottom w:w="113" w:type="dxa"/>
              <w:right w:w="113" w:type="dxa"/>
            </w:tcMar>
          </w:tcPr>
          <w:p w14:paraId="40A2E36E" w14:textId="77777777" w:rsidR="00E13FD1" w:rsidRPr="00730DE4" w:rsidRDefault="00E13FD1" w:rsidP="00E51AED">
            <w:pPr>
              <w:pStyle w:val="NoSpacing"/>
              <w:rPr>
                <w:lang w:val="en-US"/>
              </w:rPr>
            </w:pPr>
            <w:r w:rsidRPr="00730DE4">
              <w:rPr>
                <w:lang w:val="en-US"/>
              </w:rPr>
              <w:t>Unleash Potential</w:t>
            </w:r>
          </w:p>
        </w:tc>
        <w:tc>
          <w:tcPr>
            <w:tcW w:w="2178" w:type="pct"/>
            <w:tcMar>
              <w:top w:w="113" w:type="dxa"/>
              <w:left w:w="113" w:type="dxa"/>
              <w:bottom w:w="113" w:type="dxa"/>
              <w:right w:w="113" w:type="dxa"/>
            </w:tcMar>
          </w:tcPr>
          <w:p w14:paraId="43FBCEF9" w14:textId="5C52CC38" w:rsidR="00E13FD1" w:rsidRPr="00730DE4" w:rsidRDefault="00E13FD1" w:rsidP="00E51AED">
            <w:pPr>
              <w:pStyle w:val="NoSpacing"/>
              <w:rPr>
                <w:lang w:val="en-US"/>
              </w:rPr>
            </w:pPr>
            <w:r w:rsidRPr="00730DE4">
              <w:rPr>
                <w:rStyle w:val="Strong"/>
              </w:rPr>
              <w:t>Jay Sindorff</w:t>
            </w:r>
            <w:r w:rsidRPr="00730DE4">
              <w:rPr>
                <w:lang w:val="en-US"/>
              </w:rPr>
              <w:t>, Queensland Government Customer and Digital Group, Transformation and Enabling Technologies</w:t>
            </w:r>
          </w:p>
        </w:tc>
        <w:tc>
          <w:tcPr>
            <w:tcW w:w="1740" w:type="pct"/>
            <w:tcMar>
              <w:top w:w="113" w:type="dxa"/>
              <w:left w:w="113" w:type="dxa"/>
              <w:bottom w:w="113" w:type="dxa"/>
              <w:right w:w="113" w:type="dxa"/>
            </w:tcMar>
          </w:tcPr>
          <w:p w14:paraId="2E400265" w14:textId="77777777" w:rsidR="00E13FD1" w:rsidRPr="00730DE4" w:rsidRDefault="00E13FD1" w:rsidP="00E51AED">
            <w:pPr>
              <w:pStyle w:val="NoSpacing"/>
              <w:rPr>
                <w:lang w:val="en-US"/>
              </w:rPr>
            </w:pPr>
            <w:r w:rsidRPr="00730DE4">
              <w:rPr>
                <w:rStyle w:val="Strong"/>
              </w:rPr>
              <w:t>Rhiannon Tait</w:t>
            </w:r>
            <w:r w:rsidRPr="00730DE4">
              <w:rPr>
                <w:lang w:val="en-US"/>
              </w:rPr>
              <w:t>, Customer Services, Safety and Regulation, Customer Services</w:t>
            </w:r>
          </w:p>
        </w:tc>
      </w:tr>
      <w:tr w:rsidR="00E13FD1" w:rsidRPr="00730DE4" w14:paraId="19AB5CBF" w14:textId="77777777" w:rsidTr="005B60B8">
        <w:trPr>
          <w:cnfStyle w:val="000000100000" w:firstRow="0" w:lastRow="0" w:firstColumn="0" w:lastColumn="0" w:oddVBand="0" w:evenVBand="0" w:oddHBand="1" w:evenHBand="0" w:firstRowFirstColumn="0" w:firstRowLastColumn="0" w:lastRowFirstColumn="0" w:lastRowLastColumn="0"/>
          <w:cantSplit/>
          <w:trHeight w:val="1158"/>
        </w:trPr>
        <w:tc>
          <w:tcPr>
            <w:tcW w:w="1081" w:type="pct"/>
            <w:tcMar>
              <w:top w:w="113" w:type="dxa"/>
              <w:left w:w="113" w:type="dxa"/>
              <w:bottom w:w="113" w:type="dxa"/>
              <w:right w:w="113" w:type="dxa"/>
            </w:tcMar>
          </w:tcPr>
          <w:p w14:paraId="2AB4797C" w14:textId="77777777" w:rsidR="00E13FD1" w:rsidRPr="00730DE4" w:rsidRDefault="00E13FD1" w:rsidP="00E51AED">
            <w:pPr>
              <w:pStyle w:val="NoSpacing"/>
              <w:rPr>
                <w:lang w:val="en-US"/>
              </w:rPr>
            </w:pPr>
            <w:r w:rsidRPr="00730DE4">
              <w:rPr>
                <w:lang w:val="en-US"/>
              </w:rPr>
              <w:t>Be courageous</w:t>
            </w:r>
          </w:p>
        </w:tc>
        <w:tc>
          <w:tcPr>
            <w:tcW w:w="2178" w:type="pct"/>
            <w:tcMar>
              <w:top w:w="113" w:type="dxa"/>
              <w:left w:w="113" w:type="dxa"/>
              <w:bottom w:w="113" w:type="dxa"/>
              <w:right w:w="113" w:type="dxa"/>
            </w:tcMar>
          </w:tcPr>
          <w:p w14:paraId="68A562C3" w14:textId="6F5A982B" w:rsidR="00E13FD1" w:rsidRPr="00730DE4" w:rsidRDefault="00E13FD1" w:rsidP="00E51AED">
            <w:pPr>
              <w:pStyle w:val="NoSpacing"/>
              <w:rPr>
                <w:lang w:val="en-US"/>
              </w:rPr>
            </w:pPr>
            <w:r w:rsidRPr="00730DE4">
              <w:rPr>
                <w:rStyle w:val="Strong"/>
              </w:rPr>
              <w:t>Maree Ford</w:t>
            </w:r>
            <w:r w:rsidRPr="00730DE4">
              <w:rPr>
                <w:lang w:val="en-US"/>
              </w:rPr>
              <w:t>, Customer Services, Safety and Regulation, Land Transport Safety and Regulation</w:t>
            </w:r>
          </w:p>
        </w:tc>
        <w:tc>
          <w:tcPr>
            <w:tcW w:w="1740" w:type="pct"/>
            <w:tcMar>
              <w:top w:w="113" w:type="dxa"/>
              <w:left w:w="113" w:type="dxa"/>
              <w:bottom w:w="113" w:type="dxa"/>
              <w:right w:w="113" w:type="dxa"/>
            </w:tcMar>
          </w:tcPr>
          <w:p w14:paraId="2BCAAF14" w14:textId="77777777" w:rsidR="00E13FD1" w:rsidRPr="00730DE4" w:rsidRDefault="00E13FD1" w:rsidP="00E51AED">
            <w:pPr>
              <w:pStyle w:val="NoSpacing"/>
              <w:rPr>
                <w:lang w:val="en-US"/>
              </w:rPr>
            </w:pPr>
            <w:r w:rsidRPr="00730DE4">
              <w:rPr>
                <w:rStyle w:val="Strong"/>
              </w:rPr>
              <w:t>Clint Carey</w:t>
            </w:r>
            <w:r w:rsidRPr="00730DE4">
              <w:rPr>
                <w:lang w:val="en-US"/>
              </w:rPr>
              <w:t>, Customer Services, Safety and Regulation, Customer Services</w:t>
            </w:r>
          </w:p>
        </w:tc>
      </w:tr>
      <w:tr w:rsidR="00E13FD1" w:rsidRPr="00730DE4" w14:paraId="57D9F72C" w14:textId="77777777" w:rsidTr="005B60B8">
        <w:trPr>
          <w:cantSplit/>
          <w:trHeight w:val="1384"/>
        </w:trPr>
        <w:tc>
          <w:tcPr>
            <w:tcW w:w="1081" w:type="pct"/>
            <w:tcMar>
              <w:top w:w="113" w:type="dxa"/>
              <w:left w:w="113" w:type="dxa"/>
              <w:bottom w:w="113" w:type="dxa"/>
              <w:right w:w="113" w:type="dxa"/>
            </w:tcMar>
          </w:tcPr>
          <w:p w14:paraId="5E11D3FE" w14:textId="77777777" w:rsidR="00E13FD1" w:rsidRPr="00730DE4" w:rsidRDefault="00E13FD1" w:rsidP="00E51AED">
            <w:pPr>
              <w:pStyle w:val="NoSpacing"/>
              <w:rPr>
                <w:lang w:val="en-US"/>
              </w:rPr>
            </w:pPr>
            <w:r w:rsidRPr="00730DE4">
              <w:rPr>
                <w:lang w:val="en-US"/>
              </w:rPr>
              <w:t>Ideas into Action</w:t>
            </w:r>
          </w:p>
        </w:tc>
        <w:tc>
          <w:tcPr>
            <w:tcW w:w="2178" w:type="pct"/>
            <w:tcMar>
              <w:top w:w="113" w:type="dxa"/>
              <w:left w:w="113" w:type="dxa"/>
              <w:bottom w:w="113" w:type="dxa"/>
              <w:right w:w="113" w:type="dxa"/>
            </w:tcMar>
          </w:tcPr>
          <w:p w14:paraId="6CFE917C" w14:textId="0A61EC2A" w:rsidR="00E13FD1" w:rsidRPr="00730DE4" w:rsidRDefault="00E13FD1" w:rsidP="00E51AED">
            <w:pPr>
              <w:pStyle w:val="NoSpacing"/>
              <w:rPr>
                <w:lang w:val="en-US"/>
              </w:rPr>
            </w:pPr>
            <w:r w:rsidRPr="00730DE4">
              <w:rPr>
                <w:rStyle w:val="Strong"/>
              </w:rPr>
              <w:t>Belinda Stewart</w:t>
            </w:r>
            <w:r w:rsidRPr="00730DE4">
              <w:rPr>
                <w:lang w:val="en-US"/>
              </w:rPr>
              <w:t>, Infrastructure Management and Delivery, Program Delivery and Operations</w:t>
            </w:r>
          </w:p>
        </w:tc>
        <w:tc>
          <w:tcPr>
            <w:tcW w:w="1740" w:type="pct"/>
            <w:tcMar>
              <w:top w:w="113" w:type="dxa"/>
              <w:left w:w="113" w:type="dxa"/>
              <w:bottom w:w="113" w:type="dxa"/>
              <w:right w:w="113" w:type="dxa"/>
            </w:tcMar>
          </w:tcPr>
          <w:p w14:paraId="7D20368F" w14:textId="77777777" w:rsidR="00E13FD1" w:rsidRPr="00730DE4" w:rsidRDefault="00E13FD1" w:rsidP="00E51AED">
            <w:pPr>
              <w:pStyle w:val="NoSpacing"/>
              <w:rPr>
                <w:lang w:val="en-US"/>
              </w:rPr>
            </w:pPr>
            <w:r w:rsidRPr="00730DE4">
              <w:rPr>
                <w:rStyle w:val="Strong"/>
              </w:rPr>
              <w:t>Gavin Cairns</w:t>
            </w:r>
            <w:r w:rsidRPr="00730DE4">
              <w:rPr>
                <w:lang w:val="en-US"/>
              </w:rPr>
              <w:t>, Infrastructure Management and Delivery, Engineering and Technology</w:t>
            </w:r>
          </w:p>
        </w:tc>
      </w:tr>
      <w:tr w:rsidR="00E13FD1" w:rsidRPr="00730DE4" w14:paraId="7B677802" w14:textId="77777777" w:rsidTr="005B60B8">
        <w:trPr>
          <w:cnfStyle w:val="000000100000" w:firstRow="0" w:lastRow="0" w:firstColumn="0" w:lastColumn="0" w:oddVBand="0" w:evenVBand="0" w:oddHBand="1" w:evenHBand="0" w:firstRowFirstColumn="0" w:firstRowLastColumn="0" w:lastRowFirstColumn="0" w:lastRowLastColumn="0"/>
          <w:cantSplit/>
          <w:trHeight w:val="1384"/>
        </w:trPr>
        <w:tc>
          <w:tcPr>
            <w:tcW w:w="1081" w:type="pct"/>
            <w:tcMar>
              <w:top w:w="113" w:type="dxa"/>
              <w:left w:w="113" w:type="dxa"/>
              <w:bottom w:w="113" w:type="dxa"/>
              <w:right w:w="113" w:type="dxa"/>
            </w:tcMar>
          </w:tcPr>
          <w:p w14:paraId="5FEC2A20" w14:textId="77777777" w:rsidR="00E13FD1" w:rsidRPr="00730DE4" w:rsidRDefault="00E13FD1" w:rsidP="00E51AED">
            <w:pPr>
              <w:pStyle w:val="NoSpacing"/>
              <w:rPr>
                <w:lang w:val="en-US"/>
              </w:rPr>
            </w:pPr>
            <w:r w:rsidRPr="00730DE4">
              <w:rPr>
                <w:lang w:val="en-US"/>
              </w:rPr>
              <w:t>Empower people</w:t>
            </w:r>
          </w:p>
        </w:tc>
        <w:tc>
          <w:tcPr>
            <w:tcW w:w="2178" w:type="pct"/>
            <w:tcMar>
              <w:top w:w="113" w:type="dxa"/>
              <w:left w:w="113" w:type="dxa"/>
              <w:bottom w:w="113" w:type="dxa"/>
              <w:right w:w="113" w:type="dxa"/>
            </w:tcMar>
          </w:tcPr>
          <w:p w14:paraId="0218F0FC" w14:textId="4951B66D" w:rsidR="00E13FD1" w:rsidRPr="00730DE4" w:rsidRDefault="00E13FD1" w:rsidP="00E51AED">
            <w:pPr>
              <w:pStyle w:val="NoSpacing"/>
              <w:rPr>
                <w:lang w:val="en-US"/>
              </w:rPr>
            </w:pPr>
            <w:r w:rsidRPr="00730DE4">
              <w:rPr>
                <w:rStyle w:val="Strong"/>
              </w:rPr>
              <w:t>Stephen Price</w:t>
            </w:r>
            <w:r w:rsidRPr="00730DE4">
              <w:rPr>
                <w:lang w:val="en-US"/>
              </w:rPr>
              <w:t xml:space="preserve">, Infrastructure Management and Delivery, Program Delivery and Operations </w:t>
            </w:r>
          </w:p>
          <w:p w14:paraId="11E1A17B" w14:textId="77777777" w:rsidR="00E13FD1" w:rsidRPr="00730DE4" w:rsidRDefault="00E13FD1" w:rsidP="00E51AED">
            <w:pPr>
              <w:pStyle w:val="NoSpacing"/>
              <w:rPr>
                <w:lang w:val="en-US"/>
              </w:rPr>
            </w:pPr>
          </w:p>
        </w:tc>
        <w:tc>
          <w:tcPr>
            <w:tcW w:w="1740" w:type="pct"/>
            <w:tcMar>
              <w:top w:w="113" w:type="dxa"/>
              <w:left w:w="113" w:type="dxa"/>
              <w:bottom w:w="113" w:type="dxa"/>
              <w:right w:w="113" w:type="dxa"/>
            </w:tcMar>
          </w:tcPr>
          <w:p w14:paraId="17FCAC6D" w14:textId="77777777" w:rsidR="00E13FD1" w:rsidRPr="00730DE4" w:rsidRDefault="00E13FD1" w:rsidP="00E51AED">
            <w:pPr>
              <w:pStyle w:val="NoSpacing"/>
              <w:rPr>
                <w:lang w:val="en-US"/>
              </w:rPr>
            </w:pPr>
            <w:r w:rsidRPr="00730DE4">
              <w:rPr>
                <w:rStyle w:val="Strong"/>
              </w:rPr>
              <w:t>Matt Fletcher</w:t>
            </w:r>
            <w:r w:rsidRPr="00730DE4">
              <w:rPr>
                <w:lang w:val="en-US"/>
              </w:rPr>
              <w:t>, Translink, Strategic Rail</w:t>
            </w:r>
          </w:p>
          <w:p w14:paraId="4B500325" w14:textId="77777777" w:rsidR="00D15886" w:rsidRPr="00730DE4" w:rsidRDefault="00D15886" w:rsidP="00E51AED">
            <w:pPr>
              <w:pStyle w:val="NoSpacing"/>
              <w:rPr>
                <w:lang w:val="en-US"/>
              </w:rPr>
            </w:pPr>
          </w:p>
          <w:p w14:paraId="536F99AE" w14:textId="77777777" w:rsidR="00E13FD1" w:rsidRPr="00730DE4" w:rsidRDefault="00E13FD1" w:rsidP="00E51AED">
            <w:pPr>
              <w:pStyle w:val="NoSpacing"/>
              <w:rPr>
                <w:lang w:val="en-US"/>
              </w:rPr>
            </w:pPr>
            <w:r w:rsidRPr="00730DE4">
              <w:rPr>
                <w:rStyle w:val="Strong"/>
              </w:rPr>
              <w:t>Samara Dowling</w:t>
            </w:r>
            <w:r w:rsidRPr="00730DE4">
              <w:rPr>
                <w:lang w:val="en-US"/>
              </w:rPr>
              <w:t>, Corporate, Internal Audit</w:t>
            </w:r>
          </w:p>
        </w:tc>
      </w:tr>
      <w:tr w:rsidR="00E13FD1" w:rsidRPr="00730DE4" w14:paraId="527DB6D1" w14:textId="77777777" w:rsidTr="005B60B8">
        <w:trPr>
          <w:cantSplit/>
          <w:trHeight w:val="1835"/>
        </w:trPr>
        <w:tc>
          <w:tcPr>
            <w:tcW w:w="1081" w:type="pct"/>
            <w:tcMar>
              <w:top w:w="113" w:type="dxa"/>
              <w:left w:w="113" w:type="dxa"/>
              <w:bottom w:w="113" w:type="dxa"/>
              <w:right w:w="113" w:type="dxa"/>
            </w:tcMar>
          </w:tcPr>
          <w:p w14:paraId="4B73CFB9" w14:textId="77777777" w:rsidR="00E13FD1" w:rsidRPr="00730DE4" w:rsidRDefault="00E13FD1" w:rsidP="00E51AED">
            <w:pPr>
              <w:pStyle w:val="NoSpacing"/>
              <w:rPr>
                <w:lang w:val="en-US"/>
              </w:rPr>
            </w:pPr>
            <w:r w:rsidRPr="00730DE4">
              <w:rPr>
                <w:lang w:val="en-US"/>
              </w:rPr>
              <w:t>OneTMR Individual</w:t>
            </w:r>
          </w:p>
        </w:tc>
        <w:tc>
          <w:tcPr>
            <w:tcW w:w="2178" w:type="pct"/>
            <w:tcMar>
              <w:top w:w="113" w:type="dxa"/>
              <w:left w:w="113" w:type="dxa"/>
              <w:bottom w:w="113" w:type="dxa"/>
              <w:right w:w="113" w:type="dxa"/>
            </w:tcMar>
          </w:tcPr>
          <w:p w14:paraId="34F4D4BC" w14:textId="7942E754" w:rsidR="00E13FD1" w:rsidRPr="00730DE4" w:rsidRDefault="00E13FD1" w:rsidP="00E51AED">
            <w:pPr>
              <w:pStyle w:val="NoSpacing"/>
              <w:rPr>
                <w:lang w:val="en-US"/>
              </w:rPr>
            </w:pPr>
            <w:r w:rsidRPr="00730DE4">
              <w:rPr>
                <w:rStyle w:val="Strong"/>
              </w:rPr>
              <w:t>Lupita Arrevillaga</w:t>
            </w:r>
            <w:r w:rsidRPr="00730DE4">
              <w:rPr>
                <w:lang w:val="en-US"/>
              </w:rPr>
              <w:t>, Translink, Passenger Transport Integration</w:t>
            </w:r>
          </w:p>
        </w:tc>
        <w:tc>
          <w:tcPr>
            <w:tcW w:w="1740" w:type="pct"/>
            <w:tcMar>
              <w:top w:w="113" w:type="dxa"/>
              <w:left w:w="113" w:type="dxa"/>
              <w:bottom w:w="113" w:type="dxa"/>
              <w:right w:w="113" w:type="dxa"/>
            </w:tcMar>
          </w:tcPr>
          <w:p w14:paraId="2F91F2AF" w14:textId="77777777" w:rsidR="00E13FD1" w:rsidRPr="00730DE4" w:rsidRDefault="00E13FD1" w:rsidP="00E51AED">
            <w:pPr>
              <w:pStyle w:val="NoSpacing"/>
              <w:rPr>
                <w:lang w:val="en-US"/>
              </w:rPr>
            </w:pPr>
            <w:r w:rsidRPr="00730DE4">
              <w:rPr>
                <w:rStyle w:val="Strong"/>
              </w:rPr>
              <w:t>Kerry Wastell</w:t>
            </w:r>
            <w:r w:rsidRPr="00730DE4">
              <w:rPr>
                <w:lang w:val="en-US"/>
              </w:rPr>
              <w:t>, Translink, Passenger Transport Integration</w:t>
            </w:r>
          </w:p>
          <w:p w14:paraId="0D17FADE" w14:textId="77777777" w:rsidR="00E13FD1" w:rsidRPr="00730DE4" w:rsidRDefault="00E13FD1" w:rsidP="00E51AED">
            <w:pPr>
              <w:pStyle w:val="NoSpacing"/>
              <w:rPr>
                <w:lang w:val="en-US"/>
              </w:rPr>
            </w:pPr>
          </w:p>
          <w:p w14:paraId="6BFFE193" w14:textId="77777777" w:rsidR="00E13FD1" w:rsidRPr="00730DE4" w:rsidRDefault="00E13FD1" w:rsidP="00E51AED">
            <w:pPr>
              <w:pStyle w:val="NoSpacing"/>
              <w:rPr>
                <w:lang w:val="en-US"/>
              </w:rPr>
            </w:pPr>
            <w:r w:rsidRPr="00730DE4">
              <w:rPr>
                <w:rStyle w:val="Strong"/>
              </w:rPr>
              <w:t>Tek Karki</w:t>
            </w:r>
            <w:r w:rsidRPr="00730DE4">
              <w:rPr>
                <w:lang w:val="en-US"/>
              </w:rPr>
              <w:t>, Infrastructure Management and Delivery, RoadTek</w:t>
            </w:r>
          </w:p>
        </w:tc>
      </w:tr>
      <w:tr w:rsidR="00E13FD1" w:rsidRPr="00730DE4" w14:paraId="3BADB28D" w14:textId="77777777" w:rsidTr="005B60B8">
        <w:trPr>
          <w:cnfStyle w:val="000000100000" w:firstRow="0" w:lastRow="0" w:firstColumn="0" w:lastColumn="0" w:oddVBand="0" w:evenVBand="0" w:oddHBand="1" w:evenHBand="0" w:firstRowFirstColumn="0" w:firstRowLastColumn="0" w:lastRowFirstColumn="0" w:lastRowLastColumn="0"/>
          <w:cantSplit/>
          <w:trHeight w:val="692"/>
        </w:trPr>
        <w:tc>
          <w:tcPr>
            <w:tcW w:w="1081" w:type="pct"/>
            <w:tcMar>
              <w:top w:w="113" w:type="dxa"/>
              <w:left w:w="113" w:type="dxa"/>
              <w:bottom w:w="113" w:type="dxa"/>
              <w:right w:w="113" w:type="dxa"/>
            </w:tcMar>
          </w:tcPr>
          <w:p w14:paraId="3BDB57DA" w14:textId="77777777" w:rsidR="00E13FD1" w:rsidRPr="00730DE4" w:rsidRDefault="00E13FD1" w:rsidP="00E51AED">
            <w:pPr>
              <w:pStyle w:val="NoSpacing"/>
              <w:rPr>
                <w:lang w:val="en-US"/>
              </w:rPr>
            </w:pPr>
            <w:r w:rsidRPr="00730DE4">
              <w:rPr>
                <w:lang w:val="en-US"/>
              </w:rPr>
              <w:t>OneTMR Team</w:t>
            </w:r>
          </w:p>
        </w:tc>
        <w:tc>
          <w:tcPr>
            <w:tcW w:w="2178" w:type="pct"/>
            <w:tcMar>
              <w:top w:w="113" w:type="dxa"/>
              <w:left w:w="113" w:type="dxa"/>
              <w:bottom w:w="113" w:type="dxa"/>
              <w:right w:w="113" w:type="dxa"/>
            </w:tcMar>
          </w:tcPr>
          <w:p w14:paraId="68C61D8F" w14:textId="32C761CC" w:rsidR="00E13FD1" w:rsidRPr="00730DE4" w:rsidRDefault="00E13FD1" w:rsidP="00E51AED">
            <w:pPr>
              <w:pStyle w:val="NoSpacing"/>
              <w:rPr>
                <w:lang w:val="en-US"/>
              </w:rPr>
            </w:pPr>
            <w:r w:rsidRPr="00730DE4">
              <w:rPr>
                <w:rStyle w:val="Strong"/>
              </w:rPr>
              <w:t>TMR Pride Network</w:t>
            </w:r>
            <w:r w:rsidRPr="00730DE4">
              <w:rPr>
                <w:lang w:val="en-US"/>
              </w:rPr>
              <w:t xml:space="preserve"> and </w:t>
            </w:r>
            <w:r w:rsidRPr="00730DE4">
              <w:rPr>
                <w:rStyle w:val="Strong"/>
              </w:rPr>
              <w:t>Corporate Human Resources team</w:t>
            </w:r>
          </w:p>
        </w:tc>
        <w:tc>
          <w:tcPr>
            <w:tcW w:w="1740" w:type="pct"/>
            <w:tcMar>
              <w:top w:w="113" w:type="dxa"/>
              <w:left w:w="113" w:type="dxa"/>
              <w:bottom w:w="113" w:type="dxa"/>
              <w:right w:w="113" w:type="dxa"/>
            </w:tcMar>
          </w:tcPr>
          <w:p w14:paraId="1368EF36" w14:textId="77777777" w:rsidR="00E13FD1" w:rsidRPr="00730DE4" w:rsidRDefault="00E13FD1" w:rsidP="00E51AED">
            <w:pPr>
              <w:pStyle w:val="NoSpacing"/>
              <w:rPr>
                <w:rStyle w:val="Strong"/>
              </w:rPr>
            </w:pPr>
            <w:r w:rsidRPr="00730DE4">
              <w:rPr>
                <w:rStyle w:val="Strong"/>
              </w:rPr>
              <w:t>Driver Reviver Program</w:t>
            </w:r>
            <w:r w:rsidRPr="00730DE4" w:rsidDel="0007594F">
              <w:rPr>
                <w:rStyle w:val="Strong"/>
              </w:rPr>
              <w:t xml:space="preserve"> </w:t>
            </w:r>
          </w:p>
        </w:tc>
      </w:tr>
      <w:tr w:rsidR="00E13FD1" w:rsidRPr="00730DE4" w14:paraId="5433B407" w14:textId="77777777" w:rsidTr="005B60B8">
        <w:trPr>
          <w:cantSplit/>
          <w:trHeight w:val="932"/>
        </w:trPr>
        <w:tc>
          <w:tcPr>
            <w:tcW w:w="1081" w:type="pct"/>
            <w:tcMar>
              <w:top w:w="113" w:type="dxa"/>
              <w:left w:w="113" w:type="dxa"/>
              <w:bottom w:w="113" w:type="dxa"/>
              <w:right w:w="113" w:type="dxa"/>
            </w:tcMar>
          </w:tcPr>
          <w:p w14:paraId="11A78D16" w14:textId="77777777" w:rsidR="00E13FD1" w:rsidRPr="00730DE4" w:rsidRDefault="00E13FD1" w:rsidP="00E51AED">
            <w:pPr>
              <w:pStyle w:val="NoSpacing"/>
              <w:rPr>
                <w:lang w:val="en-US"/>
              </w:rPr>
            </w:pPr>
            <w:r w:rsidRPr="00730DE4">
              <w:rPr>
                <w:lang w:val="en-US"/>
              </w:rPr>
              <w:t>Director-General's All Rounder</w:t>
            </w:r>
          </w:p>
        </w:tc>
        <w:tc>
          <w:tcPr>
            <w:tcW w:w="2178" w:type="pct"/>
            <w:tcMar>
              <w:top w:w="113" w:type="dxa"/>
              <w:left w:w="113" w:type="dxa"/>
              <w:bottom w:w="113" w:type="dxa"/>
              <w:right w:w="113" w:type="dxa"/>
            </w:tcMar>
          </w:tcPr>
          <w:p w14:paraId="63DC51DE" w14:textId="58E507C5" w:rsidR="00E13FD1" w:rsidRPr="00730DE4" w:rsidRDefault="00E13FD1" w:rsidP="00E51AED">
            <w:pPr>
              <w:pStyle w:val="NoSpacing"/>
              <w:rPr>
                <w:lang w:val="en-US"/>
              </w:rPr>
            </w:pPr>
            <w:r w:rsidRPr="00730DE4">
              <w:rPr>
                <w:rStyle w:val="Strong"/>
              </w:rPr>
              <w:t>Michelle Haywood</w:t>
            </w:r>
            <w:r w:rsidRPr="00730DE4">
              <w:rPr>
                <w:lang w:val="en-US"/>
              </w:rPr>
              <w:t>, Customer Services, Safety and Regulation, Digital Licence Program</w:t>
            </w:r>
          </w:p>
        </w:tc>
        <w:tc>
          <w:tcPr>
            <w:tcW w:w="1740" w:type="pct"/>
            <w:tcMar>
              <w:top w:w="113" w:type="dxa"/>
              <w:left w:w="113" w:type="dxa"/>
              <w:bottom w:w="113" w:type="dxa"/>
              <w:right w:w="113" w:type="dxa"/>
            </w:tcMar>
          </w:tcPr>
          <w:p w14:paraId="163D996D" w14:textId="77777777" w:rsidR="00E13FD1" w:rsidRPr="00730DE4" w:rsidRDefault="00E13FD1" w:rsidP="00E51AED">
            <w:pPr>
              <w:pStyle w:val="NoSpacing"/>
              <w:rPr>
                <w:lang w:val="en-US"/>
              </w:rPr>
            </w:pPr>
          </w:p>
        </w:tc>
      </w:tr>
    </w:tbl>
    <w:p w14:paraId="13D3E2C2" w14:textId="0C9AD392" w:rsidR="00FA2FF9" w:rsidRPr="00730DE4" w:rsidRDefault="00FA2FF9" w:rsidP="002B7001">
      <w:pPr>
        <w:pStyle w:val="Heading2"/>
      </w:pPr>
      <w:bookmarkStart w:id="1270" w:name="_Toc180490851"/>
      <w:bookmarkStart w:id="1271" w:name="_Toc180491884"/>
      <w:r w:rsidRPr="00730DE4">
        <w:t>Health and wellbeing</w:t>
      </w:r>
      <w:bookmarkEnd w:id="1270"/>
      <w:bookmarkEnd w:id="1271"/>
    </w:p>
    <w:p w14:paraId="42AEF562" w14:textId="77777777" w:rsidR="00FA2FF9" w:rsidRPr="00730DE4" w:rsidRDefault="00FA2FF9" w:rsidP="002B7001">
      <w:pPr>
        <w:pStyle w:val="Heading3"/>
        <w:rPr>
          <w:lang w:val="en-US"/>
        </w:rPr>
      </w:pPr>
      <w:bookmarkStart w:id="1272" w:name="_Toc180487646"/>
      <w:bookmarkStart w:id="1273" w:name="_Toc180490852"/>
      <w:bookmarkStart w:id="1274" w:name="_Toc180491885"/>
      <w:r w:rsidRPr="00730DE4">
        <w:rPr>
          <w:lang w:val="en-US"/>
        </w:rPr>
        <w:t>Wellbeing programs</w:t>
      </w:r>
      <w:bookmarkEnd w:id="1272"/>
      <w:bookmarkEnd w:id="1273"/>
      <w:bookmarkEnd w:id="1274"/>
    </w:p>
    <w:p w14:paraId="4D088053" w14:textId="77777777" w:rsidR="00FA2FF9" w:rsidRPr="00730DE4" w:rsidRDefault="00FA2FF9" w:rsidP="005C1C12">
      <w:pPr>
        <w:rPr>
          <w:lang w:val="en-US"/>
        </w:rPr>
      </w:pPr>
      <w:r w:rsidRPr="00730DE4">
        <w:rPr>
          <w:lang w:val="en-US"/>
        </w:rPr>
        <w:t xml:space="preserve">In 2023–24, TMR continued to deliver health and wellbeing programs in line with the </w:t>
      </w:r>
      <w:r w:rsidRPr="00730DE4">
        <w:rPr>
          <w:rStyle w:val="Emphasis"/>
        </w:rPr>
        <w:t xml:space="preserve">TMR Mental Health and Wellbeing Strategy 2022–24. </w:t>
      </w:r>
      <w:r w:rsidRPr="00730DE4">
        <w:rPr>
          <w:lang w:val="en-US"/>
        </w:rPr>
        <w:t xml:space="preserve">The strategy was originally developed to align with the Queensland Government's 'Be Healthy, Be Safe, Be Well Framework’ and highlights the five pillars of wellbeing: physical, work, financial, social, and psychological. </w:t>
      </w:r>
    </w:p>
    <w:p w14:paraId="5A2FD42E" w14:textId="77777777" w:rsidR="00FA2FF9" w:rsidRPr="00730DE4" w:rsidRDefault="00FA2FF9" w:rsidP="005C1C12">
      <w:pPr>
        <w:rPr>
          <w:lang w:val="en-US"/>
        </w:rPr>
      </w:pPr>
      <w:r w:rsidRPr="00730DE4">
        <w:rPr>
          <w:lang w:val="en-US"/>
        </w:rPr>
        <w:t>TMR's wellbeing program focuses on the individual wellbeing of its employees, providing the tools and resources to robustly manage their own wellbeing and overcome challenges. It is actively supported through ongoing communication from the Director-General and TMR's Executive Champion for Health and Wellbeing.</w:t>
      </w:r>
    </w:p>
    <w:p w14:paraId="77EBD55B" w14:textId="77777777" w:rsidR="00FA2FF9" w:rsidRPr="00730DE4" w:rsidRDefault="00FA2FF9" w:rsidP="005C1C12">
      <w:pPr>
        <w:rPr>
          <w:lang w:val="en-US"/>
        </w:rPr>
      </w:pPr>
      <w:r w:rsidRPr="00730DE4">
        <w:rPr>
          <w:lang w:val="en-US"/>
        </w:rPr>
        <w:t xml:space="preserve">TMR employees participated in wellbeing initiatives throughout the year, these include physical wellbeing initiatives such as the 10,000 Step Challenge, 'Steptember', which involved fundraising for cerebral palsy, and the Push Up Challenge that spreads awareness of the mental health benefits of exercise and represents the lives lost to suicide. </w:t>
      </w:r>
    </w:p>
    <w:p w14:paraId="2D64EC6F" w14:textId="77777777" w:rsidR="00FA2FF9" w:rsidRPr="00730DE4" w:rsidRDefault="00FA2FF9" w:rsidP="005C1C12">
      <w:pPr>
        <w:rPr>
          <w:lang w:val="en-US"/>
        </w:rPr>
      </w:pPr>
      <w:r w:rsidRPr="00730DE4">
        <w:rPr>
          <w:lang w:val="en-US"/>
        </w:rPr>
        <w:t>Men’s and Women’s health week campaigns were highlighted across the year:</w:t>
      </w:r>
    </w:p>
    <w:p w14:paraId="13CF3937" w14:textId="77777777" w:rsidR="00FA2FF9" w:rsidRPr="00730DE4" w:rsidRDefault="00FA2FF9" w:rsidP="005C1C12">
      <w:pPr>
        <w:pStyle w:val="ListBullet"/>
        <w:rPr>
          <w:lang w:val="en-US"/>
        </w:rPr>
      </w:pPr>
      <w:r w:rsidRPr="00730DE4">
        <w:rPr>
          <w:lang w:val="en-US"/>
        </w:rPr>
        <w:t>in November 2023, the Executive Champion for Health and Wellbeing led the TMR team for Movember, spreading awareness for men’s health issues and fundraising for mental health charities through the Movember Foundation</w:t>
      </w:r>
    </w:p>
    <w:p w14:paraId="0FD2B31F" w14:textId="77777777" w:rsidR="00FA2FF9" w:rsidRPr="00730DE4" w:rsidRDefault="00FA2FF9" w:rsidP="005C1C12">
      <w:pPr>
        <w:pStyle w:val="ListBullet"/>
        <w:rPr>
          <w:lang w:val="en-US"/>
        </w:rPr>
      </w:pPr>
      <w:r w:rsidRPr="00730DE4">
        <w:rPr>
          <w:lang w:val="en-US"/>
        </w:rPr>
        <w:t>for Women's Health Week in September 2023, an information campaign was delivered to raise awareness on Women's health issues in conjunction with the Jean Hailes campaign</w:t>
      </w:r>
    </w:p>
    <w:p w14:paraId="212E7252" w14:textId="77777777" w:rsidR="00FA2FF9" w:rsidRPr="00730DE4" w:rsidRDefault="00FA2FF9" w:rsidP="005C1C12">
      <w:pPr>
        <w:pStyle w:val="ListBullet"/>
        <w:rPr>
          <w:lang w:val="en-US"/>
        </w:rPr>
      </w:pPr>
      <w:r w:rsidRPr="00730DE4">
        <w:rPr>
          <w:lang w:val="en-US"/>
        </w:rPr>
        <w:t>TMR hosted QSuper (Australian Retirement Trust) to provide sessions on financial wellbeing tips tailored to women</w:t>
      </w:r>
    </w:p>
    <w:p w14:paraId="0DE48743" w14:textId="77777777" w:rsidR="00FA2FF9" w:rsidRPr="00730DE4" w:rsidRDefault="00FA2FF9" w:rsidP="005C1C12">
      <w:pPr>
        <w:pStyle w:val="ListBullet"/>
        <w:rPr>
          <w:lang w:val="en-US"/>
        </w:rPr>
      </w:pPr>
      <w:r w:rsidRPr="00730DE4">
        <w:rPr>
          <w:lang w:val="en-US"/>
        </w:rPr>
        <w:t>in June 2024, a panel event was delivered to TMR employees in-person or via livestream to candidly discuss men’s health issues and start conversations.</w:t>
      </w:r>
    </w:p>
    <w:p w14:paraId="1325D628" w14:textId="77777777" w:rsidR="00FA2FF9" w:rsidRPr="00730DE4" w:rsidRDefault="00FA2FF9" w:rsidP="005C1C12">
      <w:pPr>
        <w:rPr>
          <w:lang w:val="en-US"/>
        </w:rPr>
      </w:pPr>
      <w:r w:rsidRPr="00730DE4">
        <w:rPr>
          <w:lang w:val="en-US"/>
        </w:rPr>
        <w:t>The Queensland Government Lifeblood Challenge is a staple in TMR's wellbeing calendar each year, and in 2023–24, TMR once again finished with the highest number of donors overall and new donors of any department.</w:t>
      </w:r>
    </w:p>
    <w:p w14:paraId="2D957494" w14:textId="77777777" w:rsidR="00FA2FF9" w:rsidRPr="00730DE4" w:rsidRDefault="00FA2FF9" w:rsidP="005C1C12">
      <w:pPr>
        <w:rPr>
          <w:lang w:val="en-US"/>
        </w:rPr>
      </w:pPr>
      <w:r w:rsidRPr="00730DE4">
        <w:rPr>
          <w:lang w:val="en-US"/>
        </w:rPr>
        <w:t>TMR has continued to provide a Mental Ill Health training program facilitated by a registered psychologist to educate employees about mental ill heath, break down stigma, and increase confidence in having effective conversations. In 2023–24, 33 sessions were delivered across all divisions.</w:t>
      </w:r>
    </w:p>
    <w:p w14:paraId="59A62682" w14:textId="77777777" w:rsidR="00FA2FF9" w:rsidRPr="00730DE4" w:rsidRDefault="00FA2FF9" w:rsidP="00735D82">
      <w:pPr>
        <w:pStyle w:val="FigureCaption"/>
      </w:pPr>
      <w:r w:rsidRPr="00730DE4">
        <w:t>Table 41: Comparison of workers’ compensation claims lodged over a five-year period</w:t>
      </w:r>
    </w:p>
    <w:tbl>
      <w:tblPr>
        <w:tblStyle w:val="TMRDefault"/>
        <w:tblW w:w="5000" w:type="pct"/>
        <w:tblLook w:val="04A0" w:firstRow="1" w:lastRow="0" w:firstColumn="1" w:lastColumn="0" w:noHBand="0" w:noVBand="1"/>
      </w:tblPr>
      <w:tblGrid>
        <w:gridCol w:w="1318"/>
        <w:gridCol w:w="1549"/>
        <w:gridCol w:w="1549"/>
        <w:gridCol w:w="1549"/>
        <w:gridCol w:w="1549"/>
        <w:gridCol w:w="1546"/>
      </w:tblGrid>
      <w:tr w:rsidR="000A65A9" w:rsidRPr="00730DE4" w14:paraId="2C5CA75A" w14:textId="77777777" w:rsidTr="00393FD1">
        <w:trPr>
          <w:cnfStyle w:val="100000000000" w:firstRow="1" w:lastRow="0" w:firstColumn="0" w:lastColumn="0" w:oddVBand="0" w:evenVBand="0" w:oddHBand="0" w:evenHBand="0" w:firstRowFirstColumn="0" w:firstRowLastColumn="0" w:lastRowFirstColumn="0" w:lastRowLastColumn="0"/>
          <w:trHeight w:val="255"/>
          <w:tblHeader/>
        </w:trPr>
        <w:tc>
          <w:tcPr>
            <w:tcW w:w="727" w:type="pct"/>
            <w:noWrap/>
            <w:hideMark/>
          </w:tcPr>
          <w:p w14:paraId="562033C6" w14:textId="77777777" w:rsidR="00FA2FF9" w:rsidRPr="00730DE4" w:rsidRDefault="00FA2FF9" w:rsidP="00735D82">
            <w:pPr>
              <w:pStyle w:val="NoSpacing"/>
              <w:rPr>
                <w:color w:val="FFFFFF" w:themeColor="background1"/>
                <w:lang w:eastAsia="en-AU"/>
              </w:rPr>
            </w:pPr>
            <w:r w:rsidRPr="00730DE4">
              <w:rPr>
                <w:color w:val="FFFFFF" w:themeColor="background1"/>
                <w:lang w:eastAsia="en-AU"/>
              </w:rPr>
              <w:t> </w:t>
            </w:r>
          </w:p>
        </w:tc>
        <w:tc>
          <w:tcPr>
            <w:tcW w:w="855" w:type="pct"/>
            <w:noWrap/>
            <w:hideMark/>
          </w:tcPr>
          <w:p w14:paraId="2C6F1802" w14:textId="77777777" w:rsidR="00FA2FF9" w:rsidRPr="00730DE4" w:rsidRDefault="00FA2FF9" w:rsidP="00393FD1">
            <w:pPr>
              <w:pStyle w:val="NoSpacing"/>
              <w:jc w:val="right"/>
              <w:rPr>
                <w:color w:val="FFFFFF" w:themeColor="background1"/>
                <w:lang w:eastAsia="en-AU"/>
              </w:rPr>
            </w:pPr>
            <w:r w:rsidRPr="00730DE4">
              <w:rPr>
                <w:color w:val="FFFFFF" w:themeColor="background1"/>
                <w:lang w:eastAsia="en-AU"/>
              </w:rPr>
              <w:t>2023–24</w:t>
            </w:r>
          </w:p>
        </w:tc>
        <w:tc>
          <w:tcPr>
            <w:tcW w:w="855" w:type="pct"/>
            <w:noWrap/>
            <w:hideMark/>
          </w:tcPr>
          <w:p w14:paraId="3CF8DFD7" w14:textId="77777777" w:rsidR="00FA2FF9" w:rsidRPr="00730DE4" w:rsidRDefault="00FA2FF9" w:rsidP="00393FD1">
            <w:pPr>
              <w:pStyle w:val="NoSpacing"/>
              <w:jc w:val="right"/>
              <w:rPr>
                <w:color w:val="FFFFFF" w:themeColor="background1"/>
                <w:lang w:eastAsia="en-AU"/>
              </w:rPr>
            </w:pPr>
            <w:r w:rsidRPr="00730DE4">
              <w:rPr>
                <w:color w:val="FFFFFF" w:themeColor="background1"/>
                <w:lang w:eastAsia="en-AU"/>
              </w:rPr>
              <w:t>2022–23</w:t>
            </w:r>
          </w:p>
        </w:tc>
        <w:tc>
          <w:tcPr>
            <w:tcW w:w="855" w:type="pct"/>
            <w:noWrap/>
            <w:hideMark/>
          </w:tcPr>
          <w:p w14:paraId="32B01026" w14:textId="77777777" w:rsidR="00FA2FF9" w:rsidRPr="00730DE4" w:rsidRDefault="00FA2FF9" w:rsidP="00393FD1">
            <w:pPr>
              <w:pStyle w:val="NoSpacing"/>
              <w:jc w:val="right"/>
              <w:rPr>
                <w:color w:val="FFFFFF" w:themeColor="background1"/>
                <w:lang w:eastAsia="en-AU"/>
              </w:rPr>
            </w:pPr>
            <w:r w:rsidRPr="00730DE4">
              <w:rPr>
                <w:color w:val="FFFFFF" w:themeColor="background1"/>
                <w:lang w:eastAsia="en-AU"/>
              </w:rPr>
              <w:t>2021–22</w:t>
            </w:r>
          </w:p>
        </w:tc>
        <w:tc>
          <w:tcPr>
            <w:tcW w:w="855" w:type="pct"/>
            <w:noWrap/>
            <w:hideMark/>
          </w:tcPr>
          <w:p w14:paraId="276861DD" w14:textId="77777777" w:rsidR="00FA2FF9" w:rsidRPr="00730DE4" w:rsidRDefault="00FA2FF9" w:rsidP="00393FD1">
            <w:pPr>
              <w:pStyle w:val="NoSpacing"/>
              <w:jc w:val="right"/>
              <w:rPr>
                <w:color w:val="FFFFFF" w:themeColor="background1"/>
                <w:lang w:eastAsia="en-AU"/>
              </w:rPr>
            </w:pPr>
            <w:r w:rsidRPr="00730DE4">
              <w:rPr>
                <w:color w:val="FFFFFF" w:themeColor="background1"/>
                <w:lang w:eastAsia="en-AU"/>
              </w:rPr>
              <w:t>2020–21</w:t>
            </w:r>
          </w:p>
        </w:tc>
        <w:tc>
          <w:tcPr>
            <w:tcW w:w="853" w:type="pct"/>
            <w:noWrap/>
            <w:hideMark/>
          </w:tcPr>
          <w:p w14:paraId="6A7F2FE0" w14:textId="77777777" w:rsidR="00FA2FF9" w:rsidRPr="00730DE4" w:rsidRDefault="00FA2FF9" w:rsidP="00393FD1">
            <w:pPr>
              <w:pStyle w:val="NoSpacing"/>
              <w:jc w:val="right"/>
              <w:rPr>
                <w:color w:val="FFFFFF" w:themeColor="background1"/>
                <w:lang w:eastAsia="en-AU"/>
              </w:rPr>
            </w:pPr>
            <w:r w:rsidRPr="00730DE4">
              <w:rPr>
                <w:color w:val="FFFFFF" w:themeColor="background1"/>
                <w:lang w:eastAsia="en-AU"/>
              </w:rPr>
              <w:t>2019–20</w:t>
            </w:r>
          </w:p>
        </w:tc>
      </w:tr>
      <w:tr w:rsidR="000A65A9" w:rsidRPr="00730DE4" w14:paraId="78D90670" w14:textId="77777777" w:rsidTr="00393FD1">
        <w:trPr>
          <w:cnfStyle w:val="000000100000" w:firstRow="0" w:lastRow="0" w:firstColumn="0" w:lastColumn="0" w:oddVBand="0" w:evenVBand="0" w:oddHBand="1" w:evenHBand="0" w:firstRowFirstColumn="0" w:firstRowLastColumn="0" w:lastRowFirstColumn="0" w:lastRowLastColumn="0"/>
          <w:trHeight w:val="255"/>
        </w:trPr>
        <w:tc>
          <w:tcPr>
            <w:tcW w:w="727" w:type="pct"/>
            <w:noWrap/>
            <w:hideMark/>
          </w:tcPr>
          <w:p w14:paraId="798CEEA6" w14:textId="77777777" w:rsidR="00FA2FF9" w:rsidRPr="00730DE4" w:rsidRDefault="00FA2FF9" w:rsidP="00735D82">
            <w:pPr>
              <w:pStyle w:val="NoSpacing"/>
              <w:rPr>
                <w:lang w:eastAsia="en-AU"/>
              </w:rPr>
            </w:pPr>
            <w:r w:rsidRPr="00730DE4">
              <w:rPr>
                <w:lang w:eastAsia="en-AU"/>
              </w:rPr>
              <w:t>Claims</w:t>
            </w:r>
          </w:p>
        </w:tc>
        <w:tc>
          <w:tcPr>
            <w:tcW w:w="855" w:type="pct"/>
            <w:noWrap/>
            <w:hideMark/>
          </w:tcPr>
          <w:p w14:paraId="2EAC5708" w14:textId="77777777" w:rsidR="00FA2FF9" w:rsidRPr="00730DE4" w:rsidRDefault="00FA2FF9" w:rsidP="00393FD1">
            <w:pPr>
              <w:pStyle w:val="NoSpacing"/>
              <w:jc w:val="right"/>
              <w:rPr>
                <w:lang w:eastAsia="en-AU"/>
              </w:rPr>
            </w:pPr>
            <w:r w:rsidRPr="00730DE4">
              <w:rPr>
                <w:lang w:eastAsia="en-AU"/>
              </w:rPr>
              <w:t>259</w:t>
            </w:r>
          </w:p>
        </w:tc>
        <w:tc>
          <w:tcPr>
            <w:tcW w:w="855" w:type="pct"/>
            <w:noWrap/>
            <w:hideMark/>
          </w:tcPr>
          <w:p w14:paraId="2493AA25" w14:textId="77777777" w:rsidR="00FA2FF9" w:rsidRPr="00730DE4" w:rsidRDefault="00FA2FF9" w:rsidP="00393FD1">
            <w:pPr>
              <w:pStyle w:val="NoSpacing"/>
              <w:jc w:val="right"/>
              <w:rPr>
                <w:lang w:eastAsia="en-AU"/>
              </w:rPr>
            </w:pPr>
            <w:r w:rsidRPr="00730DE4">
              <w:rPr>
                <w:lang w:eastAsia="en-AU"/>
              </w:rPr>
              <w:t>226</w:t>
            </w:r>
          </w:p>
        </w:tc>
        <w:tc>
          <w:tcPr>
            <w:tcW w:w="855" w:type="pct"/>
            <w:noWrap/>
            <w:hideMark/>
          </w:tcPr>
          <w:p w14:paraId="4FF317EB" w14:textId="77777777" w:rsidR="00FA2FF9" w:rsidRPr="00730DE4" w:rsidRDefault="00FA2FF9" w:rsidP="00393FD1">
            <w:pPr>
              <w:pStyle w:val="NoSpacing"/>
              <w:jc w:val="right"/>
              <w:rPr>
                <w:lang w:eastAsia="en-AU"/>
              </w:rPr>
            </w:pPr>
            <w:r w:rsidRPr="00730DE4">
              <w:rPr>
                <w:lang w:eastAsia="en-AU"/>
              </w:rPr>
              <w:t>207</w:t>
            </w:r>
          </w:p>
        </w:tc>
        <w:tc>
          <w:tcPr>
            <w:tcW w:w="855" w:type="pct"/>
            <w:noWrap/>
            <w:hideMark/>
          </w:tcPr>
          <w:p w14:paraId="3BE98157" w14:textId="77777777" w:rsidR="00FA2FF9" w:rsidRPr="00730DE4" w:rsidRDefault="00FA2FF9" w:rsidP="00393FD1">
            <w:pPr>
              <w:pStyle w:val="NoSpacing"/>
              <w:jc w:val="right"/>
              <w:rPr>
                <w:lang w:eastAsia="en-AU"/>
              </w:rPr>
            </w:pPr>
            <w:r w:rsidRPr="00730DE4">
              <w:rPr>
                <w:lang w:eastAsia="en-AU"/>
              </w:rPr>
              <w:t>240</w:t>
            </w:r>
          </w:p>
        </w:tc>
        <w:tc>
          <w:tcPr>
            <w:tcW w:w="853" w:type="pct"/>
            <w:noWrap/>
            <w:hideMark/>
          </w:tcPr>
          <w:p w14:paraId="0813C0D3" w14:textId="77777777" w:rsidR="00FA2FF9" w:rsidRPr="00730DE4" w:rsidRDefault="00FA2FF9" w:rsidP="00393FD1">
            <w:pPr>
              <w:pStyle w:val="NoSpacing"/>
              <w:jc w:val="right"/>
              <w:rPr>
                <w:lang w:eastAsia="en-AU"/>
              </w:rPr>
            </w:pPr>
            <w:r w:rsidRPr="00730DE4">
              <w:rPr>
                <w:lang w:eastAsia="en-AU"/>
              </w:rPr>
              <w:t>279</w:t>
            </w:r>
          </w:p>
        </w:tc>
      </w:tr>
    </w:tbl>
    <w:p w14:paraId="735C9EFD" w14:textId="77777777" w:rsidR="00FA2FF9" w:rsidRPr="00730DE4" w:rsidRDefault="00FA2FF9" w:rsidP="00735D82">
      <w:pPr>
        <w:pStyle w:val="Caption"/>
      </w:pPr>
      <w:r w:rsidRPr="00730DE4">
        <w:t xml:space="preserve">Data source: WorkCover Queensland—Online services for employers. </w:t>
      </w:r>
    </w:p>
    <w:p w14:paraId="434C3E5B" w14:textId="77777777" w:rsidR="00FA2FF9" w:rsidRPr="00730DE4" w:rsidRDefault="00FA2FF9" w:rsidP="00735D82">
      <w:pPr>
        <w:pStyle w:val="Caption"/>
      </w:pPr>
      <w:r w:rsidRPr="00730DE4">
        <w:t>Note: 2023–24 data includes claims from the QGCDG.</w:t>
      </w:r>
    </w:p>
    <w:p w14:paraId="5F00F901" w14:textId="77777777" w:rsidR="00FA2FF9" w:rsidRPr="00730DE4" w:rsidRDefault="00FA2FF9" w:rsidP="00735D82">
      <w:pPr>
        <w:pStyle w:val="Caption"/>
      </w:pPr>
      <w:r w:rsidRPr="00730DE4">
        <w:t>Note: Figures are subject to revision as more information becomes available.</w:t>
      </w:r>
    </w:p>
    <w:p w14:paraId="435D944C" w14:textId="77777777" w:rsidR="00FA2FF9" w:rsidRPr="00730DE4" w:rsidRDefault="00FA2FF9" w:rsidP="00735D82">
      <w:pPr>
        <w:pStyle w:val="FigureCaption"/>
      </w:pPr>
      <w:r w:rsidRPr="00730DE4">
        <w:t>Table 42: Comparison of final return to work percentages</w:t>
      </w:r>
    </w:p>
    <w:tbl>
      <w:tblPr>
        <w:tblStyle w:val="TMRDefault"/>
        <w:tblW w:w="5000" w:type="pct"/>
        <w:tblLook w:val="04A0" w:firstRow="1" w:lastRow="0" w:firstColumn="1" w:lastColumn="0" w:noHBand="0" w:noVBand="1"/>
      </w:tblPr>
      <w:tblGrid>
        <w:gridCol w:w="1695"/>
        <w:gridCol w:w="1473"/>
        <w:gridCol w:w="1473"/>
        <w:gridCol w:w="1473"/>
        <w:gridCol w:w="1473"/>
        <w:gridCol w:w="1473"/>
      </w:tblGrid>
      <w:tr w:rsidR="000A65A9" w:rsidRPr="00730DE4" w14:paraId="577B79F6" w14:textId="77777777" w:rsidTr="00393FD1">
        <w:trPr>
          <w:cnfStyle w:val="100000000000" w:firstRow="1" w:lastRow="0" w:firstColumn="0" w:lastColumn="0" w:oddVBand="0" w:evenVBand="0" w:oddHBand="0" w:evenHBand="0" w:firstRowFirstColumn="0" w:firstRowLastColumn="0" w:lastRowFirstColumn="0" w:lastRowLastColumn="0"/>
          <w:trHeight w:val="255"/>
          <w:tblHeader/>
        </w:trPr>
        <w:tc>
          <w:tcPr>
            <w:tcW w:w="935" w:type="pct"/>
            <w:noWrap/>
            <w:hideMark/>
          </w:tcPr>
          <w:p w14:paraId="780F07E4" w14:textId="77777777" w:rsidR="00FA2FF9" w:rsidRPr="00730DE4" w:rsidRDefault="00FA2FF9" w:rsidP="00735D82">
            <w:pPr>
              <w:pStyle w:val="NoSpacing"/>
              <w:rPr>
                <w:color w:val="FFFFFF" w:themeColor="background1"/>
                <w:lang w:eastAsia="en-AU"/>
              </w:rPr>
            </w:pPr>
            <w:r w:rsidRPr="00730DE4">
              <w:rPr>
                <w:color w:val="FFFFFF" w:themeColor="background1"/>
                <w:lang w:eastAsia="en-AU"/>
              </w:rPr>
              <w:t> </w:t>
            </w:r>
          </w:p>
        </w:tc>
        <w:tc>
          <w:tcPr>
            <w:tcW w:w="813" w:type="pct"/>
            <w:noWrap/>
            <w:hideMark/>
          </w:tcPr>
          <w:p w14:paraId="73AE9F53" w14:textId="77777777" w:rsidR="00FA2FF9" w:rsidRPr="00730DE4" w:rsidRDefault="00FA2FF9" w:rsidP="00393FD1">
            <w:pPr>
              <w:pStyle w:val="NoSpacing"/>
              <w:jc w:val="right"/>
              <w:rPr>
                <w:color w:val="FFFFFF" w:themeColor="background1"/>
                <w:lang w:eastAsia="en-AU"/>
              </w:rPr>
            </w:pPr>
            <w:r w:rsidRPr="00730DE4">
              <w:rPr>
                <w:color w:val="FFFFFF" w:themeColor="background1"/>
                <w:lang w:eastAsia="en-AU"/>
              </w:rPr>
              <w:t>2023–24</w:t>
            </w:r>
          </w:p>
        </w:tc>
        <w:tc>
          <w:tcPr>
            <w:tcW w:w="813" w:type="pct"/>
            <w:noWrap/>
            <w:hideMark/>
          </w:tcPr>
          <w:p w14:paraId="0D2329C4" w14:textId="77777777" w:rsidR="00FA2FF9" w:rsidRPr="00730DE4" w:rsidRDefault="00FA2FF9" w:rsidP="00393FD1">
            <w:pPr>
              <w:pStyle w:val="NoSpacing"/>
              <w:jc w:val="right"/>
              <w:rPr>
                <w:color w:val="FFFFFF" w:themeColor="background1"/>
                <w:lang w:eastAsia="en-AU"/>
              </w:rPr>
            </w:pPr>
            <w:r w:rsidRPr="00730DE4">
              <w:rPr>
                <w:color w:val="FFFFFF" w:themeColor="background1"/>
                <w:lang w:eastAsia="en-AU"/>
              </w:rPr>
              <w:t>2022–23</w:t>
            </w:r>
          </w:p>
        </w:tc>
        <w:tc>
          <w:tcPr>
            <w:tcW w:w="813" w:type="pct"/>
            <w:noWrap/>
            <w:hideMark/>
          </w:tcPr>
          <w:p w14:paraId="19060C5D" w14:textId="77777777" w:rsidR="00FA2FF9" w:rsidRPr="00730DE4" w:rsidRDefault="00FA2FF9" w:rsidP="00393FD1">
            <w:pPr>
              <w:pStyle w:val="NoSpacing"/>
              <w:jc w:val="right"/>
              <w:rPr>
                <w:color w:val="FFFFFF" w:themeColor="background1"/>
                <w:lang w:eastAsia="en-AU"/>
              </w:rPr>
            </w:pPr>
            <w:r w:rsidRPr="00730DE4">
              <w:rPr>
                <w:color w:val="FFFFFF" w:themeColor="background1"/>
                <w:lang w:eastAsia="en-AU"/>
              </w:rPr>
              <w:t>2021–22</w:t>
            </w:r>
          </w:p>
        </w:tc>
        <w:tc>
          <w:tcPr>
            <w:tcW w:w="813" w:type="pct"/>
            <w:noWrap/>
            <w:hideMark/>
          </w:tcPr>
          <w:p w14:paraId="1814FC31" w14:textId="77777777" w:rsidR="00FA2FF9" w:rsidRPr="00730DE4" w:rsidRDefault="00FA2FF9" w:rsidP="00393FD1">
            <w:pPr>
              <w:pStyle w:val="NoSpacing"/>
              <w:jc w:val="right"/>
              <w:rPr>
                <w:color w:val="FFFFFF" w:themeColor="background1"/>
                <w:lang w:eastAsia="en-AU"/>
              </w:rPr>
            </w:pPr>
            <w:r w:rsidRPr="00730DE4">
              <w:rPr>
                <w:color w:val="FFFFFF" w:themeColor="background1"/>
                <w:lang w:eastAsia="en-AU"/>
              </w:rPr>
              <w:t>2020–21</w:t>
            </w:r>
          </w:p>
        </w:tc>
        <w:tc>
          <w:tcPr>
            <w:tcW w:w="813" w:type="pct"/>
            <w:noWrap/>
            <w:hideMark/>
          </w:tcPr>
          <w:p w14:paraId="781BA450" w14:textId="77777777" w:rsidR="00FA2FF9" w:rsidRPr="00730DE4" w:rsidRDefault="00FA2FF9" w:rsidP="00393FD1">
            <w:pPr>
              <w:pStyle w:val="NoSpacing"/>
              <w:jc w:val="right"/>
              <w:rPr>
                <w:color w:val="FFFFFF" w:themeColor="background1"/>
                <w:lang w:eastAsia="en-AU"/>
              </w:rPr>
            </w:pPr>
            <w:r w:rsidRPr="00730DE4">
              <w:rPr>
                <w:color w:val="FFFFFF" w:themeColor="background1"/>
                <w:lang w:eastAsia="en-AU"/>
              </w:rPr>
              <w:t>2019–20</w:t>
            </w:r>
          </w:p>
        </w:tc>
      </w:tr>
      <w:tr w:rsidR="000A65A9" w:rsidRPr="00730DE4" w14:paraId="706EBAFD" w14:textId="77777777" w:rsidTr="00393FD1">
        <w:trPr>
          <w:cnfStyle w:val="000000100000" w:firstRow="0" w:lastRow="0" w:firstColumn="0" w:lastColumn="0" w:oddVBand="0" w:evenVBand="0" w:oddHBand="1" w:evenHBand="0" w:firstRowFirstColumn="0" w:firstRowLastColumn="0" w:lastRowFirstColumn="0" w:lastRowLastColumn="0"/>
          <w:trHeight w:val="255"/>
        </w:trPr>
        <w:tc>
          <w:tcPr>
            <w:tcW w:w="935" w:type="pct"/>
            <w:noWrap/>
            <w:hideMark/>
          </w:tcPr>
          <w:p w14:paraId="3702B799" w14:textId="77777777" w:rsidR="00FA2FF9" w:rsidRPr="00730DE4" w:rsidRDefault="00FA2FF9" w:rsidP="00735D82">
            <w:pPr>
              <w:pStyle w:val="NoSpacing"/>
              <w:rPr>
                <w:lang w:eastAsia="en-AU"/>
              </w:rPr>
            </w:pPr>
            <w:r w:rsidRPr="00730DE4">
              <w:rPr>
                <w:lang w:eastAsia="en-AU"/>
              </w:rPr>
              <w:t>Final RTW</w:t>
            </w:r>
          </w:p>
        </w:tc>
        <w:tc>
          <w:tcPr>
            <w:tcW w:w="813" w:type="pct"/>
            <w:noWrap/>
            <w:hideMark/>
          </w:tcPr>
          <w:p w14:paraId="7E4A2B44" w14:textId="77777777" w:rsidR="00FA2FF9" w:rsidRPr="00730DE4" w:rsidRDefault="00FA2FF9" w:rsidP="00393FD1">
            <w:pPr>
              <w:pStyle w:val="NoSpacing"/>
              <w:jc w:val="right"/>
              <w:rPr>
                <w:lang w:eastAsia="en-AU"/>
              </w:rPr>
            </w:pPr>
            <w:r w:rsidRPr="00730DE4">
              <w:rPr>
                <w:lang w:eastAsia="en-AU"/>
              </w:rPr>
              <w:t>89.00%</w:t>
            </w:r>
          </w:p>
        </w:tc>
        <w:tc>
          <w:tcPr>
            <w:tcW w:w="813" w:type="pct"/>
            <w:noWrap/>
            <w:hideMark/>
          </w:tcPr>
          <w:p w14:paraId="7E6AC2DD" w14:textId="77777777" w:rsidR="00FA2FF9" w:rsidRPr="00730DE4" w:rsidRDefault="00FA2FF9" w:rsidP="00393FD1">
            <w:pPr>
              <w:pStyle w:val="NoSpacing"/>
              <w:jc w:val="right"/>
              <w:rPr>
                <w:lang w:eastAsia="en-AU"/>
              </w:rPr>
            </w:pPr>
            <w:r w:rsidRPr="00730DE4">
              <w:rPr>
                <w:lang w:eastAsia="en-AU"/>
              </w:rPr>
              <w:t>93.00%</w:t>
            </w:r>
          </w:p>
        </w:tc>
        <w:tc>
          <w:tcPr>
            <w:tcW w:w="813" w:type="pct"/>
            <w:noWrap/>
            <w:hideMark/>
          </w:tcPr>
          <w:p w14:paraId="60C29F87" w14:textId="77777777" w:rsidR="00FA2FF9" w:rsidRPr="00730DE4" w:rsidRDefault="00FA2FF9" w:rsidP="00393FD1">
            <w:pPr>
              <w:pStyle w:val="NoSpacing"/>
              <w:jc w:val="right"/>
              <w:rPr>
                <w:lang w:eastAsia="en-AU"/>
              </w:rPr>
            </w:pPr>
            <w:r w:rsidRPr="00730DE4">
              <w:rPr>
                <w:lang w:eastAsia="en-AU"/>
              </w:rPr>
              <w:t>90.00%</w:t>
            </w:r>
          </w:p>
        </w:tc>
        <w:tc>
          <w:tcPr>
            <w:tcW w:w="813" w:type="pct"/>
            <w:noWrap/>
            <w:hideMark/>
          </w:tcPr>
          <w:p w14:paraId="256EF901" w14:textId="77777777" w:rsidR="00FA2FF9" w:rsidRPr="00730DE4" w:rsidRDefault="00FA2FF9" w:rsidP="00393FD1">
            <w:pPr>
              <w:pStyle w:val="NoSpacing"/>
              <w:jc w:val="right"/>
              <w:rPr>
                <w:lang w:eastAsia="en-AU"/>
              </w:rPr>
            </w:pPr>
            <w:r w:rsidRPr="00730DE4">
              <w:rPr>
                <w:lang w:eastAsia="en-AU"/>
              </w:rPr>
              <w:t>96.00%</w:t>
            </w:r>
          </w:p>
        </w:tc>
        <w:tc>
          <w:tcPr>
            <w:tcW w:w="813" w:type="pct"/>
            <w:noWrap/>
            <w:hideMark/>
          </w:tcPr>
          <w:p w14:paraId="2D53519D" w14:textId="77777777" w:rsidR="00FA2FF9" w:rsidRPr="00730DE4" w:rsidRDefault="00FA2FF9" w:rsidP="00393FD1">
            <w:pPr>
              <w:pStyle w:val="NoSpacing"/>
              <w:jc w:val="right"/>
              <w:rPr>
                <w:lang w:eastAsia="en-AU"/>
              </w:rPr>
            </w:pPr>
            <w:r w:rsidRPr="00730DE4">
              <w:rPr>
                <w:lang w:eastAsia="en-AU"/>
              </w:rPr>
              <w:t>99.00%</w:t>
            </w:r>
          </w:p>
        </w:tc>
      </w:tr>
    </w:tbl>
    <w:p w14:paraId="57A25573" w14:textId="77777777" w:rsidR="00FA2FF9" w:rsidRPr="00730DE4" w:rsidRDefault="00FA2FF9" w:rsidP="00735D82">
      <w:pPr>
        <w:pStyle w:val="Caption"/>
      </w:pPr>
      <w:r w:rsidRPr="00730DE4">
        <w:t xml:space="preserve">Data source: WorkCover Queensland—Online services for employers. </w:t>
      </w:r>
      <w:r w:rsidRPr="00730DE4">
        <w:br/>
        <w:t>Note: Figures are subject to revision as more information becomes available.</w:t>
      </w:r>
    </w:p>
    <w:p w14:paraId="09B50D9F" w14:textId="77777777" w:rsidR="00FA2FF9" w:rsidRPr="00730DE4" w:rsidRDefault="00FA2FF9" w:rsidP="002B7001">
      <w:pPr>
        <w:pStyle w:val="Heading3"/>
        <w:rPr>
          <w:lang w:val="en-US"/>
        </w:rPr>
      </w:pPr>
      <w:bookmarkStart w:id="1275" w:name="_Toc180487647"/>
      <w:bookmarkStart w:id="1276" w:name="_Toc180490853"/>
      <w:bookmarkStart w:id="1277" w:name="_Toc180491886"/>
      <w:r w:rsidRPr="00730DE4">
        <w:rPr>
          <w:lang w:val="en-US"/>
        </w:rPr>
        <w:t>Injury management</w:t>
      </w:r>
      <w:bookmarkEnd w:id="1275"/>
      <w:bookmarkEnd w:id="1276"/>
      <w:bookmarkEnd w:id="1277"/>
    </w:p>
    <w:p w14:paraId="01D8555F" w14:textId="77777777" w:rsidR="00FA2FF9" w:rsidRPr="00730DE4" w:rsidRDefault="00FA2FF9" w:rsidP="005C1C12">
      <w:r w:rsidRPr="00730DE4">
        <w:t xml:space="preserve">Through the </w:t>
      </w:r>
      <w:r w:rsidRPr="00730DE4">
        <w:rPr>
          <w:rStyle w:val="Emphasis"/>
        </w:rPr>
        <w:t xml:space="preserve">Workplace Rehabilitation Policy </w:t>
      </w:r>
      <w:r w:rsidRPr="00730DE4">
        <w:t>and centralised management of rehabilitation and workers’ compensation claims, TMR remained committed to ensuring that rehabilitation and return to work services are provided in keeping with injury management best practice.</w:t>
      </w:r>
    </w:p>
    <w:p w14:paraId="634FD15C" w14:textId="77777777" w:rsidR="00FA2FF9" w:rsidRPr="00730DE4" w:rsidRDefault="00FA2FF9" w:rsidP="005C1C12">
      <w:r w:rsidRPr="00730DE4">
        <w:t>TMR recognises that workplace rehabilitation assists in the recovery process and helps restore the employee’s normal function sooner. In the event of an injury or illness, regardless of whether it is work-related, TMR is committed to assisting employees to achieve a safe return to work in a way that will facilitate their best possible recovery.</w:t>
      </w:r>
      <w:bookmarkStart w:id="1278" w:name="_Hlk162361421"/>
      <w:r w:rsidRPr="00730DE4">
        <w:t xml:space="preserve"> This is achieved </w:t>
      </w:r>
      <w:bookmarkEnd w:id="1278"/>
      <w:r w:rsidRPr="00730DE4">
        <w:t>by:</w:t>
      </w:r>
    </w:p>
    <w:p w14:paraId="081FAAF1" w14:textId="77777777" w:rsidR="00FA2FF9" w:rsidRPr="00730DE4" w:rsidRDefault="00FA2FF9" w:rsidP="005C1C12">
      <w:pPr>
        <w:pStyle w:val="ListBullet"/>
        <w:rPr>
          <w:lang w:val="en-US"/>
        </w:rPr>
      </w:pPr>
      <w:r w:rsidRPr="00730DE4">
        <w:rPr>
          <w:lang w:val="en-US"/>
        </w:rPr>
        <w:t>accommodating a gradual return to work, with a focus on suitable duties in accordance with medical advice</w:t>
      </w:r>
    </w:p>
    <w:p w14:paraId="41ED94FA" w14:textId="77777777" w:rsidR="00FA2FF9" w:rsidRPr="00730DE4" w:rsidRDefault="00FA2FF9" w:rsidP="005C1C12">
      <w:pPr>
        <w:pStyle w:val="ListBullet"/>
        <w:rPr>
          <w:lang w:val="en-US"/>
        </w:rPr>
      </w:pPr>
      <w:r w:rsidRPr="00730DE4">
        <w:rPr>
          <w:lang w:val="en-US"/>
        </w:rPr>
        <w:t>building a positive culture around injury management and providing suitable duties to assist in employees’ recovery</w:t>
      </w:r>
    </w:p>
    <w:p w14:paraId="527901DA" w14:textId="77777777" w:rsidR="00FA2FF9" w:rsidRPr="00730DE4" w:rsidRDefault="00FA2FF9" w:rsidP="005C1C12">
      <w:pPr>
        <w:pStyle w:val="ListBullet"/>
        <w:rPr>
          <w:lang w:val="en-US"/>
        </w:rPr>
      </w:pPr>
      <w:r w:rsidRPr="00730DE4">
        <w:rPr>
          <w:lang w:val="en-US"/>
        </w:rPr>
        <w:t>working closely with WorkCover Queensland and QSuper to ensure proactive case management.</w:t>
      </w:r>
    </w:p>
    <w:p w14:paraId="3A50F922" w14:textId="77777777" w:rsidR="00094BA5" w:rsidRPr="00730DE4" w:rsidRDefault="00094BA5">
      <w:pPr>
        <w:suppressAutoHyphens w:val="0"/>
        <w:spacing w:before="0" w:line="259" w:lineRule="auto"/>
        <w:rPr>
          <w:rFonts w:eastAsiaTheme="majorEastAsia" w:cstheme="majorBidi"/>
          <w:color w:val="080C0F" w:themeColor="text1"/>
          <w:sz w:val="60"/>
          <w:szCs w:val="32"/>
        </w:rPr>
      </w:pPr>
      <w:r w:rsidRPr="00730DE4">
        <w:br w:type="page"/>
      </w:r>
    </w:p>
    <w:p w14:paraId="0748E988" w14:textId="3B800BC9" w:rsidR="00FA2FF9" w:rsidRPr="00730DE4" w:rsidRDefault="00FA2FF9" w:rsidP="002B7001">
      <w:pPr>
        <w:pStyle w:val="Heading2"/>
        <w:rPr>
          <w:lang w:val="en-US"/>
        </w:rPr>
      </w:pPr>
      <w:bookmarkStart w:id="1279" w:name="_Toc180490854"/>
      <w:bookmarkStart w:id="1280" w:name="_Toc180491887"/>
      <w:r w:rsidRPr="00730DE4">
        <w:t>Safety of our staff–</w:t>
      </w:r>
      <w:r w:rsidRPr="00730DE4">
        <w:rPr>
          <w:lang w:val="en-US"/>
        </w:rPr>
        <w:t>Safety performance</w:t>
      </w:r>
      <w:bookmarkEnd w:id="1279"/>
      <w:bookmarkEnd w:id="1280"/>
    </w:p>
    <w:p w14:paraId="1333B803" w14:textId="77777777" w:rsidR="00FA2FF9" w:rsidRPr="00730DE4" w:rsidRDefault="00FA2FF9" w:rsidP="00A666B1">
      <w:r w:rsidRPr="00730DE4">
        <w:t xml:space="preserve">Reporting on workplace health and safety demonstrates how safety is managed and where improvements are required. </w:t>
      </w:r>
      <w:r w:rsidRPr="00730DE4">
        <w:rPr>
          <w:lang w:val="en-US"/>
        </w:rPr>
        <w:t>It leads</w:t>
      </w:r>
      <w:r w:rsidRPr="00730DE4">
        <w:t xml:space="preserve"> to increased safety awareness within TMR and contributes to improved safe work culture and health and safety outcomes.</w:t>
      </w:r>
    </w:p>
    <w:p w14:paraId="42270802" w14:textId="77777777" w:rsidR="00FA2FF9" w:rsidRPr="00730DE4" w:rsidRDefault="00FA2FF9" w:rsidP="00A666B1">
      <w:pPr>
        <w:rPr>
          <w:lang w:val="en-US"/>
        </w:rPr>
      </w:pPr>
      <w:r w:rsidRPr="00730DE4">
        <w:rPr>
          <w:lang w:val="en-US"/>
        </w:rPr>
        <w:t xml:space="preserve">In 2023–24, TMR recorded a total of 3119 incidents, which is an increase from the 2516 incidents reported for the previous financial year. Of the 3119 incidents reported for 2023–24, 2579 were work related, and 540 were non-work related. For 2023–24, TMR recorded 130 lost time injuries, which is 46 less than recorded during the last financial year. </w:t>
      </w:r>
    </w:p>
    <w:p w14:paraId="6E6B020D" w14:textId="77777777" w:rsidR="00FA2FF9" w:rsidRPr="00730DE4" w:rsidRDefault="00FA2FF9" w:rsidP="006C0624">
      <w:r w:rsidRPr="00730DE4">
        <w:t xml:space="preserve">Incidents involving psychosocial hazards and mental stress were the most frequently reported incident mechanism type for 2023–24. These incidents have been increasing over the last three financial years, mostly impacting workers in frontline roles such as customer management, school crossing duties, construction, and road maintenance activities. This increase coincides with the enhanced knowledge and understanding of psychosocial hazards in the workplace. </w:t>
      </w:r>
    </w:p>
    <w:p w14:paraId="1A3A97F3" w14:textId="77777777" w:rsidR="00FA2FF9" w:rsidRPr="00730DE4" w:rsidRDefault="00FA2FF9" w:rsidP="006C0624">
      <w:r w:rsidRPr="00730DE4">
        <w:t>TMR continues an active approach to build internal capability in the prevention and management of incidents involving psychosocial hazards, and the effective management of associated risks. This includes consulting with employees to identify psychosocial hazards, assess the risk, and implement effective controls to manage hazards, reduce the risk of future incidents, provide support for impacted workers including early intervention programs, and promote health and wellbeing.</w:t>
      </w:r>
    </w:p>
    <w:p w14:paraId="54E3F60E" w14:textId="77777777" w:rsidR="00FA2FF9" w:rsidRPr="00730DE4" w:rsidRDefault="00FA2FF9" w:rsidP="00A666B1">
      <w:r w:rsidRPr="00730DE4">
        <w:t xml:space="preserve">TMR has implemented a new </w:t>
      </w:r>
      <w:r w:rsidRPr="00730DE4">
        <w:rPr>
          <w:lang w:val="en-US"/>
        </w:rPr>
        <w:t>WHS</w:t>
      </w:r>
      <w:r w:rsidRPr="00730DE4">
        <w:t xml:space="preserve"> management system to enhance safety reporting and capability across the department. The new system, released in October 2023</w:t>
      </w:r>
      <w:r w:rsidRPr="00730DE4">
        <w:rPr>
          <w:lang w:val="en-US"/>
        </w:rPr>
        <w:t>,</w:t>
      </w:r>
      <w:r w:rsidRPr="00730DE4">
        <w:t xml:space="preserve"> ensures WHS events and processes can be effectively reported and managed, providing improved reporting and enabling a stronger understanding of safety performance for TMR. </w:t>
      </w:r>
    </w:p>
    <w:p w14:paraId="48635A71" w14:textId="77777777" w:rsidR="00FA2FF9" w:rsidRPr="00730DE4" w:rsidRDefault="00FA2FF9" w:rsidP="00A666B1">
      <w:pPr>
        <w:rPr>
          <w:lang w:val="en-US"/>
        </w:rPr>
      </w:pPr>
      <w:r w:rsidRPr="00730DE4">
        <w:rPr>
          <w:lang w:val="en-US"/>
        </w:rPr>
        <w:t>In 2023, TMR developed and commenced delivery of WHS capability training for managers and supervisors. This training is building manager and supervisor capability in risk and incident management to promote a safe and healthy workplace for all TMR employees, customers, and visitors.</w:t>
      </w:r>
    </w:p>
    <w:p w14:paraId="72359CBF" w14:textId="3753D6F9" w:rsidR="00094BA5" w:rsidRPr="00730DE4" w:rsidRDefault="00094BA5">
      <w:pPr>
        <w:suppressAutoHyphens w:val="0"/>
        <w:spacing w:before="0" w:line="259" w:lineRule="auto"/>
      </w:pPr>
      <w:r w:rsidRPr="00730DE4">
        <w:br w:type="page"/>
      </w:r>
    </w:p>
    <w:p w14:paraId="6F85E9D2" w14:textId="4868326C" w:rsidR="00FA2FF9" w:rsidRPr="00730DE4" w:rsidRDefault="00FA2FF9" w:rsidP="002B7001">
      <w:pPr>
        <w:pStyle w:val="Heading1"/>
      </w:pPr>
      <w:bookmarkStart w:id="1281" w:name="_Toc180490855"/>
      <w:bookmarkStart w:id="1282" w:name="_Toc180491888"/>
      <w:r w:rsidRPr="00730DE4">
        <w:t>Our Organisation</w:t>
      </w:r>
      <w:bookmarkEnd w:id="1281"/>
      <w:bookmarkEnd w:id="1282"/>
    </w:p>
    <w:p w14:paraId="1FF9CD51" w14:textId="77777777" w:rsidR="00F94968" w:rsidRPr="00730DE4" w:rsidRDefault="00F94968" w:rsidP="00F94968">
      <w:r w:rsidRPr="00730DE4">
        <w:t>To read more about the strategies and indicators of success linked to these strategic priorities, see page 19–30.</w:t>
      </w:r>
    </w:p>
    <w:p w14:paraId="7F6803DD" w14:textId="77777777" w:rsidR="00FA2FF9" w:rsidRPr="00730DE4" w:rsidRDefault="00FA2FF9" w:rsidP="002B7001">
      <w:pPr>
        <w:pStyle w:val="Heading2"/>
      </w:pPr>
      <w:bookmarkStart w:id="1283" w:name="_Toc180490856"/>
      <w:bookmarkStart w:id="1284" w:name="_Toc180491889"/>
      <w:r w:rsidRPr="00730DE4">
        <w:t>Highlights</w:t>
      </w:r>
      <w:bookmarkEnd w:id="1283"/>
      <w:bookmarkEnd w:id="1284"/>
    </w:p>
    <w:p w14:paraId="546928C0" w14:textId="77777777" w:rsidR="00FA2FF9" w:rsidRPr="00730DE4" w:rsidRDefault="00FA2FF9" w:rsidP="00147EA5">
      <w:pPr>
        <w:pStyle w:val="ListBullet"/>
      </w:pPr>
      <w:r w:rsidRPr="00730DE4">
        <w:t xml:space="preserve">To deliver its program in 2023–24, TMR leveraged it’s $11 billion procurement spend and the </w:t>
      </w:r>
      <w:r w:rsidRPr="00730DE4">
        <w:rPr>
          <w:rStyle w:val="Emphasis"/>
        </w:rPr>
        <w:t>Queensland Procurement Policy</w:t>
      </w:r>
      <w:r w:rsidRPr="00730DE4">
        <w:t xml:space="preserve"> and </w:t>
      </w:r>
      <w:r w:rsidRPr="00730DE4">
        <w:rPr>
          <w:rStyle w:val="Emphasis"/>
        </w:rPr>
        <w:t>Queensland Indigenous Procurement Policy</w:t>
      </w:r>
      <w:r w:rsidRPr="00730DE4">
        <w:t xml:space="preserve"> to drive a range of local, social, and innovative procurement objectives that create opportunities for local, regional, and Queensland suppliers.</w:t>
      </w:r>
    </w:p>
    <w:p w14:paraId="614D2424" w14:textId="77777777" w:rsidR="00FA2FF9" w:rsidRPr="00730DE4" w:rsidRDefault="00FA2FF9" w:rsidP="00147EA5">
      <w:pPr>
        <w:pStyle w:val="ListBullet"/>
      </w:pPr>
      <w:r w:rsidRPr="00730DE4">
        <w:t>Procured goods and services from 2786 suppliers in regional areas, contributing more than $2.66 billion directly to those local regions, in addition to $58.9 million going directly to Aboriginal and Torres Strait Islander businesses.</w:t>
      </w:r>
    </w:p>
    <w:p w14:paraId="67706379" w14:textId="77777777" w:rsidR="00FA2FF9" w:rsidRPr="00730DE4" w:rsidRDefault="00FA2FF9" w:rsidP="00147EA5">
      <w:pPr>
        <w:pStyle w:val="ListBullet"/>
      </w:pPr>
      <w:r w:rsidRPr="00730DE4">
        <w:t xml:space="preserve">Awarded 2427 contracts to Queensland suppliers, contributing $3.5 billion directly into the Queensland economy. </w:t>
      </w:r>
    </w:p>
    <w:p w14:paraId="5DA51676" w14:textId="77777777" w:rsidR="00FA2FF9" w:rsidRPr="00730DE4" w:rsidRDefault="00FA2FF9" w:rsidP="00147EA5">
      <w:pPr>
        <w:pStyle w:val="ListBullet"/>
      </w:pPr>
      <w:r w:rsidRPr="00730DE4">
        <w:t>Awarded over 90 per cent of contracts to Queensland suppliers and increased spend with Aboriginal and Torres Strait Islander businesses by 23 per cent.</w:t>
      </w:r>
    </w:p>
    <w:p w14:paraId="215B9039" w14:textId="77777777" w:rsidR="00FA2FF9" w:rsidRPr="00730DE4" w:rsidRDefault="00FA2FF9" w:rsidP="005F04A6">
      <w:pPr>
        <w:pStyle w:val="ListBullet"/>
      </w:pPr>
      <w:r w:rsidRPr="00730DE4">
        <w:t xml:space="preserve">Under </w:t>
      </w:r>
      <w:r w:rsidRPr="00730DE4">
        <w:rPr>
          <w:rStyle w:val="Emphasis"/>
        </w:rPr>
        <w:t>Data and Analytics Strategy 2023–26</w:t>
      </w:r>
      <w:r w:rsidRPr="00730DE4">
        <w:t>, leveraged the strategic data analytics framework, the TDx, to continue implementation of cloud-based analytics solutions to address complex business and customer-centric challenges.</w:t>
      </w:r>
    </w:p>
    <w:p w14:paraId="50B8AF00" w14:textId="77777777" w:rsidR="00FA2FF9" w:rsidRPr="00730DE4" w:rsidRDefault="00FA2FF9" w:rsidP="00147EA5">
      <w:pPr>
        <w:pStyle w:val="ListBullet"/>
      </w:pPr>
      <w:r w:rsidRPr="00730DE4">
        <w:t>Commenced migration of on-premise intranet content to SharePoint Online.</w:t>
      </w:r>
    </w:p>
    <w:p w14:paraId="581E7A1A" w14:textId="77777777" w:rsidR="00FA2FF9" w:rsidRPr="00730DE4" w:rsidRDefault="00FA2FF9" w:rsidP="00147EA5">
      <w:pPr>
        <w:pStyle w:val="ListBullet"/>
      </w:pPr>
      <w:r w:rsidRPr="00730DE4">
        <w:t>Continued to build a culture of privacy by ensuring guidelines, policies, and procedures support the effective management of personal information.</w:t>
      </w:r>
    </w:p>
    <w:p w14:paraId="243F0EE3" w14:textId="77777777" w:rsidR="00FA2FF9" w:rsidRPr="00730DE4" w:rsidRDefault="00FA2FF9" w:rsidP="005F04A6">
      <w:pPr>
        <w:pStyle w:val="ListBullet"/>
      </w:pPr>
      <w:r w:rsidRPr="00730DE4">
        <w:t>Managed 914 information access applications during 2023–24 under Right to Information, with 33,606 documents reviewed and considered for release, and 83 per cent released in full or in part to applicants.</w:t>
      </w:r>
    </w:p>
    <w:p w14:paraId="222AF355" w14:textId="77777777" w:rsidR="00FA2FF9" w:rsidRPr="00730DE4" w:rsidRDefault="00FA2FF9" w:rsidP="005F04A6">
      <w:pPr>
        <w:pStyle w:val="ListBullet"/>
      </w:pPr>
      <w:r w:rsidRPr="00730DE4">
        <w:t xml:space="preserve">Conducted a comprehensive review of </w:t>
      </w:r>
      <w:r w:rsidRPr="00730DE4">
        <w:rPr>
          <w:rStyle w:val="Emphasis"/>
        </w:rPr>
        <w:t>TMR Risk and Opportunity Appetite Statement</w:t>
      </w:r>
      <w:r w:rsidRPr="00730DE4">
        <w:t xml:space="preserve"> by incorporating innovation/opportunity appetite in key areas, aligning with the updated Strategic Plan and current Risk Assessment and Rating Matrix.</w:t>
      </w:r>
    </w:p>
    <w:p w14:paraId="64C5C7B0" w14:textId="77777777" w:rsidR="00FA2FF9" w:rsidRPr="00730DE4" w:rsidRDefault="00FA2FF9" w:rsidP="005F04A6">
      <w:pPr>
        <w:pStyle w:val="ListBullet"/>
      </w:pPr>
      <w:r w:rsidRPr="00730DE4">
        <w:t>Developed fit-for-purpose risk management training modules and communicated across the department to promote risk awareness and increase risk management capability.</w:t>
      </w:r>
    </w:p>
    <w:p w14:paraId="4A567AA8" w14:textId="77777777" w:rsidR="00094BA5" w:rsidRPr="00730DE4" w:rsidRDefault="00094BA5">
      <w:pPr>
        <w:suppressAutoHyphens w:val="0"/>
        <w:spacing w:before="0" w:line="259" w:lineRule="auto"/>
        <w:rPr>
          <w:rFonts w:eastAsiaTheme="majorEastAsia" w:cstheme="majorBidi"/>
          <w:color w:val="080C0F" w:themeColor="text1"/>
          <w:sz w:val="60"/>
          <w:szCs w:val="32"/>
        </w:rPr>
      </w:pPr>
      <w:r w:rsidRPr="00730DE4">
        <w:br w:type="page"/>
      </w:r>
    </w:p>
    <w:p w14:paraId="128A938A" w14:textId="2B809FB4" w:rsidR="00FA2FF9" w:rsidRPr="00730DE4" w:rsidRDefault="007F5D93" w:rsidP="007F5D93">
      <w:pPr>
        <w:pStyle w:val="Heading2"/>
      </w:pPr>
      <w:bookmarkStart w:id="1285" w:name="_Toc180490857"/>
      <w:bookmarkStart w:id="1286" w:name="_Toc180491890"/>
      <w:r w:rsidRPr="00730DE4">
        <w:t>Management structure</w:t>
      </w:r>
      <w:bookmarkEnd w:id="1285"/>
      <w:bookmarkEnd w:id="1286"/>
    </w:p>
    <w:p w14:paraId="046162B2" w14:textId="77777777" w:rsidR="007F5D93" w:rsidRPr="00730DE4" w:rsidRDefault="007F5D93" w:rsidP="007F5D93">
      <w:pPr>
        <w:pStyle w:val="ListBullet"/>
        <w:numPr>
          <w:ilvl w:val="0"/>
          <w:numId w:val="0"/>
        </w:numPr>
        <w:rPr>
          <w:rStyle w:val="Strong"/>
        </w:rPr>
      </w:pPr>
      <w:r w:rsidRPr="00730DE4">
        <w:rPr>
          <w:rStyle w:val="Strong"/>
        </w:rPr>
        <w:t>Minister for Transport and Main Roads and Minister for Digital Services</w:t>
      </w:r>
    </w:p>
    <w:p w14:paraId="2713FDE3" w14:textId="77777777" w:rsidR="007F5D93" w:rsidRPr="00730DE4" w:rsidRDefault="007F5D93" w:rsidP="007F5D93">
      <w:pPr>
        <w:pStyle w:val="ListBullet"/>
      </w:pPr>
      <w:r w:rsidRPr="00730DE4">
        <w:rPr>
          <w:rStyle w:val="Strong"/>
        </w:rPr>
        <w:t>Director-General Department of Transport and Main Roads</w:t>
      </w:r>
      <w:r w:rsidRPr="00730DE4">
        <w:t xml:space="preserve"> Sally Stannard</w:t>
      </w:r>
    </w:p>
    <w:p w14:paraId="44FFC249" w14:textId="131C926C" w:rsidR="007F5D93" w:rsidRPr="00730DE4" w:rsidRDefault="007F5D93" w:rsidP="007F5D93">
      <w:pPr>
        <w:pStyle w:val="ListBullet2"/>
      </w:pPr>
      <w:r w:rsidRPr="00730DE4">
        <w:rPr>
          <w:rStyle w:val="Strong"/>
          <w:lang w:eastAsia="en-AU"/>
        </w:rPr>
        <w:t>Chief Operations Officer</w:t>
      </w:r>
    </w:p>
    <w:p w14:paraId="22CD35AD" w14:textId="4A29FBB2" w:rsidR="007F5D93" w:rsidRPr="00730DE4" w:rsidRDefault="007F5D93" w:rsidP="007F5D93">
      <w:pPr>
        <w:pStyle w:val="ListBullet2"/>
      </w:pPr>
      <w:r w:rsidRPr="00730DE4">
        <w:rPr>
          <w:rStyle w:val="Strong"/>
          <w:lang w:eastAsia="en-AU"/>
        </w:rPr>
        <w:t>Policy, Planning and Investment</w:t>
      </w:r>
      <w:r w:rsidRPr="00730DE4">
        <w:br/>
        <w:t>Develops strategies, policies and plans for an integrated transport system that safely and efficiently moves people and goods and delivers value to the community.</w:t>
      </w:r>
    </w:p>
    <w:p w14:paraId="3590E871" w14:textId="77777777" w:rsidR="007F5D93" w:rsidRPr="00730DE4" w:rsidRDefault="007F5D93" w:rsidP="007F5D93">
      <w:pPr>
        <w:pStyle w:val="ListBullet3"/>
        <w:tabs>
          <w:tab w:val="num" w:pos="1701"/>
        </w:tabs>
      </w:pPr>
      <w:r w:rsidRPr="00730DE4">
        <w:t>Customer Experience</w:t>
      </w:r>
    </w:p>
    <w:p w14:paraId="1332128B" w14:textId="77777777" w:rsidR="007F5D93" w:rsidRPr="00730DE4" w:rsidRDefault="007F5D93" w:rsidP="007F5D93">
      <w:pPr>
        <w:pStyle w:val="ListBullet3"/>
        <w:tabs>
          <w:tab w:val="num" w:pos="1701"/>
        </w:tabs>
      </w:pPr>
      <w:r w:rsidRPr="00730DE4">
        <w:t>Transport Strategy and Planning</w:t>
      </w:r>
    </w:p>
    <w:p w14:paraId="02FE09A9" w14:textId="77777777" w:rsidR="007F5D93" w:rsidRPr="00730DE4" w:rsidRDefault="007F5D93" w:rsidP="007F5D93">
      <w:pPr>
        <w:pStyle w:val="ListBullet3"/>
        <w:tabs>
          <w:tab w:val="num" w:pos="1701"/>
        </w:tabs>
      </w:pPr>
      <w:r w:rsidRPr="00730DE4">
        <w:t>Portfolio Investment and Programming</w:t>
      </w:r>
    </w:p>
    <w:p w14:paraId="66C53D7B" w14:textId="77777777" w:rsidR="007F5D93" w:rsidRPr="00730DE4" w:rsidRDefault="007F5D93" w:rsidP="007F5D93">
      <w:pPr>
        <w:pStyle w:val="ListBullet3"/>
        <w:tabs>
          <w:tab w:val="num" w:pos="1701"/>
        </w:tabs>
      </w:pPr>
      <w:r w:rsidRPr="00730DE4">
        <w:t>Transport Policy</w:t>
      </w:r>
    </w:p>
    <w:p w14:paraId="37D49484" w14:textId="34FEB644" w:rsidR="007F5D93" w:rsidRPr="00730DE4" w:rsidRDefault="007F5D93" w:rsidP="007F5D93">
      <w:pPr>
        <w:pStyle w:val="ListBullet2"/>
      </w:pPr>
      <w:r w:rsidRPr="00730DE4">
        <w:rPr>
          <w:rStyle w:val="Strong"/>
          <w:lang w:eastAsia="en-AU"/>
        </w:rPr>
        <w:t>Infrastructure Management and Delivery</w:t>
      </w:r>
      <w:r w:rsidRPr="00730DE4">
        <w:rPr>
          <w:rStyle w:val="Strong"/>
          <w:lang w:eastAsia="en-AU"/>
        </w:rPr>
        <w:br/>
      </w:r>
      <w:r w:rsidRPr="00730DE4">
        <w:t>Delivers the integrated program of infrastructure projects and maintains and operates the state-controlled road network.</w:t>
      </w:r>
    </w:p>
    <w:p w14:paraId="71526DF5" w14:textId="77777777" w:rsidR="007F5D93" w:rsidRPr="00730DE4" w:rsidRDefault="007F5D93" w:rsidP="007F5D93">
      <w:pPr>
        <w:pStyle w:val="ListBullet3"/>
        <w:tabs>
          <w:tab w:val="num" w:pos="1701"/>
        </w:tabs>
      </w:pPr>
      <w:r w:rsidRPr="00730DE4">
        <w:t>Engineering and Technology</w:t>
      </w:r>
    </w:p>
    <w:p w14:paraId="02514053" w14:textId="77777777" w:rsidR="007F5D93" w:rsidRPr="00730DE4" w:rsidRDefault="007F5D93" w:rsidP="007F5D93">
      <w:pPr>
        <w:pStyle w:val="ListBullet3"/>
        <w:tabs>
          <w:tab w:val="num" w:pos="1701"/>
        </w:tabs>
      </w:pPr>
      <w:r w:rsidRPr="00730DE4">
        <w:t>Program Delivery and Operations</w:t>
      </w:r>
    </w:p>
    <w:p w14:paraId="021D6E6C" w14:textId="77777777" w:rsidR="007F5D93" w:rsidRPr="00730DE4" w:rsidRDefault="007F5D93" w:rsidP="007F5D93">
      <w:pPr>
        <w:pStyle w:val="ListBullet3"/>
        <w:tabs>
          <w:tab w:val="num" w:pos="1701"/>
        </w:tabs>
      </w:pPr>
      <w:r w:rsidRPr="00730DE4">
        <w:t>RoadTek</w:t>
      </w:r>
    </w:p>
    <w:p w14:paraId="3E21D68A" w14:textId="77777777" w:rsidR="007F5D93" w:rsidRPr="00730DE4" w:rsidRDefault="007F5D93" w:rsidP="007F5D93">
      <w:pPr>
        <w:pStyle w:val="ListBullet3"/>
        <w:tabs>
          <w:tab w:val="num" w:pos="1701"/>
        </w:tabs>
      </w:pPr>
      <w:r w:rsidRPr="00730DE4">
        <w:t>Statewide Network Operations</w:t>
      </w:r>
    </w:p>
    <w:p w14:paraId="33304A8A" w14:textId="165119C9" w:rsidR="007F5D93" w:rsidRPr="00730DE4" w:rsidRDefault="007F5D93" w:rsidP="007F5D93">
      <w:pPr>
        <w:pStyle w:val="ListBullet2"/>
      </w:pPr>
      <w:r w:rsidRPr="00730DE4">
        <w:rPr>
          <w:rStyle w:val="Strong"/>
          <w:lang w:eastAsia="en-AU"/>
        </w:rPr>
        <w:t>Customer Services, Safety and Regulation</w:t>
      </w:r>
      <w:r w:rsidRPr="00730DE4">
        <w:rPr>
          <w:rStyle w:val="Strong"/>
          <w:lang w:eastAsia="en-AU"/>
        </w:rPr>
        <w:br/>
      </w:r>
      <w:r w:rsidRPr="00730DE4">
        <w:t>Provides customer, safety, and regulatory services for Queenslanders, our transport system and our waterways.</w:t>
      </w:r>
    </w:p>
    <w:p w14:paraId="5EA85D3C" w14:textId="77777777" w:rsidR="007F5D93" w:rsidRPr="00730DE4" w:rsidRDefault="007F5D93" w:rsidP="007F5D93">
      <w:pPr>
        <w:pStyle w:val="ListBullet3"/>
        <w:tabs>
          <w:tab w:val="num" w:pos="1701"/>
        </w:tabs>
      </w:pPr>
      <w:r w:rsidRPr="00730DE4">
        <w:t>Customer Services</w:t>
      </w:r>
    </w:p>
    <w:p w14:paraId="7C0D9D1C" w14:textId="77777777" w:rsidR="007F5D93" w:rsidRPr="00730DE4" w:rsidRDefault="007F5D93" w:rsidP="007F5D93">
      <w:pPr>
        <w:pStyle w:val="ListBullet3"/>
        <w:tabs>
          <w:tab w:val="num" w:pos="1701"/>
        </w:tabs>
      </w:pPr>
      <w:r w:rsidRPr="00730DE4">
        <w:t>Land Transport Safety and Regulation</w:t>
      </w:r>
    </w:p>
    <w:p w14:paraId="315144F7" w14:textId="77777777" w:rsidR="007F5D93" w:rsidRPr="00730DE4" w:rsidRDefault="007F5D93" w:rsidP="007F5D93">
      <w:pPr>
        <w:pStyle w:val="ListBullet3"/>
        <w:tabs>
          <w:tab w:val="num" w:pos="1701"/>
        </w:tabs>
      </w:pPr>
      <w:r w:rsidRPr="00730DE4">
        <w:t>Maritime Safety Queensland</w:t>
      </w:r>
    </w:p>
    <w:p w14:paraId="15CF9312" w14:textId="77777777" w:rsidR="007F5D93" w:rsidRPr="00730DE4" w:rsidRDefault="007F5D93" w:rsidP="007F5D93">
      <w:pPr>
        <w:pStyle w:val="ListBullet3"/>
        <w:tabs>
          <w:tab w:val="num" w:pos="1701"/>
        </w:tabs>
      </w:pPr>
      <w:r w:rsidRPr="00730DE4">
        <w:t>Customer Digital Identity Services</w:t>
      </w:r>
    </w:p>
    <w:p w14:paraId="5749DD20" w14:textId="49F6A628" w:rsidR="007F5D93" w:rsidRPr="00730DE4" w:rsidRDefault="007F5D93" w:rsidP="007F5D93">
      <w:pPr>
        <w:pStyle w:val="ListBullet2"/>
      </w:pPr>
      <w:r w:rsidRPr="00730DE4">
        <w:rPr>
          <w:rStyle w:val="Strong"/>
          <w:lang w:eastAsia="en-AU"/>
        </w:rPr>
        <w:t>Translink</w:t>
      </w:r>
      <w:r w:rsidRPr="00730DE4">
        <w:rPr>
          <w:rStyle w:val="Strong"/>
          <w:lang w:eastAsia="en-AU"/>
        </w:rPr>
        <w:br/>
      </w:r>
      <w:r w:rsidRPr="00730DE4">
        <w:t>Leads and shapes Queensland’s passenger transport system, by providing an integrated transport network that is safe and accessible to all.</w:t>
      </w:r>
    </w:p>
    <w:p w14:paraId="47B4E852" w14:textId="77777777" w:rsidR="007F5D93" w:rsidRPr="00730DE4" w:rsidRDefault="007F5D93" w:rsidP="007F5D93">
      <w:pPr>
        <w:pStyle w:val="ListBullet3"/>
        <w:tabs>
          <w:tab w:val="num" w:pos="1701"/>
        </w:tabs>
      </w:pPr>
      <w:r w:rsidRPr="00730DE4">
        <w:t>Passenger Transport Strategy and Technology</w:t>
      </w:r>
    </w:p>
    <w:p w14:paraId="02416783" w14:textId="77777777" w:rsidR="007F5D93" w:rsidRPr="00730DE4" w:rsidRDefault="007F5D93" w:rsidP="007F5D93">
      <w:pPr>
        <w:pStyle w:val="ListBullet3"/>
        <w:tabs>
          <w:tab w:val="num" w:pos="1701"/>
        </w:tabs>
      </w:pPr>
      <w:r w:rsidRPr="00730DE4">
        <w:t>Passenger Transport Services</w:t>
      </w:r>
    </w:p>
    <w:p w14:paraId="222CB846" w14:textId="77777777" w:rsidR="007F5D93" w:rsidRPr="00730DE4" w:rsidRDefault="007F5D93" w:rsidP="007F5D93">
      <w:pPr>
        <w:pStyle w:val="ListBullet3"/>
        <w:tabs>
          <w:tab w:val="num" w:pos="1701"/>
        </w:tabs>
      </w:pPr>
      <w:r w:rsidRPr="00730DE4">
        <w:t>Passenger Rollingstock and Signalling</w:t>
      </w:r>
    </w:p>
    <w:p w14:paraId="28A62B4D" w14:textId="77777777" w:rsidR="007F5D93" w:rsidRPr="00730DE4" w:rsidRDefault="007F5D93" w:rsidP="007F5D93">
      <w:pPr>
        <w:pStyle w:val="ListBullet3"/>
        <w:tabs>
          <w:tab w:val="num" w:pos="1701"/>
        </w:tabs>
      </w:pPr>
      <w:r w:rsidRPr="00730DE4">
        <w:t>Passenger Transport Integration</w:t>
      </w:r>
    </w:p>
    <w:p w14:paraId="09D7F999" w14:textId="77777777" w:rsidR="007F5D93" w:rsidRPr="00730DE4" w:rsidRDefault="007F5D93" w:rsidP="007F5D93">
      <w:pPr>
        <w:pStyle w:val="ListBullet3"/>
        <w:tabs>
          <w:tab w:val="num" w:pos="1701"/>
        </w:tabs>
      </w:pPr>
      <w:r w:rsidRPr="00730DE4">
        <w:t>Rail Infrastructure Delivery</w:t>
      </w:r>
    </w:p>
    <w:p w14:paraId="23E26175" w14:textId="3EC19A66" w:rsidR="007F5D93" w:rsidRPr="00730DE4" w:rsidRDefault="007F5D93">
      <w:pPr>
        <w:suppressAutoHyphens w:val="0"/>
        <w:spacing w:before="0" w:line="259" w:lineRule="auto"/>
      </w:pPr>
      <w:r w:rsidRPr="00730DE4">
        <w:br w:type="page"/>
      </w:r>
    </w:p>
    <w:p w14:paraId="3D8F2724" w14:textId="0DC51920" w:rsidR="007F5D93" w:rsidRPr="00730DE4" w:rsidRDefault="007F5D93" w:rsidP="007F5D93">
      <w:pPr>
        <w:pStyle w:val="ListBullet2"/>
        <w:numPr>
          <w:ilvl w:val="0"/>
          <w:numId w:val="0"/>
        </w:numPr>
        <w:ind w:left="720"/>
      </w:pPr>
      <w:r w:rsidRPr="00730DE4">
        <w:rPr>
          <w:rStyle w:val="Strong"/>
          <w:lang w:eastAsia="en-AU"/>
        </w:rPr>
        <w:t>Corporate</w:t>
      </w:r>
      <w:r w:rsidRPr="00730DE4">
        <w:rPr>
          <w:rStyle w:val="Strong"/>
          <w:lang w:eastAsia="en-AU"/>
        </w:rPr>
        <w:br/>
      </w:r>
      <w:r w:rsidRPr="00730DE4">
        <w:t>Provides the department with strategic corporate services including governance, finance and procurement, human resources, information, communication technology and audit services to enable TMR to achieve its business objectives.</w:t>
      </w:r>
    </w:p>
    <w:p w14:paraId="37DD71A3" w14:textId="77777777" w:rsidR="007F5D93" w:rsidRPr="00730DE4" w:rsidRDefault="007F5D93" w:rsidP="007F5D93">
      <w:pPr>
        <w:pStyle w:val="ListBullet3"/>
        <w:tabs>
          <w:tab w:val="num" w:pos="1701"/>
        </w:tabs>
      </w:pPr>
      <w:r w:rsidRPr="00730DE4">
        <w:t>Finance and Procurement</w:t>
      </w:r>
    </w:p>
    <w:p w14:paraId="455D40B9" w14:textId="77777777" w:rsidR="007F5D93" w:rsidRPr="00730DE4" w:rsidRDefault="007F5D93" w:rsidP="007F5D93">
      <w:pPr>
        <w:pStyle w:val="ListBullet3"/>
        <w:tabs>
          <w:tab w:val="num" w:pos="1701"/>
        </w:tabs>
      </w:pPr>
      <w:r w:rsidRPr="00730DE4">
        <w:t>Governance</w:t>
      </w:r>
    </w:p>
    <w:p w14:paraId="2588D020" w14:textId="77777777" w:rsidR="007F5D93" w:rsidRPr="00730DE4" w:rsidRDefault="007F5D93" w:rsidP="007F5D93">
      <w:pPr>
        <w:pStyle w:val="ListBullet3"/>
        <w:tabs>
          <w:tab w:val="num" w:pos="1701"/>
        </w:tabs>
      </w:pPr>
      <w:r w:rsidRPr="00730DE4">
        <w:t>Human Resources</w:t>
      </w:r>
    </w:p>
    <w:p w14:paraId="0CA52A14" w14:textId="77777777" w:rsidR="007F5D93" w:rsidRPr="00730DE4" w:rsidRDefault="007F5D93" w:rsidP="007F5D93">
      <w:pPr>
        <w:pStyle w:val="ListBullet3"/>
        <w:tabs>
          <w:tab w:val="num" w:pos="1701"/>
        </w:tabs>
      </w:pPr>
      <w:r w:rsidRPr="00730DE4">
        <w:t>Information Technology</w:t>
      </w:r>
    </w:p>
    <w:p w14:paraId="374BFB90" w14:textId="77777777" w:rsidR="007F5D93" w:rsidRPr="00730DE4" w:rsidRDefault="007F5D93" w:rsidP="007F5D93">
      <w:pPr>
        <w:pStyle w:val="ListBullet3"/>
        <w:tabs>
          <w:tab w:val="num" w:pos="1701"/>
        </w:tabs>
      </w:pPr>
      <w:r w:rsidRPr="00730DE4">
        <w:t>Internal Audit</w:t>
      </w:r>
    </w:p>
    <w:p w14:paraId="78FE82EC" w14:textId="77777777" w:rsidR="007F5D93" w:rsidRPr="00730DE4" w:rsidRDefault="007F5D93" w:rsidP="007F5D93">
      <w:pPr>
        <w:pStyle w:val="ListBullet3"/>
        <w:tabs>
          <w:tab w:val="num" w:pos="1701"/>
        </w:tabs>
      </w:pPr>
      <w:r w:rsidRPr="00730DE4">
        <w:t>Legal, Information Access and Prosecution</w:t>
      </w:r>
    </w:p>
    <w:p w14:paraId="56F1A01A" w14:textId="57DF3370" w:rsidR="007F5D93" w:rsidRPr="00730DE4" w:rsidRDefault="007F5D93" w:rsidP="007F5D93">
      <w:pPr>
        <w:pStyle w:val="ListBullet2"/>
      </w:pPr>
      <w:r w:rsidRPr="00730DE4">
        <w:rPr>
          <w:rStyle w:val="Strong"/>
          <w:lang w:eastAsia="en-AU"/>
        </w:rPr>
        <w:t>Queensland Government Customer and Digital Group</w:t>
      </w:r>
      <w:r w:rsidRPr="00730DE4">
        <w:rPr>
          <w:rStyle w:val="Strong"/>
          <w:lang w:eastAsia="en-AU"/>
        </w:rPr>
        <w:br/>
      </w:r>
      <w:r w:rsidRPr="00730DE4">
        <w:t>Leads and drives a more digitally-enabled and responsive government while facilitating simple and effective access to services for all Queenslanders.</w:t>
      </w:r>
    </w:p>
    <w:p w14:paraId="0E97F5C4" w14:textId="02980426" w:rsidR="007F5D93" w:rsidRPr="00730DE4" w:rsidRDefault="007F5D93" w:rsidP="007F5D93">
      <w:pPr>
        <w:pStyle w:val="ListBullet3"/>
        <w:tabs>
          <w:tab w:val="num" w:pos="1701"/>
        </w:tabs>
      </w:pPr>
      <w:r w:rsidRPr="00730DE4">
        <w:t>Digital Government</w:t>
      </w:r>
    </w:p>
    <w:p w14:paraId="3C6D5775" w14:textId="77777777" w:rsidR="007F5D93" w:rsidRPr="00730DE4" w:rsidRDefault="007F5D93" w:rsidP="007F5D93">
      <w:pPr>
        <w:pStyle w:val="ListBullet3"/>
        <w:tabs>
          <w:tab w:val="num" w:pos="1701"/>
        </w:tabs>
      </w:pPr>
      <w:r w:rsidRPr="00730DE4">
        <w:t>Digital Economy</w:t>
      </w:r>
    </w:p>
    <w:p w14:paraId="29E6D964" w14:textId="77777777" w:rsidR="007F5D93" w:rsidRPr="00730DE4" w:rsidRDefault="007F5D93" w:rsidP="007F5D93">
      <w:pPr>
        <w:pStyle w:val="ListBullet3"/>
        <w:tabs>
          <w:tab w:val="num" w:pos="1701"/>
        </w:tabs>
      </w:pPr>
      <w:r w:rsidRPr="00730DE4">
        <w:t>Cyber Security</w:t>
      </w:r>
    </w:p>
    <w:p w14:paraId="182E9CEF" w14:textId="77777777" w:rsidR="007F5D93" w:rsidRPr="00730DE4" w:rsidRDefault="007F5D93" w:rsidP="007F5D93">
      <w:pPr>
        <w:pStyle w:val="ListBullet3"/>
        <w:tabs>
          <w:tab w:val="num" w:pos="1701"/>
        </w:tabs>
      </w:pPr>
      <w:r w:rsidRPr="00730DE4">
        <w:t>Digital Customer (SSQ)</w:t>
      </w:r>
    </w:p>
    <w:p w14:paraId="4F473ADD" w14:textId="77777777" w:rsidR="007F5D93" w:rsidRPr="00730DE4" w:rsidRDefault="007F5D93" w:rsidP="007F5D93">
      <w:pPr>
        <w:pStyle w:val="ListBullet3"/>
        <w:tabs>
          <w:tab w:val="num" w:pos="1701"/>
        </w:tabs>
      </w:pPr>
      <w:r w:rsidRPr="00730DE4">
        <w:t>Data and AI</w:t>
      </w:r>
    </w:p>
    <w:p w14:paraId="7AAA1968" w14:textId="77777777" w:rsidR="007F5D93" w:rsidRPr="00730DE4" w:rsidRDefault="007F5D93" w:rsidP="007F5D93">
      <w:pPr>
        <w:pStyle w:val="ListBullet3"/>
        <w:tabs>
          <w:tab w:val="num" w:pos="1701"/>
        </w:tabs>
      </w:pPr>
      <w:r w:rsidRPr="00730DE4">
        <w:t>Business Services</w:t>
      </w:r>
    </w:p>
    <w:p w14:paraId="6A9DA4E9" w14:textId="77777777" w:rsidR="007F5D93" w:rsidRPr="00730DE4" w:rsidRDefault="007F5D93" w:rsidP="007F5D93">
      <w:pPr>
        <w:pStyle w:val="ListBullet2"/>
        <w:rPr>
          <w:rStyle w:val="Strong"/>
          <w:lang w:eastAsia="en-AU"/>
        </w:rPr>
      </w:pPr>
      <w:r w:rsidRPr="00730DE4">
        <w:rPr>
          <w:rStyle w:val="Strong"/>
          <w:lang w:eastAsia="en-AU"/>
        </w:rPr>
        <w:t>Strategic Program</w:t>
      </w:r>
    </w:p>
    <w:p w14:paraId="3CCC81D8" w14:textId="77777777" w:rsidR="007F5D93" w:rsidRPr="00730DE4" w:rsidRDefault="007F5D93" w:rsidP="007F5D93">
      <w:pPr>
        <w:pStyle w:val="ListBullet3"/>
      </w:pPr>
      <w:r w:rsidRPr="00730DE4">
        <w:t>Customer Service Strategy</w:t>
      </w:r>
    </w:p>
    <w:p w14:paraId="0C9E1756" w14:textId="77777777" w:rsidR="007F5D93" w:rsidRPr="00730DE4" w:rsidRDefault="007F5D93" w:rsidP="007F5D93">
      <w:pPr>
        <w:pStyle w:val="ListBullet3"/>
      </w:pPr>
      <w:r w:rsidRPr="00730DE4">
        <w:t>Accessible Transport Network</w:t>
      </w:r>
    </w:p>
    <w:p w14:paraId="27F1E5E2" w14:textId="77777777" w:rsidR="007F5D93" w:rsidRPr="00730DE4" w:rsidRDefault="007F5D93" w:rsidP="007F5D93">
      <w:pPr>
        <w:pStyle w:val="ListBullet3"/>
      </w:pPr>
      <w:r w:rsidRPr="00730DE4">
        <w:t>Strategic Insights and Organisational Direction</w:t>
      </w:r>
    </w:p>
    <w:p w14:paraId="060CC5F4" w14:textId="77777777" w:rsidR="007F5D93" w:rsidRPr="00730DE4" w:rsidRDefault="007F5D93" w:rsidP="007F5D93">
      <w:pPr>
        <w:pStyle w:val="ListBullet3"/>
      </w:pPr>
      <w:r w:rsidRPr="00730DE4">
        <w:t>Transport Network Security and Resilience</w:t>
      </w:r>
    </w:p>
    <w:p w14:paraId="232BD55E" w14:textId="77777777" w:rsidR="004A0E65" w:rsidRPr="00730DE4" w:rsidRDefault="004A0E65" w:rsidP="004A0E65">
      <w:pPr>
        <w:pStyle w:val="ListBullet3"/>
        <w:numPr>
          <w:ilvl w:val="0"/>
          <w:numId w:val="0"/>
        </w:numPr>
      </w:pPr>
    </w:p>
    <w:p w14:paraId="4232627F" w14:textId="042E5854" w:rsidR="004A0E65" w:rsidRPr="00730DE4" w:rsidRDefault="004A0E65">
      <w:pPr>
        <w:suppressAutoHyphens w:val="0"/>
        <w:spacing w:before="0" w:line="259" w:lineRule="auto"/>
      </w:pPr>
      <w:r w:rsidRPr="00730DE4">
        <w:br w:type="page"/>
      </w:r>
    </w:p>
    <w:p w14:paraId="5F994FE9" w14:textId="77777777" w:rsidR="007F5D93" w:rsidRPr="00730DE4" w:rsidRDefault="007F5D93" w:rsidP="007F5D93">
      <w:pPr>
        <w:pStyle w:val="Heading2"/>
      </w:pPr>
      <w:bookmarkStart w:id="1287" w:name="_Toc180490858"/>
      <w:bookmarkStart w:id="1288" w:name="_Toc180491891"/>
      <w:r w:rsidRPr="00730DE4">
        <w:t>ELT Biographies</w:t>
      </w:r>
      <w:bookmarkEnd w:id="1287"/>
      <w:bookmarkEnd w:id="1288"/>
    </w:p>
    <w:p w14:paraId="694ADE7C" w14:textId="6944439B" w:rsidR="00FA2FF9" w:rsidRPr="00730DE4" w:rsidRDefault="00FA2FF9" w:rsidP="002B7001">
      <w:pPr>
        <w:pStyle w:val="Heading3"/>
      </w:pPr>
      <w:bookmarkStart w:id="1289" w:name="_Toc180487653"/>
      <w:bookmarkStart w:id="1290" w:name="_Toc180490859"/>
      <w:bookmarkStart w:id="1291" w:name="_Toc180491892"/>
      <w:r w:rsidRPr="00730DE4">
        <w:t>Sally Stannard</w:t>
      </w:r>
      <w:r w:rsidR="00393FD1" w:rsidRPr="00730DE4">
        <w:t xml:space="preserve"> </w:t>
      </w:r>
      <w:r w:rsidRPr="00730DE4">
        <w:t>Director-General</w:t>
      </w:r>
      <w:r w:rsidR="00FF5644" w:rsidRPr="00730DE4">
        <w:br/>
      </w:r>
      <w:r w:rsidRPr="00730DE4">
        <w:t>(Transport and Main Roads)</w:t>
      </w:r>
      <w:bookmarkEnd w:id="1289"/>
      <w:bookmarkEnd w:id="1290"/>
      <w:bookmarkEnd w:id="1291"/>
    </w:p>
    <w:p w14:paraId="78463494" w14:textId="77777777" w:rsidR="00FA2FF9" w:rsidRPr="00730DE4" w:rsidRDefault="00FA2FF9" w:rsidP="00074BF0">
      <w:pPr>
        <w:rPr>
          <w:rStyle w:val="Emphasis"/>
        </w:rPr>
      </w:pPr>
      <w:r w:rsidRPr="00730DE4">
        <w:rPr>
          <w:rStyle w:val="Emphasis"/>
        </w:rPr>
        <w:t>BE/BA Hons, Dip Eng Prac, GAICD</w:t>
      </w:r>
    </w:p>
    <w:p w14:paraId="385C036F" w14:textId="77777777" w:rsidR="00FA2FF9" w:rsidRPr="00730DE4" w:rsidRDefault="00FA2FF9" w:rsidP="005113DE">
      <w:pPr>
        <w:pStyle w:val="ListBullet"/>
      </w:pPr>
      <w:r w:rsidRPr="00730DE4">
        <w:t>Appointed as Director-General December 2023</w:t>
      </w:r>
    </w:p>
    <w:p w14:paraId="3CFC81EE" w14:textId="77777777" w:rsidR="00FA2FF9" w:rsidRPr="00730DE4" w:rsidRDefault="00FA2FF9" w:rsidP="005113DE">
      <w:pPr>
        <w:pStyle w:val="ListBullet"/>
      </w:pPr>
      <w:r w:rsidRPr="00730DE4">
        <w:t>Champion for Accessibility</w:t>
      </w:r>
    </w:p>
    <w:p w14:paraId="3E1161AD" w14:textId="77777777" w:rsidR="00FA2FF9" w:rsidRPr="00730DE4" w:rsidRDefault="00FA2FF9" w:rsidP="005113DE">
      <w:pPr>
        <w:pStyle w:val="ListBullet"/>
      </w:pPr>
      <w:r w:rsidRPr="00730DE4">
        <w:t>Champion for Domestic and Family Violence Awareness</w:t>
      </w:r>
    </w:p>
    <w:p w14:paraId="3BDCF800" w14:textId="77777777" w:rsidR="00FA2FF9" w:rsidRPr="00730DE4" w:rsidRDefault="00FA2FF9" w:rsidP="005113DE">
      <w:pPr>
        <w:pStyle w:val="ListBullet"/>
      </w:pPr>
      <w:r w:rsidRPr="00730DE4">
        <w:t>Champion for Privacy</w:t>
      </w:r>
    </w:p>
    <w:p w14:paraId="2722DCC9" w14:textId="77777777" w:rsidR="00FA2FF9" w:rsidRPr="00730DE4" w:rsidRDefault="00FA2FF9" w:rsidP="005113DE">
      <w:pPr>
        <w:pStyle w:val="ListBullet"/>
      </w:pPr>
      <w:r w:rsidRPr="00730DE4">
        <w:t>Champion for Safety</w:t>
      </w:r>
    </w:p>
    <w:p w14:paraId="7F7CDB1D" w14:textId="77777777" w:rsidR="00FA2FF9" w:rsidRPr="00730DE4" w:rsidRDefault="00FA2FF9" w:rsidP="005113DE">
      <w:pPr>
        <w:pStyle w:val="ListBullet"/>
      </w:pPr>
      <w:r w:rsidRPr="00730DE4">
        <w:t>Government Champion for Napranum</w:t>
      </w:r>
    </w:p>
    <w:p w14:paraId="73EEEE67" w14:textId="77777777" w:rsidR="00FA2FF9" w:rsidRPr="00730DE4" w:rsidRDefault="00FA2FF9" w:rsidP="005113DE">
      <w:r w:rsidRPr="00730DE4">
        <w:t xml:space="preserve">Under the </w:t>
      </w:r>
      <w:r w:rsidRPr="00730DE4">
        <w:rPr>
          <w:rStyle w:val="Emphasis"/>
        </w:rPr>
        <w:t>Financial Accountability Act 2009</w:t>
      </w:r>
      <w:r w:rsidRPr="00730DE4">
        <w:t>, the Director-General is accountable to the Minister for Transport and Main Roads and Digital Services and the Premier of Queensland for the efficient, effective, and financially responsible performance of the Department of Transport and Main Roads.</w:t>
      </w:r>
    </w:p>
    <w:p w14:paraId="303CE3D3" w14:textId="77777777" w:rsidR="00FA2FF9" w:rsidRPr="00730DE4" w:rsidRDefault="00FA2FF9" w:rsidP="005113DE">
      <w:r w:rsidRPr="00730DE4">
        <w:t>As Director-General, Sally leads the department which has an annual budget of $12.4 billion, including capital expenditure of $4.2 billion and managed assets in excess of $106 billion. She also leads TMR's portfolio of work across road, rail, bus, cycling, and marine infrastructure in Queensland as well as the Queensland Government Customer and Digital Group.</w:t>
      </w:r>
    </w:p>
    <w:p w14:paraId="2AFCD99D" w14:textId="77777777" w:rsidR="00FA2FF9" w:rsidRPr="00730DE4" w:rsidRDefault="00FA2FF9" w:rsidP="005113DE">
      <w:r w:rsidRPr="00730DE4">
        <w:t>Former positions:</w:t>
      </w:r>
    </w:p>
    <w:p w14:paraId="41352C35" w14:textId="77777777" w:rsidR="00FA2FF9" w:rsidRPr="00730DE4" w:rsidRDefault="00FA2FF9" w:rsidP="005113DE">
      <w:pPr>
        <w:pStyle w:val="ListBullet"/>
      </w:pPr>
      <w:r w:rsidRPr="00730DE4">
        <w:t>Deputy Director-General (Translink)</w:t>
      </w:r>
    </w:p>
    <w:p w14:paraId="2FEDD4BB" w14:textId="77777777" w:rsidR="00FA2FF9" w:rsidRPr="00730DE4" w:rsidRDefault="00FA2FF9" w:rsidP="005113DE">
      <w:pPr>
        <w:pStyle w:val="ListBullet"/>
      </w:pPr>
      <w:r w:rsidRPr="00730DE4">
        <w:t>Executive Director (Service Planning and Infrastructure)</w:t>
      </w:r>
    </w:p>
    <w:p w14:paraId="5206DDDA" w14:textId="77777777" w:rsidR="00FA2FF9" w:rsidRPr="00730DE4" w:rsidRDefault="00FA2FF9" w:rsidP="005113DE">
      <w:pPr>
        <w:pStyle w:val="ListBullet"/>
      </w:pPr>
      <w:r w:rsidRPr="00730DE4">
        <w:t>Director (Strategy and Planning)</w:t>
      </w:r>
    </w:p>
    <w:p w14:paraId="6C79DED1" w14:textId="77777777" w:rsidR="00FA2FF9" w:rsidRPr="00730DE4" w:rsidRDefault="00FA2FF9" w:rsidP="005113DE">
      <w:r w:rsidRPr="00730DE4">
        <w:t>In her previous role as Deputy Director-General (Translink), Sally led the delivery of customer-focused passenger transport services across Queensland including policy, planning, ticketing, contract management, and customer services.</w:t>
      </w:r>
    </w:p>
    <w:p w14:paraId="1A65E3FA" w14:textId="77777777" w:rsidR="00FA2FF9" w:rsidRPr="00730DE4" w:rsidRDefault="00FA2FF9" w:rsidP="005113DE">
      <w:r w:rsidRPr="00730DE4">
        <w:t>Sally is the Chair of Cross River Rail and Chair of Public Transport Association Australia New Zealand. She is also a board member of Roads Australia and Queensland Hydro.</w:t>
      </w:r>
    </w:p>
    <w:p w14:paraId="4866D0E5" w14:textId="77777777" w:rsidR="005B60B8" w:rsidRDefault="005B60B8" w:rsidP="002B7001">
      <w:pPr>
        <w:pStyle w:val="Heading3"/>
      </w:pPr>
      <w:r>
        <w:br w:type="page"/>
      </w:r>
    </w:p>
    <w:p w14:paraId="51E79E99" w14:textId="57FE0DDE" w:rsidR="00FA2FF9" w:rsidRPr="00730DE4" w:rsidRDefault="00FA2FF9" w:rsidP="002B7001">
      <w:pPr>
        <w:pStyle w:val="Heading3"/>
      </w:pPr>
      <w:bookmarkStart w:id="1292" w:name="_Toc180487654"/>
      <w:bookmarkStart w:id="1293" w:name="_Toc180490860"/>
      <w:bookmarkStart w:id="1294" w:name="_Toc180491893"/>
      <w:r w:rsidRPr="00730DE4">
        <w:t>Anne Moffat</w:t>
      </w:r>
      <w:r w:rsidR="00393FD1" w:rsidRPr="00730DE4">
        <w:t xml:space="preserve"> </w:t>
      </w:r>
      <w:r w:rsidRPr="00730DE4">
        <w:t>Chief Operations Officer</w:t>
      </w:r>
      <w:bookmarkEnd w:id="1292"/>
      <w:bookmarkEnd w:id="1293"/>
      <w:bookmarkEnd w:id="1294"/>
    </w:p>
    <w:p w14:paraId="3DBC36F0" w14:textId="77777777" w:rsidR="00FA2FF9" w:rsidRPr="00730DE4" w:rsidRDefault="00FA2FF9" w:rsidP="00074BF0">
      <w:pPr>
        <w:rPr>
          <w:rStyle w:val="Emphasis"/>
        </w:rPr>
      </w:pPr>
      <w:r w:rsidRPr="00730DE4">
        <w:rPr>
          <w:rStyle w:val="Emphasis"/>
        </w:rPr>
        <w:t>BBus, FSBCQ, MAICD</w:t>
      </w:r>
    </w:p>
    <w:p w14:paraId="7894697B" w14:textId="77777777" w:rsidR="00FA2FF9" w:rsidRPr="00730DE4" w:rsidRDefault="00FA2FF9" w:rsidP="00074BF0">
      <w:pPr>
        <w:pStyle w:val="ListBullet"/>
      </w:pPr>
      <w:r w:rsidRPr="00730DE4">
        <w:t>Appointed as Chief Operations Officer December 2018</w:t>
      </w:r>
    </w:p>
    <w:p w14:paraId="709F7AC8" w14:textId="77777777" w:rsidR="00FA2FF9" w:rsidRPr="00730DE4" w:rsidRDefault="00FA2FF9" w:rsidP="00074BF0">
      <w:pPr>
        <w:pStyle w:val="ListBullet"/>
      </w:pPr>
      <w:r w:rsidRPr="00730DE4">
        <w:t>Champion for Gender Equity</w:t>
      </w:r>
    </w:p>
    <w:p w14:paraId="31364876" w14:textId="77777777" w:rsidR="00FA2FF9" w:rsidRPr="00730DE4" w:rsidRDefault="00FA2FF9" w:rsidP="00074BF0">
      <w:r w:rsidRPr="00730DE4">
        <w:t>Anne supports the Director-General with the day-to-day operations of the department allowing the Director-General to focus on strategy, the government’s objectives, and key stakeholder relationships.</w:t>
      </w:r>
    </w:p>
    <w:p w14:paraId="0A86AFD0" w14:textId="77777777" w:rsidR="00FA2FF9" w:rsidRPr="00730DE4" w:rsidRDefault="00FA2FF9" w:rsidP="00074BF0">
      <w:r w:rsidRPr="00730DE4">
        <w:t>Former positions:</w:t>
      </w:r>
    </w:p>
    <w:p w14:paraId="6C1362FA" w14:textId="77777777" w:rsidR="00FA2FF9" w:rsidRPr="00730DE4" w:rsidRDefault="00FA2FF9" w:rsidP="00074BF0">
      <w:pPr>
        <w:pStyle w:val="ListBullet"/>
      </w:pPr>
      <w:r w:rsidRPr="00730DE4">
        <w:t>Project Director South East Queensland Asset Management</w:t>
      </w:r>
      <w:r w:rsidRPr="00730DE4">
        <w:rPr>
          <w:lang w:val="en-US"/>
        </w:rPr>
        <w:t xml:space="preserve"> </w:t>
      </w:r>
      <w:r w:rsidRPr="00730DE4">
        <w:t>(Infrastructure Management and Delivery)</w:t>
      </w:r>
    </w:p>
    <w:p w14:paraId="3EC8F54D" w14:textId="77777777" w:rsidR="00FA2FF9" w:rsidRPr="00730DE4" w:rsidRDefault="00FA2FF9" w:rsidP="00074BF0">
      <w:pPr>
        <w:pStyle w:val="ListBullet"/>
      </w:pPr>
      <w:r w:rsidRPr="00730DE4">
        <w:t>Executive Director, State Services (Department of the</w:t>
      </w:r>
      <w:r w:rsidRPr="00730DE4">
        <w:rPr>
          <w:lang w:val="en-US"/>
        </w:rPr>
        <w:t xml:space="preserve"> </w:t>
      </w:r>
      <w:r w:rsidRPr="00730DE4">
        <w:t>Premier and Cabinet)</w:t>
      </w:r>
    </w:p>
    <w:p w14:paraId="3E7754C7" w14:textId="77777777" w:rsidR="00FA2FF9" w:rsidRPr="00730DE4" w:rsidRDefault="00FA2FF9" w:rsidP="00074BF0">
      <w:pPr>
        <w:pStyle w:val="ListBullet"/>
      </w:pPr>
      <w:r w:rsidRPr="00730DE4">
        <w:t>Executive Director (Planning Management, Planning</w:t>
      </w:r>
      <w:r w:rsidRPr="00730DE4">
        <w:rPr>
          <w:lang w:val="en-US"/>
        </w:rPr>
        <w:t xml:space="preserve"> </w:t>
      </w:r>
      <w:r w:rsidRPr="00730DE4">
        <w:t>and Investment)</w:t>
      </w:r>
    </w:p>
    <w:p w14:paraId="02FC2CEA" w14:textId="77777777" w:rsidR="00FA2FF9" w:rsidRPr="00730DE4" w:rsidRDefault="00FA2FF9" w:rsidP="00074BF0">
      <w:pPr>
        <w:pStyle w:val="ListBullet"/>
      </w:pPr>
      <w:r w:rsidRPr="00730DE4">
        <w:t>Executive Director, Strategy and Policy (Passenger Transport)</w:t>
      </w:r>
    </w:p>
    <w:p w14:paraId="1F53BF96" w14:textId="77777777" w:rsidR="00FA2FF9" w:rsidRPr="00730DE4" w:rsidRDefault="00FA2FF9" w:rsidP="00074BF0">
      <w:r w:rsidRPr="00730DE4">
        <w:t>Anne has more than 25 years’ experience across both state and local government in Queensland. She has held a number of senior roles across the infrastructure programming and delivery areas, as well as urban and regional planning. She has delivered a number of large policy and engagement projects, plus reform agendas.</w:t>
      </w:r>
    </w:p>
    <w:p w14:paraId="6AE9A845" w14:textId="1127E301" w:rsidR="00FA2FF9" w:rsidRPr="00730DE4" w:rsidRDefault="00FA2FF9" w:rsidP="002B7001">
      <w:pPr>
        <w:pStyle w:val="Heading3"/>
      </w:pPr>
      <w:bookmarkStart w:id="1295" w:name="_Toc180487655"/>
      <w:bookmarkStart w:id="1296" w:name="_Toc180490861"/>
      <w:bookmarkStart w:id="1297" w:name="_Toc180491894"/>
      <w:r w:rsidRPr="00730DE4">
        <w:t>Andrew Mahon</w:t>
      </w:r>
      <w:r w:rsidR="00393FD1" w:rsidRPr="00730DE4">
        <w:t xml:space="preserve"> </w:t>
      </w:r>
      <w:r w:rsidRPr="00730DE4">
        <w:t xml:space="preserve">Deputy Director-General </w:t>
      </w:r>
      <w:r w:rsidRPr="00730DE4">
        <w:rPr>
          <w:lang w:val="en-US"/>
        </w:rPr>
        <w:t>(</w:t>
      </w:r>
      <w:r w:rsidRPr="00730DE4">
        <w:t>Policy, Planning and Investment</w:t>
      </w:r>
      <w:r w:rsidRPr="00730DE4">
        <w:rPr>
          <w:lang w:val="en-US"/>
        </w:rPr>
        <w:t>)</w:t>
      </w:r>
      <w:bookmarkEnd w:id="1295"/>
      <w:bookmarkEnd w:id="1296"/>
      <w:bookmarkEnd w:id="1297"/>
    </w:p>
    <w:p w14:paraId="20E95A8D" w14:textId="77777777" w:rsidR="00FA2FF9" w:rsidRPr="00730DE4" w:rsidRDefault="00FA2FF9" w:rsidP="00074BF0">
      <w:pPr>
        <w:rPr>
          <w:rStyle w:val="Emphasis"/>
        </w:rPr>
      </w:pPr>
      <w:r w:rsidRPr="00730DE4">
        <w:rPr>
          <w:rStyle w:val="Emphasis"/>
        </w:rPr>
        <w:t>EMPA, BJus, GradCertPolicyAnalysis, GAICD</w:t>
      </w:r>
    </w:p>
    <w:p w14:paraId="334393E3" w14:textId="77777777" w:rsidR="00FA2FF9" w:rsidRPr="00730DE4" w:rsidRDefault="00FA2FF9" w:rsidP="00074BF0">
      <w:pPr>
        <w:pStyle w:val="ListBullet"/>
      </w:pPr>
      <w:r w:rsidRPr="00730DE4">
        <w:t>Appointed as Deputy-Director General (Policy, Planning and</w:t>
      </w:r>
      <w:r w:rsidRPr="00730DE4">
        <w:rPr>
          <w:lang w:val="en-US"/>
        </w:rPr>
        <w:t xml:space="preserve"> </w:t>
      </w:r>
      <w:r w:rsidRPr="00730DE4">
        <w:t>Investment) October 2022</w:t>
      </w:r>
    </w:p>
    <w:p w14:paraId="428D3BF0" w14:textId="77777777" w:rsidR="00FA2FF9" w:rsidRPr="00730DE4" w:rsidRDefault="00FA2FF9" w:rsidP="00074BF0">
      <w:pPr>
        <w:pStyle w:val="ListBullet"/>
      </w:pPr>
      <w:r w:rsidRPr="00730DE4">
        <w:t>Champion for Health and Wellbeing</w:t>
      </w:r>
    </w:p>
    <w:p w14:paraId="3F41432D" w14:textId="77777777" w:rsidR="00FA2FF9" w:rsidRPr="00730DE4" w:rsidRDefault="00FA2FF9" w:rsidP="00074BF0">
      <w:r w:rsidRPr="00730DE4">
        <w:t>Andrew leads a broad and strategic portfolio which creates the foundations for an integrated, multi-modal, statewide transport system.</w:t>
      </w:r>
      <w:r w:rsidRPr="00730DE4">
        <w:rPr>
          <w:lang w:val="en-US"/>
        </w:rPr>
        <w:t xml:space="preserve"> He</w:t>
      </w:r>
      <w:r w:rsidRPr="00730DE4">
        <w:t xml:space="preserve"> provides the principal source of advice to the Director-General and Minister for Transport and Main Roads and Minister for Digital Services on a broad range of major transport policy and planning issues as well as having a key role in the development of strategic linkages with other key agencies and industry. He has corporate responsibility for and oversees the investment direction and prioritisation of major business programs which form the $</w:t>
      </w:r>
      <w:r w:rsidRPr="00730DE4">
        <w:rPr>
          <w:lang w:val="en-US"/>
        </w:rPr>
        <w:t>37.4</w:t>
      </w:r>
      <w:r w:rsidRPr="00730DE4">
        <w:t xml:space="preserve"> billion 2024–25 to 2027–28</w:t>
      </w:r>
      <w:r w:rsidRPr="00730DE4">
        <w:rPr>
          <w:lang w:val="en-US"/>
        </w:rPr>
        <w:t xml:space="preserve"> </w:t>
      </w:r>
      <w:r w:rsidRPr="00730DE4">
        <w:t>Queensland Transport Roads and Investment Program</w:t>
      </w:r>
      <w:r w:rsidRPr="00730DE4">
        <w:rPr>
          <w:lang w:val="en-US"/>
        </w:rPr>
        <w:t>.</w:t>
      </w:r>
    </w:p>
    <w:p w14:paraId="3BA04009" w14:textId="77777777" w:rsidR="005B60B8" w:rsidRDefault="005B60B8" w:rsidP="00074BF0">
      <w:r>
        <w:br w:type="page"/>
      </w:r>
    </w:p>
    <w:p w14:paraId="45BAD8C8" w14:textId="3BD37E47" w:rsidR="00FA2FF9" w:rsidRPr="00730DE4" w:rsidRDefault="00FA2FF9" w:rsidP="00074BF0">
      <w:r w:rsidRPr="00730DE4">
        <w:t>Former positions:</w:t>
      </w:r>
    </w:p>
    <w:p w14:paraId="2C1B5CC8" w14:textId="77777777" w:rsidR="00FA2FF9" w:rsidRPr="00730DE4" w:rsidRDefault="00FA2FF9" w:rsidP="00074BF0">
      <w:pPr>
        <w:pStyle w:val="ListBullet"/>
      </w:pPr>
      <w:r w:rsidRPr="00730DE4">
        <w:t>General Manager (Land Transport Safety and Regulation)</w:t>
      </w:r>
    </w:p>
    <w:p w14:paraId="30C31C41" w14:textId="77777777" w:rsidR="00FA2FF9" w:rsidRPr="00730DE4" w:rsidRDefault="00FA2FF9" w:rsidP="00074BF0">
      <w:pPr>
        <w:pStyle w:val="ListBullet"/>
      </w:pPr>
      <w:r w:rsidRPr="00730DE4">
        <w:t>Acting General Manager (Maritime Safety Queensland)</w:t>
      </w:r>
    </w:p>
    <w:p w14:paraId="481FBAE9" w14:textId="77777777" w:rsidR="00FA2FF9" w:rsidRPr="00730DE4" w:rsidRDefault="00FA2FF9" w:rsidP="00074BF0">
      <w:r w:rsidRPr="00730DE4">
        <w:t>Andrew is an experienced executive leader and public policy professional with over 20 years’ experience in strategic policy, regulation, customer service, contract management, and program oversight.</w:t>
      </w:r>
    </w:p>
    <w:p w14:paraId="1CB28086" w14:textId="1900C8D4" w:rsidR="00FF5644" w:rsidRPr="00730DE4" w:rsidRDefault="001809B9" w:rsidP="001809B9">
      <w:pPr>
        <w:pStyle w:val="ListBullet"/>
        <w:numPr>
          <w:ilvl w:val="0"/>
          <w:numId w:val="0"/>
        </w:numPr>
        <w:ind w:left="357" w:hanging="357"/>
      </w:pPr>
      <w:r w:rsidRPr="00730DE4">
        <w:rPr>
          <w:rStyle w:val="Strong"/>
        </w:rPr>
        <w:t xml:space="preserve">Divisional structure: </w:t>
      </w:r>
      <w:r w:rsidR="00FF5644" w:rsidRPr="00730DE4">
        <w:rPr>
          <w:rStyle w:val="Strong"/>
        </w:rPr>
        <w:t>Policy, Planning and Investment</w:t>
      </w:r>
    </w:p>
    <w:p w14:paraId="06F95499" w14:textId="77777777" w:rsidR="00FF5644" w:rsidRPr="00730DE4" w:rsidRDefault="00FF5644" w:rsidP="00FF5644">
      <w:pPr>
        <w:pStyle w:val="ListBullet2"/>
      </w:pPr>
      <w:r w:rsidRPr="00730DE4">
        <w:t>Customer Experience</w:t>
      </w:r>
    </w:p>
    <w:p w14:paraId="262F22BD" w14:textId="77777777" w:rsidR="00FF5644" w:rsidRPr="00730DE4" w:rsidRDefault="00FF5644" w:rsidP="00FF5644">
      <w:pPr>
        <w:pStyle w:val="ListBullet2"/>
      </w:pPr>
      <w:r w:rsidRPr="00730DE4">
        <w:t>Transport Strategy and Planning</w:t>
      </w:r>
    </w:p>
    <w:p w14:paraId="79546621" w14:textId="77777777" w:rsidR="00FF5644" w:rsidRPr="00730DE4" w:rsidRDefault="00FF5644" w:rsidP="00FF5644">
      <w:pPr>
        <w:pStyle w:val="ListBullet2"/>
      </w:pPr>
      <w:r w:rsidRPr="00730DE4">
        <w:t>Portfolio Investment and Programming</w:t>
      </w:r>
    </w:p>
    <w:p w14:paraId="35DEE60B" w14:textId="77777777" w:rsidR="00FF5644" w:rsidRPr="00730DE4" w:rsidRDefault="00FF5644" w:rsidP="00FF5644">
      <w:pPr>
        <w:pStyle w:val="ListBullet2"/>
      </w:pPr>
      <w:r w:rsidRPr="00730DE4">
        <w:t>Transport Policy</w:t>
      </w:r>
    </w:p>
    <w:p w14:paraId="0452598F" w14:textId="5FDB113F" w:rsidR="00FA2FF9" w:rsidRPr="00730DE4" w:rsidRDefault="00FA2FF9" w:rsidP="002B7001">
      <w:pPr>
        <w:pStyle w:val="Heading3"/>
      </w:pPr>
      <w:bookmarkStart w:id="1298" w:name="_Toc180487656"/>
      <w:bookmarkStart w:id="1299" w:name="_Toc180490862"/>
      <w:bookmarkStart w:id="1300" w:name="_Toc180491895"/>
      <w:bookmarkStart w:id="1301" w:name="_Hlk174602413"/>
      <w:r w:rsidRPr="00730DE4">
        <w:t>Julie Mitchell</w:t>
      </w:r>
      <w:r w:rsidR="00393FD1" w:rsidRPr="00730DE4">
        <w:t xml:space="preserve"> </w:t>
      </w:r>
      <w:r w:rsidRPr="00730DE4">
        <w:t>Deputy Director-General</w:t>
      </w:r>
      <w:r w:rsidRPr="00730DE4">
        <w:rPr>
          <w:lang w:val="en-US"/>
        </w:rPr>
        <w:t xml:space="preserve"> </w:t>
      </w:r>
      <w:r w:rsidRPr="00730DE4">
        <w:t>(Infrastructure Management and</w:t>
      </w:r>
      <w:r w:rsidRPr="00730DE4">
        <w:rPr>
          <w:lang w:val="en-US"/>
        </w:rPr>
        <w:t xml:space="preserve"> </w:t>
      </w:r>
      <w:r w:rsidRPr="00730DE4">
        <w:t>Delivery)</w:t>
      </w:r>
      <w:bookmarkEnd w:id="1298"/>
      <w:bookmarkEnd w:id="1299"/>
      <w:bookmarkEnd w:id="1300"/>
    </w:p>
    <w:p w14:paraId="66427F6A" w14:textId="77777777" w:rsidR="00FA2FF9" w:rsidRPr="00730DE4" w:rsidRDefault="00FA2FF9" w:rsidP="00074BF0">
      <w:pPr>
        <w:rPr>
          <w:rStyle w:val="Emphasis"/>
        </w:rPr>
      </w:pPr>
      <w:r w:rsidRPr="00730DE4">
        <w:rPr>
          <w:rStyle w:val="Emphasis"/>
        </w:rPr>
        <w:t>BE Civil (Hons), MBA, MEnvMan, FIEAust, RPEQ, GAICD, PSM</w:t>
      </w:r>
    </w:p>
    <w:p w14:paraId="201EF5C1" w14:textId="77777777" w:rsidR="00FA2FF9" w:rsidRPr="00730DE4" w:rsidRDefault="00FA2FF9" w:rsidP="00074BF0">
      <w:pPr>
        <w:pStyle w:val="ListBullet"/>
      </w:pPr>
      <w:r w:rsidRPr="00730DE4">
        <w:t>Appointed as Deputy Director-General (Infrastructure</w:t>
      </w:r>
      <w:r w:rsidRPr="00730DE4">
        <w:rPr>
          <w:lang w:val="en-US"/>
        </w:rPr>
        <w:t xml:space="preserve"> </w:t>
      </w:r>
      <w:r w:rsidRPr="00730DE4">
        <w:t>Management and Delivery) October 2022</w:t>
      </w:r>
    </w:p>
    <w:p w14:paraId="5EC6A455" w14:textId="77777777" w:rsidR="00FA2FF9" w:rsidRPr="00730DE4" w:rsidRDefault="00FA2FF9" w:rsidP="00074BF0">
      <w:pPr>
        <w:pStyle w:val="ListBullet"/>
      </w:pPr>
      <w:r w:rsidRPr="00730DE4">
        <w:t>Champion for Innovation</w:t>
      </w:r>
    </w:p>
    <w:p w14:paraId="059B4C11" w14:textId="77777777" w:rsidR="00FA2FF9" w:rsidRPr="00730DE4" w:rsidRDefault="00FA2FF9" w:rsidP="00074BF0">
      <w:r w:rsidRPr="00730DE4">
        <w:t>Julie manages</w:t>
      </w:r>
      <w:r w:rsidRPr="00730DE4">
        <w:rPr>
          <w:lang w:val="en-US"/>
        </w:rPr>
        <w:t xml:space="preserve"> the operation, maintenance, delivery, and optimisation of </w:t>
      </w:r>
      <w:r w:rsidRPr="00730DE4">
        <w:t>Queensland's</w:t>
      </w:r>
      <w:r w:rsidRPr="00730DE4">
        <w:rPr>
          <w:lang w:val="en-US"/>
        </w:rPr>
        <w:t xml:space="preserve"> </w:t>
      </w:r>
      <w:r w:rsidRPr="00730DE4">
        <w:t>state-controlled road transport system, and ensures</w:t>
      </w:r>
      <w:r w:rsidRPr="00730DE4">
        <w:rPr>
          <w:lang w:val="en-US"/>
        </w:rPr>
        <w:t xml:space="preserve"> efficient delivery</w:t>
      </w:r>
      <w:r w:rsidRPr="00730DE4">
        <w:t xml:space="preserve"> across road, </w:t>
      </w:r>
      <w:r w:rsidRPr="00730DE4">
        <w:rPr>
          <w:lang w:val="en-US"/>
        </w:rPr>
        <w:t xml:space="preserve">busway, light rail, </w:t>
      </w:r>
      <w:r w:rsidRPr="00730DE4">
        <w:t>active transport,</w:t>
      </w:r>
      <w:r w:rsidRPr="00730DE4">
        <w:rPr>
          <w:lang w:val="en-US"/>
        </w:rPr>
        <w:t xml:space="preserve"> and freight</w:t>
      </w:r>
      <w:r w:rsidRPr="00730DE4">
        <w:t xml:space="preserve"> networks</w:t>
      </w:r>
      <w:r w:rsidRPr="00730DE4">
        <w:rPr>
          <w:lang w:val="en-US"/>
        </w:rPr>
        <w:t xml:space="preserve"> ($37.4 billion over four years) though initiatives such as technical research, innovation, and collaborative contracting</w:t>
      </w:r>
      <w:r w:rsidRPr="00730DE4">
        <w:t>.</w:t>
      </w:r>
    </w:p>
    <w:p w14:paraId="31C1CCF7" w14:textId="77777777" w:rsidR="00FA2FF9" w:rsidRPr="00730DE4" w:rsidRDefault="00FA2FF9" w:rsidP="008C1C5D">
      <w:r w:rsidRPr="00730DE4">
        <w:t>Julie implements key strategies and plans for an</w:t>
      </w:r>
      <w:r w:rsidRPr="00730DE4">
        <w:rPr>
          <w:lang w:val="en-US"/>
        </w:rPr>
        <w:t xml:space="preserve"> </w:t>
      </w:r>
      <w:r w:rsidRPr="00730DE4">
        <w:t xml:space="preserve">integrated </w:t>
      </w:r>
      <w:r w:rsidRPr="00730DE4">
        <w:rPr>
          <w:lang w:val="en-US"/>
        </w:rPr>
        <w:t xml:space="preserve">and environmentally sustainable </w:t>
      </w:r>
      <w:r w:rsidRPr="00730DE4">
        <w:t>transport system that supports the safe and</w:t>
      </w:r>
      <w:r w:rsidRPr="00730DE4">
        <w:rPr>
          <w:lang w:val="en-US"/>
        </w:rPr>
        <w:t xml:space="preserve"> </w:t>
      </w:r>
      <w:r w:rsidRPr="00730DE4">
        <w:t>efficient movement of people and goods, while driving value</w:t>
      </w:r>
      <w:r w:rsidRPr="00730DE4">
        <w:rPr>
          <w:lang w:val="en-US"/>
        </w:rPr>
        <w:t xml:space="preserve"> </w:t>
      </w:r>
      <w:r w:rsidRPr="00730DE4">
        <w:t xml:space="preserve">for the community. </w:t>
      </w:r>
    </w:p>
    <w:p w14:paraId="72E100AF" w14:textId="77777777" w:rsidR="00FA2FF9" w:rsidRPr="00730DE4" w:rsidRDefault="00FA2FF9" w:rsidP="008C1C5D">
      <w:r w:rsidRPr="00730DE4">
        <w:t>Former positions:</w:t>
      </w:r>
    </w:p>
    <w:p w14:paraId="3CE43B6D" w14:textId="77777777" w:rsidR="00FA2FF9" w:rsidRPr="00730DE4" w:rsidRDefault="00FA2FF9" w:rsidP="008C1C5D">
      <w:pPr>
        <w:pStyle w:val="ListBullet"/>
      </w:pPr>
      <w:r w:rsidRPr="00730DE4">
        <w:t>Deputy Director-General (Policy, Planning and Investment)</w:t>
      </w:r>
    </w:p>
    <w:p w14:paraId="1AC89632" w14:textId="77777777" w:rsidR="00FA2FF9" w:rsidRPr="00730DE4" w:rsidRDefault="00FA2FF9" w:rsidP="008C1C5D">
      <w:pPr>
        <w:pStyle w:val="ListBullet"/>
      </w:pPr>
      <w:r w:rsidRPr="00730DE4">
        <w:t>Chief Engineer</w:t>
      </w:r>
    </w:p>
    <w:p w14:paraId="1C36CE96" w14:textId="77777777" w:rsidR="00FA2FF9" w:rsidRPr="00730DE4" w:rsidRDefault="00FA2FF9" w:rsidP="00074BF0">
      <w:r w:rsidRPr="00730DE4">
        <w:t>Julie is a highly respected leader with more than 3</w:t>
      </w:r>
      <w:r w:rsidRPr="00730DE4">
        <w:rPr>
          <w:lang w:val="en-US"/>
        </w:rPr>
        <w:t>5</w:t>
      </w:r>
      <w:r w:rsidRPr="00730DE4">
        <w:t xml:space="preserve"> years’ of</w:t>
      </w:r>
      <w:r w:rsidRPr="00730DE4">
        <w:rPr>
          <w:lang w:val="en-US"/>
        </w:rPr>
        <w:t xml:space="preserve"> </w:t>
      </w:r>
      <w:r w:rsidRPr="00730DE4">
        <w:t>experience in civil engineering, policy, planning, design, business</w:t>
      </w:r>
      <w:r w:rsidRPr="00730DE4">
        <w:rPr>
          <w:lang w:val="en-US"/>
        </w:rPr>
        <w:t xml:space="preserve"> </w:t>
      </w:r>
      <w:r w:rsidRPr="00730DE4">
        <w:t>case, delivery, and asset management of large complex transport</w:t>
      </w:r>
      <w:r w:rsidRPr="00730DE4">
        <w:rPr>
          <w:lang w:val="en-US"/>
        </w:rPr>
        <w:t xml:space="preserve"> </w:t>
      </w:r>
      <w:r w:rsidRPr="00730DE4">
        <w:t>infrastructure, including eight years as Chief Engineer and</w:t>
      </w:r>
      <w:r w:rsidRPr="00730DE4">
        <w:rPr>
          <w:lang w:val="en-US"/>
        </w:rPr>
        <w:t xml:space="preserve"> </w:t>
      </w:r>
      <w:r w:rsidRPr="00730DE4">
        <w:t>four years as the Deputy Director-General (Policy, Planning and</w:t>
      </w:r>
      <w:r w:rsidRPr="00730DE4">
        <w:rPr>
          <w:lang w:val="en-US"/>
        </w:rPr>
        <w:t xml:space="preserve"> </w:t>
      </w:r>
      <w:r w:rsidRPr="00730DE4">
        <w:t>Investment). She is a member of the ELT at TMR and has extensive</w:t>
      </w:r>
      <w:r w:rsidRPr="00730DE4">
        <w:rPr>
          <w:lang w:val="en-US"/>
        </w:rPr>
        <w:t xml:space="preserve"> </w:t>
      </w:r>
      <w:r w:rsidRPr="00730DE4">
        <w:t>experience in strategic organisational and technical leadership</w:t>
      </w:r>
      <w:r w:rsidRPr="00730DE4">
        <w:rPr>
          <w:lang w:val="en-US"/>
        </w:rPr>
        <w:t xml:space="preserve"> </w:t>
      </w:r>
      <w:r w:rsidRPr="00730DE4">
        <w:t>and development, significant organisational change agendas</w:t>
      </w:r>
      <w:r w:rsidRPr="00730DE4">
        <w:rPr>
          <w:lang w:val="en-US"/>
        </w:rPr>
        <w:t xml:space="preserve"> </w:t>
      </w:r>
      <w:r w:rsidRPr="00730DE4">
        <w:t>on customer focus, efficiency, staff empowerment, reducing</w:t>
      </w:r>
      <w:r w:rsidRPr="00730DE4">
        <w:rPr>
          <w:lang w:val="en-US"/>
        </w:rPr>
        <w:t xml:space="preserve"> </w:t>
      </w:r>
      <w:r w:rsidRPr="00730DE4">
        <w:t>infrastructure costs, and technical innovation.</w:t>
      </w:r>
    </w:p>
    <w:p w14:paraId="7DA022D6" w14:textId="499B5FB0" w:rsidR="00FA2FF9" w:rsidRPr="00730DE4" w:rsidRDefault="00FA2FF9" w:rsidP="00C53192">
      <w:r w:rsidRPr="00730DE4">
        <w:t>Julie is experienced in planning and delivery for major</w:t>
      </w:r>
      <w:r w:rsidRPr="00730DE4">
        <w:rPr>
          <w:lang w:val="en-US"/>
        </w:rPr>
        <w:t xml:space="preserve"> </w:t>
      </w:r>
      <w:r w:rsidRPr="00730DE4">
        <w:t>infrastructure projects. Her focus is on exploring innovations</w:t>
      </w:r>
      <w:r w:rsidRPr="00730DE4">
        <w:rPr>
          <w:lang w:val="en-US"/>
        </w:rPr>
        <w:t xml:space="preserve"> </w:t>
      </w:r>
      <w:r w:rsidRPr="00730DE4">
        <w:t>and efficiencies, improving infrastructure resilience and sustainability, building better relationships with First Nations peoples, collaborating with industry partners, and the</w:t>
      </w:r>
      <w:r w:rsidRPr="00730DE4">
        <w:rPr>
          <w:lang w:val="en-US"/>
        </w:rPr>
        <w:t xml:space="preserve"> </w:t>
      </w:r>
      <w:r w:rsidRPr="00730DE4">
        <w:t>safety of her people.</w:t>
      </w:r>
    </w:p>
    <w:p w14:paraId="172617B6" w14:textId="06782BD6" w:rsidR="00F46512" w:rsidRPr="00730DE4" w:rsidRDefault="00F46512" w:rsidP="00F46512">
      <w:pPr>
        <w:rPr>
          <w:rStyle w:val="Strong"/>
        </w:rPr>
      </w:pPr>
      <w:bookmarkStart w:id="1302" w:name="_Hlk176527585"/>
      <w:r w:rsidRPr="00730DE4">
        <w:rPr>
          <w:rStyle w:val="Strong"/>
        </w:rPr>
        <w:t>Divisional structure:</w:t>
      </w:r>
      <w:r w:rsidRPr="00730DE4">
        <w:t xml:space="preserve"> </w:t>
      </w:r>
      <w:r w:rsidRPr="00730DE4">
        <w:rPr>
          <w:rStyle w:val="Strong"/>
        </w:rPr>
        <w:t>Infrastructure Management and Delivery</w:t>
      </w:r>
    </w:p>
    <w:p w14:paraId="121F6883" w14:textId="77777777" w:rsidR="00F46512" w:rsidRPr="00730DE4" w:rsidRDefault="00F46512" w:rsidP="00F46512">
      <w:pPr>
        <w:pStyle w:val="ListBullet2"/>
      </w:pPr>
      <w:r w:rsidRPr="00730DE4">
        <w:t>Engineering and Technology</w:t>
      </w:r>
    </w:p>
    <w:bookmarkEnd w:id="1302"/>
    <w:p w14:paraId="01E185F5" w14:textId="77777777" w:rsidR="00F46512" w:rsidRPr="00730DE4" w:rsidRDefault="00F46512" w:rsidP="00F46512">
      <w:pPr>
        <w:pStyle w:val="ListBullet2"/>
      </w:pPr>
      <w:r w:rsidRPr="00730DE4">
        <w:t>Program Delivery and Operations</w:t>
      </w:r>
    </w:p>
    <w:p w14:paraId="546A84CC" w14:textId="564198AB" w:rsidR="00F46512" w:rsidRPr="00730DE4" w:rsidRDefault="00F46512" w:rsidP="00F46512">
      <w:pPr>
        <w:pStyle w:val="ListBullet2"/>
      </w:pPr>
      <w:r w:rsidRPr="00730DE4">
        <w:t>RoadTek</w:t>
      </w:r>
    </w:p>
    <w:p w14:paraId="2AB37EF8" w14:textId="71BF569C" w:rsidR="00F46512" w:rsidRPr="00730DE4" w:rsidRDefault="00F46512" w:rsidP="00F46512">
      <w:pPr>
        <w:pStyle w:val="ListBullet2"/>
      </w:pPr>
      <w:r w:rsidRPr="00730DE4">
        <w:t>Statewide Network Operations</w:t>
      </w:r>
    </w:p>
    <w:p w14:paraId="03655D7D" w14:textId="6FA56269" w:rsidR="00FA2FF9" w:rsidRPr="00730DE4" w:rsidRDefault="00FA2FF9" w:rsidP="002B7001">
      <w:pPr>
        <w:pStyle w:val="Heading3"/>
      </w:pPr>
      <w:bookmarkStart w:id="1303" w:name="_Toc180487657"/>
      <w:bookmarkStart w:id="1304" w:name="_Toc180490863"/>
      <w:bookmarkStart w:id="1305" w:name="_Toc180491896"/>
      <w:bookmarkStart w:id="1306" w:name="_Hlk173401551"/>
      <w:bookmarkEnd w:id="1301"/>
      <w:r w:rsidRPr="00730DE4">
        <w:t>Geoff Magoffin</w:t>
      </w:r>
      <w:r w:rsidR="00393FD1" w:rsidRPr="00730DE4">
        <w:t xml:space="preserve"> </w:t>
      </w:r>
      <w:r w:rsidRPr="00730DE4">
        <w:t>Deputy Director-General</w:t>
      </w:r>
      <w:r w:rsidRPr="00730DE4">
        <w:rPr>
          <w:lang w:val="en-US"/>
        </w:rPr>
        <w:t xml:space="preserve"> </w:t>
      </w:r>
      <w:r w:rsidRPr="00730DE4">
        <w:t>(</w:t>
      </w:r>
      <w:bookmarkStart w:id="1307" w:name="_Hlk176527667"/>
      <w:r w:rsidRPr="00730DE4">
        <w:t>Customer Services, Safety and</w:t>
      </w:r>
      <w:r w:rsidRPr="00730DE4">
        <w:rPr>
          <w:lang w:val="en-US"/>
        </w:rPr>
        <w:t xml:space="preserve"> </w:t>
      </w:r>
      <w:r w:rsidRPr="00730DE4">
        <w:t>Regulation</w:t>
      </w:r>
      <w:bookmarkEnd w:id="1307"/>
      <w:r w:rsidRPr="00730DE4">
        <w:t>)</w:t>
      </w:r>
      <w:bookmarkEnd w:id="1303"/>
      <w:bookmarkEnd w:id="1304"/>
      <w:bookmarkEnd w:id="1305"/>
    </w:p>
    <w:p w14:paraId="62C02DB2" w14:textId="77777777" w:rsidR="00FA2FF9" w:rsidRPr="00730DE4" w:rsidRDefault="00FA2FF9" w:rsidP="00074BF0">
      <w:pPr>
        <w:rPr>
          <w:rStyle w:val="Emphasis"/>
        </w:rPr>
      </w:pPr>
      <w:r w:rsidRPr="00730DE4">
        <w:rPr>
          <w:rStyle w:val="Emphasis"/>
        </w:rPr>
        <w:t>MBA, GradDipBusAdmin, GradCertMgt, GAICD</w:t>
      </w:r>
    </w:p>
    <w:p w14:paraId="01A5E2BB" w14:textId="77777777" w:rsidR="00FA2FF9" w:rsidRPr="00730DE4" w:rsidRDefault="00FA2FF9" w:rsidP="001845CB">
      <w:pPr>
        <w:pStyle w:val="ListBullet"/>
      </w:pPr>
      <w:r w:rsidRPr="00730DE4">
        <w:t>Appointed as Deputy Director-General (Customer Services,</w:t>
      </w:r>
      <w:r w:rsidRPr="00730DE4">
        <w:rPr>
          <w:lang w:val="en-US"/>
        </w:rPr>
        <w:t xml:space="preserve"> </w:t>
      </w:r>
      <w:r w:rsidRPr="00730DE4">
        <w:t>Safety and Regulation) October 2022</w:t>
      </w:r>
    </w:p>
    <w:p w14:paraId="53F7C3F9" w14:textId="77777777" w:rsidR="00FA2FF9" w:rsidRPr="00730DE4" w:rsidRDefault="00FA2FF9" w:rsidP="001845CB">
      <w:pPr>
        <w:pStyle w:val="ListBullet"/>
      </w:pPr>
      <w:r w:rsidRPr="00730DE4">
        <w:t>Inclusion and Diversity Champion</w:t>
      </w:r>
    </w:p>
    <w:p w14:paraId="63260F75" w14:textId="77777777" w:rsidR="00FA2FF9" w:rsidRPr="00730DE4" w:rsidRDefault="00FA2FF9" w:rsidP="00074BF0">
      <w:r w:rsidRPr="00730DE4">
        <w:t>Geoff oversees the delivery of safety, regulatory, and transactional</w:t>
      </w:r>
      <w:r w:rsidRPr="00730DE4">
        <w:rPr>
          <w:lang w:val="en-US"/>
        </w:rPr>
        <w:t xml:space="preserve"> </w:t>
      </w:r>
      <w:r w:rsidRPr="00730DE4">
        <w:t>transport services for the department. This division is critical to</w:t>
      </w:r>
      <w:r w:rsidRPr="00730DE4">
        <w:rPr>
          <w:lang w:val="en-US"/>
        </w:rPr>
        <w:t xml:space="preserve"> </w:t>
      </w:r>
      <w:r w:rsidRPr="00730DE4">
        <w:t xml:space="preserve">TMR’s current and future transport system, managing the </w:t>
      </w:r>
      <w:r w:rsidRPr="00730DE4">
        <w:rPr>
          <w:lang w:val="en-US"/>
        </w:rPr>
        <w:t xml:space="preserve">state's </w:t>
      </w:r>
      <w:r w:rsidRPr="00730DE4">
        <w:t>regulation, marine, road safety, and frontline services</w:t>
      </w:r>
      <w:r w:rsidRPr="00730DE4">
        <w:rPr>
          <w:lang w:val="en-US"/>
        </w:rPr>
        <w:t xml:space="preserve"> </w:t>
      </w:r>
      <w:r w:rsidRPr="00730DE4">
        <w:t>for Queenslanders.</w:t>
      </w:r>
    </w:p>
    <w:p w14:paraId="462BE54D" w14:textId="77777777" w:rsidR="00FA2FF9" w:rsidRPr="00730DE4" w:rsidRDefault="00FA2FF9" w:rsidP="00074BF0">
      <w:r w:rsidRPr="00730DE4">
        <w:t>Former positions:</w:t>
      </w:r>
    </w:p>
    <w:p w14:paraId="1D08A719" w14:textId="77777777" w:rsidR="00FA2FF9" w:rsidRPr="00730DE4" w:rsidRDefault="00FA2FF9" w:rsidP="001845CB">
      <w:pPr>
        <w:pStyle w:val="ListBullet"/>
      </w:pPr>
      <w:r w:rsidRPr="00730DE4">
        <w:t>General Manager (Customer Services)</w:t>
      </w:r>
    </w:p>
    <w:p w14:paraId="6FFF21AD" w14:textId="77777777" w:rsidR="00FA2FF9" w:rsidRPr="00730DE4" w:rsidRDefault="00FA2FF9" w:rsidP="00074BF0">
      <w:r w:rsidRPr="00730DE4">
        <w:t>For over 30 years, Geoff has held leadership positions within the</w:t>
      </w:r>
      <w:r w:rsidRPr="00730DE4">
        <w:rPr>
          <w:lang w:val="en-US"/>
        </w:rPr>
        <w:t xml:space="preserve"> </w:t>
      </w:r>
      <w:r w:rsidRPr="00730DE4">
        <w:t>customer service industry, initially as a Stock and Station Agent</w:t>
      </w:r>
      <w:r w:rsidRPr="00730DE4">
        <w:rPr>
          <w:lang w:val="en-US"/>
        </w:rPr>
        <w:t xml:space="preserve"> </w:t>
      </w:r>
      <w:r w:rsidRPr="00730DE4">
        <w:t>with Elders, before starting a banking career with QIDC (now</w:t>
      </w:r>
      <w:r w:rsidRPr="00730DE4">
        <w:rPr>
          <w:lang w:val="en-US"/>
        </w:rPr>
        <w:t xml:space="preserve"> </w:t>
      </w:r>
      <w:r w:rsidRPr="00730DE4">
        <w:t>Suncorp) in 1991. Geoff’s banking career spanned 20 years,</w:t>
      </w:r>
      <w:r w:rsidRPr="00730DE4">
        <w:rPr>
          <w:lang w:val="en-US"/>
        </w:rPr>
        <w:t xml:space="preserve"> </w:t>
      </w:r>
      <w:r w:rsidRPr="00730DE4">
        <w:t>primarily in senior agribusiness management roles in Suncorp,</w:t>
      </w:r>
      <w:r w:rsidRPr="00730DE4">
        <w:rPr>
          <w:lang w:val="en-US"/>
        </w:rPr>
        <w:t xml:space="preserve"> </w:t>
      </w:r>
      <w:r w:rsidRPr="00730DE4">
        <w:t>before taking up a senior executive position with Rural Bank as</w:t>
      </w:r>
      <w:r w:rsidRPr="00730DE4">
        <w:rPr>
          <w:lang w:val="en-US"/>
        </w:rPr>
        <w:t xml:space="preserve"> </w:t>
      </w:r>
      <w:r w:rsidRPr="00730DE4">
        <w:t>the State Manager for New South</w:t>
      </w:r>
      <w:r w:rsidRPr="00730DE4">
        <w:rPr>
          <w:lang w:val="en-US"/>
        </w:rPr>
        <w:t xml:space="preserve"> </w:t>
      </w:r>
      <w:r w:rsidRPr="00730DE4">
        <w:t>Wales, Queensland, and the</w:t>
      </w:r>
      <w:r w:rsidRPr="00730DE4">
        <w:rPr>
          <w:lang w:val="en-US"/>
        </w:rPr>
        <w:t xml:space="preserve"> </w:t>
      </w:r>
      <w:r w:rsidRPr="00730DE4">
        <w:t>Northern Territory. Commencing in TMR in 2012 as General Manager Customer Services Branch, Geoff oversaw the delivery of transactional customer focused services, local community focused road safety initiatives along with compliance and regulatory functions for the department.</w:t>
      </w:r>
    </w:p>
    <w:p w14:paraId="1965B691" w14:textId="183E68C7" w:rsidR="00F46512" w:rsidRPr="00730DE4" w:rsidRDefault="00F46512" w:rsidP="00F46512">
      <w:pPr>
        <w:rPr>
          <w:rStyle w:val="Strong"/>
        </w:rPr>
      </w:pPr>
      <w:r w:rsidRPr="00730DE4">
        <w:rPr>
          <w:rStyle w:val="Strong"/>
        </w:rPr>
        <w:t>Divisional structure:</w:t>
      </w:r>
      <w:r w:rsidRPr="00730DE4">
        <w:t xml:space="preserve"> </w:t>
      </w:r>
      <w:r w:rsidRPr="00730DE4">
        <w:rPr>
          <w:rStyle w:val="Strong"/>
        </w:rPr>
        <w:t>Customer Services, Safety and Regulation</w:t>
      </w:r>
    </w:p>
    <w:p w14:paraId="03683822" w14:textId="006E0FED" w:rsidR="00F46512" w:rsidRPr="00730DE4" w:rsidRDefault="00F46512" w:rsidP="00F46512">
      <w:pPr>
        <w:pStyle w:val="ListBullet2"/>
        <w:rPr>
          <w:b/>
          <w:bCs/>
        </w:rPr>
      </w:pPr>
      <w:r w:rsidRPr="00730DE4">
        <w:t>Customer Services</w:t>
      </w:r>
    </w:p>
    <w:p w14:paraId="58DBCF27" w14:textId="0D54A5C5" w:rsidR="00F46512" w:rsidRPr="00730DE4" w:rsidRDefault="00F46512" w:rsidP="00F46512">
      <w:pPr>
        <w:pStyle w:val="ListBullet2"/>
      </w:pPr>
      <w:r w:rsidRPr="00730DE4">
        <w:t>Land Transport Safety and Regulation</w:t>
      </w:r>
    </w:p>
    <w:p w14:paraId="5D376C48" w14:textId="04EB7B0A" w:rsidR="00F46512" w:rsidRPr="00730DE4" w:rsidRDefault="00F46512" w:rsidP="00F46512">
      <w:pPr>
        <w:pStyle w:val="ListBullet2"/>
      </w:pPr>
      <w:r w:rsidRPr="00730DE4">
        <w:t>Maritime Safety Queensland</w:t>
      </w:r>
    </w:p>
    <w:p w14:paraId="3F8A9699" w14:textId="03F2D8F1" w:rsidR="00F46512" w:rsidRPr="00730DE4" w:rsidRDefault="00F46512" w:rsidP="00074BF0">
      <w:pPr>
        <w:pStyle w:val="ListBullet2"/>
      </w:pPr>
      <w:r w:rsidRPr="00730DE4">
        <w:t>Customer Digital Identity Services</w:t>
      </w:r>
    </w:p>
    <w:p w14:paraId="29BBE183" w14:textId="18A78DE0" w:rsidR="00FA2FF9" w:rsidRPr="00730DE4" w:rsidRDefault="00FA2FF9" w:rsidP="002B7001">
      <w:pPr>
        <w:pStyle w:val="Heading3"/>
      </w:pPr>
      <w:bookmarkStart w:id="1308" w:name="_Toc180487658"/>
      <w:bookmarkStart w:id="1309" w:name="_Toc180490864"/>
      <w:bookmarkStart w:id="1310" w:name="_Toc180491897"/>
      <w:bookmarkEnd w:id="1306"/>
      <w:r w:rsidRPr="00730DE4">
        <w:t>Peter Milward</w:t>
      </w:r>
      <w:r w:rsidR="00393FD1" w:rsidRPr="00730DE4">
        <w:t xml:space="preserve"> </w:t>
      </w:r>
      <w:r w:rsidRPr="00730DE4">
        <w:t>Acting Deputy Director-General</w:t>
      </w:r>
      <w:r w:rsidRPr="00730DE4">
        <w:rPr>
          <w:lang w:val="en-US"/>
        </w:rPr>
        <w:t xml:space="preserve"> </w:t>
      </w:r>
      <w:r w:rsidRPr="00730DE4">
        <w:t>(Translink)</w:t>
      </w:r>
      <w:bookmarkEnd w:id="1308"/>
      <w:bookmarkEnd w:id="1309"/>
      <w:bookmarkEnd w:id="1310"/>
    </w:p>
    <w:p w14:paraId="27C71537" w14:textId="77777777" w:rsidR="00FA2FF9" w:rsidRPr="00730DE4" w:rsidRDefault="00FA2FF9" w:rsidP="001845CB">
      <w:pPr>
        <w:rPr>
          <w:rStyle w:val="Emphasis"/>
        </w:rPr>
      </w:pPr>
      <w:r w:rsidRPr="00730DE4">
        <w:rPr>
          <w:rStyle w:val="Emphasis"/>
        </w:rPr>
        <w:t>BCom, MBA, CertSuperannuationMan, GAICD</w:t>
      </w:r>
    </w:p>
    <w:p w14:paraId="1B85A26B" w14:textId="77777777" w:rsidR="00FA2FF9" w:rsidRPr="00730DE4" w:rsidRDefault="00FA2FF9" w:rsidP="001845CB">
      <w:pPr>
        <w:pStyle w:val="ListBullet"/>
      </w:pPr>
      <w:r w:rsidRPr="00730DE4">
        <w:t>Appointed as Acting Deputy Director-General (Translink) June</w:t>
      </w:r>
      <w:r w:rsidRPr="00730DE4">
        <w:rPr>
          <w:lang w:val="en-US"/>
        </w:rPr>
        <w:t xml:space="preserve"> </w:t>
      </w:r>
      <w:r w:rsidRPr="00730DE4">
        <w:t>2023</w:t>
      </w:r>
    </w:p>
    <w:p w14:paraId="70B4A8A0" w14:textId="77777777" w:rsidR="00FA2FF9" w:rsidRPr="00730DE4" w:rsidRDefault="00FA2FF9" w:rsidP="001845CB">
      <w:pPr>
        <w:pStyle w:val="ListBullet"/>
      </w:pPr>
      <w:r w:rsidRPr="00730DE4">
        <w:t>Champion for Customers</w:t>
      </w:r>
    </w:p>
    <w:p w14:paraId="5DB60672" w14:textId="77777777" w:rsidR="00FA2FF9" w:rsidRPr="00730DE4" w:rsidRDefault="00FA2FF9" w:rsidP="001845CB">
      <w:r w:rsidRPr="00730DE4">
        <w:t>Peter leads the delivery of customer-focused passenger transport</w:t>
      </w:r>
      <w:r w:rsidRPr="00730DE4">
        <w:rPr>
          <w:lang w:val="en-US"/>
        </w:rPr>
        <w:t xml:space="preserve"> </w:t>
      </w:r>
      <w:r w:rsidRPr="00730DE4">
        <w:t>services across Queensland including policy, planning, ticketing,</w:t>
      </w:r>
      <w:r w:rsidRPr="00730DE4">
        <w:rPr>
          <w:lang w:val="en-US"/>
        </w:rPr>
        <w:t xml:space="preserve"> </w:t>
      </w:r>
      <w:r w:rsidRPr="00730DE4">
        <w:t>contract management, and customer services.</w:t>
      </w:r>
    </w:p>
    <w:p w14:paraId="2B223B3A" w14:textId="77777777" w:rsidR="00FA2FF9" w:rsidRPr="00730DE4" w:rsidRDefault="00FA2FF9" w:rsidP="001845CB">
      <w:r w:rsidRPr="00730DE4">
        <w:t>Translink Division is responsible for the integrated rail, bus, ferry,</w:t>
      </w:r>
      <w:r w:rsidRPr="00730DE4">
        <w:rPr>
          <w:lang w:val="en-US"/>
        </w:rPr>
        <w:t xml:space="preserve"> </w:t>
      </w:r>
      <w:r w:rsidRPr="00730DE4">
        <w:t>and tram network in South East Queensland and long-distance</w:t>
      </w:r>
      <w:r w:rsidRPr="00730DE4">
        <w:rPr>
          <w:lang w:val="en-US"/>
        </w:rPr>
        <w:t xml:space="preserve"> </w:t>
      </w:r>
      <w:r w:rsidRPr="00730DE4">
        <w:t>rail, bus, and aviation services in regional, rural, and remote</w:t>
      </w:r>
      <w:r w:rsidRPr="00730DE4">
        <w:rPr>
          <w:lang w:val="en-US"/>
        </w:rPr>
        <w:t xml:space="preserve"> </w:t>
      </w:r>
      <w:r w:rsidRPr="00730DE4">
        <w:t>Queensland, in addition to school transport, personalised</w:t>
      </w:r>
      <w:r w:rsidRPr="00730DE4">
        <w:rPr>
          <w:lang w:val="en-US"/>
        </w:rPr>
        <w:t xml:space="preserve"> </w:t>
      </w:r>
      <w:r w:rsidRPr="00730DE4">
        <w:t>transport, and on-demand services.</w:t>
      </w:r>
    </w:p>
    <w:p w14:paraId="5B46E48E" w14:textId="77777777" w:rsidR="00FA2FF9" w:rsidRPr="00730DE4" w:rsidRDefault="00FA2FF9" w:rsidP="001845CB">
      <w:r w:rsidRPr="00730DE4">
        <w:t>Former positions:</w:t>
      </w:r>
    </w:p>
    <w:p w14:paraId="49BAF62D" w14:textId="77777777" w:rsidR="00FA2FF9" w:rsidRPr="00730DE4" w:rsidRDefault="00FA2FF9" w:rsidP="001845CB">
      <w:pPr>
        <w:pStyle w:val="ListBullet"/>
      </w:pPr>
      <w:r w:rsidRPr="00730DE4">
        <w:t>General Manager, Passenger Transport Integration (Translink)</w:t>
      </w:r>
    </w:p>
    <w:p w14:paraId="2482E6FA" w14:textId="77777777" w:rsidR="00FA2FF9" w:rsidRPr="00730DE4" w:rsidRDefault="00FA2FF9" w:rsidP="001845CB">
      <w:pPr>
        <w:pStyle w:val="ListBullet"/>
      </w:pPr>
      <w:r w:rsidRPr="00730DE4">
        <w:t>Acting Deputy Director-General (Corporate)</w:t>
      </w:r>
    </w:p>
    <w:p w14:paraId="4CE3DB5D" w14:textId="77777777" w:rsidR="00FA2FF9" w:rsidRPr="00730DE4" w:rsidRDefault="00FA2FF9" w:rsidP="001845CB">
      <w:pPr>
        <w:pStyle w:val="ListBullet"/>
      </w:pPr>
      <w:r w:rsidRPr="00730DE4">
        <w:t>Executive Director, Service Policy and Investment (Translink)</w:t>
      </w:r>
    </w:p>
    <w:p w14:paraId="5C6350C1" w14:textId="77777777" w:rsidR="00FA2FF9" w:rsidRPr="00730DE4" w:rsidRDefault="00FA2FF9" w:rsidP="001845CB">
      <w:pPr>
        <w:pStyle w:val="ListBullet"/>
      </w:pPr>
      <w:r w:rsidRPr="00730DE4">
        <w:t>Director Economic Policy, Department of the Premier and</w:t>
      </w:r>
      <w:r w:rsidRPr="00730DE4">
        <w:rPr>
          <w:lang w:val="en-US"/>
        </w:rPr>
        <w:t xml:space="preserve"> </w:t>
      </w:r>
      <w:r w:rsidRPr="00730DE4">
        <w:t>Cabinet (Queensland)</w:t>
      </w:r>
    </w:p>
    <w:p w14:paraId="691DF160" w14:textId="77777777" w:rsidR="00FA2FF9" w:rsidRPr="00730DE4" w:rsidRDefault="00FA2FF9" w:rsidP="001845CB">
      <w:r w:rsidRPr="00730DE4">
        <w:t>Over the past 1</w:t>
      </w:r>
      <w:r w:rsidRPr="00730DE4">
        <w:rPr>
          <w:lang w:val="en-US"/>
        </w:rPr>
        <w:t>5</w:t>
      </w:r>
      <w:r w:rsidRPr="00730DE4">
        <w:t xml:space="preserve"> years, Peter has been involved in the delivery</w:t>
      </w:r>
      <w:r w:rsidRPr="00730DE4">
        <w:rPr>
          <w:lang w:val="en-US"/>
        </w:rPr>
        <w:t xml:space="preserve"> </w:t>
      </w:r>
      <w:r w:rsidRPr="00730DE4">
        <w:t>of transport policy, services, and projects in Queensland and has</w:t>
      </w:r>
      <w:r w:rsidRPr="00730DE4">
        <w:rPr>
          <w:lang w:val="en-US"/>
        </w:rPr>
        <w:t xml:space="preserve"> </w:t>
      </w:r>
      <w:r w:rsidRPr="00730DE4">
        <w:t>over 35 years’ experience in both private and public sectors in</w:t>
      </w:r>
      <w:r w:rsidRPr="00730DE4">
        <w:rPr>
          <w:lang w:val="en-US"/>
        </w:rPr>
        <w:t xml:space="preserve"> </w:t>
      </w:r>
      <w:r w:rsidRPr="00730DE4">
        <w:t>superannuation management and economic and transport policy,</w:t>
      </w:r>
      <w:r w:rsidRPr="00730DE4">
        <w:rPr>
          <w:lang w:val="en-US"/>
        </w:rPr>
        <w:t xml:space="preserve"> </w:t>
      </w:r>
      <w:r w:rsidRPr="00730DE4">
        <w:t>projects, and service delivery.</w:t>
      </w:r>
    </w:p>
    <w:p w14:paraId="3CC1D3FB" w14:textId="77777777" w:rsidR="00FA2FF9" w:rsidRPr="00730DE4" w:rsidRDefault="00FA2FF9" w:rsidP="001845CB">
      <w:r w:rsidRPr="00730DE4">
        <w:t>Peter has led the coordination and integration of major projects</w:t>
      </w:r>
      <w:r w:rsidRPr="00730DE4">
        <w:rPr>
          <w:lang w:val="en-US"/>
        </w:rPr>
        <w:t xml:space="preserve"> </w:t>
      </w:r>
      <w:r w:rsidRPr="00730DE4">
        <w:t>into the South East Queensland public transport network. He</w:t>
      </w:r>
      <w:r w:rsidRPr="00730DE4">
        <w:rPr>
          <w:lang w:val="en-US"/>
        </w:rPr>
        <w:t xml:space="preserve"> </w:t>
      </w:r>
      <w:r w:rsidRPr="00730DE4">
        <w:t>also leads the policy settings for public transport in Queensland,</w:t>
      </w:r>
      <w:r w:rsidRPr="00730DE4">
        <w:rPr>
          <w:lang w:val="en-US"/>
        </w:rPr>
        <w:t xml:space="preserve"> </w:t>
      </w:r>
      <w:r w:rsidRPr="00730DE4">
        <w:t>including the regulation of the personalised transport sector,</w:t>
      </w:r>
      <w:r w:rsidRPr="00730DE4">
        <w:rPr>
          <w:lang w:val="en-US"/>
        </w:rPr>
        <w:t xml:space="preserve"> </w:t>
      </w:r>
      <w:r w:rsidRPr="00730DE4">
        <w:t>concessions, and input to the reforms of the Disability Standards</w:t>
      </w:r>
      <w:r w:rsidRPr="00730DE4">
        <w:rPr>
          <w:lang w:val="en-US"/>
        </w:rPr>
        <w:t xml:space="preserve"> </w:t>
      </w:r>
      <w:r w:rsidRPr="00730DE4">
        <w:t>for Accessible Public Transport.</w:t>
      </w:r>
    </w:p>
    <w:p w14:paraId="6B5FB7B6" w14:textId="25508D60" w:rsidR="007962F2" w:rsidRPr="00730DE4" w:rsidRDefault="007962F2" w:rsidP="007962F2">
      <w:pPr>
        <w:rPr>
          <w:rStyle w:val="Strong"/>
        </w:rPr>
      </w:pPr>
      <w:r w:rsidRPr="00730DE4">
        <w:rPr>
          <w:rStyle w:val="Strong"/>
        </w:rPr>
        <w:t>Divisional structure:</w:t>
      </w:r>
      <w:r w:rsidRPr="00730DE4">
        <w:t xml:space="preserve"> </w:t>
      </w:r>
      <w:r w:rsidRPr="00730DE4">
        <w:rPr>
          <w:rStyle w:val="Strong"/>
        </w:rPr>
        <w:t>Translink</w:t>
      </w:r>
    </w:p>
    <w:p w14:paraId="3561B6FF" w14:textId="77777777" w:rsidR="007962F2" w:rsidRPr="00730DE4" w:rsidRDefault="007962F2" w:rsidP="007962F2">
      <w:pPr>
        <w:pStyle w:val="ListBullet2"/>
      </w:pPr>
      <w:r w:rsidRPr="00730DE4">
        <w:t>Passenger Transport Strategy and Technology</w:t>
      </w:r>
    </w:p>
    <w:p w14:paraId="00B61B4C" w14:textId="77777777" w:rsidR="007962F2" w:rsidRPr="00730DE4" w:rsidRDefault="007962F2" w:rsidP="007962F2">
      <w:pPr>
        <w:pStyle w:val="ListBullet2"/>
      </w:pPr>
      <w:r w:rsidRPr="00730DE4">
        <w:t>Passenger Transport Services</w:t>
      </w:r>
    </w:p>
    <w:p w14:paraId="6541F119" w14:textId="77777777" w:rsidR="007962F2" w:rsidRPr="00730DE4" w:rsidRDefault="007962F2" w:rsidP="007962F2">
      <w:pPr>
        <w:pStyle w:val="ListBullet2"/>
      </w:pPr>
      <w:r w:rsidRPr="00730DE4">
        <w:t>Passenger Rollingstock and Signalling</w:t>
      </w:r>
    </w:p>
    <w:p w14:paraId="2DCB38A8" w14:textId="77777777" w:rsidR="007962F2" w:rsidRPr="00730DE4" w:rsidRDefault="007962F2" w:rsidP="007962F2">
      <w:pPr>
        <w:pStyle w:val="ListBullet2"/>
      </w:pPr>
      <w:r w:rsidRPr="00730DE4">
        <w:t>Passenger Transport Integration</w:t>
      </w:r>
    </w:p>
    <w:p w14:paraId="6F2B6D54" w14:textId="3B0CFB42" w:rsidR="007962F2" w:rsidRPr="00730DE4" w:rsidRDefault="007962F2" w:rsidP="007962F2">
      <w:pPr>
        <w:pStyle w:val="ListBullet2"/>
      </w:pPr>
      <w:r w:rsidRPr="00730DE4">
        <w:t>Rail Infrastructure Delivery</w:t>
      </w:r>
    </w:p>
    <w:p w14:paraId="72EE116F" w14:textId="76BB4B62" w:rsidR="00FA2FF9" w:rsidRPr="00730DE4" w:rsidRDefault="00FA2FF9" w:rsidP="002B7001">
      <w:pPr>
        <w:pStyle w:val="Heading3"/>
      </w:pPr>
      <w:bookmarkStart w:id="1311" w:name="_Toc180487659"/>
      <w:bookmarkStart w:id="1312" w:name="_Toc180490865"/>
      <w:bookmarkStart w:id="1313" w:name="_Toc180491898"/>
      <w:r w:rsidRPr="00730DE4">
        <w:t>Tracy O’Bryan</w:t>
      </w:r>
      <w:r w:rsidR="00393FD1" w:rsidRPr="00730DE4">
        <w:t xml:space="preserve"> </w:t>
      </w:r>
      <w:r w:rsidRPr="00730DE4">
        <w:t>Deputy Director-General (Corporate)</w:t>
      </w:r>
      <w:bookmarkEnd w:id="1311"/>
      <w:bookmarkEnd w:id="1312"/>
      <w:bookmarkEnd w:id="1313"/>
    </w:p>
    <w:p w14:paraId="321FB394" w14:textId="77777777" w:rsidR="00FA2FF9" w:rsidRPr="00730DE4" w:rsidRDefault="00FA2FF9" w:rsidP="001845CB">
      <w:pPr>
        <w:rPr>
          <w:rStyle w:val="Emphasis"/>
        </w:rPr>
      </w:pPr>
      <w:r w:rsidRPr="00730DE4">
        <w:rPr>
          <w:rStyle w:val="Emphasis"/>
        </w:rPr>
        <w:t>LLB, LLM, EMPA (ANZSOG), ANZSOG Alumni Advisory Council member, GAICD, Solicitor of Supreme Court of Queensland and High Court of Australia.</w:t>
      </w:r>
    </w:p>
    <w:p w14:paraId="0539101B" w14:textId="77777777" w:rsidR="00FA2FF9" w:rsidRPr="00730DE4" w:rsidRDefault="00FA2FF9" w:rsidP="001845CB">
      <w:pPr>
        <w:pStyle w:val="ListBullet"/>
      </w:pPr>
      <w:r w:rsidRPr="00730DE4">
        <w:t>Appointed Deputy Director-General (Corporate) May 2017</w:t>
      </w:r>
    </w:p>
    <w:p w14:paraId="792B9F64" w14:textId="77777777" w:rsidR="00FA2FF9" w:rsidRPr="00730DE4" w:rsidRDefault="00FA2FF9" w:rsidP="001845CB">
      <w:pPr>
        <w:pStyle w:val="ListBullet"/>
      </w:pPr>
      <w:r w:rsidRPr="00730DE4">
        <w:t>Values and Culture Champion</w:t>
      </w:r>
    </w:p>
    <w:p w14:paraId="198EB964" w14:textId="77777777" w:rsidR="00FA2FF9" w:rsidRPr="00730DE4" w:rsidRDefault="00FA2FF9" w:rsidP="001845CB">
      <w:r w:rsidRPr="00730DE4">
        <w:t>Tracy leads the department’s corporate services, including governance (encompassing cabinet and legislation, risk, strategy and performance, ethical standards, information management and, strategic communications), finance and procurement, ICT, human resources, legal, information access, right to information and privacy and prosecutions, and internal audit to enable TMR to achieve its business objectives.</w:t>
      </w:r>
    </w:p>
    <w:p w14:paraId="136AE0C3" w14:textId="77777777" w:rsidR="00FA2FF9" w:rsidRPr="00730DE4" w:rsidRDefault="00FA2FF9" w:rsidP="001845CB">
      <w:r w:rsidRPr="00730DE4">
        <w:t>Former positions:</w:t>
      </w:r>
    </w:p>
    <w:p w14:paraId="063D4B7F" w14:textId="77777777" w:rsidR="00FA2FF9" w:rsidRPr="00730DE4" w:rsidRDefault="00FA2FF9" w:rsidP="001845CB">
      <w:pPr>
        <w:pStyle w:val="ListBullet"/>
      </w:pPr>
      <w:r w:rsidRPr="00730DE4">
        <w:t>Executive Director (Department of National Parks, Sport and Racing)</w:t>
      </w:r>
    </w:p>
    <w:p w14:paraId="7885F284" w14:textId="77777777" w:rsidR="00FA2FF9" w:rsidRPr="00730DE4" w:rsidRDefault="00FA2FF9" w:rsidP="001845CB">
      <w:pPr>
        <w:pStyle w:val="ListBullet"/>
      </w:pPr>
      <w:r w:rsidRPr="00730DE4">
        <w:t>Acting Deputy Director-General, Corporate (Department of Environment and Heritage Protection)</w:t>
      </w:r>
    </w:p>
    <w:p w14:paraId="45B5B8AD" w14:textId="77777777" w:rsidR="00FA2FF9" w:rsidRPr="00730DE4" w:rsidRDefault="00FA2FF9" w:rsidP="001845CB">
      <w:r w:rsidRPr="00730DE4">
        <w:t>Tracy has more than 25 years’ experience in the Queensland public sector in the fields of law, policy, governance, major projects, program design and delivery, and stakeholder engagement.</w:t>
      </w:r>
    </w:p>
    <w:p w14:paraId="677A8F19" w14:textId="77777777" w:rsidR="00FA2FF9" w:rsidRPr="00730DE4" w:rsidRDefault="00FA2FF9" w:rsidP="001845CB">
      <w:r w:rsidRPr="00730DE4">
        <w:t>She has also led major reform and commissions of inquiry for government and worked in a number of Queensland Government departments including the Department of the Premier and Cabinet. Tracy has also won ministerial awards and been nominated for a Premier’s Excellence Award.</w:t>
      </w:r>
    </w:p>
    <w:p w14:paraId="25BADD50" w14:textId="75E823AD" w:rsidR="007962F2" w:rsidRPr="00730DE4" w:rsidRDefault="007962F2" w:rsidP="007962F2">
      <w:pPr>
        <w:rPr>
          <w:rStyle w:val="Strong"/>
        </w:rPr>
      </w:pPr>
      <w:r w:rsidRPr="00730DE4">
        <w:rPr>
          <w:rStyle w:val="Strong"/>
        </w:rPr>
        <w:t>Divisional structure: Corporate</w:t>
      </w:r>
    </w:p>
    <w:p w14:paraId="42A768EA" w14:textId="77777777" w:rsidR="007962F2" w:rsidRPr="00730DE4" w:rsidRDefault="007962F2" w:rsidP="007962F2">
      <w:pPr>
        <w:pStyle w:val="ListBullet2"/>
      </w:pPr>
      <w:r w:rsidRPr="00730DE4">
        <w:t>Finance and Procurement</w:t>
      </w:r>
    </w:p>
    <w:p w14:paraId="2B70B53F" w14:textId="77777777" w:rsidR="007962F2" w:rsidRPr="00730DE4" w:rsidRDefault="007962F2" w:rsidP="007962F2">
      <w:pPr>
        <w:pStyle w:val="ListBullet2"/>
      </w:pPr>
      <w:r w:rsidRPr="00730DE4">
        <w:t>Governance</w:t>
      </w:r>
    </w:p>
    <w:p w14:paraId="1DE5FC5E" w14:textId="77777777" w:rsidR="007962F2" w:rsidRPr="00730DE4" w:rsidRDefault="007962F2" w:rsidP="007962F2">
      <w:pPr>
        <w:pStyle w:val="ListBullet2"/>
      </w:pPr>
      <w:r w:rsidRPr="00730DE4">
        <w:t>Human Resources</w:t>
      </w:r>
    </w:p>
    <w:p w14:paraId="1B0F6AC2" w14:textId="77777777" w:rsidR="007962F2" w:rsidRPr="00730DE4" w:rsidRDefault="007962F2" w:rsidP="007962F2">
      <w:pPr>
        <w:pStyle w:val="ListBullet2"/>
      </w:pPr>
      <w:r w:rsidRPr="00730DE4">
        <w:t>Information Technology</w:t>
      </w:r>
    </w:p>
    <w:p w14:paraId="397F4854" w14:textId="77777777" w:rsidR="007962F2" w:rsidRPr="00730DE4" w:rsidRDefault="007962F2" w:rsidP="007962F2">
      <w:pPr>
        <w:pStyle w:val="ListBullet2"/>
      </w:pPr>
      <w:r w:rsidRPr="00730DE4">
        <w:t>Internal Audit</w:t>
      </w:r>
    </w:p>
    <w:p w14:paraId="4E843684" w14:textId="190B1038" w:rsidR="007962F2" w:rsidRPr="00730DE4" w:rsidRDefault="007962F2" w:rsidP="007962F2">
      <w:pPr>
        <w:pStyle w:val="ListBullet2"/>
      </w:pPr>
      <w:r w:rsidRPr="00730DE4">
        <w:t>Legal, Information Access and Prosecution</w:t>
      </w:r>
    </w:p>
    <w:p w14:paraId="36622600" w14:textId="77777777" w:rsidR="005B60B8" w:rsidRDefault="005B60B8" w:rsidP="001809B9">
      <w:pPr>
        <w:pStyle w:val="Heading3"/>
        <w:rPr>
          <w:lang w:val="en-US"/>
        </w:rPr>
      </w:pPr>
      <w:r>
        <w:rPr>
          <w:lang w:val="en-US"/>
        </w:rPr>
        <w:br w:type="page"/>
      </w:r>
    </w:p>
    <w:p w14:paraId="63D0B282" w14:textId="597D48E4" w:rsidR="00FA2FF9" w:rsidRPr="00730DE4" w:rsidRDefault="00FA2FF9" w:rsidP="001809B9">
      <w:pPr>
        <w:pStyle w:val="Heading3"/>
        <w:rPr>
          <w:lang w:val="en-US"/>
        </w:rPr>
      </w:pPr>
      <w:bookmarkStart w:id="1314" w:name="_Toc180487660"/>
      <w:bookmarkStart w:id="1315" w:name="_Toc180490866"/>
      <w:bookmarkStart w:id="1316" w:name="_Toc180491899"/>
      <w:r w:rsidRPr="00730DE4">
        <w:rPr>
          <w:lang w:val="en-US"/>
        </w:rPr>
        <w:t>Chris McLaren</w:t>
      </w:r>
      <w:r w:rsidR="00393FD1" w:rsidRPr="00730DE4">
        <w:rPr>
          <w:lang w:val="en-US"/>
        </w:rPr>
        <w:t xml:space="preserve"> </w:t>
      </w:r>
      <w:r w:rsidR="001809B9" w:rsidRPr="00730DE4">
        <w:rPr>
          <w:lang w:val="en-US"/>
        </w:rPr>
        <w:t>Queensland Government Chief Customer and Digital Officer</w:t>
      </w:r>
      <w:bookmarkEnd w:id="1314"/>
      <w:bookmarkEnd w:id="1315"/>
      <w:bookmarkEnd w:id="1316"/>
    </w:p>
    <w:p w14:paraId="585D0BCD" w14:textId="77777777" w:rsidR="00FA2FF9" w:rsidRPr="00730DE4" w:rsidRDefault="00FA2FF9" w:rsidP="001845CB">
      <w:pPr>
        <w:rPr>
          <w:rStyle w:val="Emphasis"/>
        </w:rPr>
      </w:pPr>
      <w:r w:rsidRPr="00730DE4">
        <w:rPr>
          <w:rStyle w:val="Emphasis"/>
        </w:rPr>
        <w:t xml:space="preserve">BEE (Honours) </w:t>
      </w:r>
    </w:p>
    <w:p w14:paraId="049AAADE" w14:textId="77777777" w:rsidR="00FA2FF9" w:rsidRPr="00730DE4" w:rsidRDefault="00FA2FF9" w:rsidP="001845CB">
      <w:pPr>
        <w:pStyle w:val="ListBullet"/>
        <w:rPr>
          <w:lang w:val="en-US"/>
        </w:rPr>
      </w:pPr>
      <w:r w:rsidRPr="00730DE4">
        <w:rPr>
          <w:lang w:val="en-US"/>
        </w:rPr>
        <w:t>Appointed as Queensland Government Chief Customer and Digital Officer in April 2022</w:t>
      </w:r>
    </w:p>
    <w:p w14:paraId="3C99AFA2" w14:textId="77777777" w:rsidR="00FA2FF9" w:rsidRPr="00730DE4" w:rsidRDefault="00FA2FF9" w:rsidP="001845CB">
      <w:pPr>
        <w:rPr>
          <w:lang w:val="en-US"/>
        </w:rPr>
      </w:pPr>
      <w:r w:rsidRPr="00730DE4">
        <w:rPr>
          <w:lang w:val="en-US"/>
        </w:rPr>
        <w:t>Chris is responsible for driving Queensland’s digital economy, delivering better citizen-centric services and optimising Queensland Government’s investment and use of technology.</w:t>
      </w:r>
    </w:p>
    <w:p w14:paraId="6EF3C166" w14:textId="77777777" w:rsidR="00FA2FF9" w:rsidRPr="00730DE4" w:rsidRDefault="00FA2FF9" w:rsidP="001845CB">
      <w:pPr>
        <w:rPr>
          <w:lang w:val="en-US"/>
        </w:rPr>
      </w:pPr>
      <w:r w:rsidRPr="00730DE4">
        <w:rPr>
          <w:lang w:val="en-US"/>
        </w:rPr>
        <w:t>Former positions:</w:t>
      </w:r>
    </w:p>
    <w:p w14:paraId="184F674F" w14:textId="77777777" w:rsidR="00FA2FF9" w:rsidRPr="00730DE4" w:rsidRDefault="00FA2FF9" w:rsidP="001845CB">
      <w:pPr>
        <w:pStyle w:val="ListBullet"/>
        <w:rPr>
          <w:lang w:val="en-US"/>
        </w:rPr>
      </w:pPr>
      <w:r w:rsidRPr="00730DE4">
        <w:rPr>
          <w:lang w:val="en-US"/>
        </w:rPr>
        <w:t>Country CEO (USA), XpertiseNow</w:t>
      </w:r>
    </w:p>
    <w:p w14:paraId="393B01EA" w14:textId="77777777" w:rsidR="00FA2FF9" w:rsidRPr="00730DE4" w:rsidRDefault="00FA2FF9" w:rsidP="001845CB">
      <w:pPr>
        <w:pStyle w:val="ListBullet"/>
        <w:rPr>
          <w:lang w:val="en-US"/>
        </w:rPr>
      </w:pPr>
      <w:r w:rsidRPr="00730DE4">
        <w:rPr>
          <w:lang w:val="en-US"/>
        </w:rPr>
        <w:t>Partner, KPMG</w:t>
      </w:r>
    </w:p>
    <w:p w14:paraId="27C53B09" w14:textId="77777777" w:rsidR="00FA2FF9" w:rsidRPr="00730DE4" w:rsidRDefault="00FA2FF9" w:rsidP="001845CB">
      <w:pPr>
        <w:pStyle w:val="ListBullet"/>
        <w:rPr>
          <w:lang w:val="en-US"/>
        </w:rPr>
      </w:pPr>
      <w:r w:rsidRPr="00730DE4">
        <w:rPr>
          <w:lang w:val="en-US"/>
        </w:rPr>
        <w:t>Vice-President, Capgemini</w:t>
      </w:r>
    </w:p>
    <w:p w14:paraId="5476979E" w14:textId="32BAD39D" w:rsidR="00094BA5" w:rsidRPr="00730DE4" w:rsidRDefault="00FA2FF9" w:rsidP="001845CB">
      <w:pPr>
        <w:rPr>
          <w:lang w:val="en-US"/>
        </w:rPr>
      </w:pPr>
      <w:r w:rsidRPr="00730DE4">
        <w:rPr>
          <w:lang w:val="en-US"/>
        </w:rPr>
        <w:t>Chris is a globally-experienced senior executive with a successful 25-year track record leading, growing, transforming, and advising technology, telecom, utility, energy, services, and software organisations, including multinationals and start-ups. Chris specialises in digital enablement and transformation, customer experience, operations improvement, and technology innovation. Chris has an Honours degree in Electrical Engineering from University of Technology Sydney and has completed studies in Governance at Australian Institute of Company Directors and Digital Strategy and Transformation at Massachusetts Institute of Technology.</w:t>
      </w:r>
    </w:p>
    <w:p w14:paraId="261B9ED7" w14:textId="7FCD1272" w:rsidR="007962F2" w:rsidRPr="00730DE4" w:rsidRDefault="007962F2" w:rsidP="007962F2">
      <w:pPr>
        <w:rPr>
          <w:rStyle w:val="Strong"/>
        </w:rPr>
      </w:pPr>
      <w:r w:rsidRPr="00730DE4">
        <w:rPr>
          <w:rStyle w:val="Strong"/>
        </w:rPr>
        <w:t>Divisional structure: Queensland Government Customer and Digital Group</w:t>
      </w:r>
    </w:p>
    <w:p w14:paraId="52401227" w14:textId="77777777" w:rsidR="007962F2" w:rsidRPr="00730DE4" w:rsidRDefault="007962F2" w:rsidP="007962F2">
      <w:pPr>
        <w:pStyle w:val="ListBullet2"/>
      </w:pPr>
      <w:r w:rsidRPr="00730DE4">
        <w:t>Digital Government</w:t>
      </w:r>
    </w:p>
    <w:p w14:paraId="0C0195DD" w14:textId="77777777" w:rsidR="007962F2" w:rsidRPr="00730DE4" w:rsidRDefault="007962F2" w:rsidP="007962F2">
      <w:pPr>
        <w:pStyle w:val="ListBullet2"/>
      </w:pPr>
      <w:r w:rsidRPr="00730DE4">
        <w:t>Digital Economy</w:t>
      </w:r>
    </w:p>
    <w:p w14:paraId="53B86651" w14:textId="77777777" w:rsidR="007962F2" w:rsidRPr="00730DE4" w:rsidRDefault="007962F2" w:rsidP="007962F2">
      <w:pPr>
        <w:pStyle w:val="ListBullet2"/>
      </w:pPr>
      <w:r w:rsidRPr="00730DE4">
        <w:t>Cyber Security</w:t>
      </w:r>
    </w:p>
    <w:p w14:paraId="0E9DF6A2" w14:textId="77777777" w:rsidR="007962F2" w:rsidRPr="00730DE4" w:rsidRDefault="007962F2" w:rsidP="007962F2">
      <w:pPr>
        <w:pStyle w:val="ListBullet2"/>
      </w:pPr>
      <w:r w:rsidRPr="00730DE4">
        <w:t>Digital Customer (SSQ)</w:t>
      </w:r>
    </w:p>
    <w:p w14:paraId="22BD1264" w14:textId="77777777" w:rsidR="007962F2" w:rsidRPr="00730DE4" w:rsidRDefault="007962F2" w:rsidP="007962F2">
      <w:pPr>
        <w:pStyle w:val="ListBullet2"/>
      </w:pPr>
      <w:r w:rsidRPr="00730DE4">
        <w:t>Data and AI</w:t>
      </w:r>
    </w:p>
    <w:p w14:paraId="250E2D85" w14:textId="5816799D" w:rsidR="007962F2" w:rsidRPr="00730DE4" w:rsidRDefault="007962F2" w:rsidP="007962F2">
      <w:pPr>
        <w:pStyle w:val="ListBullet2"/>
      </w:pPr>
      <w:r w:rsidRPr="00730DE4">
        <w:t>Business Services</w:t>
      </w:r>
    </w:p>
    <w:p w14:paraId="4954FE8C" w14:textId="77777777" w:rsidR="005B60B8" w:rsidRDefault="005B60B8" w:rsidP="002B7001">
      <w:pPr>
        <w:pStyle w:val="Heading3"/>
        <w:rPr>
          <w:lang w:val="en-US"/>
        </w:rPr>
      </w:pPr>
      <w:r>
        <w:rPr>
          <w:lang w:val="en-US"/>
        </w:rPr>
        <w:br w:type="page"/>
      </w:r>
    </w:p>
    <w:p w14:paraId="64A36FF3" w14:textId="00795240" w:rsidR="00FA2FF9" w:rsidRPr="00730DE4" w:rsidRDefault="00FA2FF9" w:rsidP="002B7001">
      <w:pPr>
        <w:pStyle w:val="Heading3"/>
        <w:rPr>
          <w:lang w:val="en-US"/>
        </w:rPr>
      </w:pPr>
      <w:bookmarkStart w:id="1317" w:name="_Toc180487661"/>
      <w:bookmarkStart w:id="1318" w:name="_Toc180490867"/>
      <w:bookmarkStart w:id="1319" w:name="_Toc180491900"/>
      <w:r w:rsidRPr="00730DE4">
        <w:rPr>
          <w:lang w:val="en-US"/>
        </w:rPr>
        <w:t>Management</w:t>
      </w:r>
      <w:r w:rsidRPr="00730DE4">
        <w:t xml:space="preserve">, </w:t>
      </w:r>
      <w:r w:rsidRPr="00730DE4">
        <w:rPr>
          <w:lang w:val="en-US"/>
        </w:rPr>
        <w:t>structure,</w:t>
      </w:r>
      <w:r w:rsidRPr="00730DE4">
        <w:t xml:space="preserve"> and </w:t>
      </w:r>
      <w:r w:rsidRPr="00730DE4">
        <w:rPr>
          <w:lang w:val="en-US"/>
        </w:rPr>
        <w:t>key organisational changes</w:t>
      </w:r>
      <w:bookmarkEnd w:id="1317"/>
      <w:bookmarkEnd w:id="1318"/>
      <w:bookmarkEnd w:id="1319"/>
    </w:p>
    <w:p w14:paraId="6D0A982A" w14:textId="77777777" w:rsidR="00FA2FF9" w:rsidRPr="00730DE4" w:rsidRDefault="00FA2FF9" w:rsidP="001845CB">
      <w:pPr>
        <w:rPr>
          <w:b/>
          <w:bCs/>
          <w:lang w:val="en-US"/>
        </w:rPr>
      </w:pPr>
      <w:r w:rsidRPr="00730DE4">
        <w:rPr>
          <w:lang w:val="en-US"/>
        </w:rPr>
        <w:t>The following structural changes occurred within TMR during the 2023–24 period:</w:t>
      </w:r>
    </w:p>
    <w:p w14:paraId="4A7C69C2" w14:textId="77777777" w:rsidR="00FA2FF9" w:rsidRPr="00730DE4" w:rsidRDefault="00FA2FF9" w:rsidP="001845CB">
      <w:pPr>
        <w:pStyle w:val="ListBullet"/>
        <w:rPr>
          <w:lang w:val="en-US"/>
        </w:rPr>
      </w:pPr>
      <w:r w:rsidRPr="00730DE4">
        <w:rPr>
          <w:lang w:val="en-US"/>
        </w:rPr>
        <w:t>August 2023: Customer Services, Safety and Regulation Division created a new organisational unit, Bethania CSC, due to the continuing delivery of licensing and registration services for the Bethania community.</w:t>
      </w:r>
    </w:p>
    <w:p w14:paraId="21F223E6" w14:textId="77777777" w:rsidR="00FA2FF9" w:rsidRPr="00730DE4" w:rsidRDefault="00FA2FF9" w:rsidP="001845CB">
      <w:pPr>
        <w:pStyle w:val="ListBullet"/>
        <w:rPr>
          <w:lang w:val="en-US"/>
        </w:rPr>
      </w:pPr>
      <w:r w:rsidRPr="00730DE4">
        <w:rPr>
          <w:lang w:val="en-US"/>
        </w:rPr>
        <w:t>October 2023: Smart Services Queensland in the QGCDG realigned the branch structure to ensure alignment with business need and operating model.</w:t>
      </w:r>
    </w:p>
    <w:p w14:paraId="61580206" w14:textId="77777777" w:rsidR="00FA2FF9" w:rsidRPr="00730DE4" w:rsidRDefault="00FA2FF9" w:rsidP="00D2454E">
      <w:pPr>
        <w:pStyle w:val="ListBullet"/>
        <w:rPr>
          <w:lang w:val="en-US"/>
        </w:rPr>
      </w:pPr>
      <w:r w:rsidRPr="00730DE4">
        <w:rPr>
          <w:lang w:val="en-US"/>
        </w:rPr>
        <w:t>November 2023: Policy, Planning and Investment Division created a new organisational unit, Brisbane 2032, to support planning for the Brisbane 2032 Olympic and Paralympic Games.</w:t>
      </w:r>
    </w:p>
    <w:p w14:paraId="0852875C" w14:textId="77777777" w:rsidR="00FA2FF9" w:rsidRPr="00730DE4" w:rsidRDefault="00FA2FF9" w:rsidP="001845CB">
      <w:pPr>
        <w:pStyle w:val="ListBullet"/>
        <w:rPr>
          <w:lang w:val="en-US"/>
        </w:rPr>
      </w:pPr>
      <w:r w:rsidRPr="00730DE4">
        <w:rPr>
          <w:lang w:val="en-US"/>
        </w:rPr>
        <w:t>February 2024: QGCDG updated the title of an existing organisational unit from Data and Information Sharing to Data and Artificial Intelligence to incorporate the unit's responsibility for leading the policy, strategy, and technical innovation for AI across Queensland Government.</w:t>
      </w:r>
    </w:p>
    <w:p w14:paraId="611F8C77" w14:textId="77777777" w:rsidR="00FA2FF9" w:rsidRPr="00730DE4" w:rsidRDefault="00FA2FF9" w:rsidP="00EA4BF0">
      <w:pPr>
        <w:pStyle w:val="ListBullet"/>
        <w:rPr>
          <w:lang w:val="en-US"/>
        </w:rPr>
      </w:pPr>
      <w:r w:rsidRPr="00730DE4">
        <w:rPr>
          <w:lang w:val="en-US"/>
        </w:rPr>
        <w:t>April 2024: Corporate Division created a new organisational unit called Legal, Information Access and Prosecutions. This included the transfer of the Prosecutions Team from Land Transport Safety and Regulation Branch (Customer Services, Safety and Regulation Division) to this new Branch.</w:t>
      </w:r>
    </w:p>
    <w:p w14:paraId="412A3A15" w14:textId="77777777" w:rsidR="00094BA5" w:rsidRPr="00730DE4" w:rsidRDefault="00094BA5">
      <w:pPr>
        <w:suppressAutoHyphens w:val="0"/>
        <w:spacing w:before="0" w:line="259" w:lineRule="auto"/>
        <w:rPr>
          <w:rFonts w:eastAsiaTheme="majorEastAsia" w:cstheme="majorBidi"/>
          <w:color w:val="080C0F" w:themeColor="text1"/>
          <w:sz w:val="60"/>
          <w:szCs w:val="32"/>
        </w:rPr>
      </w:pPr>
      <w:r w:rsidRPr="00730DE4">
        <w:br w:type="page"/>
      </w:r>
    </w:p>
    <w:p w14:paraId="125CAC57" w14:textId="099556A9" w:rsidR="00FA2FF9" w:rsidRPr="00730DE4" w:rsidRDefault="00FA2FF9" w:rsidP="002B7001">
      <w:pPr>
        <w:pStyle w:val="Heading2"/>
      </w:pPr>
      <w:bookmarkStart w:id="1320" w:name="_Toc180490868"/>
      <w:bookmarkStart w:id="1321" w:name="_Toc180491901"/>
      <w:r w:rsidRPr="00730DE4">
        <w:t>Governance committees</w:t>
      </w:r>
      <w:bookmarkEnd w:id="1320"/>
      <w:bookmarkEnd w:id="1321"/>
    </w:p>
    <w:p w14:paraId="084C49CB" w14:textId="77777777" w:rsidR="00FA2FF9" w:rsidRPr="00730DE4" w:rsidRDefault="00FA2FF9" w:rsidP="002B7001">
      <w:pPr>
        <w:pStyle w:val="Heading3"/>
        <w:rPr>
          <w:lang w:val="en-US"/>
        </w:rPr>
      </w:pPr>
      <w:bookmarkStart w:id="1322" w:name="_Toc180487663"/>
      <w:bookmarkStart w:id="1323" w:name="_Toc180490869"/>
      <w:bookmarkStart w:id="1324" w:name="_Toc180491902"/>
      <w:r w:rsidRPr="00730DE4">
        <w:rPr>
          <w:lang w:val="en-US"/>
        </w:rPr>
        <w:t>Audit and Risk Committee</w:t>
      </w:r>
      <w:bookmarkEnd w:id="1322"/>
      <w:bookmarkEnd w:id="1323"/>
      <w:bookmarkEnd w:id="1324"/>
    </w:p>
    <w:p w14:paraId="71B7AF75" w14:textId="77777777" w:rsidR="00FA2FF9" w:rsidRPr="00730DE4" w:rsidRDefault="00FA2FF9" w:rsidP="003D42E7">
      <w:pPr>
        <w:rPr>
          <w:lang w:val="en-US"/>
        </w:rPr>
      </w:pPr>
      <w:r w:rsidRPr="00730DE4">
        <w:rPr>
          <w:lang w:val="en-US"/>
        </w:rPr>
        <w:t>The Audit and Risk Committee (ARC) plays a key assurance and advisory role in TMR, by monitoring the effectiveness and efficiency of departmental financial and operation systems, risk identification and management systems, reporting processes, and compliance with legislative and regulatory requirements.</w:t>
      </w:r>
    </w:p>
    <w:p w14:paraId="2ED31CFB" w14:textId="77777777" w:rsidR="00FA2FF9" w:rsidRPr="00730DE4" w:rsidRDefault="00FA2FF9" w:rsidP="003D42E7">
      <w:pPr>
        <w:rPr>
          <w:lang w:val="en-US"/>
        </w:rPr>
      </w:pPr>
      <w:r w:rsidRPr="00730DE4">
        <w:rPr>
          <w:lang w:val="en-US"/>
        </w:rPr>
        <w:t>TMR's ARC members are appointed by the Director-General and assist the Director-General in the oversight of:</w:t>
      </w:r>
    </w:p>
    <w:p w14:paraId="740B9E39" w14:textId="77777777" w:rsidR="00FA2FF9" w:rsidRPr="00730DE4" w:rsidRDefault="00FA2FF9" w:rsidP="003D42E7">
      <w:pPr>
        <w:pStyle w:val="ListBullet"/>
        <w:rPr>
          <w:lang w:val="en-US"/>
        </w:rPr>
      </w:pPr>
      <w:r w:rsidRPr="00730DE4">
        <w:rPr>
          <w:lang w:val="en-US"/>
        </w:rPr>
        <w:t>integrity of TMR's financial statements and internal controls</w:t>
      </w:r>
    </w:p>
    <w:p w14:paraId="7CC1F720" w14:textId="77777777" w:rsidR="00FA2FF9" w:rsidRPr="00730DE4" w:rsidRDefault="00FA2FF9" w:rsidP="003D42E7">
      <w:pPr>
        <w:pStyle w:val="ListBullet"/>
        <w:rPr>
          <w:lang w:val="en-US"/>
        </w:rPr>
      </w:pPr>
      <w:r w:rsidRPr="00730DE4">
        <w:rPr>
          <w:lang w:val="en-US"/>
        </w:rPr>
        <w:t>compliance with legislative and regulatory requirements, including the department's ethical standards and policies</w:t>
      </w:r>
    </w:p>
    <w:p w14:paraId="383281BC" w14:textId="77777777" w:rsidR="00FA2FF9" w:rsidRPr="00730DE4" w:rsidRDefault="00FA2FF9" w:rsidP="003D42E7">
      <w:pPr>
        <w:pStyle w:val="ListBullet"/>
        <w:rPr>
          <w:lang w:val="en-US"/>
        </w:rPr>
      </w:pPr>
      <w:r w:rsidRPr="00730DE4">
        <w:rPr>
          <w:lang w:val="en-US"/>
        </w:rPr>
        <w:t>effectiveness of risk management and control systems</w:t>
      </w:r>
    </w:p>
    <w:p w14:paraId="04A7CD8F" w14:textId="77777777" w:rsidR="00FA2FF9" w:rsidRPr="00730DE4" w:rsidRDefault="00FA2FF9" w:rsidP="003D42E7">
      <w:pPr>
        <w:pStyle w:val="ListBullet"/>
        <w:rPr>
          <w:lang w:val="en-US"/>
        </w:rPr>
      </w:pPr>
      <w:r w:rsidRPr="00730DE4">
        <w:rPr>
          <w:lang w:val="en-US"/>
        </w:rPr>
        <w:t>performance of the internal audit function.</w:t>
      </w:r>
    </w:p>
    <w:p w14:paraId="3485ACA2" w14:textId="77777777" w:rsidR="00FA2FF9" w:rsidRPr="00730DE4" w:rsidRDefault="00FA2FF9" w:rsidP="003D42E7">
      <w:pPr>
        <w:rPr>
          <w:lang w:val="en-US"/>
        </w:rPr>
      </w:pPr>
      <w:r w:rsidRPr="00730DE4">
        <w:rPr>
          <w:lang w:val="en-US"/>
        </w:rPr>
        <w:t>TMR's ARC met six times in 2023–24. It observed the terms of its charter and had due regard to Queensland Treasury's Audit Committee Guidelines. As at 30 June 2024, costs associated with external member's fees totaled $</w:t>
      </w:r>
      <w:r w:rsidRPr="00730DE4">
        <w:t>48,814.07</w:t>
      </w:r>
      <w:r w:rsidRPr="00730DE4">
        <w:rPr>
          <w:lang w:val="en-US"/>
        </w:rPr>
        <w:t xml:space="preserve"> (including GST). </w:t>
      </w:r>
    </w:p>
    <w:p w14:paraId="073C99D9" w14:textId="77777777" w:rsidR="00FA2FF9" w:rsidRPr="00730DE4" w:rsidRDefault="00FA2FF9" w:rsidP="003D42E7">
      <w:pPr>
        <w:rPr>
          <w:lang w:val="en-US"/>
        </w:rPr>
      </w:pPr>
      <w:r w:rsidRPr="00730DE4">
        <w:rPr>
          <w:lang w:val="en-US"/>
        </w:rPr>
        <w:t>To promote independence, internal members are appointed based on their skills and experience, not their position in the department.</w:t>
      </w:r>
    </w:p>
    <w:p w14:paraId="3AE6C8E3" w14:textId="77777777" w:rsidR="00FA2FF9" w:rsidRPr="00730DE4" w:rsidRDefault="00FA2FF9" w:rsidP="003D42E7">
      <w:pPr>
        <w:rPr>
          <w:lang w:val="en-US"/>
        </w:rPr>
      </w:pPr>
      <w:r w:rsidRPr="00730DE4">
        <w:rPr>
          <w:lang w:val="en-US"/>
        </w:rPr>
        <w:t>For external members, TMR abides by the Queensland Treasury Audit Committee Guidelines, which state that an audit committee should consist of members who have an appropriate mix of skills and experience that will enable the committee to perform all its functions effectively. These guidelines state the Chair should be independent and have sufficient independence and expertise to discharge their responsibilities under the Committee Charter. The guidelines also state that one independent member must hold an appropriate accounting qualification and that one should possess expertise in the industry in which the agency operates.</w:t>
      </w:r>
    </w:p>
    <w:p w14:paraId="42B58900" w14:textId="77777777" w:rsidR="00FA2FF9" w:rsidRPr="00730DE4" w:rsidRDefault="00FA2FF9" w:rsidP="003D42E7">
      <w:pPr>
        <w:rPr>
          <w:lang w:val="en-US"/>
        </w:rPr>
      </w:pPr>
      <w:r w:rsidRPr="00730DE4">
        <w:rPr>
          <w:rStyle w:val="Strong"/>
        </w:rPr>
        <w:t>Chair:</w:t>
      </w:r>
      <w:r w:rsidRPr="00730DE4">
        <w:rPr>
          <w:b/>
          <w:bCs/>
          <w:lang w:val="en-US"/>
        </w:rPr>
        <w:t xml:space="preserve"> </w:t>
      </w:r>
      <w:r w:rsidRPr="00730DE4">
        <w:rPr>
          <w:lang w:val="en-US"/>
        </w:rPr>
        <w:t xml:space="preserve">Ms. Julie-Anne Schafer </w:t>
      </w:r>
      <w:r w:rsidRPr="00730DE4">
        <w:rPr>
          <w:rStyle w:val="Emphasis"/>
        </w:rPr>
        <w:t>LLB (Honours) FAICD</w:t>
      </w:r>
    </w:p>
    <w:p w14:paraId="4955AB5A" w14:textId="77777777" w:rsidR="00FA2FF9" w:rsidRPr="00730DE4" w:rsidRDefault="00FA2FF9" w:rsidP="00876231">
      <w:pPr>
        <w:rPr>
          <w:rStyle w:val="Strong"/>
        </w:rPr>
      </w:pPr>
      <w:r w:rsidRPr="00730DE4">
        <w:rPr>
          <w:rStyle w:val="Strong"/>
        </w:rPr>
        <w:t>Members:</w:t>
      </w:r>
    </w:p>
    <w:p w14:paraId="769B7A2D" w14:textId="77777777" w:rsidR="00FA2FF9" w:rsidRPr="00730DE4" w:rsidRDefault="00FA2FF9" w:rsidP="00B9756E">
      <w:pPr>
        <w:pStyle w:val="ListBullet"/>
        <w:rPr>
          <w:lang w:val="en-US"/>
        </w:rPr>
      </w:pPr>
      <w:r w:rsidRPr="00730DE4">
        <w:rPr>
          <w:lang w:val="en-US"/>
        </w:rPr>
        <w:t xml:space="preserve">Ms. Abigail Cheadle </w:t>
      </w:r>
      <w:r w:rsidRPr="00730DE4">
        <w:rPr>
          <w:rStyle w:val="Emphasis"/>
        </w:rPr>
        <w:t>BBus, CA</w:t>
      </w:r>
    </w:p>
    <w:p w14:paraId="45AB126C" w14:textId="77777777" w:rsidR="00FA2FF9" w:rsidRPr="00730DE4" w:rsidRDefault="00FA2FF9" w:rsidP="00B9756E">
      <w:pPr>
        <w:pStyle w:val="ListBullet"/>
        <w:rPr>
          <w:lang w:val="en-US"/>
        </w:rPr>
      </w:pPr>
      <w:r w:rsidRPr="00730DE4">
        <w:rPr>
          <w:lang w:val="en-US"/>
        </w:rPr>
        <w:t xml:space="preserve">Ms. Ishra Baksh Executive Director </w:t>
      </w:r>
      <w:r w:rsidRPr="00730DE4">
        <w:rPr>
          <w:i/>
          <w:iCs/>
        </w:rPr>
        <w:t>MM, ACDC</w:t>
      </w:r>
      <w:r w:rsidRPr="00730DE4">
        <w:rPr>
          <w:lang w:val="en-US"/>
        </w:rPr>
        <w:t>.</w:t>
      </w:r>
    </w:p>
    <w:p w14:paraId="4EEE9FA9" w14:textId="77777777" w:rsidR="00FA2FF9" w:rsidRPr="00730DE4" w:rsidRDefault="00FA2FF9" w:rsidP="003D42E7">
      <w:pPr>
        <w:rPr>
          <w:lang w:val="en-US"/>
        </w:rPr>
      </w:pPr>
      <w:r w:rsidRPr="00730DE4">
        <w:rPr>
          <w:lang w:val="en-US"/>
        </w:rPr>
        <w:t>During 2023–24, TMR's ARC reviewed:</w:t>
      </w:r>
    </w:p>
    <w:p w14:paraId="336FFBD9" w14:textId="77777777" w:rsidR="00FA2FF9" w:rsidRPr="00730DE4" w:rsidRDefault="00FA2FF9" w:rsidP="003D42E7">
      <w:pPr>
        <w:pStyle w:val="ListBullet"/>
        <w:rPr>
          <w:lang w:val="en-US"/>
        </w:rPr>
      </w:pPr>
      <w:r w:rsidRPr="00730DE4">
        <w:rPr>
          <w:lang w:val="en-US"/>
        </w:rPr>
        <w:t>the integrity of TMR's financial statements and internal controls supporting the integrity of TMR's financial statements</w:t>
      </w:r>
    </w:p>
    <w:p w14:paraId="6A1D8B6C" w14:textId="77777777" w:rsidR="00FA2FF9" w:rsidRPr="00730DE4" w:rsidRDefault="00FA2FF9" w:rsidP="003D42E7">
      <w:pPr>
        <w:pStyle w:val="ListBullet"/>
        <w:rPr>
          <w:lang w:val="en-US"/>
        </w:rPr>
      </w:pPr>
      <w:r w:rsidRPr="00730DE4">
        <w:rPr>
          <w:lang w:val="en-US"/>
        </w:rPr>
        <w:t>the adequacy of the internal control structure to support information technology security and control</w:t>
      </w:r>
    </w:p>
    <w:p w14:paraId="0A7A950A" w14:textId="77777777" w:rsidR="00FA2FF9" w:rsidRPr="00730DE4" w:rsidRDefault="00FA2FF9" w:rsidP="003D42E7">
      <w:pPr>
        <w:pStyle w:val="ListBullet"/>
        <w:rPr>
          <w:lang w:val="en-US"/>
        </w:rPr>
      </w:pPr>
      <w:r w:rsidRPr="00730DE4">
        <w:rPr>
          <w:lang w:val="en-US"/>
        </w:rPr>
        <w:t>processes to identify risks and appropriateness of control treatments regarding TMR's risk appetite</w:t>
      </w:r>
    </w:p>
    <w:p w14:paraId="1BB45C34" w14:textId="77777777" w:rsidR="00FA2FF9" w:rsidRPr="00730DE4" w:rsidRDefault="00FA2FF9" w:rsidP="003D42E7">
      <w:pPr>
        <w:pStyle w:val="ListBullet"/>
        <w:rPr>
          <w:lang w:val="en-US"/>
        </w:rPr>
      </w:pPr>
      <w:r w:rsidRPr="00730DE4">
        <w:rPr>
          <w:lang w:val="en-US"/>
        </w:rPr>
        <w:t>compliance with legislative and regulatory requirements, including government policies</w:t>
      </w:r>
    </w:p>
    <w:p w14:paraId="7141F9E0" w14:textId="77777777" w:rsidR="00FA2FF9" w:rsidRPr="00730DE4" w:rsidRDefault="00FA2FF9" w:rsidP="003D42E7">
      <w:pPr>
        <w:pStyle w:val="ListBullet"/>
        <w:rPr>
          <w:lang w:val="en-US"/>
        </w:rPr>
      </w:pPr>
      <w:r w:rsidRPr="00730DE4">
        <w:rPr>
          <w:lang w:val="en-US"/>
        </w:rPr>
        <w:t>compliance with the department's integrity framework, fraud and corruption framework, policies, and procedures</w:t>
      </w:r>
    </w:p>
    <w:p w14:paraId="0B1BEF0E" w14:textId="77777777" w:rsidR="00FA2FF9" w:rsidRPr="00730DE4" w:rsidRDefault="00FA2FF9" w:rsidP="003D42E7">
      <w:pPr>
        <w:pStyle w:val="ListBullet"/>
        <w:rPr>
          <w:lang w:val="en-US"/>
        </w:rPr>
      </w:pPr>
      <w:r w:rsidRPr="00730DE4">
        <w:rPr>
          <w:lang w:val="en-US"/>
        </w:rPr>
        <w:t>performance management reporting, risk management processes, and the adequacy of mitigating control systems</w:t>
      </w:r>
    </w:p>
    <w:p w14:paraId="49AE961F" w14:textId="77777777" w:rsidR="00FA2FF9" w:rsidRPr="00730DE4" w:rsidRDefault="00FA2FF9" w:rsidP="003D42E7">
      <w:pPr>
        <w:pStyle w:val="ListBullet"/>
        <w:rPr>
          <w:lang w:val="en-US"/>
        </w:rPr>
      </w:pPr>
      <w:r w:rsidRPr="00730DE4">
        <w:rPr>
          <w:lang w:val="en-US"/>
        </w:rPr>
        <w:t>performance and maturity of the internal audit function and coordination with the external auditor.</w:t>
      </w:r>
    </w:p>
    <w:p w14:paraId="49C1F947" w14:textId="77777777" w:rsidR="00FA2FF9" w:rsidRPr="00730DE4" w:rsidRDefault="00FA2FF9" w:rsidP="002B7001">
      <w:pPr>
        <w:pStyle w:val="Heading3"/>
        <w:rPr>
          <w:lang w:val="en-US"/>
        </w:rPr>
      </w:pPr>
      <w:bookmarkStart w:id="1325" w:name="_Toc180487664"/>
      <w:bookmarkStart w:id="1326" w:name="_Toc180490870"/>
      <w:bookmarkStart w:id="1327" w:name="_Toc180491903"/>
      <w:r w:rsidRPr="00730DE4">
        <w:rPr>
          <w:lang w:val="en-US"/>
        </w:rPr>
        <w:t>Commercialised RoadTek Advisory Group</w:t>
      </w:r>
      <w:bookmarkEnd w:id="1325"/>
      <w:bookmarkEnd w:id="1326"/>
      <w:bookmarkEnd w:id="1327"/>
    </w:p>
    <w:p w14:paraId="318506B7" w14:textId="77777777" w:rsidR="00FA2FF9" w:rsidRPr="00730DE4" w:rsidRDefault="00FA2FF9" w:rsidP="006075AB">
      <w:pPr>
        <w:rPr>
          <w:lang w:val="en-US"/>
        </w:rPr>
      </w:pPr>
      <w:r w:rsidRPr="00730DE4">
        <w:rPr>
          <w:lang w:val="en-US"/>
        </w:rPr>
        <w:t>The Commercialised RoadTek Advisory Group provides strategic guidance and governance, while reviewing RoadTek’s annual performance contract, strategic and business plans, and performance indicators.</w:t>
      </w:r>
    </w:p>
    <w:p w14:paraId="575F5FDD" w14:textId="77777777" w:rsidR="00FA2FF9" w:rsidRPr="00730DE4" w:rsidRDefault="00FA2FF9" w:rsidP="006075AB">
      <w:pPr>
        <w:rPr>
          <w:lang w:val="en-US"/>
        </w:rPr>
      </w:pPr>
      <w:r w:rsidRPr="00730DE4">
        <w:rPr>
          <w:rStyle w:val="Strong"/>
        </w:rPr>
        <w:t>Chair:</w:t>
      </w:r>
      <w:r w:rsidRPr="00730DE4">
        <w:rPr>
          <w:lang w:val="en-US"/>
        </w:rPr>
        <w:t xml:space="preserve"> General Manager (RoadTek) </w:t>
      </w:r>
    </w:p>
    <w:p w14:paraId="00ED82C5" w14:textId="77777777" w:rsidR="00FA2FF9" w:rsidRPr="00730DE4" w:rsidRDefault="00FA2FF9" w:rsidP="006075AB">
      <w:pPr>
        <w:rPr>
          <w:rStyle w:val="Strong"/>
        </w:rPr>
      </w:pPr>
      <w:r w:rsidRPr="00730DE4">
        <w:rPr>
          <w:rStyle w:val="Strong"/>
        </w:rPr>
        <w:t>Members:</w:t>
      </w:r>
    </w:p>
    <w:p w14:paraId="32BE7F1B" w14:textId="77777777" w:rsidR="00FA2FF9" w:rsidRPr="00730DE4" w:rsidRDefault="00FA2FF9" w:rsidP="006075AB">
      <w:pPr>
        <w:pStyle w:val="ListBullet"/>
        <w:rPr>
          <w:lang w:val="en-US"/>
        </w:rPr>
      </w:pPr>
      <w:r w:rsidRPr="00730DE4">
        <w:rPr>
          <w:lang w:val="en-US"/>
        </w:rPr>
        <w:t>Deputy Director-General (Infrastructure Management and Delivery)</w:t>
      </w:r>
    </w:p>
    <w:p w14:paraId="511F09D9" w14:textId="77777777" w:rsidR="00FA2FF9" w:rsidRPr="00730DE4" w:rsidRDefault="00FA2FF9" w:rsidP="006075AB">
      <w:pPr>
        <w:pStyle w:val="ListBullet"/>
        <w:rPr>
          <w:lang w:val="en-US"/>
        </w:rPr>
      </w:pPr>
      <w:r w:rsidRPr="00730DE4">
        <w:rPr>
          <w:lang w:val="en-US"/>
        </w:rPr>
        <w:t>Deputy Director-General (Corporate)</w:t>
      </w:r>
    </w:p>
    <w:p w14:paraId="2EC9A369" w14:textId="77777777" w:rsidR="00FA2FF9" w:rsidRPr="00730DE4" w:rsidRDefault="00FA2FF9" w:rsidP="006075AB">
      <w:pPr>
        <w:pStyle w:val="ListBullet"/>
        <w:rPr>
          <w:lang w:val="en-US"/>
        </w:rPr>
      </w:pPr>
      <w:r w:rsidRPr="00730DE4">
        <w:rPr>
          <w:lang w:val="en-US"/>
        </w:rPr>
        <w:t>Deputy Director-General (Translink)</w:t>
      </w:r>
    </w:p>
    <w:p w14:paraId="088EBF93" w14:textId="77777777" w:rsidR="00FA2FF9" w:rsidRPr="00730DE4" w:rsidRDefault="00FA2FF9" w:rsidP="006075AB">
      <w:pPr>
        <w:pStyle w:val="ListBullet"/>
        <w:rPr>
          <w:lang w:val="en-US"/>
        </w:rPr>
      </w:pPr>
      <w:r w:rsidRPr="00730DE4">
        <w:rPr>
          <w:lang w:val="en-US"/>
        </w:rPr>
        <w:t>General Manager (Program Delivery and Operations)</w:t>
      </w:r>
    </w:p>
    <w:p w14:paraId="6758285E" w14:textId="77777777" w:rsidR="00FA2FF9" w:rsidRPr="00730DE4" w:rsidRDefault="00FA2FF9" w:rsidP="006075AB">
      <w:pPr>
        <w:pStyle w:val="ListBullet"/>
        <w:rPr>
          <w:lang w:val="en-US"/>
        </w:rPr>
      </w:pPr>
      <w:r w:rsidRPr="00730DE4">
        <w:rPr>
          <w:lang w:val="en-US"/>
        </w:rPr>
        <w:t>General Manager (Portfolio Investment and Programming)</w:t>
      </w:r>
    </w:p>
    <w:p w14:paraId="3C11804E" w14:textId="77777777" w:rsidR="00FA2FF9" w:rsidRPr="00730DE4" w:rsidRDefault="00FA2FF9" w:rsidP="006075AB">
      <w:pPr>
        <w:pStyle w:val="ListBullet"/>
        <w:rPr>
          <w:lang w:val="en-US"/>
        </w:rPr>
      </w:pPr>
      <w:r w:rsidRPr="00730DE4">
        <w:rPr>
          <w:lang w:val="en-US"/>
        </w:rPr>
        <w:t>Chief Finance Officer.</w:t>
      </w:r>
    </w:p>
    <w:p w14:paraId="0674083B" w14:textId="77777777" w:rsidR="00FA2FF9" w:rsidRPr="00730DE4" w:rsidRDefault="00FA2FF9" w:rsidP="006075AB">
      <w:pPr>
        <w:rPr>
          <w:lang w:val="en-US"/>
        </w:rPr>
      </w:pPr>
      <w:r w:rsidRPr="00730DE4">
        <w:rPr>
          <w:lang w:val="en-US"/>
        </w:rPr>
        <w:t>Key achievements of the advisory group during 2023–24:</w:t>
      </w:r>
    </w:p>
    <w:p w14:paraId="2C6C7562" w14:textId="77777777" w:rsidR="00FA2FF9" w:rsidRPr="00730DE4" w:rsidRDefault="00FA2FF9" w:rsidP="006075AB">
      <w:pPr>
        <w:pStyle w:val="ListBullet"/>
        <w:rPr>
          <w:lang w:val="en-US"/>
        </w:rPr>
      </w:pPr>
      <w:r w:rsidRPr="00730DE4">
        <w:rPr>
          <w:lang w:val="en-US"/>
        </w:rPr>
        <w:t>guided RoadTek’s performance against the Service Delivery Statement measures and forecast end of year results</w:t>
      </w:r>
    </w:p>
    <w:p w14:paraId="57E0020C" w14:textId="77777777" w:rsidR="00FA2FF9" w:rsidRPr="00730DE4" w:rsidRDefault="00FA2FF9" w:rsidP="006075AB">
      <w:pPr>
        <w:pStyle w:val="ListBullet"/>
        <w:rPr>
          <w:lang w:val="en-US"/>
        </w:rPr>
      </w:pPr>
      <w:r w:rsidRPr="00730DE4">
        <w:rPr>
          <w:lang w:val="en-US"/>
        </w:rPr>
        <w:t>implemented RoadTek’s ongoing cultural change activities, including the RoadTek Respect Action Plan</w:t>
      </w:r>
    </w:p>
    <w:p w14:paraId="47BB7135" w14:textId="77777777" w:rsidR="00FA2FF9" w:rsidRPr="00730DE4" w:rsidRDefault="00FA2FF9" w:rsidP="006075AB">
      <w:pPr>
        <w:pStyle w:val="ListBullet"/>
        <w:rPr>
          <w:lang w:val="en-US"/>
        </w:rPr>
      </w:pPr>
      <w:r w:rsidRPr="00730DE4">
        <w:rPr>
          <w:lang w:val="en-US"/>
        </w:rPr>
        <w:t>shaped RoadTek's strategic direction, through the implementation of the Value Laden Statements and ongoing progress towards setting RoadTek's 10 Year strategy</w:t>
      </w:r>
    </w:p>
    <w:p w14:paraId="7CF2D8D7" w14:textId="77777777" w:rsidR="00FA2FF9" w:rsidRPr="00730DE4" w:rsidRDefault="00FA2FF9" w:rsidP="006075AB">
      <w:pPr>
        <w:pStyle w:val="ListBullet"/>
        <w:rPr>
          <w:lang w:val="en-US"/>
        </w:rPr>
      </w:pPr>
      <w:r w:rsidRPr="00730DE4">
        <w:rPr>
          <w:lang w:val="en-US"/>
        </w:rPr>
        <w:t>continued to measure RoadTek's environment performance against the Resource Efficiency Plan, increasing results in waste being diverted from landfill to recycling centers and increased solar power generation</w:t>
      </w:r>
    </w:p>
    <w:p w14:paraId="3AB212A0" w14:textId="18BDB826" w:rsidR="00FA2FF9" w:rsidRPr="005B60B8" w:rsidRDefault="00FA2FF9" w:rsidP="005B60B8">
      <w:pPr>
        <w:pStyle w:val="ListBullet"/>
        <w:rPr>
          <w:lang w:val="en-US"/>
        </w:rPr>
      </w:pPr>
      <w:r w:rsidRPr="00730DE4">
        <w:rPr>
          <w:lang w:val="en-US"/>
        </w:rPr>
        <w:t>implemented the externally-led review of the TMR Commercialisation Framework and the original RoadTek Performance Committee's refocus to the Commercialised RoadTek Advisory Group.</w:t>
      </w:r>
    </w:p>
    <w:p w14:paraId="5C815618" w14:textId="77777777" w:rsidR="00FA2FF9" w:rsidRPr="00730DE4" w:rsidRDefault="00FA2FF9" w:rsidP="002B7001">
      <w:pPr>
        <w:pStyle w:val="Heading3"/>
      </w:pPr>
      <w:bookmarkStart w:id="1328" w:name="_Toc180487665"/>
      <w:bookmarkStart w:id="1329" w:name="_Toc180490871"/>
      <w:bookmarkStart w:id="1330" w:name="_Toc180491904"/>
      <w:r w:rsidRPr="00730DE4">
        <w:t>Finance and Procurement Committee</w:t>
      </w:r>
      <w:bookmarkEnd w:id="1328"/>
      <w:bookmarkEnd w:id="1329"/>
      <w:bookmarkEnd w:id="1330"/>
    </w:p>
    <w:p w14:paraId="68D0CBFB" w14:textId="77777777" w:rsidR="00FA2FF9" w:rsidRPr="00730DE4" w:rsidRDefault="00FA2FF9" w:rsidP="00E116FD">
      <w:r w:rsidRPr="00730DE4">
        <w:t>The Finance and Procurement Committee monitors financial and procurement performance, ensuring that TMR has the financial resources to deliver on its vision to create a single integrated network accessible to everyone.</w:t>
      </w:r>
    </w:p>
    <w:p w14:paraId="2D2E404A" w14:textId="77777777" w:rsidR="00FA2FF9" w:rsidRPr="00730DE4" w:rsidRDefault="00FA2FF9" w:rsidP="00E116FD">
      <w:r w:rsidRPr="00730DE4">
        <w:t xml:space="preserve">The committee ensures that the Transport and Infrastructure Services Category spend is aligned with the </w:t>
      </w:r>
      <w:r w:rsidRPr="00730DE4">
        <w:rPr>
          <w:rStyle w:val="Emphasis"/>
        </w:rPr>
        <w:t>Queensland Procurement Policy</w:t>
      </w:r>
      <w:r w:rsidRPr="00730DE4">
        <w:t>, which is aimed at prioritising Queensland business by focusing on local, economic, and employment opportunities.</w:t>
      </w:r>
    </w:p>
    <w:p w14:paraId="62652422" w14:textId="77777777" w:rsidR="00FA2FF9" w:rsidRPr="00730DE4" w:rsidRDefault="00FA2FF9" w:rsidP="00E116FD">
      <w:r w:rsidRPr="00730DE4">
        <w:t>The finance and procurement functions operate in a centre-led model with the business operations carried out locally in line with the standards, policies, and procedures established in the centre.</w:t>
      </w:r>
    </w:p>
    <w:p w14:paraId="5D28109B" w14:textId="77777777" w:rsidR="00FA2FF9" w:rsidRPr="00730DE4" w:rsidRDefault="00FA2FF9" w:rsidP="00E116FD">
      <w:r w:rsidRPr="00730DE4">
        <w:t>The key role of the committee is to:</w:t>
      </w:r>
    </w:p>
    <w:p w14:paraId="6511E57F" w14:textId="77777777" w:rsidR="00FA2FF9" w:rsidRPr="00730DE4" w:rsidRDefault="00FA2FF9" w:rsidP="00E116FD">
      <w:pPr>
        <w:pStyle w:val="ListBullet"/>
      </w:pPr>
      <w:r w:rsidRPr="00730DE4">
        <w:t>ensure all financial resources are allocated consistently with approved strategic direction, priorities, and ongoing commitments</w:t>
      </w:r>
    </w:p>
    <w:p w14:paraId="7A9E1525" w14:textId="77777777" w:rsidR="00FA2FF9" w:rsidRPr="00730DE4" w:rsidRDefault="00FA2FF9" w:rsidP="00E116FD">
      <w:pPr>
        <w:pStyle w:val="ListBullet"/>
      </w:pPr>
      <w:r w:rsidRPr="00730DE4">
        <w:t>identify reform initiatives and associated savings</w:t>
      </w:r>
    </w:p>
    <w:p w14:paraId="1D9E2EBE" w14:textId="77777777" w:rsidR="00FA2FF9" w:rsidRPr="00730DE4" w:rsidRDefault="00FA2FF9" w:rsidP="00E116FD">
      <w:pPr>
        <w:pStyle w:val="ListBullet"/>
      </w:pPr>
      <w:r w:rsidRPr="00730DE4">
        <w:t>realise savings in-line with government savings targets</w:t>
      </w:r>
    </w:p>
    <w:p w14:paraId="58740411" w14:textId="77777777" w:rsidR="00FA2FF9" w:rsidRPr="00730DE4" w:rsidRDefault="00FA2FF9" w:rsidP="00E116FD">
      <w:pPr>
        <w:pStyle w:val="ListBullet"/>
      </w:pPr>
      <w:r w:rsidRPr="00730DE4">
        <w:t>ensure cost control and longer-term funding sustainability</w:t>
      </w:r>
    </w:p>
    <w:p w14:paraId="75CCE03B" w14:textId="77777777" w:rsidR="00FA2FF9" w:rsidRPr="00730DE4" w:rsidRDefault="00FA2FF9" w:rsidP="00E116FD">
      <w:pPr>
        <w:pStyle w:val="ListBullet"/>
      </w:pPr>
      <w:r w:rsidRPr="00730DE4">
        <w:t>approve procurement strategic direction, priorities, and ongoing commitments</w:t>
      </w:r>
    </w:p>
    <w:p w14:paraId="4FC33264" w14:textId="77777777" w:rsidR="00FA2FF9" w:rsidRPr="00730DE4" w:rsidRDefault="00FA2FF9" w:rsidP="00E116FD">
      <w:pPr>
        <w:pStyle w:val="ListBullet"/>
      </w:pPr>
      <w:r w:rsidRPr="00730DE4">
        <w:t>provide strategic oversight of the procurement policy environment</w:t>
      </w:r>
    </w:p>
    <w:p w14:paraId="0E710305" w14:textId="77777777" w:rsidR="00FA2FF9" w:rsidRPr="00730DE4" w:rsidRDefault="00FA2FF9" w:rsidP="00E116FD">
      <w:pPr>
        <w:pStyle w:val="ListBullet"/>
      </w:pPr>
      <w:r w:rsidRPr="00730DE4">
        <w:t>monitor functional performance and category benefits realisation.</w:t>
      </w:r>
    </w:p>
    <w:p w14:paraId="208D7E61" w14:textId="77777777" w:rsidR="00FA2FF9" w:rsidRPr="00730DE4" w:rsidRDefault="00FA2FF9" w:rsidP="00E116FD">
      <w:r w:rsidRPr="00730DE4">
        <w:rPr>
          <w:rStyle w:val="Strong"/>
        </w:rPr>
        <w:t>Chair:</w:t>
      </w:r>
      <w:r w:rsidRPr="00730DE4">
        <w:rPr>
          <w:b/>
          <w:bCs/>
        </w:rPr>
        <w:t xml:space="preserve"> </w:t>
      </w:r>
      <w:r w:rsidRPr="00730DE4">
        <w:t>Deputy Director-General (Corporate)</w:t>
      </w:r>
    </w:p>
    <w:p w14:paraId="6F36257A" w14:textId="77777777" w:rsidR="00FA2FF9" w:rsidRPr="00730DE4" w:rsidRDefault="00FA2FF9" w:rsidP="00E116FD">
      <w:pPr>
        <w:rPr>
          <w:rStyle w:val="Strong"/>
        </w:rPr>
      </w:pPr>
      <w:r w:rsidRPr="00730DE4">
        <w:rPr>
          <w:rStyle w:val="Strong"/>
        </w:rPr>
        <w:t>Members:</w:t>
      </w:r>
    </w:p>
    <w:p w14:paraId="0B48BC26" w14:textId="77777777" w:rsidR="00FA2FF9" w:rsidRPr="00730DE4" w:rsidRDefault="00FA2FF9" w:rsidP="00E116FD">
      <w:pPr>
        <w:pStyle w:val="ListBullet"/>
      </w:pPr>
      <w:r w:rsidRPr="00730DE4">
        <w:t>Director-General</w:t>
      </w:r>
    </w:p>
    <w:p w14:paraId="0066B6FB" w14:textId="77777777" w:rsidR="00FA2FF9" w:rsidRPr="00730DE4" w:rsidRDefault="00FA2FF9" w:rsidP="00E116FD">
      <w:pPr>
        <w:pStyle w:val="ListBullet"/>
      </w:pPr>
      <w:r w:rsidRPr="00730DE4">
        <w:t>Deputy Director-General (Customer Services, Safety and Regulation)</w:t>
      </w:r>
    </w:p>
    <w:p w14:paraId="7F865EFF" w14:textId="77777777" w:rsidR="00FA2FF9" w:rsidRPr="00730DE4" w:rsidRDefault="00FA2FF9" w:rsidP="00E116FD">
      <w:pPr>
        <w:pStyle w:val="ListBullet"/>
      </w:pPr>
      <w:r w:rsidRPr="00730DE4">
        <w:t>Deputy Director-General (Infrastructure Management and Delivery)</w:t>
      </w:r>
    </w:p>
    <w:p w14:paraId="60F75618" w14:textId="77777777" w:rsidR="00FA2FF9" w:rsidRPr="00730DE4" w:rsidRDefault="00FA2FF9" w:rsidP="00E116FD">
      <w:pPr>
        <w:pStyle w:val="ListBullet"/>
      </w:pPr>
      <w:r w:rsidRPr="00730DE4">
        <w:t>Deputy Director-General (Policy, Planning and Investment)</w:t>
      </w:r>
    </w:p>
    <w:p w14:paraId="0BAECFE2" w14:textId="77777777" w:rsidR="00FA2FF9" w:rsidRPr="00730DE4" w:rsidRDefault="00FA2FF9" w:rsidP="00E116FD">
      <w:pPr>
        <w:pStyle w:val="ListBullet"/>
      </w:pPr>
      <w:r w:rsidRPr="00730DE4">
        <w:t>Deputy Director-General (Translink)</w:t>
      </w:r>
    </w:p>
    <w:p w14:paraId="4C69B990" w14:textId="77777777" w:rsidR="00FA2FF9" w:rsidRPr="00730DE4" w:rsidRDefault="00FA2FF9" w:rsidP="00E116FD">
      <w:pPr>
        <w:pStyle w:val="ListBullet"/>
      </w:pPr>
      <w:r w:rsidRPr="00730DE4">
        <w:t>Chief Customer and Digital Officer</w:t>
      </w:r>
    </w:p>
    <w:p w14:paraId="0F00A674" w14:textId="77777777" w:rsidR="00FA2FF9" w:rsidRPr="00730DE4" w:rsidRDefault="00FA2FF9" w:rsidP="00E116FD">
      <w:pPr>
        <w:pStyle w:val="ListBullet"/>
      </w:pPr>
      <w:r w:rsidRPr="00730DE4">
        <w:t>Chief Operations Officer</w:t>
      </w:r>
    </w:p>
    <w:p w14:paraId="26FE5B27" w14:textId="77777777" w:rsidR="00FA2FF9" w:rsidRPr="00730DE4" w:rsidRDefault="00FA2FF9" w:rsidP="00E116FD">
      <w:pPr>
        <w:pStyle w:val="ListBullet"/>
      </w:pPr>
      <w:r w:rsidRPr="00730DE4">
        <w:t>Chief Finance Officer.</w:t>
      </w:r>
    </w:p>
    <w:p w14:paraId="06FBA4B0" w14:textId="77777777" w:rsidR="00FA2FF9" w:rsidRPr="00730DE4" w:rsidRDefault="00FA2FF9" w:rsidP="00E116FD">
      <w:r w:rsidRPr="00730DE4">
        <w:t>The committee met ten times during 2023–24 and:</w:t>
      </w:r>
    </w:p>
    <w:p w14:paraId="7EE9AC48" w14:textId="77777777" w:rsidR="00FA2FF9" w:rsidRPr="00730DE4" w:rsidRDefault="00FA2FF9" w:rsidP="00E116FD">
      <w:pPr>
        <w:pStyle w:val="ListBullet"/>
      </w:pPr>
      <w:r w:rsidRPr="00730DE4">
        <w:t xml:space="preserve">monitored progress and actions outlined in TMR's </w:t>
      </w:r>
      <w:r w:rsidRPr="00730DE4">
        <w:rPr>
          <w:rStyle w:val="Emphasis"/>
        </w:rPr>
        <w:t>Financial Sustainability Plan</w:t>
      </w:r>
    </w:p>
    <w:p w14:paraId="658336C6" w14:textId="77777777" w:rsidR="00FA2FF9" w:rsidRPr="00730DE4" w:rsidRDefault="00FA2FF9" w:rsidP="00E116FD">
      <w:pPr>
        <w:pStyle w:val="ListBullet"/>
      </w:pPr>
      <w:r w:rsidRPr="00730DE4">
        <w:t>oversaw the budget process ensuring the budget aligned to agreed business plans</w:t>
      </w:r>
    </w:p>
    <w:p w14:paraId="75D92411" w14:textId="77777777" w:rsidR="00FA2FF9" w:rsidRPr="00730DE4" w:rsidRDefault="00FA2FF9" w:rsidP="00E116FD">
      <w:pPr>
        <w:pStyle w:val="ListBullet"/>
      </w:pPr>
      <w:r w:rsidRPr="00730DE4">
        <w:t>monitored TMR's financial position and workforce, ensuring that cost pressures, trends, and future opportunities were well understood</w:t>
      </w:r>
    </w:p>
    <w:p w14:paraId="26498DB9" w14:textId="77777777" w:rsidR="00FA2FF9" w:rsidRPr="00730DE4" w:rsidRDefault="00FA2FF9" w:rsidP="00E116FD">
      <w:pPr>
        <w:pStyle w:val="ListBullet"/>
      </w:pPr>
      <w:r w:rsidRPr="00730DE4">
        <w:t>reviewed TMR's key financial related risks and took necessary action to mitigate these risks where required</w:t>
      </w:r>
    </w:p>
    <w:p w14:paraId="6ECEBB42" w14:textId="77777777" w:rsidR="00FA2FF9" w:rsidRPr="00730DE4" w:rsidRDefault="00FA2FF9" w:rsidP="00E116FD">
      <w:pPr>
        <w:pStyle w:val="ListBullet"/>
      </w:pPr>
      <w:r w:rsidRPr="00730DE4">
        <w:t xml:space="preserve">oversaw the continued implementation of the </w:t>
      </w:r>
      <w:r w:rsidRPr="00730DE4">
        <w:rPr>
          <w:rStyle w:val="Emphasis"/>
        </w:rPr>
        <w:t>Queensland Procurement Policy</w:t>
      </w:r>
      <w:r w:rsidRPr="00730DE4">
        <w:t>.</w:t>
      </w:r>
    </w:p>
    <w:p w14:paraId="0BF2D701" w14:textId="77777777" w:rsidR="00FA2FF9" w:rsidRPr="00730DE4" w:rsidRDefault="00FA2FF9" w:rsidP="002B7001">
      <w:pPr>
        <w:pStyle w:val="Heading3"/>
        <w:rPr>
          <w:lang w:val="en-US"/>
        </w:rPr>
      </w:pPr>
      <w:bookmarkStart w:id="1331" w:name="_Toc180487666"/>
      <w:bookmarkStart w:id="1332" w:name="_Toc180490872"/>
      <w:bookmarkStart w:id="1333" w:name="_Toc180491905"/>
      <w:r w:rsidRPr="00730DE4">
        <w:rPr>
          <w:lang w:val="en-US"/>
        </w:rPr>
        <w:t>Information and Systems Committee</w:t>
      </w:r>
      <w:bookmarkEnd w:id="1331"/>
      <w:bookmarkEnd w:id="1332"/>
      <w:bookmarkEnd w:id="1333"/>
    </w:p>
    <w:p w14:paraId="7E2EF6EF" w14:textId="77777777" w:rsidR="00FA2FF9" w:rsidRPr="00730DE4" w:rsidRDefault="00FA2FF9" w:rsidP="00E116FD">
      <w:pPr>
        <w:rPr>
          <w:lang w:val="en-US"/>
        </w:rPr>
      </w:pPr>
      <w:r w:rsidRPr="00730DE4">
        <w:rPr>
          <w:lang w:val="en-US"/>
        </w:rPr>
        <w:t>The Information and Systems Committee is the peak ICT governance board for all business-led ICT and ICT-enabled investments. The committee helps ensure TMR achieves maximum value for investments. It also acts as the information security governance body, establishing the information security strategy and ensuring information security objectives are achieved.</w:t>
      </w:r>
    </w:p>
    <w:p w14:paraId="6AC42A27" w14:textId="77777777" w:rsidR="00FA2FF9" w:rsidRPr="00730DE4" w:rsidRDefault="00FA2FF9" w:rsidP="00497D41">
      <w:pPr>
        <w:rPr>
          <w:rStyle w:val="Strong"/>
        </w:rPr>
      </w:pPr>
      <w:r w:rsidRPr="00730DE4">
        <w:rPr>
          <w:rStyle w:val="Strong"/>
        </w:rPr>
        <w:t xml:space="preserve">Chair: </w:t>
      </w:r>
      <w:r w:rsidRPr="00730DE4">
        <w:t>Deputy Director-General (Customer Services, Safety and Regulation)</w:t>
      </w:r>
    </w:p>
    <w:p w14:paraId="029219C6" w14:textId="77777777" w:rsidR="00FA2FF9" w:rsidRPr="00730DE4" w:rsidRDefault="00FA2FF9" w:rsidP="00E116FD">
      <w:pPr>
        <w:rPr>
          <w:rStyle w:val="Strong"/>
        </w:rPr>
      </w:pPr>
      <w:r w:rsidRPr="00730DE4">
        <w:rPr>
          <w:rStyle w:val="Strong"/>
        </w:rPr>
        <w:t>Members:</w:t>
      </w:r>
    </w:p>
    <w:p w14:paraId="39F3814B" w14:textId="77777777" w:rsidR="00FA2FF9" w:rsidRPr="00730DE4" w:rsidRDefault="00FA2FF9" w:rsidP="00E116FD">
      <w:pPr>
        <w:pStyle w:val="ListBullet"/>
        <w:rPr>
          <w:lang w:val="en-US"/>
        </w:rPr>
      </w:pPr>
      <w:r w:rsidRPr="00730DE4">
        <w:rPr>
          <w:lang w:val="en-US"/>
        </w:rPr>
        <w:t xml:space="preserve">Director-General </w:t>
      </w:r>
    </w:p>
    <w:p w14:paraId="4DB3F536" w14:textId="77777777" w:rsidR="00FA2FF9" w:rsidRPr="00730DE4" w:rsidRDefault="00FA2FF9" w:rsidP="00E116FD">
      <w:pPr>
        <w:pStyle w:val="ListBullet"/>
        <w:rPr>
          <w:lang w:val="en-US"/>
        </w:rPr>
      </w:pPr>
      <w:r w:rsidRPr="00730DE4">
        <w:rPr>
          <w:lang w:val="en-US"/>
        </w:rPr>
        <w:t>Deputy Director-General (Corporate)</w:t>
      </w:r>
    </w:p>
    <w:p w14:paraId="0BD2F6BB" w14:textId="77777777" w:rsidR="00FA2FF9" w:rsidRPr="00730DE4" w:rsidRDefault="00FA2FF9" w:rsidP="00E116FD">
      <w:pPr>
        <w:pStyle w:val="ListBullet"/>
        <w:rPr>
          <w:lang w:val="en-US"/>
        </w:rPr>
      </w:pPr>
      <w:r w:rsidRPr="00730DE4">
        <w:rPr>
          <w:lang w:val="en-US"/>
        </w:rPr>
        <w:t>Deputy Director-General (Translink)</w:t>
      </w:r>
    </w:p>
    <w:p w14:paraId="37501CCE" w14:textId="77777777" w:rsidR="00FA2FF9" w:rsidRPr="00730DE4" w:rsidRDefault="00FA2FF9" w:rsidP="00E116FD">
      <w:pPr>
        <w:pStyle w:val="ListBullet"/>
        <w:rPr>
          <w:lang w:val="en-US"/>
        </w:rPr>
      </w:pPr>
      <w:r w:rsidRPr="00730DE4">
        <w:rPr>
          <w:lang w:val="en-US"/>
        </w:rPr>
        <w:t>Deputy Director-General (Customer Services, Safety and Regulation)</w:t>
      </w:r>
    </w:p>
    <w:p w14:paraId="176DDF82" w14:textId="77777777" w:rsidR="00FA2FF9" w:rsidRPr="00730DE4" w:rsidRDefault="00FA2FF9" w:rsidP="00E116FD">
      <w:pPr>
        <w:pStyle w:val="ListBullet"/>
        <w:rPr>
          <w:lang w:val="en-US"/>
        </w:rPr>
      </w:pPr>
      <w:r w:rsidRPr="00730DE4">
        <w:rPr>
          <w:lang w:val="en-US"/>
        </w:rPr>
        <w:t>Deputy Director-General (Infrastructure Management and Delivery)</w:t>
      </w:r>
    </w:p>
    <w:p w14:paraId="6D243B71" w14:textId="77777777" w:rsidR="00FA2FF9" w:rsidRPr="00730DE4" w:rsidRDefault="00FA2FF9" w:rsidP="00E116FD">
      <w:pPr>
        <w:pStyle w:val="ListBullet"/>
        <w:rPr>
          <w:lang w:val="en-US"/>
        </w:rPr>
      </w:pPr>
      <w:r w:rsidRPr="00730DE4">
        <w:rPr>
          <w:lang w:val="en-US"/>
        </w:rPr>
        <w:t>Deputy Director-General (Policy, Planning and Investment)</w:t>
      </w:r>
    </w:p>
    <w:p w14:paraId="22094741" w14:textId="77777777" w:rsidR="00FA2FF9" w:rsidRPr="00730DE4" w:rsidRDefault="00FA2FF9" w:rsidP="00E116FD">
      <w:pPr>
        <w:pStyle w:val="ListBullet"/>
        <w:rPr>
          <w:lang w:val="en-US"/>
        </w:rPr>
      </w:pPr>
      <w:r w:rsidRPr="00730DE4">
        <w:rPr>
          <w:lang w:val="en-US"/>
        </w:rPr>
        <w:t>Chief Operations Officer</w:t>
      </w:r>
    </w:p>
    <w:p w14:paraId="58FF3CFD" w14:textId="77777777" w:rsidR="00FA2FF9" w:rsidRPr="00730DE4" w:rsidRDefault="00FA2FF9" w:rsidP="00E116FD">
      <w:pPr>
        <w:pStyle w:val="ListBullet"/>
        <w:rPr>
          <w:lang w:val="en-US"/>
        </w:rPr>
      </w:pPr>
      <w:r w:rsidRPr="00730DE4">
        <w:rPr>
          <w:lang w:val="en-US"/>
        </w:rPr>
        <w:t>Chief Information Officer</w:t>
      </w:r>
    </w:p>
    <w:p w14:paraId="52D38E79" w14:textId="77777777" w:rsidR="00FA2FF9" w:rsidRPr="00730DE4" w:rsidRDefault="00FA2FF9" w:rsidP="00E116FD">
      <w:pPr>
        <w:pStyle w:val="ListBullet"/>
        <w:rPr>
          <w:lang w:val="en-US"/>
        </w:rPr>
      </w:pPr>
      <w:r w:rsidRPr="00730DE4">
        <w:rPr>
          <w:lang w:val="en-US"/>
        </w:rPr>
        <w:t>Chief Finance Officer</w:t>
      </w:r>
    </w:p>
    <w:p w14:paraId="190DACA0" w14:textId="77777777" w:rsidR="00FA2FF9" w:rsidRPr="00730DE4" w:rsidRDefault="00FA2FF9" w:rsidP="00E116FD">
      <w:pPr>
        <w:pStyle w:val="ListBullet"/>
        <w:rPr>
          <w:lang w:val="en-US"/>
        </w:rPr>
      </w:pPr>
      <w:r w:rsidRPr="00730DE4">
        <w:rPr>
          <w:lang w:val="en-US"/>
        </w:rPr>
        <w:t>Chief Customer and Digital Officer, Queensland Government Customer and Digital Group.</w:t>
      </w:r>
    </w:p>
    <w:p w14:paraId="3CA4227C" w14:textId="77777777" w:rsidR="00FA2FF9" w:rsidRPr="00730DE4" w:rsidRDefault="00FA2FF9" w:rsidP="00E116FD">
      <w:pPr>
        <w:rPr>
          <w:lang w:val="en-US"/>
        </w:rPr>
      </w:pPr>
      <w:r w:rsidRPr="00730DE4">
        <w:rPr>
          <w:lang w:val="en-US"/>
        </w:rPr>
        <w:t>During 2023–24, the Committee met 11 times and:</w:t>
      </w:r>
    </w:p>
    <w:p w14:paraId="7FCBB6E6" w14:textId="77777777" w:rsidR="00FA2FF9" w:rsidRPr="00730DE4" w:rsidRDefault="00FA2FF9" w:rsidP="00E116FD">
      <w:pPr>
        <w:pStyle w:val="ListBullet"/>
        <w:rPr>
          <w:lang w:val="en-US"/>
        </w:rPr>
      </w:pPr>
      <w:bookmarkStart w:id="1334" w:name="_Hlk41660617"/>
      <w:r w:rsidRPr="00730DE4">
        <w:rPr>
          <w:lang w:val="en-US"/>
        </w:rPr>
        <w:t>continued oversight of the performance of critical departmental ICT systems</w:t>
      </w:r>
    </w:p>
    <w:p w14:paraId="45349D2D" w14:textId="77777777" w:rsidR="00FA2FF9" w:rsidRPr="00730DE4" w:rsidRDefault="00FA2FF9" w:rsidP="00E116FD">
      <w:pPr>
        <w:pStyle w:val="ListBullet"/>
        <w:rPr>
          <w:lang w:val="en-US"/>
        </w:rPr>
      </w:pPr>
      <w:r w:rsidRPr="00730DE4">
        <w:rPr>
          <w:lang w:val="en-US"/>
        </w:rPr>
        <w:t xml:space="preserve">endorsed the </w:t>
      </w:r>
      <w:r w:rsidRPr="00730DE4">
        <w:rPr>
          <w:rStyle w:val="Emphasis"/>
        </w:rPr>
        <w:t>TMR ICT Strategy 2024–28</w:t>
      </w:r>
      <w:r w:rsidRPr="00730DE4">
        <w:rPr>
          <w:lang w:val="en-US"/>
        </w:rPr>
        <w:t xml:space="preserve"> and </w:t>
      </w:r>
      <w:r w:rsidRPr="00730DE4">
        <w:rPr>
          <w:rStyle w:val="Emphasis"/>
        </w:rPr>
        <w:t>Cyber Security Strategy 2023–26</w:t>
      </w:r>
    </w:p>
    <w:p w14:paraId="0E7E9880" w14:textId="77777777" w:rsidR="00FA2FF9" w:rsidRPr="00730DE4" w:rsidRDefault="00FA2FF9" w:rsidP="00E116FD">
      <w:pPr>
        <w:pStyle w:val="ListBullet"/>
        <w:rPr>
          <w:lang w:val="en-US"/>
        </w:rPr>
      </w:pPr>
      <w:r w:rsidRPr="00730DE4">
        <w:rPr>
          <w:lang w:val="en-US"/>
        </w:rPr>
        <w:t xml:space="preserve">oversaw the delivery of key projects including </w:t>
      </w:r>
      <w:bookmarkEnd w:id="1334"/>
      <w:r w:rsidRPr="00730DE4">
        <w:rPr>
          <w:lang w:val="en-US"/>
        </w:rPr>
        <w:t>Digital Licence and WHS Replacement</w:t>
      </w:r>
    </w:p>
    <w:p w14:paraId="29AD0F1D" w14:textId="77777777" w:rsidR="00FA2FF9" w:rsidRPr="00730DE4" w:rsidRDefault="00FA2FF9" w:rsidP="00E116FD">
      <w:pPr>
        <w:pStyle w:val="ListBullet"/>
        <w:rPr>
          <w:lang w:val="en-US"/>
        </w:rPr>
      </w:pPr>
      <w:r w:rsidRPr="00730DE4">
        <w:rPr>
          <w:lang w:val="en-US"/>
        </w:rPr>
        <w:t xml:space="preserve">maintained a multi-year rolling program of work, ensuring ICT investments align to departmental and government priorities </w:t>
      </w:r>
    </w:p>
    <w:p w14:paraId="6F29903E" w14:textId="77777777" w:rsidR="00FA2FF9" w:rsidRPr="00730DE4" w:rsidRDefault="00FA2FF9" w:rsidP="00E116FD">
      <w:pPr>
        <w:pStyle w:val="ListBullet"/>
        <w:rPr>
          <w:lang w:val="en-US"/>
        </w:rPr>
      </w:pPr>
      <w:r w:rsidRPr="00730DE4">
        <w:rPr>
          <w:lang w:val="en-US"/>
        </w:rPr>
        <w:t>continued to strengthen ICT delivery through improved governance, practices, methods, and tools</w:t>
      </w:r>
    </w:p>
    <w:p w14:paraId="288F8A05" w14:textId="77777777" w:rsidR="00FA2FF9" w:rsidRPr="00730DE4" w:rsidRDefault="00FA2FF9" w:rsidP="006075AB">
      <w:pPr>
        <w:pStyle w:val="ListBullet"/>
        <w:rPr>
          <w:lang w:val="en-US"/>
        </w:rPr>
      </w:pPr>
      <w:r w:rsidRPr="00730DE4">
        <w:rPr>
          <w:lang w:val="en-US"/>
        </w:rPr>
        <w:t>continued to embed benefits management and assurance recommendation management processes across the portfolio.</w:t>
      </w:r>
    </w:p>
    <w:p w14:paraId="40AFD002" w14:textId="77777777" w:rsidR="005B60B8" w:rsidRDefault="005B60B8" w:rsidP="002B7001">
      <w:pPr>
        <w:pStyle w:val="Heading3"/>
        <w:rPr>
          <w:lang w:val="en-US"/>
        </w:rPr>
      </w:pPr>
      <w:r>
        <w:rPr>
          <w:lang w:val="en-US"/>
        </w:rPr>
        <w:br w:type="page"/>
      </w:r>
    </w:p>
    <w:p w14:paraId="25AEA015" w14:textId="74B0E0DF" w:rsidR="00FA2FF9" w:rsidRPr="00730DE4" w:rsidRDefault="00FA2FF9" w:rsidP="002B7001">
      <w:pPr>
        <w:pStyle w:val="Heading3"/>
        <w:rPr>
          <w:lang w:val="en-US"/>
        </w:rPr>
      </w:pPr>
      <w:bookmarkStart w:id="1335" w:name="_Toc180487667"/>
      <w:bookmarkStart w:id="1336" w:name="_Toc180490873"/>
      <w:bookmarkStart w:id="1337" w:name="_Toc180491906"/>
      <w:r w:rsidRPr="00730DE4">
        <w:rPr>
          <w:lang w:val="en-US"/>
        </w:rPr>
        <w:t>Infrastructure Investment Committee</w:t>
      </w:r>
      <w:bookmarkEnd w:id="1335"/>
      <w:bookmarkEnd w:id="1336"/>
      <w:bookmarkEnd w:id="1337"/>
    </w:p>
    <w:p w14:paraId="37401D4C" w14:textId="77777777" w:rsidR="00FA2FF9" w:rsidRPr="00730DE4" w:rsidRDefault="00FA2FF9" w:rsidP="006E1031">
      <w:r w:rsidRPr="00730DE4">
        <w:t>The Infrastructure Investment Committee is a governance committee which provides oversight and endorsement of the development and prioritisation of the Transport Infrastructure Portfolio enabling the delivery of an integrated, safe, efficient, and reliable transport system for Queensland. The Infrastructure Investment Committee aims to improve infrastructure investment governance through:</w:t>
      </w:r>
    </w:p>
    <w:p w14:paraId="31B0B404" w14:textId="77777777" w:rsidR="00FA2FF9" w:rsidRPr="00730DE4" w:rsidRDefault="00FA2FF9" w:rsidP="006E1031">
      <w:pPr>
        <w:pStyle w:val="ListBullet"/>
      </w:pPr>
      <w:r w:rsidRPr="00730DE4">
        <w:t>consistent application of governance frameworks to ensure alignment of transport infrastructure investments with strategic priorities</w:t>
      </w:r>
    </w:p>
    <w:p w14:paraId="62F6DB43" w14:textId="77777777" w:rsidR="00FA2FF9" w:rsidRPr="00730DE4" w:rsidRDefault="00FA2FF9" w:rsidP="006E1031">
      <w:pPr>
        <w:pStyle w:val="ListBullet"/>
      </w:pPr>
      <w:r w:rsidRPr="00730DE4">
        <w:t>clear responsibility and decision-making processes to enable rationale and justifiable transport infrastructure investment choices</w:t>
      </w:r>
    </w:p>
    <w:p w14:paraId="33468311" w14:textId="77777777" w:rsidR="00FA2FF9" w:rsidRPr="00730DE4" w:rsidRDefault="00FA2FF9" w:rsidP="006E1031">
      <w:pPr>
        <w:pStyle w:val="ListBullet"/>
      </w:pPr>
      <w:r w:rsidRPr="00730DE4">
        <w:t xml:space="preserve">a coordinated approach to network investment through department-wide committee representation </w:t>
      </w:r>
    </w:p>
    <w:p w14:paraId="331EE1F8" w14:textId="77777777" w:rsidR="00FA2FF9" w:rsidRPr="00730DE4" w:rsidRDefault="00FA2FF9" w:rsidP="006E1031">
      <w:pPr>
        <w:pStyle w:val="ListBullet"/>
      </w:pPr>
      <w:r w:rsidRPr="00730DE4">
        <w:t>clear risk management practices that incorporate a ‘lessons-into-actions’ process to facilitate continuous improvement</w:t>
      </w:r>
    </w:p>
    <w:p w14:paraId="42CFA2D0" w14:textId="77777777" w:rsidR="00FA2FF9" w:rsidRPr="00730DE4" w:rsidRDefault="00FA2FF9" w:rsidP="006E1031">
      <w:pPr>
        <w:pStyle w:val="ListBullet"/>
      </w:pPr>
      <w:r w:rsidRPr="00730DE4">
        <w:t>oversight of portfolio delivery to ensure performance within budget parameters.</w:t>
      </w:r>
    </w:p>
    <w:p w14:paraId="32A5D67C" w14:textId="77777777" w:rsidR="00FA2FF9" w:rsidRPr="00730DE4" w:rsidRDefault="00FA2FF9" w:rsidP="006E1031">
      <w:r w:rsidRPr="00730DE4">
        <w:rPr>
          <w:rStyle w:val="Strong"/>
        </w:rPr>
        <w:t>Chair:</w:t>
      </w:r>
      <w:r w:rsidRPr="00730DE4">
        <w:t xml:space="preserve"> Deputy Director-General (Policy Planning and Investment)</w:t>
      </w:r>
    </w:p>
    <w:p w14:paraId="1F22337B" w14:textId="77777777" w:rsidR="00FA2FF9" w:rsidRPr="00730DE4" w:rsidRDefault="00FA2FF9" w:rsidP="006E1031">
      <w:pPr>
        <w:rPr>
          <w:rStyle w:val="Strong"/>
        </w:rPr>
      </w:pPr>
      <w:r w:rsidRPr="00730DE4">
        <w:rPr>
          <w:rStyle w:val="Strong"/>
        </w:rPr>
        <w:t>Members:</w:t>
      </w:r>
    </w:p>
    <w:p w14:paraId="7E1DC6C1" w14:textId="77777777" w:rsidR="00FA2FF9" w:rsidRPr="00730DE4" w:rsidRDefault="00FA2FF9" w:rsidP="006E1031">
      <w:pPr>
        <w:pStyle w:val="ListBullet"/>
      </w:pPr>
      <w:r w:rsidRPr="00730DE4">
        <w:t>Director-General</w:t>
      </w:r>
    </w:p>
    <w:p w14:paraId="575EC87B" w14:textId="77777777" w:rsidR="00FA2FF9" w:rsidRPr="00730DE4" w:rsidRDefault="00FA2FF9" w:rsidP="006E1031">
      <w:pPr>
        <w:pStyle w:val="ListBullet"/>
      </w:pPr>
      <w:r w:rsidRPr="00730DE4">
        <w:t>Deputy Director-General (Policy Planning and Investment)</w:t>
      </w:r>
    </w:p>
    <w:p w14:paraId="6A3E05F3" w14:textId="77777777" w:rsidR="00FA2FF9" w:rsidRPr="00730DE4" w:rsidRDefault="00FA2FF9" w:rsidP="006E1031">
      <w:pPr>
        <w:pStyle w:val="ListBullet"/>
      </w:pPr>
      <w:r w:rsidRPr="00730DE4">
        <w:t>Deputy Director-General (Infrastructure Management and Delivery)</w:t>
      </w:r>
    </w:p>
    <w:p w14:paraId="6877315D" w14:textId="77777777" w:rsidR="00FA2FF9" w:rsidRPr="00730DE4" w:rsidRDefault="00FA2FF9" w:rsidP="006E1031">
      <w:pPr>
        <w:pStyle w:val="ListBullet"/>
      </w:pPr>
      <w:r w:rsidRPr="00730DE4">
        <w:t>Deputy Director-General (Customer Services, Safety and Regulation)</w:t>
      </w:r>
    </w:p>
    <w:p w14:paraId="3FADA0D1" w14:textId="77777777" w:rsidR="00FA2FF9" w:rsidRPr="00730DE4" w:rsidRDefault="00FA2FF9" w:rsidP="006E1031">
      <w:pPr>
        <w:pStyle w:val="ListBullet"/>
      </w:pPr>
      <w:r w:rsidRPr="00730DE4">
        <w:t>Deputy Director-General (Translink)</w:t>
      </w:r>
    </w:p>
    <w:p w14:paraId="02FF3836" w14:textId="77777777" w:rsidR="00FA2FF9" w:rsidRPr="00730DE4" w:rsidRDefault="00FA2FF9" w:rsidP="006E1031">
      <w:pPr>
        <w:pStyle w:val="ListBullet"/>
      </w:pPr>
      <w:r w:rsidRPr="00730DE4">
        <w:t>Chief Finance Officer</w:t>
      </w:r>
    </w:p>
    <w:p w14:paraId="141C31A2" w14:textId="77777777" w:rsidR="00FA2FF9" w:rsidRPr="00730DE4" w:rsidRDefault="00FA2FF9" w:rsidP="006E1031">
      <w:pPr>
        <w:pStyle w:val="ListBullet"/>
      </w:pPr>
      <w:r w:rsidRPr="00730DE4">
        <w:t>Chief Operations Officer</w:t>
      </w:r>
    </w:p>
    <w:p w14:paraId="18A8C84E" w14:textId="77777777" w:rsidR="00FA2FF9" w:rsidRPr="00730DE4" w:rsidRDefault="00FA2FF9" w:rsidP="006E1031">
      <w:pPr>
        <w:pStyle w:val="ListBullet"/>
      </w:pPr>
      <w:r w:rsidRPr="00730DE4">
        <w:t>General Manager (Portfolio Investment and Programming)</w:t>
      </w:r>
    </w:p>
    <w:p w14:paraId="1E192883" w14:textId="77777777" w:rsidR="00FA2FF9" w:rsidRPr="00730DE4" w:rsidRDefault="00FA2FF9" w:rsidP="006E1031">
      <w:pPr>
        <w:pStyle w:val="ListBullet"/>
      </w:pPr>
      <w:r w:rsidRPr="00730DE4">
        <w:t>General Manager (Program Delivery and Operations)</w:t>
      </w:r>
    </w:p>
    <w:p w14:paraId="4633EAB4" w14:textId="77777777" w:rsidR="00FA2FF9" w:rsidRPr="00730DE4" w:rsidRDefault="00FA2FF9" w:rsidP="006E1031">
      <w:pPr>
        <w:pStyle w:val="ListBullet"/>
      </w:pPr>
      <w:r w:rsidRPr="00730DE4">
        <w:t>General Manager (Transport Strategy and Planning)</w:t>
      </w:r>
    </w:p>
    <w:p w14:paraId="50BFCF4F" w14:textId="77777777" w:rsidR="00FA2FF9" w:rsidRPr="00730DE4" w:rsidRDefault="00FA2FF9" w:rsidP="006E1031">
      <w:pPr>
        <w:pStyle w:val="ListBullet"/>
      </w:pPr>
      <w:r w:rsidRPr="00730DE4">
        <w:t>General Manager (Statewide Network Operations).</w:t>
      </w:r>
    </w:p>
    <w:p w14:paraId="6980F452" w14:textId="77777777" w:rsidR="00FA2FF9" w:rsidRPr="00730DE4" w:rsidRDefault="00FA2FF9" w:rsidP="006E1031">
      <w:r w:rsidRPr="00730DE4">
        <w:t>During 2023–24, the Committee met ten times, as well as considering a number of submissions out of session, to:</w:t>
      </w:r>
    </w:p>
    <w:p w14:paraId="1329D9D7" w14:textId="77777777" w:rsidR="00FA2FF9" w:rsidRPr="00730DE4" w:rsidRDefault="00FA2FF9" w:rsidP="006E1031">
      <w:pPr>
        <w:pStyle w:val="ListBullet"/>
      </w:pPr>
      <w:r w:rsidRPr="00730DE4">
        <w:t>review the annual Queensland Transport Snapshot which highlights key trends across Queensland’s transport network</w:t>
      </w:r>
    </w:p>
    <w:p w14:paraId="4796BDBC" w14:textId="77777777" w:rsidR="00FA2FF9" w:rsidRPr="00730DE4" w:rsidRDefault="00FA2FF9" w:rsidP="006E1031">
      <w:pPr>
        <w:pStyle w:val="ListBullet"/>
      </w:pPr>
      <w:r w:rsidRPr="00730DE4">
        <w:t>monitor the performance of the portfolio and the Investment Programs to ensure ongoing alignment with the Transport Coordination Plan</w:t>
      </w:r>
    </w:p>
    <w:p w14:paraId="7CF9AAB6" w14:textId="77777777" w:rsidR="00FA2FF9" w:rsidRPr="00730DE4" w:rsidRDefault="00FA2FF9" w:rsidP="006E1031">
      <w:pPr>
        <w:pStyle w:val="ListBullet"/>
      </w:pPr>
      <w:r w:rsidRPr="00730DE4">
        <w:t>assess the strategic direction, operating environment, and future funding assumptions for the Transport Infrastructure Portfolio</w:t>
      </w:r>
    </w:p>
    <w:p w14:paraId="11170B05" w14:textId="77777777" w:rsidR="00FA2FF9" w:rsidRPr="00730DE4" w:rsidRDefault="00FA2FF9" w:rsidP="006E1031">
      <w:pPr>
        <w:pStyle w:val="ListBullet"/>
      </w:pPr>
      <w:r w:rsidRPr="00730DE4">
        <w:t>finalise the QTRIP 2024–25 to 2027–28</w:t>
      </w:r>
    </w:p>
    <w:p w14:paraId="3C0E7EE1" w14:textId="77777777" w:rsidR="00FA2FF9" w:rsidRPr="00730DE4" w:rsidRDefault="00FA2FF9" w:rsidP="006E1031">
      <w:pPr>
        <w:pStyle w:val="ListBullet"/>
      </w:pPr>
      <w:r w:rsidRPr="00730DE4">
        <w:t>conduct gated reviews on transport infrastructure projects ensuring alignment with the objectives for the transport system and value for money for government investment.</w:t>
      </w:r>
    </w:p>
    <w:p w14:paraId="13266332" w14:textId="77777777" w:rsidR="00FA2FF9" w:rsidRPr="00730DE4" w:rsidRDefault="00FA2FF9" w:rsidP="002B7001">
      <w:pPr>
        <w:pStyle w:val="Heading3"/>
        <w:rPr>
          <w:lang w:val="en-US"/>
        </w:rPr>
      </w:pPr>
      <w:bookmarkStart w:id="1338" w:name="_Toc180487668"/>
      <w:bookmarkStart w:id="1339" w:name="_Toc180490874"/>
      <w:bookmarkStart w:id="1340" w:name="_Toc180491907"/>
      <w:r w:rsidRPr="00730DE4">
        <w:rPr>
          <w:lang w:val="en-US"/>
        </w:rPr>
        <w:t>TMR People and Safety Committee</w:t>
      </w:r>
      <w:bookmarkEnd w:id="1338"/>
      <w:bookmarkEnd w:id="1339"/>
      <w:bookmarkEnd w:id="1340"/>
    </w:p>
    <w:p w14:paraId="42B82664" w14:textId="77777777" w:rsidR="00FA2FF9" w:rsidRPr="00730DE4" w:rsidRDefault="00FA2FF9" w:rsidP="00E116FD">
      <w:r w:rsidRPr="00730DE4">
        <w:t>The TMR People and Safety Committee is a sub-committee of the ELT and meets quarterly. It exercises TMR's workforce and WHS obligations, through:</w:t>
      </w:r>
    </w:p>
    <w:p w14:paraId="2DA5B122" w14:textId="77777777" w:rsidR="00FA2FF9" w:rsidRPr="00730DE4" w:rsidRDefault="00FA2FF9" w:rsidP="00E116FD">
      <w:pPr>
        <w:pStyle w:val="ListBullet"/>
        <w:rPr>
          <w:lang w:val="en-US"/>
        </w:rPr>
      </w:pPr>
      <w:r w:rsidRPr="00730DE4">
        <w:rPr>
          <w:lang w:val="en-US"/>
        </w:rPr>
        <w:t>establishing the enterprise-wide safety and people strategic direction</w:t>
      </w:r>
    </w:p>
    <w:p w14:paraId="488920EB" w14:textId="77777777" w:rsidR="00FA2FF9" w:rsidRPr="00730DE4" w:rsidRDefault="00FA2FF9" w:rsidP="00E116FD">
      <w:pPr>
        <w:pStyle w:val="ListBullet"/>
        <w:rPr>
          <w:lang w:val="en-US"/>
        </w:rPr>
      </w:pPr>
      <w:r w:rsidRPr="00730DE4">
        <w:rPr>
          <w:lang w:val="en-US"/>
        </w:rPr>
        <w:t>overseeing of the achievement of TMR workforce, wellbeing, and safety plans and monitoring performance</w:t>
      </w:r>
    </w:p>
    <w:p w14:paraId="4FC0C0B8" w14:textId="77777777" w:rsidR="00FA2FF9" w:rsidRPr="00730DE4" w:rsidRDefault="00FA2FF9" w:rsidP="00E116FD">
      <w:pPr>
        <w:pStyle w:val="ListBullet"/>
        <w:rPr>
          <w:lang w:val="en-US"/>
        </w:rPr>
      </w:pPr>
      <w:r w:rsidRPr="00730DE4">
        <w:rPr>
          <w:lang w:val="en-US"/>
        </w:rPr>
        <w:t>monitoring the performance of TMR's people and safety objectives for the purpose of mitigating enterprise-wide strategic risks.</w:t>
      </w:r>
    </w:p>
    <w:p w14:paraId="30AE3B85" w14:textId="77777777" w:rsidR="00FA2FF9" w:rsidRPr="00730DE4" w:rsidRDefault="00FA2FF9" w:rsidP="00E116FD">
      <w:pPr>
        <w:rPr>
          <w:lang w:val="en-US"/>
        </w:rPr>
      </w:pPr>
      <w:r w:rsidRPr="00730DE4">
        <w:rPr>
          <w:lang w:val="en-US"/>
        </w:rPr>
        <w:t>Key objectives:</w:t>
      </w:r>
    </w:p>
    <w:p w14:paraId="272E2DA4" w14:textId="77777777" w:rsidR="00FA2FF9" w:rsidRPr="00730DE4" w:rsidRDefault="00FA2FF9" w:rsidP="00E116FD">
      <w:pPr>
        <w:pStyle w:val="ListBullet"/>
        <w:rPr>
          <w:lang w:val="en-US"/>
        </w:rPr>
      </w:pPr>
      <w:r w:rsidRPr="00730DE4">
        <w:rPr>
          <w:lang w:val="en-US"/>
        </w:rPr>
        <w:t>create a culture of respect and inclusion</w:t>
      </w:r>
    </w:p>
    <w:p w14:paraId="3199BBA1" w14:textId="77777777" w:rsidR="00FA2FF9" w:rsidRPr="00730DE4" w:rsidRDefault="00FA2FF9" w:rsidP="00E116FD">
      <w:pPr>
        <w:pStyle w:val="ListBullet"/>
        <w:rPr>
          <w:lang w:val="en-US"/>
        </w:rPr>
      </w:pPr>
      <w:r w:rsidRPr="00730DE4">
        <w:rPr>
          <w:lang w:val="en-US"/>
        </w:rPr>
        <w:t>lead, promote, and monitor safety across TMR</w:t>
      </w:r>
    </w:p>
    <w:p w14:paraId="71BFDB2A" w14:textId="77777777" w:rsidR="00FA2FF9" w:rsidRPr="00730DE4" w:rsidRDefault="00FA2FF9" w:rsidP="00E116FD">
      <w:pPr>
        <w:pStyle w:val="ListBullet"/>
        <w:rPr>
          <w:lang w:val="en-US"/>
        </w:rPr>
      </w:pPr>
      <w:r w:rsidRPr="00730DE4">
        <w:rPr>
          <w:lang w:val="en-US"/>
        </w:rPr>
        <w:t>provide assurance that people and safety systems, practices, and initiatives are working to protect and enable our workforce and are mitigating strategic risks.</w:t>
      </w:r>
    </w:p>
    <w:p w14:paraId="6847C5A1" w14:textId="77777777" w:rsidR="00FA2FF9" w:rsidRPr="00730DE4" w:rsidRDefault="00FA2FF9" w:rsidP="00E116FD">
      <w:pPr>
        <w:rPr>
          <w:lang w:val="en-US"/>
        </w:rPr>
      </w:pPr>
      <w:r w:rsidRPr="00730DE4">
        <w:rPr>
          <w:rStyle w:val="Strong"/>
        </w:rPr>
        <w:t>Chair:</w:t>
      </w:r>
      <w:r w:rsidRPr="00730DE4">
        <w:rPr>
          <w:lang w:val="en-US"/>
        </w:rPr>
        <w:t xml:space="preserve"> Director-General</w:t>
      </w:r>
    </w:p>
    <w:p w14:paraId="24759692" w14:textId="77777777" w:rsidR="00FA2FF9" w:rsidRPr="00730DE4" w:rsidRDefault="00FA2FF9" w:rsidP="00E116FD">
      <w:pPr>
        <w:rPr>
          <w:rStyle w:val="Strong"/>
        </w:rPr>
      </w:pPr>
      <w:r w:rsidRPr="00730DE4">
        <w:rPr>
          <w:rStyle w:val="Strong"/>
        </w:rPr>
        <w:t>Members:</w:t>
      </w:r>
    </w:p>
    <w:p w14:paraId="4E1E13CA" w14:textId="77777777" w:rsidR="00FA2FF9" w:rsidRPr="00730DE4" w:rsidRDefault="00FA2FF9" w:rsidP="00E116FD">
      <w:pPr>
        <w:pStyle w:val="ListBullet"/>
        <w:rPr>
          <w:lang w:val="en-US"/>
        </w:rPr>
      </w:pPr>
      <w:r w:rsidRPr="00730DE4">
        <w:rPr>
          <w:lang w:val="en-US"/>
        </w:rPr>
        <w:t>Deputy Director-General (Corporate)</w:t>
      </w:r>
    </w:p>
    <w:p w14:paraId="72EA016C" w14:textId="77777777" w:rsidR="00FA2FF9" w:rsidRPr="00730DE4" w:rsidRDefault="00FA2FF9" w:rsidP="00E116FD">
      <w:pPr>
        <w:pStyle w:val="ListBullet"/>
        <w:rPr>
          <w:lang w:val="en-US"/>
        </w:rPr>
      </w:pPr>
      <w:r w:rsidRPr="00730DE4">
        <w:rPr>
          <w:lang w:val="en-US"/>
        </w:rPr>
        <w:t>Deputy Director-General (Customer Services, Safety and Regulation)</w:t>
      </w:r>
    </w:p>
    <w:p w14:paraId="164592A9" w14:textId="77777777" w:rsidR="00FA2FF9" w:rsidRPr="00730DE4" w:rsidRDefault="00FA2FF9" w:rsidP="00E116FD">
      <w:pPr>
        <w:pStyle w:val="ListBullet"/>
        <w:rPr>
          <w:lang w:val="en-US"/>
        </w:rPr>
      </w:pPr>
      <w:r w:rsidRPr="00730DE4">
        <w:rPr>
          <w:lang w:val="en-US"/>
        </w:rPr>
        <w:t>Deputy Director-General (Infrastructure Management and Delivery)</w:t>
      </w:r>
    </w:p>
    <w:p w14:paraId="06180BC7" w14:textId="77777777" w:rsidR="00FA2FF9" w:rsidRPr="00730DE4" w:rsidRDefault="00FA2FF9" w:rsidP="00E116FD">
      <w:pPr>
        <w:pStyle w:val="ListBullet"/>
        <w:rPr>
          <w:lang w:val="en-US"/>
        </w:rPr>
      </w:pPr>
      <w:r w:rsidRPr="00730DE4">
        <w:rPr>
          <w:lang w:val="en-US"/>
        </w:rPr>
        <w:t>Deputy Director-General (Policy, Planning and Investment)</w:t>
      </w:r>
    </w:p>
    <w:p w14:paraId="6388957A" w14:textId="77777777" w:rsidR="00FA2FF9" w:rsidRPr="00730DE4" w:rsidRDefault="00FA2FF9" w:rsidP="00E116FD">
      <w:pPr>
        <w:pStyle w:val="ListBullet"/>
        <w:rPr>
          <w:lang w:val="en-US"/>
        </w:rPr>
      </w:pPr>
      <w:r w:rsidRPr="00730DE4">
        <w:rPr>
          <w:lang w:val="en-US"/>
        </w:rPr>
        <w:t>Deputy Director-General (Translink)</w:t>
      </w:r>
    </w:p>
    <w:p w14:paraId="09DB4E67" w14:textId="77777777" w:rsidR="00FA2FF9" w:rsidRPr="00730DE4" w:rsidRDefault="00FA2FF9" w:rsidP="00E116FD">
      <w:pPr>
        <w:pStyle w:val="ListBullet"/>
        <w:rPr>
          <w:lang w:val="en-US"/>
        </w:rPr>
      </w:pPr>
      <w:r w:rsidRPr="00730DE4">
        <w:rPr>
          <w:lang w:val="en-US"/>
        </w:rPr>
        <w:t>Chief Operations Officer</w:t>
      </w:r>
    </w:p>
    <w:p w14:paraId="3D5B7A2B" w14:textId="77777777" w:rsidR="00FA2FF9" w:rsidRPr="00730DE4" w:rsidRDefault="00FA2FF9" w:rsidP="00E116FD">
      <w:pPr>
        <w:pStyle w:val="ListBullet"/>
        <w:rPr>
          <w:lang w:val="en-US"/>
        </w:rPr>
      </w:pPr>
      <w:r w:rsidRPr="00730DE4">
        <w:rPr>
          <w:lang w:val="en-US"/>
        </w:rPr>
        <w:t>Chief Finance Officer</w:t>
      </w:r>
    </w:p>
    <w:p w14:paraId="796A98A9" w14:textId="77777777" w:rsidR="00FA2FF9" w:rsidRPr="00730DE4" w:rsidRDefault="00FA2FF9" w:rsidP="00E116FD">
      <w:pPr>
        <w:pStyle w:val="ListBullet"/>
        <w:rPr>
          <w:lang w:val="en-US"/>
        </w:rPr>
      </w:pPr>
      <w:r w:rsidRPr="00730DE4">
        <w:rPr>
          <w:lang w:val="en-US"/>
        </w:rPr>
        <w:t>Chief People and Culture Officer.</w:t>
      </w:r>
    </w:p>
    <w:p w14:paraId="096F91D2" w14:textId="77777777" w:rsidR="00FA2FF9" w:rsidRPr="00730DE4" w:rsidRDefault="00FA2FF9" w:rsidP="00E116FD">
      <w:pPr>
        <w:rPr>
          <w:lang w:val="en-US"/>
        </w:rPr>
      </w:pPr>
      <w:r w:rsidRPr="00730DE4">
        <w:rPr>
          <w:lang w:val="en-US"/>
        </w:rPr>
        <w:t>Key achievements during 2023–24:</w:t>
      </w:r>
    </w:p>
    <w:p w14:paraId="1839D3AC" w14:textId="77777777" w:rsidR="00FA2FF9" w:rsidRPr="00730DE4" w:rsidRDefault="00FA2FF9" w:rsidP="00010AB5">
      <w:pPr>
        <w:pStyle w:val="ListBullet"/>
      </w:pPr>
      <w:r w:rsidRPr="00730DE4">
        <w:t>established a charter to support the combined People and Safety focus</w:t>
      </w:r>
    </w:p>
    <w:p w14:paraId="7D7A31AA" w14:textId="77777777" w:rsidR="00FA2FF9" w:rsidRPr="00730DE4" w:rsidRDefault="00FA2FF9" w:rsidP="00010AB5">
      <w:pPr>
        <w:pStyle w:val="ListBullet"/>
      </w:pPr>
      <w:r w:rsidRPr="00730DE4">
        <w:t>considered the 2024 Equity and Diversity Audit recommendations and supported the development of aligned actions for the 2024 Equity and Diversity Plan</w:t>
      </w:r>
    </w:p>
    <w:p w14:paraId="53D05233" w14:textId="77777777" w:rsidR="00FA2FF9" w:rsidRPr="00730DE4" w:rsidRDefault="00FA2FF9" w:rsidP="00010AB5">
      <w:pPr>
        <w:pStyle w:val="ListBullet"/>
      </w:pPr>
      <w:r w:rsidRPr="00730DE4">
        <w:t>endorsed the strategic workforce planning approach for 2024 review</w:t>
      </w:r>
    </w:p>
    <w:p w14:paraId="79EE49B6" w14:textId="77777777" w:rsidR="00FA2FF9" w:rsidRPr="00730DE4" w:rsidRDefault="00FA2FF9" w:rsidP="00010AB5">
      <w:pPr>
        <w:pStyle w:val="ListBullet"/>
        <w:rPr>
          <w:i/>
          <w:iCs/>
        </w:rPr>
      </w:pPr>
      <w:r w:rsidRPr="00730DE4">
        <w:t xml:space="preserve">led the development of psychosocial risk assessments to align with the </w:t>
      </w:r>
      <w:r w:rsidRPr="00730DE4">
        <w:rPr>
          <w:rStyle w:val="Emphasis"/>
        </w:rPr>
        <w:t>Managing the risk of psychosocial hazards at work Code of Practice 2022.</w:t>
      </w:r>
    </w:p>
    <w:p w14:paraId="6AA2B2B5" w14:textId="77777777" w:rsidR="00094BA5" w:rsidRPr="00730DE4" w:rsidRDefault="00094BA5">
      <w:pPr>
        <w:suppressAutoHyphens w:val="0"/>
        <w:spacing w:before="0" w:line="259" w:lineRule="auto"/>
        <w:rPr>
          <w:rFonts w:eastAsiaTheme="majorEastAsia" w:cstheme="majorBidi"/>
          <w:color w:val="080C0F" w:themeColor="text1"/>
          <w:sz w:val="60"/>
          <w:szCs w:val="32"/>
        </w:rPr>
      </w:pPr>
      <w:r w:rsidRPr="00730DE4">
        <w:br w:type="page"/>
      </w:r>
    </w:p>
    <w:p w14:paraId="458ECD7E" w14:textId="0C03034F" w:rsidR="00FA2FF9" w:rsidRPr="00730DE4" w:rsidRDefault="00FA2FF9" w:rsidP="002B7001">
      <w:pPr>
        <w:pStyle w:val="Heading2"/>
      </w:pPr>
      <w:bookmarkStart w:id="1341" w:name="_Toc180490875"/>
      <w:bookmarkStart w:id="1342" w:name="_Toc180491908"/>
      <w:r w:rsidRPr="00730DE4">
        <w:t>Robust management standards</w:t>
      </w:r>
      <w:bookmarkEnd w:id="1341"/>
      <w:bookmarkEnd w:id="1342"/>
    </w:p>
    <w:p w14:paraId="126E36B7" w14:textId="77777777" w:rsidR="00FA2FF9" w:rsidRPr="00730DE4" w:rsidRDefault="00FA2FF9" w:rsidP="002B7001">
      <w:pPr>
        <w:pStyle w:val="Heading3"/>
        <w:rPr>
          <w:lang w:val="en-US"/>
        </w:rPr>
      </w:pPr>
      <w:bookmarkStart w:id="1343" w:name="_Toc180487670"/>
      <w:bookmarkStart w:id="1344" w:name="_Toc180490876"/>
      <w:bookmarkStart w:id="1345" w:name="_Toc180491909"/>
      <w:r w:rsidRPr="00730DE4">
        <w:rPr>
          <w:lang w:val="en-US"/>
        </w:rPr>
        <w:t>Information management</w:t>
      </w:r>
      <w:bookmarkEnd w:id="1343"/>
      <w:bookmarkEnd w:id="1344"/>
      <w:bookmarkEnd w:id="1345"/>
    </w:p>
    <w:p w14:paraId="2935B916" w14:textId="77777777" w:rsidR="00FA2FF9" w:rsidRPr="00730DE4" w:rsidRDefault="00FA2FF9" w:rsidP="00221099">
      <w:pPr>
        <w:rPr>
          <w:lang w:val="en-US"/>
        </w:rPr>
      </w:pPr>
      <w:r w:rsidRPr="00730DE4">
        <w:rPr>
          <w:lang w:val="en-US"/>
        </w:rPr>
        <w:t xml:space="preserve">TMR relies on information to deliver its services, make informed decisions, provide evidence of work completed, and as a requirement of the </w:t>
      </w:r>
      <w:r w:rsidRPr="00730DE4">
        <w:rPr>
          <w:rStyle w:val="Emphasis"/>
        </w:rPr>
        <w:t>Public Records Act 2002</w:t>
      </w:r>
      <w:r w:rsidRPr="00730DE4">
        <w:rPr>
          <w:lang w:val="en-US"/>
        </w:rPr>
        <w:t>. As technology continues to evolve so too does the types of information created and collected, and the need for better functionality from the systems that store and manage this information. </w:t>
      </w:r>
    </w:p>
    <w:p w14:paraId="0D0A5A16" w14:textId="77777777" w:rsidR="00FA2FF9" w:rsidRPr="00730DE4" w:rsidRDefault="00FA2FF9" w:rsidP="00221099">
      <w:pPr>
        <w:rPr>
          <w:lang w:val="en-US"/>
        </w:rPr>
      </w:pPr>
      <w:r w:rsidRPr="00730DE4">
        <w:rPr>
          <w:lang w:val="en-US"/>
        </w:rPr>
        <w:t xml:space="preserve">TMR is now in the third year of its five-year </w:t>
      </w:r>
      <w:r w:rsidRPr="00730DE4">
        <w:rPr>
          <w:rStyle w:val="Emphasis"/>
        </w:rPr>
        <w:t>Information Management (IM) Strategy 2021–26</w:t>
      </w:r>
      <w:r w:rsidRPr="00730DE4">
        <w:rPr>
          <w:lang w:val="en-US"/>
        </w:rPr>
        <w:t xml:space="preserve"> and Roadmap. Over the past year, TMR has made significant strides towards new contemporary IM solutions, improving IM culture, and optimising processes and information governance through the IM Program.</w:t>
      </w:r>
    </w:p>
    <w:p w14:paraId="612EB058" w14:textId="77777777" w:rsidR="00FA2FF9" w:rsidRPr="00730DE4" w:rsidRDefault="00FA2FF9" w:rsidP="00221099">
      <w:pPr>
        <w:rPr>
          <w:lang w:val="en-US"/>
        </w:rPr>
      </w:pPr>
      <w:r w:rsidRPr="00730DE4">
        <w:rPr>
          <w:lang w:val="en-US"/>
        </w:rPr>
        <w:t xml:space="preserve">Milestones achieved towards a fit-for-purpose content management solution for capturing information and correspondence include: </w:t>
      </w:r>
    </w:p>
    <w:p w14:paraId="572FFC34" w14:textId="77777777" w:rsidR="00FA2FF9" w:rsidRPr="00730DE4" w:rsidRDefault="00FA2FF9" w:rsidP="00221099">
      <w:pPr>
        <w:pStyle w:val="ListBullet"/>
        <w:rPr>
          <w:lang w:val="en-US"/>
        </w:rPr>
      </w:pPr>
      <w:r w:rsidRPr="00730DE4">
        <w:rPr>
          <w:lang w:val="en-US"/>
        </w:rPr>
        <w:t>defined needs of the department clearly</w:t>
      </w:r>
    </w:p>
    <w:p w14:paraId="66EB47BB" w14:textId="77777777" w:rsidR="00FA2FF9" w:rsidRPr="00730DE4" w:rsidRDefault="00FA2FF9" w:rsidP="00221099">
      <w:pPr>
        <w:pStyle w:val="ListBullet"/>
        <w:rPr>
          <w:lang w:val="en-US"/>
        </w:rPr>
      </w:pPr>
      <w:r w:rsidRPr="00730DE4">
        <w:rPr>
          <w:lang w:val="en-US"/>
        </w:rPr>
        <w:t>determined legacy systems to be retired</w:t>
      </w:r>
    </w:p>
    <w:p w14:paraId="6B2BBFE6" w14:textId="77777777" w:rsidR="00FA2FF9" w:rsidRPr="00730DE4" w:rsidRDefault="00FA2FF9" w:rsidP="00221099">
      <w:pPr>
        <w:pStyle w:val="ListBullet"/>
        <w:rPr>
          <w:lang w:val="en-US"/>
        </w:rPr>
      </w:pPr>
      <w:r w:rsidRPr="00730DE4">
        <w:rPr>
          <w:lang w:val="en-US"/>
        </w:rPr>
        <w:t>completed architectural and migration roadmaps</w:t>
      </w:r>
    </w:p>
    <w:p w14:paraId="086DDB23" w14:textId="77777777" w:rsidR="00FA2FF9" w:rsidRPr="00730DE4" w:rsidRDefault="00FA2FF9" w:rsidP="00221099">
      <w:pPr>
        <w:pStyle w:val="ListBullet"/>
        <w:rPr>
          <w:lang w:val="en-US"/>
        </w:rPr>
      </w:pPr>
      <w:r w:rsidRPr="00730DE4">
        <w:rPr>
          <w:lang w:val="en-US"/>
        </w:rPr>
        <w:t xml:space="preserve">started work to cleanse existing information in the legacy systems. </w:t>
      </w:r>
    </w:p>
    <w:p w14:paraId="797C7580" w14:textId="77777777" w:rsidR="00FA2FF9" w:rsidRPr="00730DE4" w:rsidRDefault="00FA2FF9" w:rsidP="00221099">
      <w:pPr>
        <w:rPr>
          <w:lang w:val="en-US"/>
        </w:rPr>
      </w:pPr>
      <w:r w:rsidRPr="00730DE4">
        <w:rPr>
          <w:lang w:val="en-US"/>
        </w:rPr>
        <w:t xml:space="preserve">This year TMR also began migrating its current on-premise intranet content to SharePoint Online, with a number of sites now active and in-use for staff. Following an overhaul of the existing content as part of the migration process, the new intranet provides staff with an authoritative source of information and improves collaboration and information sharing. </w:t>
      </w:r>
    </w:p>
    <w:p w14:paraId="36B49AA6" w14:textId="77777777" w:rsidR="00FA2FF9" w:rsidRPr="00730DE4" w:rsidRDefault="00FA2FF9" w:rsidP="002B7001">
      <w:pPr>
        <w:pStyle w:val="Heading3"/>
        <w:rPr>
          <w:lang w:val="en-US"/>
        </w:rPr>
      </w:pPr>
      <w:bookmarkStart w:id="1346" w:name="_Toc180487671"/>
      <w:bookmarkStart w:id="1347" w:name="_Toc180490877"/>
      <w:bookmarkStart w:id="1348" w:name="_Toc180491910"/>
      <w:r w:rsidRPr="00730DE4">
        <w:rPr>
          <w:lang w:val="en-US"/>
        </w:rPr>
        <w:t>Information privacy</w:t>
      </w:r>
      <w:bookmarkEnd w:id="1346"/>
      <w:bookmarkEnd w:id="1347"/>
      <w:bookmarkEnd w:id="1348"/>
    </w:p>
    <w:p w14:paraId="499DA28D" w14:textId="77777777" w:rsidR="00FA2FF9" w:rsidRPr="00730DE4" w:rsidRDefault="00FA2FF9" w:rsidP="00741AF4">
      <w:r w:rsidRPr="00730DE4">
        <w:t xml:space="preserve">TMR is committed to protecting the personal information it holds in accordance with its obligations under the </w:t>
      </w:r>
      <w:r w:rsidRPr="00730DE4">
        <w:rPr>
          <w:rStyle w:val="Emphasis"/>
        </w:rPr>
        <w:t>Information Privacy Act 2009</w:t>
      </w:r>
      <w:r w:rsidRPr="00730DE4">
        <w:t xml:space="preserve"> (IP Act) which regulates how personal information is collected, stored, used, and disclosed by all Queensland Government agencies and their contracted service providers. </w:t>
      </w:r>
    </w:p>
    <w:p w14:paraId="3F71E9AB" w14:textId="77777777" w:rsidR="00FA2FF9" w:rsidRPr="00730DE4" w:rsidRDefault="00FA2FF9" w:rsidP="00741AF4">
      <w:r w:rsidRPr="00730DE4">
        <w:t>In an age where there is an increasing amount of emerging technologies and digital participation, TMR strives to proactively embed privacy by design when planning and delivering projects and programs that involve the management of personal information.</w:t>
      </w:r>
    </w:p>
    <w:p w14:paraId="101E14EC" w14:textId="77777777" w:rsidR="00FA2FF9" w:rsidRPr="00730DE4" w:rsidRDefault="00FA2FF9" w:rsidP="00741AF4">
      <w:r w:rsidRPr="00730DE4">
        <w:t>In 2023–24, TMR continued to build a culture of privacy by ensuring its guidelines, policies, and procedures support the effective management of personal information in order to meet community expectations and compliance obligations.</w:t>
      </w:r>
    </w:p>
    <w:p w14:paraId="6D15665E" w14:textId="4548051D" w:rsidR="00FA2FF9" w:rsidRPr="00730DE4" w:rsidRDefault="00FA2FF9" w:rsidP="00741AF4">
      <w:r w:rsidRPr="00730DE4">
        <w:t xml:space="preserve">TMR increases staff awareness about information privacy through face-to-face training, a mandatory online course undertaken on induction and then yearly, and regular internal communications, including animated case studies and screensavers. This approach ensures employees are well-informed on applying privacy principles in their daily tasks. </w:t>
      </w:r>
    </w:p>
    <w:p w14:paraId="69050CAC" w14:textId="77777777" w:rsidR="00FA2FF9" w:rsidRPr="00730DE4" w:rsidRDefault="00FA2FF9" w:rsidP="00741AF4">
      <w:r w:rsidRPr="00730DE4">
        <w:t xml:space="preserve">TMR's </w:t>
      </w:r>
      <w:r w:rsidRPr="00730DE4">
        <w:rPr>
          <w:rStyle w:val="Emphasis"/>
        </w:rPr>
        <w:t>Information Privacy Plan</w:t>
      </w:r>
      <w:r w:rsidRPr="00730DE4">
        <w:t xml:space="preserve"> demonstrates to members of the public how TMR meets its obligations under the IP Act. This plan provides a guideline for employees and contractors of TMR who deal with personal information and illustrates TMR’s commitment to respecting the privacy rights of employees and members of the public.</w:t>
      </w:r>
    </w:p>
    <w:p w14:paraId="01C40B50" w14:textId="77777777" w:rsidR="00FA2FF9" w:rsidRPr="00730DE4" w:rsidRDefault="00FA2FF9" w:rsidP="00BB0DC8">
      <w:pPr>
        <w:rPr>
          <w:lang w:eastAsia="en-AU"/>
        </w:rPr>
      </w:pPr>
      <w:r w:rsidRPr="00730DE4">
        <w:rPr>
          <w:lang w:eastAsia="en-AU"/>
        </w:rPr>
        <w:t>In 2023–24, 47 information privacy breaches were reported to the Right to Information, Privacy and Complaints Management Unit.</w:t>
      </w:r>
      <w:r w:rsidRPr="00730DE4">
        <w:t xml:space="preserve"> </w:t>
      </w:r>
      <w:r w:rsidRPr="00730DE4">
        <w:rPr>
          <w:lang w:eastAsia="en-AU"/>
        </w:rPr>
        <w:t>Of the 47 reported breaches, 38 were substantiated as a privacy breaches.  </w:t>
      </w:r>
    </w:p>
    <w:p w14:paraId="58F2B3F5" w14:textId="77777777" w:rsidR="00FA2FF9" w:rsidRPr="00730DE4" w:rsidRDefault="00FA2FF9" w:rsidP="00BB0DC8">
      <w:pPr>
        <w:rPr>
          <w:lang w:eastAsia="en-AU"/>
        </w:rPr>
      </w:pPr>
      <w:r w:rsidRPr="00730DE4">
        <w:rPr>
          <w:lang w:eastAsia="en-AU"/>
        </w:rPr>
        <w:t xml:space="preserve">The </w:t>
      </w:r>
      <w:r w:rsidRPr="00730DE4">
        <w:t xml:space="preserve">increase in the </w:t>
      </w:r>
      <w:r w:rsidRPr="00730DE4">
        <w:rPr>
          <w:lang w:eastAsia="en-AU"/>
        </w:rPr>
        <w:t xml:space="preserve">number of reported privacy breaches from previous years can be attributed to several factors, including greater awareness of privacy breaches and a proactive approach to reporting incidents in preparation for the mandatory breach notification scheme, which will take effect </w:t>
      </w:r>
      <w:r w:rsidRPr="00730DE4">
        <w:t>from</w:t>
      </w:r>
      <w:r w:rsidRPr="00730DE4">
        <w:rPr>
          <w:lang w:eastAsia="en-AU"/>
        </w:rPr>
        <w:t xml:space="preserve"> July 2025</w:t>
      </w:r>
      <w:r w:rsidRPr="00730DE4">
        <w:t>. The increase can also be attributed to the increase in the size of the department with the addition of QGCDG in May 2023.</w:t>
      </w:r>
    </w:p>
    <w:p w14:paraId="71EEAB2D" w14:textId="77777777" w:rsidR="00FA2FF9" w:rsidRPr="00730DE4" w:rsidRDefault="00FA2FF9" w:rsidP="00741AF4">
      <w:pPr>
        <w:rPr>
          <w:lang w:eastAsia="en-AU"/>
        </w:rPr>
      </w:pPr>
      <w:r w:rsidRPr="00730DE4">
        <w:rPr>
          <w:lang w:eastAsia="en-AU"/>
        </w:rPr>
        <w:t>All 38 substantiated breaches related to security of personal information and misuse (2), unauthorised use (6), and disclosure (30 by inadvertent error).</w:t>
      </w:r>
    </w:p>
    <w:p w14:paraId="6C29C0C6" w14:textId="77777777" w:rsidR="00FA2FF9" w:rsidRPr="00730DE4" w:rsidRDefault="00FA2FF9" w:rsidP="00741AF4">
      <w:r w:rsidRPr="00730DE4">
        <w:t xml:space="preserve">With upcoming changes to the IP Act to mandate serious privacy breach notification to the Office of the Information Commissioner, TMR has progressed its internal breach notification processes, resulting in an increased awareness and response to privacy breaches throughout TMR. </w:t>
      </w:r>
    </w:p>
    <w:p w14:paraId="18D56DA2" w14:textId="77777777" w:rsidR="00FA2FF9" w:rsidRPr="00730DE4" w:rsidRDefault="00FA2FF9" w:rsidP="00741AF4">
      <w:r w:rsidRPr="00730DE4">
        <w:t xml:space="preserve">As TMR's dedicated Privacy Champion, the Director-General continues to provide and support awareness campaigns and resources to TMR staff to promote a culture that respects and protects the personal information of staff and customers. </w:t>
      </w:r>
    </w:p>
    <w:p w14:paraId="4EDBA383" w14:textId="77777777" w:rsidR="00FA2FF9" w:rsidRPr="00730DE4" w:rsidRDefault="00FA2FF9" w:rsidP="00221099">
      <w:pPr>
        <w:pStyle w:val="MessageHeader"/>
        <w:rPr>
          <w:lang w:val="en-US"/>
        </w:rPr>
      </w:pPr>
      <w:r w:rsidRPr="00730DE4">
        <w:rPr>
          <w:lang w:val="en-US"/>
        </w:rPr>
        <w:t xml:space="preserve">For more information </w:t>
      </w:r>
      <w:r w:rsidRPr="00730DE4">
        <w:rPr>
          <w:lang w:val="en-US"/>
        </w:rPr>
        <w:br/>
      </w:r>
      <w:hyperlink r:id="rId141" w:history="1">
        <w:r w:rsidRPr="00730DE4">
          <w:rPr>
            <w:rStyle w:val="Hyperlink"/>
            <w:lang w:val="en-US"/>
          </w:rPr>
          <w:t>https://www.tmr.qld.gov.au/Help/Privacy</w:t>
        </w:r>
      </w:hyperlink>
      <w:r w:rsidRPr="00730DE4">
        <w:rPr>
          <w:lang w:val="en-US"/>
        </w:rPr>
        <w:t xml:space="preserve"> </w:t>
      </w:r>
    </w:p>
    <w:p w14:paraId="440EA28B" w14:textId="77777777" w:rsidR="005B60B8" w:rsidRDefault="005B60B8" w:rsidP="002B7001">
      <w:pPr>
        <w:pStyle w:val="Heading3"/>
        <w:rPr>
          <w:lang w:val="en-US"/>
        </w:rPr>
      </w:pPr>
      <w:r>
        <w:rPr>
          <w:lang w:val="en-US"/>
        </w:rPr>
        <w:br w:type="page"/>
      </w:r>
    </w:p>
    <w:p w14:paraId="5B1CB340" w14:textId="2B890EEF" w:rsidR="00FA2FF9" w:rsidRPr="00730DE4" w:rsidRDefault="00FA2FF9" w:rsidP="002B7001">
      <w:pPr>
        <w:pStyle w:val="Heading3"/>
        <w:rPr>
          <w:lang w:val="en-US"/>
        </w:rPr>
      </w:pPr>
      <w:bookmarkStart w:id="1349" w:name="_Toc180487672"/>
      <w:bookmarkStart w:id="1350" w:name="_Toc180490878"/>
      <w:bookmarkStart w:id="1351" w:name="_Toc180491911"/>
      <w:r w:rsidRPr="00730DE4">
        <w:rPr>
          <w:lang w:val="en-US"/>
        </w:rPr>
        <w:t>Information Security Management System</w:t>
      </w:r>
      <w:bookmarkEnd w:id="1349"/>
      <w:bookmarkEnd w:id="1350"/>
      <w:bookmarkEnd w:id="1351"/>
    </w:p>
    <w:p w14:paraId="77159635" w14:textId="77777777" w:rsidR="00FA2FF9" w:rsidRPr="00730DE4" w:rsidRDefault="00FA2FF9" w:rsidP="00C4544B">
      <w:r w:rsidRPr="00730DE4">
        <w:t>TMR uses a range of digital technologies, devices, applications, and business systems to deliver transport services within Queensland.</w:t>
      </w:r>
    </w:p>
    <w:p w14:paraId="1230680B" w14:textId="77777777" w:rsidR="00FA2FF9" w:rsidRPr="00730DE4" w:rsidRDefault="00FA2FF9" w:rsidP="00C4544B">
      <w:r w:rsidRPr="00730DE4">
        <w:t xml:space="preserve">The </w:t>
      </w:r>
      <w:r w:rsidRPr="00730DE4">
        <w:rPr>
          <w:rStyle w:val="Emphasis"/>
        </w:rPr>
        <w:t>Queensland Government Information Security Policy</w:t>
      </w:r>
      <w:r w:rsidRPr="00730DE4">
        <w:t xml:space="preserve"> (IS18:2018) seeks to ensure a consistent, risk-based approach to how TMR's information and critical assets are managed and protected.</w:t>
      </w:r>
    </w:p>
    <w:p w14:paraId="661419FA" w14:textId="77777777" w:rsidR="00FA2FF9" w:rsidRPr="00730DE4" w:rsidRDefault="00FA2FF9" w:rsidP="00C4544B">
      <w:r w:rsidRPr="00730DE4">
        <w:t>In accordance with IS18:2018, TMR has an ISMS that outlines, in detail, how the department governs, controls, and protects its information and systems to maintain confidentiality, integrity, and availability. TMR continually reviews and updates the ISMS to ensure its effectiveness against established and emerging information security risks.</w:t>
      </w:r>
    </w:p>
    <w:p w14:paraId="2C357D90" w14:textId="77777777" w:rsidR="00FA2FF9" w:rsidRPr="00730DE4" w:rsidRDefault="00FA2FF9" w:rsidP="00C4544B">
      <w:r w:rsidRPr="00730DE4">
        <w:t>TMR is making significant strides in advancing the ISMS and enhancing its security posture though:</w:t>
      </w:r>
    </w:p>
    <w:p w14:paraId="1B1ECCD0" w14:textId="77777777" w:rsidR="00FA2FF9" w:rsidRPr="00730DE4" w:rsidRDefault="00FA2FF9" w:rsidP="00C4544B">
      <w:pPr>
        <w:pStyle w:val="ListBullet"/>
      </w:pPr>
      <w:r w:rsidRPr="00730DE4">
        <w:t>mandatory cyber security training for all staff, including ongoing education and awareness campaigns</w:t>
      </w:r>
    </w:p>
    <w:p w14:paraId="07A416B1" w14:textId="77777777" w:rsidR="00FA2FF9" w:rsidRPr="00730DE4" w:rsidRDefault="00FA2FF9" w:rsidP="00C4544B">
      <w:pPr>
        <w:pStyle w:val="ListBullet"/>
      </w:pPr>
      <w:r w:rsidRPr="00730DE4">
        <w:t>increased capability in both tooling and resources to respond to security events</w:t>
      </w:r>
    </w:p>
    <w:p w14:paraId="3D073095" w14:textId="77777777" w:rsidR="00FA2FF9" w:rsidRPr="00730DE4" w:rsidRDefault="00FA2FF9" w:rsidP="00C4544B">
      <w:pPr>
        <w:pStyle w:val="ListBullet"/>
      </w:pPr>
      <w:r w:rsidRPr="00730DE4">
        <w:t xml:space="preserve">effective governance responsible for the implementation of strategy, policy, standards, and processes across the organisation </w:t>
      </w:r>
    </w:p>
    <w:p w14:paraId="57DFAB61" w14:textId="77777777" w:rsidR="00FA2FF9" w:rsidRPr="00730DE4" w:rsidRDefault="00FA2FF9" w:rsidP="00C4544B">
      <w:pPr>
        <w:pStyle w:val="ListBullet"/>
      </w:pPr>
      <w:r w:rsidRPr="00730DE4">
        <w:t>continuous active reporting, monitoring, mitigating, and ongoing management of information security and cyber risks.</w:t>
      </w:r>
    </w:p>
    <w:p w14:paraId="3ABE8D9E" w14:textId="77777777" w:rsidR="00FA2FF9" w:rsidRPr="00730DE4" w:rsidRDefault="00FA2FF9" w:rsidP="00864454">
      <w:r w:rsidRPr="00730DE4">
        <w:t xml:space="preserve">During the mandatory annual information security reporting process, the Director-General attested to the appropriateness of the information security risk management within TMR to the Queensland Government Chief Information Security Officer, noting that appropriate assurance activities have been undertaken to inform this opinion and TMR's information security risk position. </w:t>
      </w:r>
    </w:p>
    <w:p w14:paraId="0E731CA0" w14:textId="77777777" w:rsidR="00094BA5" w:rsidRPr="00730DE4" w:rsidRDefault="00094BA5">
      <w:pPr>
        <w:suppressAutoHyphens w:val="0"/>
        <w:spacing w:before="0" w:line="259" w:lineRule="auto"/>
        <w:rPr>
          <w:rFonts w:eastAsiaTheme="majorEastAsia" w:cstheme="majorBidi"/>
          <w:color w:val="080C0F" w:themeColor="text1"/>
          <w:sz w:val="60"/>
          <w:szCs w:val="32"/>
        </w:rPr>
      </w:pPr>
      <w:r w:rsidRPr="00730DE4">
        <w:br w:type="page"/>
      </w:r>
    </w:p>
    <w:p w14:paraId="3B4BB706" w14:textId="7EAEAEC1" w:rsidR="00FA2FF9" w:rsidRPr="00730DE4" w:rsidRDefault="00FA2FF9" w:rsidP="002B7001">
      <w:pPr>
        <w:pStyle w:val="Heading2"/>
      </w:pPr>
      <w:bookmarkStart w:id="1352" w:name="_Toc180490879"/>
      <w:bookmarkStart w:id="1353" w:name="_Toc180491912"/>
      <w:r w:rsidRPr="00730DE4">
        <w:t>Internal accountability</w:t>
      </w:r>
      <w:bookmarkEnd w:id="1352"/>
      <w:bookmarkEnd w:id="1353"/>
    </w:p>
    <w:p w14:paraId="62B925BD" w14:textId="77777777" w:rsidR="00FA2FF9" w:rsidRPr="00730DE4" w:rsidRDefault="00FA2FF9" w:rsidP="002B7001">
      <w:pPr>
        <w:pStyle w:val="Heading3"/>
      </w:pPr>
      <w:bookmarkStart w:id="1354" w:name="_Toc180487674"/>
      <w:bookmarkStart w:id="1355" w:name="_Toc180490880"/>
      <w:bookmarkStart w:id="1356" w:name="_Toc180491913"/>
      <w:r w:rsidRPr="00730DE4">
        <w:t>Performance management and monitoring</w:t>
      </w:r>
      <w:bookmarkEnd w:id="1354"/>
      <w:bookmarkEnd w:id="1355"/>
      <w:bookmarkEnd w:id="1356"/>
    </w:p>
    <w:p w14:paraId="73E9A537" w14:textId="77777777" w:rsidR="00FA2FF9" w:rsidRPr="00730DE4" w:rsidRDefault="00FA2FF9" w:rsidP="007B1B45">
      <w:r w:rsidRPr="00730DE4">
        <w:t>The performance reporting structures in TMR are configured in accordance with the Queensland Government Performance Management Framework. The framework provides the mechanism for effective governance, planning, risk management, performance monitoring</w:t>
      </w:r>
      <w:r w:rsidRPr="00730DE4">
        <w:rPr>
          <w:lang w:val="en-US"/>
        </w:rPr>
        <w:t>,</w:t>
      </w:r>
      <w:r w:rsidRPr="00730DE4">
        <w:t xml:space="preserve"> and reporting.</w:t>
      </w:r>
    </w:p>
    <w:p w14:paraId="65741BD9" w14:textId="77777777" w:rsidR="00FA2FF9" w:rsidRPr="00730DE4" w:rsidRDefault="00FA2FF9" w:rsidP="007B1B45">
      <w:r w:rsidRPr="00730DE4">
        <w:t>Strategic measures are reviewed annually to ensure they accurately showcase TMR's achievements against strategic objectives, and compliance with service standards for each service division, as specified in TMR’s Service Delivery Statements. Progress is reported to the ELT each quarter and is documented in the annual report. TMR's performance is also externally scrutinised through the Parliamentary Estimates committee process conducted each year following the State Budget.</w:t>
      </w:r>
    </w:p>
    <w:p w14:paraId="325D5130" w14:textId="77777777" w:rsidR="00FA2FF9" w:rsidRPr="00730DE4" w:rsidRDefault="00FA2FF9" w:rsidP="002B7001">
      <w:pPr>
        <w:pStyle w:val="Heading3"/>
        <w:rPr>
          <w:lang w:val="en-US"/>
        </w:rPr>
      </w:pPr>
      <w:bookmarkStart w:id="1357" w:name="_Toc180487675"/>
      <w:bookmarkStart w:id="1358" w:name="_Toc180490881"/>
      <w:bookmarkStart w:id="1359" w:name="_Toc180491914"/>
      <w:r w:rsidRPr="00730DE4">
        <w:rPr>
          <w:lang w:val="en-US"/>
        </w:rPr>
        <w:t>Data and Analytics Strategy</w:t>
      </w:r>
      <w:bookmarkEnd w:id="1357"/>
      <w:bookmarkEnd w:id="1358"/>
      <w:bookmarkEnd w:id="1359"/>
    </w:p>
    <w:p w14:paraId="410073DB" w14:textId="77777777" w:rsidR="00FA2FF9" w:rsidRPr="00730DE4" w:rsidRDefault="00FA2FF9" w:rsidP="007B1B45">
      <w:pPr>
        <w:rPr>
          <w:lang w:val="en-US"/>
        </w:rPr>
      </w:pPr>
      <w:r w:rsidRPr="00730DE4">
        <w:rPr>
          <w:lang w:val="en-US"/>
        </w:rPr>
        <w:t xml:space="preserve">TMR's </w:t>
      </w:r>
      <w:r w:rsidRPr="00730DE4">
        <w:rPr>
          <w:rStyle w:val="Emphasis"/>
        </w:rPr>
        <w:t>Data and Analytics Strategy 2023–26</w:t>
      </w:r>
      <w:r w:rsidRPr="00730DE4">
        <w:rPr>
          <w:lang w:val="en-US"/>
        </w:rPr>
        <w:t xml:space="preserve"> outlines the roadmap for strengthening the department's data and analytics capabilities, fostering an ecosystem that supports an integrated and accessible transport network.</w:t>
      </w:r>
    </w:p>
    <w:p w14:paraId="49697518" w14:textId="77777777" w:rsidR="00FA2FF9" w:rsidRPr="00730DE4" w:rsidRDefault="00FA2FF9" w:rsidP="007B1B45">
      <w:pPr>
        <w:rPr>
          <w:lang w:val="en-US"/>
        </w:rPr>
      </w:pPr>
      <w:r w:rsidRPr="00730DE4">
        <w:rPr>
          <w:lang w:val="en-US"/>
        </w:rPr>
        <w:t>At the core of this strategy lies TMR's strategic data analytics framework, the TDx. Leveraging this framework, the department has continued its implementation of cloud-based analytics solutions to address complex business and customer-centric challenges.</w:t>
      </w:r>
    </w:p>
    <w:p w14:paraId="6DBE0011" w14:textId="77777777" w:rsidR="00FA2FF9" w:rsidRPr="00730DE4" w:rsidRDefault="00FA2FF9" w:rsidP="007B1B45">
      <w:pPr>
        <w:rPr>
          <w:lang w:val="en-US"/>
        </w:rPr>
      </w:pPr>
      <w:r w:rsidRPr="00730DE4">
        <w:rPr>
          <w:lang w:val="en-US"/>
        </w:rPr>
        <w:t>Key initiatives included:</w:t>
      </w:r>
    </w:p>
    <w:p w14:paraId="2D159106" w14:textId="77777777" w:rsidR="00FA2FF9" w:rsidRPr="00730DE4" w:rsidRDefault="00FA2FF9" w:rsidP="007B1B45">
      <w:pPr>
        <w:pStyle w:val="ListBullet"/>
        <w:rPr>
          <w:lang w:val="en-US"/>
        </w:rPr>
      </w:pPr>
      <w:r w:rsidRPr="00730DE4">
        <w:rPr>
          <w:lang w:val="en-US"/>
        </w:rPr>
        <w:t>continuous enhancement and expansion of self-service analytics dashboards, automating previously manual reporting processes and facilitating seamless data sharing across the organisation</w:t>
      </w:r>
    </w:p>
    <w:p w14:paraId="2F696EF8" w14:textId="77777777" w:rsidR="00FA2FF9" w:rsidRPr="00730DE4" w:rsidRDefault="00FA2FF9" w:rsidP="007B1B45">
      <w:pPr>
        <w:pStyle w:val="ListBullet"/>
        <w:rPr>
          <w:lang w:val="en-US"/>
        </w:rPr>
      </w:pPr>
      <w:r w:rsidRPr="00730DE4">
        <w:rPr>
          <w:lang w:val="en-US"/>
        </w:rPr>
        <w:t>promotion of upskilling programs to equip TMR's workforce with proficiency in new cloud-enabled data and analytics tools and technologies</w:t>
      </w:r>
    </w:p>
    <w:p w14:paraId="7AD2E71F" w14:textId="77777777" w:rsidR="00FA2FF9" w:rsidRPr="00730DE4" w:rsidRDefault="00FA2FF9" w:rsidP="007B1B45">
      <w:pPr>
        <w:pStyle w:val="ListBullet"/>
        <w:rPr>
          <w:lang w:val="en-US"/>
        </w:rPr>
      </w:pPr>
      <w:r w:rsidRPr="00730DE4">
        <w:rPr>
          <w:lang w:val="en-US"/>
        </w:rPr>
        <w:t>integration of new cloud data assets into TMR's TDx Data Catalogue, improving the discoverability and accessibility of cloud data resources TMR-wide.</w:t>
      </w:r>
    </w:p>
    <w:p w14:paraId="07F997F6" w14:textId="77777777" w:rsidR="00FA2FF9" w:rsidRPr="00730DE4" w:rsidRDefault="00FA2FF9" w:rsidP="007B1B45">
      <w:pPr>
        <w:pStyle w:val="MessageHeader"/>
        <w:rPr>
          <w:lang w:val="en-US"/>
        </w:rPr>
      </w:pPr>
      <w:r w:rsidRPr="00730DE4">
        <w:rPr>
          <w:lang w:val="en-US"/>
        </w:rPr>
        <w:t>For more information</w:t>
      </w:r>
      <w:r w:rsidRPr="00730DE4">
        <w:rPr>
          <w:lang w:val="en-US"/>
        </w:rPr>
        <w:br/>
      </w:r>
      <w:hyperlink r:id="rId142" w:history="1">
        <w:r w:rsidRPr="00730DE4">
          <w:rPr>
            <w:rStyle w:val="Hyperlink"/>
            <w:lang w:val="en-US"/>
          </w:rPr>
          <w:t>https://www.tmr.qld.gov.au/about-us/corporate-information/publications/data-and-analytics-strategy</w:t>
        </w:r>
      </w:hyperlink>
      <w:r w:rsidRPr="00730DE4">
        <w:rPr>
          <w:lang w:val="en-US"/>
        </w:rPr>
        <w:t> </w:t>
      </w:r>
    </w:p>
    <w:p w14:paraId="0D476A0C" w14:textId="77777777" w:rsidR="00FA2FF9" w:rsidRPr="00730DE4" w:rsidRDefault="00FA2FF9" w:rsidP="002B7001">
      <w:pPr>
        <w:pStyle w:val="Heading3"/>
        <w:rPr>
          <w:lang w:val="en-US"/>
        </w:rPr>
      </w:pPr>
      <w:bookmarkStart w:id="1360" w:name="_Toc180487676"/>
      <w:bookmarkStart w:id="1361" w:name="_Toc180490882"/>
      <w:bookmarkStart w:id="1362" w:name="_Toc180491915"/>
      <w:r w:rsidRPr="00730DE4">
        <w:rPr>
          <w:lang w:val="en-US"/>
        </w:rPr>
        <w:t>Compliments and complaints management</w:t>
      </w:r>
      <w:bookmarkEnd w:id="1360"/>
      <w:bookmarkEnd w:id="1361"/>
      <w:bookmarkEnd w:id="1362"/>
    </w:p>
    <w:p w14:paraId="07BC1240" w14:textId="77777777" w:rsidR="00FA2FF9" w:rsidRPr="00730DE4" w:rsidRDefault="00FA2FF9" w:rsidP="00405385">
      <w:pPr>
        <w:rPr>
          <w:lang w:val="en-US"/>
        </w:rPr>
      </w:pPr>
      <w:r w:rsidRPr="00730DE4">
        <w:rPr>
          <w:lang w:val="en-US"/>
        </w:rPr>
        <w:t>TMR welcomes feedback from all customers. We are committed to customer service excellence and respond to complaints in an accountable, transparent, timely, and fair way. TMR uses complaints information to enhance services, improve decision-making, and increase government accountability.</w:t>
      </w:r>
    </w:p>
    <w:p w14:paraId="5514C417" w14:textId="77777777" w:rsidR="00FA2FF9" w:rsidRPr="00730DE4" w:rsidRDefault="00FA2FF9" w:rsidP="00405385">
      <w:pPr>
        <w:rPr>
          <w:lang w:val="en-US"/>
        </w:rPr>
      </w:pPr>
      <w:r w:rsidRPr="00730DE4">
        <w:rPr>
          <w:lang w:val="en-US"/>
        </w:rPr>
        <w:t xml:space="preserve">TMR's complaints management system complies with the </w:t>
      </w:r>
      <w:r w:rsidRPr="00730DE4">
        <w:rPr>
          <w:rStyle w:val="Emphasis"/>
          <w:lang w:val="en-US"/>
        </w:rPr>
        <w:t>Public Sector Act 2022</w:t>
      </w:r>
      <w:r w:rsidRPr="00730DE4">
        <w:rPr>
          <w:lang w:val="en-US"/>
        </w:rPr>
        <w:t xml:space="preserve"> section 264, is compatible with the </w:t>
      </w:r>
      <w:r w:rsidRPr="00730DE4">
        <w:rPr>
          <w:rStyle w:val="Emphasis"/>
          <w:lang w:val="en-US"/>
        </w:rPr>
        <w:t>Human Rights Act 2019</w:t>
      </w:r>
      <w:r w:rsidRPr="00730DE4">
        <w:rPr>
          <w:lang w:val="en-US"/>
        </w:rPr>
        <w:t>, and meets the guiding principles of the Australian Standard 10002:2022 Guidelines for complaint management in organisations. In December 2023, TMR revised our Complaints Management Policy to align with the Queensland Public Sector Customer Complaint Management Framework and Guideline.</w:t>
      </w:r>
    </w:p>
    <w:p w14:paraId="18B391F5" w14:textId="77777777" w:rsidR="00FA2FF9" w:rsidRPr="00730DE4" w:rsidRDefault="00FA2FF9" w:rsidP="00405385">
      <w:pPr>
        <w:rPr>
          <w:lang w:val="en-US"/>
        </w:rPr>
      </w:pPr>
      <w:r w:rsidRPr="00730DE4">
        <w:rPr>
          <w:lang w:val="en-US"/>
        </w:rPr>
        <w:t xml:space="preserve">Between 1 July 2023 and 30 June 2024, TMR reported 37,131 customer complaints, including 32 human rights complaints. TMR's 37,131 customer complaints represented less than half of one per cent of the overall 22.5 million customer interactions managed by TMR and the 167.78 million trips on South East Queensland public transport. </w:t>
      </w:r>
    </w:p>
    <w:p w14:paraId="3BF31130" w14:textId="77777777" w:rsidR="00FA2FF9" w:rsidRPr="00730DE4" w:rsidRDefault="00FA2FF9" w:rsidP="00405385">
      <w:pPr>
        <w:rPr>
          <w:lang w:val="en-US"/>
        </w:rPr>
      </w:pPr>
      <w:r w:rsidRPr="00730DE4">
        <w:rPr>
          <w:lang w:val="en-US"/>
        </w:rPr>
        <w:t xml:space="preserve">Of the 32 human rights complaints, eight were determined to involve a breach of the </w:t>
      </w:r>
      <w:r w:rsidRPr="00730DE4">
        <w:rPr>
          <w:rStyle w:val="Emphasis"/>
          <w:lang w:val="en-US"/>
        </w:rPr>
        <w:t>Human Rights Act 2019</w:t>
      </w:r>
      <w:r w:rsidRPr="00730DE4">
        <w:rPr>
          <w:lang w:val="en-US"/>
        </w:rPr>
        <w:t>.</w:t>
      </w:r>
    </w:p>
    <w:p w14:paraId="76E72637" w14:textId="77777777" w:rsidR="00FA2FF9" w:rsidRPr="00730DE4" w:rsidRDefault="00FA2FF9" w:rsidP="00405385">
      <w:pPr>
        <w:rPr>
          <w:lang w:val="en-US"/>
        </w:rPr>
      </w:pPr>
      <w:r w:rsidRPr="00730DE4">
        <w:rPr>
          <w:lang w:val="en-US"/>
        </w:rPr>
        <w:t>Around 40 per cent of complaints responded to in FY 2023–2024 were substantiated. 79 per cent of complaints which were responded to for FY 2023–2024 year met the service standard of 15 business days.</w:t>
      </w:r>
    </w:p>
    <w:p w14:paraId="1CB20CA3" w14:textId="77777777" w:rsidR="00FA2FF9" w:rsidRPr="00730DE4" w:rsidRDefault="00FA2FF9" w:rsidP="007B1B45">
      <w:pPr>
        <w:pStyle w:val="FigureCaption"/>
        <w:rPr>
          <w:lang w:val="en-US"/>
        </w:rPr>
      </w:pPr>
      <w:r w:rsidRPr="00730DE4">
        <w:rPr>
          <w:lang w:val="en-US"/>
        </w:rPr>
        <w:t>Table 44: Complaints received</w:t>
      </w:r>
    </w:p>
    <w:tbl>
      <w:tblPr>
        <w:tblStyle w:val="TMRDefault"/>
        <w:tblW w:w="5000" w:type="pct"/>
        <w:tblLook w:val="04A0" w:firstRow="1" w:lastRow="0" w:firstColumn="1" w:lastColumn="0" w:noHBand="0" w:noVBand="1"/>
      </w:tblPr>
      <w:tblGrid>
        <w:gridCol w:w="1326"/>
        <w:gridCol w:w="3840"/>
        <w:gridCol w:w="3894"/>
      </w:tblGrid>
      <w:tr w:rsidR="00FA2FF9" w:rsidRPr="00730DE4" w14:paraId="6108867C" w14:textId="77777777" w:rsidTr="00730DE4">
        <w:trPr>
          <w:cnfStyle w:val="100000000000" w:firstRow="1" w:lastRow="0" w:firstColumn="0" w:lastColumn="0" w:oddVBand="0" w:evenVBand="0" w:oddHBand="0" w:evenHBand="0" w:firstRowFirstColumn="0" w:firstRowLastColumn="0" w:lastRowFirstColumn="0" w:lastRowLastColumn="0"/>
          <w:trHeight w:val="296"/>
          <w:tblHeader/>
        </w:trPr>
        <w:tc>
          <w:tcPr>
            <w:tcW w:w="731" w:type="pct"/>
          </w:tcPr>
          <w:p w14:paraId="759B780B" w14:textId="77777777" w:rsidR="00FA2FF9" w:rsidRPr="00730DE4" w:rsidRDefault="00FA2FF9" w:rsidP="007B1B45">
            <w:pPr>
              <w:pStyle w:val="NoSpacing"/>
              <w:rPr>
                <w:color w:val="FFFFFF" w:themeColor="background1"/>
                <w:lang w:val="en-US"/>
              </w:rPr>
            </w:pPr>
            <w:r w:rsidRPr="00730DE4">
              <w:rPr>
                <w:color w:val="FFFFFF" w:themeColor="background1"/>
                <w:lang w:val="en-US"/>
              </w:rPr>
              <w:t>Year</w:t>
            </w:r>
          </w:p>
        </w:tc>
        <w:tc>
          <w:tcPr>
            <w:tcW w:w="2119" w:type="pct"/>
          </w:tcPr>
          <w:p w14:paraId="68592BFD" w14:textId="77777777" w:rsidR="00FA2FF9" w:rsidRPr="00730DE4" w:rsidRDefault="00FA2FF9" w:rsidP="00393FD1">
            <w:pPr>
              <w:pStyle w:val="NoSpacing"/>
              <w:jc w:val="right"/>
              <w:rPr>
                <w:color w:val="FFFFFF" w:themeColor="background1"/>
                <w:lang w:val="en-US"/>
              </w:rPr>
            </w:pPr>
            <w:r w:rsidRPr="00730DE4">
              <w:rPr>
                <w:color w:val="FFFFFF" w:themeColor="background1"/>
                <w:lang w:val="en-US"/>
              </w:rPr>
              <w:t>Customer Complaints Volume</w:t>
            </w:r>
          </w:p>
        </w:tc>
        <w:tc>
          <w:tcPr>
            <w:tcW w:w="2149" w:type="pct"/>
          </w:tcPr>
          <w:p w14:paraId="3FF97BA0" w14:textId="77777777" w:rsidR="00FA2FF9" w:rsidRPr="00730DE4" w:rsidRDefault="00FA2FF9" w:rsidP="00393FD1">
            <w:pPr>
              <w:pStyle w:val="NoSpacing"/>
              <w:jc w:val="right"/>
              <w:rPr>
                <w:color w:val="FFFFFF" w:themeColor="background1"/>
                <w:lang w:val="en-US"/>
              </w:rPr>
            </w:pPr>
            <w:r w:rsidRPr="00730DE4">
              <w:rPr>
                <w:color w:val="FFFFFF" w:themeColor="background1"/>
                <w:lang w:val="en-US"/>
              </w:rPr>
              <w:t>Customer Interactions Volume</w:t>
            </w:r>
          </w:p>
        </w:tc>
      </w:tr>
      <w:tr w:rsidR="002D6779" w:rsidRPr="00730DE4" w14:paraId="7EE025B0" w14:textId="77777777" w:rsidTr="00393FD1">
        <w:trPr>
          <w:cnfStyle w:val="000000100000" w:firstRow="0" w:lastRow="0" w:firstColumn="0" w:lastColumn="0" w:oddVBand="0" w:evenVBand="0" w:oddHBand="1" w:evenHBand="0" w:firstRowFirstColumn="0" w:firstRowLastColumn="0" w:lastRowFirstColumn="0" w:lastRowLastColumn="0"/>
          <w:trHeight w:val="296"/>
        </w:trPr>
        <w:tc>
          <w:tcPr>
            <w:tcW w:w="731" w:type="pct"/>
          </w:tcPr>
          <w:p w14:paraId="1F1C2954" w14:textId="77777777" w:rsidR="00FA2FF9" w:rsidRPr="00730DE4" w:rsidRDefault="00FA2FF9" w:rsidP="007B1B45">
            <w:pPr>
              <w:pStyle w:val="NoSpacing"/>
              <w:rPr>
                <w:lang w:val="en-US"/>
              </w:rPr>
            </w:pPr>
            <w:r w:rsidRPr="00730DE4">
              <w:rPr>
                <w:lang w:val="en-US"/>
              </w:rPr>
              <w:t>2018–19</w:t>
            </w:r>
          </w:p>
        </w:tc>
        <w:tc>
          <w:tcPr>
            <w:tcW w:w="2119" w:type="pct"/>
          </w:tcPr>
          <w:p w14:paraId="166A2CAC" w14:textId="77777777" w:rsidR="00FA2FF9" w:rsidRPr="00730DE4" w:rsidRDefault="00FA2FF9" w:rsidP="00393FD1">
            <w:pPr>
              <w:pStyle w:val="NoSpacing"/>
              <w:jc w:val="right"/>
              <w:rPr>
                <w:lang w:val="en-US"/>
              </w:rPr>
            </w:pPr>
            <w:r w:rsidRPr="00730DE4">
              <w:rPr>
                <w:lang w:val="en-US"/>
              </w:rPr>
              <w:t>45,057</w:t>
            </w:r>
          </w:p>
        </w:tc>
        <w:tc>
          <w:tcPr>
            <w:tcW w:w="2149" w:type="pct"/>
          </w:tcPr>
          <w:p w14:paraId="02407BF5" w14:textId="77777777" w:rsidR="00FA2FF9" w:rsidRPr="00730DE4" w:rsidRDefault="00FA2FF9" w:rsidP="00393FD1">
            <w:pPr>
              <w:pStyle w:val="NoSpacing"/>
              <w:jc w:val="right"/>
              <w:rPr>
                <w:lang w:val="en-US"/>
              </w:rPr>
            </w:pPr>
            <w:r w:rsidRPr="00730DE4">
              <w:rPr>
                <w:lang w:val="en-US"/>
              </w:rPr>
              <w:t>16,000,000</w:t>
            </w:r>
          </w:p>
        </w:tc>
      </w:tr>
      <w:tr w:rsidR="00FA2FF9" w:rsidRPr="00730DE4" w14:paraId="4B469691" w14:textId="77777777" w:rsidTr="00393FD1">
        <w:trPr>
          <w:trHeight w:val="144"/>
        </w:trPr>
        <w:tc>
          <w:tcPr>
            <w:tcW w:w="731" w:type="pct"/>
          </w:tcPr>
          <w:p w14:paraId="7812E046" w14:textId="77777777" w:rsidR="00FA2FF9" w:rsidRPr="00730DE4" w:rsidRDefault="00FA2FF9" w:rsidP="007B1B45">
            <w:pPr>
              <w:pStyle w:val="NoSpacing"/>
              <w:rPr>
                <w:lang w:val="en-US"/>
              </w:rPr>
            </w:pPr>
            <w:r w:rsidRPr="00730DE4">
              <w:rPr>
                <w:lang w:val="en-US"/>
              </w:rPr>
              <w:t>2019–20</w:t>
            </w:r>
          </w:p>
        </w:tc>
        <w:tc>
          <w:tcPr>
            <w:tcW w:w="2119" w:type="pct"/>
          </w:tcPr>
          <w:p w14:paraId="0732E0A2" w14:textId="77777777" w:rsidR="00FA2FF9" w:rsidRPr="00730DE4" w:rsidRDefault="00FA2FF9" w:rsidP="00393FD1">
            <w:pPr>
              <w:pStyle w:val="NoSpacing"/>
              <w:jc w:val="right"/>
              <w:rPr>
                <w:lang w:val="en-US"/>
              </w:rPr>
            </w:pPr>
            <w:r w:rsidRPr="00730DE4">
              <w:rPr>
                <w:lang w:val="en-US"/>
              </w:rPr>
              <w:t>35,159</w:t>
            </w:r>
          </w:p>
        </w:tc>
        <w:tc>
          <w:tcPr>
            <w:tcW w:w="2149" w:type="pct"/>
          </w:tcPr>
          <w:p w14:paraId="45E05C6D" w14:textId="77777777" w:rsidR="00FA2FF9" w:rsidRPr="00730DE4" w:rsidRDefault="00FA2FF9" w:rsidP="00393FD1">
            <w:pPr>
              <w:pStyle w:val="NoSpacing"/>
              <w:jc w:val="right"/>
              <w:rPr>
                <w:lang w:val="en-US"/>
              </w:rPr>
            </w:pPr>
            <w:r w:rsidRPr="00730DE4">
              <w:rPr>
                <w:lang w:val="en-US"/>
              </w:rPr>
              <w:t>15,500,000</w:t>
            </w:r>
          </w:p>
        </w:tc>
      </w:tr>
      <w:tr w:rsidR="002D6779" w:rsidRPr="00730DE4" w14:paraId="74AC9626" w14:textId="77777777" w:rsidTr="00393FD1">
        <w:trPr>
          <w:cnfStyle w:val="000000100000" w:firstRow="0" w:lastRow="0" w:firstColumn="0" w:lastColumn="0" w:oddVBand="0" w:evenVBand="0" w:oddHBand="1" w:evenHBand="0" w:firstRowFirstColumn="0" w:firstRowLastColumn="0" w:lastRowFirstColumn="0" w:lastRowLastColumn="0"/>
          <w:trHeight w:val="144"/>
        </w:trPr>
        <w:tc>
          <w:tcPr>
            <w:tcW w:w="731" w:type="pct"/>
          </w:tcPr>
          <w:p w14:paraId="6E0B11C3" w14:textId="77777777" w:rsidR="00FA2FF9" w:rsidRPr="00730DE4" w:rsidRDefault="00FA2FF9" w:rsidP="007B1B45">
            <w:pPr>
              <w:pStyle w:val="NoSpacing"/>
              <w:rPr>
                <w:lang w:val="en-US"/>
              </w:rPr>
            </w:pPr>
            <w:r w:rsidRPr="00730DE4">
              <w:rPr>
                <w:lang w:val="en-US"/>
              </w:rPr>
              <w:t>2020–21</w:t>
            </w:r>
          </w:p>
        </w:tc>
        <w:tc>
          <w:tcPr>
            <w:tcW w:w="2119" w:type="pct"/>
          </w:tcPr>
          <w:p w14:paraId="39B564EB" w14:textId="77777777" w:rsidR="00FA2FF9" w:rsidRPr="00730DE4" w:rsidRDefault="00FA2FF9" w:rsidP="00393FD1">
            <w:pPr>
              <w:pStyle w:val="NoSpacing"/>
              <w:jc w:val="right"/>
              <w:rPr>
                <w:lang w:val="en-US"/>
              </w:rPr>
            </w:pPr>
            <w:r w:rsidRPr="00730DE4">
              <w:rPr>
                <w:lang w:val="en-US"/>
              </w:rPr>
              <w:t>25,853</w:t>
            </w:r>
          </w:p>
        </w:tc>
        <w:tc>
          <w:tcPr>
            <w:tcW w:w="2149" w:type="pct"/>
          </w:tcPr>
          <w:p w14:paraId="7EED679B" w14:textId="77777777" w:rsidR="00FA2FF9" w:rsidRPr="00730DE4" w:rsidRDefault="00FA2FF9" w:rsidP="00393FD1">
            <w:pPr>
              <w:pStyle w:val="NoSpacing"/>
              <w:jc w:val="right"/>
              <w:rPr>
                <w:lang w:val="en-US"/>
              </w:rPr>
            </w:pPr>
            <w:r w:rsidRPr="00730DE4">
              <w:rPr>
                <w:lang w:val="en-US"/>
              </w:rPr>
              <w:t>17,500,000</w:t>
            </w:r>
          </w:p>
        </w:tc>
      </w:tr>
      <w:tr w:rsidR="00FA2FF9" w:rsidRPr="00730DE4" w14:paraId="37D1B74D" w14:textId="77777777" w:rsidTr="00393FD1">
        <w:trPr>
          <w:trHeight w:val="151"/>
        </w:trPr>
        <w:tc>
          <w:tcPr>
            <w:tcW w:w="731" w:type="pct"/>
          </w:tcPr>
          <w:p w14:paraId="1C091EED" w14:textId="77777777" w:rsidR="00FA2FF9" w:rsidRPr="00730DE4" w:rsidRDefault="00FA2FF9" w:rsidP="007B1B45">
            <w:pPr>
              <w:pStyle w:val="NoSpacing"/>
              <w:rPr>
                <w:lang w:val="en-US"/>
              </w:rPr>
            </w:pPr>
            <w:r w:rsidRPr="00730DE4">
              <w:rPr>
                <w:lang w:val="en-US"/>
              </w:rPr>
              <w:t>2021–22</w:t>
            </w:r>
          </w:p>
        </w:tc>
        <w:tc>
          <w:tcPr>
            <w:tcW w:w="2119" w:type="pct"/>
          </w:tcPr>
          <w:p w14:paraId="24F42BF6" w14:textId="77777777" w:rsidR="00FA2FF9" w:rsidRPr="00730DE4" w:rsidRDefault="00FA2FF9" w:rsidP="00393FD1">
            <w:pPr>
              <w:pStyle w:val="NoSpacing"/>
              <w:jc w:val="right"/>
              <w:rPr>
                <w:lang w:val="en-US"/>
              </w:rPr>
            </w:pPr>
            <w:r w:rsidRPr="00730DE4">
              <w:rPr>
                <w:lang w:val="en-US"/>
              </w:rPr>
              <w:t>28,673</w:t>
            </w:r>
          </w:p>
        </w:tc>
        <w:tc>
          <w:tcPr>
            <w:tcW w:w="2149" w:type="pct"/>
          </w:tcPr>
          <w:p w14:paraId="4647493E" w14:textId="77777777" w:rsidR="00FA2FF9" w:rsidRPr="00730DE4" w:rsidRDefault="00FA2FF9" w:rsidP="00393FD1">
            <w:pPr>
              <w:pStyle w:val="NoSpacing"/>
              <w:jc w:val="right"/>
              <w:rPr>
                <w:lang w:val="en-US"/>
              </w:rPr>
            </w:pPr>
            <w:r w:rsidRPr="00730DE4">
              <w:rPr>
                <w:lang w:val="en-US"/>
              </w:rPr>
              <w:t>19,000,000</w:t>
            </w:r>
          </w:p>
        </w:tc>
      </w:tr>
      <w:tr w:rsidR="002D6779" w:rsidRPr="00730DE4" w14:paraId="70A07941" w14:textId="77777777" w:rsidTr="00393FD1">
        <w:trPr>
          <w:cnfStyle w:val="000000100000" w:firstRow="0" w:lastRow="0" w:firstColumn="0" w:lastColumn="0" w:oddVBand="0" w:evenVBand="0" w:oddHBand="1" w:evenHBand="0" w:firstRowFirstColumn="0" w:firstRowLastColumn="0" w:lastRowFirstColumn="0" w:lastRowLastColumn="0"/>
          <w:trHeight w:val="144"/>
        </w:trPr>
        <w:tc>
          <w:tcPr>
            <w:tcW w:w="731" w:type="pct"/>
          </w:tcPr>
          <w:p w14:paraId="0371CE68" w14:textId="77777777" w:rsidR="00FA2FF9" w:rsidRPr="00730DE4" w:rsidRDefault="00FA2FF9" w:rsidP="007B1B45">
            <w:pPr>
              <w:pStyle w:val="NoSpacing"/>
              <w:rPr>
                <w:lang w:val="en-US"/>
              </w:rPr>
            </w:pPr>
            <w:r w:rsidRPr="00730DE4">
              <w:rPr>
                <w:lang w:val="en-US"/>
              </w:rPr>
              <w:t>2022–23</w:t>
            </w:r>
          </w:p>
        </w:tc>
        <w:tc>
          <w:tcPr>
            <w:tcW w:w="2119" w:type="pct"/>
          </w:tcPr>
          <w:p w14:paraId="40081F8F" w14:textId="77777777" w:rsidR="00FA2FF9" w:rsidRPr="00730DE4" w:rsidRDefault="00FA2FF9" w:rsidP="00393FD1">
            <w:pPr>
              <w:pStyle w:val="NoSpacing"/>
              <w:jc w:val="right"/>
              <w:rPr>
                <w:lang w:val="en-US"/>
              </w:rPr>
            </w:pPr>
            <w:r w:rsidRPr="00730DE4">
              <w:rPr>
                <w:lang w:val="en-US"/>
              </w:rPr>
              <w:t>39,670</w:t>
            </w:r>
          </w:p>
        </w:tc>
        <w:tc>
          <w:tcPr>
            <w:tcW w:w="2149" w:type="pct"/>
          </w:tcPr>
          <w:p w14:paraId="12AF7822" w14:textId="77777777" w:rsidR="00FA2FF9" w:rsidRPr="00730DE4" w:rsidRDefault="00FA2FF9" w:rsidP="00393FD1">
            <w:pPr>
              <w:pStyle w:val="NoSpacing"/>
              <w:jc w:val="right"/>
              <w:rPr>
                <w:lang w:val="en-US"/>
              </w:rPr>
            </w:pPr>
            <w:r w:rsidRPr="00730DE4">
              <w:rPr>
                <w:lang w:val="en-US"/>
              </w:rPr>
              <w:t>20,500,000</w:t>
            </w:r>
          </w:p>
        </w:tc>
      </w:tr>
      <w:tr w:rsidR="00FA2FF9" w:rsidRPr="00730DE4" w14:paraId="47A0B675" w14:textId="77777777" w:rsidTr="00393FD1">
        <w:trPr>
          <w:trHeight w:val="151"/>
        </w:trPr>
        <w:tc>
          <w:tcPr>
            <w:tcW w:w="731" w:type="pct"/>
          </w:tcPr>
          <w:p w14:paraId="5758A8B3" w14:textId="77777777" w:rsidR="00FA2FF9" w:rsidRPr="00730DE4" w:rsidRDefault="00FA2FF9" w:rsidP="008F18D7">
            <w:pPr>
              <w:pStyle w:val="NoSpacing"/>
              <w:rPr>
                <w:lang w:val="en-US"/>
              </w:rPr>
            </w:pPr>
            <w:r w:rsidRPr="00730DE4">
              <w:rPr>
                <w:lang w:val="en-US"/>
              </w:rPr>
              <w:t>2023–24</w:t>
            </w:r>
          </w:p>
        </w:tc>
        <w:tc>
          <w:tcPr>
            <w:tcW w:w="2119" w:type="pct"/>
          </w:tcPr>
          <w:p w14:paraId="7F4CBF0E" w14:textId="77777777" w:rsidR="00FA2FF9" w:rsidRPr="00730DE4" w:rsidRDefault="00FA2FF9" w:rsidP="00393FD1">
            <w:pPr>
              <w:pStyle w:val="NoSpacing"/>
              <w:jc w:val="right"/>
              <w:rPr>
                <w:lang w:val="en-US"/>
              </w:rPr>
            </w:pPr>
            <w:r w:rsidRPr="00730DE4">
              <w:rPr>
                <w:lang w:val="en-US"/>
              </w:rPr>
              <w:t>37,053</w:t>
            </w:r>
          </w:p>
        </w:tc>
        <w:tc>
          <w:tcPr>
            <w:tcW w:w="2149" w:type="pct"/>
          </w:tcPr>
          <w:p w14:paraId="3E4A68BB" w14:textId="77777777" w:rsidR="00FA2FF9" w:rsidRPr="00730DE4" w:rsidRDefault="00FA2FF9" w:rsidP="00393FD1">
            <w:pPr>
              <w:pStyle w:val="NoSpacing"/>
              <w:jc w:val="right"/>
              <w:rPr>
                <w:lang w:val="en-US"/>
              </w:rPr>
            </w:pPr>
            <w:r w:rsidRPr="00730DE4">
              <w:rPr>
                <w:lang w:val="en-US"/>
              </w:rPr>
              <w:t>22,500,000</w:t>
            </w:r>
          </w:p>
        </w:tc>
      </w:tr>
    </w:tbl>
    <w:p w14:paraId="7B848F40" w14:textId="77777777" w:rsidR="00FA2FF9" w:rsidRPr="00730DE4" w:rsidRDefault="00FA2FF9" w:rsidP="007B1B45">
      <w:pPr>
        <w:rPr>
          <w:rStyle w:val="Emphasis"/>
        </w:rPr>
      </w:pPr>
      <w:r w:rsidRPr="00730DE4">
        <w:rPr>
          <w:rStyle w:val="Emphasis"/>
        </w:rPr>
        <w:t>Data source: TMR Complaints Management System</w:t>
      </w:r>
    </w:p>
    <w:p w14:paraId="277887E8" w14:textId="77777777" w:rsidR="00FA2FF9" w:rsidRPr="00730DE4" w:rsidRDefault="00FA2FF9" w:rsidP="007B1B45">
      <w:pPr>
        <w:pStyle w:val="MessageHeader"/>
        <w:rPr>
          <w:lang w:val="en-US"/>
        </w:rPr>
      </w:pPr>
      <w:r w:rsidRPr="00730DE4">
        <w:rPr>
          <w:lang w:val="en-US"/>
        </w:rPr>
        <w:t xml:space="preserve">For more information </w:t>
      </w:r>
      <w:r w:rsidRPr="00730DE4">
        <w:rPr>
          <w:lang w:val="en-US"/>
        </w:rPr>
        <w:br/>
      </w:r>
      <w:hyperlink r:id="rId143" w:history="1">
        <w:r w:rsidRPr="00730DE4">
          <w:rPr>
            <w:rStyle w:val="Hyperlink"/>
            <w:lang w:val="en-US"/>
          </w:rPr>
          <w:t>https://www.tmr.qld.gov.au/About-us/Contact-us/Compliments-and-complaints</w:t>
        </w:r>
      </w:hyperlink>
    </w:p>
    <w:p w14:paraId="56029A49" w14:textId="77777777" w:rsidR="00FA2FF9" w:rsidRPr="00730DE4" w:rsidRDefault="00FA2FF9" w:rsidP="002B7001">
      <w:pPr>
        <w:pStyle w:val="Heading3"/>
        <w:rPr>
          <w:lang w:val="en-US"/>
        </w:rPr>
      </w:pPr>
      <w:bookmarkStart w:id="1363" w:name="_Toc180487677"/>
      <w:bookmarkStart w:id="1364" w:name="_Toc180490883"/>
      <w:bookmarkStart w:id="1365" w:name="_Toc180491916"/>
      <w:r w:rsidRPr="00730DE4">
        <w:rPr>
          <w:lang w:val="en-US"/>
        </w:rPr>
        <w:t>Internal Audit</w:t>
      </w:r>
      <w:bookmarkEnd w:id="1363"/>
      <w:bookmarkEnd w:id="1364"/>
      <w:bookmarkEnd w:id="1365"/>
    </w:p>
    <w:p w14:paraId="3CE5B58A" w14:textId="77777777" w:rsidR="00FA2FF9" w:rsidRPr="00730DE4" w:rsidRDefault="00FA2FF9" w:rsidP="00935045">
      <w:pPr>
        <w:spacing w:line="320" w:lineRule="exact"/>
      </w:pPr>
      <w:r w:rsidRPr="00730DE4">
        <w:t xml:space="preserve">Under Section 61 of the </w:t>
      </w:r>
      <w:r w:rsidRPr="00730DE4">
        <w:rPr>
          <w:rStyle w:val="Emphasis"/>
        </w:rPr>
        <w:t>Financial Accountability Act 2009</w:t>
      </w:r>
      <w:r w:rsidRPr="00730DE4">
        <w:t>, accountable officers have a responsibility to ensure the operations of the department are carried out efficiently, effectively, and economically and are to establish and maintain systems of internal controls.</w:t>
      </w:r>
    </w:p>
    <w:p w14:paraId="537252DD" w14:textId="77777777" w:rsidR="00FA2FF9" w:rsidRPr="00730DE4" w:rsidRDefault="00FA2FF9" w:rsidP="00935045">
      <w:pPr>
        <w:spacing w:line="320" w:lineRule="exact"/>
      </w:pPr>
      <w:r w:rsidRPr="00730DE4">
        <w:t>Internal Audit provides an objective review and advisory service to:</w:t>
      </w:r>
    </w:p>
    <w:p w14:paraId="63E1B90E" w14:textId="77777777" w:rsidR="00FA2FF9" w:rsidRPr="00730DE4" w:rsidRDefault="00FA2FF9" w:rsidP="00472895">
      <w:pPr>
        <w:pStyle w:val="ListBullet"/>
      </w:pPr>
      <w:r w:rsidRPr="00730DE4">
        <w:t>deliver objective insights on risks, controls, assurance, and compliance outcomes throughout TMR</w:t>
      </w:r>
    </w:p>
    <w:p w14:paraId="658546F1" w14:textId="77777777" w:rsidR="00FA2FF9" w:rsidRPr="00730DE4" w:rsidRDefault="00FA2FF9" w:rsidP="00472895">
      <w:pPr>
        <w:pStyle w:val="ListBullet"/>
      </w:pPr>
      <w:r w:rsidRPr="00730DE4">
        <w:t>provide assurance to the Senior Leadership Team and the ARC that TMR's operational and financial controls are designed to manage the organisation’s risks and are operating in an efficient, effective, and ethical manner</w:t>
      </w:r>
    </w:p>
    <w:p w14:paraId="44FF8B3B" w14:textId="77777777" w:rsidR="00FA2FF9" w:rsidRPr="00730DE4" w:rsidRDefault="00FA2FF9" w:rsidP="00472895">
      <w:pPr>
        <w:pStyle w:val="ListBullet"/>
      </w:pPr>
      <w:r w:rsidRPr="00730DE4">
        <w:t>bring external expertise, innovation, and perspectives to assist TMR in achieving its objectives and enhance its performance</w:t>
      </w:r>
    </w:p>
    <w:p w14:paraId="1A8D1DB1" w14:textId="77777777" w:rsidR="00FA2FF9" w:rsidRPr="00730DE4" w:rsidRDefault="00FA2FF9" w:rsidP="00472895">
      <w:pPr>
        <w:pStyle w:val="ListBullet"/>
      </w:pPr>
      <w:r w:rsidRPr="00730DE4">
        <w:t>support the ARC in acquitting its role and responsibilities.</w:t>
      </w:r>
    </w:p>
    <w:p w14:paraId="32B8DF2D" w14:textId="77777777" w:rsidR="00FA2FF9" w:rsidRPr="00730DE4" w:rsidRDefault="00FA2FF9" w:rsidP="00935045">
      <w:pPr>
        <w:spacing w:line="320" w:lineRule="exact"/>
      </w:pPr>
      <w:r w:rsidRPr="00730DE4">
        <w:t>Internal Audit is a key component of TMR's corporate governance structure. The function operates under a charter, which complies with the Institute of Internal Auditors' international standards and is approved by TMR's Director-General.</w:t>
      </w:r>
    </w:p>
    <w:p w14:paraId="79568CF2" w14:textId="77777777" w:rsidR="00FA2FF9" w:rsidRPr="00730DE4" w:rsidRDefault="00FA2FF9" w:rsidP="00935045">
      <w:pPr>
        <w:spacing w:line="320" w:lineRule="exact"/>
      </w:pPr>
      <w:bookmarkStart w:id="1366" w:name="_Hlk171092726"/>
      <w:r w:rsidRPr="00730DE4">
        <w:t>The Chief Auditor is directly accountable to the Director-General for leading an effective and efficient Internal Audit function. The Chief Auditor reports regularly to the ARC which is responsible for reviewing the outputs of the function.</w:t>
      </w:r>
    </w:p>
    <w:bookmarkEnd w:id="1366"/>
    <w:p w14:paraId="086A2AAF" w14:textId="77777777" w:rsidR="00FA2FF9" w:rsidRPr="00730DE4" w:rsidRDefault="00FA2FF9" w:rsidP="00935045">
      <w:pPr>
        <w:spacing w:line="320" w:lineRule="exact"/>
      </w:pPr>
      <w:r w:rsidRPr="00730DE4">
        <w:t>Internal Audit performs its function through its approved Annual Audit Plan (AAP), developed through consultation with the department’s senior executives, leadership groups, external ARC members, and Queensland Audit Office (QAO). Internal analysis of the department’s strategic objectives, operational risks, and emerging issues from across the public and private sectors are also built into the Annual Audit Plan.</w:t>
      </w:r>
    </w:p>
    <w:p w14:paraId="6BF43E55" w14:textId="77777777" w:rsidR="00FA2FF9" w:rsidRPr="00730DE4" w:rsidRDefault="00FA2FF9" w:rsidP="00935045">
      <w:pPr>
        <w:spacing w:line="320" w:lineRule="exact"/>
      </w:pPr>
      <w:bookmarkStart w:id="1367" w:name="_Hlk171092665"/>
      <w:r w:rsidRPr="00730DE4">
        <w:t xml:space="preserve">During 2023–24, Internal Audit delivered 34 internal audit reviews and five advisory engagements, followed-up on open audit recommendations, provided independent advice on a variety of project committees, and provided ad-hoc advice to managers on a range of issues. </w:t>
      </w:r>
      <w:bookmarkEnd w:id="1367"/>
      <w:r w:rsidRPr="00730DE4">
        <w:t>Some of the key initiatives included:</w:t>
      </w:r>
    </w:p>
    <w:p w14:paraId="14083D04" w14:textId="77777777" w:rsidR="00FA2FF9" w:rsidRPr="00730DE4" w:rsidRDefault="00FA2FF9" w:rsidP="00472895">
      <w:pPr>
        <w:pStyle w:val="ListBullet"/>
      </w:pPr>
      <w:r w:rsidRPr="00730DE4">
        <w:rPr>
          <w:lang w:val="en-US"/>
        </w:rPr>
        <w:t>updated Risk Assurance Maps for branches across the department</w:t>
      </w:r>
    </w:p>
    <w:p w14:paraId="1B1978EE" w14:textId="77777777" w:rsidR="00FA2FF9" w:rsidRPr="00730DE4" w:rsidRDefault="00FA2FF9" w:rsidP="00472895">
      <w:pPr>
        <w:pStyle w:val="ListBullet"/>
      </w:pPr>
      <w:r w:rsidRPr="00730DE4">
        <w:rPr>
          <w:lang w:val="en-US"/>
        </w:rPr>
        <w:t>upskilling the second lines of defence in core assurance skills and internal audit methodology by providing training and assistance across branches to complete a Control Self Assessment (CSA)</w:t>
      </w:r>
    </w:p>
    <w:p w14:paraId="3B40F7F6" w14:textId="77777777" w:rsidR="00FA2FF9" w:rsidRPr="00730DE4" w:rsidRDefault="00FA2FF9" w:rsidP="00472895">
      <w:pPr>
        <w:pStyle w:val="ListBullet"/>
      </w:pPr>
      <w:r w:rsidRPr="00730DE4">
        <w:rPr>
          <w:lang w:val="en-US"/>
        </w:rPr>
        <w:t>documenting and publishing the Continuous Control Monitoring framework on the Internal Audit intranet site</w:t>
      </w:r>
    </w:p>
    <w:p w14:paraId="4675665E" w14:textId="77777777" w:rsidR="00FA2FF9" w:rsidRPr="00730DE4" w:rsidRDefault="00FA2FF9" w:rsidP="00472895">
      <w:pPr>
        <w:pStyle w:val="ListBullet"/>
      </w:pPr>
      <w:r w:rsidRPr="00730DE4">
        <w:rPr>
          <w:lang w:val="en-US"/>
        </w:rPr>
        <w:t>providing direct access to first line of defence control owners and operators to self-serve dashboards, themes, trends, tools, and techniques for core assurance services.</w:t>
      </w:r>
    </w:p>
    <w:p w14:paraId="20E5015D" w14:textId="77777777" w:rsidR="00FA2FF9" w:rsidRPr="00730DE4" w:rsidRDefault="00FA2FF9" w:rsidP="002B7001">
      <w:pPr>
        <w:pStyle w:val="Heading3"/>
      </w:pPr>
      <w:bookmarkStart w:id="1368" w:name="_Toc180487678"/>
      <w:bookmarkStart w:id="1369" w:name="_Toc180490884"/>
      <w:bookmarkStart w:id="1370" w:name="_Toc180491917"/>
      <w:r w:rsidRPr="00730DE4">
        <w:t>Suppliers and procurement</w:t>
      </w:r>
      <w:bookmarkEnd w:id="1368"/>
      <w:bookmarkEnd w:id="1369"/>
      <w:bookmarkEnd w:id="1370"/>
    </w:p>
    <w:p w14:paraId="0C71FEC4" w14:textId="77777777" w:rsidR="00FA2FF9" w:rsidRPr="00730DE4" w:rsidRDefault="00FA2FF9" w:rsidP="007B1B45">
      <w:r w:rsidRPr="00730DE4">
        <w:t>In 2023–24, TMR reaffirmed its commitment to delivering social, environmental, and economic outcomes through the Queensland Government's Buy Queensland approach to support quality local jobs, boost the Queensland economy, and leave a legacy for current and future generations of Queenslanders.</w:t>
      </w:r>
    </w:p>
    <w:p w14:paraId="0C475E9A" w14:textId="77777777" w:rsidR="00FA2FF9" w:rsidRPr="00730DE4" w:rsidRDefault="00FA2FF9" w:rsidP="007B1B45">
      <w:r w:rsidRPr="00730DE4">
        <w:t xml:space="preserve">To deliver its program in 2023–24, TMR leveraged it’s $11 billion procurement spend and the </w:t>
      </w:r>
      <w:r w:rsidRPr="00730DE4">
        <w:rPr>
          <w:rStyle w:val="Emphasis"/>
        </w:rPr>
        <w:t>Queensland Procurement Policy</w:t>
      </w:r>
      <w:r w:rsidRPr="00730DE4">
        <w:t xml:space="preserve"> and </w:t>
      </w:r>
      <w:r w:rsidRPr="00730DE4">
        <w:rPr>
          <w:rStyle w:val="Emphasis"/>
        </w:rPr>
        <w:t>Queensland Indigenous Procurement Policy</w:t>
      </w:r>
      <w:r w:rsidRPr="00730DE4">
        <w:t xml:space="preserve"> to drive a range of local, social, and innovative procurement objectives that create opportunities for local, regional, and Queensland suppliers.</w:t>
      </w:r>
    </w:p>
    <w:p w14:paraId="2904F2AB" w14:textId="77777777" w:rsidR="00FA2FF9" w:rsidRPr="00730DE4" w:rsidRDefault="00FA2FF9" w:rsidP="000A1FFD">
      <w:pPr>
        <w:pStyle w:val="FigureCaption"/>
        <w:rPr>
          <w:b w:val="0"/>
          <w:bCs w:val="0"/>
          <w:color w:val="18242E" w:themeColor="text1" w:themeTint="E6"/>
          <w:sz w:val="24"/>
        </w:rPr>
      </w:pPr>
      <w:r w:rsidRPr="00730DE4">
        <w:rPr>
          <w:b w:val="0"/>
          <w:bCs w:val="0"/>
          <w:color w:val="18242E" w:themeColor="text1" w:themeTint="E6"/>
          <w:sz w:val="24"/>
        </w:rPr>
        <w:t>In 2023–24, TMR awarded over 90 per cent of contracts to Queensland suppliers and increased spend with Aboriginal and Torres Strait Islander businesses by $11 million, or 23 per cent.</w:t>
      </w:r>
    </w:p>
    <w:p w14:paraId="3DDE50DB" w14:textId="77777777" w:rsidR="00FA2FF9" w:rsidRPr="00730DE4" w:rsidRDefault="00FA2FF9" w:rsidP="000A1FFD">
      <w:pPr>
        <w:pStyle w:val="FigureCaption"/>
        <w:rPr>
          <w:b w:val="0"/>
          <w:bCs w:val="0"/>
          <w:color w:val="18242E" w:themeColor="text1" w:themeTint="E6"/>
          <w:sz w:val="24"/>
        </w:rPr>
      </w:pPr>
      <w:r w:rsidRPr="00730DE4">
        <w:rPr>
          <w:b w:val="0"/>
          <w:bCs w:val="0"/>
          <w:color w:val="18242E" w:themeColor="text1" w:themeTint="E6"/>
          <w:sz w:val="24"/>
        </w:rPr>
        <w:t>TMR also awarded 2427 contracts to Queensland-based suppliers, injecting $3.5 billion directly into the state's economy. Goods and services were purchased from 2786 suppliers in regional areas, contributing more than $2.66 billion directly to those local regions, in addition to $58.9 million going directly to Aboriginal and Torres Strait Islander businesses.</w:t>
      </w:r>
    </w:p>
    <w:p w14:paraId="14D0A705" w14:textId="77777777" w:rsidR="00FA2FF9" w:rsidRPr="00730DE4" w:rsidRDefault="00FA2FF9" w:rsidP="000A1FFD">
      <w:pPr>
        <w:pStyle w:val="FigureCaption"/>
      </w:pPr>
      <w:r w:rsidRPr="00730DE4">
        <w:t>Table 45: TMR addressable procurement spend with Aboriginal, Torres Strait Islander regional, and Queensland vendors by financial year</w:t>
      </w:r>
    </w:p>
    <w:tbl>
      <w:tblPr>
        <w:tblStyle w:val="TMRDefault"/>
        <w:tblW w:w="5000" w:type="pct"/>
        <w:tblLook w:val="04A0" w:firstRow="1" w:lastRow="0" w:firstColumn="1" w:lastColumn="0" w:noHBand="0" w:noVBand="1"/>
      </w:tblPr>
      <w:tblGrid>
        <w:gridCol w:w="2053"/>
        <w:gridCol w:w="2285"/>
        <w:gridCol w:w="2285"/>
        <w:gridCol w:w="2437"/>
      </w:tblGrid>
      <w:tr w:rsidR="002D6779" w:rsidRPr="00730DE4" w14:paraId="44E543E2" w14:textId="77777777" w:rsidTr="00730DE4">
        <w:trPr>
          <w:cnfStyle w:val="100000000000" w:firstRow="1" w:lastRow="0" w:firstColumn="0" w:lastColumn="0" w:oddVBand="0" w:evenVBand="0" w:oddHBand="0" w:evenHBand="0" w:firstRowFirstColumn="0" w:firstRowLastColumn="0" w:lastRowFirstColumn="0" w:lastRowLastColumn="0"/>
          <w:tblHeader/>
        </w:trPr>
        <w:tc>
          <w:tcPr>
            <w:tcW w:w="1133" w:type="pct"/>
          </w:tcPr>
          <w:p w14:paraId="23A42CE8" w14:textId="77777777" w:rsidR="00FA2FF9" w:rsidRPr="00730DE4" w:rsidRDefault="00FA2FF9" w:rsidP="007B1B45">
            <w:pPr>
              <w:pStyle w:val="NoSpacing"/>
              <w:rPr>
                <w:color w:val="FFFFFF" w:themeColor="background1"/>
              </w:rPr>
            </w:pPr>
          </w:p>
        </w:tc>
        <w:tc>
          <w:tcPr>
            <w:tcW w:w="1261" w:type="pct"/>
          </w:tcPr>
          <w:p w14:paraId="6C5B7BB2" w14:textId="77777777" w:rsidR="00FA2FF9" w:rsidRPr="00730DE4" w:rsidRDefault="00FA2FF9" w:rsidP="007B1B45">
            <w:pPr>
              <w:pStyle w:val="NoSpacing"/>
              <w:rPr>
                <w:color w:val="FFFFFF" w:themeColor="background1"/>
              </w:rPr>
            </w:pPr>
            <w:r w:rsidRPr="00730DE4">
              <w:rPr>
                <w:color w:val="FFFFFF" w:themeColor="background1"/>
              </w:rPr>
              <w:t>2021–22</w:t>
            </w:r>
          </w:p>
        </w:tc>
        <w:tc>
          <w:tcPr>
            <w:tcW w:w="1261" w:type="pct"/>
          </w:tcPr>
          <w:p w14:paraId="0CA55D71" w14:textId="77777777" w:rsidR="00FA2FF9" w:rsidRPr="00730DE4" w:rsidRDefault="00FA2FF9" w:rsidP="007B1B45">
            <w:pPr>
              <w:pStyle w:val="NoSpacing"/>
              <w:rPr>
                <w:color w:val="FFFFFF" w:themeColor="background1"/>
              </w:rPr>
            </w:pPr>
            <w:r w:rsidRPr="00730DE4">
              <w:rPr>
                <w:color w:val="FFFFFF" w:themeColor="background1"/>
              </w:rPr>
              <w:t>2022–23</w:t>
            </w:r>
          </w:p>
        </w:tc>
        <w:tc>
          <w:tcPr>
            <w:tcW w:w="1345" w:type="pct"/>
          </w:tcPr>
          <w:p w14:paraId="3EFE829B" w14:textId="77777777" w:rsidR="00FA2FF9" w:rsidRPr="00730DE4" w:rsidRDefault="00FA2FF9" w:rsidP="007B1B45">
            <w:pPr>
              <w:pStyle w:val="NoSpacing"/>
              <w:rPr>
                <w:color w:val="FFFFFF" w:themeColor="background1"/>
              </w:rPr>
            </w:pPr>
            <w:r w:rsidRPr="00730DE4">
              <w:rPr>
                <w:color w:val="FFFFFF" w:themeColor="background1"/>
              </w:rPr>
              <w:t>2023–24</w:t>
            </w:r>
          </w:p>
        </w:tc>
      </w:tr>
      <w:tr w:rsidR="000A65A9" w:rsidRPr="00730DE4" w14:paraId="10236801" w14:textId="77777777" w:rsidTr="004634F1">
        <w:trPr>
          <w:cnfStyle w:val="000000100000" w:firstRow="0" w:lastRow="0" w:firstColumn="0" w:lastColumn="0" w:oddVBand="0" w:evenVBand="0" w:oddHBand="1" w:evenHBand="0" w:firstRowFirstColumn="0" w:firstRowLastColumn="0" w:lastRowFirstColumn="0" w:lastRowLastColumn="0"/>
        </w:trPr>
        <w:tc>
          <w:tcPr>
            <w:tcW w:w="1133" w:type="pct"/>
          </w:tcPr>
          <w:p w14:paraId="2A6A0B32" w14:textId="77777777" w:rsidR="00FA2FF9" w:rsidRPr="00730DE4" w:rsidRDefault="00FA2FF9" w:rsidP="004634F1">
            <w:pPr>
              <w:pStyle w:val="NoSpacing"/>
            </w:pPr>
            <w:r w:rsidRPr="00730DE4">
              <w:t>First Nations</w:t>
            </w:r>
          </w:p>
        </w:tc>
        <w:tc>
          <w:tcPr>
            <w:tcW w:w="1261" w:type="pct"/>
          </w:tcPr>
          <w:p w14:paraId="413C4BB0" w14:textId="77777777" w:rsidR="00FA2FF9" w:rsidRPr="00730DE4" w:rsidRDefault="00FA2FF9" w:rsidP="004634F1">
            <w:pPr>
              <w:pStyle w:val="NoSpacing"/>
            </w:pPr>
            <w:r w:rsidRPr="00730DE4">
              <w:t>$51,402,940</w:t>
            </w:r>
          </w:p>
        </w:tc>
        <w:tc>
          <w:tcPr>
            <w:tcW w:w="1261" w:type="pct"/>
          </w:tcPr>
          <w:p w14:paraId="41308690" w14:textId="77777777" w:rsidR="00FA2FF9" w:rsidRPr="00730DE4" w:rsidRDefault="00FA2FF9" w:rsidP="004634F1">
            <w:pPr>
              <w:pStyle w:val="NoSpacing"/>
            </w:pPr>
            <w:r w:rsidRPr="00730DE4">
              <w:t>$47,907,007</w:t>
            </w:r>
          </w:p>
        </w:tc>
        <w:tc>
          <w:tcPr>
            <w:tcW w:w="1345" w:type="pct"/>
          </w:tcPr>
          <w:p w14:paraId="7DA7242A" w14:textId="77777777" w:rsidR="00FA2FF9" w:rsidRPr="00730DE4" w:rsidRDefault="00FA2FF9" w:rsidP="004634F1">
            <w:pPr>
              <w:pStyle w:val="NoSpacing"/>
            </w:pPr>
            <w:r w:rsidRPr="00730DE4">
              <w:t>$58,976,104</w:t>
            </w:r>
          </w:p>
        </w:tc>
      </w:tr>
      <w:tr w:rsidR="00FA2FF9" w:rsidRPr="00730DE4" w14:paraId="64949FF3" w14:textId="77777777" w:rsidTr="004634F1">
        <w:tc>
          <w:tcPr>
            <w:tcW w:w="1133" w:type="pct"/>
          </w:tcPr>
          <w:p w14:paraId="3959B4DF" w14:textId="77777777" w:rsidR="00FA2FF9" w:rsidRPr="00730DE4" w:rsidRDefault="00FA2FF9" w:rsidP="004634F1">
            <w:pPr>
              <w:pStyle w:val="NoSpacing"/>
            </w:pPr>
            <w:r w:rsidRPr="00730DE4">
              <w:t>Regional</w:t>
            </w:r>
          </w:p>
        </w:tc>
        <w:tc>
          <w:tcPr>
            <w:tcW w:w="1261" w:type="pct"/>
          </w:tcPr>
          <w:p w14:paraId="417CA5EE" w14:textId="77777777" w:rsidR="00FA2FF9" w:rsidRPr="00730DE4" w:rsidRDefault="00FA2FF9" w:rsidP="004634F1">
            <w:pPr>
              <w:pStyle w:val="NoSpacing"/>
            </w:pPr>
            <w:r w:rsidRPr="00730DE4">
              <w:t>$2,367,306,824</w:t>
            </w:r>
          </w:p>
        </w:tc>
        <w:tc>
          <w:tcPr>
            <w:tcW w:w="1261" w:type="pct"/>
          </w:tcPr>
          <w:p w14:paraId="65F669E9" w14:textId="77777777" w:rsidR="00FA2FF9" w:rsidRPr="00730DE4" w:rsidRDefault="00FA2FF9" w:rsidP="004634F1">
            <w:pPr>
              <w:pStyle w:val="NoSpacing"/>
            </w:pPr>
            <w:r w:rsidRPr="00730DE4">
              <w:t>$2,655,880,371</w:t>
            </w:r>
          </w:p>
        </w:tc>
        <w:tc>
          <w:tcPr>
            <w:tcW w:w="1345" w:type="pct"/>
          </w:tcPr>
          <w:p w14:paraId="3949F04E" w14:textId="77777777" w:rsidR="00FA2FF9" w:rsidRPr="00730DE4" w:rsidRDefault="00FA2FF9" w:rsidP="004634F1">
            <w:pPr>
              <w:pStyle w:val="NoSpacing"/>
            </w:pPr>
            <w:r w:rsidRPr="00730DE4">
              <w:t>$2,657,685,844</w:t>
            </w:r>
          </w:p>
        </w:tc>
      </w:tr>
      <w:tr w:rsidR="000A65A9" w:rsidRPr="00730DE4" w14:paraId="2F8BE369" w14:textId="77777777" w:rsidTr="004634F1">
        <w:trPr>
          <w:cnfStyle w:val="000000100000" w:firstRow="0" w:lastRow="0" w:firstColumn="0" w:lastColumn="0" w:oddVBand="0" w:evenVBand="0" w:oddHBand="1" w:evenHBand="0" w:firstRowFirstColumn="0" w:firstRowLastColumn="0" w:lastRowFirstColumn="0" w:lastRowLastColumn="0"/>
        </w:trPr>
        <w:tc>
          <w:tcPr>
            <w:tcW w:w="1133" w:type="pct"/>
            <w:tcBorders>
              <w:bottom w:val="double" w:sz="4" w:space="0" w:color="auto"/>
            </w:tcBorders>
          </w:tcPr>
          <w:p w14:paraId="34C90F49" w14:textId="77777777" w:rsidR="00FA2FF9" w:rsidRPr="00730DE4" w:rsidRDefault="00FA2FF9" w:rsidP="004634F1">
            <w:pPr>
              <w:pStyle w:val="NoSpacing"/>
            </w:pPr>
            <w:r w:rsidRPr="00730DE4">
              <w:t>Queensland</w:t>
            </w:r>
          </w:p>
        </w:tc>
        <w:tc>
          <w:tcPr>
            <w:tcW w:w="1261" w:type="pct"/>
            <w:tcBorders>
              <w:bottom w:val="double" w:sz="4" w:space="0" w:color="auto"/>
            </w:tcBorders>
          </w:tcPr>
          <w:p w14:paraId="205C2D7A" w14:textId="77777777" w:rsidR="00FA2FF9" w:rsidRPr="00730DE4" w:rsidRDefault="00FA2FF9" w:rsidP="004634F1">
            <w:pPr>
              <w:pStyle w:val="NoSpacing"/>
            </w:pPr>
            <w:r w:rsidRPr="00730DE4">
              <w:t>$7,786,082,694</w:t>
            </w:r>
          </w:p>
        </w:tc>
        <w:tc>
          <w:tcPr>
            <w:tcW w:w="1261" w:type="pct"/>
            <w:tcBorders>
              <w:bottom w:val="double" w:sz="4" w:space="0" w:color="auto"/>
            </w:tcBorders>
          </w:tcPr>
          <w:p w14:paraId="0B495F84" w14:textId="77777777" w:rsidR="00FA2FF9" w:rsidRPr="00730DE4" w:rsidRDefault="00FA2FF9" w:rsidP="004634F1">
            <w:pPr>
              <w:pStyle w:val="NoSpacing"/>
            </w:pPr>
            <w:r w:rsidRPr="00730DE4">
              <w:t>$8,804,593,947</w:t>
            </w:r>
          </w:p>
        </w:tc>
        <w:tc>
          <w:tcPr>
            <w:tcW w:w="1345" w:type="pct"/>
            <w:tcBorders>
              <w:bottom w:val="double" w:sz="4" w:space="0" w:color="auto"/>
            </w:tcBorders>
          </w:tcPr>
          <w:p w14:paraId="18E1F54A" w14:textId="77777777" w:rsidR="00FA2FF9" w:rsidRPr="00730DE4" w:rsidRDefault="00FA2FF9" w:rsidP="004634F1">
            <w:pPr>
              <w:pStyle w:val="NoSpacing"/>
            </w:pPr>
            <w:r w:rsidRPr="00730DE4">
              <w:t>$9,170,474,061</w:t>
            </w:r>
          </w:p>
        </w:tc>
      </w:tr>
      <w:tr w:rsidR="00FA2FF9" w:rsidRPr="00730DE4" w14:paraId="67E0AE24" w14:textId="77777777" w:rsidTr="004634F1">
        <w:tc>
          <w:tcPr>
            <w:tcW w:w="1133" w:type="pct"/>
            <w:tcBorders>
              <w:top w:val="double" w:sz="4" w:space="0" w:color="auto"/>
            </w:tcBorders>
          </w:tcPr>
          <w:p w14:paraId="24A01095" w14:textId="77777777" w:rsidR="00FA2FF9" w:rsidRPr="00730DE4" w:rsidRDefault="00FA2FF9" w:rsidP="004634F1">
            <w:pPr>
              <w:pStyle w:val="NoSpacing"/>
              <w:rPr>
                <w:rStyle w:val="Strong"/>
              </w:rPr>
            </w:pPr>
            <w:r w:rsidRPr="00730DE4">
              <w:rPr>
                <w:rStyle w:val="Strong"/>
              </w:rPr>
              <w:t>Total spend</w:t>
            </w:r>
          </w:p>
        </w:tc>
        <w:tc>
          <w:tcPr>
            <w:tcW w:w="1261" w:type="pct"/>
            <w:tcBorders>
              <w:top w:val="double" w:sz="4" w:space="0" w:color="auto"/>
            </w:tcBorders>
          </w:tcPr>
          <w:p w14:paraId="2BA8EB03" w14:textId="77777777" w:rsidR="00FA2FF9" w:rsidRPr="00730DE4" w:rsidRDefault="00FA2FF9" w:rsidP="004634F1">
            <w:pPr>
              <w:pStyle w:val="NoSpacing"/>
              <w:rPr>
                <w:rStyle w:val="Strong"/>
              </w:rPr>
            </w:pPr>
            <w:r w:rsidRPr="00730DE4">
              <w:rPr>
                <w:rStyle w:val="Strong"/>
              </w:rPr>
              <w:t>$8,745,468,369</w:t>
            </w:r>
          </w:p>
        </w:tc>
        <w:tc>
          <w:tcPr>
            <w:tcW w:w="1261" w:type="pct"/>
            <w:tcBorders>
              <w:top w:val="double" w:sz="4" w:space="0" w:color="auto"/>
            </w:tcBorders>
          </w:tcPr>
          <w:p w14:paraId="0A4CA57D" w14:textId="77777777" w:rsidR="00FA2FF9" w:rsidRPr="00730DE4" w:rsidRDefault="00FA2FF9" w:rsidP="004634F1">
            <w:pPr>
              <w:pStyle w:val="NoSpacing"/>
              <w:rPr>
                <w:rStyle w:val="Strong"/>
              </w:rPr>
            </w:pPr>
            <w:r w:rsidRPr="00730DE4">
              <w:rPr>
                <w:rStyle w:val="Strong"/>
              </w:rPr>
              <w:t>$9,859,671,441</w:t>
            </w:r>
          </w:p>
        </w:tc>
        <w:tc>
          <w:tcPr>
            <w:tcW w:w="1345" w:type="pct"/>
            <w:tcBorders>
              <w:top w:val="double" w:sz="4" w:space="0" w:color="auto"/>
            </w:tcBorders>
          </w:tcPr>
          <w:p w14:paraId="39756641" w14:textId="77777777" w:rsidR="00FA2FF9" w:rsidRPr="00730DE4" w:rsidRDefault="00FA2FF9" w:rsidP="004634F1">
            <w:pPr>
              <w:pStyle w:val="NoSpacing"/>
              <w:rPr>
                <w:rStyle w:val="Strong"/>
                <w:b w:val="0"/>
                <w:bCs w:val="0"/>
              </w:rPr>
            </w:pPr>
            <w:r w:rsidRPr="00730DE4">
              <w:rPr>
                <w:b/>
                <w:bCs/>
              </w:rPr>
              <w:t>$11,115,072,668</w:t>
            </w:r>
          </w:p>
        </w:tc>
      </w:tr>
      <w:tr w:rsidR="000A65A9" w:rsidRPr="00730DE4" w14:paraId="3904A28B" w14:textId="77777777" w:rsidTr="004634F1">
        <w:trPr>
          <w:cnfStyle w:val="000000100000" w:firstRow="0" w:lastRow="0" w:firstColumn="0" w:lastColumn="0" w:oddVBand="0" w:evenVBand="0" w:oddHBand="1" w:evenHBand="0" w:firstRowFirstColumn="0" w:firstRowLastColumn="0" w:lastRowFirstColumn="0" w:lastRowLastColumn="0"/>
        </w:trPr>
        <w:tc>
          <w:tcPr>
            <w:tcW w:w="1133" w:type="pct"/>
          </w:tcPr>
          <w:p w14:paraId="318595D0" w14:textId="77777777" w:rsidR="00FA2FF9" w:rsidRPr="00730DE4" w:rsidRDefault="00FA2FF9" w:rsidP="007B1B45">
            <w:pPr>
              <w:pStyle w:val="NoSpacing"/>
              <w:rPr>
                <w:rStyle w:val="Strong"/>
              </w:rPr>
            </w:pPr>
            <w:r w:rsidRPr="00730DE4">
              <w:rPr>
                <w:rStyle w:val="Strong"/>
              </w:rPr>
              <w:t>Regional spend as a per cent</w:t>
            </w:r>
          </w:p>
        </w:tc>
        <w:tc>
          <w:tcPr>
            <w:tcW w:w="1261" w:type="pct"/>
          </w:tcPr>
          <w:p w14:paraId="6CD11444" w14:textId="77777777" w:rsidR="00FA2FF9" w:rsidRPr="00730DE4" w:rsidRDefault="00FA2FF9" w:rsidP="007B1B45">
            <w:pPr>
              <w:pStyle w:val="NoSpacing"/>
              <w:rPr>
                <w:rStyle w:val="Strong"/>
              </w:rPr>
            </w:pPr>
            <w:r w:rsidRPr="00730DE4">
              <w:rPr>
                <w:rStyle w:val="Strong"/>
              </w:rPr>
              <w:t>27.07 per cent</w:t>
            </w:r>
          </w:p>
        </w:tc>
        <w:tc>
          <w:tcPr>
            <w:tcW w:w="1261" w:type="pct"/>
          </w:tcPr>
          <w:p w14:paraId="2C036E63" w14:textId="77777777" w:rsidR="00FA2FF9" w:rsidRPr="00730DE4" w:rsidRDefault="00FA2FF9" w:rsidP="007B1B45">
            <w:pPr>
              <w:pStyle w:val="NoSpacing"/>
              <w:rPr>
                <w:rStyle w:val="Strong"/>
              </w:rPr>
            </w:pPr>
            <w:r w:rsidRPr="00730DE4">
              <w:rPr>
                <w:rStyle w:val="Strong"/>
              </w:rPr>
              <w:t>26.94 per cent</w:t>
            </w:r>
          </w:p>
        </w:tc>
        <w:tc>
          <w:tcPr>
            <w:tcW w:w="1345" w:type="pct"/>
          </w:tcPr>
          <w:p w14:paraId="1AAEA535" w14:textId="77777777" w:rsidR="00FA2FF9" w:rsidRPr="00730DE4" w:rsidRDefault="00FA2FF9" w:rsidP="007B1B45">
            <w:pPr>
              <w:pStyle w:val="NoSpacing"/>
              <w:rPr>
                <w:rStyle w:val="Strong"/>
              </w:rPr>
            </w:pPr>
            <w:r w:rsidRPr="00730DE4">
              <w:rPr>
                <w:rStyle w:val="Strong"/>
              </w:rPr>
              <w:t>24 per cent</w:t>
            </w:r>
          </w:p>
        </w:tc>
      </w:tr>
    </w:tbl>
    <w:p w14:paraId="01DC827F" w14:textId="77777777" w:rsidR="00FA2FF9" w:rsidRPr="00730DE4" w:rsidRDefault="00FA2FF9" w:rsidP="007B1B45">
      <w:pPr>
        <w:pStyle w:val="Caption"/>
      </w:pPr>
      <w:r w:rsidRPr="00730DE4">
        <w:t>Data source: Aboriginal and Torres Strait Islander vendor list supplied by the Department of Treaty, Aboriginal and Torres Strait Islander Partnerships, Communities and the Arts. Regional and Queensland vendors identified by applying SAP Vendor Master Data.</w:t>
      </w:r>
    </w:p>
    <w:p w14:paraId="0386E701" w14:textId="77777777" w:rsidR="00FA2FF9" w:rsidRPr="00730DE4" w:rsidRDefault="00FA2FF9" w:rsidP="007B1B45">
      <w:pPr>
        <w:pStyle w:val="Caption"/>
      </w:pPr>
      <w:r w:rsidRPr="00730DE4">
        <w:t>Spend data sourced from TMR's Spend Cube.</w:t>
      </w:r>
    </w:p>
    <w:p w14:paraId="6958D2ED" w14:textId="77777777" w:rsidR="00FA2FF9" w:rsidRPr="00730DE4" w:rsidRDefault="00FA2FF9" w:rsidP="002B7001">
      <w:pPr>
        <w:pStyle w:val="Heading3"/>
        <w:rPr>
          <w:lang w:val="en-US"/>
        </w:rPr>
      </w:pPr>
      <w:bookmarkStart w:id="1371" w:name="_Toc180487679"/>
      <w:bookmarkStart w:id="1372" w:name="_Toc180490885"/>
      <w:bookmarkStart w:id="1373" w:name="_Toc180491918"/>
      <w:r w:rsidRPr="00730DE4">
        <w:rPr>
          <w:lang w:val="en-US"/>
        </w:rPr>
        <w:t>Integrity Commissioner</w:t>
      </w:r>
      <w:bookmarkEnd w:id="1371"/>
      <w:bookmarkEnd w:id="1372"/>
      <w:bookmarkEnd w:id="1373"/>
    </w:p>
    <w:p w14:paraId="0FA0BC76" w14:textId="77777777" w:rsidR="00FA2FF9" w:rsidRPr="00730DE4" w:rsidRDefault="00FA2FF9" w:rsidP="002252A4">
      <w:pPr>
        <w:rPr>
          <w:lang w:val="en-US"/>
        </w:rPr>
      </w:pPr>
      <w:r w:rsidRPr="00730DE4">
        <w:rPr>
          <w:lang w:val="en-US"/>
        </w:rPr>
        <w:t xml:space="preserve">In accordance with the provisions of the </w:t>
      </w:r>
      <w:r w:rsidRPr="00730DE4">
        <w:rPr>
          <w:rStyle w:val="Emphasis"/>
        </w:rPr>
        <w:t>Integrity Act 2009</w:t>
      </w:r>
      <w:r w:rsidRPr="00730DE4">
        <w:rPr>
          <w:lang w:val="en-US"/>
        </w:rPr>
        <w:t>, TMR maintains a lobbyist contact register, and, upon request, reports lobbyist contact with TMR employees to the Integrity Commissioner—a statutory officer holder and officer of the Queensland Parliament.</w:t>
      </w:r>
    </w:p>
    <w:p w14:paraId="246AB46A" w14:textId="77777777" w:rsidR="00FA2FF9" w:rsidRPr="00730DE4" w:rsidRDefault="00FA2FF9" w:rsidP="002252A4">
      <w:pPr>
        <w:rPr>
          <w:lang w:val="en-US"/>
        </w:rPr>
      </w:pPr>
      <w:r w:rsidRPr="00730DE4">
        <w:rPr>
          <w:lang w:val="en-US"/>
        </w:rPr>
        <w:t>The role of Integrity Commissioner involves:</w:t>
      </w:r>
    </w:p>
    <w:p w14:paraId="2C980D2B" w14:textId="77777777" w:rsidR="00FA2FF9" w:rsidRPr="00730DE4" w:rsidRDefault="00FA2FF9" w:rsidP="002252A4">
      <w:pPr>
        <w:pStyle w:val="ListBullet"/>
        <w:rPr>
          <w:lang w:val="en-US"/>
        </w:rPr>
      </w:pPr>
      <w:r w:rsidRPr="00730DE4">
        <w:rPr>
          <w:lang w:val="en-US"/>
        </w:rPr>
        <w:t>providing confidential advice on ethics and integrity matters to Ministers, members of the Legislative Assembly, ministerial staff, senior public servants, and other persons or classes of persons nominated by a Minister</w:t>
      </w:r>
    </w:p>
    <w:p w14:paraId="603DE91C" w14:textId="77777777" w:rsidR="00FA2FF9" w:rsidRPr="00730DE4" w:rsidRDefault="00FA2FF9" w:rsidP="002252A4">
      <w:pPr>
        <w:pStyle w:val="ListBullet"/>
        <w:rPr>
          <w:lang w:val="en-US"/>
        </w:rPr>
      </w:pPr>
      <w:r w:rsidRPr="00730DE4">
        <w:rPr>
          <w:lang w:val="en-US"/>
        </w:rPr>
        <w:t>regulating lobbyist activity and maintaining the lobbyists register</w:t>
      </w:r>
    </w:p>
    <w:p w14:paraId="4224C3BE" w14:textId="77777777" w:rsidR="00FA2FF9" w:rsidRPr="00730DE4" w:rsidRDefault="00FA2FF9" w:rsidP="002252A4">
      <w:pPr>
        <w:pStyle w:val="ListBullet"/>
        <w:rPr>
          <w:lang w:val="en-US"/>
        </w:rPr>
      </w:pPr>
      <w:r w:rsidRPr="00730DE4">
        <w:rPr>
          <w:lang w:val="en-US"/>
        </w:rPr>
        <w:t>raising public awareness of ethics and integrity matters</w:t>
      </w:r>
    </w:p>
    <w:p w14:paraId="1776316F" w14:textId="77777777" w:rsidR="00FA2FF9" w:rsidRPr="00730DE4" w:rsidRDefault="00FA2FF9" w:rsidP="002252A4">
      <w:pPr>
        <w:pStyle w:val="ListBullet"/>
        <w:rPr>
          <w:lang w:val="en-US"/>
        </w:rPr>
      </w:pPr>
      <w:r w:rsidRPr="00730DE4">
        <w:rPr>
          <w:lang w:val="en-US"/>
        </w:rPr>
        <w:t>standard-setting on ethics and integrity matters at the request of the Premier.</w:t>
      </w:r>
    </w:p>
    <w:p w14:paraId="2C5327E6" w14:textId="77777777" w:rsidR="00FA2FF9" w:rsidRPr="00730DE4" w:rsidRDefault="00FA2FF9" w:rsidP="002252A4">
      <w:pPr>
        <w:rPr>
          <w:lang w:val="en-US"/>
        </w:rPr>
      </w:pPr>
      <w:r w:rsidRPr="00730DE4">
        <w:rPr>
          <w:lang w:val="en-US"/>
        </w:rPr>
        <w:t>In order to encourage integrity principles within the workplace, TMR provides advice, training, and awareness to the department and manages conduct matters pertaining to conflicts of interest.</w:t>
      </w:r>
    </w:p>
    <w:p w14:paraId="1B63B640" w14:textId="77777777" w:rsidR="00DD364F" w:rsidRPr="00730DE4" w:rsidRDefault="00DD364F">
      <w:pPr>
        <w:suppressAutoHyphens w:val="0"/>
        <w:spacing w:before="0" w:line="259" w:lineRule="auto"/>
        <w:rPr>
          <w:rFonts w:eastAsiaTheme="majorEastAsia" w:cstheme="majorBidi"/>
          <w:color w:val="080C0F" w:themeColor="text1"/>
          <w:sz w:val="60"/>
          <w:szCs w:val="32"/>
        </w:rPr>
      </w:pPr>
      <w:r w:rsidRPr="00730DE4">
        <w:br w:type="page"/>
      </w:r>
    </w:p>
    <w:p w14:paraId="0D2E5B5B" w14:textId="1FB5C56D" w:rsidR="00FA2FF9" w:rsidRPr="00730DE4" w:rsidRDefault="00FA2FF9" w:rsidP="002B7001">
      <w:pPr>
        <w:pStyle w:val="Heading2"/>
      </w:pPr>
      <w:bookmarkStart w:id="1374" w:name="_Toc180490886"/>
      <w:bookmarkStart w:id="1375" w:name="_Toc180491919"/>
      <w:r w:rsidRPr="00730DE4">
        <w:t>External accountability</w:t>
      </w:r>
      <w:bookmarkEnd w:id="1374"/>
      <w:bookmarkEnd w:id="1375"/>
    </w:p>
    <w:p w14:paraId="46735965" w14:textId="77777777" w:rsidR="00FA2FF9" w:rsidRPr="00730DE4" w:rsidRDefault="00FA2FF9" w:rsidP="002B7001">
      <w:pPr>
        <w:pStyle w:val="Heading3"/>
        <w:rPr>
          <w:lang w:val="en-US"/>
        </w:rPr>
      </w:pPr>
      <w:bookmarkStart w:id="1376" w:name="_Toc180487681"/>
      <w:bookmarkStart w:id="1377" w:name="_Toc180490887"/>
      <w:bookmarkStart w:id="1378" w:name="_Toc180491920"/>
      <w:r w:rsidRPr="00730DE4">
        <w:rPr>
          <w:lang w:val="en-US"/>
        </w:rPr>
        <w:t>Auditor-General Reports</w:t>
      </w:r>
      <w:bookmarkEnd w:id="1376"/>
      <w:bookmarkEnd w:id="1377"/>
      <w:bookmarkEnd w:id="1378"/>
    </w:p>
    <w:p w14:paraId="52395F64" w14:textId="77777777" w:rsidR="00FA2FF9" w:rsidRPr="00730DE4" w:rsidRDefault="00FA2FF9" w:rsidP="001D7404">
      <w:pPr>
        <w:rPr>
          <w:lang w:val="en-US"/>
        </w:rPr>
      </w:pPr>
      <w:r w:rsidRPr="00730DE4">
        <w:rPr>
          <w:lang w:val="en-US"/>
        </w:rPr>
        <w:t>TMR’s operations are subject to regular scrutiny from external oversight bodies.</w:t>
      </w:r>
    </w:p>
    <w:p w14:paraId="7E0D6826" w14:textId="77777777" w:rsidR="00FA2FF9" w:rsidRPr="00730DE4" w:rsidRDefault="00FA2FF9" w:rsidP="001D7404">
      <w:pPr>
        <w:rPr>
          <w:lang w:val="en-US"/>
        </w:rPr>
      </w:pPr>
      <w:r w:rsidRPr="00730DE4">
        <w:rPr>
          <w:lang w:val="en-US"/>
        </w:rPr>
        <w:t>In addition to the audit of the department's financial statements, during 2023–24, the Auditor-General audits, recommendations either specifically addressed to the department, were for agencies to consider, or included learnings potentially applicable to TMR, were addressed.</w:t>
      </w:r>
    </w:p>
    <w:p w14:paraId="63617E6D" w14:textId="77777777" w:rsidR="00FA2FF9" w:rsidRPr="00730DE4" w:rsidRDefault="00FA2FF9" w:rsidP="001D7404">
      <w:pPr>
        <w:rPr>
          <w:lang w:val="en-US"/>
        </w:rPr>
      </w:pPr>
      <w:r w:rsidRPr="00730DE4">
        <w:rPr>
          <w:lang w:val="en-US"/>
        </w:rPr>
        <w:t>These audits included:</w:t>
      </w:r>
    </w:p>
    <w:p w14:paraId="2E3C08EB" w14:textId="77777777" w:rsidR="00FA2FF9" w:rsidRPr="00730DE4" w:rsidRDefault="00FA2FF9" w:rsidP="001D7404">
      <w:pPr>
        <w:pStyle w:val="ListBullet"/>
        <w:rPr>
          <w:lang w:val="en-US"/>
        </w:rPr>
      </w:pPr>
      <w:r w:rsidRPr="00730DE4">
        <w:rPr>
          <w:lang w:val="en-US"/>
        </w:rPr>
        <w:t>Report 3: 2023 Status of Auditor-General's recommendations</w:t>
      </w:r>
    </w:p>
    <w:p w14:paraId="502EF9BC" w14:textId="77777777" w:rsidR="00FA2FF9" w:rsidRPr="00730DE4" w:rsidRDefault="00FA2FF9" w:rsidP="001D7404">
      <w:pPr>
        <w:pStyle w:val="ListBullet"/>
        <w:rPr>
          <w:lang w:val="en-US"/>
        </w:rPr>
      </w:pPr>
      <w:r w:rsidRPr="00730DE4">
        <w:rPr>
          <w:lang w:val="en-US"/>
        </w:rPr>
        <w:t>Report 7: Major projects 2023</w:t>
      </w:r>
    </w:p>
    <w:p w14:paraId="352F7D62" w14:textId="77777777" w:rsidR="00FA2FF9" w:rsidRPr="00730DE4" w:rsidRDefault="00FA2FF9" w:rsidP="001D7404">
      <w:pPr>
        <w:pStyle w:val="ListBullet"/>
        <w:rPr>
          <w:lang w:val="en-US"/>
        </w:rPr>
      </w:pPr>
      <w:r w:rsidRPr="00730DE4">
        <w:rPr>
          <w:lang w:val="en-US"/>
        </w:rPr>
        <w:t>Report 10: Managing Queensland's debt and investments 2023</w:t>
      </w:r>
    </w:p>
    <w:p w14:paraId="79E9FB81" w14:textId="77777777" w:rsidR="00FA2FF9" w:rsidRPr="00730DE4" w:rsidRDefault="00FA2FF9" w:rsidP="001D7404">
      <w:pPr>
        <w:pStyle w:val="ListBullet"/>
        <w:rPr>
          <w:lang w:val="en-US"/>
        </w:rPr>
      </w:pPr>
      <w:r w:rsidRPr="00730DE4">
        <w:rPr>
          <w:lang w:val="en-US"/>
        </w:rPr>
        <w:t>Report 11: State entities 2023.</w:t>
      </w:r>
    </w:p>
    <w:p w14:paraId="20627B14" w14:textId="77777777" w:rsidR="00FA2FF9" w:rsidRPr="00730DE4" w:rsidRDefault="00FA2FF9" w:rsidP="001D7404">
      <w:pPr>
        <w:pStyle w:val="MessageHeader"/>
        <w:rPr>
          <w:lang w:val="en-US"/>
        </w:rPr>
      </w:pPr>
      <w:r w:rsidRPr="00730DE4">
        <w:rPr>
          <w:lang w:val="en-US"/>
        </w:rPr>
        <w:t xml:space="preserve">For more information </w:t>
      </w:r>
      <w:r w:rsidRPr="00730DE4">
        <w:rPr>
          <w:lang w:val="en-US"/>
        </w:rPr>
        <w:br/>
      </w:r>
      <w:hyperlink r:id="rId144" w:history="1">
        <w:r w:rsidRPr="00730DE4">
          <w:rPr>
            <w:rStyle w:val="Hyperlink"/>
          </w:rPr>
          <w:t>https://www.qao.qld.gov.au/</w:t>
        </w:r>
      </w:hyperlink>
    </w:p>
    <w:p w14:paraId="7D186170" w14:textId="77777777" w:rsidR="00FA2FF9" w:rsidRPr="00730DE4" w:rsidRDefault="00FA2FF9" w:rsidP="002B7001">
      <w:pPr>
        <w:pStyle w:val="Heading3"/>
      </w:pPr>
      <w:bookmarkStart w:id="1379" w:name="_Toc180487682"/>
      <w:bookmarkStart w:id="1380" w:name="_Toc180490888"/>
      <w:bookmarkStart w:id="1381" w:name="_Toc180491921"/>
      <w:r w:rsidRPr="00730DE4">
        <w:t>Protecting the public interest: Queensland Ombudsman</w:t>
      </w:r>
      <w:bookmarkEnd w:id="1379"/>
      <w:bookmarkEnd w:id="1380"/>
      <w:bookmarkEnd w:id="1381"/>
    </w:p>
    <w:p w14:paraId="2B5F0837" w14:textId="77777777" w:rsidR="00FA2FF9" w:rsidRPr="00730DE4" w:rsidRDefault="00FA2FF9" w:rsidP="001D7404">
      <w:r w:rsidRPr="00730DE4">
        <w:t xml:space="preserve">The Queensland Ombudsman plays a pivotal role in ensuring public agencies make fair and accountable decisions in the delivery of services, a critical element of open and transparent public administration. The Ombudsman has wide powers and authorities outlined within the </w:t>
      </w:r>
      <w:r w:rsidRPr="00730DE4">
        <w:rPr>
          <w:rStyle w:val="Emphasis"/>
        </w:rPr>
        <w:t>Ombudsman Act 2001</w:t>
      </w:r>
      <w:r w:rsidRPr="00730DE4">
        <w:t xml:space="preserve">, which facilitate the investigation of administrative actions with the view to improving the quality of decision making and administrative practices in agencies. The Ombudsman also has oversight of the </w:t>
      </w:r>
      <w:r w:rsidRPr="00730DE4">
        <w:rPr>
          <w:rStyle w:val="Emphasis"/>
        </w:rPr>
        <w:t>Public Interest Disclosure Act 2010</w:t>
      </w:r>
      <w:r w:rsidRPr="00730DE4">
        <w:t>.</w:t>
      </w:r>
    </w:p>
    <w:p w14:paraId="77CAE9A3" w14:textId="77777777" w:rsidR="00FA2FF9" w:rsidRPr="00730DE4" w:rsidRDefault="00FA2FF9" w:rsidP="001D7404">
      <w:r w:rsidRPr="00730DE4">
        <w:t>In 2023–24, TMR responded to 19 Ombudsman matters referred to the Director-General for preliminary inquiries and</w:t>
      </w:r>
      <w:r w:rsidRPr="00730DE4">
        <w:rPr>
          <w:lang w:val="en-US"/>
        </w:rPr>
        <w:t>/</w:t>
      </w:r>
      <w:r w:rsidRPr="00730DE4">
        <w:t>or an investigation conducted by the accountable area within TMR. Eighteen of these matters were concluded following TMR review, while one matter remains active and continues to be addressed by TMR.</w:t>
      </w:r>
    </w:p>
    <w:p w14:paraId="3E72133E" w14:textId="77777777" w:rsidR="00FA2FF9" w:rsidRPr="00730DE4" w:rsidRDefault="00FA2FF9" w:rsidP="001D7404">
      <w:r w:rsidRPr="00730DE4">
        <w:t>TMR works closely with the Queensland Ombudsman to enhance agency decision-making and administrative practices. TMR readily implements appropriate recommendations based on Queensland Ombudsman advice to advance the shared commitment to continuous improvement in public administration.</w:t>
      </w:r>
    </w:p>
    <w:p w14:paraId="39590345" w14:textId="77777777" w:rsidR="00FA2FF9" w:rsidRPr="00730DE4" w:rsidRDefault="00FA2FF9" w:rsidP="002B7001">
      <w:pPr>
        <w:pStyle w:val="Heading3"/>
        <w:rPr>
          <w:lang w:val="en-US"/>
        </w:rPr>
      </w:pPr>
      <w:bookmarkStart w:id="1382" w:name="_Toc180487683"/>
      <w:bookmarkStart w:id="1383" w:name="_Toc180490889"/>
      <w:bookmarkStart w:id="1384" w:name="_Toc180491922"/>
      <w:bookmarkStart w:id="1385" w:name="_Hlk174013768"/>
      <w:r w:rsidRPr="00730DE4">
        <w:rPr>
          <w:lang w:val="en-US"/>
        </w:rPr>
        <w:t>Transparency and the Right to Information</w:t>
      </w:r>
      <w:bookmarkEnd w:id="1382"/>
      <w:bookmarkEnd w:id="1383"/>
      <w:bookmarkEnd w:id="1384"/>
    </w:p>
    <w:p w14:paraId="26DF4E6D" w14:textId="77777777" w:rsidR="00FA2FF9" w:rsidRPr="00730DE4" w:rsidRDefault="00FA2FF9" w:rsidP="00402C6D">
      <w:r w:rsidRPr="00730DE4">
        <w:t xml:space="preserve">The Right to Information team consists of eight decision makers who are delegated by the Director-General to make decisions under the </w:t>
      </w:r>
      <w:r w:rsidRPr="00730DE4">
        <w:rPr>
          <w:rStyle w:val="Emphasis"/>
        </w:rPr>
        <w:t>Right to Information Act 2009</w:t>
      </w:r>
      <w:r w:rsidRPr="00730DE4">
        <w:t xml:space="preserve"> and </w:t>
      </w:r>
      <w:r w:rsidRPr="00730DE4">
        <w:rPr>
          <w:rStyle w:val="Emphasis"/>
        </w:rPr>
        <w:t>Information Privacy Act 2009</w:t>
      </w:r>
      <w:r w:rsidRPr="00730DE4">
        <w:t xml:space="preserve"> for TMR. Five of the decision makers are also authorised to make decisions for the Minister for Transport and Main Roads and Minister for Digital Services.</w:t>
      </w:r>
    </w:p>
    <w:p w14:paraId="5FD075B3" w14:textId="77777777" w:rsidR="00FA2FF9" w:rsidRPr="00730DE4" w:rsidRDefault="00FA2FF9" w:rsidP="00402C6D">
      <w:r w:rsidRPr="00730DE4">
        <w:t>Wherever possible, accessing documents under the Acts is to be used as a last resort. In 2023–24, approximately 45 applications were withdrawn and referred to other areas of the department to manage administratively.</w:t>
      </w:r>
    </w:p>
    <w:p w14:paraId="5B404684" w14:textId="77777777" w:rsidR="00FA2FF9" w:rsidRPr="00730DE4" w:rsidRDefault="00FA2FF9" w:rsidP="00402C6D">
      <w:r w:rsidRPr="00730DE4">
        <w:t>The number of access applications managed by TMR during 2023–24 increased by 14 per cent, with 914 being received. 777 applications were finalised during the financial year.</w:t>
      </w:r>
    </w:p>
    <w:p w14:paraId="4BDE24C6" w14:textId="77777777" w:rsidR="00FA2FF9" w:rsidRPr="00730DE4" w:rsidRDefault="00FA2FF9" w:rsidP="00402C6D">
      <w:r w:rsidRPr="00730DE4">
        <w:t>33,606 documents were reviewed and considered for release, with 83 per cent released in full or in part to applicants.</w:t>
      </w:r>
    </w:p>
    <w:p w14:paraId="24358C35" w14:textId="77777777" w:rsidR="00FA2FF9" w:rsidRPr="00730DE4" w:rsidRDefault="00FA2FF9" w:rsidP="00402C6D">
      <w:r w:rsidRPr="00730DE4">
        <w:t xml:space="preserve">TMR's disclosure log contains details about applications received under the Right to Information Act and is available on the TMR website. </w:t>
      </w:r>
    </w:p>
    <w:p w14:paraId="3550A3A6" w14:textId="77777777" w:rsidR="00FA2FF9" w:rsidRPr="00730DE4" w:rsidRDefault="00FA2FF9" w:rsidP="001D7404">
      <w:pPr>
        <w:pStyle w:val="MessageHeader"/>
        <w:rPr>
          <w:lang w:val="en-US"/>
        </w:rPr>
      </w:pPr>
      <w:r w:rsidRPr="00730DE4">
        <w:rPr>
          <w:lang w:val="en-US"/>
        </w:rPr>
        <w:t xml:space="preserve">For more information </w:t>
      </w:r>
      <w:r w:rsidRPr="00730DE4">
        <w:rPr>
          <w:lang w:val="en-US"/>
        </w:rPr>
        <w:br/>
      </w:r>
      <w:hyperlink r:id="rId145" w:history="1">
        <w:r w:rsidRPr="00730DE4">
          <w:rPr>
            <w:rStyle w:val="Hyperlink"/>
          </w:rPr>
          <w:t>https://www.tmr.qld.gov.au/About-us/Right-to-Information/Disclosure-log</w:t>
        </w:r>
      </w:hyperlink>
    </w:p>
    <w:p w14:paraId="71A2DB56" w14:textId="77777777" w:rsidR="00FA2FF9" w:rsidRPr="00730DE4" w:rsidRDefault="00FA2FF9" w:rsidP="002B7001">
      <w:pPr>
        <w:pStyle w:val="Heading3"/>
        <w:rPr>
          <w:lang w:val="en-US"/>
        </w:rPr>
      </w:pPr>
      <w:bookmarkStart w:id="1386" w:name="_Toc180487684"/>
      <w:bookmarkStart w:id="1387" w:name="_Toc180490890"/>
      <w:bookmarkStart w:id="1388" w:name="_Toc180491923"/>
      <w:bookmarkEnd w:id="1385"/>
      <w:r w:rsidRPr="00730DE4">
        <w:rPr>
          <w:lang w:val="en-US"/>
        </w:rPr>
        <w:t>Human Rights Act</w:t>
      </w:r>
      <w:bookmarkEnd w:id="1386"/>
      <w:bookmarkEnd w:id="1387"/>
      <w:bookmarkEnd w:id="1388"/>
    </w:p>
    <w:p w14:paraId="0FC56FC0" w14:textId="77777777" w:rsidR="00FA2FF9" w:rsidRPr="00730DE4" w:rsidRDefault="00FA2FF9" w:rsidP="001D7404">
      <w:pPr>
        <w:rPr>
          <w:lang w:val="en-US"/>
        </w:rPr>
      </w:pPr>
      <w:r w:rsidRPr="00730DE4">
        <w:rPr>
          <w:lang w:val="en-US"/>
        </w:rPr>
        <w:t xml:space="preserve">TMR contributes to the achievement of the Queensland Government </w:t>
      </w:r>
      <w:r w:rsidRPr="00730DE4">
        <w:rPr>
          <w:rStyle w:val="Emphasis"/>
        </w:rPr>
        <w:t>Human Rights Strategy</w:t>
      </w:r>
      <w:r w:rsidRPr="00730DE4">
        <w:rPr>
          <w:lang w:val="en-US"/>
        </w:rPr>
        <w:t xml:space="preserve"> and fulfills its legislative compliance by ensuring we protect and promote human rights by acting and making decisions compatible with the </w:t>
      </w:r>
      <w:r w:rsidRPr="00730DE4">
        <w:rPr>
          <w:rStyle w:val="Emphasis"/>
        </w:rPr>
        <w:t>Human Rights Act 2019</w:t>
      </w:r>
      <w:r w:rsidRPr="00730DE4">
        <w:rPr>
          <w:lang w:val="en-US"/>
        </w:rPr>
        <w:t>.</w:t>
      </w:r>
    </w:p>
    <w:p w14:paraId="245CD5D2" w14:textId="77777777" w:rsidR="00FA2FF9" w:rsidRPr="00730DE4" w:rsidRDefault="00FA2FF9" w:rsidP="001D7404">
      <w:pPr>
        <w:rPr>
          <w:lang w:val="en-US"/>
        </w:rPr>
      </w:pPr>
      <w:r w:rsidRPr="00730DE4">
        <w:rPr>
          <w:lang w:val="en-US"/>
        </w:rPr>
        <w:t>During 2023–24 TMR worked towards building our human rights culture through:</w:t>
      </w:r>
    </w:p>
    <w:p w14:paraId="18838E31" w14:textId="77777777" w:rsidR="00FA2FF9" w:rsidRPr="00730DE4" w:rsidRDefault="00FA2FF9" w:rsidP="001D7404">
      <w:pPr>
        <w:pStyle w:val="ListBullet"/>
        <w:rPr>
          <w:lang w:val="en-US"/>
        </w:rPr>
      </w:pPr>
      <w:r w:rsidRPr="00730DE4">
        <w:rPr>
          <w:lang w:val="en-US"/>
        </w:rPr>
        <w:t>delivering awareness raising and compatibility assessment training</w:t>
      </w:r>
    </w:p>
    <w:p w14:paraId="09F2AA6C" w14:textId="77777777" w:rsidR="00FA2FF9" w:rsidRPr="00730DE4" w:rsidRDefault="00FA2FF9" w:rsidP="001D7404">
      <w:pPr>
        <w:pStyle w:val="ListBullet"/>
        <w:rPr>
          <w:lang w:val="en-US"/>
        </w:rPr>
      </w:pPr>
      <w:r w:rsidRPr="00730DE4">
        <w:rPr>
          <w:lang w:val="en-US"/>
        </w:rPr>
        <w:t>refining existing policies, procedures, and templates to ensure consideration of human rights to ensure TMR complies with the scrutiny of the legislation provision in the Act</w:t>
      </w:r>
    </w:p>
    <w:p w14:paraId="3D80A2B0" w14:textId="77777777" w:rsidR="00FA2FF9" w:rsidRPr="00730DE4" w:rsidRDefault="00FA2FF9" w:rsidP="001D7404">
      <w:pPr>
        <w:pStyle w:val="ListBullet"/>
        <w:rPr>
          <w:lang w:val="en-US"/>
        </w:rPr>
      </w:pPr>
      <w:r w:rsidRPr="00730DE4">
        <w:rPr>
          <w:lang w:val="en-US"/>
        </w:rPr>
        <w:t>commencing provision of mandatory Public Entities and the Human Rights Act training from the Queensland Human Rights Commission for TMR staff</w:t>
      </w:r>
    </w:p>
    <w:p w14:paraId="0AEE0F49" w14:textId="77777777" w:rsidR="00FA2FF9" w:rsidRPr="00730DE4" w:rsidRDefault="00FA2FF9" w:rsidP="001D7404">
      <w:pPr>
        <w:pStyle w:val="ListBullet"/>
        <w:rPr>
          <w:lang w:val="en-US"/>
        </w:rPr>
      </w:pPr>
      <w:r w:rsidRPr="00730DE4">
        <w:rPr>
          <w:lang w:val="en-US"/>
        </w:rPr>
        <w:t>enhancing offline training offered to field staff to include scenarios of direct relevance to their work to embed understanding.</w:t>
      </w:r>
    </w:p>
    <w:p w14:paraId="4743DD69" w14:textId="77777777" w:rsidR="005B60B8" w:rsidRDefault="005B60B8" w:rsidP="001D7404">
      <w:pPr>
        <w:rPr>
          <w:lang w:val="en-US"/>
        </w:rPr>
      </w:pPr>
      <w:r>
        <w:rPr>
          <w:lang w:val="en-US"/>
        </w:rPr>
        <w:br w:type="page"/>
      </w:r>
    </w:p>
    <w:p w14:paraId="69CD12B9" w14:textId="0FEB0C4F" w:rsidR="00FA2FF9" w:rsidRPr="00730DE4" w:rsidRDefault="00FA2FF9" w:rsidP="001D7404">
      <w:pPr>
        <w:rPr>
          <w:lang w:val="en-US"/>
        </w:rPr>
      </w:pPr>
      <w:r w:rsidRPr="00730DE4">
        <w:rPr>
          <w:lang w:val="en-US"/>
        </w:rPr>
        <w:t>TMR continues to support the human rights practices of decision-makers and staff through active participation as a member of the Human Rights Interdepartmental Committee led by the Department of Justice and Attorney-General. The committee facilitates the sharing and distribution of information to support maturity across the Queensland Government.</w:t>
      </w:r>
    </w:p>
    <w:p w14:paraId="7B542DAD" w14:textId="77777777" w:rsidR="00FA2FF9" w:rsidRPr="00730DE4" w:rsidRDefault="00FA2FF9" w:rsidP="002B7001">
      <w:pPr>
        <w:pStyle w:val="Heading3"/>
        <w:rPr>
          <w:lang w:val="en-US"/>
        </w:rPr>
      </w:pPr>
      <w:bookmarkStart w:id="1389" w:name="_Toc180487685"/>
      <w:bookmarkStart w:id="1390" w:name="_Toc180490891"/>
      <w:bookmarkStart w:id="1391" w:name="_Toc180491924"/>
      <w:r w:rsidRPr="00730DE4">
        <w:rPr>
          <w:lang w:val="en-US"/>
        </w:rPr>
        <w:t>Open data</w:t>
      </w:r>
      <w:bookmarkEnd w:id="1389"/>
      <w:bookmarkEnd w:id="1390"/>
      <w:bookmarkEnd w:id="1391"/>
      <w:r w:rsidRPr="00730DE4">
        <w:rPr>
          <w:lang w:val="en-US"/>
        </w:rPr>
        <w:t xml:space="preserve"> </w:t>
      </w:r>
    </w:p>
    <w:p w14:paraId="67694A52" w14:textId="77777777" w:rsidR="00FA2FF9" w:rsidRPr="00730DE4" w:rsidRDefault="00FA2FF9" w:rsidP="00EF6976">
      <w:pPr>
        <w:rPr>
          <w:lang w:val="en-US"/>
        </w:rPr>
      </w:pPr>
      <w:r w:rsidRPr="00730DE4">
        <w:rPr>
          <w:lang w:val="en-US"/>
        </w:rPr>
        <w:t>TMR remains one of the largest contributors to the Queensland Government's Open Data Portal. TMR has collected 269 published datasets in 2023–24, up from 262 datasets published in 2022–23.</w:t>
      </w:r>
    </w:p>
    <w:p w14:paraId="4D550B06" w14:textId="77777777" w:rsidR="00FA2FF9" w:rsidRPr="00730DE4" w:rsidRDefault="00FA2FF9" w:rsidP="00EF6976">
      <w:pPr>
        <w:rPr>
          <w:lang w:val="en-US"/>
        </w:rPr>
      </w:pPr>
      <w:r w:rsidRPr="00730DE4">
        <w:rPr>
          <w:lang w:val="en-US"/>
        </w:rPr>
        <w:t>Publicly available datasets enable business partners, industry stakeholders, and the community to leverage this information in delivering improved traffic and transport services. These open data resources empower Queenslanders to make informed decisions about how and when they travel.</w:t>
      </w:r>
    </w:p>
    <w:p w14:paraId="5294B9D9" w14:textId="77777777" w:rsidR="00FA2FF9" w:rsidRPr="00730DE4" w:rsidRDefault="00FA2FF9" w:rsidP="001D7404">
      <w:pPr>
        <w:pStyle w:val="MessageHeader"/>
        <w:rPr>
          <w:lang w:val="en-US"/>
        </w:rPr>
      </w:pPr>
      <w:r w:rsidRPr="00730DE4">
        <w:rPr>
          <w:lang w:val="en-US"/>
        </w:rPr>
        <w:t xml:space="preserve">For more information </w:t>
      </w:r>
      <w:r w:rsidRPr="00730DE4">
        <w:rPr>
          <w:lang w:val="en-US"/>
        </w:rPr>
        <w:br/>
      </w:r>
      <w:hyperlink r:id="rId146" w:history="1">
        <w:r w:rsidRPr="00730DE4">
          <w:rPr>
            <w:rStyle w:val="Hyperlink"/>
            <w:lang w:val="en-US"/>
          </w:rPr>
          <w:t>https://www.data.qld.gov.au/dataset?organization=transport-and-main-roads</w:t>
        </w:r>
      </w:hyperlink>
    </w:p>
    <w:p w14:paraId="2EAA9D6A" w14:textId="77777777" w:rsidR="00FA2FF9" w:rsidRPr="00730DE4" w:rsidRDefault="00FA2FF9" w:rsidP="002B7001">
      <w:pPr>
        <w:pStyle w:val="Heading3"/>
        <w:rPr>
          <w:lang w:val="en-US"/>
        </w:rPr>
      </w:pPr>
      <w:bookmarkStart w:id="1392" w:name="_Toc180487686"/>
      <w:bookmarkStart w:id="1393" w:name="_Toc180490892"/>
      <w:bookmarkStart w:id="1394" w:name="_Toc180491925"/>
      <w:r w:rsidRPr="00730DE4">
        <w:rPr>
          <w:lang w:val="en-US"/>
        </w:rPr>
        <w:t>Coronial Inquests and Recommendations</w:t>
      </w:r>
      <w:bookmarkEnd w:id="1392"/>
      <w:bookmarkEnd w:id="1393"/>
      <w:bookmarkEnd w:id="1394"/>
    </w:p>
    <w:p w14:paraId="6265AE58" w14:textId="77777777" w:rsidR="00FA2FF9" w:rsidRPr="00730DE4" w:rsidRDefault="00FA2FF9" w:rsidP="001D7404">
      <w:pPr>
        <w:rPr>
          <w:lang w:val="en-US"/>
        </w:rPr>
      </w:pPr>
      <w:r w:rsidRPr="00730DE4">
        <w:rPr>
          <w:lang w:val="en-US"/>
        </w:rPr>
        <w:t>Under the whole-of-government coronial reporting arrangements, Ministers are required to inform the Attorney-General within six months of coronial findings being handed down as to whether the recommendations are supported. Ministers must also provide progress updates every six months until the recommendation is implemented.</w:t>
      </w:r>
    </w:p>
    <w:p w14:paraId="71DE40B4" w14:textId="77777777" w:rsidR="00FA2FF9" w:rsidRPr="00730DE4" w:rsidRDefault="00FA2FF9" w:rsidP="001D7404">
      <w:pPr>
        <w:rPr>
          <w:lang w:val="en-US"/>
        </w:rPr>
      </w:pPr>
      <w:r w:rsidRPr="00730DE4">
        <w:rPr>
          <w:lang w:val="en-US"/>
        </w:rPr>
        <w:t>Where recommendations are directed to more than one department, the government is required to produce a single, coordinated response to the recommendation. These responses are published on the Coroner’s website by the Department of Justice and Attorney-General.</w:t>
      </w:r>
    </w:p>
    <w:p w14:paraId="76653851" w14:textId="77777777" w:rsidR="00FA2FF9" w:rsidRPr="00730DE4" w:rsidRDefault="00FA2FF9" w:rsidP="001D7404">
      <w:pPr>
        <w:rPr>
          <w:lang w:val="en-US"/>
        </w:rPr>
      </w:pPr>
      <w:r w:rsidRPr="00730DE4">
        <w:rPr>
          <w:lang w:val="en-US"/>
        </w:rPr>
        <w:t>TMR’s response for the period January to June 2024 is required to be provided to the Attorney-General by 27 September 2024.</w:t>
      </w:r>
    </w:p>
    <w:p w14:paraId="242E703E" w14:textId="77777777" w:rsidR="00FA2FF9" w:rsidRPr="00730DE4" w:rsidRDefault="00FA2FF9" w:rsidP="001D7404">
      <w:pPr>
        <w:rPr>
          <w:lang w:val="en-US"/>
        </w:rPr>
      </w:pPr>
      <w:r w:rsidRPr="00730DE4">
        <w:rPr>
          <w:lang w:val="en-US"/>
        </w:rPr>
        <w:t>No new recommendations were directed towards TMR in the 2023–24 period. TMR’s report for the period January to June 2024 will provide an update on seven recommendations in total.</w:t>
      </w:r>
    </w:p>
    <w:p w14:paraId="2494B4E5" w14:textId="77777777" w:rsidR="00FA2FF9" w:rsidRPr="00730DE4" w:rsidRDefault="00FA2FF9" w:rsidP="002B7001">
      <w:pPr>
        <w:pStyle w:val="Heading3"/>
      </w:pPr>
      <w:bookmarkStart w:id="1395" w:name="_Toc180487687"/>
      <w:bookmarkStart w:id="1396" w:name="_Toc180490893"/>
      <w:bookmarkStart w:id="1397" w:name="_Toc180491926"/>
      <w:r w:rsidRPr="00730DE4">
        <w:t>Crime and Corruption Commission reports</w:t>
      </w:r>
      <w:bookmarkEnd w:id="1395"/>
      <w:bookmarkEnd w:id="1396"/>
      <w:bookmarkEnd w:id="1397"/>
    </w:p>
    <w:p w14:paraId="77EC7BC5" w14:textId="77777777" w:rsidR="00FA2FF9" w:rsidRPr="00730DE4" w:rsidRDefault="00FA2FF9" w:rsidP="00F8066E">
      <w:r w:rsidRPr="00730DE4">
        <w:t xml:space="preserve">TMR has a defined approach to handling and preventing corruption in line with the obligations set out by the </w:t>
      </w:r>
      <w:r w:rsidRPr="00730DE4">
        <w:rPr>
          <w:rStyle w:val="Emphasis"/>
        </w:rPr>
        <w:t>Crime and Corruption Act 2001</w:t>
      </w:r>
      <w:r w:rsidRPr="00730DE4">
        <w:t>. The Crime and Corruption Commission (CCC) plays a pivotal role in this framework, operating as a watchdog to oversee major crime and corruption matters within the public sector.</w:t>
      </w:r>
    </w:p>
    <w:p w14:paraId="465538D1" w14:textId="77777777" w:rsidR="00FA2FF9" w:rsidRPr="00730DE4" w:rsidRDefault="00FA2FF9" w:rsidP="00F8066E">
      <w:r w:rsidRPr="00730DE4">
        <w:t>The Director-General has specified statutory obligations, which includes the duty to report any reasonable suspicion of corrupt conduct directly to the CCC. This aligns with the aim to uphold integrity and transparency within the public sector. TMR's dedication to this effort is further emphasised through their investigative capacity to meet both the standards of the CCC and the expectations of the Director-General.</w:t>
      </w:r>
    </w:p>
    <w:p w14:paraId="4E717454" w14:textId="77777777" w:rsidR="00FA2FF9" w:rsidRPr="00730DE4" w:rsidRDefault="00FA2FF9" w:rsidP="00F8066E">
      <w:pPr>
        <w:rPr>
          <w:rStyle w:val="Emphasis"/>
        </w:rPr>
      </w:pPr>
      <w:r w:rsidRPr="00730DE4">
        <w:t xml:space="preserve">TMR values the guidance provided by the CCC in maintaining high standards for investigating corruption and adheres to their publication </w:t>
      </w:r>
      <w:r w:rsidRPr="00730DE4">
        <w:rPr>
          <w:rStyle w:val="Emphasis"/>
        </w:rPr>
        <w:t>Corruption in Focus</w:t>
      </w:r>
      <w:r w:rsidRPr="00730DE4">
        <w:t>. The Director-General's obligations go beyond just the investigation of reported corrupt conduct; there is also a responsibility to ensure that parties involved in a corruption investigation are treated fairly according to the principles of natural justice, and to provide timely updates to the complainant regarding the outcomes of the investigation.</w:t>
      </w:r>
    </w:p>
    <w:p w14:paraId="7188A283" w14:textId="77777777" w:rsidR="00FA2FF9" w:rsidRPr="00730DE4" w:rsidRDefault="00FA2FF9" w:rsidP="00F8066E">
      <w:r w:rsidRPr="00730DE4">
        <w:t>TMR's commitment to ethical behaviour is reinforced by mandatory ethical awareness training provided to employees. Such initiatives help promote a culture of integrity and vigilance against corruption. This goes hand in hand with the department's zero-tolerance policy towards suspected corrupt conduct, as TMR seeks not only to respond effectively to allegations but also to prevent corruption from occurring in the first place through education and a strong ethical framework.</w:t>
      </w:r>
    </w:p>
    <w:p w14:paraId="21CF804A" w14:textId="77777777" w:rsidR="00FA2FF9" w:rsidRPr="00730DE4" w:rsidRDefault="00FA2FF9" w:rsidP="001D7404">
      <w:r w:rsidRPr="00730DE4">
        <w:t>Overall, the measures taken by TMR demonstrate a reactive and proactive stance in safeguarding its operations against corruption and ensuring adherence to legal and ethical guidelines as established by the Queensland Government.</w:t>
      </w:r>
    </w:p>
    <w:p w14:paraId="307964BC" w14:textId="77777777" w:rsidR="00FA2FF9" w:rsidRPr="00730DE4" w:rsidRDefault="00FA2FF9" w:rsidP="002B7001">
      <w:pPr>
        <w:pStyle w:val="Heading3"/>
        <w:rPr>
          <w:lang w:val="en-US"/>
        </w:rPr>
      </w:pPr>
      <w:bookmarkStart w:id="1398" w:name="_Toc180487688"/>
      <w:bookmarkStart w:id="1399" w:name="_Toc180490894"/>
      <w:bookmarkStart w:id="1400" w:name="_Toc180491927"/>
      <w:r w:rsidRPr="00730DE4">
        <w:rPr>
          <w:lang w:val="en-US"/>
        </w:rPr>
        <w:t>Parliamentary committees</w:t>
      </w:r>
      <w:bookmarkEnd w:id="1398"/>
      <w:bookmarkEnd w:id="1399"/>
      <w:bookmarkEnd w:id="1400"/>
    </w:p>
    <w:p w14:paraId="3C1A4F92" w14:textId="77777777" w:rsidR="00FA2FF9" w:rsidRPr="00730DE4" w:rsidRDefault="00FA2FF9" w:rsidP="001D7404">
      <w:pPr>
        <w:rPr>
          <w:lang w:val="en-US"/>
        </w:rPr>
      </w:pPr>
      <w:r w:rsidRPr="00730DE4">
        <w:rPr>
          <w:lang w:val="en-US"/>
        </w:rPr>
        <w:t>Parliamentary committees are responsible for the review of legislation, investigating specific issues, reporting to the Queensland Parliament, and can have continuing roles to monitor and review public sector organisations or keep areas of the law or other activities under review.</w:t>
      </w:r>
    </w:p>
    <w:p w14:paraId="586B749F" w14:textId="77777777" w:rsidR="00FA2FF9" w:rsidRPr="00730DE4" w:rsidRDefault="00FA2FF9" w:rsidP="001D7404">
      <w:pPr>
        <w:rPr>
          <w:lang w:val="en-US"/>
        </w:rPr>
      </w:pPr>
      <w:r w:rsidRPr="00730DE4">
        <w:rPr>
          <w:lang w:val="en-US"/>
        </w:rPr>
        <w:t>The committee which relates to TMR’s portfolio is the Clean Economy Jobs, Resources and Transport Committee, established on 13 February 2024 when the former Transport and Resources Committee ceased to exist by motion of the Legislative Assembly.</w:t>
      </w:r>
    </w:p>
    <w:p w14:paraId="2D65D6C6" w14:textId="77777777" w:rsidR="00FA2FF9" w:rsidRPr="00730DE4" w:rsidRDefault="00FA2FF9" w:rsidP="001D7404">
      <w:pPr>
        <w:rPr>
          <w:lang w:val="en-US"/>
        </w:rPr>
      </w:pPr>
      <w:r w:rsidRPr="00730DE4">
        <w:rPr>
          <w:lang w:val="en-US"/>
        </w:rPr>
        <w:t>The committee is responsible for:</w:t>
      </w:r>
    </w:p>
    <w:p w14:paraId="36ED29B2" w14:textId="77777777" w:rsidR="00FA2FF9" w:rsidRPr="00730DE4" w:rsidRDefault="00FA2FF9" w:rsidP="001D7404">
      <w:pPr>
        <w:pStyle w:val="ListBullet"/>
        <w:rPr>
          <w:lang w:val="en-US"/>
        </w:rPr>
      </w:pPr>
      <w:r w:rsidRPr="00730DE4">
        <w:rPr>
          <w:lang w:val="en-US"/>
        </w:rPr>
        <w:t xml:space="preserve">examining bills and subordinate legislation to consider the policy to be enacted and the application of the fundamental legislative principles set out in section 4 of the </w:t>
      </w:r>
      <w:r w:rsidRPr="00730DE4">
        <w:rPr>
          <w:rStyle w:val="Emphasis"/>
        </w:rPr>
        <w:t>Legislative Standards Act 1992</w:t>
      </w:r>
      <w:r w:rsidRPr="00730DE4">
        <w:rPr>
          <w:lang w:val="en-US"/>
        </w:rPr>
        <w:t xml:space="preserve"> and compatibility with the </w:t>
      </w:r>
      <w:r w:rsidRPr="00730DE4">
        <w:rPr>
          <w:rStyle w:val="Emphasis"/>
        </w:rPr>
        <w:t>Human Rights Act 2019</w:t>
      </w:r>
    </w:p>
    <w:p w14:paraId="43655B3E" w14:textId="77777777" w:rsidR="00FA2FF9" w:rsidRPr="00730DE4" w:rsidRDefault="00FA2FF9" w:rsidP="001D7404">
      <w:pPr>
        <w:pStyle w:val="ListBullet"/>
        <w:rPr>
          <w:lang w:val="en-US"/>
        </w:rPr>
      </w:pPr>
      <w:r w:rsidRPr="00730DE4">
        <w:rPr>
          <w:lang w:val="en-US"/>
        </w:rPr>
        <w:t>examining the budget estimates of TMR</w:t>
      </w:r>
    </w:p>
    <w:p w14:paraId="226A419A" w14:textId="77777777" w:rsidR="00FA2FF9" w:rsidRPr="00730DE4" w:rsidRDefault="00FA2FF9" w:rsidP="001D7404">
      <w:pPr>
        <w:pStyle w:val="ListBullet"/>
        <w:rPr>
          <w:lang w:val="en-US"/>
        </w:rPr>
      </w:pPr>
      <w:r w:rsidRPr="00730DE4">
        <w:rPr>
          <w:lang w:val="en-US"/>
        </w:rPr>
        <w:t>investigating any issue referred to it by the Legislative Assembly or under an Act, whether or not the issue is within the committee’s areas of responsibility</w:t>
      </w:r>
    </w:p>
    <w:p w14:paraId="61636FE2" w14:textId="77777777" w:rsidR="00FA2FF9" w:rsidRPr="00730DE4" w:rsidRDefault="00FA2FF9" w:rsidP="001D7404">
      <w:pPr>
        <w:pStyle w:val="ListBullet"/>
        <w:rPr>
          <w:lang w:val="en-US"/>
        </w:rPr>
      </w:pPr>
      <w:r w:rsidRPr="00730DE4">
        <w:rPr>
          <w:lang w:val="en-US"/>
        </w:rPr>
        <w:t>assessing public accounts in its portfolio area regarding integrity, economy, efficiency, and effectiveness of financial management</w:t>
      </w:r>
    </w:p>
    <w:p w14:paraId="3EC8211F" w14:textId="77777777" w:rsidR="00FA2FF9" w:rsidRPr="00730DE4" w:rsidRDefault="00FA2FF9" w:rsidP="001D7404">
      <w:pPr>
        <w:pStyle w:val="ListBullet"/>
        <w:rPr>
          <w:lang w:val="en-US"/>
        </w:rPr>
      </w:pPr>
      <w:r w:rsidRPr="00730DE4">
        <w:rPr>
          <w:lang w:val="en-US"/>
        </w:rPr>
        <w:t>assessing the public works of each department regarding the suitability of the works for the purpose.</w:t>
      </w:r>
    </w:p>
    <w:p w14:paraId="1EAB6AF2" w14:textId="77777777" w:rsidR="00FA2FF9" w:rsidRPr="00730DE4" w:rsidRDefault="00FA2FF9" w:rsidP="001D7404">
      <w:pPr>
        <w:rPr>
          <w:lang w:val="en-US"/>
        </w:rPr>
      </w:pPr>
      <w:r w:rsidRPr="00730DE4">
        <w:rPr>
          <w:lang w:val="en-US"/>
        </w:rPr>
        <w:t>The committee may initiate an inquiry into any matter it considers appropriate within its portfolio area.</w:t>
      </w:r>
    </w:p>
    <w:p w14:paraId="313280BC" w14:textId="77777777" w:rsidR="00FA2FF9" w:rsidRPr="00730DE4" w:rsidRDefault="00FA2FF9" w:rsidP="001D7404">
      <w:pPr>
        <w:rPr>
          <w:lang w:val="en-US"/>
        </w:rPr>
      </w:pPr>
      <w:r w:rsidRPr="00730DE4">
        <w:rPr>
          <w:lang w:val="en-US"/>
        </w:rPr>
        <w:t>During 2023–24, the former Transport and Resources Committee and the current Clean Economy Jobs, Resources and Transport Committee considered the following relating to TMR’s portfolio:</w:t>
      </w:r>
    </w:p>
    <w:p w14:paraId="79817653" w14:textId="77777777" w:rsidR="00FA2FF9" w:rsidRPr="00730DE4" w:rsidRDefault="00FA2FF9" w:rsidP="001D7404">
      <w:pPr>
        <w:pStyle w:val="ListBullet"/>
        <w:rPr>
          <w:lang w:val="en-US"/>
        </w:rPr>
      </w:pPr>
      <w:r w:rsidRPr="00730DE4">
        <w:rPr>
          <w:lang w:val="en-US"/>
        </w:rPr>
        <w:t>inquiry into the Tow Truck Bill 2023</w:t>
      </w:r>
    </w:p>
    <w:p w14:paraId="76A539AC" w14:textId="77777777" w:rsidR="00FA2FF9" w:rsidRPr="00730DE4" w:rsidRDefault="00FA2FF9" w:rsidP="001D7404">
      <w:pPr>
        <w:pStyle w:val="ListBullet"/>
        <w:rPr>
          <w:lang w:val="en-US"/>
        </w:rPr>
      </w:pPr>
      <w:r w:rsidRPr="00730DE4">
        <w:rPr>
          <w:lang w:val="en-US"/>
        </w:rPr>
        <w:t>inquiry into the Transport and Other Legislation Amendment Bill 2023</w:t>
      </w:r>
    </w:p>
    <w:p w14:paraId="3BA26E80" w14:textId="77777777" w:rsidR="00FA2FF9" w:rsidRPr="00730DE4" w:rsidRDefault="00FA2FF9" w:rsidP="001D7404">
      <w:pPr>
        <w:pStyle w:val="ListBullet"/>
        <w:rPr>
          <w:lang w:val="en-US"/>
        </w:rPr>
      </w:pPr>
      <w:r w:rsidRPr="00730DE4">
        <w:rPr>
          <w:lang w:val="en-US"/>
        </w:rPr>
        <w:t>examination of subordinate legislation</w:t>
      </w:r>
    </w:p>
    <w:p w14:paraId="6175F772" w14:textId="77777777" w:rsidR="00FA2FF9" w:rsidRPr="00730DE4" w:rsidRDefault="00FA2FF9" w:rsidP="001D7404">
      <w:pPr>
        <w:pStyle w:val="ListBullet"/>
        <w:rPr>
          <w:lang w:val="en-US"/>
        </w:rPr>
      </w:pPr>
      <w:r w:rsidRPr="00730DE4">
        <w:rPr>
          <w:lang w:val="en-US"/>
        </w:rPr>
        <w:t xml:space="preserve">examination of 2023–24 Budget Estimates </w:t>
      </w:r>
    </w:p>
    <w:p w14:paraId="05A2AD2E" w14:textId="77777777" w:rsidR="00FA2FF9" w:rsidRPr="00730DE4" w:rsidRDefault="00FA2FF9" w:rsidP="001D7404">
      <w:pPr>
        <w:pStyle w:val="ListBullet"/>
        <w:rPr>
          <w:lang w:val="en-US"/>
        </w:rPr>
      </w:pPr>
      <w:r w:rsidRPr="00730DE4">
        <w:rPr>
          <w:lang w:val="en-US"/>
        </w:rPr>
        <w:t xml:space="preserve">consideration of TMR's 2022–23 Annual Report </w:t>
      </w:r>
    </w:p>
    <w:p w14:paraId="4CDA6C3E" w14:textId="77777777" w:rsidR="00FA2FF9" w:rsidRPr="00730DE4" w:rsidRDefault="00FA2FF9" w:rsidP="001D7404">
      <w:pPr>
        <w:pStyle w:val="ListBullet"/>
        <w:rPr>
          <w:lang w:val="en-US"/>
        </w:rPr>
      </w:pPr>
      <w:r w:rsidRPr="00730DE4">
        <w:rPr>
          <w:lang w:val="en-US"/>
        </w:rPr>
        <w:t>inquiry into the state-controlled roads from Birdsville to Bedourie and Birdsville to Windorah.</w:t>
      </w:r>
    </w:p>
    <w:p w14:paraId="727758A4" w14:textId="77777777" w:rsidR="00FA2FF9" w:rsidRPr="00730DE4" w:rsidRDefault="00FA2FF9" w:rsidP="002B7001">
      <w:pPr>
        <w:pStyle w:val="Heading2"/>
      </w:pPr>
      <w:bookmarkStart w:id="1401" w:name="_Toc180490895"/>
      <w:bookmarkStart w:id="1402" w:name="_Toc180491928"/>
      <w:r w:rsidRPr="00730DE4">
        <w:t>Risk management</w:t>
      </w:r>
      <w:bookmarkEnd w:id="1401"/>
      <w:bookmarkEnd w:id="1402"/>
    </w:p>
    <w:p w14:paraId="67908EC7" w14:textId="77777777" w:rsidR="00FA2FF9" w:rsidRPr="00730DE4" w:rsidRDefault="00FA2FF9" w:rsidP="008B330D">
      <w:pPr>
        <w:rPr>
          <w:lang w:val="en-US"/>
        </w:rPr>
      </w:pPr>
      <w:r w:rsidRPr="00730DE4">
        <w:rPr>
          <w:lang w:val="en-US"/>
        </w:rPr>
        <w:t>Risk management is an important element of good corporate governance. It is essential for TMR to embed risk management practices into TMR's operations, so the department can anticipate, assess, and manage potential challenges, foster resilience, and ensure the continued growth and development to achieve its strategic and operational objectives.</w:t>
      </w:r>
    </w:p>
    <w:p w14:paraId="2FC2443B" w14:textId="77777777" w:rsidR="00FA2FF9" w:rsidRPr="00730DE4" w:rsidRDefault="00FA2FF9" w:rsidP="008B330D">
      <w:pPr>
        <w:rPr>
          <w:lang w:val="en-US"/>
        </w:rPr>
      </w:pPr>
      <w:r w:rsidRPr="00730DE4">
        <w:rPr>
          <w:lang w:val="en-US"/>
        </w:rPr>
        <w:t xml:space="preserve">TMR’s risk management framework is based on the international standard ISO31000:2018 Risk Management – Guideline, and the approach is in accordance with the obligations outlined in the </w:t>
      </w:r>
      <w:r w:rsidRPr="00730DE4">
        <w:rPr>
          <w:rStyle w:val="Emphasis"/>
        </w:rPr>
        <w:t>Financial Accountability Act 2009</w:t>
      </w:r>
      <w:r w:rsidRPr="00730DE4">
        <w:rPr>
          <w:lang w:val="en-US"/>
        </w:rPr>
        <w:t xml:space="preserve"> and the </w:t>
      </w:r>
      <w:r w:rsidRPr="00730DE4">
        <w:rPr>
          <w:rStyle w:val="Emphasis"/>
        </w:rPr>
        <w:t>Financial and Performance Management Standard 2019</w:t>
      </w:r>
      <w:r w:rsidRPr="00730DE4">
        <w:rPr>
          <w:lang w:val="en-US"/>
        </w:rPr>
        <w:t>. Overall accountability for risk management resides with the Director-General, is exercised through the Executive Leadership Team, and is the responsibility of everyone throughout TMR.</w:t>
      </w:r>
    </w:p>
    <w:p w14:paraId="4AC06067" w14:textId="77777777" w:rsidR="00FA2FF9" w:rsidRPr="00730DE4" w:rsidRDefault="00FA2FF9" w:rsidP="008B330D">
      <w:pPr>
        <w:rPr>
          <w:lang w:val="en-US"/>
        </w:rPr>
      </w:pPr>
      <w:r w:rsidRPr="00730DE4">
        <w:rPr>
          <w:lang w:val="en-US"/>
        </w:rPr>
        <w:t>Key achievements during 2023–24 include:</w:t>
      </w:r>
    </w:p>
    <w:p w14:paraId="513F2882" w14:textId="77777777" w:rsidR="00FA2FF9" w:rsidRPr="00730DE4" w:rsidRDefault="00FA2FF9" w:rsidP="008B330D">
      <w:pPr>
        <w:pStyle w:val="ListBullet"/>
        <w:rPr>
          <w:lang w:val="en-US"/>
        </w:rPr>
      </w:pPr>
      <w:r w:rsidRPr="00730DE4">
        <w:rPr>
          <w:lang w:val="en-US"/>
        </w:rPr>
        <w:t>focused on updating strategic risks and opportunities, reviewing key operational risks at the departmental level (known as enterprise operating risks) through regular risk workshops and meetings, and improved risk reporting and documentation enhancements</w:t>
      </w:r>
    </w:p>
    <w:p w14:paraId="7F01DBF0" w14:textId="77777777" w:rsidR="00FA2FF9" w:rsidRPr="00730DE4" w:rsidRDefault="00FA2FF9" w:rsidP="008B330D">
      <w:pPr>
        <w:pStyle w:val="ListBullet"/>
        <w:rPr>
          <w:lang w:val="en-US"/>
        </w:rPr>
      </w:pPr>
      <w:r w:rsidRPr="00730DE4">
        <w:rPr>
          <w:lang w:val="en-US"/>
        </w:rPr>
        <w:t>continuously promoted consistent risk management practices and built risk management maturity across TMR through the local Risk Management Reference Group members and other relevant risk stakeholders</w:t>
      </w:r>
    </w:p>
    <w:p w14:paraId="055F88CB" w14:textId="77777777" w:rsidR="00FA2FF9" w:rsidRPr="00730DE4" w:rsidRDefault="00FA2FF9" w:rsidP="008B330D">
      <w:pPr>
        <w:pStyle w:val="ListBullet"/>
        <w:rPr>
          <w:lang w:val="en-US"/>
        </w:rPr>
      </w:pPr>
      <w:r w:rsidRPr="00730DE4">
        <w:rPr>
          <w:lang w:val="en-US"/>
        </w:rPr>
        <w:t xml:space="preserve">conducted a comprehensive review of </w:t>
      </w:r>
      <w:r w:rsidRPr="00730DE4">
        <w:rPr>
          <w:rStyle w:val="Emphasis"/>
        </w:rPr>
        <w:t>TMR Risk and Opportunity Appetite Statement</w:t>
      </w:r>
      <w:r w:rsidRPr="00730DE4">
        <w:rPr>
          <w:lang w:val="en-US"/>
        </w:rPr>
        <w:t xml:space="preserve"> by incorporating innovation/opportunity appetite in key areas, aligning with the updated Strategic Plan and current Risk Assessment and Rating Matrix</w:t>
      </w:r>
    </w:p>
    <w:p w14:paraId="3D0F77F0" w14:textId="77777777" w:rsidR="00FA2FF9" w:rsidRPr="00730DE4" w:rsidRDefault="00FA2FF9" w:rsidP="008B330D">
      <w:pPr>
        <w:pStyle w:val="ListBullet"/>
        <w:rPr>
          <w:lang w:val="en-US"/>
        </w:rPr>
      </w:pPr>
      <w:r w:rsidRPr="00730DE4">
        <w:rPr>
          <w:lang w:val="en-US"/>
        </w:rPr>
        <w:t>included a risk section in the Quarterly Performance Reporting and updated the risk dashboard presentation to the ELT and ARC, providing more trend analysis and key risk insights</w:t>
      </w:r>
    </w:p>
    <w:p w14:paraId="157901C4" w14:textId="77777777" w:rsidR="00FA2FF9" w:rsidRPr="00730DE4" w:rsidRDefault="00FA2FF9" w:rsidP="008B330D">
      <w:pPr>
        <w:pStyle w:val="ListBullet"/>
        <w:rPr>
          <w:lang w:val="en-US"/>
        </w:rPr>
      </w:pPr>
      <w:r w:rsidRPr="00730DE4">
        <w:rPr>
          <w:lang w:val="en-US"/>
        </w:rPr>
        <w:t>developed fit-for-purpose risk management training modules and communicated across the department to promote risk awareness and increase risk management capability</w:t>
      </w:r>
    </w:p>
    <w:p w14:paraId="5E456BEE" w14:textId="77777777" w:rsidR="00FA2FF9" w:rsidRPr="00730DE4" w:rsidRDefault="00FA2FF9" w:rsidP="008B330D">
      <w:pPr>
        <w:pStyle w:val="ListBullet"/>
        <w:rPr>
          <w:lang w:val="en-US"/>
        </w:rPr>
      </w:pPr>
      <w:r w:rsidRPr="00730DE4">
        <w:rPr>
          <w:lang w:val="en-US"/>
        </w:rPr>
        <w:t>updated the emerging risk management process to develop a proactive approach of staying ahead of potential threats and capitalising on emerging opportunities.</w:t>
      </w:r>
    </w:p>
    <w:p w14:paraId="284A7E5A" w14:textId="77777777" w:rsidR="00FA2FF9" w:rsidRPr="00730DE4" w:rsidRDefault="00FA2FF9" w:rsidP="002B7001">
      <w:pPr>
        <w:pStyle w:val="Heading3"/>
        <w:rPr>
          <w:lang w:val="en-US"/>
        </w:rPr>
      </w:pPr>
      <w:bookmarkStart w:id="1403" w:name="_Toc180487690"/>
      <w:bookmarkStart w:id="1404" w:name="_Toc180490896"/>
      <w:bookmarkStart w:id="1405" w:name="_Toc180491929"/>
      <w:r w:rsidRPr="00730DE4">
        <w:rPr>
          <w:lang w:val="en-US"/>
        </w:rPr>
        <w:t>Strategic risks and risk appetite</w:t>
      </w:r>
      <w:bookmarkEnd w:id="1403"/>
      <w:bookmarkEnd w:id="1404"/>
      <w:bookmarkEnd w:id="1405"/>
    </w:p>
    <w:p w14:paraId="4CDE03F5" w14:textId="77777777" w:rsidR="00FA2FF9" w:rsidRPr="00730DE4" w:rsidRDefault="00FA2FF9" w:rsidP="008B330D">
      <w:pPr>
        <w:rPr>
          <w:lang w:val="en-US"/>
        </w:rPr>
      </w:pPr>
      <w:r w:rsidRPr="00730DE4">
        <w:rPr>
          <w:lang w:val="en-US"/>
        </w:rPr>
        <w:t>Strategic risks are those risks that could significantly affect and impact on TMR’s ability to deliver its vision and strategic objectives.</w:t>
      </w:r>
    </w:p>
    <w:p w14:paraId="7C4AAFDB" w14:textId="77777777" w:rsidR="00FA2FF9" w:rsidRPr="00730DE4" w:rsidRDefault="00FA2FF9" w:rsidP="008B330D">
      <w:pPr>
        <w:rPr>
          <w:lang w:val="en-US"/>
        </w:rPr>
      </w:pPr>
      <w:r w:rsidRPr="00730DE4">
        <w:rPr>
          <w:lang w:val="en-US"/>
        </w:rPr>
        <w:t>In TMR, the updated strategic risks cover key risk areas such as accessible and integrated transport system, customer and community safety, adapting to climate change, financial sustainability, workforce challenge, ICT systems and cyber security, supply chain impact and critical projects, and major events delivery.</w:t>
      </w:r>
    </w:p>
    <w:p w14:paraId="58496D4D" w14:textId="77777777" w:rsidR="00FA2FF9" w:rsidRPr="00730DE4" w:rsidRDefault="00FA2FF9" w:rsidP="008B330D">
      <w:pPr>
        <w:rPr>
          <w:lang w:val="en-US"/>
        </w:rPr>
      </w:pPr>
      <w:r w:rsidRPr="00730DE4">
        <w:rPr>
          <w:lang w:val="en-US"/>
        </w:rPr>
        <w:t>Maximising the value of data and optimising capacity and capability in multi-modal networks was identified as strategic opportunities. These risks and opportunities are regularly reviewed through risk workshops, and are reported and monitored through the ELT and ARC.</w:t>
      </w:r>
    </w:p>
    <w:p w14:paraId="13F30FD9" w14:textId="77777777" w:rsidR="00FA2FF9" w:rsidRPr="00730DE4" w:rsidRDefault="00FA2FF9" w:rsidP="008B330D">
      <w:pPr>
        <w:rPr>
          <w:lang w:val="en-US"/>
        </w:rPr>
      </w:pPr>
      <w:r w:rsidRPr="00730DE4">
        <w:rPr>
          <w:lang w:val="en-US"/>
        </w:rPr>
        <w:t>Risk appetite is the amount of risk which TMR considers to be acceptable in pursuit of its strategic and operational objectives. It is set on the basis that TMR must accept a certain level of risk to achieve its strategic and business objectives.</w:t>
      </w:r>
    </w:p>
    <w:p w14:paraId="3CBF879C" w14:textId="23315630" w:rsidR="00264714" w:rsidRPr="00730DE4" w:rsidRDefault="00FA2FF9" w:rsidP="005B60B8">
      <w:pPr>
        <w:rPr>
          <w:rFonts w:eastAsiaTheme="majorEastAsia" w:cstheme="majorBidi"/>
          <w:b/>
          <w:color w:val="080C0F" w:themeColor="text1"/>
          <w:sz w:val="72"/>
          <w:szCs w:val="36"/>
        </w:rPr>
      </w:pPr>
      <w:r w:rsidRPr="00730DE4">
        <w:rPr>
          <w:lang w:val="en-US"/>
        </w:rPr>
        <w:t xml:space="preserve">In 2023–24, the ELT reassessed </w:t>
      </w:r>
      <w:r w:rsidRPr="00730DE4">
        <w:rPr>
          <w:rStyle w:val="Emphasis"/>
        </w:rPr>
        <w:t>TMR Risk and Opportunity Appetite Statement</w:t>
      </w:r>
      <w:r w:rsidRPr="00730DE4">
        <w:rPr>
          <w:lang w:val="en-US"/>
        </w:rPr>
        <w:t xml:space="preserve"> by adjusting the risk appetite/tolerance in key risk areas to accommodate the changing operating environment and incorporating opportunity aspects to support and nourish an innovation culture.</w:t>
      </w:r>
      <w:r w:rsidR="00264714" w:rsidRPr="00730DE4">
        <w:br w:type="page"/>
      </w:r>
    </w:p>
    <w:p w14:paraId="69BBCB13" w14:textId="06E5E645" w:rsidR="00797970" w:rsidRPr="00730DE4" w:rsidRDefault="00797970" w:rsidP="002B7001">
      <w:pPr>
        <w:pStyle w:val="Heading1"/>
      </w:pPr>
      <w:bookmarkStart w:id="1406" w:name="_Toc180490897"/>
      <w:bookmarkStart w:id="1407" w:name="_Toc180491930"/>
      <w:r w:rsidRPr="00730DE4">
        <w:t>Financial statements</w:t>
      </w:r>
      <w:bookmarkEnd w:id="1406"/>
      <w:bookmarkEnd w:id="1407"/>
    </w:p>
    <w:p w14:paraId="40C3D818" w14:textId="77777777" w:rsidR="00730DE4" w:rsidRDefault="00730DE4" w:rsidP="004E70C6">
      <w:pPr>
        <w:pStyle w:val="NoSpacing"/>
        <w:rPr>
          <w:sz w:val="24"/>
          <w:szCs w:val="24"/>
        </w:rPr>
      </w:pPr>
      <w:r w:rsidRPr="00730DE4">
        <w:rPr>
          <w:sz w:val="24"/>
          <w:szCs w:val="24"/>
        </w:rPr>
        <w:t>As at 30 June 2024</w:t>
      </w:r>
    </w:p>
    <w:sdt>
      <w:sdtPr>
        <w:rPr>
          <w:rFonts w:asciiTheme="minorHAnsi" w:eastAsiaTheme="minorHAnsi" w:hAnsiTheme="minorHAnsi" w:cstheme="minorHAnsi"/>
          <w:b w:val="0"/>
          <w:color w:val="18242E" w:themeColor="text1" w:themeTint="E6"/>
          <w:sz w:val="20"/>
          <w:szCs w:val="20"/>
        </w:rPr>
        <w:id w:val="-260461142"/>
        <w:docPartObj>
          <w:docPartGallery w:val="Table of Contents"/>
          <w:docPartUnique/>
        </w:docPartObj>
      </w:sdtPr>
      <w:sdtEndPr>
        <w:rPr>
          <w:bCs/>
          <w:noProof/>
        </w:rPr>
      </w:sdtEndPr>
      <w:sdtContent>
        <w:p w14:paraId="55A162DC" w14:textId="77777777" w:rsidR="00445D40" w:rsidRPr="00361176" w:rsidRDefault="00445D40" w:rsidP="00445D40">
          <w:pPr>
            <w:pStyle w:val="TOCHeading"/>
            <w:rPr>
              <w:noProof/>
            </w:rPr>
          </w:pPr>
          <w:r>
            <w:t>Contents</w:t>
          </w:r>
          <w:r>
            <w:fldChar w:fldCharType="begin"/>
          </w:r>
          <w:r>
            <w:instrText xml:space="preserve"> TOC \o "1-5" \h \z \u </w:instrText>
          </w:r>
          <w:r>
            <w:fldChar w:fldCharType="separate"/>
          </w:r>
        </w:p>
        <w:p w14:paraId="09EDB7A8" w14:textId="69CD95C8" w:rsidR="00445D40" w:rsidRDefault="00000000" w:rsidP="00445D40">
          <w:pPr>
            <w:pStyle w:val="TOC1"/>
            <w:tabs>
              <w:tab w:val="right" w:leader="dot" w:pos="9060"/>
            </w:tabs>
            <w:rPr>
              <w:rFonts w:eastAsiaTheme="minorEastAsia" w:cstheme="minorBidi"/>
              <w:b w:val="0"/>
              <w:bCs w:val="0"/>
              <w:noProof/>
              <w:color w:val="auto"/>
              <w:kern w:val="2"/>
              <w:sz w:val="22"/>
              <w:szCs w:val="22"/>
              <w:lang w:eastAsia="en-AU"/>
              <w14:ligatures w14:val="standardContextual"/>
            </w:rPr>
          </w:pPr>
          <w:hyperlink w:anchor="_Toc180491930" w:history="1">
            <w:r w:rsidR="00445D40" w:rsidRPr="00CC780B">
              <w:rPr>
                <w:rStyle w:val="Hyperlink"/>
                <w:noProof/>
              </w:rPr>
              <w:t>Financial statements</w:t>
            </w:r>
            <w:r w:rsidR="00445D40">
              <w:rPr>
                <w:noProof/>
                <w:webHidden/>
              </w:rPr>
              <w:tab/>
            </w:r>
            <w:r w:rsidR="00445D40">
              <w:rPr>
                <w:noProof/>
                <w:webHidden/>
              </w:rPr>
              <w:fldChar w:fldCharType="begin"/>
            </w:r>
            <w:r w:rsidR="00445D40">
              <w:rPr>
                <w:noProof/>
                <w:webHidden/>
              </w:rPr>
              <w:instrText xml:space="preserve"> PAGEREF _Toc180491930 \h </w:instrText>
            </w:r>
            <w:r w:rsidR="00445D40">
              <w:rPr>
                <w:noProof/>
                <w:webHidden/>
              </w:rPr>
            </w:r>
            <w:r w:rsidR="00445D40">
              <w:rPr>
                <w:noProof/>
                <w:webHidden/>
              </w:rPr>
              <w:fldChar w:fldCharType="separate"/>
            </w:r>
            <w:r w:rsidR="00445D40">
              <w:rPr>
                <w:noProof/>
                <w:webHidden/>
              </w:rPr>
              <w:t>282</w:t>
            </w:r>
            <w:r w:rsidR="00445D40">
              <w:rPr>
                <w:noProof/>
                <w:webHidden/>
              </w:rPr>
              <w:fldChar w:fldCharType="end"/>
            </w:r>
          </w:hyperlink>
        </w:p>
        <w:p w14:paraId="7FAB5848" w14:textId="5F389C44" w:rsidR="00445D40" w:rsidRDefault="00000000" w:rsidP="00445D40">
          <w:pPr>
            <w:pStyle w:val="TOC2"/>
            <w:rPr>
              <w:rFonts w:eastAsiaTheme="minorEastAsia" w:cstheme="minorBidi"/>
              <w:iCs w:val="0"/>
              <w:noProof/>
              <w:color w:val="auto"/>
              <w:kern w:val="2"/>
              <w:sz w:val="22"/>
              <w:szCs w:val="22"/>
              <w:lang w:eastAsia="en-AU"/>
              <w14:ligatures w14:val="standardContextual"/>
            </w:rPr>
          </w:pPr>
          <w:hyperlink w:anchor="_Toc180491931" w:history="1">
            <w:r w:rsidR="00445D40" w:rsidRPr="00CC780B">
              <w:rPr>
                <w:rStyle w:val="Hyperlink"/>
                <w:noProof/>
              </w:rPr>
              <w:t>Statement of comprehensive income</w:t>
            </w:r>
            <w:r w:rsidR="00445D40">
              <w:rPr>
                <w:noProof/>
                <w:webHidden/>
              </w:rPr>
              <w:tab/>
            </w:r>
            <w:r w:rsidR="00445D40">
              <w:rPr>
                <w:noProof/>
                <w:webHidden/>
              </w:rPr>
              <w:fldChar w:fldCharType="begin"/>
            </w:r>
            <w:r w:rsidR="00445D40">
              <w:rPr>
                <w:noProof/>
                <w:webHidden/>
              </w:rPr>
              <w:instrText xml:space="preserve"> PAGEREF _Toc180491931 \h </w:instrText>
            </w:r>
            <w:r w:rsidR="00445D40">
              <w:rPr>
                <w:noProof/>
                <w:webHidden/>
              </w:rPr>
            </w:r>
            <w:r w:rsidR="00445D40">
              <w:rPr>
                <w:noProof/>
                <w:webHidden/>
              </w:rPr>
              <w:fldChar w:fldCharType="separate"/>
            </w:r>
            <w:r w:rsidR="00445D40">
              <w:rPr>
                <w:noProof/>
                <w:webHidden/>
              </w:rPr>
              <w:t>284</w:t>
            </w:r>
            <w:r w:rsidR="00445D40">
              <w:rPr>
                <w:noProof/>
                <w:webHidden/>
              </w:rPr>
              <w:fldChar w:fldCharType="end"/>
            </w:r>
          </w:hyperlink>
        </w:p>
        <w:p w14:paraId="6B66C175" w14:textId="50EB408C" w:rsidR="00445D40" w:rsidRDefault="00000000" w:rsidP="00445D40">
          <w:pPr>
            <w:pStyle w:val="TOC2"/>
            <w:rPr>
              <w:rFonts w:eastAsiaTheme="minorEastAsia" w:cstheme="minorBidi"/>
              <w:iCs w:val="0"/>
              <w:noProof/>
              <w:color w:val="auto"/>
              <w:kern w:val="2"/>
              <w:sz w:val="22"/>
              <w:szCs w:val="22"/>
              <w:lang w:eastAsia="en-AU"/>
              <w14:ligatures w14:val="standardContextual"/>
            </w:rPr>
          </w:pPr>
          <w:hyperlink w:anchor="_Toc180491932" w:history="1">
            <w:r w:rsidR="00445D40" w:rsidRPr="00CC780B">
              <w:rPr>
                <w:rStyle w:val="Hyperlink"/>
                <w:noProof/>
              </w:rPr>
              <w:t>Statement of financial position</w:t>
            </w:r>
            <w:r w:rsidR="00445D40">
              <w:rPr>
                <w:noProof/>
                <w:webHidden/>
              </w:rPr>
              <w:tab/>
            </w:r>
            <w:r w:rsidR="00445D40">
              <w:rPr>
                <w:noProof/>
                <w:webHidden/>
              </w:rPr>
              <w:fldChar w:fldCharType="begin"/>
            </w:r>
            <w:r w:rsidR="00445D40">
              <w:rPr>
                <w:noProof/>
                <w:webHidden/>
              </w:rPr>
              <w:instrText xml:space="preserve"> PAGEREF _Toc180491932 \h </w:instrText>
            </w:r>
            <w:r w:rsidR="00445D40">
              <w:rPr>
                <w:noProof/>
                <w:webHidden/>
              </w:rPr>
            </w:r>
            <w:r w:rsidR="00445D40">
              <w:rPr>
                <w:noProof/>
                <w:webHidden/>
              </w:rPr>
              <w:fldChar w:fldCharType="separate"/>
            </w:r>
            <w:r w:rsidR="00445D40">
              <w:rPr>
                <w:noProof/>
                <w:webHidden/>
              </w:rPr>
              <w:t>285</w:t>
            </w:r>
            <w:r w:rsidR="00445D40">
              <w:rPr>
                <w:noProof/>
                <w:webHidden/>
              </w:rPr>
              <w:fldChar w:fldCharType="end"/>
            </w:r>
          </w:hyperlink>
        </w:p>
        <w:p w14:paraId="601896B8" w14:textId="72C229FD" w:rsidR="00445D40" w:rsidRDefault="00000000" w:rsidP="00445D40">
          <w:pPr>
            <w:pStyle w:val="TOC2"/>
            <w:rPr>
              <w:rFonts w:eastAsiaTheme="minorEastAsia" w:cstheme="minorBidi"/>
              <w:iCs w:val="0"/>
              <w:noProof/>
              <w:color w:val="auto"/>
              <w:kern w:val="2"/>
              <w:sz w:val="22"/>
              <w:szCs w:val="22"/>
              <w:lang w:eastAsia="en-AU"/>
              <w14:ligatures w14:val="standardContextual"/>
            </w:rPr>
          </w:pPr>
          <w:hyperlink w:anchor="_Toc180491933" w:history="1">
            <w:r w:rsidR="00445D40" w:rsidRPr="00CC780B">
              <w:rPr>
                <w:rStyle w:val="Hyperlink"/>
                <w:noProof/>
              </w:rPr>
              <w:t>Statement of comprehensive income by major departmental services</w:t>
            </w:r>
            <w:r w:rsidR="00445D40">
              <w:rPr>
                <w:noProof/>
                <w:webHidden/>
              </w:rPr>
              <w:tab/>
            </w:r>
            <w:r w:rsidR="00445D40">
              <w:rPr>
                <w:noProof/>
                <w:webHidden/>
              </w:rPr>
              <w:fldChar w:fldCharType="begin"/>
            </w:r>
            <w:r w:rsidR="00445D40">
              <w:rPr>
                <w:noProof/>
                <w:webHidden/>
              </w:rPr>
              <w:instrText xml:space="preserve"> PAGEREF _Toc180491933 \h </w:instrText>
            </w:r>
            <w:r w:rsidR="00445D40">
              <w:rPr>
                <w:noProof/>
                <w:webHidden/>
              </w:rPr>
            </w:r>
            <w:r w:rsidR="00445D40">
              <w:rPr>
                <w:noProof/>
                <w:webHidden/>
              </w:rPr>
              <w:fldChar w:fldCharType="separate"/>
            </w:r>
            <w:r w:rsidR="00445D40">
              <w:rPr>
                <w:noProof/>
                <w:webHidden/>
              </w:rPr>
              <w:t>286</w:t>
            </w:r>
            <w:r w:rsidR="00445D40">
              <w:rPr>
                <w:noProof/>
                <w:webHidden/>
              </w:rPr>
              <w:fldChar w:fldCharType="end"/>
            </w:r>
          </w:hyperlink>
        </w:p>
        <w:p w14:paraId="2A5AFC5E" w14:textId="155F5925" w:rsidR="00445D40" w:rsidRDefault="00000000" w:rsidP="00445D40">
          <w:pPr>
            <w:pStyle w:val="TOC2"/>
            <w:rPr>
              <w:rFonts w:eastAsiaTheme="minorEastAsia" w:cstheme="minorBidi"/>
              <w:iCs w:val="0"/>
              <w:noProof/>
              <w:color w:val="auto"/>
              <w:kern w:val="2"/>
              <w:sz w:val="22"/>
              <w:szCs w:val="22"/>
              <w:lang w:eastAsia="en-AU"/>
              <w14:ligatures w14:val="standardContextual"/>
            </w:rPr>
          </w:pPr>
          <w:hyperlink w:anchor="_Toc180491934" w:history="1">
            <w:r w:rsidR="00445D40" w:rsidRPr="00CC780B">
              <w:rPr>
                <w:rStyle w:val="Hyperlink"/>
                <w:noProof/>
              </w:rPr>
              <w:t>Statement of assets and liabilities by major departmental services</w:t>
            </w:r>
            <w:r w:rsidR="00445D40">
              <w:rPr>
                <w:noProof/>
                <w:webHidden/>
              </w:rPr>
              <w:tab/>
            </w:r>
            <w:r w:rsidR="00445D40">
              <w:rPr>
                <w:noProof/>
                <w:webHidden/>
              </w:rPr>
              <w:fldChar w:fldCharType="begin"/>
            </w:r>
            <w:r w:rsidR="00445D40">
              <w:rPr>
                <w:noProof/>
                <w:webHidden/>
              </w:rPr>
              <w:instrText xml:space="preserve"> PAGEREF _Toc180491934 \h </w:instrText>
            </w:r>
            <w:r w:rsidR="00445D40">
              <w:rPr>
                <w:noProof/>
                <w:webHidden/>
              </w:rPr>
            </w:r>
            <w:r w:rsidR="00445D40">
              <w:rPr>
                <w:noProof/>
                <w:webHidden/>
              </w:rPr>
              <w:fldChar w:fldCharType="separate"/>
            </w:r>
            <w:r w:rsidR="00445D40">
              <w:rPr>
                <w:noProof/>
                <w:webHidden/>
              </w:rPr>
              <w:t>290</w:t>
            </w:r>
            <w:r w:rsidR="00445D40">
              <w:rPr>
                <w:noProof/>
                <w:webHidden/>
              </w:rPr>
              <w:fldChar w:fldCharType="end"/>
            </w:r>
          </w:hyperlink>
        </w:p>
        <w:p w14:paraId="7F906EB9" w14:textId="3DCC5F8C" w:rsidR="00445D40" w:rsidRDefault="00000000" w:rsidP="00445D40">
          <w:pPr>
            <w:pStyle w:val="TOC2"/>
            <w:rPr>
              <w:rFonts w:eastAsiaTheme="minorEastAsia" w:cstheme="minorBidi"/>
              <w:iCs w:val="0"/>
              <w:noProof/>
              <w:color w:val="auto"/>
              <w:kern w:val="2"/>
              <w:sz w:val="22"/>
              <w:szCs w:val="22"/>
              <w:lang w:eastAsia="en-AU"/>
              <w14:ligatures w14:val="standardContextual"/>
            </w:rPr>
          </w:pPr>
          <w:hyperlink w:anchor="_Toc180491935" w:history="1">
            <w:r w:rsidR="00445D40" w:rsidRPr="00CC780B">
              <w:rPr>
                <w:rStyle w:val="Hyperlink"/>
                <w:noProof/>
              </w:rPr>
              <w:t>Statement of changes in equity</w:t>
            </w:r>
            <w:r w:rsidR="00445D40">
              <w:rPr>
                <w:noProof/>
                <w:webHidden/>
              </w:rPr>
              <w:tab/>
            </w:r>
            <w:r w:rsidR="00445D40">
              <w:rPr>
                <w:noProof/>
                <w:webHidden/>
              </w:rPr>
              <w:fldChar w:fldCharType="begin"/>
            </w:r>
            <w:r w:rsidR="00445D40">
              <w:rPr>
                <w:noProof/>
                <w:webHidden/>
              </w:rPr>
              <w:instrText xml:space="preserve"> PAGEREF _Toc180491935 \h </w:instrText>
            </w:r>
            <w:r w:rsidR="00445D40">
              <w:rPr>
                <w:noProof/>
                <w:webHidden/>
              </w:rPr>
            </w:r>
            <w:r w:rsidR="00445D40">
              <w:rPr>
                <w:noProof/>
                <w:webHidden/>
              </w:rPr>
              <w:fldChar w:fldCharType="separate"/>
            </w:r>
            <w:r w:rsidR="00445D40">
              <w:rPr>
                <w:noProof/>
                <w:webHidden/>
              </w:rPr>
              <w:t>294</w:t>
            </w:r>
            <w:r w:rsidR="00445D40">
              <w:rPr>
                <w:noProof/>
                <w:webHidden/>
              </w:rPr>
              <w:fldChar w:fldCharType="end"/>
            </w:r>
          </w:hyperlink>
        </w:p>
        <w:p w14:paraId="62F4A179" w14:textId="42D1333A" w:rsidR="00445D40" w:rsidRDefault="00000000" w:rsidP="00445D40">
          <w:pPr>
            <w:pStyle w:val="TOC2"/>
            <w:rPr>
              <w:rFonts w:eastAsiaTheme="minorEastAsia" w:cstheme="minorBidi"/>
              <w:iCs w:val="0"/>
              <w:noProof/>
              <w:color w:val="auto"/>
              <w:kern w:val="2"/>
              <w:sz w:val="22"/>
              <w:szCs w:val="22"/>
              <w:lang w:eastAsia="en-AU"/>
              <w14:ligatures w14:val="standardContextual"/>
            </w:rPr>
          </w:pPr>
          <w:hyperlink w:anchor="_Toc180491936" w:history="1">
            <w:r w:rsidR="00445D40" w:rsidRPr="00CC780B">
              <w:rPr>
                <w:rStyle w:val="Hyperlink"/>
                <w:noProof/>
              </w:rPr>
              <w:t>Statement of cash flows</w:t>
            </w:r>
            <w:r w:rsidR="00445D40">
              <w:rPr>
                <w:noProof/>
                <w:webHidden/>
              </w:rPr>
              <w:tab/>
            </w:r>
            <w:r w:rsidR="00445D40">
              <w:rPr>
                <w:noProof/>
                <w:webHidden/>
              </w:rPr>
              <w:fldChar w:fldCharType="begin"/>
            </w:r>
            <w:r w:rsidR="00445D40">
              <w:rPr>
                <w:noProof/>
                <w:webHidden/>
              </w:rPr>
              <w:instrText xml:space="preserve"> PAGEREF _Toc180491936 \h </w:instrText>
            </w:r>
            <w:r w:rsidR="00445D40">
              <w:rPr>
                <w:noProof/>
                <w:webHidden/>
              </w:rPr>
            </w:r>
            <w:r w:rsidR="00445D40">
              <w:rPr>
                <w:noProof/>
                <w:webHidden/>
              </w:rPr>
              <w:fldChar w:fldCharType="separate"/>
            </w:r>
            <w:r w:rsidR="00445D40">
              <w:rPr>
                <w:noProof/>
                <w:webHidden/>
              </w:rPr>
              <w:t>295</w:t>
            </w:r>
            <w:r w:rsidR="00445D40">
              <w:rPr>
                <w:noProof/>
                <w:webHidden/>
              </w:rPr>
              <w:fldChar w:fldCharType="end"/>
            </w:r>
          </w:hyperlink>
        </w:p>
        <w:p w14:paraId="5DE378F2" w14:textId="1B9A7B7B" w:rsidR="00445D40" w:rsidRDefault="00000000" w:rsidP="00445D40">
          <w:pPr>
            <w:pStyle w:val="TOC2"/>
            <w:rPr>
              <w:rFonts w:eastAsiaTheme="minorEastAsia" w:cstheme="minorBidi"/>
              <w:iCs w:val="0"/>
              <w:noProof/>
              <w:color w:val="auto"/>
              <w:kern w:val="2"/>
              <w:sz w:val="22"/>
              <w:szCs w:val="22"/>
              <w:lang w:eastAsia="en-AU"/>
              <w14:ligatures w14:val="standardContextual"/>
            </w:rPr>
          </w:pPr>
          <w:hyperlink w:anchor="_Toc180491937" w:history="1">
            <w:r w:rsidR="00445D40" w:rsidRPr="00CC780B">
              <w:rPr>
                <w:rStyle w:val="Hyperlink"/>
                <w:noProof/>
              </w:rPr>
              <w:t>Notes to the Statement of cash flows</w:t>
            </w:r>
            <w:r w:rsidR="00445D40">
              <w:rPr>
                <w:noProof/>
                <w:webHidden/>
              </w:rPr>
              <w:tab/>
            </w:r>
            <w:r w:rsidR="00445D40">
              <w:rPr>
                <w:noProof/>
                <w:webHidden/>
              </w:rPr>
              <w:fldChar w:fldCharType="begin"/>
            </w:r>
            <w:r w:rsidR="00445D40">
              <w:rPr>
                <w:noProof/>
                <w:webHidden/>
              </w:rPr>
              <w:instrText xml:space="preserve"> PAGEREF _Toc180491937 \h </w:instrText>
            </w:r>
            <w:r w:rsidR="00445D40">
              <w:rPr>
                <w:noProof/>
                <w:webHidden/>
              </w:rPr>
            </w:r>
            <w:r w:rsidR="00445D40">
              <w:rPr>
                <w:noProof/>
                <w:webHidden/>
              </w:rPr>
              <w:fldChar w:fldCharType="separate"/>
            </w:r>
            <w:r w:rsidR="00445D40">
              <w:rPr>
                <w:noProof/>
                <w:webHidden/>
              </w:rPr>
              <w:t>296</w:t>
            </w:r>
            <w:r w:rsidR="00445D40">
              <w:rPr>
                <w:noProof/>
                <w:webHidden/>
              </w:rPr>
              <w:fldChar w:fldCharType="end"/>
            </w:r>
          </w:hyperlink>
        </w:p>
        <w:p w14:paraId="7AA3BB85" w14:textId="156202B8" w:rsidR="00445D40" w:rsidRDefault="00000000" w:rsidP="00445D40">
          <w:pPr>
            <w:pStyle w:val="TOC2"/>
            <w:rPr>
              <w:rFonts w:eastAsiaTheme="minorEastAsia" w:cstheme="minorBidi"/>
              <w:iCs w:val="0"/>
              <w:noProof/>
              <w:color w:val="auto"/>
              <w:kern w:val="2"/>
              <w:sz w:val="22"/>
              <w:szCs w:val="22"/>
              <w:lang w:eastAsia="en-AU"/>
              <w14:ligatures w14:val="standardContextual"/>
            </w:rPr>
          </w:pPr>
          <w:hyperlink w:anchor="_Toc180491938" w:history="1">
            <w:r w:rsidR="00445D40" w:rsidRPr="00CC780B">
              <w:rPr>
                <w:rStyle w:val="Hyperlink"/>
                <w:noProof/>
              </w:rPr>
              <w:t>Notes to the financial statements</w:t>
            </w:r>
            <w:r w:rsidR="00445D40">
              <w:rPr>
                <w:noProof/>
                <w:webHidden/>
              </w:rPr>
              <w:tab/>
            </w:r>
            <w:r w:rsidR="00445D40">
              <w:rPr>
                <w:noProof/>
                <w:webHidden/>
              </w:rPr>
              <w:fldChar w:fldCharType="begin"/>
            </w:r>
            <w:r w:rsidR="00445D40">
              <w:rPr>
                <w:noProof/>
                <w:webHidden/>
              </w:rPr>
              <w:instrText xml:space="preserve"> PAGEREF _Toc180491938 \h </w:instrText>
            </w:r>
            <w:r w:rsidR="00445D40">
              <w:rPr>
                <w:noProof/>
                <w:webHidden/>
              </w:rPr>
            </w:r>
            <w:r w:rsidR="00445D40">
              <w:rPr>
                <w:noProof/>
                <w:webHidden/>
              </w:rPr>
              <w:fldChar w:fldCharType="separate"/>
            </w:r>
            <w:r w:rsidR="00445D40">
              <w:rPr>
                <w:noProof/>
                <w:webHidden/>
              </w:rPr>
              <w:t>297</w:t>
            </w:r>
            <w:r w:rsidR="00445D40">
              <w:rPr>
                <w:noProof/>
                <w:webHidden/>
              </w:rPr>
              <w:fldChar w:fldCharType="end"/>
            </w:r>
          </w:hyperlink>
        </w:p>
        <w:p w14:paraId="765DD4D3" w14:textId="1A96ECE8" w:rsidR="00445D40" w:rsidRDefault="00000000" w:rsidP="00445D40">
          <w:pPr>
            <w:pStyle w:val="TOC3"/>
            <w:tabs>
              <w:tab w:val="right" w:leader="dot" w:pos="9060"/>
            </w:tabs>
            <w:rPr>
              <w:rFonts w:eastAsiaTheme="minorEastAsia" w:cstheme="minorBidi"/>
              <w:noProof/>
              <w:color w:val="auto"/>
              <w:kern w:val="2"/>
              <w:sz w:val="22"/>
              <w:szCs w:val="22"/>
              <w:lang w:eastAsia="en-AU"/>
              <w14:ligatures w14:val="standardContextual"/>
            </w:rPr>
          </w:pPr>
          <w:hyperlink w:anchor="_Toc180491939" w:history="1">
            <w:r w:rsidR="00445D40" w:rsidRPr="00CC780B">
              <w:rPr>
                <w:rStyle w:val="Hyperlink"/>
                <w:rFonts w:eastAsia="Times New Roman"/>
                <w:noProof/>
                <w:lang w:eastAsia="en-AU"/>
              </w:rPr>
              <w:t>How we Operate - Our Departmental Objectives and Activities</w:t>
            </w:r>
            <w:r w:rsidR="00445D40">
              <w:rPr>
                <w:noProof/>
                <w:webHidden/>
              </w:rPr>
              <w:tab/>
            </w:r>
            <w:r w:rsidR="00445D40">
              <w:rPr>
                <w:noProof/>
                <w:webHidden/>
              </w:rPr>
              <w:fldChar w:fldCharType="begin"/>
            </w:r>
            <w:r w:rsidR="00445D40">
              <w:rPr>
                <w:noProof/>
                <w:webHidden/>
              </w:rPr>
              <w:instrText xml:space="preserve"> PAGEREF _Toc180491939 \h </w:instrText>
            </w:r>
            <w:r w:rsidR="00445D40">
              <w:rPr>
                <w:noProof/>
                <w:webHidden/>
              </w:rPr>
            </w:r>
            <w:r w:rsidR="00445D40">
              <w:rPr>
                <w:noProof/>
                <w:webHidden/>
              </w:rPr>
              <w:fldChar w:fldCharType="separate"/>
            </w:r>
            <w:r w:rsidR="00445D40">
              <w:rPr>
                <w:noProof/>
                <w:webHidden/>
              </w:rPr>
              <w:t>297</w:t>
            </w:r>
            <w:r w:rsidR="00445D40">
              <w:rPr>
                <w:noProof/>
                <w:webHidden/>
              </w:rPr>
              <w:fldChar w:fldCharType="end"/>
            </w:r>
          </w:hyperlink>
        </w:p>
        <w:p w14:paraId="08BA9812" w14:textId="69A4D5F0" w:rsidR="00445D40" w:rsidRDefault="00000000" w:rsidP="00445D40">
          <w:pPr>
            <w:pStyle w:val="TOC4"/>
            <w:rPr>
              <w:rFonts w:eastAsiaTheme="minorEastAsia" w:cstheme="minorBidi"/>
              <w:noProof/>
              <w:color w:val="auto"/>
              <w:kern w:val="2"/>
              <w:sz w:val="22"/>
              <w:szCs w:val="22"/>
              <w:lang w:eastAsia="en-AU"/>
              <w14:ligatures w14:val="standardContextual"/>
            </w:rPr>
          </w:pPr>
          <w:hyperlink w:anchor="_Toc180491940" w:history="1">
            <w:r w:rsidR="00445D40" w:rsidRPr="00CC780B">
              <w:rPr>
                <w:rStyle w:val="Hyperlink"/>
                <w:noProof/>
              </w:rPr>
              <w:t>1 Accounting policies and basis for financial statements preparation</w:t>
            </w:r>
            <w:r w:rsidR="00445D40">
              <w:rPr>
                <w:noProof/>
                <w:webHidden/>
              </w:rPr>
              <w:tab/>
            </w:r>
            <w:r w:rsidR="00445D40">
              <w:rPr>
                <w:noProof/>
                <w:webHidden/>
              </w:rPr>
              <w:fldChar w:fldCharType="begin"/>
            </w:r>
            <w:r w:rsidR="00445D40">
              <w:rPr>
                <w:noProof/>
                <w:webHidden/>
              </w:rPr>
              <w:instrText xml:space="preserve"> PAGEREF _Toc180491940 \h </w:instrText>
            </w:r>
            <w:r w:rsidR="00445D40">
              <w:rPr>
                <w:noProof/>
                <w:webHidden/>
              </w:rPr>
            </w:r>
            <w:r w:rsidR="00445D40">
              <w:rPr>
                <w:noProof/>
                <w:webHidden/>
              </w:rPr>
              <w:fldChar w:fldCharType="separate"/>
            </w:r>
            <w:r w:rsidR="00445D40">
              <w:rPr>
                <w:noProof/>
                <w:webHidden/>
              </w:rPr>
              <w:t>297</w:t>
            </w:r>
            <w:r w:rsidR="00445D40">
              <w:rPr>
                <w:noProof/>
                <w:webHidden/>
              </w:rPr>
              <w:fldChar w:fldCharType="end"/>
            </w:r>
          </w:hyperlink>
        </w:p>
        <w:p w14:paraId="79688FED" w14:textId="4B9E2FA4" w:rsidR="00445D40" w:rsidRDefault="00000000" w:rsidP="00445D40">
          <w:pPr>
            <w:pStyle w:val="TOC3"/>
            <w:tabs>
              <w:tab w:val="right" w:leader="dot" w:pos="9060"/>
            </w:tabs>
            <w:rPr>
              <w:rFonts w:eastAsiaTheme="minorEastAsia" w:cstheme="minorBidi"/>
              <w:noProof/>
              <w:color w:val="auto"/>
              <w:kern w:val="2"/>
              <w:sz w:val="22"/>
              <w:szCs w:val="22"/>
              <w:lang w:eastAsia="en-AU"/>
              <w14:ligatures w14:val="standardContextual"/>
            </w:rPr>
          </w:pPr>
          <w:hyperlink w:anchor="_Toc180491950" w:history="1">
            <w:r w:rsidR="00445D40" w:rsidRPr="00CC780B">
              <w:rPr>
                <w:rStyle w:val="Hyperlink"/>
                <w:noProof/>
              </w:rPr>
              <w:t>Notes about our Financial Performance</w:t>
            </w:r>
            <w:r w:rsidR="00445D40">
              <w:rPr>
                <w:noProof/>
                <w:webHidden/>
              </w:rPr>
              <w:tab/>
            </w:r>
            <w:r w:rsidR="00445D40">
              <w:rPr>
                <w:noProof/>
                <w:webHidden/>
              </w:rPr>
              <w:fldChar w:fldCharType="begin"/>
            </w:r>
            <w:r w:rsidR="00445D40">
              <w:rPr>
                <w:noProof/>
                <w:webHidden/>
              </w:rPr>
              <w:instrText xml:space="preserve"> PAGEREF _Toc180491950 \h </w:instrText>
            </w:r>
            <w:r w:rsidR="00445D40">
              <w:rPr>
                <w:noProof/>
                <w:webHidden/>
              </w:rPr>
            </w:r>
            <w:r w:rsidR="00445D40">
              <w:rPr>
                <w:noProof/>
                <w:webHidden/>
              </w:rPr>
              <w:fldChar w:fldCharType="separate"/>
            </w:r>
            <w:r w:rsidR="00445D40">
              <w:rPr>
                <w:noProof/>
                <w:webHidden/>
              </w:rPr>
              <w:t>302</w:t>
            </w:r>
            <w:r w:rsidR="00445D40">
              <w:rPr>
                <w:noProof/>
                <w:webHidden/>
              </w:rPr>
              <w:fldChar w:fldCharType="end"/>
            </w:r>
          </w:hyperlink>
        </w:p>
        <w:p w14:paraId="3B666970" w14:textId="421C3443" w:rsidR="00445D40" w:rsidRDefault="00000000" w:rsidP="00445D40">
          <w:pPr>
            <w:pStyle w:val="TOC4"/>
            <w:rPr>
              <w:rFonts w:eastAsiaTheme="minorEastAsia" w:cstheme="minorBidi"/>
              <w:noProof/>
              <w:color w:val="auto"/>
              <w:kern w:val="2"/>
              <w:sz w:val="22"/>
              <w:szCs w:val="22"/>
              <w:lang w:eastAsia="en-AU"/>
              <w14:ligatures w14:val="standardContextual"/>
            </w:rPr>
          </w:pPr>
          <w:hyperlink w:anchor="_Toc180491951" w:history="1">
            <w:r w:rsidR="00445D40" w:rsidRPr="00CC780B">
              <w:rPr>
                <w:rStyle w:val="Hyperlink"/>
                <w:noProof/>
              </w:rPr>
              <w:t>Income</w:t>
            </w:r>
            <w:r w:rsidR="00445D40">
              <w:rPr>
                <w:noProof/>
                <w:webHidden/>
              </w:rPr>
              <w:tab/>
            </w:r>
            <w:r w:rsidR="00445D40">
              <w:rPr>
                <w:noProof/>
                <w:webHidden/>
              </w:rPr>
              <w:fldChar w:fldCharType="begin"/>
            </w:r>
            <w:r w:rsidR="00445D40">
              <w:rPr>
                <w:noProof/>
                <w:webHidden/>
              </w:rPr>
              <w:instrText xml:space="preserve"> PAGEREF _Toc180491951 \h </w:instrText>
            </w:r>
            <w:r w:rsidR="00445D40">
              <w:rPr>
                <w:noProof/>
                <w:webHidden/>
              </w:rPr>
            </w:r>
            <w:r w:rsidR="00445D40">
              <w:rPr>
                <w:noProof/>
                <w:webHidden/>
              </w:rPr>
              <w:fldChar w:fldCharType="separate"/>
            </w:r>
            <w:r w:rsidR="00445D40">
              <w:rPr>
                <w:noProof/>
                <w:webHidden/>
              </w:rPr>
              <w:t>302</w:t>
            </w:r>
            <w:r w:rsidR="00445D40">
              <w:rPr>
                <w:noProof/>
                <w:webHidden/>
              </w:rPr>
              <w:fldChar w:fldCharType="end"/>
            </w:r>
          </w:hyperlink>
        </w:p>
        <w:p w14:paraId="62E7CEB8" w14:textId="5FDF11B5" w:rsidR="00445D40" w:rsidRDefault="00000000" w:rsidP="00445D40">
          <w:pPr>
            <w:pStyle w:val="TOC5"/>
            <w:tabs>
              <w:tab w:val="right" w:leader="dot" w:pos="9060"/>
            </w:tabs>
            <w:rPr>
              <w:rFonts w:eastAsiaTheme="minorEastAsia" w:cstheme="minorBidi"/>
              <w:noProof/>
              <w:color w:val="auto"/>
              <w:kern w:val="2"/>
              <w:sz w:val="22"/>
              <w:szCs w:val="22"/>
              <w:lang w:eastAsia="en-AU"/>
              <w14:ligatures w14:val="standardContextual"/>
            </w:rPr>
          </w:pPr>
          <w:hyperlink w:anchor="_Toc180491952" w:history="1">
            <w:r w:rsidR="00445D40" w:rsidRPr="00CC780B">
              <w:rPr>
                <w:rStyle w:val="Hyperlink"/>
                <w:noProof/>
              </w:rPr>
              <w:t>2 Appropriations</w:t>
            </w:r>
            <w:r w:rsidR="00445D40">
              <w:rPr>
                <w:noProof/>
                <w:webHidden/>
              </w:rPr>
              <w:tab/>
            </w:r>
            <w:r w:rsidR="00445D40">
              <w:rPr>
                <w:noProof/>
                <w:webHidden/>
              </w:rPr>
              <w:fldChar w:fldCharType="begin"/>
            </w:r>
            <w:r w:rsidR="00445D40">
              <w:rPr>
                <w:noProof/>
                <w:webHidden/>
              </w:rPr>
              <w:instrText xml:space="preserve"> PAGEREF _Toc180491952 \h </w:instrText>
            </w:r>
            <w:r w:rsidR="00445D40">
              <w:rPr>
                <w:noProof/>
                <w:webHidden/>
              </w:rPr>
            </w:r>
            <w:r w:rsidR="00445D40">
              <w:rPr>
                <w:noProof/>
                <w:webHidden/>
              </w:rPr>
              <w:fldChar w:fldCharType="separate"/>
            </w:r>
            <w:r w:rsidR="00445D40">
              <w:rPr>
                <w:noProof/>
                <w:webHidden/>
              </w:rPr>
              <w:t>302</w:t>
            </w:r>
            <w:r w:rsidR="00445D40">
              <w:rPr>
                <w:noProof/>
                <w:webHidden/>
              </w:rPr>
              <w:fldChar w:fldCharType="end"/>
            </w:r>
          </w:hyperlink>
        </w:p>
        <w:p w14:paraId="71F24B4C" w14:textId="0EF6C85F" w:rsidR="00445D40" w:rsidRDefault="00000000" w:rsidP="00445D40">
          <w:pPr>
            <w:pStyle w:val="TOC5"/>
            <w:tabs>
              <w:tab w:val="right" w:leader="dot" w:pos="9060"/>
            </w:tabs>
            <w:rPr>
              <w:rFonts w:eastAsiaTheme="minorEastAsia" w:cstheme="minorBidi"/>
              <w:noProof/>
              <w:color w:val="auto"/>
              <w:kern w:val="2"/>
              <w:sz w:val="22"/>
              <w:szCs w:val="22"/>
              <w:lang w:eastAsia="en-AU"/>
              <w14:ligatures w14:val="standardContextual"/>
            </w:rPr>
          </w:pPr>
          <w:hyperlink w:anchor="_Toc180491953" w:history="1">
            <w:r w:rsidR="00445D40" w:rsidRPr="00CC780B">
              <w:rPr>
                <w:rStyle w:val="Hyperlink"/>
                <w:noProof/>
              </w:rPr>
              <w:t>3 User charges and fees</w:t>
            </w:r>
            <w:r w:rsidR="00445D40">
              <w:rPr>
                <w:noProof/>
                <w:webHidden/>
              </w:rPr>
              <w:tab/>
            </w:r>
            <w:r w:rsidR="00445D40">
              <w:rPr>
                <w:noProof/>
                <w:webHidden/>
              </w:rPr>
              <w:fldChar w:fldCharType="begin"/>
            </w:r>
            <w:r w:rsidR="00445D40">
              <w:rPr>
                <w:noProof/>
                <w:webHidden/>
              </w:rPr>
              <w:instrText xml:space="preserve"> PAGEREF _Toc180491953 \h </w:instrText>
            </w:r>
            <w:r w:rsidR="00445D40">
              <w:rPr>
                <w:noProof/>
                <w:webHidden/>
              </w:rPr>
            </w:r>
            <w:r w:rsidR="00445D40">
              <w:rPr>
                <w:noProof/>
                <w:webHidden/>
              </w:rPr>
              <w:fldChar w:fldCharType="separate"/>
            </w:r>
            <w:r w:rsidR="00445D40">
              <w:rPr>
                <w:noProof/>
                <w:webHidden/>
              </w:rPr>
              <w:t>303</w:t>
            </w:r>
            <w:r w:rsidR="00445D40">
              <w:rPr>
                <w:noProof/>
                <w:webHidden/>
              </w:rPr>
              <w:fldChar w:fldCharType="end"/>
            </w:r>
          </w:hyperlink>
        </w:p>
        <w:p w14:paraId="773F965F" w14:textId="2089AC6D" w:rsidR="00445D40" w:rsidRDefault="00000000" w:rsidP="00445D40">
          <w:pPr>
            <w:pStyle w:val="TOC5"/>
            <w:tabs>
              <w:tab w:val="right" w:leader="dot" w:pos="9060"/>
            </w:tabs>
            <w:rPr>
              <w:rFonts w:eastAsiaTheme="minorEastAsia" w:cstheme="minorBidi"/>
              <w:noProof/>
              <w:color w:val="auto"/>
              <w:kern w:val="2"/>
              <w:sz w:val="22"/>
              <w:szCs w:val="22"/>
              <w:lang w:eastAsia="en-AU"/>
              <w14:ligatures w14:val="standardContextual"/>
            </w:rPr>
          </w:pPr>
          <w:hyperlink w:anchor="_Toc180491954" w:history="1">
            <w:r w:rsidR="00445D40" w:rsidRPr="00CC780B">
              <w:rPr>
                <w:rStyle w:val="Hyperlink"/>
                <w:noProof/>
              </w:rPr>
              <w:t>4 Grants and other contributions</w:t>
            </w:r>
            <w:r w:rsidR="00445D40">
              <w:rPr>
                <w:noProof/>
                <w:webHidden/>
              </w:rPr>
              <w:tab/>
            </w:r>
            <w:r w:rsidR="00445D40">
              <w:rPr>
                <w:noProof/>
                <w:webHidden/>
              </w:rPr>
              <w:fldChar w:fldCharType="begin"/>
            </w:r>
            <w:r w:rsidR="00445D40">
              <w:rPr>
                <w:noProof/>
                <w:webHidden/>
              </w:rPr>
              <w:instrText xml:space="preserve"> PAGEREF _Toc180491954 \h </w:instrText>
            </w:r>
            <w:r w:rsidR="00445D40">
              <w:rPr>
                <w:noProof/>
                <w:webHidden/>
              </w:rPr>
            </w:r>
            <w:r w:rsidR="00445D40">
              <w:rPr>
                <w:noProof/>
                <w:webHidden/>
              </w:rPr>
              <w:fldChar w:fldCharType="separate"/>
            </w:r>
            <w:r w:rsidR="00445D40">
              <w:rPr>
                <w:noProof/>
                <w:webHidden/>
              </w:rPr>
              <w:t>304</w:t>
            </w:r>
            <w:r w:rsidR="00445D40">
              <w:rPr>
                <w:noProof/>
                <w:webHidden/>
              </w:rPr>
              <w:fldChar w:fldCharType="end"/>
            </w:r>
          </w:hyperlink>
        </w:p>
        <w:p w14:paraId="5D78ACC7" w14:textId="47D7FDA5" w:rsidR="00445D40" w:rsidRDefault="00000000" w:rsidP="00445D40">
          <w:pPr>
            <w:pStyle w:val="TOC4"/>
            <w:rPr>
              <w:rFonts w:eastAsiaTheme="minorEastAsia" w:cstheme="minorBidi"/>
              <w:noProof/>
              <w:color w:val="auto"/>
              <w:kern w:val="2"/>
              <w:sz w:val="22"/>
              <w:szCs w:val="22"/>
              <w:lang w:eastAsia="en-AU"/>
              <w14:ligatures w14:val="standardContextual"/>
            </w:rPr>
          </w:pPr>
          <w:hyperlink w:anchor="_Toc180491955" w:history="1">
            <w:r w:rsidR="00445D40" w:rsidRPr="00CC780B">
              <w:rPr>
                <w:rStyle w:val="Hyperlink"/>
                <w:noProof/>
              </w:rPr>
              <w:t>Expenses</w:t>
            </w:r>
            <w:r w:rsidR="00445D40">
              <w:rPr>
                <w:noProof/>
                <w:webHidden/>
              </w:rPr>
              <w:tab/>
            </w:r>
            <w:r w:rsidR="00445D40">
              <w:rPr>
                <w:noProof/>
                <w:webHidden/>
              </w:rPr>
              <w:fldChar w:fldCharType="begin"/>
            </w:r>
            <w:r w:rsidR="00445D40">
              <w:rPr>
                <w:noProof/>
                <w:webHidden/>
              </w:rPr>
              <w:instrText xml:space="preserve"> PAGEREF _Toc180491955 \h </w:instrText>
            </w:r>
            <w:r w:rsidR="00445D40">
              <w:rPr>
                <w:noProof/>
                <w:webHidden/>
              </w:rPr>
            </w:r>
            <w:r w:rsidR="00445D40">
              <w:rPr>
                <w:noProof/>
                <w:webHidden/>
              </w:rPr>
              <w:fldChar w:fldCharType="separate"/>
            </w:r>
            <w:r w:rsidR="00445D40">
              <w:rPr>
                <w:noProof/>
                <w:webHidden/>
              </w:rPr>
              <w:t>305</w:t>
            </w:r>
            <w:r w:rsidR="00445D40">
              <w:rPr>
                <w:noProof/>
                <w:webHidden/>
              </w:rPr>
              <w:fldChar w:fldCharType="end"/>
            </w:r>
          </w:hyperlink>
        </w:p>
        <w:p w14:paraId="79892847" w14:textId="2B52A9BB" w:rsidR="00445D40" w:rsidRDefault="00000000" w:rsidP="00445D40">
          <w:pPr>
            <w:pStyle w:val="TOC5"/>
            <w:tabs>
              <w:tab w:val="right" w:leader="dot" w:pos="9060"/>
            </w:tabs>
            <w:rPr>
              <w:rFonts w:eastAsiaTheme="minorEastAsia" w:cstheme="minorBidi"/>
              <w:noProof/>
              <w:color w:val="auto"/>
              <w:kern w:val="2"/>
              <w:sz w:val="22"/>
              <w:szCs w:val="22"/>
              <w:lang w:eastAsia="en-AU"/>
              <w14:ligatures w14:val="standardContextual"/>
            </w:rPr>
          </w:pPr>
          <w:hyperlink w:anchor="_Toc180491956" w:history="1">
            <w:r w:rsidR="00445D40" w:rsidRPr="00CC780B">
              <w:rPr>
                <w:rStyle w:val="Hyperlink"/>
                <w:noProof/>
              </w:rPr>
              <w:t>5 Employee expenses</w:t>
            </w:r>
            <w:r w:rsidR="00445D40">
              <w:rPr>
                <w:noProof/>
                <w:webHidden/>
              </w:rPr>
              <w:tab/>
            </w:r>
            <w:r w:rsidR="00445D40">
              <w:rPr>
                <w:noProof/>
                <w:webHidden/>
              </w:rPr>
              <w:fldChar w:fldCharType="begin"/>
            </w:r>
            <w:r w:rsidR="00445D40">
              <w:rPr>
                <w:noProof/>
                <w:webHidden/>
              </w:rPr>
              <w:instrText xml:space="preserve"> PAGEREF _Toc180491956 \h </w:instrText>
            </w:r>
            <w:r w:rsidR="00445D40">
              <w:rPr>
                <w:noProof/>
                <w:webHidden/>
              </w:rPr>
            </w:r>
            <w:r w:rsidR="00445D40">
              <w:rPr>
                <w:noProof/>
                <w:webHidden/>
              </w:rPr>
              <w:fldChar w:fldCharType="separate"/>
            </w:r>
            <w:r w:rsidR="00445D40">
              <w:rPr>
                <w:noProof/>
                <w:webHidden/>
              </w:rPr>
              <w:t>305</w:t>
            </w:r>
            <w:r w:rsidR="00445D40">
              <w:rPr>
                <w:noProof/>
                <w:webHidden/>
              </w:rPr>
              <w:fldChar w:fldCharType="end"/>
            </w:r>
          </w:hyperlink>
        </w:p>
        <w:p w14:paraId="1DDB31C4" w14:textId="269EED18" w:rsidR="00445D40" w:rsidRDefault="00000000" w:rsidP="00445D40">
          <w:pPr>
            <w:pStyle w:val="TOC5"/>
            <w:tabs>
              <w:tab w:val="right" w:leader="dot" w:pos="9060"/>
            </w:tabs>
            <w:rPr>
              <w:rFonts w:eastAsiaTheme="minorEastAsia" w:cstheme="minorBidi"/>
              <w:noProof/>
              <w:color w:val="auto"/>
              <w:kern w:val="2"/>
              <w:sz w:val="22"/>
              <w:szCs w:val="22"/>
              <w:lang w:eastAsia="en-AU"/>
              <w14:ligatures w14:val="standardContextual"/>
            </w:rPr>
          </w:pPr>
          <w:hyperlink w:anchor="_Toc180491957" w:history="1">
            <w:r w:rsidR="00445D40" w:rsidRPr="00CC780B">
              <w:rPr>
                <w:rStyle w:val="Hyperlink"/>
                <w:noProof/>
              </w:rPr>
              <w:t>6 Key management personnel and remuneration expenses</w:t>
            </w:r>
            <w:r w:rsidR="00445D40">
              <w:rPr>
                <w:noProof/>
                <w:webHidden/>
              </w:rPr>
              <w:tab/>
            </w:r>
            <w:r w:rsidR="00445D40">
              <w:rPr>
                <w:noProof/>
                <w:webHidden/>
              </w:rPr>
              <w:fldChar w:fldCharType="begin"/>
            </w:r>
            <w:r w:rsidR="00445D40">
              <w:rPr>
                <w:noProof/>
                <w:webHidden/>
              </w:rPr>
              <w:instrText xml:space="preserve"> PAGEREF _Toc180491957 \h </w:instrText>
            </w:r>
            <w:r w:rsidR="00445D40">
              <w:rPr>
                <w:noProof/>
                <w:webHidden/>
              </w:rPr>
            </w:r>
            <w:r w:rsidR="00445D40">
              <w:rPr>
                <w:noProof/>
                <w:webHidden/>
              </w:rPr>
              <w:fldChar w:fldCharType="separate"/>
            </w:r>
            <w:r w:rsidR="00445D40">
              <w:rPr>
                <w:noProof/>
                <w:webHidden/>
              </w:rPr>
              <w:t>305</w:t>
            </w:r>
            <w:r w:rsidR="00445D40">
              <w:rPr>
                <w:noProof/>
                <w:webHidden/>
              </w:rPr>
              <w:fldChar w:fldCharType="end"/>
            </w:r>
          </w:hyperlink>
        </w:p>
        <w:p w14:paraId="7D10FD59" w14:textId="58592632" w:rsidR="00445D40" w:rsidRDefault="00000000" w:rsidP="00445D40">
          <w:pPr>
            <w:pStyle w:val="TOC5"/>
            <w:tabs>
              <w:tab w:val="right" w:leader="dot" w:pos="9060"/>
            </w:tabs>
            <w:rPr>
              <w:rFonts w:eastAsiaTheme="minorEastAsia" w:cstheme="minorBidi"/>
              <w:noProof/>
              <w:color w:val="auto"/>
              <w:kern w:val="2"/>
              <w:sz w:val="22"/>
              <w:szCs w:val="22"/>
              <w:lang w:eastAsia="en-AU"/>
              <w14:ligatures w14:val="standardContextual"/>
            </w:rPr>
          </w:pPr>
          <w:hyperlink w:anchor="_Toc180491958" w:history="1">
            <w:r w:rsidR="00445D40" w:rsidRPr="00CC780B">
              <w:rPr>
                <w:rStyle w:val="Hyperlink"/>
                <w:noProof/>
              </w:rPr>
              <w:t>7 Supplies and services</w:t>
            </w:r>
            <w:r w:rsidR="00445D40">
              <w:rPr>
                <w:noProof/>
                <w:webHidden/>
              </w:rPr>
              <w:tab/>
            </w:r>
            <w:r w:rsidR="00445D40">
              <w:rPr>
                <w:noProof/>
                <w:webHidden/>
              </w:rPr>
              <w:fldChar w:fldCharType="begin"/>
            </w:r>
            <w:r w:rsidR="00445D40">
              <w:rPr>
                <w:noProof/>
                <w:webHidden/>
              </w:rPr>
              <w:instrText xml:space="preserve"> PAGEREF _Toc180491958 \h </w:instrText>
            </w:r>
            <w:r w:rsidR="00445D40">
              <w:rPr>
                <w:noProof/>
                <w:webHidden/>
              </w:rPr>
            </w:r>
            <w:r w:rsidR="00445D40">
              <w:rPr>
                <w:noProof/>
                <w:webHidden/>
              </w:rPr>
              <w:fldChar w:fldCharType="separate"/>
            </w:r>
            <w:r w:rsidR="00445D40">
              <w:rPr>
                <w:noProof/>
                <w:webHidden/>
              </w:rPr>
              <w:t>309</w:t>
            </w:r>
            <w:r w:rsidR="00445D40">
              <w:rPr>
                <w:noProof/>
                <w:webHidden/>
              </w:rPr>
              <w:fldChar w:fldCharType="end"/>
            </w:r>
          </w:hyperlink>
        </w:p>
        <w:p w14:paraId="0FD434AC" w14:textId="7EBECF58" w:rsidR="00445D40" w:rsidRDefault="00000000" w:rsidP="00445D40">
          <w:pPr>
            <w:pStyle w:val="TOC5"/>
            <w:tabs>
              <w:tab w:val="right" w:leader="dot" w:pos="9060"/>
            </w:tabs>
            <w:rPr>
              <w:rFonts w:eastAsiaTheme="minorEastAsia" w:cstheme="minorBidi"/>
              <w:noProof/>
              <w:color w:val="auto"/>
              <w:kern w:val="2"/>
              <w:sz w:val="22"/>
              <w:szCs w:val="22"/>
              <w:lang w:eastAsia="en-AU"/>
              <w14:ligatures w14:val="standardContextual"/>
            </w:rPr>
          </w:pPr>
          <w:hyperlink w:anchor="_Toc180491959" w:history="1">
            <w:r w:rsidR="00445D40" w:rsidRPr="00CC780B">
              <w:rPr>
                <w:rStyle w:val="Hyperlink"/>
                <w:noProof/>
              </w:rPr>
              <w:t>8 Grants and subsidies</w:t>
            </w:r>
            <w:r w:rsidR="00445D40">
              <w:rPr>
                <w:noProof/>
                <w:webHidden/>
              </w:rPr>
              <w:tab/>
            </w:r>
            <w:r w:rsidR="00445D40">
              <w:rPr>
                <w:noProof/>
                <w:webHidden/>
              </w:rPr>
              <w:fldChar w:fldCharType="begin"/>
            </w:r>
            <w:r w:rsidR="00445D40">
              <w:rPr>
                <w:noProof/>
                <w:webHidden/>
              </w:rPr>
              <w:instrText xml:space="preserve"> PAGEREF _Toc180491959 \h </w:instrText>
            </w:r>
            <w:r w:rsidR="00445D40">
              <w:rPr>
                <w:noProof/>
                <w:webHidden/>
              </w:rPr>
            </w:r>
            <w:r w:rsidR="00445D40">
              <w:rPr>
                <w:noProof/>
                <w:webHidden/>
              </w:rPr>
              <w:fldChar w:fldCharType="separate"/>
            </w:r>
            <w:r w:rsidR="00445D40">
              <w:rPr>
                <w:noProof/>
                <w:webHidden/>
              </w:rPr>
              <w:t>309</w:t>
            </w:r>
            <w:r w:rsidR="00445D40">
              <w:rPr>
                <w:noProof/>
                <w:webHidden/>
              </w:rPr>
              <w:fldChar w:fldCharType="end"/>
            </w:r>
          </w:hyperlink>
        </w:p>
        <w:p w14:paraId="5AF56F58" w14:textId="28C7F2D7" w:rsidR="00445D40" w:rsidRDefault="00000000" w:rsidP="00445D40">
          <w:pPr>
            <w:pStyle w:val="TOC5"/>
            <w:tabs>
              <w:tab w:val="right" w:leader="dot" w:pos="9060"/>
            </w:tabs>
            <w:rPr>
              <w:rFonts w:eastAsiaTheme="minorEastAsia" w:cstheme="minorBidi"/>
              <w:noProof/>
              <w:color w:val="auto"/>
              <w:kern w:val="2"/>
              <w:sz w:val="22"/>
              <w:szCs w:val="22"/>
              <w:lang w:eastAsia="en-AU"/>
              <w14:ligatures w14:val="standardContextual"/>
            </w:rPr>
          </w:pPr>
          <w:hyperlink w:anchor="_Toc180491960" w:history="1">
            <w:r w:rsidR="00445D40" w:rsidRPr="00CC780B">
              <w:rPr>
                <w:rStyle w:val="Hyperlink"/>
                <w:noProof/>
              </w:rPr>
              <w:t>9 Finance and borrowing costs</w:t>
            </w:r>
            <w:r w:rsidR="00445D40">
              <w:rPr>
                <w:noProof/>
                <w:webHidden/>
              </w:rPr>
              <w:tab/>
            </w:r>
            <w:r w:rsidR="00445D40">
              <w:rPr>
                <w:noProof/>
                <w:webHidden/>
              </w:rPr>
              <w:fldChar w:fldCharType="begin"/>
            </w:r>
            <w:r w:rsidR="00445D40">
              <w:rPr>
                <w:noProof/>
                <w:webHidden/>
              </w:rPr>
              <w:instrText xml:space="preserve"> PAGEREF _Toc180491960 \h </w:instrText>
            </w:r>
            <w:r w:rsidR="00445D40">
              <w:rPr>
                <w:noProof/>
                <w:webHidden/>
              </w:rPr>
            </w:r>
            <w:r w:rsidR="00445D40">
              <w:rPr>
                <w:noProof/>
                <w:webHidden/>
              </w:rPr>
              <w:fldChar w:fldCharType="separate"/>
            </w:r>
            <w:r w:rsidR="00445D40">
              <w:rPr>
                <w:noProof/>
                <w:webHidden/>
              </w:rPr>
              <w:t>310</w:t>
            </w:r>
            <w:r w:rsidR="00445D40">
              <w:rPr>
                <w:noProof/>
                <w:webHidden/>
              </w:rPr>
              <w:fldChar w:fldCharType="end"/>
            </w:r>
          </w:hyperlink>
        </w:p>
        <w:p w14:paraId="14BD5A0A" w14:textId="5733F8D5" w:rsidR="00445D40" w:rsidRDefault="00000000" w:rsidP="00445D40">
          <w:pPr>
            <w:pStyle w:val="TOC5"/>
            <w:tabs>
              <w:tab w:val="right" w:leader="dot" w:pos="9060"/>
            </w:tabs>
            <w:rPr>
              <w:rFonts w:eastAsiaTheme="minorEastAsia" w:cstheme="minorBidi"/>
              <w:noProof/>
              <w:color w:val="auto"/>
              <w:kern w:val="2"/>
              <w:sz w:val="22"/>
              <w:szCs w:val="22"/>
              <w:lang w:eastAsia="en-AU"/>
              <w14:ligatures w14:val="standardContextual"/>
            </w:rPr>
          </w:pPr>
          <w:hyperlink w:anchor="_Toc180491961" w:history="1">
            <w:r w:rsidR="00445D40" w:rsidRPr="00CC780B">
              <w:rPr>
                <w:rStyle w:val="Hyperlink"/>
                <w:noProof/>
              </w:rPr>
              <w:t>10 Depreciation and amortisation</w:t>
            </w:r>
            <w:r w:rsidR="00445D40">
              <w:rPr>
                <w:noProof/>
                <w:webHidden/>
              </w:rPr>
              <w:tab/>
            </w:r>
            <w:r w:rsidR="00445D40">
              <w:rPr>
                <w:noProof/>
                <w:webHidden/>
              </w:rPr>
              <w:fldChar w:fldCharType="begin"/>
            </w:r>
            <w:r w:rsidR="00445D40">
              <w:rPr>
                <w:noProof/>
                <w:webHidden/>
              </w:rPr>
              <w:instrText xml:space="preserve"> PAGEREF _Toc180491961 \h </w:instrText>
            </w:r>
            <w:r w:rsidR="00445D40">
              <w:rPr>
                <w:noProof/>
                <w:webHidden/>
              </w:rPr>
            </w:r>
            <w:r w:rsidR="00445D40">
              <w:rPr>
                <w:noProof/>
                <w:webHidden/>
              </w:rPr>
              <w:fldChar w:fldCharType="separate"/>
            </w:r>
            <w:r w:rsidR="00445D40">
              <w:rPr>
                <w:noProof/>
                <w:webHidden/>
              </w:rPr>
              <w:t>310</w:t>
            </w:r>
            <w:r w:rsidR="00445D40">
              <w:rPr>
                <w:noProof/>
                <w:webHidden/>
              </w:rPr>
              <w:fldChar w:fldCharType="end"/>
            </w:r>
          </w:hyperlink>
        </w:p>
        <w:p w14:paraId="3F33E7A8" w14:textId="7FB5A568" w:rsidR="00445D40" w:rsidRDefault="00000000" w:rsidP="00445D40">
          <w:pPr>
            <w:pStyle w:val="TOC5"/>
            <w:tabs>
              <w:tab w:val="right" w:leader="dot" w:pos="9060"/>
            </w:tabs>
            <w:rPr>
              <w:rFonts w:eastAsiaTheme="minorEastAsia" w:cstheme="minorBidi"/>
              <w:noProof/>
              <w:color w:val="auto"/>
              <w:kern w:val="2"/>
              <w:sz w:val="22"/>
              <w:szCs w:val="22"/>
              <w:lang w:eastAsia="en-AU"/>
              <w14:ligatures w14:val="standardContextual"/>
            </w:rPr>
          </w:pPr>
          <w:hyperlink w:anchor="_Toc180491962" w:history="1">
            <w:r w:rsidR="00445D40" w:rsidRPr="00CC780B">
              <w:rPr>
                <w:rStyle w:val="Hyperlink"/>
                <w:noProof/>
              </w:rPr>
              <w:t>11 Other expenses</w:t>
            </w:r>
            <w:r w:rsidR="00445D40">
              <w:rPr>
                <w:noProof/>
                <w:webHidden/>
              </w:rPr>
              <w:tab/>
            </w:r>
            <w:r w:rsidR="00445D40">
              <w:rPr>
                <w:noProof/>
                <w:webHidden/>
              </w:rPr>
              <w:fldChar w:fldCharType="begin"/>
            </w:r>
            <w:r w:rsidR="00445D40">
              <w:rPr>
                <w:noProof/>
                <w:webHidden/>
              </w:rPr>
              <w:instrText xml:space="preserve"> PAGEREF _Toc180491962 \h </w:instrText>
            </w:r>
            <w:r w:rsidR="00445D40">
              <w:rPr>
                <w:noProof/>
                <w:webHidden/>
              </w:rPr>
            </w:r>
            <w:r w:rsidR="00445D40">
              <w:rPr>
                <w:noProof/>
                <w:webHidden/>
              </w:rPr>
              <w:fldChar w:fldCharType="separate"/>
            </w:r>
            <w:r w:rsidR="00445D40">
              <w:rPr>
                <w:noProof/>
                <w:webHidden/>
              </w:rPr>
              <w:t>311</w:t>
            </w:r>
            <w:r w:rsidR="00445D40">
              <w:rPr>
                <w:noProof/>
                <w:webHidden/>
              </w:rPr>
              <w:fldChar w:fldCharType="end"/>
            </w:r>
          </w:hyperlink>
        </w:p>
        <w:p w14:paraId="72B2B862" w14:textId="77777777" w:rsidR="0041397D" w:rsidRDefault="0041397D" w:rsidP="00445D40">
          <w:pPr>
            <w:pStyle w:val="TOC3"/>
            <w:tabs>
              <w:tab w:val="right" w:leader="dot" w:pos="9060"/>
            </w:tabs>
            <w:rPr>
              <w:rStyle w:val="Hyperlink"/>
              <w:noProof/>
            </w:rPr>
          </w:pPr>
          <w:r>
            <w:rPr>
              <w:rStyle w:val="Hyperlink"/>
              <w:noProof/>
            </w:rPr>
            <w:br w:type="page"/>
          </w:r>
        </w:p>
        <w:p w14:paraId="454AF072" w14:textId="6B929D8A" w:rsidR="00445D40" w:rsidRDefault="00000000" w:rsidP="00445D40">
          <w:pPr>
            <w:pStyle w:val="TOC3"/>
            <w:tabs>
              <w:tab w:val="right" w:leader="dot" w:pos="9060"/>
            </w:tabs>
            <w:rPr>
              <w:rFonts w:eastAsiaTheme="minorEastAsia" w:cstheme="minorBidi"/>
              <w:noProof/>
              <w:color w:val="auto"/>
              <w:kern w:val="2"/>
              <w:sz w:val="22"/>
              <w:szCs w:val="22"/>
              <w:lang w:eastAsia="en-AU"/>
              <w14:ligatures w14:val="standardContextual"/>
            </w:rPr>
          </w:pPr>
          <w:hyperlink w:anchor="_Toc180491963" w:history="1">
            <w:r w:rsidR="00445D40" w:rsidRPr="00CC780B">
              <w:rPr>
                <w:rStyle w:val="Hyperlink"/>
                <w:rFonts w:eastAsia="Times New Roman"/>
                <w:noProof/>
                <w:lang w:eastAsia="en-AU"/>
              </w:rPr>
              <w:t>Notes about our Financial Position</w:t>
            </w:r>
            <w:r w:rsidR="00445D40">
              <w:rPr>
                <w:noProof/>
                <w:webHidden/>
              </w:rPr>
              <w:tab/>
            </w:r>
            <w:r w:rsidR="00445D40">
              <w:rPr>
                <w:noProof/>
                <w:webHidden/>
              </w:rPr>
              <w:fldChar w:fldCharType="begin"/>
            </w:r>
            <w:r w:rsidR="00445D40">
              <w:rPr>
                <w:noProof/>
                <w:webHidden/>
              </w:rPr>
              <w:instrText xml:space="preserve"> PAGEREF _Toc180491963 \h </w:instrText>
            </w:r>
            <w:r w:rsidR="00445D40">
              <w:rPr>
                <w:noProof/>
                <w:webHidden/>
              </w:rPr>
            </w:r>
            <w:r w:rsidR="00445D40">
              <w:rPr>
                <w:noProof/>
                <w:webHidden/>
              </w:rPr>
              <w:fldChar w:fldCharType="separate"/>
            </w:r>
            <w:r w:rsidR="00445D40">
              <w:rPr>
                <w:noProof/>
                <w:webHidden/>
              </w:rPr>
              <w:t>313</w:t>
            </w:r>
            <w:r w:rsidR="00445D40">
              <w:rPr>
                <w:noProof/>
                <w:webHidden/>
              </w:rPr>
              <w:fldChar w:fldCharType="end"/>
            </w:r>
          </w:hyperlink>
        </w:p>
        <w:p w14:paraId="66F72C24" w14:textId="2DA7EB16" w:rsidR="00445D40" w:rsidRDefault="00000000" w:rsidP="00445D40">
          <w:pPr>
            <w:pStyle w:val="TOC4"/>
            <w:rPr>
              <w:rFonts w:eastAsiaTheme="minorEastAsia" w:cstheme="minorBidi"/>
              <w:noProof/>
              <w:color w:val="auto"/>
              <w:kern w:val="2"/>
              <w:sz w:val="22"/>
              <w:szCs w:val="22"/>
              <w:lang w:eastAsia="en-AU"/>
              <w14:ligatures w14:val="standardContextual"/>
            </w:rPr>
          </w:pPr>
          <w:hyperlink w:anchor="_Toc180491964" w:history="1">
            <w:r w:rsidR="00445D40" w:rsidRPr="00CC780B">
              <w:rPr>
                <w:rStyle w:val="Hyperlink"/>
                <w:noProof/>
              </w:rPr>
              <w:t>12 Receivables</w:t>
            </w:r>
            <w:r w:rsidR="00445D40">
              <w:rPr>
                <w:noProof/>
                <w:webHidden/>
              </w:rPr>
              <w:tab/>
            </w:r>
            <w:r w:rsidR="00445D40">
              <w:rPr>
                <w:noProof/>
                <w:webHidden/>
              </w:rPr>
              <w:fldChar w:fldCharType="begin"/>
            </w:r>
            <w:r w:rsidR="00445D40">
              <w:rPr>
                <w:noProof/>
                <w:webHidden/>
              </w:rPr>
              <w:instrText xml:space="preserve"> PAGEREF _Toc180491964 \h </w:instrText>
            </w:r>
            <w:r w:rsidR="00445D40">
              <w:rPr>
                <w:noProof/>
                <w:webHidden/>
              </w:rPr>
            </w:r>
            <w:r w:rsidR="00445D40">
              <w:rPr>
                <w:noProof/>
                <w:webHidden/>
              </w:rPr>
              <w:fldChar w:fldCharType="separate"/>
            </w:r>
            <w:r w:rsidR="00445D40">
              <w:rPr>
                <w:noProof/>
                <w:webHidden/>
              </w:rPr>
              <w:t>313</w:t>
            </w:r>
            <w:r w:rsidR="00445D40">
              <w:rPr>
                <w:noProof/>
                <w:webHidden/>
              </w:rPr>
              <w:fldChar w:fldCharType="end"/>
            </w:r>
          </w:hyperlink>
        </w:p>
        <w:p w14:paraId="33653C0B" w14:textId="7A7A4115" w:rsidR="00445D40" w:rsidRDefault="00000000" w:rsidP="00445D40">
          <w:pPr>
            <w:pStyle w:val="TOC4"/>
            <w:rPr>
              <w:rFonts w:eastAsiaTheme="minorEastAsia" w:cstheme="minorBidi"/>
              <w:noProof/>
              <w:color w:val="auto"/>
              <w:kern w:val="2"/>
              <w:sz w:val="22"/>
              <w:szCs w:val="22"/>
              <w:lang w:eastAsia="en-AU"/>
              <w14:ligatures w14:val="standardContextual"/>
            </w:rPr>
          </w:pPr>
          <w:hyperlink w:anchor="_Toc180491965" w:history="1">
            <w:r w:rsidR="00445D40" w:rsidRPr="00CC780B">
              <w:rPr>
                <w:rStyle w:val="Hyperlink"/>
                <w:noProof/>
              </w:rPr>
              <w:t>13 Prepayments</w:t>
            </w:r>
            <w:r w:rsidR="00445D40">
              <w:rPr>
                <w:noProof/>
                <w:webHidden/>
              </w:rPr>
              <w:tab/>
            </w:r>
            <w:r w:rsidR="00445D40">
              <w:rPr>
                <w:noProof/>
                <w:webHidden/>
              </w:rPr>
              <w:fldChar w:fldCharType="begin"/>
            </w:r>
            <w:r w:rsidR="00445D40">
              <w:rPr>
                <w:noProof/>
                <w:webHidden/>
              </w:rPr>
              <w:instrText xml:space="preserve"> PAGEREF _Toc180491965 \h </w:instrText>
            </w:r>
            <w:r w:rsidR="00445D40">
              <w:rPr>
                <w:noProof/>
                <w:webHidden/>
              </w:rPr>
            </w:r>
            <w:r w:rsidR="00445D40">
              <w:rPr>
                <w:noProof/>
                <w:webHidden/>
              </w:rPr>
              <w:fldChar w:fldCharType="separate"/>
            </w:r>
            <w:r w:rsidR="00445D40">
              <w:rPr>
                <w:noProof/>
                <w:webHidden/>
              </w:rPr>
              <w:t>315</w:t>
            </w:r>
            <w:r w:rsidR="00445D40">
              <w:rPr>
                <w:noProof/>
                <w:webHidden/>
              </w:rPr>
              <w:fldChar w:fldCharType="end"/>
            </w:r>
          </w:hyperlink>
        </w:p>
        <w:p w14:paraId="4DBD391A" w14:textId="424862B1" w:rsidR="00445D40" w:rsidRDefault="00000000" w:rsidP="00445D40">
          <w:pPr>
            <w:pStyle w:val="TOC4"/>
            <w:rPr>
              <w:rFonts w:eastAsiaTheme="minorEastAsia" w:cstheme="minorBidi"/>
              <w:noProof/>
              <w:color w:val="auto"/>
              <w:kern w:val="2"/>
              <w:sz w:val="22"/>
              <w:szCs w:val="22"/>
              <w:lang w:eastAsia="en-AU"/>
              <w14:ligatures w14:val="standardContextual"/>
            </w:rPr>
          </w:pPr>
          <w:hyperlink w:anchor="_Toc180491966" w:history="1">
            <w:r w:rsidR="00445D40" w:rsidRPr="00CC780B">
              <w:rPr>
                <w:rStyle w:val="Hyperlink"/>
                <w:noProof/>
              </w:rPr>
              <w:t>14 Intangible assets</w:t>
            </w:r>
            <w:r w:rsidR="00445D40">
              <w:rPr>
                <w:noProof/>
                <w:webHidden/>
              </w:rPr>
              <w:tab/>
            </w:r>
            <w:r w:rsidR="00445D40">
              <w:rPr>
                <w:noProof/>
                <w:webHidden/>
              </w:rPr>
              <w:fldChar w:fldCharType="begin"/>
            </w:r>
            <w:r w:rsidR="00445D40">
              <w:rPr>
                <w:noProof/>
                <w:webHidden/>
              </w:rPr>
              <w:instrText xml:space="preserve"> PAGEREF _Toc180491966 \h </w:instrText>
            </w:r>
            <w:r w:rsidR="00445D40">
              <w:rPr>
                <w:noProof/>
                <w:webHidden/>
              </w:rPr>
            </w:r>
            <w:r w:rsidR="00445D40">
              <w:rPr>
                <w:noProof/>
                <w:webHidden/>
              </w:rPr>
              <w:fldChar w:fldCharType="separate"/>
            </w:r>
            <w:r w:rsidR="00445D40">
              <w:rPr>
                <w:noProof/>
                <w:webHidden/>
              </w:rPr>
              <w:t>316</w:t>
            </w:r>
            <w:r w:rsidR="00445D40">
              <w:rPr>
                <w:noProof/>
                <w:webHidden/>
              </w:rPr>
              <w:fldChar w:fldCharType="end"/>
            </w:r>
          </w:hyperlink>
        </w:p>
        <w:p w14:paraId="6F4482BE" w14:textId="6AF15BB0" w:rsidR="00445D40" w:rsidRDefault="00000000" w:rsidP="00445D40">
          <w:pPr>
            <w:pStyle w:val="TOC4"/>
            <w:rPr>
              <w:rFonts w:eastAsiaTheme="minorEastAsia" w:cstheme="minorBidi"/>
              <w:noProof/>
              <w:color w:val="auto"/>
              <w:kern w:val="2"/>
              <w:sz w:val="22"/>
              <w:szCs w:val="22"/>
              <w:lang w:eastAsia="en-AU"/>
              <w14:ligatures w14:val="standardContextual"/>
            </w:rPr>
          </w:pPr>
          <w:hyperlink w:anchor="_Toc180491967" w:history="1">
            <w:r w:rsidR="00445D40" w:rsidRPr="00CC780B">
              <w:rPr>
                <w:rStyle w:val="Hyperlink"/>
                <w:noProof/>
              </w:rPr>
              <w:t>15 Property, plant and equipment</w:t>
            </w:r>
            <w:r w:rsidR="00445D40">
              <w:rPr>
                <w:noProof/>
                <w:webHidden/>
              </w:rPr>
              <w:tab/>
            </w:r>
            <w:r w:rsidR="00445D40">
              <w:rPr>
                <w:noProof/>
                <w:webHidden/>
              </w:rPr>
              <w:fldChar w:fldCharType="begin"/>
            </w:r>
            <w:r w:rsidR="00445D40">
              <w:rPr>
                <w:noProof/>
                <w:webHidden/>
              </w:rPr>
              <w:instrText xml:space="preserve"> PAGEREF _Toc180491967 \h </w:instrText>
            </w:r>
            <w:r w:rsidR="00445D40">
              <w:rPr>
                <w:noProof/>
                <w:webHidden/>
              </w:rPr>
            </w:r>
            <w:r w:rsidR="00445D40">
              <w:rPr>
                <w:noProof/>
                <w:webHidden/>
              </w:rPr>
              <w:fldChar w:fldCharType="separate"/>
            </w:r>
            <w:r w:rsidR="00445D40">
              <w:rPr>
                <w:noProof/>
                <w:webHidden/>
              </w:rPr>
              <w:t>318</w:t>
            </w:r>
            <w:r w:rsidR="00445D40">
              <w:rPr>
                <w:noProof/>
                <w:webHidden/>
              </w:rPr>
              <w:fldChar w:fldCharType="end"/>
            </w:r>
          </w:hyperlink>
        </w:p>
        <w:p w14:paraId="3258AD3C" w14:textId="585EC2BA" w:rsidR="00445D40" w:rsidRDefault="00000000" w:rsidP="00445D40">
          <w:pPr>
            <w:pStyle w:val="TOC4"/>
            <w:rPr>
              <w:rFonts w:eastAsiaTheme="minorEastAsia" w:cstheme="minorBidi"/>
              <w:noProof/>
              <w:color w:val="auto"/>
              <w:kern w:val="2"/>
              <w:sz w:val="22"/>
              <w:szCs w:val="22"/>
              <w:lang w:eastAsia="en-AU"/>
              <w14:ligatures w14:val="standardContextual"/>
            </w:rPr>
          </w:pPr>
          <w:hyperlink w:anchor="_Toc180491971" w:history="1">
            <w:r w:rsidR="00445D40" w:rsidRPr="00CC780B">
              <w:rPr>
                <w:rStyle w:val="Hyperlink"/>
                <w:noProof/>
              </w:rPr>
              <w:t>16 Public private partnerships</w:t>
            </w:r>
            <w:r w:rsidR="00445D40">
              <w:rPr>
                <w:noProof/>
                <w:webHidden/>
              </w:rPr>
              <w:tab/>
            </w:r>
            <w:r w:rsidR="00445D40">
              <w:rPr>
                <w:noProof/>
                <w:webHidden/>
              </w:rPr>
              <w:fldChar w:fldCharType="begin"/>
            </w:r>
            <w:r w:rsidR="00445D40">
              <w:rPr>
                <w:noProof/>
                <w:webHidden/>
              </w:rPr>
              <w:instrText xml:space="preserve"> PAGEREF _Toc180491971 \h </w:instrText>
            </w:r>
            <w:r w:rsidR="00445D40">
              <w:rPr>
                <w:noProof/>
                <w:webHidden/>
              </w:rPr>
            </w:r>
            <w:r w:rsidR="00445D40">
              <w:rPr>
                <w:noProof/>
                <w:webHidden/>
              </w:rPr>
              <w:fldChar w:fldCharType="separate"/>
            </w:r>
            <w:r w:rsidR="00445D40">
              <w:rPr>
                <w:noProof/>
                <w:webHidden/>
              </w:rPr>
              <w:t>327</w:t>
            </w:r>
            <w:r w:rsidR="00445D40">
              <w:rPr>
                <w:noProof/>
                <w:webHidden/>
              </w:rPr>
              <w:fldChar w:fldCharType="end"/>
            </w:r>
          </w:hyperlink>
        </w:p>
        <w:p w14:paraId="0EFA942B" w14:textId="1C7F17FB" w:rsidR="00445D40" w:rsidRDefault="00000000" w:rsidP="00445D40">
          <w:pPr>
            <w:pStyle w:val="TOC4"/>
            <w:rPr>
              <w:rFonts w:eastAsiaTheme="minorEastAsia" w:cstheme="minorBidi"/>
              <w:noProof/>
              <w:color w:val="auto"/>
              <w:kern w:val="2"/>
              <w:sz w:val="22"/>
              <w:szCs w:val="22"/>
              <w:lang w:eastAsia="en-AU"/>
              <w14:ligatures w14:val="standardContextual"/>
            </w:rPr>
          </w:pPr>
          <w:hyperlink w:anchor="_Toc180491974" w:history="1">
            <w:r w:rsidR="00445D40" w:rsidRPr="00CC780B">
              <w:rPr>
                <w:rStyle w:val="Hyperlink"/>
                <w:noProof/>
              </w:rPr>
              <w:t>17 Leases</w:t>
            </w:r>
            <w:r w:rsidR="00445D40">
              <w:rPr>
                <w:noProof/>
                <w:webHidden/>
              </w:rPr>
              <w:tab/>
            </w:r>
            <w:r w:rsidR="00445D40">
              <w:rPr>
                <w:noProof/>
                <w:webHidden/>
              </w:rPr>
              <w:fldChar w:fldCharType="begin"/>
            </w:r>
            <w:r w:rsidR="00445D40">
              <w:rPr>
                <w:noProof/>
                <w:webHidden/>
              </w:rPr>
              <w:instrText xml:space="preserve"> PAGEREF _Toc180491974 \h </w:instrText>
            </w:r>
            <w:r w:rsidR="00445D40">
              <w:rPr>
                <w:noProof/>
                <w:webHidden/>
              </w:rPr>
            </w:r>
            <w:r w:rsidR="00445D40">
              <w:rPr>
                <w:noProof/>
                <w:webHidden/>
              </w:rPr>
              <w:fldChar w:fldCharType="separate"/>
            </w:r>
            <w:r w:rsidR="00445D40">
              <w:rPr>
                <w:noProof/>
                <w:webHidden/>
              </w:rPr>
              <w:t>337</w:t>
            </w:r>
            <w:r w:rsidR="00445D40">
              <w:rPr>
                <w:noProof/>
                <w:webHidden/>
              </w:rPr>
              <w:fldChar w:fldCharType="end"/>
            </w:r>
          </w:hyperlink>
        </w:p>
        <w:p w14:paraId="3E12E008" w14:textId="514221DE" w:rsidR="00445D40" w:rsidRDefault="00000000" w:rsidP="00445D40">
          <w:pPr>
            <w:pStyle w:val="TOC4"/>
            <w:rPr>
              <w:rFonts w:eastAsiaTheme="minorEastAsia" w:cstheme="minorBidi"/>
              <w:noProof/>
              <w:color w:val="auto"/>
              <w:kern w:val="2"/>
              <w:sz w:val="22"/>
              <w:szCs w:val="22"/>
              <w:lang w:eastAsia="en-AU"/>
              <w14:ligatures w14:val="standardContextual"/>
            </w:rPr>
          </w:pPr>
          <w:hyperlink w:anchor="_Toc180491978" w:history="1">
            <w:r w:rsidR="00445D40" w:rsidRPr="00CC780B">
              <w:rPr>
                <w:rStyle w:val="Hyperlink"/>
                <w:noProof/>
              </w:rPr>
              <w:t>18 Payables</w:t>
            </w:r>
            <w:r w:rsidR="00445D40">
              <w:rPr>
                <w:noProof/>
                <w:webHidden/>
              </w:rPr>
              <w:tab/>
            </w:r>
            <w:r w:rsidR="00445D40">
              <w:rPr>
                <w:noProof/>
                <w:webHidden/>
              </w:rPr>
              <w:fldChar w:fldCharType="begin"/>
            </w:r>
            <w:r w:rsidR="00445D40">
              <w:rPr>
                <w:noProof/>
                <w:webHidden/>
              </w:rPr>
              <w:instrText xml:space="preserve"> PAGEREF _Toc180491978 \h </w:instrText>
            </w:r>
            <w:r w:rsidR="00445D40">
              <w:rPr>
                <w:noProof/>
                <w:webHidden/>
              </w:rPr>
            </w:r>
            <w:r w:rsidR="00445D40">
              <w:rPr>
                <w:noProof/>
                <w:webHidden/>
              </w:rPr>
              <w:fldChar w:fldCharType="separate"/>
            </w:r>
            <w:r w:rsidR="00445D40">
              <w:rPr>
                <w:noProof/>
                <w:webHidden/>
              </w:rPr>
              <w:t>341</w:t>
            </w:r>
            <w:r w:rsidR="00445D40">
              <w:rPr>
                <w:noProof/>
                <w:webHidden/>
              </w:rPr>
              <w:fldChar w:fldCharType="end"/>
            </w:r>
          </w:hyperlink>
        </w:p>
        <w:p w14:paraId="75296566" w14:textId="128BF15A" w:rsidR="00445D40" w:rsidRDefault="00000000" w:rsidP="00445D40">
          <w:pPr>
            <w:pStyle w:val="TOC4"/>
            <w:rPr>
              <w:rFonts w:eastAsiaTheme="minorEastAsia" w:cstheme="minorBidi"/>
              <w:noProof/>
              <w:color w:val="auto"/>
              <w:kern w:val="2"/>
              <w:sz w:val="22"/>
              <w:szCs w:val="22"/>
              <w:lang w:eastAsia="en-AU"/>
              <w14:ligatures w14:val="standardContextual"/>
            </w:rPr>
          </w:pPr>
          <w:hyperlink w:anchor="_Toc180491980" w:history="1">
            <w:r w:rsidR="00445D40" w:rsidRPr="00CC780B">
              <w:rPr>
                <w:rStyle w:val="Hyperlink"/>
                <w:noProof/>
              </w:rPr>
              <w:t>19 Borrowings</w:t>
            </w:r>
            <w:r w:rsidR="00445D40">
              <w:rPr>
                <w:noProof/>
                <w:webHidden/>
              </w:rPr>
              <w:tab/>
            </w:r>
            <w:r w:rsidR="00445D40">
              <w:rPr>
                <w:noProof/>
                <w:webHidden/>
              </w:rPr>
              <w:fldChar w:fldCharType="begin"/>
            </w:r>
            <w:r w:rsidR="00445D40">
              <w:rPr>
                <w:noProof/>
                <w:webHidden/>
              </w:rPr>
              <w:instrText xml:space="preserve"> PAGEREF _Toc180491980 \h </w:instrText>
            </w:r>
            <w:r w:rsidR="00445D40">
              <w:rPr>
                <w:noProof/>
                <w:webHidden/>
              </w:rPr>
            </w:r>
            <w:r w:rsidR="00445D40">
              <w:rPr>
                <w:noProof/>
                <w:webHidden/>
              </w:rPr>
              <w:fldChar w:fldCharType="separate"/>
            </w:r>
            <w:r w:rsidR="00445D40">
              <w:rPr>
                <w:noProof/>
                <w:webHidden/>
              </w:rPr>
              <w:t>342</w:t>
            </w:r>
            <w:r w:rsidR="00445D40">
              <w:rPr>
                <w:noProof/>
                <w:webHidden/>
              </w:rPr>
              <w:fldChar w:fldCharType="end"/>
            </w:r>
          </w:hyperlink>
        </w:p>
        <w:p w14:paraId="5023F9BB" w14:textId="06F14DBF" w:rsidR="00445D40" w:rsidRDefault="00000000" w:rsidP="00445D40">
          <w:pPr>
            <w:pStyle w:val="TOC4"/>
            <w:rPr>
              <w:rFonts w:eastAsiaTheme="minorEastAsia" w:cstheme="minorBidi"/>
              <w:noProof/>
              <w:color w:val="auto"/>
              <w:kern w:val="2"/>
              <w:sz w:val="22"/>
              <w:szCs w:val="22"/>
              <w:lang w:eastAsia="en-AU"/>
              <w14:ligatures w14:val="standardContextual"/>
            </w:rPr>
          </w:pPr>
          <w:hyperlink w:anchor="_Toc180491981" w:history="1">
            <w:r w:rsidR="00445D40" w:rsidRPr="00CC780B">
              <w:rPr>
                <w:rStyle w:val="Hyperlink"/>
                <w:noProof/>
              </w:rPr>
              <w:t>20 Provisions</w:t>
            </w:r>
            <w:r w:rsidR="00445D40">
              <w:rPr>
                <w:noProof/>
                <w:webHidden/>
              </w:rPr>
              <w:tab/>
            </w:r>
            <w:r w:rsidR="00445D40">
              <w:rPr>
                <w:noProof/>
                <w:webHidden/>
              </w:rPr>
              <w:fldChar w:fldCharType="begin"/>
            </w:r>
            <w:r w:rsidR="00445D40">
              <w:rPr>
                <w:noProof/>
                <w:webHidden/>
              </w:rPr>
              <w:instrText xml:space="preserve"> PAGEREF _Toc180491981 \h </w:instrText>
            </w:r>
            <w:r w:rsidR="00445D40">
              <w:rPr>
                <w:noProof/>
                <w:webHidden/>
              </w:rPr>
            </w:r>
            <w:r w:rsidR="00445D40">
              <w:rPr>
                <w:noProof/>
                <w:webHidden/>
              </w:rPr>
              <w:fldChar w:fldCharType="separate"/>
            </w:r>
            <w:r w:rsidR="00445D40">
              <w:rPr>
                <w:noProof/>
                <w:webHidden/>
              </w:rPr>
              <w:t>342</w:t>
            </w:r>
            <w:r w:rsidR="00445D40">
              <w:rPr>
                <w:noProof/>
                <w:webHidden/>
              </w:rPr>
              <w:fldChar w:fldCharType="end"/>
            </w:r>
          </w:hyperlink>
        </w:p>
        <w:p w14:paraId="0F30688F" w14:textId="2721352B" w:rsidR="00445D40" w:rsidRDefault="00000000" w:rsidP="00445D40">
          <w:pPr>
            <w:pStyle w:val="TOC4"/>
            <w:rPr>
              <w:rFonts w:eastAsiaTheme="minorEastAsia" w:cstheme="minorBidi"/>
              <w:noProof/>
              <w:color w:val="auto"/>
              <w:kern w:val="2"/>
              <w:sz w:val="22"/>
              <w:szCs w:val="22"/>
              <w:lang w:eastAsia="en-AU"/>
              <w14:ligatures w14:val="standardContextual"/>
            </w:rPr>
          </w:pPr>
          <w:hyperlink w:anchor="_Toc180491986" w:history="1">
            <w:r w:rsidR="00445D40" w:rsidRPr="00CC780B">
              <w:rPr>
                <w:rStyle w:val="Hyperlink"/>
                <w:noProof/>
              </w:rPr>
              <w:t>21 Accrued employee benefits</w:t>
            </w:r>
            <w:r w:rsidR="00445D40">
              <w:rPr>
                <w:noProof/>
                <w:webHidden/>
              </w:rPr>
              <w:tab/>
            </w:r>
            <w:r w:rsidR="00445D40">
              <w:rPr>
                <w:noProof/>
                <w:webHidden/>
              </w:rPr>
              <w:fldChar w:fldCharType="begin"/>
            </w:r>
            <w:r w:rsidR="00445D40">
              <w:rPr>
                <w:noProof/>
                <w:webHidden/>
              </w:rPr>
              <w:instrText xml:space="preserve"> PAGEREF _Toc180491986 \h </w:instrText>
            </w:r>
            <w:r w:rsidR="00445D40">
              <w:rPr>
                <w:noProof/>
                <w:webHidden/>
              </w:rPr>
            </w:r>
            <w:r w:rsidR="00445D40">
              <w:rPr>
                <w:noProof/>
                <w:webHidden/>
              </w:rPr>
              <w:fldChar w:fldCharType="separate"/>
            </w:r>
            <w:r w:rsidR="00445D40">
              <w:rPr>
                <w:noProof/>
                <w:webHidden/>
              </w:rPr>
              <w:t>344</w:t>
            </w:r>
            <w:r w:rsidR="00445D40">
              <w:rPr>
                <w:noProof/>
                <w:webHidden/>
              </w:rPr>
              <w:fldChar w:fldCharType="end"/>
            </w:r>
          </w:hyperlink>
        </w:p>
        <w:p w14:paraId="4F27DF75" w14:textId="119114EE" w:rsidR="00445D40" w:rsidRDefault="00000000" w:rsidP="00445D40">
          <w:pPr>
            <w:pStyle w:val="TOC4"/>
            <w:rPr>
              <w:rFonts w:eastAsiaTheme="minorEastAsia" w:cstheme="minorBidi"/>
              <w:noProof/>
              <w:color w:val="auto"/>
              <w:kern w:val="2"/>
              <w:sz w:val="22"/>
              <w:szCs w:val="22"/>
              <w:lang w:eastAsia="en-AU"/>
              <w14:ligatures w14:val="standardContextual"/>
            </w:rPr>
          </w:pPr>
          <w:hyperlink w:anchor="_Toc180491988" w:history="1">
            <w:r w:rsidR="00445D40" w:rsidRPr="00CC780B">
              <w:rPr>
                <w:rStyle w:val="Hyperlink"/>
                <w:noProof/>
              </w:rPr>
              <w:t>22 Other liabilities</w:t>
            </w:r>
            <w:r w:rsidR="00445D40">
              <w:rPr>
                <w:noProof/>
                <w:webHidden/>
              </w:rPr>
              <w:tab/>
            </w:r>
            <w:r w:rsidR="00445D40">
              <w:rPr>
                <w:noProof/>
                <w:webHidden/>
              </w:rPr>
              <w:fldChar w:fldCharType="begin"/>
            </w:r>
            <w:r w:rsidR="00445D40">
              <w:rPr>
                <w:noProof/>
                <w:webHidden/>
              </w:rPr>
              <w:instrText xml:space="preserve"> PAGEREF _Toc180491988 \h </w:instrText>
            </w:r>
            <w:r w:rsidR="00445D40">
              <w:rPr>
                <w:noProof/>
                <w:webHidden/>
              </w:rPr>
            </w:r>
            <w:r w:rsidR="00445D40">
              <w:rPr>
                <w:noProof/>
                <w:webHidden/>
              </w:rPr>
              <w:fldChar w:fldCharType="separate"/>
            </w:r>
            <w:r w:rsidR="00445D40">
              <w:rPr>
                <w:noProof/>
                <w:webHidden/>
              </w:rPr>
              <w:t>346</w:t>
            </w:r>
            <w:r w:rsidR="00445D40">
              <w:rPr>
                <w:noProof/>
                <w:webHidden/>
              </w:rPr>
              <w:fldChar w:fldCharType="end"/>
            </w:r>
          </w:hyperlink>
        </w:p>
        <w:p w14:paraId="47B47D78" w14:textId="7B3A917F" w:rsidR="00445D40" w:rsidRDefault="00000000" w:rsidP="00445D40">
          <w:pPr>
            <w:pStyle w:val="TOC3"/>
            <w:tabs>
              <w:tab w:val="right" w:leader="dot" w:pos="9060"/>
            </w:tabs>
            <w:rPr>
              <w:rFonts w:eastAsiaTheme="minorEastAsia" w:cstheme="minorBidi"/>
              <w:noProof/>
              <w:color w:val="auto"/>
              <w:kern w:val="2"/>
              <w:sz w:val="22"/>
              <w:szCs w:val="22"/>
              <w:lang w:eastAsia="en-AU"/>
              <w14:ligatures w14:val="standardContextual"/>
            </w:rPr>
          </w:pPr>
          <w:hyperlink w:anchor="_Toc180491989" w:history="1">
            <w:r w:rsidR="00445D40" w:rsidRPr="00CC780B">
              <w:rPr>
                <w:rStyle w:val="Hyperlink"/>
                <w:rFonts w:eastAsia="Times New Roman"/>
                <w:noProof/>
                <w:lang w:eastAsia="en-AU"/>
              </w:rPr>
              <w:t>Other Information</w:t>
            </w:r>
            <w:r w:rsidR="00445D40">
              <w:rPr>
                <w:noProof/>
                <w:webHidden/>
              </w:rPr>
              <w:tab/>
            </w:r>
            <w:r w:rsidR="00445D40">
              <w:rPr>
                <w:noProof/>
                <w:webHidden/>
              </w:rPr>
              <w:fldChar w:fldCharType="begin"/>
            </w:r>
            <w:r w:rsidR="00445D40">
              <w:rPr>
                <w:noProof/>
                <w:webHidden/>
              </w:rPr>
              <w:instrText xml:space="preserve"> PAGEREF _Toc180491989 \h </w:instrText>
            </w:r>
            <w:r w:rsidR="00445D40">
              <w:rPr>
                <w:noProof/>
                <w:webHidden/>
              </w:rPr>
            </w:r>
            <w:r w:rsidR="00445D40">
              <w:rPr>
                <w:noProof/>
                <w:webHidden/>
              </w:rPr>
              <w:fldChar w:fldCharType="separate"/>
            </w:r>
            <w:r w:rsidR="00445D40">
              <w:rPr>
                <w:noProof/>
                <w:webHidden/>
              </w:rPr>
              <w:t>347</w:t>
            </w:r>
            <w:r w:rsidR="00445D40">
              <w:rPr>
                <w:noProof/>
                <w:webHidden/>
              </w:rPr>
              <w:fldChar w:fldCharType="end"/>
            </w:r>
          </w:hyperlink>
        </w:p>
        <w:p w14:paraId="723E48FF" w14:textId="61FBB31D" w:rsidR="00445D40" w:rsidRDefault="00000000" w:rsidP="00445D40">
          <w:pPr>
            <w:pStyle w:val="TOC4"/>
            <w:rPr>
              <w:rFonts w:eastAsiaTheme="minorEastAsia" w:cstheme="minorBidi"/>
              <w:noProof/>
              <w:color w:val="auto"/>
              <w:kern w:val="2"/>
              <w:sz w:val="22"/>
              <w:szCs w:val="22"/>
              <w:lang w:eastAsia="en-AU"/>
              <w14:ligatures w14:val="standardContextual"/>
            </w:rPr>
          </w:pPr>
          <w:hyperlink w:anchor="_Toc180491990" w:history="1">
            <w:r w:rsidR="00445D40" w:rsidRPr="00CC780B">
              <w:rPr>
                <w:rStyle w:val="Hyperlink"/>
                <w:noProof/>
              </w:rPr>
              <w:t>23 Income tax equivalents</w:t>
            </w:r>
            <w:r w:rsidR="00445D40">
              <w:rPr>
                <w:noProof/>
                <w:webHidden/>
              </w:rPr>
              <w:tab/>
            </w:r>
            <w:r w:rsidR="00445D40">
              <w:rPr>
                <w:noProof/>
                <w:webHidden/>
              </w:rPr>
              <w:fldChar w:fldCharType="begin"/>
            </w:r>
            <w:r w:rsidR="00445D40">
              <w:rPr>
                <w:noProof/>
                <w:webHidden/>
              </w:rPr>
              <w:instrText xml:space="preserve"> PAGEREF _Toc180491990 \h </w:instrText>
            </w:r>
            <w:r w:rsidR="00445D40">
              <w:rPr>
                <w:noProof/>
                <w:webHidden/>
              </w:rPr>
            </w:r>
            <w:r w:rsidR="00445D40">
              <w:rPr>
                <w:noProof/>
                <w:webHidden/>
              </w:rPr>
              <w:fldChar w:fldCharType="separate"/>
            </w:r>
            <w:r w:rsidR="00445D40">
              <w:rPr>
                <w:noProof/>
                <w:webHidden/>
              </w:rPr>
              <w:t>347</w:t>
            </w:r>
            <w:r w:rsidR="00445D40">
              <w:rPr>
                <w:noProof/>
                <w:webHidden/>
              </w:rPr>
              <w:fldChar w:fldCharType="end"/>
            </w:r>
          </w:hyperlink>
        </w:p>
        <w:p w14:paraId="5A8347C3" w14:textId="4CFD0481" w:rsidR="00445D40" w:rsidRDefault="00000000" w:rsidP="00445D40">
          <w:pPr>
            <w:pStyle w:val="TOC4"/>
            <w:rPr>
              <w:rFonts w:eastAsiaTheme="minorEastAsia" w:cstheme="minorBidi"/>
              <w:noProof/>
              <w:color w:val="auto"/>
              <w:kern w:val="2"/>
              <w:sz w:val="22"/>
              <w:szCs w:val="22"/>
              <w:lang w:eastAsia="en-AU"/>
              <w14:ligatures w14:val="standardContextual"/>
            </w:rPr>
          </w:pPr>
          <w:hyperlink w:anchor="_Toc180491992" w:history="1">
            <w:r w:rsidR="00445D40" w:rsidRPr="00CC780B">
              <w:rPr>
                <w:rStyle w:val="Hyperlink"/>
                <w:noProof/>
              </w:rPr>
              <w:t>24 Commitments for expenditure</w:t>
            </w:r>
            <w:r w:rsidR="00445D40">
              <w:rPr>
                <w:noProof/>
                <w:webHidden/>
              </w:rPr>
              <w:tab/>
            </w:r>
            <w:r w:rsidR="00445D40">
              <w:rPr>
                <w:noProof/>
                <w:webHidden/>
              </w:rPr>
              <w:fldChar w:fldCharType="begin"/>
            </w:r>
            <w:r w:rsidR="00445D40">
              <w:rPr>
                <w:noProof/>
                <w:webHidden/>
              </w:rPr>
              <w:instrText xml:space="preserve"> PAGEREF _Toc180491992 \h </w:instrText>
            </w:r>
            <w:r w:rsidR="00445D40">
              <w:rPr>
                <w:noProof/>
                <w:webHidden/>
              </w:rPr>
            </w:r>
            <w:r w:rsidR="00445D40">
              <w:rPr>
                <w:noProof/>
                <w:webHidden/>
              </w:rPr>
              <w:fldChar w:fldCharType="separate"/>
            </w:r>
            <w:r w:rsidR="00445D40">
              <w:rPr>
                <w:noProof/>
                <w:webHidden/>
              </w:rPr>
              <w:t>349</w:t>
            </w:r>
            <w:r w:rsidR="00445D40">
              <w:rPr>
                <w:noProof/>
                <w:webHidden/>
              </w:rPr>
              <w:fldChar w:fldCharType="end"/>
            </w:r>
          </w:hyperlink>
        </w:p>
        <w:p w14:paraId="7964D7AE" w14:textId="76209261" w:rsidR="00445D40" w:rsidRDefault="00000000" w:rsidP="00445D40">
          <w:pPr>
            <w:pStyle w:val="TOC4"/>
            <w:rPr>
              <w:rFonts w:eastAsiaTheme="minorEastAsia" w:cstheme="minorBidi"/>
              <w:noProof/>
              <w:color w:val="auto"/>
              <w:kern w:val="2"/>
              <w:sz w:val="22"/>
              <w:szCs w:val="22"/>
              <w:lang w:eastAsia="en-AU"/>
              <w14:ligatures w14:val="standardContextual"/>
            </w:rPr>
          </w:pPr>
          <w:hyperlink w:anchor="_Toc180491993" w:history="1">
            <w:r w:rsidR="00445D40" w:rsidRPr="00CC780B">
              <w:rPr>
                <w:rStyle w:val="Hyperlink"/>
                <w:noProof/>
              </w:rPr>
              <w:t>25 Contingencies</w:t>
            </w:r>
            <w:r w:rsidR="00445D40">
              <w:rPr>
                <w:noProof/>
                <w:webHidden/>
              </w:rPr>
              <w:tab/>
            </w:r>
            <w:r w:rsidR="00445D40">
              <w:rPr>
                <w:noProof/>
                <w:webHidden/>
              </w:rPr>
              <w:fldChar w:fldCharType="begin"/>
            </w:r>
            <w:r w:rsidR="00445D40">
              <w:rPr>
                <w:noProof/>
                <w:webHidden/>
              </w:rPr>
              <w:instrText xml:space="preserve"> PAGEREF _Toc180491993 \h </w:instrText>
            </w:r>
            <w:r w:rsidR="00445D40">
              <w:rPr>
                <w:noProof/>
                <w:webHidden/>
              </w:rPr>
            </w:r>
            <w:r w:rsidR="00445D40">
              <w:rPr>
                <w:noProof/>
                <w:webHidden/>
              </w:rPr>
              <w:fldChar w:fldCharType="separate"/>
            </w:r>
            <w:r w:rsidR="00445D40">
              <w:rPr>
                <w:noProof/>
                <w:webHidden/>
              </w:rPr>
              <w:t>349</w:t>
            </w:r>
            <w:r w:rsidR="00445D40">
              <w:rPr>
                <w:noProof/>
                <w:webHidden/>
              </w:rPr>
              <w:fldChar w:fldCharType="end"/>
            </w:r>
          </w:hyperlink>
        </w:p>
        <w:p w14:paraId="2CB3383B" w14:textId="441EC461" w:rsidR="00445D40" w:rsidRDefault="00000000" w:rsidP="00445D40">
          <w:pPr>
            <w:pStyle w:val="TOC4"/>
            <w:rPr>
              <w:rFonts w:eastAsiaTheme="minorEastAsia" w:cstheme="minorBidi"/>
              <w:noProof/>
              <w:color w:val="auto"/>
              <w:kern w:val="2"/>
              <w:sz w:val="22"/>
              <w:szCs w:val="22"/>
              <w:lang w:eastAsia="en-AU"/>
              <w14:ligatures w14:val="standardContextual"/>
            </w:rPr>
          </w:pPr>
          <w:hyperlink w:anchor="_Toc180491996" w:history="1">
            <w:r w:rsidR="00445D40" w:rsidRPr="00CC780B">
              <w:rPr>
                <w:rStyle w:val="Hyperlink"/>
                <w:noProof/>
              </w:rPr>
              <w:t>26 Investment in subsidiary</w:t>
            </w:r>
            <w:r w:rsidR="00445D40">
              <w:rPr>
                <w:noProof/>
                <w:webHidden/>
              </w:rPr>
              <w:tab/>
            </w:r>
            <w:r w:rsidR="00445D40">
              <w:rPr>
                <w:noProof/>
                <w:webHidden/>
              </w:rPr>
              <w:fldChar w:fldCharType="begin"/>
            </w:r>
            <w:r w:rsidR="00445D40">
              <w:rPr>
                <w:noProof/>
                <w:webHidden/>
              </w:rPr>
              <w:instrText xml:space="preserve"> PAGEREF _Toc180491996 \h </w:instrText>
            </w:r>
            <w:r w:rsidR="00445D40">
              <w:rPr>
                <w:noProof/>
                <w:webHidden/>
              </w:rPr>
            </w:r>
            <w:r w:rsidR="00445D40">
              <w:rPr>
                <w:noProof/>
                <w:webHidden/>
              </w:rPr>
              <w:fldChar w:fldCharType="separate"/>
            </w:r>
            <w:r w:rsidR="00445D40">
              <w:rPr>
                <w:noProof/>
                <w:webHidden/>
              </w:rPr>
              <w:t>350</w:t>
            </w:r>
            <w:r w:rsidR="00445D40">
              <w:rPr>
                <w:noProof/>
                <w:webHidden/>
              </w:rPr>
              <w:fldChar w:fldCharType="end"/>
            </w:r>
          </w:hyperlink>
        </w:p>
        <w:p w14:paraId="7280F963" w14:textId="7628AE0F" w:rsidR="00445D40" w:rsidRDefault="00000000" w:rsidP="00445D40">
          <w:pPr>
            <w:pStyle w:val="TOC4"/>
            <w:rPr>
              <w:rFonts w:eastAsiaTheme="minorEastAsia" w:cstheme="minorBidi"/>
              <w:noProof/>
              <w:color w:val="auto"/>
              <w:kern w:val="2"/>
              <w:sz w:val="22"/>
              <w:szCs w:val="22"/>
              <w:lang w:eastAsia="en-AU"/>
              <w14:ligatures w14:val="standardContextual"/>
            </w:rPr>
          </w:pPr>
          <w:hyperlink w:anchor="_Toc180491998" w:history="1">
            <w:r w:rsidR="00445D40" w:rsidRPr="00CC780B">
              <w:rPr>
                <w:rStyle w:val="Hyperlink"/>
                <w:noProof/>
              </w:rPr>
              <w:t>27 Financial instruments</w:t>
            </w:r>
            <w:r w:rsidR="00445D40">
              <w:rPr>
                <w:noProof/>
                <w:webHidden/>
              </w:rPr>
              <w:tab/>
            </w:r>
            <w:r w:rsidR="00445D40">
              <w:rPr>
                <w:noProof/>
                <w:webHidden/>
              </w:rPr>
              <w:fldChar w:fldCharType="begin"/>
            </w:r>
            <w:r w:rsidR="00445D40">
              <w:rPr>
                <w:noProof/>
                <w:webHidden/>
              </w:rPr>
              <w:instrText xml:space="preserve"> PAGEREF _Toc180491998 \h </w:instrText>
            </w:r>
            <w:r w:rsidR="00445D40">
              <w:rPr>
                <w:noProof/>
                <w:webHidden/>
              </w:rPr>
            </w:r>
            <w:r w:rsidR="00445D40">
              <w:rPr>
                <w:noProof/>
                <w:webHidden/>
              </w:rPr>
              <w:fldChar w:fldCharType="separate"/>
            </w:r>
            <w:r w:rsidR="00445D40">
              <w:rPr>
                <w:noProof/>
                <w:webHidden/>
              </w:rPr>
              <w:t>351</w:t>
            </w:r>
            <w:r w:rsidR="00445D40">
              <w:rPr>
                <w:noProof/>
                <w:webHidden/>
              </w:rPr>
              <w:fldChar w:fldCharType="end"/>
            </w:r>
          </w:hyperlink>
        </w:p>
        <w:p w14:paraId="58EC2F84" w14:textId="54730DC6" w:rsidR="00445D40" w:rsidRDefault="00000000" w:rsidP="00445D40">
          <w:pPr>
            <w:pStyle w:val="TOC4"/>
            <w:rPr>
              <w:rFonts w:eastAsiaTheme="minorEastAsia" w:cstheme="minorBidi"/>
              <w:noProof/>
              <w:color w:val="auto"/>
              <w:kern w:val="2"/>
              <w:sz w:val="22"/>
              <w:szCs w:val="22"/>
              <w:lang w:eastAsia="en-AU"/>
              <w14:ligatures w14:val="standardContextual"/>
            </w:rPr>
          </w:pPr>
          <w:hyperlink w:anchor="_Toc180492006" w:history="1">
            <w:r w:rsidR="00445D40" w:rsidRPr="00CC780B">
              <w:rPr>
                <w:rStyle w:val="Hyperlink"/>
                <w:noProof/>
              </w:rPr>
              <w:t>28 Schedule of administered items</w:t>
            </w:r>
            <w:r w:rsidR="00445D40">
              <w:rPr>
                <w:noProof/>
                <w:webHidden/>
              </w:rPr>
              <w:tab/>
            </w:r>
            <w:r w:rsidR="00445D40">
              <w:rPr>
                <w:noProof/>
                <w:webHidden/>
              </w:rPr>
              <w:fldChar w:fldCharType="begin"/>
            </w:r>
            <w:r w:rsidR="00445D40">
              <w:rPr>
                <w:noProof/>
                <w:webHidden/>
              </w:rPr>
              <w:instrText xml:space="preserve"> PAGEREF _Toc180492006 \h </w:instrText>
            </w:r>
            <w:r w:rsidR="00445D40">
              <w:rPr>
                <w:noProof/>
                <w:webHidden/>
              </w:rPr>
            </w:r>
            <w:r w:rsidR="00445D40">
              <w:rPr>
                <w:noProof/>
                <w:webHidden/>
              </w:rPr>
              <w:fldChar w:fldCharType="separate"/>
            </w:r>
            <w:r w:rsidR="00445D40">
              <w:rPr>
                <w:noProof/>
                <w:webHidden/>
              </w:rPr>
              <w:t>354</w:t>
            </w:r>
            <w:r w:rsidR="00445D40">
              <w:rPr>
                <w:noProof/>
                <w:webHidden/>
              </w:rPr>
              <w:fldChar w:fldCharType="end"/>
            </w:r>
          </w:hyperlink>
        </w:p>
        <w:p w14:paraId="77E7D229" w14:textId="3E2B9C00" w:rsidR="00445D40" w:rsidRDefault="00000000" w:rsidP="00445D40">
          <w:pPr>
            <w:pStyle w:val="TOC4"/>
            <w:rPr>
              <w:rFonts w:eastAsiaTheme="minorEastAsia" w:cstheme="minorBidi"/>
              <w:noProof/>
              <w:color w:val="auto"/>
              <w:kern w:val="2"/>
              <w:sz w:val="22"/>
              <w:szCs w:val="22"/>
              <w:lang w:eastAsia="en-AU"/>
              <w14:ligatures w14:val="standardContextual"/>
            </w:rPr>
          </w:pPr>
          <w:hyperlink w:anchor="_Toc180492007" w:history="1">
            <w:r w:rsidR="00445D40" w:rsidRPr="00CC780B">
              <w:rPr>
                <w:rStyle w:val="Hyperlink"/>
                <w:noProof/>
              </w:rPr>
              <w:t>29 Administered appropriations</w:t>
            </w:r>
            <w:r w:rsidR="00445D40">
              <w:rPr>
                <w:noProof/>
                <w:webHidden/>
              </w:rPr>
              <w:tab/>
            </w:r>
            <w:r w:rsidR="00445D40">
              <w:rPr>
                <w:noProof/>
                <w:webHidden/>
              </w:rPr>
              <w:fldChar w:fldCharType="begin"/>
            </w:r>
            <w:r w:rsidR="00445D40">
              <w:rPr>
                <w:noProof/>
                <w:webHidden/>
              </w:rPr>
              <w:instrText xml:space="preserve"> PAGEREF _Toc180492007 \h </w:instrText>
            </w:r>
            <w:r w:rsidR="00445D40">
              <w:rPr>
                <w:noProof/>
                <w:webHidden/>
              </w:rPr>
            </w:r>
            <w:r w:rsidR="00445D40">
              <w:rPr>
                <w:noProof/>
                <w:webHidden/>
              </w:rPr>
              <w:fldChar w:fldCharType="separate"/>
            </w:r>
            <w:r w:rsidR="00445D40">
              <w:rPr>
                <w:noProof/>
                <w:webHidden/>
              </w:rPr>
              <w:t>356</w:t>
            </w:r>
            <w:r w:rsidR="00445D40">
              <w:rPr>
                <w:noProof/>
                <w:webHidden/>
              </w:rPr>
              <w:fldChar w:fldCharType="end"/>
            </w:r>
          </w:hyperlink>
        </w:p>
        <w:p w14:paraId="13766EBA" w14:textId="3FA7E18F" w:rsidR="00445D40" w:rsidRDefault="00000000" w:rsidP="00445D40">
          <w:pPr>
            <w:pStyle w:val="TOC4"/>
            <w:rPr>
              <w:rFonts w:eastAsiaTheme="minorEastAsia" w:cstheme="minorBidi"/>
              <w:noProof/>
              <w:color w:val="auto"/>
              <w:kern w:val="2"/>
              <w:sz w:val="22"/>
              <w:szCs w:val="22"/>
              <w:lang w:eastAsia="en-AU"/>
              <w14:ligatures w14:val="standardContextual"/>
            </w:rPr>
          </w:pPr>
          <w:hyperlink w:anchor="_Toc180492008" w:history="1">
            <w:r w:rsidR="00445D40" w:rsidRPr="00CC780B">
              <w:rPr>
                <w:rStyle w:val="Hyperlink"/>
                <w:noProof/>
              </w:rPr>
              <w:t>30 Budgetary reporting</w:t>
            </w:r>
            <w:r w:rsidR="00445D40">
              <w:rPr>
                <w:noProof/>
                <w:webHidden/>
              </w:rPr>
              <w:tab/>
            </w:r>
            <w:r w:rsidR="00445D40">
              <w:rPr>
                <w:noProof/>
                <w:webHidden/>
              </w:rPr>
              <w:fldChar w:fldCharType="begin"/>
            </w:r>
            <w:r w:rsidR="00445D40">
              <w:rPr>
                <w:noProof/>
                <w:webHidden/>
              </w:rPr>
              <w:instrText xml:space="preserve"> PAGEREF _Toc180492008 \h </w:instrText>
            </w:r>
            <w:r w:rsidR="00445D40">
              <w:rPr>
                <w:noProof/>
                <w:webHidden/>
              </w:rPr>
            </w:r>
            <w:r w:rsidR="00445D40">
              <w:rPr>
                <w:noProof/>
                <w:webHidden/>
              </w:rPr>
              <w:fldChar w:fldCharType="separate"/>
            </w:r>
            <w:r w:rsidR="00445D40">
              <w:rPr>
                <w:noProof/>
                <w:webHidden/>
              </w:rPr>
              <w:t>357</w:t>
            </w:r>
            <w:r w:rsidR="00445D40">
              <w:rPr>
                <w:noProof/>
                <w:webHidden/>
              </w:rPr>
              <w:fldChar w:fldCharType="end"/>
            </w:r>
          </w:hyperlink>
        </w:p>
        <w:p w14:paraId="4182848D" w14:textId="5851E856" w:rsidR="00445D40" w:rsidRDefault="00000000" w:rsidP="00445D40">
          <w:pPr>
            <w:pStyle w:val="TOC4"/>
            <w:rPr>
              <w:rFonts w:eastAsiaTheme="minorEastAsia" w:cstheme="minorBidi"/>
              <w:noProof/>
              <w:color w:val="auto"/>
              <w:kern w:val="2"/>
              <w:sz w:val="22"/>
              <w:szCs w:val="22"/>
              <w:lang w:eastAsia="en-AU"/>
              <w14:ligatures w14:val="standardContextual"/>
            </w:rPr>
          </w:pPr>
          <w:hyperlink w:anchor="_Toc180492013" w:history="1">
            <w:r w:rsidR="00445D40" w:rsidRPr="00CC780B">
              <w:rPr>
                <w:rStyle w:val="Hyperlink"/>
                <w:noProof/>
              </w:rPr>
              <w:t>31 Events after the balance date</w:t>
            </w:r>
            <w:r w:rsidR="00445D40">
              <w:rPr>
                <w:noProof/>
                <w:webHidden/>
              </w:rPr>
              <w:tab/>
            </w:r>
            <w:r w:rsidR="00445D40">
              <w:rPr>
                <w:noProof/>
                <w:webHidden/>
              </w:rPr>
              <w:fldChar w:fldCharType="begin"/>
            </w:r>
            <w:r w:rsidR="00445D40">
              <w:rPr>
                <w:noProof/>
                <w:webHidden/>
              </w:rPr>
              <w:instrText xml:space="preserve"> PAGEREF _Toc180492013 \h </w:instrText>
            </w:r>
            <w:r w:rsidR="00445D40">
              <w:rPr>
                <w:noProof/>
                <w:webHidden/>
              </w:rPr>
            </w:r>
            <w:r w:rsidR="00445D40">
              <w:rPr>
                <w:noProof/>
                <w:webHidden/>
              </w:rPr>
              <w:fldChar w:fldCharType="separate"/>
            </w:r>
            <w:r w:rsidR="00445D40">
              <w:rPr>
                <w:noProof/>
                <w:webHidden/>
              </w:rPr>
              <w:t>366</w:t>
            </w:r>
            <w:r w:rsidR="00445D40">
              <w:rPr>
                <w:noProof/>
                <w:webHidden/>
              </w:rPr>
              <w:fldChar w:fldCharType="end"/>
            </w:r>
          </w:hyperlink>
        </w:p>
        <w:p w14:paraId="4723EACA" w14:textId="3244B7CE" w:rsidR="00445D40" w:rsidRDefault="00000000" w:rsidP="00445D40">
          <w:pPr>
            <w:pStyle w:val="TOC2"/>
            <w:rPr>
              <w:rFonts w:eastAsiaTheme="minorEastAsia" w:cstheme="minorBidi"/>
              <w:iCs w:val="0"/>
              <w:noProof/>
              <w:color w:val="auto"/>
              <w:kern w:val="2"/>
              <w:sz w:val="22"/>
              <w:szCs w:val="22"/>
              <w:lang w:eastAsia="en-AU"/>
              <w14:ligatures w14:val="standardContextual"/>
            </w:rPr>
          </w:pPr>
          <w:hyperlink w:anchor="_Toc180492018" w:history="1">
            <w:r w:rsidR="00445D40" w:rsidRPr="00CC780B">
              <w:rPr>
                <w:rStyle w:val="Hyperlink"/>
                <w:noProof/>
              </w:rPr>
              <w:t>Certification</w:t>
            </w:r>
            <w:r w:rsidR="00445D40">
              <w:rPr>
                <w:noProof/>
                <w:webHidden/>
              </w:rPr>
              <w:tab/>
            </w:r>
            <w:r w:rsidR="00445D40">
              <w:rPr>
                <w:noProof/>
                <w:webHidden/>
              </w:rPr>
              <w:fldChar w:fldCharType="begin"/>
            </w:r>
            <w:r w:rsidR="00445D40">
              <w:rPr>
                <w:noProof/>
                <w:webHidden/>
              </w:rPr>
              <w:instrText xml:space="preserve"> PAGEREF _Toc180492018 \h </w:instrText>
            </w:r>
            <w:r w:rsidR="00445D40">
              <w:rPr>
                <w:noProof/>
                <w:webHidden/>
              </w:rPr>
            </w:r>
            <w:r w:rsidR="00445D40">
              <w:rPr>
                <w:noProof/>
                <w:webHidden/>
              </w:rPr>
              <w:fldChar w:fldCharType="separate"/>
            </w:r>
            <w:r w:rsidR="00445D40">
              <w:rPr>
                <w:noProof/>
                <w:webHidden/>
              </w:rPr>
              <w:t>367</w:t>
            </w:r>
            <w:r w:rsidR="00445D40">
              <w:rPr>
                <w:noProof/>
                <w:webHidden/>
              </w:rPr>
              <w:fldChar w:fldCharType="end"/>
            </w:r>
          </w:hyperlink>
        </w:p>
        <w:p w14:paraId="47F331DB" w14:textId="31B5390D" w:rsidR="00445D40" w:rsidRDefault="00000000" w:rsidP="00445D40">
          <w:pPr>
            <w:pStyle w:val="TOC3"/>
            <w:tabs>
              <w:tab w:val="right" w:leader="dot" w:pos="9060"/>
            </w:tabs>
            <w:rPr>
              <w:rFonts w:eastAsiaTheme="minorEastAsia" w:cstheme="minorBidi"/>
              <w:noProof/>
              <w:color w:val="auto"/>
              <w:kern w:val="2"/>
              <w:sz w:val="22"/>
              <w:szCs w:val="22"/>
              <w:lang w:eastAsia="en-AU"/>
              <w14:ligatures w14:val="standardContextual"/>
            </w:rPr>
          </w:pPr>
          <w:hyperlink w:anchor="_Toc180492019" w:history="1">
            <w:r w:rsidR="00445D40" w:rsidRPr="00CC780B">
              <w:rPr>
                <w:rStyle w:val="Hyperlink"/>
                <w:noProof/>
              </w:rPr>
              <w:t>Management Certificate of the Department of Transport and Main Roads</w:t>
            </w:r>
            <w:r w:rsidR="00445D40">
              <w:rPr>
                <w:noProof/>
                <w:webHidden/>
              </w:rPr>
              <w:tab/>
            </w:r>
            <w:r w:rsidR="00445D40">
              <w:rPr>
                <w:noProof/>
                <w:webHidden/>
              </w:rPr>
              <w:fldChar w:fldCharType="begin"/>
            </w:r>
            <w:r w:rsidR="00445D40">
              <w:rPr>
                <w:noProof/>
                <w:webHidden/>
              </w:rPr>
              <w:instrText xml:space="preserve"> PAGEREF _Toc180492019 \h </w:instrText>
            </w:r>
            <w:r w:rsidR="00445D40">
              <w:rPr>
                <w:noProof/>
                <w:webHidden/>
              </w:rPr>
            </w:r>
            <w:r w:rsidR="00445D40">
              <w:rPr>
                <w:noProof/>
                <w:webHidden/>
              </w:rPr>
              <w:fldChar w:fldCharType="separate"/>
            </w:r>
            <w:r w:rsidR="00445D40">
              <w:rPr>
                <w:noProof/>
                <w:webHidden/>
              </w:rPr>
              <w:t>367</w:t>
            </w:r>
            <w:r w:rsidR="00445D40">
              <w:rPr>
                <w:noProof/>
                <w:webHidden/>
              </w:rPr>
              <w:fldChar w:fldCharType="end"/>
            </w:r>
          </w:hyperlink>
        </w:p>
        <w:p w14:paraId="57CC7CAB" w14:textId="769D175C" w:rsidR="00445D40" w:rsidRDefault="00000000" w:rsidP="00445D40">
          <w:pPr>
            <w:pStyle w:val="TOC3"/>
            <w:tabs>
              <w:tab w:val="right" w:leader="dot" w:pos="9060"/>
            </w:tabs>
            <w:rPr>
              <w:rFonts w:eastAsiaTheme="minorEastAsia" w:cstheme="minorBidi"/>
              <w:noProof/>
              <w:color w:val="auto"/>
              <w:kern w:val="2"/>
              <w:sz w:val="22"/>
              <w:szCs w:val="22"/>
              <w:lang w:eastAsia="en-AU"/>
              <w14:ligatures w14:val="standardContextual"/>
            </w:rPr>
          </w:pPr>
          <w:hyperlink w:anchor="_Toc180492021" w:history="1">
            <w:r w:rsidR="00445D40" w:rsidRPr="00CC780B">
              <w:rPr>
                <w:rStyle w:val="Hyperlink"/>
                <w:noProof/>
              </w:rPr>
              <w:t>Independent Auditor's Report</w:t>
            </w:r>
            <w:r w:rsidR="00445D40">
              <w:rPr>
                <w:noProof/>
                <w:webHidden/>
              </w:rPr>
              <w:tab/>
            </w:r>
            <w:r w:rsidR="00445D40">
              <w:rPr>
                <w:noProof/>
                <w:webHidden/>
              </w:rPr>
              <w:fldChar w:fldCharType="begin"/>
            </w:r>
            <w:r w:rsidR="00445D40">
              <w:rPr>
                <w:noProof/>
                <w:webHidden/>
              </w:rPr>
              <w:instrText xml:space="preserve"> PAGEREF _Toc180492021 \h </w:instrText>
            </w:r>
            <w:r w:rsidR="00445D40">
              <w:rPr>
                <w:noProof/>
                <w:webHidden/>
              </w:rPr>
            </w:r>
            <w:r w:rsidR="00445D40">
              <w:rPr>
                <w:noProof/>
                <w:webHidden/>
              </w:rPr>
              <w:fldChar w:fldCharType="separate"/>
            </w:r>
            <w:r w:rsidR="00445D40">
              <w:rPr>
                <w:noProof/>
                <w:webHidden/>
              </w:rPr>
              <w:t>368</w:t>
            </w:r>
            <w:r w:rsidR="00445D40">
              <w:rPr>
                <w:noProof/>
                <w:webHidden/>
              </w:rPr>
              <w:fldChar w:fldCharType="end"/>
            </w:r>
          </w:hyperlink>
        </w:p>
        <w:p w14:paraId="48213BD9" w14:textId="40135FCA" w:rsidR="00445D40" w:rsidRPr="0041397D" w:rsidRDefault="00445D40" w:rsidP="005F5281">
          <w:pPr>
            <w:pStyle w:val="TOC4"/>
            <w:ind w:left="0"/>
            <w:rPr>
              <w:rFonts w:eastAsiaTheme="minorEastAsia" w:cstheme="minorBidi"/>
              <w:noProof/>
              <w:color w:val="auto"/>
              <w:kern w:val="2"/>
              <w:sz w:val="22"/>
              <w:szCs w:val="22"/>
              <w:lang w:eastAsia="en-AU"/>
              <w14:ligatures w14:val="standardContextual"/>
            </w:rPr>
          </w:pPr>
          <w:r>
            <w:fldChar w:fldCharType="end"/>
          </w:r>
        </w:p>
      </w:sdtContent>
    </w:sdt>
    <w:p w14:paraId="06DC9B09" w14:textId="77777777" w:rsidR="00445D40" w:rsidRDefault="00445D40" w:rsidP="00FE7BDD">
      <w:pPr>
        <w:pStyle w:val="Heading2"/>
      </w:pPr>
      <w:bookmarkStart w:id="1408" w:name="_Toc179365593"/>
      <w:bookmarkStart w:id="1409" w:name="_Toc180490898"/>
      <w:bookmarkStart w:id="1410" w:name="_Toc180491931"/>
      <w:r>
        <w:br w:type="page"/>
      </w:r>
    </w:p>
    <w:p w14:paraId="64F91A04" w14:textId="78D7B8E1" w:rsidR="00730DE4" w:rsidRPr="00730DE4" w:rsidRDefault="00730DE4" w:rsidP="00FE7BDD">
      <w:pPr>
        <w:pStyle w:val="Heading2"/>
      </w:pPr>
      <w:r w:rsidRPr="00730DE4">
        <w:t>Statement of comprehensive income</w:t>
      </w:r>
      <w:bookmarkEnd w:id="1408"/>
      <w:bookmarkEnd w:id="1409"/>
      <w:bookmarkEnd w:id="1410"/>
    </w:p>
    <w:p w14:paraId="4367E717" w14:textId="77777777" w:rsidR="00730DE4" w:rsidRPr="00730DE4" w:rsidRDefault="00730DE4" w:rsidP="00DF7CEB">
      <w:pPr>
        <w:pStyle w:val="NoSpacing"/>
        <w:rPr>
          <w:sz w:val="24"/>
          <w:szCs w:val="24"/>
        </w:rPr>
      </w:pPr>
      <w:r w:rsidRPr="00730DE4">
        <w:rPr>
          <w:sz w:val="24"/>
          <w:szCs w:val="24"/>
        </w:rPr>
        <w:t>For the year ended 30 June 2024.</w:t>
      </w:r>
    </w:p>
    <w:p w14:paraId="04193CD1" w14:textId="77777777" w:rsidR="00730DE4" w:rsidRPr="00730DE4" w:rsidRDefault="00730DE4" w:rsidP="009D3417">
      <w:pPr>
        <w:pStyle w:val="NoSpacing"/>
      </w:pPr>
    </w:p>
    <w:tbl>
      <w:tblPr>
        <w:tblW w:w="5000" w:type="pct"/>
        <w:tblCellMar>
          <w:top w:w="23" w:type="dxa"/>
          <w:left w:w="23" w:type="dxa"/>
          <w:bottom w:w="23" w:type="dxa"/>
          <w:right w:w="23" w:type="dxa"/>
        </w:tblCellMar>
        <w:tblLook w:val="04A0" w:firstRow="1" w:lastRow="0" w:firstColumn="1" w:lastColumn="0" w:noHBand="0" w:noVBand="1"/>
      </w:tblPr>
      <w:tblGrid>
        <w:gridCol w:w="5204"/>
        <w:gridCol w:w="744"/>
        <w:gridCol w:w="1562"/>
        <w:gridCol w:w="1560"/>
      </w:tblGrid>
      <w:tr w:rsidR="00730DE4" w:rsidRPr="00730DE4" w14:paraId="192E606E" w14:textId="77777777" w:rsidTr="00253FBD">
        <w:trPr>
          <w:cantSplit/>
        </w:trPr>
        <w:tc>
          <w:tcPr>
            <w:tcW w:w="2868" w:type="pct"/>
            <w:tcBorders>
              <w:top w:val="nil"/>
              <w:left w:val="nil"/>
              <w:bottom w:val="single" w:sz="4" w:space="0" w:color="auto"/>
              <w:right w:val="nil"/>
            </w:tcBorders>
            <w:vAlign w:val="bottom"/>
          </w:tcPr>
          <w:p w14:paraId="573EE123" w14:textId="77777777" w:rsidR="00730DE4" w:rsidRPr="00730DE4" w:rsidRDefault="00730DE4" w:rsidP="009E5BA1">
            <w:pPr>
              <w:pStyle w:val="NoSpacing"/>
              <w:rPr>
                <w:rStyle w:val="Strong"/>
              </w:rPr>
            </w:pPr>
            <w:r w:rsidRPr="00730DE4">
              <w:rPr>
                <w:rStyle w:val="Strong"/>
              </w:rPr>
              <w:t>Operating result</w:t>
            </w:r>
          </w:p>
        </w:tc>
        <w:tc>
          <w:tcPr>
            <w:tcW w:w="410" w:type="pct"/>
            <w:tcBorders>
              <w:top w:val="nil"/>
              <w:left w:val="nil"/>
              <w:bottom w:val="single" w:sz="4" w:space="0" w:color="auto"/>
              <w:right w:val="nil"/>
            </w:tcBorders>
            <w:shd w:val="clear" w:color="auto" w:fill="auto"/>
            <w:noWrap/>
            <w:vAlign w:val="bottom"/>
            <w:hideMark/>
          </w:tcPr>
          <w:p w14:paraId="224FD2EF" w14:textId="77777777" w:rsidR="00730DE4" w:rsidRPr="00730DE4" w:rsidRDefault="00730DE4" w:rsidP="009E5BA1">
            <w:pPr>
              <w:pStyle w:val="NoSpacing"/>
              <w:jc w:val="right"/>
              <w:rPr>
                <w:color w:val="080C0F" w:themeColor="text1"/>
                <w:szCs w:val="20"/>
              </w:rPr>
            </w:pPr>
            <w:r w:rsidRPr="00730DE4">
              <w:rPr>
                <w:rStyle w:val="Strong"/>
              </w:rPr>
              <w:t>Note</w:t>
            </w:r>
          </w:p>
        </w:tc>
        <w:tc>
          <w:tcPr>
            <w:tcW w:w="861" w:type="pct"/>
            <w:tcBorders>
              <w:top w:val="nil"/>
              <w:left w:val="nil"/>
              <w:bottom w:val="single" w:sz="4" w:space="0" w:color="auto"/>
              <w:right w:val="nil"/>
            </w:tcBorders>
            <w:shd w:val="clear" w:color="auto" w:fill="auto"/>
            <w:noWrap/>
            <w:vAlign w:val="bottom"/>
            <w:hideMark/>
          </w:tcPr>
          <w:p w14:paraId="6B5BDEC8" w14:textId="77777777" w:rsidR="00730DE4" w:rsidRPr="00730DE4" w:rsidRDefault="00730DE4" w:rsidP="009E5BA1">
            <w:pPr>
              <w:pStyle w:val="NoSpacing"/>
              <w:jc w:val="right"/>
              <w:rPr>
                <w:color w:val="080C0F" w:themeColor="text1"/>
                <w:szCs w:val="20"/>
              </w:rPr>
            </w:pPr>
            <w:bookmarkStart w:id="1411" w:name="RANGE!F5"/>
            <w:r w:rsidRPr="00730DE4">
              <w:rPr>
                <w:rStyle w:val="Strong"/>
              </w:rPr>
              <w:t>2024</w:t>
            </w:r>
            <w:bookmarkEnd w:id="1411"/>
            <w:r w:rsidRPr="00730DE4">
              <w:rPr>
                <w:rStyle w:val="Strong"/>
              </w:rPr>
              <w:t xml:space="preserve"> </w:t>
            </w:r>
            <w:r w:rsidRPr="00730DE4">
              <w:rPr>
                <w:rStyle w:val="Strong"/>
              </w:rPr>
              <w:br/>
              <w:t>$'000</w:t>
            </w:r>
          </w:p>
        </w:tc>
        <w:tc>
          <w:tcPr>
            <w:tcW w:w="860" w:type="pct"/>
            <w:tcBorders>
              <w:top w:val="nil"/>
              <w:left w:val="nil"/>
              <w:bottom w:val="single" w:sz="4" w:space="0" w:color="auto"/>
              <w:right w:val="nil"/>
            </w:tcBorders>
            <w:shd w:val="clear" w:color="auto" w:fill="auto"/>
            <w:noWrap/>
            <w:vAlign w:val="bottom"/>
            <w:hideMark/>
          </w:tcPr>
          <w:p w14:paraId="3E7E9531" w14:textId="77777777" w:rsidR="00730DE4" w:rsidRPr="00730DE4" w:rsidRDefault="00730DE4" w:rsidP="009E5BA1">
            <w:pPr>
              <w:pStyle w:val="NoSpacing"/>
              <w:jc w:val="right"/>
              <w:rPr>
                <w:rStyle w:val="Strong"/>
              </w:rPr>
            </w:pPr>
            <w:bookmarkStart w:id="1412" w:name="RANGE!H5"/>
            <w:r w:rsidRPr="00730DE4">
              <w:rPr>
                <w:rStyle w:val="Strong"/>
              </w:rPr>
              <w:t>2023</w:t>
            </w:r>
            <w:bookmarkEnd w:id="1412"/>
            <w:r w:rsidRPr="00730DE4">
              <w:rPr>
                <w:rStyle w:val="Strong"/>
              </w:rPr>
              <w:t xml:space="preserve"> </w:t>
            </w:r>
            <w:r w:rsidRPr="00730DE4">
              <w:rPr>
                <w:rStyle w:val="Strong"/>
              </w:rPr>
              <w:br/>
              <w:t>$'000</w:t>
            </w:r>
          </w:p>
        </w:tc>
      </w:tr>
      <w:tr w:rsidR="00730DE4" w:rsidRPr="00730DE4" w14:paraId="0AE6FD9F" w14:textId="77777777" w:rsidTr="00DB17C2">
        <w:trPr>
          <w:cantSplit/>
          <w:trHeight w:val="454"/>
        </w:trPr>
        <w:tc>
          <w:tcPr>
            <w:tcW w:w="2868"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vAlign w:val="bottom"/>
          </w:tcPr>
          <w:p w14:paraId="23361775" w14:textId="77777777" w:rsidR="00730DE4" w:rsidRPr="00730DE4" w:rsidRDefault="00730DE4" w:rsidP="009E5BA1">
            <w:pPr>
              <w:pStyle w:val="NoSpacing"/>
              <w:rPr>
                <w:rStyle w:val="Strong"/>
              </w:rPr>
            </w:pPr>
            <w:r w:rsidRPr="00730DE4">
              <w:rPr>
                <w:rStyle w:val="Strong"/>
              </w:rPr>
              <w:t>Income</w:t>
            </w:r>
          </w:p>
        </w:tc>
        <w:tc>
          <w:tcPr>
            <w:tcW w:w="410"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D2E9F85" w14:textId="77777777" w:rsidR="00730DE4" w:rsidRPr="00730DE4" w:rsidRDefault="00730DE4" w:rsidP="009E5BA1">
            <w:pPr>
              <w:pStyle w:val="NoSpacing"/>
              <w:jc w:val="right"/>
              <w:rPr>
                <w:rStyle w:val="Strong"/>
              </w:rPr>
            </w:pPr>
          </w:p>
        </w:tc>
        <w:tc>
          <w:tcPr>
            <w:tcW w:w="861"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0AA9E1D" w14:textId="77777777" w:rsidR="00730DE4" w:rsidRPr="00730DE4" w:rsidRDefault="00730DE4" w:rsidP="009E5BA1">
            <w:pPr>
              <w:pStyle w:val="NoSpacing"/>
              <w:jc w:val="right"/>
              <w:rPr>
                <w:color w:val="080C0F" w:themeColor="text1"/>
                <w:szCs w:val="20"/>
              </w:rPr>
            </w:pPr>
          </w:p>
        </w:tc>
        <w:tc>
          <w:tcPr>
            <w:tcW w:w="860"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C808E7C" w14:textId="77777777" w:rsidR="00730DE4" w:rsidRPr="00730DE4" w:rsidRDefault="00730DE4" w:rsidP="009E5BA1">
            <w:pPr>
              <w:pStyle w:val="NoSpacing"/>
              <w:jc w:val="right"/>
              <w:rPr>
                <w:color w:val="080C0F" w:themeColor="text1"/>
                <w:szCs w:val="20"/>
              </w:rPr>
            </w:pPr>
          </w:p>
        </w:tc>
      </w:tr>
      <w:tr w:rsidR="00730DE4" w:rsidRPr="00730DE4" w14:paraId="235CD562" w14:textId="77777777" w:rsidTr="00253FBD">
        <w:trPr>
          <w:cantSplit/>
        </w:trPr>
        <w:tc>
          <w:tcPr>
            <w:tcW w:w="286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vAlign w:val="bottom"/>
          </w:tcPr>
          <w:p w14:paraId="5A9C76AE" w14:textId="77777777" w:rsidR="00730DE4" w:rsidRPr="00730DE4" w:rsidRDefault="00730DE4" w:rsidP="00A1677B">
            <w:pPr>
              <w:pStyle w:val="NoSpacingIndent"/>
            </w:pPr>
            <w:r w:rsidRPr="00730DE4">
              <w:t>Appropriation revenue</w:t>
            </w:r>
          </w:p>
        </w:tc>
        <w:tc>
          <w:tcPr>
            <w:tcW w:w="41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F81DAB6" w14:textId="77777777" w:rsidR="00730DE4" w:rsidRPr="00730DE4" w:rsidRDefault="00730DE4" w:rsidP="009E5BA1">
            <w:pPr>
              <w:pStyle w:val="NoSpacing"/>
              <w:jc w:val="right"/>
              <w:rPr>
                <w:color w:val="080C0F" w:themeColor="text1"/>
                <w:szCs w:val="20"/>
              </w:rPr>
            </w:pPr>
            <w:r w:rsidRPr="00730DE4">
              <w:rPr>
                <w:color w:val="080C0F" w:themeColor="text1"/>
                <w:szCs w:val="20"/>
              </w:rPr>
              <w:t>2</w:t>
            </w:r>
          </w:p>
        </w:tc>
        <w:tc>
          <w:tcPr>
            <w:tcW w:w="86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3B0485D" w14:textId="77777777" w:rsidR="00730DE4" w:rsidRPr="00730DE4" w:rsidRDefault="00730DE4" w:rsidP="009E5BA1">
            <w:pPr>
              <w:pStyle w:val="NoSpacing"/>
              <w:jc w:val="right"/>
              <w:rPr>
                <w:color w:val="080C0F" w:themeColor="text1"/>
                <w:szCs w:val="20"/>
              </w:rPr>
            </w:pPr>
            <w:r w:rsidRPr="00730DE4">
              <w:rPr>
                <w:color w:val="080C0F" w:themeColor="text1"/>
                <w:szCs w:val="20"/>
              </w:rPr>
              <w:t xml:space="preserve">6,957,051 </w:t>
            </w:r>
          </w:p>
        </w:tc>
        <w:tc>
          <w:tcPr>
            <w:tcW w:w="86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4CD5063B" w14:textId="77777777" w:rsidR="00730DE4" w:rsidRPr="00730DE4" w:rsidRDefault="00730DE4" w:rsidP="009E5BA1">
            <w:pPr>
              <w:pStyle w:val="NoSpacing"/>
              <w:jc w:val="right"/>
              <w:rPr>
                <w:color w:val="080C0F" w:themeColor="text1"/>
                <w:szCs w:val="20"/>
              </w:rPr>
            </w:pPr>
            <w:r w:rsidRPr="00730DE4">
              <w:rPr>
                <w:color w:val="080C0F" w:themeColor="text1"/>
                <w:szCs w:val="20"/>
              </w:rPr>
              <w:t xml:space="preserve">6,371,614 </w:t>
            </w:r>
          </w:p>
        </w:tc>
      </w:tr>
      <w:tr w:rsidR="00730DE4" w:rsidRPr="00730DE4" w14:paraId="0127912A" w14:textId="77777777" w:rsidTr="00253FBD">
        <w:trPr>
          <w:cantSplit/>
        </w:trPr>
        <w:tc>
          <w:tcPr>
            <w:tcW w:w="286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vAlign w:val="bottom"/>
          </w:tcPr>
          <w:p w14:paraId="3B72E32C" w14:textId="77777777" w:rsidR="00730DE4" w:rsidRPr="00730DE4" w:rsidRDefault="00730DE4" w:rsidP="00A1677B">
            <w:pPr>
              <w:pStyle w:val="NoSpacingIndent"/>
            </w:pPr>
            <w:r w:rsidRPr="00730DE4">
              <w:t>User charges and fees</w:t>
            </w:r>
          </w:p>
        </w:tc>
        <w:tc>
          <w:tcPr>
            <w:tcW w:w="41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181EF44" w14:textId="77777777" w:rsidR="00730DE4" w:rsidRPr="00730DE4" w:rsidRDefault="00730DE4" w:rsidP="009E5BA1">
            <w:pPr>
              <w:pStyle w:val="NoSpacing"/>
              <w:jc w:val="right"/>
              <w:rPr>
                <w:color w:val="080C0F" w:themeColor="text1"/>
                <w:szCs w:val="20"/>
              </w:rPr>
            </w:pPr>
            <w:r w:rsidRPr="00730DE4">
              <w:rPr>
                <w:color w:val="080C0F" w:themeColor="text1"/>
                <w:szCs w:val="20"/>
              </w:rPr>
              <w:t>3</w:t>
            </w:r>
          </w:p>
        </w:tc>
        <w:tc>
          <w:tcPr>
            <w:tcW w:w="86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0C4ED34" w14:textId="77777777" w:rsidR="00730DE4" w:rsidRPr="00730DE4" w:rsidRDefault="00730DE4" w:rsidP="009E5BA1">
            <w:pPr>
              <w:pStyle w:val="NoSpacing"/>
              <w:jc w:val="right"/>
              <w:rPr>
                <w:color w:val="080C0F" w:themeColor="text1"/>
                <w:szCs w:val="20"/>
              </w:rPr>
            </w:pPr>
            <w:r w:rsidRPr="00730DE4">
              <w:rPr>
                <w:color w:val="080C0F" w:themeColor="text1"/>
                <w:szCs w:val="20"/>
              </w:rPr>
              <w:t xml:space="preserve">1,104,337 </w:t>
            </w:r>
          </w:p>
        </w:tc>
        <w:tc>
          <w:tcPr>
            <w:tcW w:w="86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DCCB424" w14:textId="77777777" w:rsidR="00730DE4" w:rsidRPr="00730DE4" w:rsidRDefault="00730DE4" w:rsidP="009E5BA1">
            <w:pPr>
              <w:pStyle w:val="NoSpacing"/>
              <w:jc w:val="right"/>
              <w:rPr>
                <w:color w:val="080C0F" w:themeColor="text1"/>
                <w:szCs w:val="20"/>
              </w:rPr>
            </w:pPr>
            <w:r w:rsidRPr="00730DE4">
              <w:rPr>
                <w:color w:val="080C0F" w:themeColor="text1"/>
                <w:szCs w:val="20"/>
              </w:rPr>
              <w:t xml:space="preserve">778,843 </w:t>
            </w:r>
          </w:p>
        </w:tc>
      </w:tr>
      <w:tr w:rsidR="00730DE4" w:rsidRPr="00730DE4" w14:paraId="52D5B502" w14:textId="77777777" w:rsidTr="00253FBD">
        <w:trPr>
          <w:cantSplit/>
        </w:trPr>
        <w:tc>
          <w:tcPr>
            <w:tcW w:w="286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vAlign w:val="bottom"/>
          </w:tcPr>
          <w:p w14:paraId="65F8A1B1" w14:textId="77777777" w:rsidR="00730DE4" w:rsidRPr="00730DE4" w:rsidRDefault="00730DE4" w:rsidP="00A1677B">
            <w:pPr>
              <w:pStyle w:val="NoSpacingIndent"/>
            </w:pPr>
            <w:r w:rsidRPr="00730DE4">
              <w:t>Grants and other contributions</w:t>
            </w:r>
          </w:p>
        </w:tc>
        <w:tc>
          <w:tcPr>
            <w:tcW w:w="41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E5FEE4E" w14:textId="77777777" w:rsidR="00730DE4" w:rsidRPr="00730DE4" w:rsidRDefault="00730DE4" w:rsidP="009E5BA1">
            <w:pPr>
              <w:pStyle w:val="NoSpacing"/>
              <w:jc w:val="right"/>
              <w:rPr>
                <w:color w:val="080C0F" w:themeColor="text1"/>
                <w:szCs w:val="20"/>
              </w:rPr>
            </w:pPr>
            <w:r w:rsidRPr="00730DE4">
              <w:rPr>
                <w:color w:val="080C0F" w:themeColor="text1"/>
                <w:szCs w:val="20"/>
              </w:rPr>
              <w:t>4</w:t>
            </w:r>
          </w:p>
        </w:tc>
        <w:tc>
          <w:tcPr>
            <w:tcW w:w="86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145CD9A" w14:textId="77777777" w:rsidR="00730DE4" w:rsidRPr="00730DE4" w:rsidRDefault="00730DE4" w:rsidP="009E5BA1">
            <w:pPr>
              <w:pStyle w:val="NoSpacing"/>
              <w:jc w:val="right"/>
              <w:rPr>
                <w:color w:val="080C0F" w:themeColor="text1"/>
                <w:szCs w:val="20"/>
              </w:rPr>
            </w:pPr>
            <w:r w:rsidRPr="00730DE4">
              <w:rPr>
                <w:color w:val="080C0F" w:themeColor="text1"/>
                <w:szCs w:val="20"/>
              </w:rPr>
              <w:t xml:space="preserve">597,013 </w:t>
            </w:r>
          </w:p>
        </w:tc>
        <w:tc>
          <w:tcPr>
            <w:tcW w:w="86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DED4751" w14:textId="77777777" w:rsidR="00730DE4" w:rsidRPr="00730DE4" w:rsidRDefault="00730DE4" w:rsidP="009E5BA1">
            <w:pPr>
              <w:pStyle w:val="NoSpacing"/>
              <w:jc w:val="right"/>
              <w:rPr>
                <w:color w:val="080C0F" w:themeColor="text1"/>
                <w:szCs w:val="20"/>
              </w:rPr>
            </w:pPr>
            <w:r w:rsidRPr="00730DE4">
              <w:rPr>
                <w:color w:val="080C0F" w:themeColor="text1"/>
                <w:szCs w:val="20"/>
              </w:rPr>
              <w:t xml:space="preserve">276,088 </w:t>
            </w:r>
          </w:p>
        </w:tc>
      </w:tr>
      <w:tr w:rsidR="00730DE4" w:rsidRPr="00730DE4" w14:paraId="3FE72101" w14:textId="77777777" w:rsidTr="00A32DA6">
        <w:trPr>
          <w:cantSplit/>
        </w:trPr>
        <w:tc>
          <w:tcPr>
            <w:tcW w:w="286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vAlign w:val="bottom"/>
          </w:tcPr>
          <w:p w14:paraId="6B8DEB9C" w14:textId="77777777" w:rsidR="00730DE4" w:rsidRPr="00730DE4" w:rsidRDefault="00730DE4" w:rsidP="00A1677B">
            <w:pPr>
              <w:pStyle w:val="NoSpacingIndent"/>
            </w:pPr>
            <w:r w:rsidRPr="00730DE4">
              <w:t>Service concession arrangements revenue</w:t>
            </w:r>
          </w:p>
        </w:tc>
        <w:tc>
          <w:tcPr>
            <w:tcW w:w="41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E94B05D" w14:textId="77777777" w:rsidR="00730DE4" w:rsidRPr="00730DE4" w:rsidRDefault="00730DE4" w:rsidP="009E5BA1">
            <w:pPr>
              <w:pStyle w:val="NoSpacing"/>
              <w:jc w:val="right"/>
              <w:rPr>
                <w:color w:val="080C0F" w:themeColor="text1"/>
                <w:szCs w:val="20"/>
              </w:rPr>
            </w:pPr>
            <w:r w:rsidRPr="00730DE4">
              <w:rPr>
                <w:color w:val="080C0F" w:themeColor="text1"/>
                <w:szCs w:val="20"/>
              </w:rPr>
              <w:t>16</w:t>
            </w:r>
          </w:p>
        </w:tc>
        <w:tc>
          <w:tcPr>
            <w:tcW w:w="86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93EC0D1" w14:textId="77777777" w:rsidR="00730DE4" w:rsidRPr="00730DE4" w:rsidRDefault="00730DE4" w:rsidP="009E5BA1">
            <w:pPr>
              <w:pStyle w:val="NoSpacing"/>
              <w:jc w:val="right"/>
              <w:rPr>
                <w:color w:val="080C0F" w:themeColor="text1"/>
                <w:szCs w:val="20"/>
              </w:rPr>
            </w:pPr>
            <w:r w:rsidRPr="00730DE4">
              <w:rPr>
                <w:color w:val="080C0F" w:themeColor="text1"/>
                <w:szCs w:val="20"/>
              </w:rPr>
              <w:t xml:space="preserve">232,180 </w:t>
            </w:r>
          </w:p>
        </w:tc>
        <w:tc>
          <w:tcPr>
            <w:tcW w:w="86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777F462" w14:textId="77777777" w:rsidR="00730DE4" w:rsidRPr="00730DE4" w:rsidRDefault="00730DE4" w:rsidP="009E5BA1">
            <w:pPr>
              <w:pStyle w:val="NoSpacing"/>
              <w:jc w:val="right"/>
              <w:rPr>
                <w:color w:val="080C0F" w:themeColor="text1"/>
                <w:szCs w:val="20"/>
              </w:rPr>
            </w:pPr>
            <w:r w:rsidRPr="00730DE4">
              <w:rPr>
                <w:color w:val="080C0F" w:themeColor="text1"/>
                <w:szCs w:val="20"/>
              </w:rPr>
              <w:t xml:space="preserve">232,180 </w:t>
            </w:r>
          </w:p>
        </w:tc>
      </w:tr>
      <w:tr w:rsidR="00730DE4" w:rsidRPr="00730DE4" w14:paraId="6D3EA025" w14:textId="77777777" w:rsidTr="00DB17C2">
        <w:trPr>
          <w:cantSplit/>
        </w:trPr>
        <w:tc>
          <w:tcPr>
            <w:tcW w:w="2868" w:type="pct"/>
            <w:tcBorders>
              <w:top w:val="dotted" w:sz="4" w:space="0" w:color="BFBFBF" w:themeColor="background1" w:themeShade="BF"/>
              <w:left w:val="nil"/>
              <w:bottom w:val="single" w:sz="4" w:space="0" w:color="auto"/>
              <w:right w:val="dotted" w:sz="4" w:space="0" w:color="BFBFBF" w:themeColor="background1" w:themeShade="BF"/>
            </w:tcBorders>
            <w:vAlign w:val="bottom"/>
          </w:tcPr>
          <w:p w14:paraId="20E9EF31" w14:textId="77777777" w:rsidR="00730DE4" w:rsidRPr="00730DE4" w:rsidRDefault="00730DE4" w:rsidP="00A1677B">
            <w:pPr>
              <w:pStyle w:val="NoSpacingIndent"/>
            </w:pPr>
            <w:r w:rsidRPr="00730DE4">
              <w:t>Other revenue</w:t>
            </w:r>
          </w:p>
        </w:tc>
        <w:tc>
          <w:tcPr>
            <w:tcW w:w="410"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4989FDBF" w14:textId="4D165C45" w:rsidR="00730DE4" w:rsidRPr="00730DE4" w:rsidRDefault="00730DE4" w:rsidP="009E5BA1">
            <w:pPr>
              <w:pStyle w:val="NoSpacing"/>
              <w:jc w:val="right"/>
              <w:rPr>
                <w:color w:val="080C0F" w:themeColor="text1"/>
                <w:szCs w:val="20"/>
              </w:rPr>
            </w:pPr>
          </w:p>
        </w:tc>
        <w:tc>
          <w:tcPr>
            <w:tcW w:w="861"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4DD86526" w14:textId="77777777" w:rsidR="00730DE4" w:rsidRPr="00730DE4" w:rsidRDefault="00730DE4" w:rsidP="009E5BA1">
            <w:pPr>
              <w:pStyle w:val="NoSpacing"/>
              <w:jc w:val="right"/>
              <w:rPr>
                <w:color w:val="080C0F" w:themeColor="text1"/>
                <w:szCs w:val="20"/>
              </w:rPr>
            </w:pPr>
            <w:r w:rsidRPr="00730DE4">
              <w:rPr>
                <w:color w:val="080C0F" w:themeColor="text1"/>
                <w:szCs w:val="20"/>
              </w:rPr>
              <w:t xml:space="preserve">61,931 </w:t>
            </w:r>
          </w:p>
        </w:tc>
        <w:tc>
          <w:tcPr>
            <w:tcW w:w="860"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01AD37B4" w14:textId="77777777" w:rsidR="00730DE4" w:rsidRPr="00730DE4" w:rsidRDefault="00730DE4" w:rsidP="009E5BA1">
            <w:pPr>
              <w:pStyle w:val="NoSpacing"/>
              <w:jc w:val="right"/>
              <w:rPr>
                <w:color w:val="080C0F" w:themeColor="text1"/>
                <w:szCs w:val="20"/>
              </w:rPr>
            </w:pPr>
            <w:r w:rsidRPr="00730DE4">
              <w:rPr>
                <w:color w:val="080C0F" w:themeColor="text1"/>
                <w:szCs w:val="20"/>
              </w:rPr>
              <w:t xml:space="preserve">31,784 </w:t>
            </w:r>
          </w:p>
        </w:tc>
      </w:tr>
      <w:tr w:rsidR="00730DE4" w:rsidRPr="00730DE4" w14:paraId="4DE7A86A" w14:textId="77777777" w:rsidTr="00DB17C2">
        <w:trPr>
          <w:cantSplit/>
        </w:trPr>
        <w:tc>
          <w:tcPr>
            <w:tcW w:w="2868" w:type="pct"/>
            <w:tcBorders>
              <w:top w:val="single" w:sz="4" w:space="0" w:color="auto"/>
              <w:left w:val="nil"/>
              <w:right w:val="dotted" w:sz="4" w:space="0" w:color="BFBFBF" w:themeColor="background1" w:themeShade="BF"/>
            </w:tcBorders>
            <w:vAlign w:val="bottom"/>
          </w:tcPr>
          <w:p w14:paraId="1692AEA5" w14:textId="77777777" w:rsidR="00730DE4" w:rsidRPr="00730DE4" w:rsidRDefault="00730DE4" w:rsidP="00A1677B">
            <w:pPr>
              <w:pStyle w:val="NoSpacingIndent"/>
            </w:pPr>
            <w:r w:rsidRPr="00730DE4">
              <w:rPr>
                <w:rStyle w:val="Strong"/>
              </w:rPr>
              <w:t>Total revenue</w:t>
            </w:r>
          </w:p>
        </w:tc>
        <w:tc>
          <w:tcPr>
            <w:tcW w:w="410" w:type="pct"/>
            <w:tcBorders>
              <w:top w:val="single" w:sz="4" w:space="0" w:color="auto"/>
              <w:left w:val="dotted" w:sz="4" w:space="0" w:color="BFBFBF" w:themeColor="background1" w:themeShade="BF"/>
              <w:right w:val="dotted" w:sz="4" w:space="0" w:color="BFBFBF" w:themeColor="background1" w:themeShade="BF"/>
            </w:tcBorders>
            <w:shd w:val="clear" w:color="auto" w:fill="auto"/>
            <w:noWrap/>
            <w:vAlign w:val="bottom"/>
            <w:hideMark/>
          </w:tcPr>
          <w:p w14:paraId="1442BC72" w14:textId="151B22E5" w:rsidR="00730DE4" w:rsidRPr="00730DE4" w:rsidRDefault="00730DE4" w:rsidP="009E5BA1">
            <w:pPr>
              <w:pStyle w:val="NoSpacing"/>
              <w:jc w:val="right"/>
              <w:rPr>
                <w:color w:val="080C0F" w:themeColor="text1"/>
                <w:szCs w:val="20"/>
              </w:rPr>
            </w:pPr>
          </w:p>
        </w:tc>
        <w:tc>
          <w:tcPr>
            <w:tcW w:w="861" w:type="pct"/>
            <w:tcBorders>
              <w:top w:val="single" w:sz="4" w:space="0" w:color="auto"/>
              <w:left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F442659" w14:textId="77777777" w:rsidR="00730DE4" w:rsidRPr="00730DE4" w:rsidRDefault="00730DE4" w:rsidP="009E5BA1">
            <w:pPr>
              <w:pStyle w:val="NoSpacing"/>
              <w:jc w:val="right"/>
              <w:rPr>
                <w:color w:val="080C0F" w:themeColor="text1"/>
                <w:szCs w:val="20"/>
              </w:rPr>
            </w:pPr>
            <w:r w:rsidRPr="00730DE4">
              <w:rPr>
                <w:rStyle w:val="Strong"/>
              </w:rPr>
              <w:t xml:space="preserve">8,952,512 </w:t>
            </w:r>
          </w:p>
        </w:tc>
        <w:tc>
          <w:tcPr>
            <w:tcW w:w="860" w:type="pct"/>
            <w:tcBorders>
              <w:top w:val="single" w:sz="4" w:space="0" w:color="auto"/>
              <w:left w:val="dotted" w:sz="4" w:space="0" w:color="BFBFBF" w:themeColor="background1" w:themeShade="BF"/>
              <w:right w:val="nil"/>
            </w:tcBorders>
            <w:shd w:val="clear" w:color="auto" w:fill="auto"/>
            <w:noWrap/>
            <w:vAlign w:val="bottom"/>
            <w:hideMark/>
          </w:tcPr>
          <w:p w14:paraId="5480025E" w14:textId="77777777" w:rsidR="00730DE4" w:rsidRPr="00730DE4" w:rsidRDefault="00730DE4" w:rsidP="009E5BA1">
            <w:pPr>
              <w:pStyle w:val="NoSpacing"/>
              <w:jc w:val="right"/>
              <w:rPr>
                <w:rStyle w:val="Strong"/>
              </w:rPr>
            </w:pPr>
            <w:r w:rsidRPr="00730DE4">
              <w:rPr>
                <w:rStyle w:val="Strong"/>
              </w:rPr>
              <w:t xml:space="preserve">7,690,509 </w:t>
            </w:r>
          </w:p>
        </w:tc>
      </w:tr>
      <w:tr w:rsidR="00730DE4" w:rsidRPr="00730DE4" w14:paraId="743CA330" w14:textId="77777777" w:rsidTr="00DB17C2">
        <w:trPr>
          <w:cantSplit/>
          <w:trHeight w:val="454"/>
        </w:trPr>
        <w:tc>
          <w:tcPr>
            <w:tcW w:w="2868" w:type="pct"/>
            <w:tcBorders>
              <w:left w:val="nil"/>
              <w:bottom w:val="single" w:sz="4" w:space="0" w:color="auto"/>
              <w:right w:val="dotted" w:sz="4" w:space="0" w:color="BFBFBF" w:themeColor="background1" w:themeShade="BF"/>
            </w:tcBorders>
            <w:vAlign w:val="bottom"/>
          </w:tcPr>
          <w:p w14:paraId="4B34C34C" w14:textId="77777777" w:rsidR="00730DE4" w:rsidRPr="00730DE4" w:rsidRDefault="00730DE4" w:rsidP="00DA4551">
            <w:pPr>
              <w:pStyle w:val="NoSpacingIndent"/>
            </w:pPr>
            <w:r w:rsidRPr="00730DE4">
              <w:t>Gains on disposal of assets</w:t>
            </w:r>
          </w:p>
        </w:tc>
        <w:tc>
          <w:tcPr>
            <w:tcW w:w="410" w:type="pct"/>
            <w:tcBorders>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42351DD1" w14:textId="23C69A53" w:rsidR="00730DE4" w:rsidRPr="00730DE4" w:rsidRDefault="00730DE4" w:rsidP="00DA4551">
            <w:pPr>
              <w:pStyle w:val="NoSpacing"/>
              <w:jc w:val="right"/>
              <w:rPr>
                <w:color w:val="080C0F" w:themeColor="text1"/>
                <w:szCs w:val="20"/>
              </w:rPr>
            </w:pPr>
          </w:p>
        </w:tc>
        <w:tc>
          <w:tcPr>
            <w:tcW w:w="861" w:type="pct"/>
            <w:tcBorders>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0AC5A149" w14:textId="77777777" w:rsidR="00730DE4" w:rsidRPr="00730DE4" w:rsidRDefault="00730DE4" w:rsidP="00DA4551">
            <w:pPr>
              <w:pStyle w:val="NoSpacing"/>
              <w:jc w:val="right"/>
              <w:rPr>
                <w:color w:val="080C0F" w:themeColor="text1"/>
                <w:szCs w:val="20"/>
              </w:rPr>
            </w:pPr>
            <w:r w:rsidRPr="00730DE4">
              <w:rPr>
                <w:color w:val="080C0F" w:themeColor="text1"/>
                <w:szCs w:val="20"/>
              </w:rPr>
              <w:t xml:space="preserve">2,419 </w:t>
            </w:r>
          </w:p>
        </w:tc>
        <w:tc>
          <w:tcPr>
            <w:tcW w:w="860" w:type="pct"/>
            <w:tcBorders>
              <w:left w:val="dotted" w:sz="4" w:space="0" w:color="BFBFBF" w:themeColor="background1" w:themeShade="BF"/>
              <w:bottom w:val="single" w:sz="4" w:space="0" w:color="auto"/>
              <w:right w:val="nil"/>
            </w:tcBorders>
            <w:shd w:val="clear" w:color="auto" w:fill="auto"/>
            <w:noWrap/>
            <w:vAlign w:val="bottom"/>
            <w:hideMark/>
          </w:tcPr>
          <w:p w14:paraId="5AC93680" w14:textId="77777777" w:rsidR="00730DE4" w:rsidRPr="00730DE4" w:rsidRDefault="00730DE4" w:rsidP="00DA4551">
            <w:pPr>
              <w:pStyle w:val="NoSpacing"/>
              <w:jc w:val="right"/>
              <w:rPr>
                <w:color w:val="080C0F" w:themeColor="text1"/>
                <w:szCs w:val="20"/>
              </w:rPr>
            </w:pPr>
            <w:r w:rsidRPr="00730DE4">
              <w:rPr>
                <w:color w:val="080C0F" w:themeColor="text1"/>
                <w:szCs w:val="20"/>
              </w:rPr>
              <w:t xml:space="preserve">2,642 </w:t>
            </w:r>
          </w:p>
        </w:tc>
      </w:tr>
      <w:tr w:rsidR="00730DE4" w:rsidRPr="00730DE4" w14:paraId="4904DD7A" w14:textId="77777777" w:rsidTr="009057A0">
        <w:trPr>
          <w:cantSplit/>
        </w:trPr>
        <w:tc>
          <w:tcPr>
            <w:tcW w:w="2868" w:type="pct"/>
            <w:tcBorders>
              <w:top w:val="single" w:sz="4" w:space="0" w:color="auto"/>
              <w:left w:val="nil"/>
              <w:right w:val="dotted" w:sz="4" w:space="0" w:color="BFBFBF" w:themeColor="background1" w:themeShade="BF"/>
            </w:tcBorders>
          </w:tcPr>
          <w:p w14:paraId="554D6EB5" w14:textId="77777777" w:rsidR="00730DE4" w:rsidRPr="00730DE4" w:rsidRDefault="00730DE4" w:rsidP="009F6677">
            <w:pPr>
              <w:pStyle w:val="NoSpacingIndent"/>
            </w:pPr>
            <w:r w:rsidRPr="00730DE4">
              <w:rPr>
                <w:rStyle w:val="Strong"/>
              </w:rPr>
              <w:t>Total income</w:t>
            </w:r>
          </w:p>
        </w:tc>
        <w:tc>
          <w:tcPr>
            <w:tcW w:w="410"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169D02C7" w14:textId="6DDE9BEE" w:rsidR="00730DE4" w:rsidRPr="00730DE4" w:rsidRDefault="00730DE4" w:rsidP="009F6677">
            <w:pPr>
              <w:pStyle w:val="NoSpacing"/>
              <w:rPr>
                <w:color w:val="080C0F" w:themeColor="text1"/>
                <w:szCs w:val="20"/>
              </w:rPr>
            </w:pPr>
          </w:p>
        </w:tc>
        <w:tc>
          <w:tcPr>
            <w:tcW w:w="861" w:type="pct"/>
            <w:tcBorders>
              <w:top w:val="single" w:sz="4" w:space="0" w:color="auto"/>
              <w:left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20804AC9" w14:textId="77777777" w:rsidR="00730DE4" w:rsidRPr="00730DE4" w:rsidRDefault="00730DE4" w:rsidP="009F6677">
            <w:pPr>
              <w:pStyle w:val="NoSpacing"/>
              <w:jc w:val="right"/>
              <w:rPr>
                <w:color w:val="080C0F" w:themeColor="text1"/>
                <w:szCs w:val="20"/>
              </w:rPr>
            </w:pPr>
            <w:r w:rsidRPr="00730DE4">
              <w:rPr>
                <w:rStyle w:val="Strong"/>
              </w:rPr>
              <w:t xml:space="preserve">8,954,931 </w:t>
            </w:r>
          </w:p>
        </w:tc>
        <w:tc>
          <w:tcPr>
            <w:tcW w:w="860" w:type="pct"/>
            <w:tcBorders>
              <w:top w:val="single" w:sz="4" w:space="0" w:color="auto"/>
              <w:left w:val="dotted" w:sz="4" w:space="0" w:color="BFBFBF" w:themeColor="background1" w:themeShade="BF"/>
              <w:right w:val="nil"/>
            </w:tcBorders>
            <w:shd w:val="clear" w:color="auto" w:fill="auto"/>
            <w:noWrap/>
            <w:hideMark/>
          </w:tcPr>
          <w:p w14:paraId="74C1C739" w14:textId="77777777" w:rsidR="00730DE4" w:rsidRPr="00730DE4" w:rsidRDefault="00730DE4" w:rsidP="009F6677">
            <w:pPr>
              <w:pStyle w:val="NoSpacing"/>
              <w:jc w:val="right"/>
              <w:rPr>
                <w:rStyle w:val="Strong"/>
              </w:rPr>
            </w:pPr>
            <w:r w:rsidRPr="00730DE4">
              <w:rPr>
                <w:rStyle w:val="Strong"/>
              </w:rPr>
              <w:t xml:space="preserve">7,693,151 </w:t>
            </w:r>
          </w:p>
        </w:tc>
      </w:tr>
      <w:tr w:rsidR="00730DE4" w:rsidRPr="00730DE4" w14:paraId="21A37F44" w14:textId="77777777" w:rsidTr="00DB17C2">
        <w:trPr>
          <w:cantSplit/>
          <w:trHeight w:val="454"/>
        </w:trPr>
        <w:tc>
          <w:tcPr>
            <w:tcW w:w="2868" w:type="pct"/>
            <w:tcBorders>
              <w:left w:val="nil"/>
              <w:bottom w:val="dotted" w:sz="4" w:space="0" w:color="BFBFBF" w:themeColor="background1" w:themeShade="BF"/>
              <w:right w:val="dotted" w:sz="4" w:space="0" w:color="BFBFBF" w:themeColor="background1" w:themeShade="BF"/>
            </w:tcBorders>
            <w:shd w:val="clear" w:color="auto" w:fill="auto"/>
            <w:vAlign w:val="bottom"/>
          </w:tcPr>
          <w:p w14:paraId="5AB17041" w14:textId="77777777" w:rsidR="00730DE4" w:rsidRPr="00730DE4" w:rsidRDefault="00730DE4" w:rsidP="009E5BA1">
            <w:pPr>
              <w:pStyle w:val="NoSpacing"/>
              <w:rPr>
                <w:rStyle w:val="Strong"/>
              </w:rPr>
            </w:pPr>
            <w:r w:rsidRPr="00730DE4">
              <w:rPr>
                <w:rStyle w:val="Strong"/>
              </w:rPr>
              <w:t>Expenses</w:t>
            </w:r>
          </w:p>
        </w:tc>
        <w:tc>
          <w:tcPr>
            <w:tcW w:w="410"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42C4CC5" w14:textId="77777777" w:rsidR="00730DE4" w:rsidRPr="00730DE4" w:rsidRDefault="00730DE4" w:rsidP="009E5BA1">
            <w:pPr>
              <w:pStyle w:val="NoSpacing"/>
              <w:jc w:val="right"/>
              <w:rPr>
                <w:rStyle w:val="Strong"/>
              </w:rPr>
            </w:pPr>
          </w:p>
        </w:tc>
        <w:tc>
          <w:tcPr>
            <w:tcW w:w="861"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28A15A2" w14:textId="1010E3A3" w:rsidR="00730DE4" w:rsidRPr="00730DE4" w:rsidRDefault="00730DE4" w:rsidP="009E5BA1">
            <w:pPr>
              <w:pStyle w:val="NoSpacing"/>
              <w:jc w:val="right"/>
              <w:rPr>
                <w:color w:val="080C0F" w:themeColor="text1"/>
                <w:szCs w:val="20"/>
              </w:rPr>
            </w:pPr>
          </w:p>
        </w:tc>
        <w:tc>
          <w:tcPr>
            <w:tcW w:w="860" w:type="pct"/>
            <w:tcBorders>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66CA930" w14:textId="77777777" w:rsidR="00730DE4" w:rsidRPr="00730DE4" w:rsidRDefault="00730DE4" w:rsidP="00730DE4">
            <w:pPr>
              <w:pStyle w:val="NoSpacing"/>
              <w:jc w:val="center"/>
              <w:rPr>
                <w:color w:val="080C0F" w:themeColor="text1"/>
                <w:szCs w:val="20"/>
              </w:rPr>
            </w:pPr>
          </w:p>
        </w:tc>
      </w:tr>
      <w:tr w:rsidR="00730DE4" w:rsidRPr="00730DE4" w14:paraId="6F455005" w14:textId="77777777" w:rsidTr="00253FBD">
        <w:trPr>
          <w:cantSplit/>
        </w:trPr>
        <w:tc>
          <w:tcPr>
            <w:tcW w:w="286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vAlign w:val="bottom"/>
          </w:tcPr>
          <w:p w14:paraId="18560B9A" w14:textId="77777777" w:rsidR="00730DE4" w:rsidRPr="00730DE4" w:rsidRDefault="00730DE4" w:rsidP="00A1677B">
            <w:pPr>
              <w:pStyle w:val="NoSpacingIndent"/>
            </w:pPr>
            <w:r w:rsidRPr="00730DE4">
              <w:t>Employee expenses</w:t>
            </w:r>
          </w:p>
        </w:tc>
        <w:tc>
          <w:tcPr>
            <w:tcW w:w="41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807D9C1" w14:textId="77777777" w:rsidR="00730DE4" w:rsidRPr="00730DE4" w:rsidRDefault="00730DE4" w:rsidP="009E5BA1">
            <w:pPr>
              <w:pStyle w:val="NoSpacing"/>
              <w:jc w:val="right"/>
              <w:rPr>
                <w:color w:val="080C0F" w:themeColor="text1"/>
                <w:szCs w:val="20"/>
              </w:rPr>
            </w:pPr>
            <w:r w:rsidRPr="00730DE4">
              <w:rPr>
                <w:color w:val="080C0F" w:themeColor="text1"/>
                <w:szCs w:val="20"/>
              </w:rPr>
              <w:t>5</w:t>
            </w:r>
          </w:p>
        </w:tc>
        <w:tc>
          <w:tcPr>
            <w:tcW w:w="86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0398D8B" w14:textId="77777777" w:rsidR="00730DE4" w:rsidRPr="00730DE4" w:rsidRDefault="00730DE4" w:rsidP="009E5BA1">
            <w:pPr>
              <w:pStyle w:val="NoSpacing"/>
              <w:jc w:val="right"/>
              <w:rPr>
                <w:color w:val="080C0F" w:themeColor="text1"/>
                <w:szCs w:val="20"/>
              </w:rPr>
            </w:pPr>
            <w:r w:rsidRPr="00730DE4">
              <w:rPr>
                <w:color w:val="080C0F" w:themeColor="text1"/>
                <w:szCs w:val="20"/>
              </w:rPr>
              <w:t xml:space="preserve">1,083,824 </w:t>
            </w:r>
          </w:p>
        </w:tc>
        <w:tc>
          <w:tcPr>
            <w:tcW w:w="86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AF7CB76" w14:textId="77777777" w:rsidR="00730DE4" w:rsidRPr="00730DE4" w:rsidRDefault="00730DE4" w:rsidP="009E5BA1">
            <w:pPr>
              <w:pStyle w:val="NoSpacing"/>
              <w:jc w:val="right"/>
              <w:rPr>
                <w:color w:val="080C0F" w:themeColor="text1"/>
                <w:szCs w:val="20"/>
              </w:rPr>
            </w:pPr>
            <w:r w:rsidRPr="00730DE4">
              <w:rPr>
                <w:color w:val="080C0F" w:themeColor="text1"/>
                <w:szCs w:val="20"/>
              </w:rPr>
              <w:t xml:space="preserve">709,747 </w:t>
            </w:r>
          </w:p>
        </w:tc>
      </w:tr>
      <w:tr w:rsidR="00730DE4" w:rsidRPr="00730DE4" w14:paraId="5AD19663" w14:textId="77777777" w:rsidTr="00253FBD">
        <w:trPr>
          <w:cantSplit/>
        </w:trPr>
        <w:tc>
          <w:tcPr>
            <w:tcW w:w="286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vAlign w:val="bottom"/>
          </w:tcPr>
          <w:p w14:paraId="511BCE12" w14:textId="77777777" w:rsidR="00730DE4" w:rsidRPr="00730DE4" w:rsidRDefault="00730DE4" w:rsidP="00A1677B">
            <w:pPr>
              <w:pStyle w:val="NoSpacingIndent"/>
            </w:pPr>
            <w:r w:rsidRPr="00730DE4">
              <w:t>Supplies and services</w:t>
            </w:r>
          </w:p>
        </w:tc>
        <w:tc>
          <w:tcPr>
            <w:tcW w:w="41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2BD64ED" w14:textId="77777777" w:rsidR="00730DE4" w:rsidRPr="00730DE4" w:rsidRDefault="00730DE4" w:rsidP="009E5BA1">
            <w:pPr>
              <w:pStyle w:val="NoSpacing"/>
              <w:jc w:val="right"/>
              <w:rPr>
                <w:color w:val="080C0F" w:themeColor="text1"/>
                <w:szCs w:val="20"/>
              </w:rPr>
            </w:pPr>
            <w:r w:rsidRPr="00730DE4">
              <w:rPr>
                <w:color w:val="080C0F" w:themeColor="text1"/>
                <w:szCs w:val="20"/>
              </w:rPr>
              <w:t>7</w:t>
            </w:r>
          </w:p>
        </w:tc>
        <w:tc>
          <w:tcPr>
            <w:tcW w:w="86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6D5B084" w14:textId="77777777" w:rsidR="00730DE4" w:rsidRPr="00730DE4" w:rsidRDefault="00730DE4" w:rsidP="009E5BA1">
            <w:pPr>
              <w:pStyle w:val="NoSpacing"/>
              <w:jc w:val="right"/>
              <w:rPr>
                <w:color w:val="080C0F" w:themeColor="text1"/>
                <w:szCs w:val="20"/>
              </w:rPr>
            </w:pPr>
            <w:r w:rsidRPr="00730DE4">
              <w:rPr>
                <w:color w:val="080C0F" w:themeColor="text1"/>
                <w:szCs w:val="20"/>
              </w:rPr>
              <w:t xml:space="preserve">4,977,004 </w:t>
            </w:r>
          </w:p>
        </w:tc>
        <w:tc>
          <w:tcPr>
            <w:tcW w:w="86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EE17850" w14:textId="77777777" w:rsidR="00730DE4" w:rsidRPr="00730DE4" w:rsidRDefault="00730DE4" w:rsidP="009E5BA1">
            <w:pPr>
              <w:pStyle w:val="NoSpacing"/>
              <w:jc w:val="right"/>
              <w:rPr>
                <w:color w:val="080C0F" w:themeColor="text1"/>
                <w:szCs w:val="20"/>
              </w:rPr>
            </w:pPr>
            <w:r w:rsidRPr="00730DE4">
              <w:rPr>
                <w:color w:val="080C0F" w:themeColor="text1"/>
                <w:szCs w:val="20"/>
              </w:rPr>
              <w:t xml:space="preserve">4,536,142 </w:t>
            </w:r>
          </w:p>
        </w:tc>
      </w:tr>
      <w:tr w:rsidR="00730DE4" w:rsidRPr="00730DE4" w14:paraId="5E78AF4A" w14:textId="77777777" w:rsidTr="00253FBD">
        <w:trPr>
          <w:cantSplit/>
        </w:trPr>
        <w:tc>
          <w:tcPr>
            <w:tcW w:w="286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vAlign w:val="bottom"/>
          </w:tcPr>
          <w:p w14:paraId="35834196" w14:textId="77777777" w:rsidR="00730DE4" w:rsidRPr="00730DE4" w:rsidRDefault="00730DE4" w:rsidP="00A1677B">
            <w:pPr>
              <w:pStyle w:val="NoSpacingIndent"/>
            </w:pPr>
            <w:r w:rsidRPr="00730DE4">
              <w:t xml:space="preserve">Grants and subsidies </w:t>
            </w:r>
          </w:p>
        </w:tc>
        <w:tc>
          <w:tcPr>
            <w:tcW w:w="41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777E75F" w14:textId="77777777" w:rsidR="00730DE4" w:rsidRPr="00730DE4" w:rsidRDefault="00730DE4" w:rsidP="009E5BA1">
            <w:pPr>
              <w:pStyle w:val="NoSpacing"/>
              <w:jc w:val="right"/>
              <w:rPr>
                <w:color w:val="080C0F" w:themeColor="text1"/>
                <w:szCs w:val="20"/>
              </w:rPr>
            </w:pPr>
            <w:r w:rsidRPr="00730DE4">
              <w:rPr>
                <w:color w:val="080C0F" w:themeColor="text1"/>
                <w:szCs w:val="20"/>
              </w:rPr>
              <w:t>8</w:t>
            </w:r>
          </w:p>
        </w:tc>
        <w:tc>
          <w:tcPr>
            <w:tcW w:w="86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DF3CCC1" w14:textId="77777777" w:rsidR="00730DE4" w:rsidRPr="00730DE4" w:rsidRDefault="00730DE4" w:rsidP="009E5BA1">
            <w:pPr>
              <w:pStyle w:val="NoSpacing"/>
              <w:jc w:val="right"/>
              <w:rPr>
                <w:color w:val="080C0F" w:themeColor="text1"/>
                <w:szCs w:val="20"/>
              </w:rPr>
            </w:pPr>
            <w:r w:rsidRPr="00730DE4">
              <w:rPr>
                <w:color w:val="080C0F" w:themeColor="text1"/>
                <w:szCs w:val="20"/>
              </w:rPr>
              <w:t xml:space="preserve">790,233 </w:t>
            </w:r>
          </w:p>
        </w:tc>
        <w:tc>
          <w:tcPr>
            <w:tcW w:w="86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D02C628" w14:textId="77777777" w:rsidR="00730DE4" w:rsidRPr="00730DE4" w:rsidRDefault="00730DE4" w:rsidP="009E5BA1">
            <w:pPr>
              <w:pStyle w:val="NoSpacing"/>
              <w:jc w:val="right"/>
              <w:rPr>
                <w:color w:val="080C0F" w:themeColor="text1"/>
                <w:szCs w:val="20"/>
              </w:rPr>
            </w:pPr>
            <w:r w:rsidRPr="00730DE4">
              <w:rPr>
                <w:color w:val="080C0F" w:themeColor="text1"/>
                <w:szCs w:val="20"/>
              </w:rPr>
              <w:t xml:space="preserve">796,688 </w:t>
            </w:r>
          </w:p>
        </w:tc>
      </w:tr>
      <w:tr w:rsidR="00730DE4" w:rsidRPr="00730DE4" w14:paraId="5D62DFC5" w14:textId="77777777" w:rsidTr="00253FBD">
        <w:trPr>
          <w:cantSplit/>
        </w:trPr>
        <w:tc>
          <w:tcPr>
            <w:tcW w:w="286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vAlign w:val="bottom"/>
          </w:tcPr>
          <w:p w14:paraId="56E9A404" w14:textId="77777777" w:rsidR="00730DE4" w:rsidRPr="00730DE4" w:rsidRDefault="00730DE4" w:rsidP="00A1677B">
            <w:pPr>
              <w:pStyle w:val="NoSpacingIndent"/>
            </w:pPr>
            <w:r w:rsidRPr="00730DE4">
              <w:t>Finance and borrowing costs</w:t>
            </w:r>
          </w:p>
        </w:tc>
        <w:tc>
          <w:tcPr>
            <w:tcW w:w="41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C460A23" w14:textId="77777777" w:rsidR="00730DE4" w:rsidRPr="00730DE4" w:rsidRDefault="00730DE4" w:rsidP="009E5BA1">
            <w:pPr>
              <w:pStyle w:val="NoSpacing"/>
              <w:jc w:val="right"/>
              <w:rPr>
                <w:color w:val="080C0F" w:themeColor="text1"/>
                <w:szCs w:val="20"/>
              </w:rPr>
            </w:pPr>
            <w:r w:rsidRPr="00730DE4">
              <w:rPr>
                <w:color w:val="080C0F" w:themeColor="text1"/>
                <w:szCs w:val="20"/>
              </w:rPr>
              <w:t>9</w:t>
            </w:r>
          </w:p>
        </w:tc>
        <w:tc>
          <w:tcPr>
            <w:tcW w:w="86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5FFD502" w14:textId="77777777" w:rsidR="00730DE4" w:rsidRPr="00730DE4" w:rsidRDefault="00730DE4" w:rsidP="009E5BA1">
            <w:pPr>
              <w:pStyle w:val="NoSpacing"/>
              <w:jc w:val="right"/>
              <w:rPr>
                <w:color w:val="080C0F" w:themeColor="text1"/>
                <w:szCs w:val="20"/>
              </w:rPr>
            </w:pPr>
            <w:r w:rsidRPr="00730DE4">
              <w:rPr>
                <w:color w:val="080C0F" w:themeColor="text1"/>
                <w:szCs w:val="20"/>
              </w:rPr>
              <w:t xml:space="preserve">102,645 </w:t>
            </w:r>
          </w:p>
        </w:tc>
        <w:tc>
          <w:tcPr>
            <w:tcW w:w="86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429B5D9B" w14:textId="77777777" w:rsidR="00730DE4" w:rsidRPr="00730DE4" w:rsidRDefault="00730DE4" w:rsidP="009E5BA1">
            <w:pPr>
              <w:pStyle w:val="NoSpacing"/>
              <w:jc w:val="right"/>
              <w:rPr>
                <w:color w:val="080C0F" w:themeColor="text1"/>
                <w:szCs w:val="20"/>
              </w:rPr>
            </w:pPr>
            <w:r w:rsidRPr="00730DE4">
              <w:rPr>
                <w:color w:val="080C0F" w:themeColor="text1"/>
                <w:szCs w:val="20"/>
              </w:rPr>
              <w:t xml:space="preserve">97,277 </w:t>
            </w:r>
          </w:p>
        </w:tc>
      </w:tr>
      <w:tr w:rsidR="00730DE4" w:rsidRPr="00730DE4" w14:paraId="481C9EC8" w14:textId="77777777" w:rsidTr="00253FBD">
        <w:trPr>
          <w:cantSplit/>
        </w:trPr>
        <w:tc>
          <w:tcPr>
            <w:tcW w:w="286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vAlign w:val="bottom"/>
          </w:tcPr>
          <w:p w14:paraId="352F67F3" w14:textId="77777777" w:rsidR="00730DE4" w:rsidRPr="00730DE4" w:rsidRDefault="00730DE4" w:rsidP="00A1677B">
            <w:pPr>
              <w:pStyle w:val="NoSpacingIndent"/>
            </w:pPr>
            <w:r w:rsidRPr="00730DE4">
              <w:t>Depreciation and amortisation</w:t>
            </w:r>
          </w:p>
        </w:tc>
        <w:tc>
          <w:tcPr>
            <w:tcW w:w="41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6B3B7E1" w14:textId="77777777" w:rsidR="00730DE4" w:rsidRPr="00730DE4" w:rsidRDefault="00730DE4" w:rsidP="009E5BA1">
            <w:pPr>
              <w:pStyle w:val="NoSpacing"/>
              <w:jc w:val="right"/>
              <w:rPr>
                <w:color w:val="080C0F" w:themeColor="text1"/>
                <w:szCs w:val="20"/>
              </w:rPr>
            </w:pPr>
            <w:r w:rsidRPr="00730DE4">
              <w:rPr>
                <w:color w:val="080C0F" w:themeColor="text1"/>
                <w:szCs w:val="20"/>
              </w:rPr>
              <w:t>10</w:t>
            </w:r>
          </w:p>
        </w:tc>
        <w:tc>
          <w:tcPr>
            <w:tcW w:w="86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7A23470" w14:textId="77777777" w:rsidR="00730DE4" w:rsidRPr="00730DE4" w:rsidRDefault="00730DE4" w:rsidP="009E5BA1">
            <w:pPr>
              <w:pStyle w:val="NoSpacing"/>
              <w:jc w:val="right"/>
              <w:rPr>
                <w:color w:val="080C0F" w:themeColor="text1"/>
                <w:szCs w:val="20"/>
              </w:rPr>
            </w:pPr>
            <w:r w:rsidRPr="00730DE4">
              <w:rPr>
                <w:color w:val="080C0F" w:themeColor="text1"/>
                <w:szCs w:val="20"/>
              </w:rPr>
              <w:t xml:space="preserve">1,646,691 </w:t>
            </w:r>
          </w:p>
        </w:tc>
        <w:tc>
          <w:tcPr>
            <w:tcW w:w="86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4C296B6" w14:textId="77777777" w:rsidR="00730DE4" w:rsidRPr="00730DE4" w:rsidRDefault="00730DE4" w:rsidP="009E5BA1">
            <w:pPr>
              <w:pStyle w:val="NoSpacing"/>
              <w:jc w:val="right"/>
              <w:rPr>
                <w:color w:val="080C0F" w:themeColor="text1"/>
                <w:szCs w:val="20"/>
              </w:rPr>
            </w:pPr>
            <w:r w:rsidRPr="00730DE4">
              <w:rPr>
                <w:color w:val="080C0F" w:themeColor="text1"/>
                <w:szCs w:val="20"/>
              </w:rPr>
              <w:t xml:space="preserve">1,506,325 </w:t>
            </w:r>
          </w:p>
        </w:tc>
      </w:tr>
      <w:tr w:rsidR="00730DE4" w:rsidRPr="00730DE4" w14:paraId="51C7DCBD" w14:textId="77777777" w:rsidTr="00A32DA6">
        <w:trPr>
          <w:cantSplit/>
        </w:trPr>
        <w:tc>
          <w:tcPr>
            <w:tcW w:w="286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vAlign w:val="bottom"/>
          </w:tcPr>
          <w:p w14:paraId="0D043042" w14:textId="77777777" w:rsidR="00730DE4" w:rsidRPr="00730DE4" w:rsidRDefault="00730DE4" w:rsidP="00A1677B">
            <w:pPr>
              <w:pStyle w:val="NoSpacingIndent"/>
            </w:pPr>
            <w:r w:rsidRPr="00730DE4">
              <w:t>Impairment losses</w:t>
            </w:r>
          </w:p>
        </w:tc>
        <w:tc>
          <w:tcPr>
            <w:tcW w:w="41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4BC0008" w14:textId="77777777" w:rsidR="00730DE4" w:rsidRPr="00730DE4" w:rsidRDefault="00730DE4" w:rsidP="009E5BA1">
            <w:pPr>
              <w:pStyle w:val="NoSpacing"/>
              <w:jc w:val="right"/>
              <w:rPr>
                <w:color w:val="080C0F" w:themeColor="text1"/>
                <w:szCs w:val="20"/>
              </w:rPr>
            </w:pPr>
            <w:r w:rsidRPr="00730DE4">
              <w:rPr>
                <w:color w:val="080C0F" w:themeColor="text1"/>
                <w:szCs w:val="20"/>
              </w:rPr>
              <w:t>12</w:t>
            </w:r>
          </w:p>
        </w:tc>
        <w:tc>
          <w:tcPr>
            <w:tcW w:w="86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B5A2B9D" w14:textId="77777777" w:rsidR="00730DE4" w:rsidRPr="00730DE4" w:rsidRDefault="00730DE4" w:rsidP="009E5BA1">
            <w:pPr>
              <w:pStyle w:val="NoSpacing"/>
              <w:jc w:val="right"/>
              <w:rPr>
                <w:color w:val="080C0F" w:themeColor="text1"/>
                <w:szCs w:val="20"/>
              </w:rPr>
            </w:pPr>
            <w:r w:rsidRPr="00730DE4">
              <w:rPr>
                <w:color w:val="080C0F" w:themeColor="text1"/>
                <w:szCs w:val="20"/>
              </w:rPr>
              <w:t xml:space="preserve">1,824 </w:t>
            </w:r>
          </w:p>
        </w:tc>
        <w:tc>
          <w:tcPr>
            <w:tcW w:w="86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D4817D9" w14:textId="77777777" w:rsidR="00730DE4" w:rsidRPr="00730DE4" w:rsidRDefault="00730DE4" w:rsidP="009E5BA1">
            <w:pPr>
              <w:pStyle w:val="NoSpacing"/>
              <w:jc w:val="right"/>
              <w:rPr>
                <w:color w:val="080C0F" w:themeColor="text1"/>
                <w:szCs w:val="20"/>
              </w:rPr>
            </w:pPr>
            <w:r w:rsidRPr="00730DE4">
              <w:rPr>
                <w:color w:val="080C0F" w:themeColor="text1"/>
                <w:szCs w:val="20"/>
              </w:rPr>
              <w:t xml:space="preserve">1,409 </w:t>
            </w:r>
          </w:p>
        </w:tc>
      </w:tr>
      <w:tr w:rsidR="00730DE4" w:rsidRPr="00730DE4" w14:paraId="5CA80479" w14:textId="77777777" w:rsidTr="00DB17C2">
        <w:trPr>
          <w:cantSplit/>
        </w:trPr>
        <w:tc>
          <w:tcPr>
            <w:tcW w:w="2868" w:type="pct"/>
            <w:tcBorders>
              <w:top w:val="dotted" w:sz="4" w:space="0" w:color="BFBFBF" w:themeColor="background1" w:themeShade="BF"/>
              <w:left w:val="nil"/>
              <w:bottom w:val="single" w:sz="4" w:space="0" w:color="auto"/>
              <w:right w:val="dotted" w:sz="4" w:space="0" w:color="BFBFBF" w:themeColor="background1" w:themeShade="BF"/>
            </w:tcBorders>
            <w:vAlign w:val="bottom"/>
          </w:tcPr>
          <w:p w14:paraId="7B6C10B4" w14:textId="77777777" w:rsidR="00730DE4" w:rsidRPr="00730DE4" w:rsidRDefault="00730DE4" w:rsidP="00A1677B">
            <w:pPr>
              <w:pStyle w:val="NoSpacingIndent"/>
            </w:pPr>
            <w:r w:rsidRPr="00730DE4">
              <w:t>Other expenses</w:t>
            </w:r>
          </w:p>
        </w:tc>
        <w:tc>
          <w:tcPr>
            <w:tcW w:w="410"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7BC9C59E" w14:textId="77777777" w:rsidR="00730DE4" w:rsidRPr="00730DE4" w:rsidRDefault="00730DE4" w:rsidP="009E5BA1">
            <w:pPr>
              <w:pStyle w:val="NoSpacing"/>
              <w:jc w:val="right"/>
              <w:rPr>
                <w:color w:val="080C0F" w:themeColor="text1"/>
                <w:szCs w:val="20"/>
              </w:rPr>
            </w:pPr>
            <w:r w:rsidRPr="00730DE4">
              <w:rPr>
                <w:color w:val="080C0F" w:themeColor="text1"/>
                <w:szCs w:val="20"/>
              </w:rPr>
              <w:t>11</w:t>
            </w:r>
          </w:p>
        </w:tc>
        <w:tc>
          <w:tcPr>
            <w:tcW w:w="861"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06AF44E6" w14:textId="77777777" w:rsidR="00730DE4" w:rsidRPr="00730DE4" w:rsidRDefault="00730DE4" w:rsidP="009E5BA1">
            <w:pPr>
              <w:pStyle w:val="NoSpacing"/>
              <w:jc w:val="right"/>
              <w:rPr>
                <w:color w:val="080C0F" w:themeColor="text1"/>
                <w:szCs w:val="20"/>
              </w:rPr>
            </w:pPr>
            <w:r w:rsidRPr="00730DE4">
              <w:rPr>
                <w:color w:val="080C0F" w:themeColor="text1"/>
                <w:szCs w:val="20"/>
              </w:rPr>
              <w:t xml:space="preserve">23,303 </w:t>
            </w:r>
          </w:p>
        </w:tc>
        <w:tc>
          <w:tcPr>
            <w:tcW w:w="860"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0CF2E0D5" w14:textId="77777777" w:rsidR="00730DE4" w:rsidRPr="00730DE4" w:rsidRDefault="00730DE4" w:rsidP="009E5BA1">
            <w:pPr>
              <w:pStyle w:val="NoSpacing"/>
              <w:jc w:val="right"/>
              <w:rPr>
                <w:color w:val="080C0F" w:themeColor="text1"/>
                <w:szCs w:val="20"/>
              </w:rPr>
            </w:pPr>
            <w:r w:rsidRPr="00730DE4">
              <w:rPr>
                <w:color w:val="080C0F" w:themeColor="text1"/>
                <w:szCs w:val="20"/>
              </w:rPr>
              <w:t xml:space="preserve">32,865 </w:t>
            </w:r>
          </w:p>
        </w:tc>
      </w:tr>
      <w:tr w:rsidR="00730DE4" w:rsidRPr="00730DE4" w14:paraId="0DDB53BD" w14:textId="77777777" w:rsidTr="00DB17C2">
        <w:trPr>
          <w:cantSplit/>
          <w:trHeight w:val="454"/>
        </w:trPr>
        <w:tc>
          <w:tcPr>
            <w:tcW w:w="2868" w:type="pct"/>
            <w:tcBorders>
              <w:top w:val="single" w:sz="4" w:space="0" w:color="auto"/>
              <w:left w:val="nil"/>
              <w:right w:val="dotted" w:sz="4" w:space="0" w:color="BFBFBF" w:themeColor="background1" w:themeShade="BF"/>
            </w:tcBorders>
          </w:tcPr>
          <w:p w14:paraId="34C07F88" w14:textId="77777777" w:rsidR="00730DE4" w:rsidRPr="00730DE4" w:rsidRDefault="00730DE4" w:rsidP="009F6677">
            <w:pPr>
              <w:pStyle w:val="NoSpacingIndent"/>
            </w:pPr>
            <w:r w:rsidRPr="00730DE4">
              <w:rPr>
                <w:rStyle w:val="Strong"/>
              </w:rPr>
              <w:t>Total expenses</w:t>
            </w:r>
          </w:p>
        </w:tc>
        <w:tc>
          <w:tcPr>
            <w:tcW w:w="410"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57E95B9F" w14:textId="0AE58FB4" w:rsidR="00730DE4" w:rsidRPr="00730DE4" w:rsidRDefault="00730DE4" w:rsidP="009F6677">
            <w:pPr>
              <w:pStyle w:val="NoSpacing"/>
              <w:jc w:val="right"/>
              <w:rPr>
                <w:color w:val="080C0F" w:themeColor="text1"/>
                <w:szCs w:val="20"/>
              </w:rPr>
            </w:pPr>
          </w:p>
        </w:tc>
        <w:tc>
          <w:tcPr>
            <w:tcW w:w="861" w:type="pct"/>
            <w:tcBorders>
              <w:top w:val="single" w:sz="4" w:space="0" w:color="auto"/>
              <w:left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2E6CCD16" w14:textId="77777777" w:rsidR="00730DE4" w:rsidRPr="00730DE4" w:rsidRDefault="00730DE4" w:rsidP="009F6677">
            <w:pPr>
              <w:pStyle w:val="NoSpacing"/>
              <w:jc w:val="right"/>
              <w:rPr>
                <w:color w:val="080C0F" w:themeColor="text1"/>
                <w:szCs w:val="20"/>
              </w:rPr>
            </w:pPr>
            <w:r w:rsidRPr="00730DE4">
              <w:rPr>
                <w:rStyle w:val="Strong"/>
              </w:rPr>
              <w:t xml:space="preserve">8,625,524 </w:t>
            </w:r>
          </w:p>
        </w:tc>
        <w:tc>
          <w:tcPr>
            <w:tcW w:w="860" w:type="pct"/>
            <w:tcBorders>
              <w:top w:val="single" w:sz="4" w:space="0" w:color="auto"/>
              <w:left w:val="dotted" w:sz="4" w:space="0" w:color="BFBFBF" w:themeColor="background1" w:themeShade="BF"/>
              <w:right w:val="nil"/>
            </w:tcBorders>
            <w:shd w:val="clear" w:color="auto" w:fill="auto"/>
            <w:noWrap/>
            <w:hideMark/>
          </w:tcPr>
          <w:p w14:paraId="1F04952B" w14:textId="77777777" w:rsidR="00730DE4" w:rsidRPr="00730DE4" w:rsidRDefault="00730DE4" w:rsidP="009F6677">
            <w:pPr>
              <w:pStyle w:val="NoSpacing"/>
              <w:jc w:val="right"/>
              <w:rPr>
                <w:rStyle w:val="Strong"/>
              </w:rPr>
            </w:pPr>
            <w:r w:rsidRPr="00730DE4">
              <w:rPr>
                <w:rStyle w:val="Strong"/>
              </w:rPr>
              <w:t xml:space="preserve">7,680,453 </w:t>
            </w:r>
          </w:p>
        </w:tc>
      </w:tr>
      <w:tr w:rsidR="00730DE4" w:rsidRPr="00730DE4" w14:paraId="2F87C71F" w14:textId="77777777" w:rsidTr="00DB17C2">
        <w:trPr>
          <w:cantSplit/>
          <w:trHeight w:val="454"/>
        </w:trPr>
        <w:tc>
          <w:tcPr>
            <w:tcW w:w="2868" w:type="pct"/>
            <w:tcBorders>
              <w:left w:val="nil"/>
              <w:bottom w:val="dotted" w:sz="4" w:space="0" w:color="BFBFBF" w:themeColor="background1" w:themeShade="BF"/>
              <w:right w:val="dotted" w:sz="4" w:space="0" w:color="BFBFBF" w:themeColor="background1" w:themeShade="BF"/>
            </w:tcBorders>
            <w:shd w:val="clear" w:color="auto" w:fill="auto"/>
            <w:vAlign w:val="bottom"/>
          </w:tcPr>
          <w:p w14:paraId="32282738" w14:textId="77777777" w:rsidR="00730DE4" w:rsidRPr="00730DE4" w:rsidRDefault="00730DE4" w:rsidP="009E5BA1">
            <w:pPr>
              <w:pStyle w:val="NoSpacing"/>
              <w:rPr>
                <w:rStyle w:val="Strong"/>
              </w:rPr>
            </w:pPr>
            <w:r w:rsidRPr="00730DE4">
              <w:rPr>
                <w:rStyle w:val="Strong"/>
              </w:rPr>
              <w:t>Operating result before income tax equivalent expense</w:t>
            </w:r>
          </w:p>
        </w:tc>
        <w:tc>
          <w:tcPr>
            <w:tcW w:w="410"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975539A" w14:textId="77777777" w:rsidR="00730DE4" w:rsidRPr="00730DE4" w:rsidRDefault="00730DE4" w:rsidP="009E5BA1">
            <w:pPr>
              <w:pStyle w:val="NoSpacing"/>
              <w:jc w:val="right"/>
              <w:rPr>
                <w:rStyle w:val="Strong"/>
              </w:rPr>
            </w:pPr>
          </w:p>
        </w:tc>
        <w:tc>
          <w:tcPr>
            <w:tcW w:w="861"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51526FE" w14:textId="77777777" w:rsidR="00730DE4" w:rsidRPr="00730DE4" w:rsidRDefault="00730DE4" w:rsidP="009E5BA1">
            <w:pPr>
              <w:pStyle w:val="NoSpacing"/>
              <w:jc w:val="right"/>
              <w:rPr>
                <w:color w:val="080C0F" w:themeColor="text1"/>
                <w:szCs w:val="20"/>
              </w:rPr>
            </w:pPr>
            <w:r w:rsidRPr="00730DE4">
              <w:rPr>
                <w:rStyle w:val="Strong"/>
              </w:rPr>
              <w:t xml:space="preserve">329,407 </w:t>
            </w:r>
          </w:p>
        </w:tc>
        <w:tc>
          <w:tcPr>
            <w:tcW w:w="860" w:type="pct"/>
            <w:tcBorders>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785B545" w14:textId="77777777" w:rsidR="00730DE4" w:rsidRPr="00730DE4" w:rsidRDefault="00730DE4" w:rsidP="009E5BA1">
            <w:pPr>
              <w:pStyle w:val="NoSpacing"/>
              <w:jc w:val="right"/>
              <w:rPr>
                <w:rStyle w:val="Strong"/>
              </w:rPr>
            </w:pPr>
            <w:r w:rsidRPr="00730DE4">
              <w:rPr>
                <w:rStyle w:val="Strong"/>
              </w:rPr>
              <w:t xml:space="preserve">12,698 </w:t>
            </w:r>
          </w:p>
        </w:tc>
      </w:tr>
      <w:tr w:rsidR="00730DE4" w:rsidRPr="00730DE4" w14:paraId="0B760D36" w14:textId="77777777" w:rsidTr="00C53DE9">
        <w:trPr>
          <w:cantSplit/>
        </w:trPr>
        <w:tc>
          <w:tcPr>
            <w:tcW w:w="2868" w:type="pct"/>
            <w:tcBorders>
              <w:top w:val="dotted" w:sz="4" w:space="0" w:color="BFBFBF" w:themeColor="background1" w:themeShade="BF"/>
              <w:left w:val="nil"/>
              <w:bottom w:val="single" w:sz="4" w:space="0" w:color="auto"/>
              <w:right w:val="dotted" w:sz="4" w:space="0" w:color="BFBFBF" w:themeColor="background1" w:themeShade="BF"/>
            </w:tcBorders>
          </w:tcPr>
          <w:p w14:paraId="06EECCCD" w14:textId="77777777" w:rsidR="00730DE4" w:rsidRPr="00730DE4" w:rsidRDefault="00730DE4" w:rsidP="009F6677">
            <w:pPr>
              <w:pStyle w:val="NoSpacingIndent"/>
            </w:pPr>
            <w:r w:rsidRPr="00730DE4">
              <w:t>Income tax equivalent expense</w:t>
            </w:r>
          </w:p>
        </w:tc>
        <w:tc>
          <w:tcPr>
            <w:tcW w:w="410"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hideMark/>
          </w:tcPr>
          <w:p w14:paraId="12339477" w14:textId="77777777" w:rsidR="00730DE4" w:rsidRPr="00730DE4" w:rsidRDefault="00730DE4" w:rsidP="009F6677">
            <w:pPr>
              <w:pStyle w:val="NoSpacing"/>
              <w:jc w:val="right"/>
              <w:rPr>
                <w:color w:val="080C0F" w:themeColor="text1"/>
                <w:szCs w:val="20"/>
              </w:rPr>
            </w:pPr>
            <w:r w:rsidRPr="00730DE4">
              <w:rPr>
                <w:color w:val="080C0F" w:themeColor="text1"/>
                <w:szCs w:val="20"/>
              </w:rPr>
              <w:t>23</w:t>
            </w:r>
          </w:p>
        </w:tc>
        <w:tc>
          <w:tcPr>
            <w:tcW w:w="861"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hideMark/>
          </w:tcPr>
          <w:p w14:paraId="5FD3515A" w14:textId="77777777" w:rsidR="00730DE4" w:rsidRPr="00730DE4" w:rsidRDefault="00730DE4" w:rsidP="009F6677">
            <w:pPr>
              <w:pStyle w:val="NoSpacing"/>
              <w:jc w:val="right"/>
              <w:rPr>
                <w:color w:val="080C0F" w:themeColor="text1"/>
                <w:szCs w:val="20"/>
              </w:rPr>
            </w:pPr>
            <w:r w:rsidRPr="00730DE4">
              <w:rPr>
                <w:color w:val="080C0F" w:themeColor="text1"/>
                <w:szCs w:val="20"/>
              </w:rPr>
              <w:t xml:space="preserve">6,797 </w:t>
            </w:r>
          </w:p>
        </w:tc>
        <w:tc>
          <w:tcPr>
            <w:tcW w:w="860"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hideMark/>
          </w:tcPr>
          <w:p w14:paraId="48E4C568" w14:textId="77777777" w:rsidR="00730DE4" w:rsidRPr="00730DE4" w:rsidRDefault="00730DE4" w:rsidP="009F6677">
            <w:pPr>
              <w:pStyle w:val="NoSpacing"/>
              <w:jc w:val="right"/>
              <w:rPr>
                <w:color w:val="080C0F" w:themeColor="text1"/>
                <w:szCs w:val="20"/>
              </w:rPr>
            </w:pPr>
            <w:r w:rsidRPr="00730DE4">
              <w:rPr>
                <w:color w:val="080C0F" w:themeColor="text1"/>
                <w:szCs w:val="20"/>
              </w:rPr>
              <w:t xml:space="preserve">7,702 </w:t>
            </w:r>
          </w:p>
        </w:tc>
      </w:tr>
      <w:tr w:rsidR="00730DE4" w:rsidRPr="00730DE4" w14:paraId="703D347C" w14:textId="77777777" w:rsidTr="00C53DE9">
        <w:trPr>
          <w:cantSplit/>
          <w:trHeight w:val="454"/>
        </w:trPr>
        <w:tc>
          <w:tcPr>
            <w:tcW w:w="2868" w:type="pct"/>
            <w:tcBorders>
              <w:top w:val="single" w:sz="4" w:space="0" w:color="auto"/>
              <w:left w:val="nil"/>
              <w:bottom w:val="single" w:sz="4" w:space="0" w:color="auto"/>
              <w:right w:val="dotted" w:sz="4" w:space="0" w:color="BFBFBF" w:themeColor="background1" w:themeShade="BF"/>
            </w:tcBorders>
            <w:vAlign w:val="bottom"/>
          </w:tcPr>
          <w:p w14:paraId="4AE58FB5" w14:textId="77777777" w:rsidR="00730DE4" w:rsidRPr="00730DE4" w:rsidRDefault="00730DE4" w:rsidP="00C53DE9">
            <w:pPr>
              <w:pStyle w:val="NoSpacing"/>
              <w:rPr>
                <w:rStyle w:val="Strong"/>
              </w:rPr>
            </w:pPr>
            <w:r w:rsidRPr="00730DE4">
              <w:rPr>
                <w:rStyle w:val="Strong"/>
              </w:rPr>
              <w:t>Operating result for the year</w:t>
            </w:r>
          </w:p>
        </w:tc>
        <w:tc>
          <w:tcPr>
            <w:tcW w:w="410"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63C6EA58" w14:textId="77777777" w:rsidR="00730DE4" w:rsidRPr="00730DE4" w:rsidRDefault="00730DE4" w:rsidP="00C53DE9">
            <w:pPr>
              <w:pStyle w:val="NoSpacing"/>
              <w:jc w:val="right"/>
              <w:rPr>
                <w:color w:val="080C0F" w:themeColor="text1"/>
                <w:szCs w:val="20"/>
              </w:rPr>
            </w:pPr>
            <w:r w:rsidRPr="00730DE4">
              <w:rPr>
                <w:rStyle w:val="Strong"/>
              </w:rPr>
              <w:t> </w:t>
            </w:r>
          </w:p>
        </w:tc>
        <w:tc>
          <w:tcPr>
            <w:tcW w:w="861"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611918C5" w14:textId="77777777" w:rsidR="00730DE4" w:rsidRPr="00730DE4" w:rsidRDefault="00730DE4" w:rsidP="00C53DE9">
            <w:pPr>
              <w:pStyle w:val="NoSpacing"/>
              <w:jc w:val="right"/>
              <w:rPr>
                <w:color w:val="080C0F" w:themeColor="text1"/>
                <w:szCs w:val="20"/>
              </w:rPr>
            </w:pPr>
            <w:r w:rsidRPr="00730DE4">
              <w:rPr>
                <w:rStyle w:val="Strong"/>
              </w:rPr>
              <w:t xml:space="preserve">322,610 </w:t>
            </w:r>
          </w:p>
        </w:tc>
        <w:tc>
          <w:tcPr>
            <w:tcW w:w="860" w:type="pct"/>
            <w:tcBorders>
              <w:top w:val="single" w:sz="4" w:space="0" w:color="auto"/>
              <w:left w:val="dotted" w:sz="4" w:space="0" w:color="BFBFBF" w:themeColor="background1" w:themeShade="BF"/>
              <w:bottom w:val="single" w:sz="4" w:space="0" w:color="auto"/>
              <w:right w:val="nil"/>
            </w:tcBorders>
            <w:shd w:val="clear" w:color="auto" w:fill="auto"/>
            <w:noWrap/>
            <w:vAlign w:val="bottom"/>
            <w:hideMark/>
          </w:tcPr>
          <w:p w14:paraId="1AD81F80" w14:textId="77777777" w:rsidR="00730DE4" w:rsidRPr="00730DE4" w:rsidRDefault="00730DE4" w:rsidP="00C53DE9">
            <w:pPr>
              <w:pStyle w:val="NoSpacing"/>
              <w:jc w:val="right"/>
              <w:rPr>
                <w:rStyle w:val="Strong"/>
              </w:rPr>
            </w:pPr>
            <w:r w:rsidRPr="00730DE4">
              <w:rPr>
                <w:rStyle w:val="Strong"/>
              </w:rPr>
              <w:t xml:space="preserve">4,996 </w:t>
            </w:r>
          </w:p>
        </w:tc>
      </w:tr>
      <w:tr w:rsidR="00730DE4" w:rsidRPr="00730DE4" w14:paraId="454D9C2D" w14:textId="77777777" w:rsidTr="00C53DE9">
        <w:trPr>
          <w:cantSplit/>
          <w:trHeight w:val="454"/>
        </w:trPr>
        <w:tc>
          <w:tcPr>
            <w:tcW w:w="2868"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vAlign w:val="bottom"/>
          </w:tcPr>
          <w:p w14:paraId="771361B8" w14:textId="77777777" w:rsidR="00730DE4" w:rsidRPr="00730DE4" w:rsidRDefault="00730DE4" w:rsidP="009E5BA1">
            <w:pPr>
              <w:pStyle w:val="NoSpacing"/>
              <w:rPr>
                <w:rStyle w:val="Strong"/>
              </w:rPr>
            </w:pPr>
            <w:r w:rsidRPr="00730DE4">
              <w:rPr>
                <w:rStyle w:val="Strong"/>
              </w:rPr>
              <w:t>Items not reclassified to operating result</w:t>
            </w:r>
          </w:p>
        </w:tc>
        <w:tc>
          <w:tcPr>
            <w:tcW w:w="410"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D98C69B" w14:textId="77777777" w:rsidR="00730DE4" w:rsidRPr="00730DE4" w:rsidRDefault="00730DE4" w:rsidP="009E5BA1">
            <w:pPr>
              <w:pStyle w:val="NoSpacing"/>
              <w:jc w:val="right"/>
              <w:rPr>
                <w:rStyle w:val="Strong"/>
              </w:rPr>
            </w:pPr>
          </w:p>
        </w:tc>
        <w:tc>
          <w:tcPr>
            <w:tcW w:w="861"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907FE67" w14:textId="77777777" w:rsidR="00730DE4" w:rsidRPr="00730DE4" w:rsidRDefault="00730DE4" w:rsidP="009E5BA1">
            <w:pPr>
              <w:pStyle w:val="NoSpacing"/>
              <w:jc w:val="right"/>
              <w:rPr>
                <w:color w:val="080C0F" w:themeColor="text1"/>
                <w:szCs w:val="20"/>
              </w:rPr>
            </w:pPr>
            <w:r w:rsidRPr="00730DE4">
              <w:rPr>
                <w:color w:val="080C0F" w:themeColor="text1"/>
                <w:szCs w:val="20"/>
              </w:rPr>
              <w:t> </w:t>
            </w:r>
          </w:p>
        </w:tc>
        <w:tc>
          <w:tcPr>
            <w:tcW w:w="860"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2B783F2" w14:textId="77777777" w:rsidR="00730DE4" w:rsidRPr="00730DE4" w:rsidRDefault="00730DE4" w:rsidP="009E5BA1">
            <w:pPr>
              <w:pStyle w:val="NoSpacing"/>
              <w:jc w:val="right"/>
              <w:rPr>
                <w:color w:val="080C0F" w:themeColor="text1"/>
                <w:szCs w:val="20"/>
              </w:rPr>
            </w:pPr>
          </w:p>
        </w:tc>
      </w:tr>
      <w:tr w:rsidR="00730DE4" w:rsidRPr="00730DE4" w14:paraId="30324E5F" w14:textId="77777777" w:rsidTr="00DB17C2">
        <w:trPr>
          <w:cantSplit/>
        </w:trPr>
        <w:tc>
          <w:tcPr>
            <w:tcW w:w="2868" w:type="pct"/>
            <w:tcBorders>
              <w:top w:val="dotted" w:sz="4" w:space="0" w:color="BFBFBF" w:themeColor="background1" w:themeShade="BF"/>
              <w:left w:val="nil"/>
              <w:bottom w:val="single" w:sz="4" w:space="0" w:color="auto"/>
              <w:right w:val="dotted" w:sz="4" w:space="0" w:color="BFBFBF" w:themeColor="background1" w:themeShade="BF"/>
            </w:tcBorders>
          </w:tcPr>
          <w:p w14:paraId="4D6D4C34" w14:textId="77777777" w:rsidR="00730DE4" w:rsidRPr="00730DE4" w:rsidRDefault="00730DE4" w:rsidP="009F6677">
            <w:pPr>
              <w:pStyle w:val="NoSpacingIndent"/>
            </w:pPr>
            <w:r w:rsidRPr="00730DE4">
              <w:t>Increase in asset revaluation surplus</w:t>
            </w:r>
          </w:p>
        </w:tc>
        <w:tc>
          <w:tcPr>
            <w:tcW w:w="410"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hideMark/>
          </w:tcPr>
          <w:p w14:paraId="75114945" w14:textId="77777777" w:rsidR="00730DE4" w:rsidRPr="00730DE4" w:rsidRDefault="00730DE4" w:rsidP="009F6677">
            <w:pPr>
              <w:pStyle w:val="NoSpacing"/>
              <w:jc w:val="right"/>
              <w:rPr>
                <w:color w:val="080C0F" w:themeColor="text1"/>
                <w:szCs w:val="20"/>
              </w:rPr>
            </w:pPr>
            <w:r w:rsidRPr="00730DE4">
              <w:rPr>
                <w:color w:val="080C0F" w:themeColor="text1"/>
                <w:szCs w:val="20"/>
              </w:rPr>
              <w:t>15, 16</w:t>
            </w:r>
          </w:p>
        </w:tc>
        <w:tc>
          <w:tcPr>
            <w:tcW w:w="861"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hideMark/>
          </w:tcPr>
          <w:p w14:paraId="3334C8DD" w14:textId="77777777" w:rsidR="00730DE4" w:rsidRPr="00730DE4" w:rsidRDefault="00730DE4" w:rsidP="009F6677">
            <w:pPr>
              <w:pStyle w:val="NoSpacing"/>
              <w:jc w:val="right"/>
              <w:rPr>
                <w:color w:val="080C0F" w:themeColor="text1"/>
                <w:szCs w:val="20"/>
              </w:rPr>
            </w:pPr>
            <w:r w:rsidRPr="00730DE4">
              <w:rPr>
                <w:color w:val="080C0F" w:themeColor="text1"/>
                <w:szCs w:val="20"/>
              </w:rPr>
              <w:t xml:space="preserve">2,650,364 </w:t>
            </w:r>
          </w:p>
        </w:tc>
        <w:tc>
          <w:tcPr>
            <w:tcW w:w="860"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hideMark/>
          </w:tcPr>
          <w:p w14:paraId="0B0A963D" w14:textId="77777777" w:rsidR="00730DE4" w:rsidRPr="00730DE4" w:rsidRDefault="00730DE4" w:rsidP="009F6677">
            <w:pPr>
              <w:pStyle w:val="NoSpacing"/>
              <w:jc w:val="right"/>
              <w:rPr>
                <w:color w:val="080C0F" w:themeColor="text1"/>
                <w:szCs w:val="20"/>
              </w:rPr>
            </w:pPr>
            <w:r w:rsidRPr="00730DE4">
              <w:rPr>
                <w:color w:val="080C0F" w:themeColor="text1"/>
                <w:szCs w:val="20"/>
              </w:rPr>
              <w:t xml:space="preserve">15,103,128 </w:t>
            </w:r>
          </w:p>
        </w:tc>
      </w:tr>
      <w:tr w:rsidR="00730DE4" w:rsidRPr="00730DE4" w14:paraId="1BE396FC" w14:textId="77777777" w:rsidTr="00DB17C2">
        <w:trPr>
          <w:cantSplit/>
        </w:trPr>
        <w:tc>
          <w:tcPr>
            <w:tcW w:w="2868" w:type="pct"/>
            <w:tcBorders>
              <w:top w:val="single" w:sz="4" w:space="0" w:color="auto"/>
              <w:left w:val="nil"/>
              <w:bottom w:val="single" w:sz="4" w:space="0" w:color="auto"/>
              <w:right w:val="dotted" w:sz="4" w:space="0" w:color="BFBFBF" w:themeColor="background1" w:themeShade="BF"/>
            </w:tcBorders>
            <w:vAlign w:val="center"/>
          </w:tcPr>
          <w:p w14:paraId="14F54C6F" w14:textId="77777777" w:rsidR="00730DE4" w:rsidRPr="00730DE4" w:rsidRDefault="00730DE4" w:rsidP="00DB17C2">
            <w:pPr>
              <w:pStyle w:val="NoSpacing"/>
              <w:rPr>
                <w:color w:val="080C0F" w:themeColor="text1"/>
                <w:szCs w:val="20"/>
              </w:rPr>
            </w:pPr>
            <w:r w:rsidRPr="00730DE4">
              <w:rPr>
                <w:rStyle w:val="Strong"/>
              </w:rPr>
              <w:t>Total other comprehensive income</w:t>
            </w:r>
          </w:p>
        </w:tc>
        <w:tc>
          <w:tcPr>
            <w:tcW w:w="410"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auto"/>
            <w:noWrap/>
            <w:vAlign w:val="center"/>
            <w:hideMark/>
          </w:tcPr>
          <w:p w14:paraId="21820176" w14:textId="77777777" w:rsidR="00730DE4" w:rsidRPr="00730DE4" w:rsidRDefault="00730DE4" w:rsidP="00DB17C2">
            <w:pPr>
              <w:pStyle w:val="NoSpacing"/>
              <w:jc w:val="right"/>
              <w:rPr>
                <w:color w:val="080C0F" w:themeColor="text1"/>
                <w:szCs w:val="20"/>
              </w:rPr>
            </w:pPr>
            <w:r w:rsidRPr="00730DE4">
              <w:rPr>
                <w:color w:val="080C0F" w:themeColor="text1"/>
                <w:szCs w:val="20"/>
              </w:rPr>
              <w:t> </w:t>
            </w:r>
          </w:p>
        </w:tc>
        <w:tc>
          <w:tcPr>
            <w:tcW w:w="861"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center"/>
            <w:hideMark/>
          </w:tcPr>
          <w:p w14:paraId="137EDC1E" w14:textId="77777777" w:rsidR="00730DE4" w:rsidRPr="00730DE4" w:rsidRDefault="00730DE4" w:rsidP="00DB17C2">
            <w:pPr>
              <w:pStyle w:val="NoSpacing"/>
              <w:jc w:val="right"/>
              <w:rPr>
                <w:color w:val="080C0F" w:themeColor="text1"/>
                <w:szCs w:val="20"/>
              </w:rPr>
            </w:pPr>
            <w:r w:rsidRPr="00730DE4">
              <w:rPr>
                <w:rStyle w:val="Strong"/>
              </w:rPr>
              <w:t xml:space="preserve">2,650,364 </w:t>
            </w:r>
          </w:p>
        </w:tc>
        <w:tc>
          <w:tcPr>
            <w:tcW w:w="860" w:type="pct"/>
            <w:tcBorders>
              <w:top w:val="single" w:sz="4" w:space="0" w:color="auto"/>
              <w:left w:val="dotted" w:sz="4" w:space="0" w:color="BFBFBF" w:themeColor="background1" w:themeShade="BF"/>
              <w:bottom w:val="single" w:sz="4" w:space="0" w:color="auto"/>
              <w:right w:val="nil"/>
            </w:tcBorders>
            <w:shd w:val="clear" w:color="auto" w:fill="auto"/>
            <w:noWrap/>
            <w:vAlign w:val="center"/>
            <w:hideMark/>
          </w:tcPr>
          <w:p w14:paraId="04CF32FC" w14:textId="77777777" w:rsidR="00730DE4" w:rsidRPr="00730DE4" w:rsidRDefault="00730DE4" w:rsidP="00DB17C2">
            <w:pPr>
              <w:pStyle w:val="NoSpacing"/>
              <w:jc w:val="right"/>
              <w:rPr>
                <w:rStyle w:val="Strong"/>
              </w:rPr>
            </w:pPr>
            <w:r w:rsidRPr="00730DE4">
              <w:rPr>
                <w:rStyle w:val="Strong"/>
              </w:rPr>
              <w:t xml:space="preserve">15,103,128 </w:t>
            </w:r>
          </w:p>
        </w:tc>
      </w:tr>
      <w:tr w:rsidR="00730DE4" w:rsidRPr="00730DE4" w14:paraId="6BE56A2B" w14:textId="77777777" w:rsidTr="00DB17C2">
        <w:trPr>
          <w:cantSplit/>
          <w:trHeight w:val="454"/>
        </w:trPr>
        <w:tc>
          <w:tcPr>
            <w:tcW w:w="2868" w:type="pct"/>
            <w:tcBorders>
              <w:top w:val="single" w:sz="4" w:space="0" w:color="auto"/>
              <w:left w:val="nil"/>
              <w:bottom w:val="double" w:sz="4" w:space="0" w:color="auto"/>
              <w:right w:val="dotted" w:sz="4" w:space="0" w:color="BFBFBF" w:themeColor="background1" w:themeShade="BF"/>
            </w:tcBorders>
            <w:vAlign w:val="bottom"/>
          </w:tcPr>
          <w:p w14:paraId="0524062F" w14:textId="77777777" w:rsidR="00730DE4" w:rsidRPr="00730DE4" w:rsidRDefault="00730DE4" w:rsidP="00DB17C2">
            <w:pPr>
              <w:pStyle w:val="NoSpacing"/>
              <w:rPr>
                <w:color w:val="080C0F" w:themeColor="text1"/>
                <w:szCs w:val="20"/>
              </w:rPr>
            </w:pPr>
            <w:r w:rsidRPr="00730DE4">
              <w:rPr>
                <w:rStyle w:val="Strong"/>
              </w:rPr>
              <w:t>Total comprehensive income</w:t>
            </w:r>
          </w:p>
        </w:tc>
        <w:tc>
          <w:tcPr>
            <w:tcW w:w="410"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vAlign w:val="bottom"/>
            <w:hideMark/>
          </w:tcPr>
          <w:p w14:paraId="520DFB3C" w14:textId="77777777" w:rsidR="00730DE4" w:rsidRPr="00730DE4" w:rsidRDefault="00730DE4" w:rsidP="00DB17C2">
            <w:pPr>
              <w:pStyle w:val="NoSpacing"/>
              <w:jc w:val="right"/>
              <w:rPr>
                <w:color w:val="080C0F" w:themeColor="text1"/>
                <w:szCs w:val="20"/>
              </w:rPr>
            </w:pPr>
            <w:r w:rsidRPr="00730DE4">
              <w:rPr>
                <w:color w:val="080C0F" w:themeColor="text1"/>
                <w:szCs w:val="20"/>
              </w:rPr>
              <w:t> </w:t>
            </w:r>
          </w:p>
        </w:tc>
        <w:tc>
          <w:tcPr>
            <w:tcW w:w="861"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vAlign w:val="bottom"/>
            <w:hideMark/>
          </w:tcPr>
          <w:p w14:paraId="7D6C158B" w14:textId="77777777" w:rsidR="00730DE4" w:rsidRPr="00730DE4" w:rsidRDefault="00730DE4" w:rsidP="00DB17C2">
            <w:pPr>
              <w:pStyle w:val="NoSpacing"/>
              <w:jc w:val="right"/>
              <w:rPr>
                <w:color w:val="080C0F" w:themeColor="text1"/>
                <w:szCs w:val="20"/>
              </w:rPr>
            </w:pPr>
            <w:r w:rsidRPr="00730DE4">
              <w:rPr>
                <w:rStyle w:val="Strong"/>
              </w:rPr>
              <w:t xml:space="preserve">2,972,974 </w:t>
            </w:r>
          </w:p>
        </w:tc>
        <w:tc>
          <w:tcPr>
            <w:tcW w:w="860" w:type="pct"/>
            <w:tcBorders>
              <w:top w:val="single" w:sz="4" w:space="0" w:color="auto"/>
              <w:left w:val="dotted" w:sz="4" w:space="0" w:color="BFBFBF" w:themeColor="background1" w:themeShade="BF"/>
              <w:bottom w:val="double" w:sz="4" w:space="0" w:color="auto"/>
              <w:right w:val="nil"/>
            </w:tcBorders>
            <w:shd w:val="clear" w:color="auto" w:fill="auto"/>
            <w:noWrap/>
            <w:vAlign w:val="bottom"/>
            <w:hideMark/>
          </w:tcPr>
          <w:p w14:paraId="36837327" w14:textId="77777777" w:rsidR="00730DE4" w:rsidRPr="00730DE4" w:rsidRDefault="00730DE4" w:rsidP="00DB17C2">
            <w:pPr>
              <w:pStyle w:val="NoSpacing"/>
              <w:jc w:val="right"/>
              <w:rPr>
                <w:rStyle w:val="Strong"/>
              </w:rPr>
            </w:pPr>
            <w:r w:rsidRPr="00730DE4">
              <w:rPr>
                <w:rStyle w:val="Strong"/>
              </w:rPr>
              <w:t xml:space="preserve">15,108,124 </w:t>
            </w:r>
          </w:p>
        </w:tc>
      </w:tr>
    </w:tbl>
    <w:p w14:paraId="5B26ED01" w14:textId="77777777" w:rsidR="00730DE4" w:rsidRPr="00730DE4" w:rsidRDefault="00730DE4" w:rsidP="006D2F0E">
      <w:pPr>
        <w:pStyle w:val="Caption"/>
        <w:rPr>
          <w:rStyle w:val="Emphasis"/>
        </w:rPr>
      </w:pPr>
      <w:r w:rsidRPr="00730DE4">
        <w:rPr>
          <w:rStyle w:val="Emphasis"/>
        </w:rPr>
        <w:t>The accompanying notes form part of these financial statements.</w:t>
      </w:r>
    </w:p>
    <w:p w14:paraId="7F5F2317" w14:textId="77777777" w:rsidR="00730DE4" w:rsidRPr="00730DE4" w:rsidRDefault="00730DE4" w:rsidP="00370697">
      <w:pPr>
        <w:pStyle w:val="Heading3"/>
        <w:sectPr w:rsidR="00730DE4" w:rsidRPr="00730DE4" w:rsidSect="00730DE4">
          <w:footerReference w:type="default" r:id="rId147"/>
          <w:footerReference w:type="first" r:id="rId148"/>
          <w:pgSz w:w="11906" w:h="16838" w:code="9"/>
          <w:pgMar w:top="1134" w:right="1418" w:bottom="1134" w:left="1418" w:header="227" w:footer="227" w:gutter="0"/>
          <w:cols w:space="708"/>
          <w:docGrid w:linePitch="360"/>
        </w:sectPr>
      </w:pPr>
      <w:bookmarkStart w:id="1413" w:name="_Hlk140215414"/>
    </w:p>
    <w:p w14:paraId="7FD2207D" w14:textId="77777777" w:rsidR="00730DE4" w:rsidRPr="00730DE4" w:rsidRDefault="00730DE4" w:rsidP="006A14A6">
      <w:pPr>
        <w:pStyle w:val="Heading2"/>
      </w:pPr>
      <w:bookmarkStart w:id="1414" w:name="_Toc179365594"/>
      <w:bookmarkStart w:id="1415" w:name="_Toc180490899"/>
      <w:bookmarkStart w:id="1416" w:name="_Toc180491932"/>
      <w:r w:rsidRPr="00730DE4">
        <w:t>Statement of financial position</w:t>
      </w:r>
      <w:bookmarkEnd w:id="1414"/>
      <w:bookmarkEnd w:id="1415"/>
      <w:bookmarkEnd w:id="1416"/>
    </w:p>
    <w:p w14:paraId="3B35546C" w14:textId="77777777" w:rsidR="00730DE4" w:rsidRPr="00730DE4" w:rsidRDefault="00730DE4" w:rsidP="00DF7CEB">
      <w:pPr>
        <w:pStyle w:val="NoSpacing"/>
        <w:rPr>
          <w:sz w:val="24"/>
          <w:szCs w:val="24"/>
        </w:rPr>
      </w:pPr>
      <w:r w:rsidRPr="00730DE4">
        <w:rPr>
          <w:sz w:val="24"/>
          <w:szCs w:val="24"/>
        </w:rPr>
        <w:t>As at 30 June 2024</w:t>
      </w:r>
    </w:p>
    <w:bookmarkEnd w:id="1413"/>
    <w:p w14:paraId="07F47433" w14:textId="77777777" w:rsidR="00730DE4" w:rsidRPr="00730DE4" w:rsidRDefault="00730DE4" w:rsidP="009D3417">
      <w:pPr>
        <w:pStyle w:val="NoSpacing"/>
      </w:pPr>
    </w:p>
    <w:tbl>
      <w:tblPr>
        <w:tblW w:w="5000" w:type="pct"/>
        <w:tblCellMar>
          <w:top w:w="23" w:type="dxa"/>
          <w:left w:w="23" w:type="dxa"/>
          <w:bottom w:w="23" w:type="dxa"/>
          <w:right w:w="23" w:type="dxa"/>
        </w:tblCellMar>
        <w:tblLook w:val="04A0" w:firstRow="1" w:lastRow="0" w:firstColumn="1" w:lastColumn="0" w:noHBand="0" w:noVBand="1"/>
      </w:tblPr>
      <w:tblGrid>
        <w:gridCol w:w="8155"/>
        <w:gridCol w:w="1115"/>
        <w:gridCol w:w="2366"/>
        <w:gridCol w:w="2366"/>
      </w:tblGrid>
      <w:tr w:rsidR="00730DE4" w:rsidRPr="00730DE4" w14:paraId="23A7BEBC" w14:textId="77777777" w:rsidTr="008A2F83">
        <w:tc>
          <w:tcPr>
            <w:tcW w:w="2912" w:type="pct"/>
            <w:tcBorders>
              <w:top w:val="nil"/>
              <w:left w:val="nil"/>
              <w:bottom w:val="single" w:sz="4" w:space="0" w:color="auto"/>
              <w:right w:val="nil"/>
            </w:tcBorders>
            <w:vAlign w:val="bottom"/>
          </w:tcPr>
          <w:p w14:paraId="481A8E83" w14:textId="77777777" w:rsidR="00730DE4" w:rsidRPr="00730DE4" w:rsidRDefault="00730DE4" w:rsidP="009E5BA1">
            <w:pPr>
              <w:pStyle w:val="NoSpacing"/>
              <w:rPr>
                <w:rStyle w:val="Strong"/>
              </w:rPr>
            </w:pPr>
            <w:r w:rsidRPr="00730DE4">
              <w:rPr>
                <w:rStyle w:val="Strong"/>
              </w:rPr>
              <w:t>Operating result</w:t>
            </w:r>
          </w:p>
        </w:tc>
        <w:tc>
          <w:tcPr>
            <w:tcW w:w="398" w:type="pct"/>
            <w:tcBorders>
              <w:top w:val="nil"/>
              <w:left w:val="nil"/>
              <w:bottom w:val="single" w:sz="4" w:space="0" w:color="auto"/>
              <w:right w:val="nil"/>
            </w:tcBorders>
            <w:shd w:val="clear" w:color="auto" w:fill="auto"/>
            <w:noWrap/>
            <w:vAlign w:val="bottom"/>
            <w:hideMark/>
          </w:tcPr>
          <w:p w14:paraId="3DDA0418" w14:textId="77777777" w:rsidR="00730DE4" w:rsidRPr="00730DE4" w:rsidRDefault="00730DE4" w:rsidP="009E5BA1">
            <w:pPr>
              <w:pStyle w:val="NoSpacing"/>
              <w:jc w:val="right"/>
              <w:rPr>
                <w:rStyle w:val="Strong"/>
              </w:rPr>
            </w:pPr>
            <w:r w:rsidRPr="00730DE4">
              <w:rPr>
                <w:rStyle w:val="Strong"/>
              </w:rPr>
              <w:t>Note</w:t>
            </w:r>
          </w:p>
        </w:tc>
        <w:tc>
          <w:tcPr>
            <w:tcW w:w="845" w:type="pct"/>
            <w:tcBorders>
              <w:top w:val="nil"/>
              <w:left w:val="nil"/>
              <w:bottom w:val="single" w:sz="4" w:space="0" w:color="auto"/>
              <w:right w:val="nil"/>
            </w:tcBorders>
            <w:shd w:val="clear" w:color="auto" w:fill="auto"/>
            <w:noWrap/>
            <w:vAlign w:val="bottom"/>
            <w:hideMark/>
          </w:tcPr>
          <w:p w14:paraId="6FDBD1A6" w14:textId="77777777" w:rsidR="00730DE4" w:rsidRPr="00730DE4" w:rsidRDefault="00730DE4" w:rsidP="009E5BA1">
            <w:pPr>
              <w:pStyle w:val="NoSpacing"/>
              <w:jc w:val="right"/>
              <w:rPr>
                <w:rStyle w:val="Strong"/>
              </w:rPr>
            </w:pPr>
            <w:r w:rsidRPr="00730DE4">
              <w:rPr>
                <w:rStyle w:val="Strong"/>
              </w:rPr>
              <w:t xml:space="preserve">2024 </w:t>
            </w:r>
            <w:r w:rsidRPr="00730DE4">
              <w:rPr>
                <w:rStyle w:val="Strong"/>
              </w:rPr>
              <w:br/>
              <w:t>$'000</w:t>
            </w:r>
          </w:p>
        </w:tc>
        <w:tc>
          <w:tcPr>
            <w:tcW w:w="845" w:type="pct"/>
            <w:tcBorders>
              <w:top w:val="nil"/>
              <w:left w:val="nil"/>
              <w:bottom w:val="single" w:sz="4" w:space="0" w:color="auto"/>
              <w:right w:val="nil"/>
            </w:tcBorders>
            <w:shd w:val="clear" w:color="auto" w:fill="auto"/>
            <w:noWrap/>
            <w:vAlign w:val="bottom"/>
            <w:hideMark/>
          </w:tcPr>
          <w:p w14:paraId="5F06D1B4" w14:textId="77777777" w:rsidR="00730DE4" w:rsidRPr="00730DE4" w:rsidRDefault="00730DE4" w:rsidP="009E5BA1">
            <w:pPr>
              <w:pStyle w:val="NoSpacing"/>
              <w:jc w:val="right"/>
              <w:rPr>
                <w:rStyle w:val="Strong"/>
              </w:rPr>
            </w:pPr>
            <w:r w:rsidRPr="00730DE4">
              <w:rPr>
                <w:rStyle w:val="Strong"/>
              </w:rPr>
              <w:t xml:space="preserve">2023 </w:t>
            </w:r>
            <w:r w:rsidRPr="00730DE4">
              <w:rPr>
                <w:rStyle w:val="Strong"/>
              </w:rPr>
              <w:br/>
              <w:t>$'000</w:t>
            </w:r>
          </w:p>
        </w:tc>
      </w:tr>
      <w:tr w:rsidR="00730DE4" w:rsidRPr="00730DE4" w14:paraId="7A376F62" w14:textId="77777777" w:rsidTr="001B3636">
        <w:trPr>
          <w:trHeight w:val="454"/>
        </w:trPr>
        <w:tc>
          <w:tcPr>
            <w:tcW w:w="2912"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vAlign w:val="bottom"/>
          </w:tcPr>
          <w:p w14:paraId="754CEBB0" w14:textId="77777777" w:rsidR="00730DE4" w:rsidRPr="00730DE4" w:rsidRDefault="00730DE4" w:rsidP="009E5BA1">
            <w:pPr>
              <w:pStyle w:val="NoSpacing"/>
              <w:rPr>
                <w:rStyle w:val="Strong"/>
              </w:rPr>
            </w:pPr>
            <w:r w:rsidRPr="00730DE4">
              <w:rPr>
                <w:rStyle w:val="Strong"/>
              </w:rPr>
              <w:t>Assets</w:t>
            </w:r>
          </w:p>
        </w:tc>
        <w:tc>
          <w:tcPr>
            <w:tcW w:w="39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22FAC463" w14:textId="77777777" w:rsidR="00730DE4" w:rsidRPr="00730DE4" w:rsidRDefault="00730DE4" w:rsidP="009E5BA1">
            <w:pPr>
              <w:pStyle w:val="NoSpacing"/>
              <w:jc w:val="right"/>
              <w:rPr>
                <w:rStyle w:val="Strong"/>
              </w:rPr>
            </w:pPr>
          </w:p>
        </w:tc>
        <w:tc>
          <w:tcPr>
            <w:tcW w:w="845"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094CD0C7" w14:textId="77777777" w:rsidR="00730DE4" w:rsidRPr="00730DE4" w:rsidRDefault="00730DE4" w:rsidP="009E5BA1">
            <w:pPr>
              <w:pStyle w:val="NoSpacing"/>
              <w:jc w:val="right"/>
              <w:rPr>
                <w:rStyle w:val="Strong"/>
              </w:rPr>
            </w:pPr>
          </w:p>
        </w:tc>
        <w:tc>
          <w:tcPr>
            <w:tcW w:w="845"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vAlign w:val="bottom"/>
          </w:tcPr>
          <w:p w14:paraId="62F2085B" w14:textId="77777777" w:rsidR="00730DE4" w:rsidRPr="00730DE4" w:rsidRDefault="00730DE4" w:rsidP="009E5BA1">
            <w:pPr>
              <w:pStyle w:val="NoSpacing"/>
              <w:jc w:val="right"/>
              <w:rPr>
                <w:rStyle w:val="Strong"/>
              </w:rPr>
            </w:pPr>
          </w:p>
        </w:tc>
      </w:tr>
      <w:tr w:rsidR="00730DE4" w:rsidRPr="00730DE4" w14:paraId="49967D3E" w14:textId="77777777" w:rsidTr="001B3636">
        <w:tc>
          <w:tcPr>
            <w:tcW w:w="2912" w:type="pct"/>
            <w:tcBorders>
              <w:top w:val="dotted" w:sz="4" w:space="0" w:color="BFBFBF" w:themeColor="background1" w:themeShade="BF"/>
              <w:left w:val="nil"/>
              <w:bottom w:val="dashSmallGap" w:sz="4" w:space="0" w:color="BFBFBF" w:themeColor="background1" w:themeShade="BF"/>
              <w:right w:val="dotted" w:sz="4" w:space="0" w:color="BFBFBF" w:themeColor="background1" w:themeShade="BF"/>
            </w:tcBorders>
            <w:shd w:val="clear" w:color="auto" w:fill="auto"/>
            <w:vAlign w:val="bottom"/>
          </w:tcPr>
          <w:p w14:paraId="3BB90B1F" w14:textId="77777777" w:rsidR="00730DE4" w:rsidRPr="00730DE4" w:rsidRDefault="00730DE4" w:rsidP="009E5BA1">
            <w:pPr>
              <w:pStyle w:val="NoSpacing"/>
              <w:rPr>
                <w:rStyle w:val="Strong"/>
              </w:rPr>
            </w:pPr>
            <w:r w:rsidRPr="00730DE4">
              <w:rPr>
                <w:rStyle w:val="Strong"/>
              </w:rPr>
              <w:t>Current assets</w:t>
            </w:r>
          </w:p>
        </w:tc>
        <w:tc>
          <w:tcPr>
            <w:tcW w:w="398" w:type="pct"/>
            <w:tcBorders>
              <w:top w:val="dotted" w:sz="4" w:space="0" w:color="BFBFBF" w:themeColor="background1" w:themeShade="BF"/>
              <w:left w:val="dotted" w:sz="4" w:space="0" w:color="BFBFBF" w:themeColor="background1" w:themeShade="BF"/>
              <w:bottom w:val="dashSmallGap" w:sz="4" w:space="0" w:color="BFBFBF" w:themeColor="background1" w:themeShade="BF"/>
              <w:right w:val="dotted" w:sz="4" w:space="0" w:color="BFBFBF" w:themeColor="background1" w:themeShade="BF"/>
            </w:tcBorders>
            <w:shd w:val="clear" w:color="auto" w:fill="auto"/>
            <w:noWrap/>
            <w:vAlign w:val="bottom"/>
          </w:tcPr>
          <w:p w14:paraId="44EC7C4D" w14:textId="77777777" w:rsidR="00730DE4" w:rsidRPr="00730DE4" w:rsidRDefault="00730DE4" w:rsidP="009E5BA1">
            <w:pPr>
              <w:pStyle w:val="NoSpacing"/>
              <w:jc w:val="right"/>
              <w:rPr>
                <w:rStyle w:val="Strong"/>
                <w:b w:val="0"/>
                <w:bCs w:val="0"/>
              </w:rPr>
            </w:pPr>
          </w:p>
        </w:tc>
        <w:tc>
          <w:tcPr>
            <w:tcW w:w="845" w:type="pct"/>
            <w:tcBorders>
              <w:top w:val="dotted" w:sz="4" w:space="0" w:color="BFBFBF" w:themeColor="background1" w:themeShade="BF"/>
              <w:left w:val="dotted" w:sz="4" w:space="0" w:color="BFBFBF" w:themeColor="background1" w:themeShade="BF"/>
              <w:bottom w:val="dashSmallGap" w:sz="4" w:space="0" w:color="BFBFBF" w:themeColor="background1" w:themeShade="BF"/>
              <w:right w:val="dotted" w:sz="4" w:space="0" w:color="BFBFBF" w:themeColor="background1" w:themeShade="BF"/>
            </w:tcBorders>
            <w:shd w:val="clear" w:color="auto" w:fill="F2F2F2" w:themeFill="background1" w:themeFillShade="F2"/>
            <w:noWrap/>
            <w:vAlign w:val="bottom"/>
          </w:tcPr>
          <w:p w14:paraId="3F698039" w14:textId="77777777" w:rsidR="00730DE4" w:rsidRPr="00730DE4" w:rsidRDefault="00730DE4" w:rsidP="009E5BA1">
            <w:pPr>
              <w:pStyle w:val="NoSpacing"/>
              <w:jc w:val="right"/>
              <w:rPr>
                <w:rStyle w:val="Strong"/>
                <w:b w:val="0"/>
                <w:bCs w:val="0"/>
              </w:rPr>
            </w:pPr>
          </w:p>
        </w:tc>
        <w:tc>
          <w:tcPr>
            <w:tcW w:w="845" w:type="pct"/>
            <w:tcBorders>
              <w:top w:val="dotted" w:sz="4" w:space="0" w:color="BFBFBF" w:themeColor="background1" w:themeShade="BF"/>
              <w:left w:val="dotted" w:sz="4" w:space="0" w:color="BFBFBF" w:themeColor="background1" w:themeShade="BF"/>
              <w:bottom w:val="dashSmallGap" w:sz="4" w:space="0" w:color="BFBFBF" w:themeColor="background1" w:themeShade="BF"/>
              <w:right w:val="nil"/>
            </w:tcBorders>
            <w:shd w:val="clear" w:color="auto" w:fill="auto"/>
            <w:noWrap/>
            <w:vAlign w:val="bottom"/>
          </w:tcPr>
          <w:p w14:paraId="4D68D3E9" w14:textId="77777777" w:rsidR="00730DE4" w:rsidRPr="00730DE4" w:rsidRDefault="00730DE4" w:rsidP="009E5BA1">
            <w:pPr>
              <w:pStyle w:val="NoSpacing"/>
              <w:jc w:val="right"/>
              <w:rPr>
                <w:rStyle w:val="Strong"/>
                <w:b w:val="0"/>
                <w:bCs w:val="0"/>
              </w:rPr>
            </w:pPr>
          </w:p>
        </w:tc>
      </w:tr>
      <w:tr w:rsidR="00730DE4" w:rsidRPr="00730DE4" w14:paraId="058077A2" w14:textId="77777777" w:rsidTr="008A2F83">
        <w:trPr>
          <w:trHeight w:val="20"/>
        </w:trPr>
        <w:tc>
          <w:tcPr>
            <w:tcW w:w="2912" w:type="pct"/>
            <w:tcBorders>
              <w:top w:val="dashSmallGap" w:sz="4" w:space="0" w:color="BFBFBF" w:themeColor="background1" w:themeShade="BF"/>
              <w:left w:val="nil"/>
              <w:bottom w:val="dashSmallGap" w:sz="4" w:space="0" w:color="BFBFBF" w:themeColor="background1" w:themeShade="BF"/>
              <w:right w:val="dashSmallGap" w:sz="4" w:space="0" w:color="BFBFBF" w:themeColor="background1" w:themeShade="BF"/>
            </w:tcBorders>
            <w:vAlign w:val="bottom"/>
          </w:tcPr>
          <w:p w14:paraId="2D4F8712" w14:textId="77777777" w:rsidR="00730DE4" w:rsidRPr="00730DE4" w:rsidRDefault="00730DE4" w:rsidP="00A1677B">
            <w:pPr>
              <w:pStyle w:val="NoSpacingIndent"/>
            </w:pPr>
            <w:r w:rsidRPr="00730DE4">
              <w:t>Cash</w:t>
            </w:r>
          </w:p>
        </w:tc>
        <w:tc>
          <w:tcPr>
            <w:tcW w:w="398"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noWrap/>
            <w:vAlign w:val="bottom"/>
            <w:hideMark/>
          </w:tcPr>
          <w:p w14:paraId="5EFD8552" w14:textId="77777777" w:rsidR="00730DE4" w:rsidRPr="00730DE4" w:rsidRDefault="00730DE4" w:rsidP="009E5BA1">
            <w:pPr>
              <w:pStyle w:val="NoSpacing"/>
              <w:jc w:val="right"/>
            </w:pPr>
          </w:p>
        </w:tc>
        <w:tc>
          <w:tcPr>
            <w:tcW w:w="845"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3EF07514" w14:textId="77777777" w:rsidR="00730DE4" w:rsidRPr="00730DE4" w:rsidRDefault="00730DE4" w:rsidP="009E5BA1">
            <w:pPr>
              <w:pStyle w:val="NoSpacing"/>
              <w:jc w:val="right"/>
            </w:pPr>
            <w:r w:rsidRPr="00730DE4">
              <w:t xml:space="preserve">382,058 </w:t>
            </w:r>
          </w:p>
        </w:tc>
        <w:tc>
          <w:tcPr>
            <w:tcW w:w="845"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nil"/>
            </w:tcBorders>
            <w:shd w:val="clear" w:color="auto" w:fill="auto"/>
            <w:noWrap/>
            <w:vAlign w:val="bottom"/>
            <w:hideMark/>
          </w:tcPr>
          <w:p w14:paraId="29C85563" w14:textId="77777777" w:rsidR="00730DE4" w:rsidRPr="00730DE4" w:rsidRDefault="00730DE4" w:rsidP="009E5BA1">
            <w:pPr>
              <w:pStyle w:val="NoSpacing"/>
              <w:jc w:val="right"/>
            </w:pPr>
            <w:r w:rsidRPr="00730DE4">
              <w:t xml:space="preserve">670,102 </w:t>
            </w:r>
          </w:p>
        </w:tc>
      </w:tr>
      <w:tr w:rsidR="00730DE4" w:rsidRPr="00730DE4" w14:paraId="13857B28" w14:textId="77777777" w:rsidTr="008A2F83">
        <w:tc>
          <w:tcPr>
            <w:tcW w:w="2912" w:type="pct"/>
            <w:tcBorders>
              <w:top w:val="dashSmallGap" w:sz="4" w:space="0" w:color="BFBFBF" w:themeColor="background1" w:themeShade="BF"/>
              <w:left w:val="nil"/>
              <w:bottom w:val="dashSmallGap" w:sz="4" w:space="0" w:color="BFBFBF" w:themeColor="background1" w:themeShade="BF"/>
              <w:right w:val="dashSmallGap" w:sz="4" w:space="0" w:color="BFBFBF" w:themeColor="background1" w:themeShade="BF"/>
            </w:tcBorders>
            <w:vAlign w:val="bottom"/>
          </w:tcPr>
          <w:p w14:paraId="2C7A2BF6" w14:textId="77777777" w:rsidR="00730DE4" w:rsidRPr="00730DE4" w:rsidRDefault="00730DE4" w:rsidP="00A1677B">
            <w:pPr>
              <w:pStyle w:val="NoSpacingIndent"/>
            </w:pPr>
            <w:r w:rsidRPr="00730DE4">
              <w:t>Receivables</w:t>
            </w:r>
          </w:p>
        </w:tc>
        <w:tc>
          <w:tcPr>
            <w:tcW w:w="398"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noWrap/>
            <w:vAlign w:val="bottom"/>
            <w:hideMark/>
          </w:tcPr>
          <w:p w14:paraId="65F5595A" w14:textId="77777777" w:rsidR="00730DE4" w:rsidRPr="00730DE4" w:rsidRDefault="00730DE4" w:rsidP="009E5BA1">
            <w:pPr>
              <w:pStyle w:val="NoSpacing"/>
              <w:jc w:val="right"/>
            </w:pPr>
            <w:r w:rsidRPr="00730DE4">
              <w:t>12</w:t>
            </w:r>
          </w:p>
        </w:tc>
        <w:tc>
          <w:tcPr>
            <w:tcW w:w="845"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1071BB7F" w14:textId="77777777" w:rsidR="00730DE4" w:rsidRPr="00730DE4" w:rsidRDefault="00730DE4" w:rsidP="009E5BA1">
            <w:pPr>
              <w:pStyle w:val="NoSpacing"/>
              <w:jc w:val="right"/>
            </w:pPr>
            <w:r w:rsidRPr="00730DE4">
              <w:t xml:space="preserve">504,767 </w:t>
            </w:r>
          </w:p>
        </w:tc>
        <w:tc>
          <w:tcPr>
            <w:tcW w:w="845"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nil"/>
            </w:tcBorders>
            <w:shd w:val="clear" w:color="auto" w:fill="auto"/>
            <w:noWrap/>
            <w:vAlign w:val="bottom"/>
            <w:hideMark/>
          </w:tcPr>
          <w:p w14:paraId="7632BCE4" w14:textId="77777777" w:rsidR="00730DE4" w:rsidRPr="00730DE4" w:rsidRDefault="00730DE4" w:rsidP="009E5BA1">
            <w:pPr>
              <w:pStyle w:val="NoSpacing"/>
              <w:jc w:val="right"/>
            </w:pPr>
            <w:r w:rsidRPr="00730DE4">
              <w:t xml:space="preserve">245,064 </w:t>
            </w:r>
          </w:p>
        </w:tc>
      </w:tr>
      <w:tr w:rsidR="00730DE4" w:rsidRPr="00730DE4" w14:paraId="01718E4E" w14:textId="77777777" w:rsidTr="008A2F83">
        <w:tc>
          <w:tcPr>
            <w:tcW w:w="2912" w:type="pct"/>
            <w:tcBorders>
              <w:top w:val="dashSmallGap" w:sz="4" w:space="0" w:color="BFBFBF" w:themeColor="background1" w:themeShade="BF"/>
              <w:left w:val="nil"/>
              <w:bottom w:val="dashSmallGap" w:sz="4" w:space="0" w:color="BFBFBF" w:themeColor="background1" w:themeShade="BF"/>
              <w:right w:val="dashSmallGap" w:sz="4" w:space="0" w:color="BFBFBF" w:themeColor="background1" w:themeShade="BF"/>
            </w:tcBorders>
            <w:vAlign w:val="bottom"/>
          </w:tcPr>
          <w:p w14:paraId="02D2589E" w14:textId="77777777" w:rsidR="00730DE4" w:rsidRPr="00730DE4" w:rsidRDefault="00730DE4" w:rsidP="00A1677B">
            <w:pPr>
              <w:pStyle w:val="NoSpacingIndent"/>
            </w:pPr>
            <w:r w:rsidRPr="00730DE4">
              <w:t>Inventories</w:t>
            </w:r>
          </w:p>
        </w:tc>
        <w:tc>
          <w:tcPr>
            <w:tcW w:w="398"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noWrap/>
            <w:vAlign w:val="bottom"/>
            <w:hideMark/>
          </w:tcPr>
          <w:p w14:paraId="5A9E69E2" w14:textId="77777777" w:rsidR="00730DE4" w:rsidRPr="00730DE4" w:rsidRDefault="00730DE4" w:rsidP="009E5BA1">
            <w:pPr>
              <w:pStyle w:val="NoSpacing"/>
              <w:jc w:val="right"/>
            </w:pPr>
          </w:p>
        </w:tc>
        <w:tc>
          <w:tcPr>
            <w:tcW w:w="845"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0A50DDB2" w14:textId="77777777" w:rsidR="00730DE4" w:rsidRPr="00730DE4" w:rsidRDefault="00730DE4" w:rsidP="009E5BA1">
            <w:pPr>
              <w:pStyle w:val="NoSpacing"/>
              <w:jc w:val="right"/>
            </w:pPr>
            <w:r w:rsidRPr="00730DE4">
              <w:t xml:space="preserve">20,128 </w:t>
            </w:r>
          </w:p>
        </w:tc>
        <w:tc>
          <w:tcPr>
            <w:tcW w:w="845"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nil"/>
            </w:tcBorders>
            <w:shd w:val="clear" w:color="auto" w:fill="auto"/>
            <w:noWrap/>
            <w:vAlign w:val="bottom"/>
            <w:hideMark/>
          </w:tcPr>
          <w:p w14:paraId="5B55B0EE" w14:textId="77777777" w:rsidR="00730DE4" w:rsidRPr="00730DE4" w:rsidRDefault="00730DE4" w:rsidP="009E5BA1">
            <w:pPr>
              <w:pStyle w:val="NoSpacing"/>
              <w:jc w:val="right"/>
            </w:pPr>
            <w:r w:rsidRPr="00730DE4">
              <w:t xml:space="preserve">21,716 </w:t>
            </w:r>
          </w:p>
        </w:tc>
      </w:tr>
      <w:tr w:rsidR="00730DE4" w:rsidRPr="00730DE4" w14:paraId="171E6FEF" w14:textId="77777777" w:rsidTr="00800A48">
        <w:tc>
          <w:tcPr>
            <w:tcW w:w="2912" w:type="pct"/>
            <w:tcBorders>
              <w:top w:val="dashSmallGap" w:sz="4" w:space="0" w:color="BFBFBF" w:themeColor="background1" w:themeShade="BF"/>
              <w:left w:val="nil"/>
              <w:bottom w:val="dashSmallGap" w:sz="4" w:space="0" w:color="BFBFBF" w:themeColor="background1" w:themeShade="BF"/>
              <w:right w:val="dashSmallGap" w:sz="4" w:space="0" w:color="BFBFBF" w:themeColor="background1" w:themeShade="BF"/>
            </w:tcBorders>
            <w:vAlign w:val="bottom"/>
          </w:tcPr>
          <w:p w14:paraId="7C6CF2C4" w14:textId="77777777" w:rsidR="00730DE4" w:rsidRPr="00730DE4" w:rsidRDefault="00730DE4" w:rsidP="00A1677B">
            <w:pPr>
              <w:pStyle w:val="NoSpacingIndent"/>
            </w:pPr>
            <w:r w:rsidRPr="00730DE4">
              <w:t>Prepayments</w:t>
            </w:r>
          </w:p>
        </w:tc>
        <w:tc>
          <w:tcPr>
            <w:tcW w:w="398"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noWrap/>
            <w:vAlign w:val="bottom"/>
            <w:hideMark/>
          </w:tcPr>
          <w:p w14:paraId="7AAA3E64" w14:textId="77777777" w:rsidR="00730DE4" w:rsidRPr="00730DE4" w:rsidRDefault="00730DE4" w:rsidP="009E5BA1">
            <w:pPr>
              <w:pStyle w:val="NoSpacing"/>
              <w:jc w:val="right"/>
            </w:pPr>
            <w:r w:rsidRPr="00730DE4">
              <w:t>13</w:t>
            </w:r>
          </w:p>
        </w:tc>
        <w:tc>
          <w:tcPr>
            <w:tcW w:w="845"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70286B00" w14:textId="77777777" w:rsidR="00730DE4" w:rsidRPr="00730DE4" w:rsidRDefault="00730DE4" w:rsidP="009E5BA1">
            <w:pPr>
              <w:pStyle w:val="NoSpacing"/>
              <w:jc w:val="right"/>
            </w:pPr>
            <w:r w:rsidRPr="00730DE4">
              <w:t xml:space="preserve">75,576 </w:t>
            </w:r>
          </w:p>
        </w:tc>
        <w:tc>
          <w:tcPr>
            <w:tcW w:w="845"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nil"/>
            </w:tcBorders>
            <w:shd w:val="clear" w:color="auto" w:fill="auto"/>
            <w:noWrap/>
            <w:vAlign w:val="bottom"/>
            <w:hideMark/>
          </w:tcPr>
          <w:p w14:paraId="599DD5C3" w14:textId="77777777" w:rsidR="00730DE4" w:rsidRPr="00730DE4" w:rsidRDefault="00730DE4" w:rsidP="009E5BA1">
            <w:pPr>
              <w:pStyle w:val="NoSpacing"/>
              <w:jc w:val="right"/>
            </w:pPr>
            <w:r w:rsidRPr="00730DE4">
              <w:t xml:space="preserve">113,085 </w:t>
            </w:r>
          </w:p>
        </w:tc>
      </w:tr>
      <w:tr w:rsidR="00730DE4" w:rsidRPr="00730DE4" w14:paraId="4BCBC3D8" w14:textId="77777777" w:rsidTr="00800A48">
        <w:tc>
          <w:tcPr>
            <w:tcW w:w="2912" w:type="pct"/>
            <w:tcBorders>
              <w:top w:val="dashSmallGap" w:sz="4" w:space="0" w:color="BFBFBF" w:themeColor="background1" w:themeShade="BF"/>
              <w:left w:val="nil"/>
              <w:bottom w:val="single" w:sz="4" w:space="0" w:color="auto"/>
              <w:right w:val="dashSmallGap" w:sz="4" w:space="0" w:color="BFBFBF" w:themeColor="background1" w:themeShade="BF"/>
            </w:tcBorders>
            <w:vAlign w:val="bottom"/>
          </w:tcPr>
          <w:p w14:paraId="05B8F25A" w14:textId="77777777" w:rsidR="00730DE4" w:rsidRPr="00730DE4" w:rsidRDefault="00730DE4" w:rsidP="00A1677B">
            <w:pPr>
              <w:pStyle w:val="NoSpacingIndent"/>
            </w:pPr>
            <w:r w:rsidRPr="00730DE4">
              <w:t>Non-current assets classified as held for sale</w:t>
            </w:r>
          </w:p>
        </w:tc>
        <w:tc>
          <w:tcPr>
            <w:tcW w:w="398" w:type="pct"/>
            <w:tcBorders>
              <w:top w:val="dashSmallGap" w:sz="4" w:space="0" w:color="BFBFBF" w:themeColor="background1" w:themeShade="BF"/>
              <w:left w:val="dashSmallGap" w:sz="4" w:space="0" w:color="BFBFBF" w:themeColor="background1" w:themeShade="BF"/>
              <w:bottom w:val="single" w:sz="4" w:space="0" w:color="auto"/>
              <w:right w:val="dashSmallGap" w:sz="4" w:space="0" w:color="BFBFBF" w:themeColor="background1" w:themeShade="BF"/>
            </w:tcBorders>
            <w:shd w:val="clear" w:color="auto" w:fill="auto"/>
            <w:noWrap/>
            <w:vAlign w:val="bottom"/>
            <w:hideMark/>
          </w:tcPr>
          <w:p w14:paraId="233627F6" w14:textId="77777777" w:rsidR="00730DE4" w:rsidRPr="00730DE4" w:rsidRDefault="00730DE4" w:rsidP="009E5BA1">
            <w:pPr>
              <w:pStyle w:val="NoSpacing"/>
              <w:jc w:val="right"/>
            </w:pPr>
            <w:r w:rsidRPr="00730DE4">
              <w:t> </w:t>
            </w:r>
          </w:p>
        </w:tc>
        <w:tc>
          <w:tcPr>
            <w:tcW w:w="845" w:type="pct"/>
            <w:tcBorders>
              <w:top w:val="dashSmallGap" w:sz="4" w:space="0" w:color="BFBFBF" w:themeColor="background1" w:themeShade="BF"/>
              <w:left w:val="dashSmallGap" w:sz="4" w:space="0" w:color="BFBFBF" w:themeColor="background1" w:themeShade="BF"/>
              <w:bottom w:val="single" w:sz="4" w:space="0" w:color="auto"/>
              <w:right w:val="dashSmallGap" w:sz="4" w:space="0" w:color="BFBFBF" w:themeColor="background1" w:themeShade="BF"/>
            </w:tcBorders>
            <w:shd w:val="clear" w:color="auto" w:fill="F2F2F2" w:themeFill="background1" w:themeFillShade="F2"/>
            <w:noWrap/>
            <w:vAlign w:val="bottom"/>
            <w:hideMark/>
          </w:tcPr>
          <w:p w14:paraId="6FA7C3DC" w14:textId="77777777" w:rsidR="00730DE4" w:rsidRPr="00730DE4" w:rsidRDefault="00730DE4" w:rsidP="009E5BA1">
            <w:pPr>
              <w:pStyle w:val="NoSpacing"/>
              <w:jc w:val="right"/>
            </w:pPr>
            <w:r w:rsidRPr="00730DE4">
              <w:t>-</w:t>
            </w:r>
          </w:p>
        </w:tc>
        <w:tc>
          <w:tcPr>
            <w:tcW w:w="845" w:type="pct"/>
            <w:tcBorders>
              <w:top w:val="dashSmallGap" w:sz="4" w:space="0" w:color="BFBFBF" w:themeColor="background1" w:themeShade="BF"/>
              <w:left w:val="dashSmallGap" w:sz="4" w:space="0" w:color="BFBFBF" w:themeColor="background1" w:themeShade="BF"/>
              <w:bottom w:val="single" w:sz="4" w:space="0" w:color="auto"/>
              <w:right w:val="nil"/>
            </w:tcBorders>
            <w:shd w:val="clear" w:color="auto" w:fill="auto"/>
            <w:noWrap/>
            <w:vAlign w:val="bottom"/>
            <w:hideMark/>
          </w:tcPr>
          <w:p w14:paraId="1211B14E" w14:textId="77777777" w:rsidR="00730DE4" w:rsidRPr="00730DE4" w:rsidRDefault="00730DE4" w:rsidP="009E5BA1">
            <w:pPr>
              <w:pStyle w:val="NoSpacing"/>
              <w:jc w:val="right"/>
            </w:pPr>
            <w:r w:rsidRPr="00730DE4">
              <w:t xml:space="preserve">3,562 </w:t>
            </w:r>
          </w:p>
        </w:tc>
      </w:tr>
      <w:tr w:rsidR="00730DE4" w:rsidRPr="00730DE4" w14:paraId="719DC7CD" w14:textId="77777777" w:rsidTr="009057A0">
        <w:tc>
          <w:tcPr>
            <w:tcW w:w="2912" w:type="pct"/>
            <w:tcBorders>
              <w:top w:val="single" w:sz="4" w:space="0" w:color="auto"/>
              <w:left w:val="nil"/>
              <w:right w:val="dashSmallGap" w:sz="4" w:space="0" w:color="BFBFBF" w:themeColor="background1" w:themeShade="BF"/>
            </w:tcBorders>
          </w:tcPr>
          <w:p w14:paraId="63250C62" w14:textId="77777777" w:rsidR="00730DE4" w:rsidRPr="00730DE4" w:rsidRDefault="00730DE4" w:rsidP="00A1677B">
            <w:pPr>
              <w:pStyle w:val="NoSpacingIndent"/>
              <w:rPr>
                <w:rStyle w:val="Strong"/>
              </w:rPr>
            </w:pPr>
            <w:r w:rsidRPr="00730DE4">
              <w:rPr>
                <w:rStyle w:val="Strong"/>
              </w:rPr>
              <w:t>Total current assets</w:t>
            </w:r>
          </w:p>
        </w:tc>
        <w:tc>
          <w:tcPr>
            <w:tcW w:w="398" w:type="pct"/>
            <w:tcBorders>
              <w:top w:val="single" w:sz="4" w:space="0" w:color="auto"/>
              <w:left w:val="dashSmallGap" w:sz="4" w:space="0" w:color="BFBFBF" w:themeColor="background1" w:themeShade="BF"/>
              <w:right w:val="dashSmallGap" w:sz="4" w:space="0" w:color="BFBFBF" w:themeColor="background1" w:themeShade="BF"/>
            </w:tcBorders>
            <w:shd w:val="clear" w:color="auto" w:fill="auto"/>
            <w:noWrap/>
            <w:hideMark/>
          </w:tcPr>
          <w:p w14:paraId="1F59006B" w14:textId="77777777" w:rsidR="00730DE4" w:rsidRPr="00730DE4" w:rsidRDefault="00730DE4" w:rsidP="00A1677B">
            <w:pPr>
              <w:pStyle w:val="NoSpacing"/>
              <w:jc w:val="right"/>
              <w:rPr>
                <w:rStyle w:val="Strong"/>
              </w:rPr>
            </w:pPr>
            <w:r w:rsidRPr="00730DE4">
              <w:rPr>
                <w:rStyle w:val="Strong"/>
              </w:rPr>
              <w:t> </w:t>
            </w:r>
          </w:p>
        </w:tc>
        <w:tc>
          <w:tcPr>
            <w:tcW w:w="845" w:type="pct"/>
            <w:tcBorders>
              <w:top w:val="single" w:sz="4" w:space="0" w:color="auto"/>
              <w:left w:val="dashSmallGap" w:sz="4" w:space="0" w:color="BFBFBF" w:themeColor="background1" w:themeShade="BF"/>
              <w:right w:val="dashSmallGap" w:sz="4" w:space="0" w:color="BFBFBF" w:themeColor="background1" w:themeShade="BF"/>
            </w:tcBorders>
            <w:shd w:val="clear" w:color="auto" w:fill="F2F2F2" w:themeFill="background1" w:themeFillShade="F2"/>
            <w:noWrap/>
            <w:hideMark/>
          </w:tcPr>
          <w:p w14:paraId="3471C32B" w14:textId="77777777" w:rsidR="00730DE4" w:rsidRPr="00730DE4" w:rsidRDefault="00730DE4" w:rsidP="00A1677B">
            <w:pPr>
              <w:pStyle w:val="NoSpacing"/>
              <w:jc w:val="right"/>
              <w:rPr>
                <w:rStyle w:val="Strong"/>
              </w:rPr>
            </w:pPr>
            <w:r w:rsidRPr="00730DE4">
              <w:rPr>
                <w:rStyle w:val="Strong"/>
              </w:rPr>
              <w:t xml:space="preserve">982,529 </w:t>
            </w:r>
          </w:p>
        </w:tc>
        <w:tc>
          <w:tcPr>
            <w:tcW w:w="845" w:type="pct"/>
            <w:tcBorders>
              <w:top w:val="single" w:sz="4" w:space="0" w:color="auto"/>
              <w:left w:val="dashSmallGap" w:sz="4" w:space="0" w:color="BFBFBF" w:themeColor="background1" w:themeShade="BF"/>
              <w:right w:val="nil"/>
            </w:tcBorders>
            <w:shd w:val="clear" w:color="auto" w:fill="auto"/>
            <w:noWrap/>
            <w:hideMark/>
          </w:tcPr>
          <w:p w14:paraId="0B59083D" w14:textId="77777777" w:rsidR="00730DE4" w:rsidRPr="00730DE4" w:rsidRDefault="00730DE4" w:rsidP="00A1677B">
            <w:pPr>
              <w:pStyle w:val="NoSpacing"/>
              <w:jc w:val="right"/>
              <w:rPr>
                <w:rStyle w:val="Strong"/>
              </w:rPr>
            </w:pPr>
            <w:r w:rsidRPr="00730DE4">
              <w:rPr>
                <w:rStyle w:val="Strong"/>
              </w:rPr>
              <w:t xml:space="preserve">1,053,529 </w:t>
            </w:r>
          </w:p>
        </w:tc>
      </w:tr>
      <w:tr w:rsidR="00730DE4" w:rsidRPr="00730DE4" w14:paraId="5FC2DFE9" w14:textId="77777777" w:rsidTr="001B3636">
        <w:trPr>
          <w:trHeight w:val="454"/>
        </w:trPr>
        <w:tc>
          <w:tcPr>
            <w:tcW w:w="2912" w:type="pct"/>
            <w:tcBorders>
              <w:left w:val="nil"/>
              <w:bottom w:val="dashSmallGap" w:sz="4" w:space="0" w:color="BFBFBF" w:themeColor="background1" w:themeShade="BF"/>
              <w:right w:val="dashSmallGap" w:sz="4" w:space="0" w:color="BFBFBF" w:themeColor="background1" w:themeShade="BF"/>
            </w:tcBorders>
            <w:shd w:val="clear" w:color="auto" w:fill="auto"/>
            <w:vAlign w:val="bottom"/>
          </w:tcPr>
          <w:p w14:paraId="4D06F3CA" w14:textId="77777777" w:rsidR="00730DE4" w:rsidRPr="00730DE4" w:rsidRDefault="00730DE4" w:rsidP="009E5BA1">
            <w:pPr>
              <w:pStyle w:val="NoSpacing"/>
              <w:rPr>
                <w:rStyle w:val="Strong"/>
              </w:rPr>
            </w:pPr>
            <w:r w:rsidRPr="00730DE4">
              <w:rPr>
                <w:rStyle w:val="Strong"/>
              </w:rPr>
              <w:t>Non-current assets</w:t>
            </w:r>
          </w:p>
        </w:tc>
        <w:tc>
          <w:tcPr>
            <w:tcW w:w="398" w:type="pct"/>
            <w:tcBorders>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noWrap/>
            <w:vAlign w:val="bottom"/>
          </w:tcPr>
          <w:p w14:paraId="1EC37104" w14:textId="77777777" w:rsidR="00730DE4" w:rsidRPr="00730DE4" w:rsidRDefault="00730DE4" w:rsidP="009E5BA1">
            <w:pPr>
              <w:pStyle w:val="NoSpacing"/>
              <w:jc w:val="right"/>
              <w:rPr>
                <w:rStyle w:val="Strong"/>
              </w:rPr>
            </w:pPr>
          </w:p>
        </w:tc>
        <w:tc>
          <w:tcPr>
            <w:tcW w:w="845" w:type="pct"/>
            <w:tcBorders>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tcPr>
          <w:p w14:paraId="4AD357C1" w14:textId="77777777" w:rsidR="00730DE4" w:rsidRPr="00730DE4" w:rsidRDefault="00730DE4" w:rsidP="009E5BA1">
            <w:pPr>
              <w:pStyle w:val="NoSpacing"/>
              <w:jc w:val="right"/>
              <w:rPr>
                <w:rStyle w:val="Strong"/>
              </w:rPr>
            </w:pPr>
          </w:p>
        </w:tc>
        <w:tc>
          <w:tcPr>
            <w:tcW w:w="845" w:type="pct"/>
            <w:tcBorders>
              <w:left w:val="dashSmallGap" w:sz="4" w:space="0" w:color="BFBFBF" w:themeColor="background1" w:themeShade="BF"/>
              <w:bottom w:val="dashSmallGap" w:sz="4" w:space="0" w:color="BFBFBF" w:themeColor="background1" w:themeShade="BF"/>
              <w:right w:val="nil"/>
            </w:tcBorders>
            <w:shd w:val="clear" w:color="auto" w:fill="auto"/>
            <w:noWrap/>
            <w:vAlign w:val="bottom"/>
          </w:tcPr>
          <w:p w14:paraId="28DA74E3" w14:textId="77777777" w:rsidR="00730DE4" w:rsidRPr="00730DE4" w:rsidRDefault="00730DE4" w:rsidP="009E5BA1">
            <w:pPr>
              <w:pStyle w:val="NoSpacing"/>
              <w:jc w:val="right"/>
              <w:rPr>
                <w:rStyle w:val="Strong"/>
              </w:rPr>
            </w:pPr>
          </w:p>
        </w:tc>
      </w:tr>
      <w:tr w:rsidR="00730DE4" w:rsidRPr="00730DE4" w14:paraId="4A406929" w14:textId="77777777" w:rsidTr="008A2F83">
        <w:tc>
          <w:tcPr>
            <w:tcW w:w="2912" w:type="pct"/>
            <w:tcBorders>
              <w:top w:val="dashSmallGap" w:sz="4" w:space="0" w:color="BFBFBF" w:themeColor="background1" w:themeShade="BF"/>
              <w:left w:val="nil"/>
              <w:bottom w:val="dashSmallGap" w:sz="4" w:space="0" w:color="BFBFBF" w:themeColor="background1" w:themeShade="BF"/>
              <w:right w:val="dashSmallGap" w:sz="4" w:space="0" w:color="BFBFBF" w:themeColor="background1" w:themeShade="BF"/>
            </w:tcBorders>
            <w:vAlign w:val="bottom"/>
          </w:tcPr>
          <w:p w14:paraId="5214D75E" w14:textId="77777777" w:rsidR="00730DE4" w:rsidRPr="00730DE4" w:rsidRDefault="00730DE4" w:rsidP="00A1677B">
            <w:pPr>
              <w:pStyle w:val="NoSpacingIndent"/>
            </w:pPr>
            <w:r w:rsidRPr="00730DE4">
              <w:t>Receivables</w:t>
            </w:r>
          </w:p>
        </w:tc>
        <w:tc>
          <w:tcPr>
            <w:tcW w:w="398"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noWrap/>
            <w:vAlign w:val="bottom"/>
            <w:hideMark/>
          </w:tcPr>
          <w:p w14:paraId="0497164E" w14:textId="77777777" w:rsidR="00730DE4" w:rsidRPr="00730DE4" w:rsidRDefault="00730DE4" w:rsidP="009E5BA1">
            <w:pPr>
              <w:pStyle w:val="NoSpacing"/>
              <w:jc w:val="right"/>
            </w:pPr>
            <w:r w:rsidRPr="00730DE4">
              <w:t>12</w:t>
            </w:r>
          </w:p>
        </w:tc>
        <w:tc>
          <w:tcPr>
            <w:tcW w:w="845"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333F6A0E" w14:textId="77777777" w:rsidR="00730DE4" w:rsidRPr="00730DE4" w:rsidRDefault="00730DE4" w:rsidP="009E5BA1">
            <w:pPr>
              <w:pStyle w:val="NoSpacing"/>
              <w:jc w:val="right"/>
            </w:pPr>
            <w:r w:rsidRPr="00730DE4">
              <w:t xml:space="preserve">3,452 </w:t>
            </w:r>
          </w:p>
        </w:tc>
        <w:tc>
          <w:tcPr>
            <w:tcW w:w="845"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nil"/>
            </w:tcBorders>
            <w:shd w:val="clear" w:color="auto" w:fill="auto"/>
            <w:noWrap/>
            <w:vAlign w:val="bottom"/>
            <w:hideMark/>
          </w:tcPr>
          <w:p w14:paraId="22D46C03" w14:textId="77777777" w:rsidR="00730DE4" w:rsidRPr="00730DE4" w:rsidRDefault="00730DE4" w:rsidP="009E5BA1">
            <w:pPr>
              <w:pStyle w:val="NoSpacing"/>
              <w:jc w:val="right"/>
            </w:pPr>
            <w:r w:rsidRPr="00730DE4">
              <w:t xml:space="preserve">3,421 </w:t>
            </w:r>
          </w:p>
        </w:tc>
      </w:tr>
      <w:tr w:rsidR="00730DE4" w:rsidRPr="00730DE4" w14:paraId="160EB103" w14:textId="77777777" w:rsidTr="008A2F83">
        <w:tc>
          <w:tcPr>
            <w:tcW w:w="2912" w:type="pct"/>
            <w:tcBorders>
              <w:top w:val="dashSmallGap" w:sz="4" w:space="0" w:color="BFBFBF" w:themeColor="background1" w:themeShade="BF"/>
              <w:left w:val="nil"/>
              <w:bottom w:val="dashSmallGap" w:sz="4" w:space="0" w:color="BFBFBF" w:themeColor="background1" w:themeShade="BF"/>
              <w:right w:val="dashSmallGap" w:sz="4" w:space="0" w:color="BFBFBF" w:themeColor="background1" w:themeShade="BF"/>
            </w:tcBorders>
            <w:vAlign w:val="bottom"/>
          </w:tcPr>
          <w:p w14:paraId="240F1AF8" w14:textId="77777777" w:rsidR="00730DE4" w:rsidRPr="00730DE4" w:rsidRDefault="00730DE4" w:rsidP="00A1677B">
            <w:pPr>
              <w:pStyle w:val="NoSpacingIndent"/>
            </w:pPr>
            <w:r w:rsidRPr="00730DE4">
              <w:t>Prepayments</w:t>
            </w:r>
          </w:p>
        </w:tc>
        <w:tc>
          <w:tcPr>
            <w:tcW w:w="398"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noWrap/>
            <w:vAlign w:val="bottom"/>
            <w:hideMark/>
          </w:tcPr>
          <w:p w14:paraId="728A6419" w14:textId="77777777" w:rsidR="00730DE4" w:rsidRPr="00730DE4" w:rsidRDefault="00730DE4" w:rsidP="009E5BA1">
            <w:pPr>
              <w:pStyle w:val="NoSpacing"/>
              <w:jc w:val="right"/>
            </w:pPr>
            <w:r w:rsidRPr="00730DE4">
              <w:t>13</w:t>
            </w:r>
          </w:p>
        </w:tc>
        <w:tc>
          <w:tcPr>
            <w:tcW w:w="845"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422F0247" w14:textId="77777777" w:rsidR="00730DE4" w:rsidRPr="00730DE4" w:rsidRDefault="00730DE4" w:rsidP="009E5BA1">
            <w:pPr>
              <w:pStyle w:val="NoSpacing"/>
              <w:jc w:val="right"/>
            </w:pPr>
            <w:r w:rsidRPr="00730DE4">
              <w:t xml:space="preserve">75,086 </w:t>
            </w:r>
          </w:p>
        </w:tc>
        <w:tc>
          <w:tcPr>
            <w:tcW w:w="845"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nil"/>
            </w:tcBorders>
            <w:shd w:val="clear" w:color="auto" w:fill="auto"/>
            <w:noWrap/>
            <w:vAlign w:val="bottom"/>
            <w:hideMark/>
          </w:tcPr>
          <w:p w14:paraId="2077268D" w14:textId="77777777" w:rsidR="00730DE4" w:rsidRPr="00730DE4" w:rsidRDefault="00730DE4" w:rsidP="009E5BA1">
            <w:pPr>
              <w:pStyle w:val="NoSpacing"/>
              <w:jc w:val="right"/>
            </w:pPr>
            <w:r w:rsidRPr="00730DE4">
              <w:t xml:space="preserve">80,550 </w:t>
            </w:r>
          </w:p>
        </w:tc>
      </w:tr>
      <w:tr w:rsidR="00730DE4" w:rsidRPr="00730DE4" w14:paraId="1559F3DA" w14:textId="77777777" w:rsidTr="008A2F83">
        <w:tc>
          <w:tcPr>
            <w:tcW w:w="2912" w:type="pct"/>
            <w:tcBorders>
              <w:top w:val="dashSmallGap" w:sz="4" w:space="0" w:color="BFBFBF" w:themeColor="background1" w:themeShade="BF"/>
              <w:left w:val="nil"/>
              <w:bottom w:val="dashSmallGap" w:sz="4" w:space="0" w:color="BFBFBF" w:themeColor="background1" w:themeShade="BF"/>
              <w:right w:val="dashSmallGap" w:sz="4" w:space="0" w:color="BFBFBF" w:themeColor="background1" w:themeShade="BF"/>
            </w:tcBorders>
            <w:vAlign w:val="bottom"/>
          </w:tcPr>
          <w:p w14:paraId="4CA985FF" w14:textId="77777777" w:rsidR="00730DE4" w:rsidRPr="00730DE4" w:rsidRDefault="00730DE4" w:rsidP="00A1677B">
            <w:pPr>
              <w:pStyle w:val="NoSpacingIndent"/>
            </w:pPr>
            <w:r w:rsidRPr="00730DE4">
              <w:t>Intangible assets</w:t>
            </w:r>
          </w:p>
        </w:tc>
        <w:tc>
          <w:tcPr>
            <w:tcW w:w="398"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noWrap/>
            <w:vAlign w:val="bottom"/>
            <w:hideMark/>
          </w:tcPr>
          <w:p w14:paraId="1E867389" w14:textId="77777777" w:rsidR="00730DE4" w:rsidRPr="00730DE4" w:rsidRDefault="00730DE4" w:rsidP="009E5BA1">
            <w:pPr>
              <w:pStyle w:val="NoSpacing"/>
              <w:jc w:val="right"/>
            </w:pPr>
            <w:r w:rsidRPr="00730DE4">
              <w:t>14</w:t>
            </w:r>
          </w:p>
        </w:tc>
        <w:tc>
          <w:tcPr>
            <w:tcW w:w="845"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270B17D4" w14:textId="77777777" w:rsidR="00730DE4" w:rsidRPr="00730DE4" w:rsidRDefault="00730DE4" w:rsidP="009E5BA1">
            <w:pPr>
              <w:pStyle w:val="NoSpacing"/>
              <w:jc w:val="right"/>
            </w:pPr>
            <w:r w:rsidRPr="00730DE4">
              <w:t xml:space="preserve">57,901 </w:t>
            </w:r>
          </w:p>
        </w:tc>
        <w:tc>
          <w:tcPr>
            <w:tcW w:w="845"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nil"/>
            </w:tcBorders>
            <w:shd w:val="clear" w:color="auto" w:fill="auto"/>
            <w:noWrap/>
            <w:vAlign w:val="bottom"/>
            <w:hideMark/>
          </w:tcPr>
          <w:p w14:paraId="6F9DD74F" w14:textId="77777777" w:rsidR="00730DE4" w:rsidRPr="00730DE4" w:rsidRDefault="00730DE4" w:rsidP="009E5BA1">
            <w:pPr>
              <w:pStyle w:val="NoSpacing"/>
              <w:jc w:val="right"/>
            </w:pPr>
            <w:r w:rsidRPr="00730DE4">
              <w:t xml:space="preserve">69,214 </w:t>
            </w:r>
          </w:p>
        </w:tc>
      </w:tr>
      <w:tr w:rsidR="00730DE4" w:rsidRPr="00730DE4" w14:paraId="224C2EF3" w14:textId="77777777" w:rsidTr="008A2F83">
        <w:tc>
          <w:tcPr>
            <w:tcW w:w="2912" w:type="pct"/>
            <w:tcBorders>
              <w:top w:val="dashSmallGap" w:sz="4" w:space="0" w:color="BFBFBF" w:themeColor="background1" w:themeShade="BF"/>
              <w:left w:val="nil"/>
              <w:bottom w:val="dashSmallGap" w:sz="4" w:space="0" w:color="BFBFBF" w:themeColor="background1" w:themeShade="BF"/>
              <w:right w:val="dashSmallGap" w:sz="4" w:space="0" w:color="BFBFBF" w:themeColor="background1" w:themeShade="BF"/>
            </w:tcBorders>
            <w:vAlign w:val="bottom"/>
          </w:tcPr>
          <w:p w14:paraId="36ECB94E" w14:textId="77777777" w:rsidR="00730DE4" w:rsidRPr="00730DE4" w:rsidRDefault="00730DE4" w:rsidP="00A1677B">
            <w:pPr>
              <w:pStyle w:val="NoSpacingIndent"/>
            </w:pPr>
            <w:r w:rsidRPr="00730DE4">
              <w:t>Property, plant and equipment</w:t>
            </w:r>
          </w:p>
        </w:tc>
        <w:tc>
          <w:tcPr>
            <w:tcW w:w="398"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noWrap/>
            <w:vAlign w:val="bottom"/>
            <w:hideMark/>
          </w:tcPr>
          <w:p w14:paraId="328DA746" w14:textId="77777777" w:rsidR="00730DE4" w:rsidRPr="00730DE4" w:rsidRDefault="00730DE4" w:rsidP="009E5BA1">
            <w:pPr>
              <w:pStyle w:val="NoSpacing"/>
              <w:jc w:val="right"/>
            </w:pPr>
            <w:r w:rsidRPr="00730DE4">
              <w:t>15</w:t>
            </w:r>
          </w:p>
        </w:tc>
        <w:tc>
          <w:tcPr>
            <w:tcW w:w="845"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7F56FC45" w14:textId="77777777" w:rsidR="00730DE4" w:rsidRPr="00730DE4" w:rsidRDefault="00730DE4" w:rsidP="009E5BA1">
            <w:pPr>
              <w:pStyle w:val="NoSpacing"/>
              <w:jc w:val="right"/>
            </w:pPr>
            <w:r w:rsidRPr="00730DE4">
              <w:t xml:space="preserve">109,819,852 </w:t>
            </w:r>
          </w:p>
        </w:tc>
        <w:tc>
          <w:tcPr>
            <w:tcW w:w="845"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nil"/>
            </w:tcBorders>
            <w:shd w:val="clear" w:color="auto" w:fill="auto"/>
            <w:noWrap/>
            <w:vAlign w:val="bottom"/>
            <w:hideMark/>
          </w:tcPr>
          <w:p w14:paraId="4718ED16" w14:textId="77777777" w:rsidR="00730DE4" w:rsidRPr="00730DE4" w:rsidRDefault="00730DE4" w:rsidP="009E5BA1">
            <w:pPr>
              <w:pStyle w:val="NoSpacing"/>
              <w:jc w:val="right"/>
            </w:pPr>
            <w:r w:rsidRPr="00730DE4">
              <w:t xml:space="preserve">104,496,070 </w:t>
            </w:r>
          </w:p>
        </w:tc>
      </w:tr>
      <w:tr w:rsidR="00730DE4" w:rsidRPr="00730DE4" w14:paraId="712D2407" w14:textId="77777777" w:rsidTr="008A2F83">
        <w:tc>
          <w:tcPr>
            <w:tcW w:w="2912" w:type="pct"/>
            <w:tcBorders>
              <w:top w:val="dashSmallGap" w:sz="4" w:space="0" w:color="BFBFBF" w:themeColor="background1" w:themeShade="BF"/>
              <w:left w:val="nil"/>
              <w:bottom w:val="dashSmallGap" w:sz="4" w:space="0" w:color="BFBFBF" w:themeColor="background1" w:themeShade="BF"/>
              <w:right w:val="dashSmallGap" w:sz="4" w:space="0" w:color="BFBFBF" w:themeColor="background1" w:themeShade="BF"/>
            </w:tcBorders>
            <w:vAlign w:val="bottom"/>
          </w:tcPr>
          <w:p w14:paraId="5FB1DE77" w14:textId="77777777" w:rsidR="00730DE4" w:rsidRPr="00730DE4" w:rsidRDefault="00730DE4" w:rsidP="00A1677B">
            <w:pPr>
              <w:pStyle w:val="NoSpacingIndent"/>
            </w:pPr>
            <w:r w:rsidRPr="00730DE4">
              <w:t>Service concession assets</w:t>
            </w:r>
          </w:p>
        </w:tc>
        <w:tc>
          <w:tcPr>
            <w:tcW w:w="398"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noWrap/>
            <w:vAlign w:val="bottom"/>
            <w:hideMark/>
          </w:tcPr>
          <w:p w14:paraId="45B0724B" w14:textId="77777777" w:rsidR="00730DE4" w:rsidRPr="00730DE4" w:rsidRDefault="00730DE4" w:rsidP="009E5BA1">
            <w:pPr>
              <w:pStyle w:val="NoSpacing"/>
              <w:jc w:val="right"/>
            </w:pPr>
            <w:r w:rsidRPr="00730DE4">
              <w:t>16</w:t>
            </w:r>
          </w:p>
        </w:tc>
        <w:tc>
          <w:tcPr>
            <w:tcW w:w="845"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1D1D72C7" w14:textId="77777777" w:rsidR="00730DE4" w:rsidRPr="00730DE4" w:rsidRDefault="00730DE4" w:rsidP="009E5BA1">
            <w:pPr>
              <w:pStyle w:val="NoSpacing"/>
              <w:jc w:val="right"/>
            </w:pPr>
            <w:r w:rsidRPr="00730DE4">
              <w:t xml:space="preserve">15,077,913 </w:t>
            </w:r>
          </w:p>
        </w:tc>
        <w:tc>
          <w:tcPr>
            <w:tcW w:w="845"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nil"/>
            </w:tcBorders>
            <w:shd w:val="clear" w:color="auto" w:fill="auto"/>
            <w:noWrap/>
            <w:vAlign w:val="bottom"/>
            <w:hideMark/>
          </w:tcPr>
          <w:p w14:paraId="0DC8F35E" w14:textId="77777777" w:rsidR="00730DE4" w:rsidRPr="00730DE4" w:rsidRDefault="00730DE4" w:rsidP="009E5BA1">
            <w:pPr>
              <w:pStyle w:val="NoSpacing"/>
              <w:jc w:val="right"/>
            </w:pPr>
            <w:r w:rsidRPr="00730DE4">
              <w:t xml:space="preserve">14,097,645 </w:t>
            </w:r>
          </w:p>
        </w:tc>
      </w:tr>
      <w:tr w:rsidR="00730DE4" w:rsidRPr="00730DE4" w14:paraId="5A1243FD" w14:textId="77777777" w:rsidTr="008A2F83">
        <w:tc>
          <w:tcPr>
            <w:tcW w:w="2912" w:type="pct"/>
            <w:tcBorders>
              <w:top w:val="dashSmallGap" w:sz="4" w:space="0" w:color="BFBFBF" w:themeColor="background1" w:themeShade="BF"/>
              <w:left w:val="nil"/>
              <w:bottom w:val="dashSmallGap" w:sz="4" w:space="0" w:color="BFBFBF" w:themeColor="background1" w:themeShade="BF"/>
              <w:right w:val="dashSmallGap" w:sz="4" w:space="0" w:color="BFBFBF" w:themeColor="background1" w:themeShade="BF"/>
            </w:tcBorders>
            <w:vAlign w:val="bottom"/>
          </w:tcPr>
          <w:p w14:paraId="6BCC1A4D" w14:textId="77777777" w:rsidR="00730DE4" w:rsidRPr="00730DE4" w:rsidRDefault="00730DE4" w:rsidP="00A1677B">
            <w:pPr>
              <w:pStyle w:val="NoSpacingIndent"/>
            </w:pPr>
            <w:r w:rsidRPr="00730DE4">
              <w:t>Deferred tax assets</w:t>
            </w:r>
          </w:p>
        </w:tc>
        <w:tc>
          <w:tcPr>
            <w:tcW w:w="398"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noWrap/>
            <w:vAlign w:val="bottom"/>
            <w:hideMark/>
          </w:tcPr>
          <w:p w14:paraId="1019DC42" w14:textId="77777777" w:rsidR="00730DE4" w:rsidRPr="00730DE4" w:rsidRDefault="00730DE4" w:rsidP="009E5BA1">
            <w:pPr>
              <w:pStyle w:val="NoSpacing"/>
              <w:jc w:val="right"/>
            </w:pPr>
            <w:r w:rsidRPr="00730DE4">
              <w:t>23</w:t>
            </w:r>
          </w:p>
        </w:tc>
        <w:tc>
          <w:tcPr>
            <w:tcW w:w="845"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4B239330" w14:textId="77777777" w:rsidR="00730DE4" w:rsidRPr="00730DE4" w:rsidRDefault="00730DE4" w:rsidP="009E5BA1">
            <w:pPr>
              <w:pStyle w:val="NoSpacing"/>
              <w:jc w:val="right"/>
            </w:pPr>
            <w:r w:rsidRPr="00730DE4">
              <w:t xml:space="preserve">3,769 </w:t>
            </w:r>
          </w:p>
        </w:tc>
        <w:tc>
          <w:tcPr>
            <w:tcW w:w="845"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nil"/>
            </w:tcBorders>
            <w:shd w:val="clear" w:color="auto" w:fill="auto"/>
            <w:noWrap/>
            <w:vAlign w:val="bottom"/>
            <w:hideMark/>
          </w:tcPr>
          <w:p w14:paraId="2ED26FA8" w14:textId="77777777" w:rsidR="00730DE4" w:rsidRPr="00730DE4" w:rsidRDefault="00730DE4" w:rsidP="009E5BA1">
            <w:pPr>
              <w:pStyle w:val="NoSpacing"/>
              <w:jc w:val="right"/>
            </w:pPr>
            <w:r w:rsidRPr="00730DE4">
              <w:t xml:space="preserve">3,001 </w:t>
            </w:r>
          </w:p>
        </w:tc>
      </w:tr>
      <w:tr w:rsidR="00730DE4" w:rsidRPr="00730DE4" w14:paraId="5A469BC6" w14:textId="77777777" w:rsidTr="00800A48">
        <w:tc>
          <w:tcPr>
            <w:tcW w:w="2912" w:type="pct"/>
            <w:tcBorders>
              <w:top w:val="dashSmallGap" w:sz="4" w:space="0" w:color="BFBFBF" w:themeColor="background1" w:themeShade="BF"/>
              <w:left w:val="nil"/>
              <w:bottom w:val="dashSmallGap" w:sz="4" w:space="0" w:color="BFBFBF" w:themeColor="background1" w:themeShade="BF"/>
              <w:right w:val="dashSmallGap" w:sz="4" w:space="0" w:color="BFBFBF" w:themeColor="background1" w:themeShade="BF"/>
            </w:tcBorders>
            <w:vAlign w:val="bottom"/>
          </w:tcPr>
          <w:p w14:paraId="09C73773" w14:textId="77777777" w:rsidR="00730DE4" w:rsidRPr="00730DE4" w:rsidRDefault="00730DE4" w:rsidP="00A1677B">
            <w:pPr>
              <w:pStyle w:val="NoSpacingIndent"/>
            </w:pPr>
            <w:r w:rsidRPr="00730DE4">
              <w:t>Right-of-use assets</w:t>
            </w:r>
          </w:p>
        </w:tc>
        <w:tc>
          <w:tcPr>
            <w:tcW w:w="398"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noWrap/>
            <w:vAlign w:val="bottom"/>
            <w:hideMark/>
          </w:tcPr>
          <w:p w14:paraId="3AA6F7E4" w14:textId="77777777" w:rsidR="00730DE4" w:rsidRPr="00730DE4" w:rsidRDefault="00730DE4" w:rsidP="009E5BA1">
            <w:pPr>
              <w:pStyle w:val="NoSpacing"/>
              <w:jc w:val="right"/>
            </w:pPr>
            <w:r w:rsidRPr="00730DE4">
              <w:t>17</w:t>
            </w:r>
          </w:p>
        </w:tc>
        <w:tc>
          <w:tcPr>
            <w:tcW w:w="845"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3280B9C0" w14:textId="77777777" w:rsidR="00730DE4" w:rsidRPr="00730DE4" w:rsidRDefault="00730DE4" w:rsidP="009E5BA1">
            <w:pPr>
              <w:pStyle w:val="NoSpacing"/>
              <w:jc w:val="right"/>
            </w:pPr>
            <w:r w:rsidRPr="00730DE4">
              <w:t xml:space="preserve">83,341 </w:t>
            </w:r>
          </w:p>
        </w:tc>
        <w:tc>
          <w:tcPr>
            <w:tcW w:w="845"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nil"/>
            </w:tcBorders>
            <w:shd w:val="clear" w:color="auto" w:fill="auto"/>
            <w:noWrap/>
            <w:vAlign w:val="bottom"/>
            <w:hideMark/>
          </w:tcPr>
          <w:p w14:paraId="0F62BF03" w14:textId="77777777" w:rsidR="00730DE4" w:rsidRPr="00730DE4" w:rsidRDefault="00730DE4" w:rsidP="009E5BA1">
            <w:pPr>
              <w:pStyle w:val="NoSpacing"/>
              <w:jc w:val="right"/>
            </w:pPr>
            <w:r w:rsidRPr="00730DE4">
              <w:t xml:space="preserve">98,871 </w:t>
            </w:r>
          </w:p>
        </w:tc>
      </w:tr>
      <w:tr w:rsidR="00730DE4" w:rsidRPr="00730DE4" w14:paraId="48522E61" w14:textId="77777777" w:rsidTr="00800A48">
        <w:tc>
          <w:tcPr>
            <w:tcW w:w="2912" w:type="pct"/>
            <w:tcBorders>
              <w:top w:val="dashSmallGap" w:sz="4" w:space="0" w:color="BFBFBF" w:themeColor="background1" w:themeShade="BF"/>
              <w:left w:val="nil"/>
              <w:bottom w:val="single" w:sz="4" w:space="0" w:color="auto"/>
              <w:right w:val="dashSmallGap" w:sz="4" w:space="0" w:color="BFBFBF" w:themeColor="background1" w:themeShade="BF"/>
            </w:tcBorders>
            <w:vAlign w:val="bottom"/>
          </w:tcPr>
          <w:p w14:paraId="61D2D1EB" w14:textId="77777777" w:rsidR="00730DE4" w:rsidRPr="00730DE4" w:rsidRDefault="00730DE4" w:rsidP="00A1677B">
            <w:pPr>
              <w:pStyle w:val="NoSpacingIndent"/>
            </w:pPr>
            <w:r w:rsidRPr="00730DE4">
              <w:t>Investment in subsidiary</w:t>
            </w:r>
          </w:p>
        </w:tc>
        <w:tc>
          <w:tcPr>
            <w:tcW w:w="398" w:type="pct"/>
            <w:tcBorders>
              <w:top w:val="dashSmallGap" w:sz="4" w:space="0" w:color="BFBFBF" w:themeColor="background1" w:themeShade="BF"/>
              <w:left w:val="dashSmallGap" w:sz="4" w:space="0" w:color="BFBFBF" w:themeColor="background1" w:themeShade="BF"/>
              <w:bottom w:val="single" w:sz="4" w:space="0" w:color="auto"/>
              <w:right w:val="dashSmallGap" w:sz="4" w:space="0" w:color="BFBFBF" w:themeColor="background1" w:themeShade="BF"/>
            </w:tcBorders>
            <w:shd w:val="clear" w:color="auto" w:fill="auto"/>
            <w:noWrap/>
            <w:vAlign w:val="bottom"/>
            <w:hideMark/>
          </w:tcPr>
          <w:p w14:paraId="6FCC2026" w14:textId="77777777" w:rsidR="00730DE4" w:rsidRPr="00730DE4" w:rsidRDefault="00730DE4" w:rsidP="009E5BA1">
            <w:pPr>
              <w:pStyle w:val="NoSpacing"/>
              <w:jc w:val="right"/>
            </w:pPr>
            <w:r w:rsidRPr="00730DE4">
              <w:t>26</w:t>
            </w:r>
          </w:p>
        </w:tc>
        <w:tc>
          <w:tcPr>
            <w:tcW w:w="845" w:type="pct"/>
            <w:tcBorders>
              <w:top w:val="dashSmallGap" w:sz="4" w:space="0" w:color="BFBFBF" w:themeColor="background1" w:themeShade="BF"/>
              <w:left w:val="dashSmallGap" w:sz="4" w:space="0" w:color="BFBFBF" w:themeColor="background1" w:themeShade="BF"/>
              <w:bottom w:val="single" w:sz="4" w:space="0" w:color="auto"/>
              <w:right w:val="dashSmallGap" w:sz="4" w:space="0" w:color="BFBFBF" w:themeColor="background1" w:themeShade="BF"/>
            </w:tcBorders>
            <w:shd w:val="clear" w:color="auto" w:fill="F2F2F2" w:themeFill="background1" w:themeFillShade="F2"/>
            <w:noWrap/>
            <w:vAlign w:val="bottom"/>
            <w:hideMark/>
          </w:tcPr>
          <w:p w14:paraId="04FA54B5" w14:textId="77777777" w:rsidR="00730DE4" w:rsidRPr="00730DE4" w:rsidRDefault="00730DE4" w:rsidP="009E5BA1">
            <w:pPr>
              <w:pStyle w:val="NoSpacing"/>
              <w:jc w:val="right"/>
            </w:pPr>
            <w:r w:rsidRPr="00730DE4">
              <w:t xml:space="preserve">34,027 </w:t>
            </w:r>
          </w:p>
        </w:tc>
        <w:tc>
          <w:tcPr>
            <w:tcW w:w="845" w:type="pct"/>
            <w:tcBorders>
              <w:top w:val="dashSmallGap" w:sz="4" w:space="0" w:color="BFBFBF" w:themeColor="background1" w:themeShade="BF"/>
              <w:left w:val="dashSmallGap" w:sz="4" w:space="0" w:color="BFBFBF" w:themeColor="background1" w:themeShade="BF"/>
              <w:bottom w:val="single" w:sz="4" w:space="0" w:color="auto"/>
              <w:right w:val="nil"/>
            </w:tcBorders>
            <w:shd w:val="clear" w:color="auto" w:fill="auto"/>
            <w:noWrap/>
            <w:vAlign w:val="bottom"/>
            <w:hideMark/>
          </w:tcPr>
          <w:p w14:paraId="129063D2" w14:textId="77777777" w:rsidR="00730DE4" w:rsidRPr="00730DE4" w:rsidRDefault="00730DE4" w:rsidP="009E5BA1">
            <w:pPr>
              <w:pStyle w:val="NoSpacing"/>
              <w:jc w:val="right"/>
            </w:pPr>
            <w:r w:rsidRPr="00730DE4">
              <w:t xml:space="preserve">15,601 </w:t>
            </w:r>
          </w:p>
        </w:tc>
      </w:tr>
      <w:tr w:rsidR="00730DE4" w:rsidRPr="00730DE4" w14:paraId="5E1096F4" w14:textId="77777777" w:rsidTr="009057A0">
        <w:tc>
          <w:tcPr>
            <w:tcW w:w="2912" w:type="pct"/>
            <w:tcBorders>
              <w:top w:val="single" w:sz="4" w:space="0" w:color="auto"/>
              <w:left w:val="nil"/>
              <w:right w:val="dashSmallGap" w:sz="4" w:space="0" w:color="BFBFBF" w:themeColor="background1" w:themeShade="BF"/>
            </w:tcBorders>
          </w:tcPr>
          <w:p w14:paraId="13CA16D5" w14:textId="77777777" w:rsidR="00730DE4" w:rsidRPr="00730DE4" w:rsidRDefault="00730DE4" w:rsidP="009F6677">
            <w:pPr>
              <w:pStyle w:val="NoSpacingIndent"/>
              <w:rPr>
                <w:rStyle w:val="Strong"/>
              </w:rPr>
            </w:pPr>
            <w:r w:rsidRPr="00730DE4">
              <w:rPr>
                <w:rStyle w:val="Strong"/>
              </w:rPr>
              <w:t>Total non-current assets</w:t>
            </w:r>
          </w:p>
        </w:tc>
        <w:tc>
          <w:tcPr>
            <w:tcW w:w="398" w:type="pct"/>
            <w:tcBorders>
              <w:top w:val="single" w:sz="4" w:space="0" w:color="auto"/>
              <w:left w:val="dashSmallGap" w:sz="4" w:space="0" w:color="BFBFBF" w:themeColor="background1" w:themeShade="BF"/>
              <w:right w:val="dashSmallGap" w:sz="4" w:space="0" w:color="BFBFBF" w:themeColor="background1" w:themeShade="BF"/>
            </w:tcBorders>
            <w:shd w:val="clear" w:color="auto" w:fill="auto"/>
            <w:noWrap/>
            <w:hideMark/>
          </w:tcPr>
          <w:p w14:paraId="4ADAA9D1" w14:textId="77777777" w:rsidR="00730DE4" w:rsidRPr="00730DE4" w:rsidRDefault="00730DE4" w:rsidP="009F6677">
            <w:pPr>
              <w:pStyle w:val="NoSpacing"/>
              <w:jc w:val="right"/>
              <w:rPr>
                <w:rStyle w:val="Strong"/>
              </w:rPr>
            </w:pPr>
            <w:r w:rsidRPr="00730DE4">
              <w:rPr>
                <w:rStyle w:val="Strong"/>
              </w:rPr>
              <w:t> </w:t>
            </w:r>
          </w:p>
        </w:tc>
        <w:tc>
          <w:tcPr>
            <w:tcW w:w="845" w:type="pct"/>
            <w:tcBorders>
              <w:top w:val="single" w:sz="4" w:space="0" w:color="auto"/>
              <w:left w:val="dashSmallGap" w:sz="4" w:space="0" w:color="BFBFBF" w:themeColor="background1" w:themeShade="BF"/>
              <w:right w:val="dashSmallGap" w:sz="4" w:space="0" w:color="BFBFBF" w:themeColor="background1" w:themeShade="BF"/>
            </w:tcBorders>
            <w:shd w:val="clear" w:color="auto" w:fill="F2F2F2" w:themeFill="background1" w:themeFillShade="F2"/>
            <w:noWrap/>
            <w:hideMark/>
          </w:tcPr>
          <w:p w14:paraId="41B198DB" w14:textId="77777777" w:rsidR="00730DE4" w:rsidRPr="00730DE4" w:rsidRDefault="00730DE4" w:rsidP="009F6677">
            <w:pPr>
              <w:pStyle w:val="NoSpacing"/>
              <w:jc w:val="right"/>
              <w:rPr>
                <w:rStyle w:val="Strong"/>
              </w:rPr>
            </w:pPr>
            <w:r w:rsidRPr="00730DE4">
              <w:rPr>
                <w:rStyle w:val="Strong"/>
              </w:rPr>
              <w:t xml:space="preserve">125,155,341 </w:t>
            </w:r>
          </w:p>
        </w:tc>
        <w:tc>
          <w:tcPr>
            <w:tcW w:w="845" w:type="pct"/>
            <w:tcBorders>
              <w:top w:val="single" w:sz="4" w:space="0" w:color="auto"/>
              <w:left w:val="dashSmallGap" w:sz="4" w:space="0" w:color="BFBFBF" w:themeColor="background1" w:themeShade="BF"/>
              <w:right w:val="nil"/>
            </w:tcBorders>
            <w:shd w:val="clear" w:color="auto" w:fill="auto"/>
            <w:noWrap/>
            <w:hideMark/>
          </w:tcPr>
          <w:p w14:paraId="5541F2E8" w14:textId="77777777" w:rsidR="00730DE4" w:rsidRPr="00730DE4" w:rsidRDefault="00730DE4" w:rsidP="009F6677">
            <w:pPr>
              <w:pStyle w:val="NoSpacing"/>
              <w:jc w:val="right"/>
              <w:rPr>
                <w:rStyle w:val="Strong"/>
              </w:rPr>
            </w:pPr>
            <w:r w:rsidRPr="00730DE4">
              <w:rPr>
                <w:rStyle w:val="Strong"/>
              </w:rPr>
              <w:t xml:space="preserve">118,864,373 </w:t>
            </w:r>
          </w:p>
        </w:tc>
      </w:tr>
      <w:tr w:rsidR="00730DE4" w:rsidRPr="00730DE4" w14:paraId="79CA7D2D" w14:textId="77777777" w:rsidTr="00800A48">
        <w:trPr>
          <w:trHeight w:val="454"/>
        </w:trPr>
        <w:tc>
          <w:tcPr>
            <w:tcW w:w="2912" w:type="pct"/>
            <w:tcBorders>
              <w:left w:val="nil"/>
              <w:bottom w:val="single" w:sz="4" w:space="0" w:color="auto"/>
              <w:right w:val="dashSmallGap" w:sz="4" w:space="0" w:color="BFBFBF" w:themeColor="background1" w:themeShade="BF"/>
            </w:tcBorders>
            <w:vAlign w:val="bottom"/>
          </w:tcPr>
          <w:p w14:paraId="3D7C0554" w14:textId="77777777" w:rsidR="00730DE4" w:rsidRPr="00730DE4" w:rsidRDefault="00730DE4" w:rsidP="00800A48">
            <w:pPr>
              <w:pStyle w:val="NoSpacing"/>
              <w:rPr>
                <w:rStyle w:val="Strong"/>
              </w:rPr>
            </w:pPr>
            <w:r w:rsidRPr="00730DE4">
              <w:rPr>
                <w:rStyle w:val="Strong"/>
              </w:rPr>
              <w:t>Total assets</w:t>
            </w:r>
          </w:p>
        </w:tc>
        <w:tc>
          <w:tcPr>
            <w:tcW w:w="398" w:type="pct"/>
            <w:tcBorders>
              <w:left w:val="dashSmallGap" w:sz="4" w:space="0" w:color="BFBFBF" w:themeColor="background1" w:themeShade="BF"/>
              <w:bottom w:val="single" w:sz="4" w:space="0" w:color="auto"/>
              <w:right w:val="dashSmallGap" w:sz="4" w:space="0" w:color="BFBFBF" w:themeColor="background1" w:themeShade="BF"/>
            </w:tcBorders>
            <w:shd w:val="clear" w:color="auto" w:fill="auto"/>
            <w:noWrap/>
            <w:vAlign w:val="bottom"/>
            <w:hideMark/>
          </w:tcPr>
          <w:p w14:paraId="59E53690" w14:textId="77777777" w:rsidR="00730DE4" w:rsidRPr="00730DE4" w:rsidRDefault="00730DE4" w:rsidP="00800A48">
            <w:pPr>
              <w:pStyle w:val="NoSpacing"/>
              <w:jc w:val="right"/>
              <w:rPr>
                <w:rStyle w:val="Strong"/>
              </w:rPr>
            </w:pPr>
            <w:r w:rsidRPr="00730DE4">
              <w:rPr>
                <w:rStyle w:val="Strong"/>
              </w:rPr>
              <w:t> </w:t>
            </w:r>
          </w:p>
        </w:tc>
        <w:tc>
          <w:tcPr>
            <w:tcW w:w="845" w:type="pct"/>
            <w:tcBorders>
              <w:left w:val="dashSmallGap" w:sz="4" w:space="0" w:color="BFBFBF" w:themeColor="background1" w:themeShade="BF"/>
              <w:bottom w:val="single" w:sz="4" w:space="0" w:color="auto"/>
              <w:right w:val="dashSmallGap" w:sz="4" w:space="0" w:color="BFBFBF" w:themeColor="background1" w:themeShade="BF"/>
            </w:tcBorders>
            <w:shd w:val="clear" w:color="auto" w:fill="F2F2F2" w:themeFill="background1" w:themeFillShade="F2"/>
            <w:noWrap/>
            <w:vAlign w:val="bottom"/>
            <w:hideMark/>
          </w:tcPr>
          <w:p w14:paraId="496B245A" w14:textId="77777777" w:rsidR="00730DE4" w:rsidRPr="00730DE4" w:rsidRDefault="00730DE4" w:rsidP="00800A48">
            <w:pPr>
              <w:pStyle w:val="NoSpacing"/>
              <w:jc w:val="right"/>
              <w:rPr>
                <w:rStyle w:val="Strong"/>
              </w:rPr>
            </w:pPr>
            <w:r w:rsidRPr="00730DE4">
              <w:rPr>
                <w:rStyle w:val="Strong"/>
              </w:rPr>
              <w:t xml:space="preserve">126,137,870 </w:t>
            </w:r>
          </w:p>
        </w:tc>
        <w:tc>
          <w:tcPr>
            <w:tcW w:w="845" w:type="pct"/>
            <w:tcBorders>
              <w:left w:val="dashSmallGap" w:sz="4" w:space="0" w:color="BFBFBF" w:themeColor="background1" w:themeShade="BF"/>
              <w:bottom w:val="single" w:sz="4" w:space="0" w:color="auto"/>
              <w:right w:val="nil"/>
            </w:tcBorders>
            <w:shd w:val="clear" w:color="auto" w:fill="auto"/>
            <w:noWrap/>
            <w:vAlign w:val="bottom"/>
            <w:hideMark/>
          </w:tcPr>
          <w:p w14:paraId="2E5E7C12" w14:textId="77777777" w:rsidR="00730DE4" w:rsidRPr="00730DE4" w:rsidRDefault="00730DE4" w:rsidP="00800A48">
            <w:pPr>
              <w:pStyle w:val="NoSpacing"/>
              <w:jc w:val="right"/>
              <w:rPr>
                <w:rStyle w:val="Strong"/>
              </w:rPr>
            </w:pPr>
            <w:r w:rsidRPr="00730DE4">
              <w:rPr>
                <w:rStyle w:val="Strong"/>
              </w:rPr>
              <w:t xml:space="preserve">119,917,902 </w:t>
            </w:r>
          </w:p>
        </w:tc>
      </w:tr>
      <w:tr w:rsidR="00730DE4" w:rsidRPr="00730DE4" w14:paraId="730BB40B" w14:textId="77777777" w:rsidTr="001B3636">
        <w:trPr>
          <w:trHeight w:val="454"/>
        </w:trPr>
        <w:tc>
          <w:tcPr>
            <w:tcW w:w="2912"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vAlign w:val="bottom"/>
          </w:tcPr>
          <w:p w14:paraId="683121DA" w14:textId="77777777" w:rsidR="00730DE4" w:rsidRPr="00730DE4" w:rsidRDefault="00730DE4" w:rsidP="009E5BA1">
            <w:pPr>
              <w:pStyle w:val="NoSpacing"/>
              <w:rPr>
                <w:rStyle w:val="Strong"/>
              </w:rPr>
            </w:pPr>
            <w:r w:rsidRPr="00730DE4">
              <w:rPr>
                <w:rStyle w:val="Strong"/>
              </w:rPr>
              <w:t>Liabilities</w:t>
            </w:r>
          </w:p>
        </w:tc>
        <w:tc>
          <w:tcPr>
            <w:tcW w:w="39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FECA7CC" w14:textId="77777777" w:rsidR="00730DE4" w:rsidRPr="00730DE4" w:rsidRDefault="00730DE4" w:rsidP="009E5BA1">
            <w:pPr>
              <w:pStyle w:val="NoSpacing"/>
              <w:jc w:val="right"/>
              <w:rPr>
                <w:rStyle w:val="Strong"/>
              </w:rPr>
            </w:pPr>
            <w:r w:rsidRPr="00730DE4">
              <w:rPr>
                <w:rStyle w:val="Strong"/>
              </w:rPr>
              <w:t> </w:t>
            </w:r>
          </w:p>
        </w:tc>
        <w:tc>
          <w:tcPr>
            <w:tcW w:w="845"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4EE23C2" w14:textId="77777777" w:rsidR="00730DE4" w:rsidRPr="00730DE4" w:rsidRDefault="00730DE4" w:rsidP="009E5BA1">
            <w:pPr>
              <w:pStyle w:val="NoSpacing"/>
              <w:jc w:val="right"/>
              <w:rPr>
                <w:rStyle w:val="Strong"/>
              </w:rPr>
            </w:pPr>
            <w:r w:rsidRPr="00730DE4">
              <w:rPr>
                <w:rStyle w:val="Strong"/>
              </w:rPr>
              <w:t> </w:t>
            </w:r>
          </w:p>
        </w:tc>
        <w:tc>
          <w:tcPr>
            <w:tcW w:w="845"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EDEC3D5" w14:textId="77777777" w:rsidR="00730DE4" w:rsidRPr="00730DE4" w:rsidRDefault="00730DE4" w:rsidP="009E5BA1">
            <w:pPr>
              <w:pStyle w:val="NoSpacing"/>
              <w:jc w:val="right"/>
              <w:rPr>
                <w:rStyle w:val="Strong"/>
              </w:rPr>
            </w:pPr>
          </w:p>
        </w:tc>
      </w:tr>
      <w:tr w:rsidR="00730DE4" w:rsidRPr="00730DE4" w14:paraId="44D8F8AB" w14:textId="77777777" w:rsidTr="001B3636">
        <w:tc>
          <w:tcPr>
            <w:tcW w:w="291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2306F8F8" w14:textId="77777777" w:rsidR="00730DE4" w:rsidRPr="00730DE4" w:rsidRDefault="00730DE4" w:rsidP="00F86061">
            <w:pPr>
              <w:pStyle w:val="NoSpacing"/>
              <w:rPr>
                <w:rStyle w:val="Strong"/>
              </w:rPr>
            </w:pPr>
            <w:r w:rsidRPr="00730DE4">
              <w:rPr>
                <w:rStyle w:val="Strong"/>
              </w:rPr>
              <w:t>Current liabilities</w:t>
            </w:r>
          </w:p>
        </w:tc>
        <w:tc>
          <w:tcPr>
            <w:tcW w:w="39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5D89F605" w14:textId="77777777" w:rsidR="00730DE4" w:rsidRPr="00730DE4" w:rsidRDefault="00730DE4" w:rsidP="009E5BA1">
            <w:pPr>
              <w:pStyle w:val="NoSpacing"/>
              <w:jc w:val="right"/>
            </w:pPr>
          </w:p>
        </w:tc>
        <w:tc>
          <w:tcPr>
            <w:tcW w:w="84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10AFF2F0" w14:textId="77777777" w:rsidR="00730DE4" w:rsidRPr="00730DE4" w:rsidRDefault="00730DE4" w:rsidP="009E5BA1">
            <w:pPr>
              <w:pStyle w:val="NoSpacing"/>
              <w:jc w:val="right"/>
            </w:pPr>
          </w:p>
        </w:tc>
        <w:tc>
          <w:tcPr>
            <w:tcW w:w="845"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tcPr>
          <w:p w14:paraId="4907A1DA" w14:textId="77777777" w:rsidR="00730DE4" w:rsidRPr="00730DE4" w:rsidRDefault="00730DE4" w:rsidP="009E5BA1">
            <w:pPr>
              <w:pStyle w:val="NoSpacing"/>
              <w:jc w:val="right"/>
            </w:pPr>
          </w:p>
        </w:tc>
      </w:tr>
      <w:tr w:rsidR="00730DE4" w:rsidRPr="00730DE4" w14:paraId="48F3A7E7" w14:textId="77777777" w:rsidTr="008A2F83">
        <w:tc>
          <w:tcPr>
            <w:tcW w:w="291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vAlign w:val="bottom"/>
          </w:tcPr>
          <w:p w14:paraId="52C8951B" w14:textId="77777777" w:rsidR="00730DE4" w:rsidRPr="00730DE4" w:rsidRDefault="00730DE4" w:rsidP="00A1677B">
            <w:pPr>
              <w:pStyle w:val="NoSpacingIndent"/>
            </w:pPr>
            <w:r w:rsidRPr="00730DE4">
              <w:t>Payables</w:t>
            </w:r>
          </w:p>
        </w:tc>
        <w:tc>
          <w:tcPr>
            <w:tcW w:w="39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40D169B" w14:textId="77777777" w:rsidR="00730DE4" w:rsidRPr="00730DE4" w:rsidRDefault="00730DE4" w:rsidP="009E5BA1">
            <w:pPr>
              <w:pStyle w:val="NoSpacing"/>
              <w:jc w:val="right"/>
            </w:pPr>
            <w:r w:rsidRPr="00730DE4">
              <w:t>18</w:t>
            </w:r>
          </w:p>
        </w:tc>
        <w:tc>
          <w:tcPr>
            <w:tcW w:w="84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529246E" w14:textId="77777777" w:rsidR="00730DE4" w:rsidRPr="00730DE4" w:rsidRDefault="00730DE4" w:rsidP="009E5BA1">
            <w:pPr>
              <w:pStyle w:val="NoSpacing"/>
              <w:jc w:val="right"/>
            </w:pPr>
            <w:r w:rsidRPr="00730DE4">
              <w:t xml:space="preserve">899,177 </w:t>
            </w:r>
          </w:p>
        </w:tc>
        <w:tc>
          <w:tcPr>
            <w:tcW w:w="845"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6676E00" w14:textId="77777777" w:rsidR="00730DE4" w:rsidRPr="00730DE4" w:rsidRDefault="00730DE4" w:rsidP="009E5BA1">
            <w:pPr>
              <w:pStyle w:val="NoSpacing"/>
              <w:jc w:val="right"/>
            </w:pPr>
            <w:r w:rsidRPr="00730DE4">
              <w:t xml:space="preserve">942,274 </w:t>
            </w:r>
          </w:p>
        </w:tc>
      </w:tr>
      <w:tr w:rsidR="00730DE4" w:rsidRPr="00730DE4" w14:paraId="11EDF5EB" w14:textId="77777777" w:rsidTr="008A2F83">
        <w:tc>
          <w:tcPr>
            <w:tcW w:w="291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vAlign w:val="bottom"/>
          </w:tcPr>
          <w:p w14:paraId="467D21B5" w14:textId="77777777" w:rsidR="00730DE4" w:rsidRPr="00730DE4" w:rsidRDefault="00730DE4" w:rsidP="00A1677B">
            <w:pPr>
              <w:pStyle w:val="NoSpacingIndent"/>
            </w:pPr>
            <w:r w:rsidRPr="00730DE4">
              <w:t>Borrowings</w:t>
            </w:r>
          </w:p>
        </w:tc>
        <w:tc>
          <w:tcPr>
            <w:tcW w:w="39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982FFF5" w14:textId="77777777" w:rsidR="00730DE4" w:rsidRPr="00730DE4" w:rsidRDefault="00730DE4" w:rsidP="009E5BA1">
            <w:pPr>
              <w:pStyle w:val="NoSpacing"/>
              <w:jc w:val="right"/>
            </w:pPr>
            <w:r w:rsidRPr="00730DE4">
              <w:t>19</w:t>
            </w:r>
          </w:p>
        </w:tc>
        <w:tc>
          <w:tcPr>
            <w:tcW w:w="84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1A246BA" w14:textId="77777777" w:rsidR="00730DE4" w:rsidRPr="00730DE4" w:rsidRDefault="00730DE4" w:rsidP="009E5BA1">
            <w:pPr>
              <w:pStyle w:val="NoSpacing"/>
              <w:jc w:val="right"/>
            </w:pPr>
            <w:r w:rsidRPr="00730DE4">
              <w:t xml:space="preserve">48,548 </w:t>
            </w:r>
          </w:p>
        </w:tc>
        <w:tc>
          <w:tcPr>
            <w:tcW w:w="845"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980168E" w14:textId="77777777" w:rsidR="00730DE4" w:rsidRPr="00730DE4" w:rsidRDefault="00730DE4" w:rsidP="009E5BA1">
            <w:pPr>
              <w:pStyle w:val="NoSpacing"/>
              <w:jc w:val="right"/>
            </w:pPr>
            <w:r w:rsidRPr="00730DE4">
              <w:t xml:space="preserve">44,204 </w:t>
            </w:r>
          </w:p>
        </w:tc>
      </w:tr>
      <w:tr w:rsidR="00730DE4" w:rsidRPr="00730DE4" w14:paraId="1FF2B8A4" w14:textId="77777777" w:rsidTr="008A2F83">
        <w:tc>
          <w:tcPr>
            <w:tcW w:w="291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vAlign w:val="bottom"/>
          </w:tcPr>
          <w:p w14:paraId="70FFF1EA" w14:textId="77777777" w:rsidR="00730DE4" w:rsidRPr="00730DE4" w:rsidRDefault="00730DE4" w:rsidP="00A1677B">
            <w:pPr>
              <w:pStyle w:val="NoSpacingIndent"/>
            </w:pPr>
            <w:r w:rsidRPr="00730DE4">
              <w:t>Provisions</w:t>
            </w:r>
          </w:p>
        </w:tc>
        <w:tc>
          <w:tcPr>
            <w:tcW w:w="39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5F08B08" w14:textId="77777777" w:rsidR="00730DE4" w:rsidRPr="00730DE4" w:rsidRDefault="00730DE4" w:rsidP="009E5BA1">
            <w:pPr>
              <w:pStyle w:val="NoSpacing"/>
              <w:jc w:val="right"/>
            </w:pPr>
            <w:r w:rsidRPr="00730DE4">
              <w:t>20</w:t>
            </w:r>
          </w:p>
        </w:tc>
        <w:tc>
          <w:tcPr>
            <w:tcW w:w="84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8127079" w14:textId="77777777" w:rsidR="00730DE4" w:rsidRPr="00730DE4" w:rsidRDefault="00730DE4" w:rsidP="009E5BA1">
            <w:pPr>
              <w:pStyle w:val="NoSpacing"/>
              <w:jc w:val="right"/>
            </w:pPr>
            <w:r w:rsidRPr="00730DE4">
              <w:t xml:space="preserve">241,779 </w:t>
            </w:r>
          </w:p>
        </w:tc>
        <w:tc>
          <w:tcPr>
            <w:tcW w:w="845"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6719F23" w14:textId="77777777" w:rsidR="00730DE4" w:rsidRPr="00730DE4" w:rsidRDefault="00730DE4" w:rsidP="009E5BA1">
            <w:pPr>
              <w:pStyle w:val="NoSpacing"/>
              <w:jc w:val="right"/>
            </w:pPr>
            <w:r w:rsidRPr="00730DE4">
              <w:t xml:space="preserve">317,937 </w:t>
            </w:r>
          </w:p>
        </w:tc>
      </w:tr>
      <w:tr w:rsidR="00730DE4" w:rsidRPr="00730DE4" w14:paraId="48CBB510" w14:textId="77777777" w:rsidTr="008A2F83">
        <w:tc>
          <w:tcPr>
            <w:tcW w:w="291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vAlign w:val="bottom"/>
          </w:tcPr>
          <w:p w14:paraId="3DA22486" w14:textId="77777777" w:rsidR="00730DE4" w:rsidRPr="00730DE4" w:rsidRDefault="00730DE4" w:rsidP="00A1677B">
            <w:pPr>
              <w:pStyle w:val="NoSpacingIndent"/>
            </w:pPr>
            <w:r w:rsidRPr="00730DE4">
              <w:t>Accrued employee benefits</w:t>
            </w:r>
          </w:p>
        </w:tc>
        <w:tc>
          <w:tcPr>
            <w:tcW w:w="39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0600452" w14:textId="77777777" w:rsidR="00730DE4" w:rsidRPr="00730DE4" w:rsidRDefault="00730DE4" w:rsidP="009E5BA1">
            <w:pPr>
              <w:pStyle w:val="NoSpacing"/>
              <w:jc w:val="right"/>
            </w:pPr>
            <w:r w:rsidRPr="00730DE4">
              <w:t>21</w:t>
            </w:r>
          </w:p>
        </w:tc>
        <w:tc>
          <w:tcPr>
            <w:tcW w:w="84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E9276E2" w14:textId="77777777" w:rsidR="00730DE4" w:rsidRPr="00730DE4" w:rsidRDefault="00730DE4" w:rsidP="009E5BA1">
            <w:pPr>
              <w:pStyle w:val="NoSpacing"/>
              <w:jc w:val="right"/>
            </w:pPr>
            <w:r w:rsidRPr="00730DE4">
              <w:t xml:space="preserve">48,115 </w:t>
            </w:r>
          </w:p>
        </w:tc>
        <w:tc>
          <w:tcPr>
            <w:tcW w:w="845"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3E7A5AC" w14:textId="77777777" w:rsidR="00730DE4" w:rsidRPr="00730DE4" w:rsidRDefault="00730DE4" w:rsidP="009E5BA1">
            <w:pPr>
              <w:pStyle w:val="NoSpacing"/>
              <w:jc w:val="right"/>
            </w:pPr>
            <w:r w:rsidRPr="00730DE4">
              <w:t xml:space="preserve">40,445 </w:t>
            </w:r>
          </w:p>
        </w:tc>
      </w:tr>
      <w:tr w:rsidR="00730DE4" w:rsidRPr="00730DE4" w14:paraId="007F1D39" w14:textId="77777777" w:rsidTr="008A2F83">
        <w:tc>
          <w:tcPr>
            <w:tcW w:w="291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vAlign w:val="bottom"/>
          </w:tcPr>
          <w:p w14:paraId="49EE1123" w14:textId="77777777" w:rsidR="00730DE4" w:rsidRPr="00730DE4" w:rsidRDefault="00730DE4" w:rsidP="00A1677B">
            <w:pPr>
              <w:pStyle w:val="NoSpacingIndent"/>
            </w:pPr>
            <w:r w:rsidRPr="00730DE4">
              <w:t>Current tax liabilities</w:t>
            </w:r>
          </w:p>
        </w:tc>
        <w:tc>
          <w:tcPr>
            <w:tcW w:w="39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D143BE3" w14:textId="77777777" w:rsidR="00730DE4" w:rsidRPr="00730DE4" w:rsidRDefault="00730DE4" w:rsidP="009E5BA1">
            <w:pPr>
              <w:pStyle w:val="NoSpacing"/>
              <w:jc w:val="right"/>
            </w:pPr>
            <w:r w:rsidRPr="00730DE4">
              <w:t>23</w:t>
            </w:r>
          </w:p>
        </w:tc>
        <w:tc>
          <w:tcPr>
            <w:tcW w:w="84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C4A5AF1" w14:textId="77777777" w:rsidR="00730DE4" w:rsidRPr="00730DE4" w:rsidRDefault="00730DE4" w:rsidP="009E5BA1">
            <w:pPr>
              <w:pStyle w:val="NoSpacing"/>
              <w:jc w:val="right"/>
            </w:pPr>
            <w:r w:rsidRPr="00730DE4">
              <w:t xml:space="preserve">41 </w:t>
            </w:r>
          </w:p>
        </w:tc>
        <w:tc>
          <w:tcPr>
            <w:tcW w:w="845"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B8FA378" w14:textId="77777777" w:rsidR="00730DE4" w:rsidRPr="00730DE4" w:rsidRDefault="00730DE4" w:rsidP="009E5BA1">
            <w:pPr>
              <w:pStyle w:val="NoSpacing"/>
              <w:jc w:val="right"/>
            </w:pPr>
            <w:r w:rsidRPr="00730DE4">
              <w:t>-</w:t>
            </w:r>
          </w:p>
        </w:tc>
      </w:tr>
      <w:tr w:rsidR="00730DE4" w:rsidRPr="00730DE4" w14:paraId="41E62C33" w14:textId="77777777" w:rsidTr="008A2F83">
        <w:tc>
          <w:tcPr>
            <w:tcW w:w="291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vAlign w:val="bottom"/>
          </w:tcPr>
          <w:p w14:paraId="2790B31B" w14:textId="77777777" w:rsidR="00730DE4" w:rsidRPr="00730DE4" w:rsidRDefault="00730DE4" w:rsidP="00A1677B">
            <w:pPr>
              <w:pStyle w:val="NoSpacingIndent"/>
            </w:pPr>
            <w:r w:rsidRPr="00730DE4">
              <w:t xml:space="preserve">Unearned revenue – service concession arrangements </w:t>
            </w:r>
          </w:p>
        </w:tc>
        <w:tc>
          <w:tcPr>
            <w:tcW w:w="39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533CA67" w14:textId="77777777" w:rsidR="00730DE4" w:rsidRPr="00730DE4" w:rsidRDefault="00730DE4" w:rsidP="009E5BA1">
            <w:pPr>
              <w:pStyle w:val="NoSpacing"/>
              <w:jc w:val="right"/>
            </w:pPr>
            <w:r w:rsidRPr="00730DE4">
              <w:t>16</w:t>
            </w:r>
          </w:p>
        </w:tc>
        <w:tc>
          <w:tcPr>
            <w:tcW w:w="84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EE8D494" w14:textId="77777777" w:rsidR="00730DE4" w:rsidRPr="00730DE4" w:rsidRDefault="00730DE4" w:rsidP="009E5BA1">
            <w:pPr>
              <w:pStyle w:val="NoSpacing"/>
              <w:jc w:val="right"/>
            </w:pPr>
            <w:r w:rsidRPr="00730DE4">
              <w:t xml:space="preserve">232,180 </w:t>
            </w:r>
          </w:p>
        </w:tc>
        <w:tc>
          <w:tcPr>
            <w:tcW w:w="845"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5301D71" w14:textId="77777777" w:rsidR="00730DE4" w:rsidRPr="00730DE4" w:rsidRDefault="00730DE4" w:rsidP="009E5BA1">
            <w:pPr>
              <w:pStyle w:val="NoSpacing"/>
              <w:jc w:val="right"/>
            </w:pPr>
            <w:r w:rsidRPr="00730DE4">
              <w:t xml:space="preserve">232,180 </w:t>
            </w:r>
          </w:p>
        </w:tc>
      </w:tr>
      <w:tr w:rsidR="00730DE4" w:rsidRPr="00730DE4" w14:paraId="4FC69F03" w14:textId="77777777" w:rsidTr="00800A48">
        <w:tc>
          <w:tcPr>
            <w:tcW w:w="291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vAlign w:val="bottom"/>
          </w:tcPr>
          <w:p w14:paraId="363A8A8D" w14:textId="77777777" w:rsidR="00730DE4" w:rsidRPr="00730DE4" w:rsidRDefault="00730DE4" w:rsidP="00A1677B">
            <w:pPr>
              <w:pStyle w:val="NoSpacingIndent"/>
            </w:pPr>
            <w:r w:rsidRPr="00730DE4">
              <w:t>Lease liabilities</w:t>
            </w:r>
          </w:p>
        </w:tc>
        <w:tc>
          <w:tcPr>
            <w:tcW w:w="39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EE21DE2" w14:textId="77777777" w:rsidR="00730DE4" w:rsidRPr="00730DE4" w:rsidRDefault="00730DE4" w:rsidP="009E5BA1">
            <w:pPr>
              <w:pStyle w:val="NoSpacing"/>
              <w:jc w:val="right"/>
            </w:pPr>
            <w:r w:rsidRPr="00730DE4">
              <w:t>17</w:t>
            </w:r>
          </w:p>
        </w:tc>
        <w:tc>
          <w:tcPr>
            <w:tcW w:w="84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3A15F10" w14:textId="77777777" w:rsidR="00730DE4" w:rsidRPr="00730DE4" w:rsidRDefault="00730DE4" w:rsidP="009E5BA1">
            <w:pPr>
              <w:pStyle w:val="NoSpacing"/>
              <w:jc w:val="right"/>
            </w:pPr>
            <w:r w:rsidRPr="00730DE4">
              <w:t xml:space="preserve">21,954 </w:t>
            </w:r>
          </w:p>
        </w:tc>
        <w:tc>
          <w:tcPr>
            <w:tcW w:w="845"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0C8BB50" w14:textId="77777777" w:rsidR="00730DE4" w:rsidRPr="00730DE4" w:rsidRDefault="00730DE4" w:rsidP="009E5BA1">
            <w:pPr>
              <w:pStyle w:val="NoSpacing"/>
              <w:jc w:val="right"/>
            </w:pPr>
            <w:r w:rsidRPr="00730DE4">
              <w:t xml:space="preserve">24,962 </w:t>
            </w:r>
          </w:p>
        </w:tc>
      </w:tr>
      <w:tr w:rsidR="00730DE4" w:rsidRPr="00730DE4" w14:paraId="14672B6C" w14:textId="77777777" w:rsidTr="001B3636">
        <w:tc>
          <w:tcPr>
            <w:tcW w:w="2912" w:type="pct"/>
            <w:tcBorders>
              <w:top w:val="dotted" w:sz="4" w:space="0" w:color="BFBFBF" w:themeColor="background1" w:themeShade="BF"/>
              <w:left w:val="nil"/>
              <w:bottom w:val="single" w:sz="4" w:space="0" w:color="auto"/>
              <w:right w:val="dotted" w:sz="4" w:space="0" w:color="BFBFBF" w:themeColor="background1" w:themeShade="BF"/>
            </w:tcBorders>
            <w:vAlign w:val="bottom"/>
          </w:tcPr>
          <w:p w14:paraId="11CF23B7" w14:textId="77777777" w:rsidR="00730DE4" w:rsidRPr="00730DE4" w:rsidRDefault="00730DE4" w:rsidP="00A1677B">
            <w:pPr>
              <w:pStyle w:val="NoSpacingIndent"/>
            </w:pPr>
            <w:r w:rsidRPr="00730DE4">
              <w:t>Other</w:t>
            </w:r>
          </w:p>
        </w:tc>
        <w:tc>
          <w:tcPr>
            <w:tcW w:w="39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5299CCFD" w14:textId="77777777" w:rsidR="00730DE4" w:rsidRPr="00730DE4" w:rsidRDefault="00730DE4" w:rsidP="009E5BA1">
            <w:pPr>
              <w:pStyle w:val="NoSpacing"/>
              <w:jc w:val="right"/>
            </w:pPr>
            <w:r w:rsidRPr="00730DE4">
              <w:t>22</w:t>
            </w:r>
          </w:p>
        </w:tc>
        <w:tc>
          <w:tcPr>
            <w:tcW w:w="845"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7159F7E0" w14:textId="77777777" w:rsidR="00730DE4" w:rsidRPr="00730DE4" w:rsidRDefault="00730DE4" w:rsidP="009E5BA1">
            <w:pPr>
              <w:pStyle w:val="NoSpacing"/>
              <w:jc w:val="right"/>
            </w:pPr>
            <w:r w:rsidRPr="00730DE4">
              <w:t xml:space="preserve">298,435 </w:t>
            </w:r>
          </w:p>
        </w:tc>
        <w:tc>
          <w:tcPr>
            <w:tcW w:w="845"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238730C8" w14:textId="77777777" w:rsidR="00730DE4" w:rsidRPr="00730DE4" w:rsidRDefault="00730DE4" w:rsidP="009E5BA1">
            <w:pPr>
              <w:pStyle w:val="NoSpacing"/>
              <w:jc w:val="right"/>
            </w:pPr>
            <w:r w:rsidRPr="00730DE4">
              <w:t xml:space="preserve">241,599 </w:t>
            </w:r>
          </w:p>
        </w:tc>
      </w:tr>
      <w:tr w:rsidR="00730DE4" w:rsidRPr="00730DE4" w14:paraId="6C136065" w14:textId="77777777" w:rsidTr="009057A0">
        <w:tc>
          <w:tcPr>
            <w:tcW w:w="2912" w:type="pct"/>
            <w:tcBorders>
              <w:top w:val="single" w:sz="4" w:space="0" w:color="auto"/>
              <w:left w:val="nil"/>
              <w:right w:val="dotted" w:sz="4" w:space="0" w:color="BFBFBF" w:themeColor="background1" w:themeShade="BF"/>
            </w:tcBorders>
          </w:tcPr>
          <w:p w14:paraId="54F97BA4" w14:textId="77777777" w:rsidR="00730DE4" w:rsidRPr="00730DE4" w:rsidRDefault="00730DE4" w:rsidP="009F6677">
            <w:pPr>
              <w:pStyle w:val="NoSpacingIndent"/>
              <w:rPr>
                <w:rStyle w:val="Strong"/>
              </w:rPr>
            </w:pPr>
            <w:r w:rsidRPr="00730DE4">
              <w:rPr>
                <w:rStyle w:val="Strong"/>
              </w:rPr>
              <w:t>Total current liabilities</w:t>
            </w:r>
          </w:p>
        </w:tc>
        <w:tc>
          <w:tcPr>
            <w:tcW w:w="398"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02091F45" w14:textId="77777777" w:rsidR="00730DE4" w:rsidRPr="00730DE4" w:rsidRDefault="00730DE4" w:rsidP="009F6677">
            <w:pPr>
              <w:pStyle w:val="NoSpacing"/>
              <w:jc w:val="right"/>
              <w:rPr>
                <w:rStyle w:val="Strong"/>
              </w:rPr>
            </w:pPr>
            <w:r w:rsidRPr="00730DE4">
              <w:rPr>
                <w:rStyle w:val="Strong"/>
              </w:rPr>
              <w:t> </w:t>
            </w:r>
          </w:p>
        </w:tc>
        <w:tc>
          <w:tcPr>
            <w:tcW w:w="845" w:type="pct"/>
            <w:tcBorders>
              <w:top w:val="single" w:sz="4" w:space="0" w:color="auto"/>
              <w:left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330141A1" w14:textId="77777777" w:rsidR="00730DE4" w:rsidRPr="00730DE4" w:rsidRDefault="00730DE4" w:rsidP="009F6677">
            <w:pPr>
              <w:pStyle w:val="NoSpacing"/>
              <w:jc w:val="right"/>
              <w:rPr>
                <w:rStyle w:val="Strong"/>
              </w:rPr>
            </w:pPr>
            <w:r w:rsidRPr="00730DE4">
              <w:rPr>
                <w:rStyle w:val="Strong"/>
              </w:rPr>
              <w:t xml:space="preserve">1,790,229 </w:t>
            </w:r>
          </w:p>
        </w:tc>
        <w:tc>
          <w:tcPr>
            <w:tcW w:w="845" w:type="pct"/>
            <w:tcBorders>
              <w:top w:val="single" w:sz="4" w:space="0" w:color="auto"/>
              <w:left w:val="dotted" w:sz="4" w:space="0" w:color="BFBFBF" w:themeColor="background1" w:themeShade="BF"/>
              <w:right w:val="nil"/>
            </w:tcBorders>
            <w:shd w:val="clear" w:color="auto" w:fill="auto"/>
            <w:noWrap/>
            <w:hideMark/>
          </w:tcPr>
          <w:p w14:paraId="523F93BB" w14:textId="77777777" w:rsidR="00730DE4" w:rsidRPr="00730DE4" w:rsidRDefault="00730DE4" w:rsidP="009F6677">
            <w:pPr>
              <w:pStyle w:val="NoSpacing"/>
              <w:jc w:val="right"/>
              <w:rPr>
                <w:rStyle w:val="Strong"/>
              </w:rPr>
            </w:pPr>
            <w:r w:rsidRPr="00730DE4">
              <w:rPr>
                <w:rStyle w:val="Strong"/>
              </w:rPr>
              <w:t xml:space="preserve">1,843,601 </w:t>
            </w:r>
          </w:p>
        </w:tc>
      </w:tr>
      <w:tr w:rsidR="00730DE4" w:rsidRPr="00730DE4" w14:paraId="2C5F4450" w14:textId="77777777" w:rsidTr="001B3636">
        <w:trPr>
          <w:trHeight w:val="454"/>
        </w:trPr>
        <w:tc>
          <w:tcPr>
            <w:tcW w:w="2912" w:type="pct"/>
            <w:tcBorders>
              <w:left w:val="nil"/>
              <w:bottom w:val="dashSmallGap" w:sz="4" w:space="0" w:color="BFBFBF" w:themeColor="background1" w:themeShade="BF"/>
              <w:right w:val="dashSmallGap" w:sz="4" w:space="0" w:color="BFBFBF" w:themeColor="background1" w:themeShade="BF"/>
            </w:tcBorders>
            <w:shd w:val="clear" w:color="auto" w:fill="auto"/>
            <w:vAlign w:val="bottom"/>
          </w:tcPr>
          <w:p w14:paraId="3E65FF5F" w14:textId="77777777" w:rsidR="00730DE4" w:rsidRPr="00730DE4" w:rsidRDefault="00730DE4" w:rsidP="009E5BA1">
            <w:pPr>
              <w:pStyle w:val="NoSpacing"/>
              <w:rPr>
                <w:rStyle w:val="Strong"/>
              </w:rPr>
            </w:pPr>
            <w:r w:rsidRPr="00730DE4">
              <w:rPr>
                <w:rStyle w:val="Strong"/>
              </w:rPr>
              <w:t>Non-current liabilities</w:t>
            </w:r>
          </w:p>
        </w:tc>
        <w:tc>
          <w:tcPr>
            <w:tcW w:w="398" w:type="pct"/>
            <w:tcBorders>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noWrap/>
            <w:vAlign w:val="bottom"/>
            <w:hideMark/>
          </w:tcPr>
          <w:p w14:paraId="6A02C2F0" w14:textId="77777777" w:rsidR="00730DE4" w:rsidRPr="00730DE4" w:rsidRDefault="00730DE4" w:rsidP="009E5BA1">
            <w:pPr>
              <w:pStyle w:val="NoSpacing"/>
              <w:jc w:val="right"/>
              <w:rPr>
                <w:rStyle w:val="Strong"/>
              </w:rPr>
            </w:pPr>
          </w:p>
        </w:tc>
        <w:tc>
          <w:tcPr>
            <w:tcW w:w="845" w:type="pct"/>
            <w:tcBorders>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06FD72D1" w14:textId="77777777" w:rsidR="00730DE4" w:rsidRPr="00730DE4" w:rsidRDefault="00730DE4" w:rsidP="009E5BA1">
            <w:pPr>
              <w:pStyle w:val="NoSpacing"/>
              <w:jc w:val="right"/>
              <w:rPr>
                <w:rStyle w:val="Strong"/>
              </w:rPr>
            </w:pPr>
            <w:r w:rsidRPr="00730DE4">
              <w:rPr>
                <w:rStyle w:val="Strong"/>
              </w:rPr>
              <w:t> </w:t>
            </w:r>
          </w:p>
        </w:tc>
        <w:tc>
          <w:tcPr>
            <w:tcW w:w="845" w:type="pct"/>
            <w:tcBorders>
              <w:left w:val="dashSmallGap" w:sz="4" w:space="0" w:color="BFBFBF" w:themeColor="background1" w:themeShade="BF"/>
              <w:bottom w:val="dashSmallGap" w:sz="4" w:space="0" w:color="BFBFBF" w:themeColor="background1" w:themeShade="BF"/>
              <w:right w:val="nil"/>
            </w:tcBorders>
            <w:shd w:val="clear" w:color="auto" w:fill="auto"/>
            <w:noWrap/>
            <w:vAlign w:val="bottom"/>
            <w:hideMark/>
          </w:tcPr>
          <w:p w14:paraId="442A788B" w14:textId="77777777" w:rsidR="00730DE4" w:rsidRPr="00730DE4" w:rsidRDefault="00730DE4" w:rsidP="009E5BA1">
            <w:pPr>
              <w:pStyle w:val="NoSpacing"/>
              <w:jc w:val="right"/>
              <w:rPr>
                <w:rStyle w:val="Strong"/>
              </w:rPr>
            </w:pPr>
          </w:p>
        </w:tc>
      </w:tr>
      <w:tr w:rsidR="00730DE4" w:rsidRPr="00730DE4" w14:paraId="6AE22C25" w14:textId="77777777" w:rsidTr="008A2F83">
        <w:tc>
          <w:tcPr>
            <w:tcW w:w="2912" w:type="pct"/>
            <w:tcBorders>
              <w:top w:val="dashSmallGap" w:sz="4" w:space="0" w:color="BFBFBF" w:themeColor="background1" w:themeShade="BF"/>
              <w:left w:val="nil"/>
              <w:bottom w:val="dashSmallGap" w:sz="4" w:space="0" w:color="BFBFBF" w:themeColor="background1" w:themeShade="BF"/>
              <w:right w:val="dashSmallGap" w:sz="4" w:space="0" w:color="BFBFBF" w:themeColor="background1" w:themeShade="BF"/>
            </w:tcBorders>
            <w:vAlign w:val="bottom"/>
          </w:tcPr>
          <w:p w14:paraId="5DCC8668" w14:textId="77777777" w:rsidR="00730DE4" w:rsidRPr="00730DE4" w:rsidRDefault="00730DE4" w:rsidP="009F6677">
            <w:pPr>
              <w:pStyle w:val="NoSpacingIndent"/>
            </w:pPr>
            <w:r w:rsidRPr="00730DE4">
              <w:t>Borrowings</w:t>
            </w:r>
          </w:p>
        </w:tc>
        <w:tc>
          <w:tcPr>
            <w:tcW w:w="398"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noWrap/>
            <w:vAlign w:val="bottom"/>
            <w:hideMark/>
          </w:tcPr>
          <w:p w14:paraId="0A4D195A" w14:textId="77777777" w:rsidR="00730DE4" w:rsidRPr="00730DE4" w:rsidRDefault="00730DE4" w:rsidP="009E5BA1">
            <w:pPr>
              <w:pStyle w:val="NoSpacing"/>
              <w:jc w:val="right"/>
            </w:pPr>
            <w:r w:rsidRPr="00730DE4">
              <w:t>19</w:t>
            </w:r>
          </w:p>
        </w:tc>
        <w:tc>
          <w:tcPr>
            <w:tcW w:w="845"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4AD255CE" w14:textId="77777777" w:rsidR="00730DE4" w:rsidRPr="00730DE4" w:rsidRDefault="00730DE4" w:rsidP="009E5BA1">
            <w:pPr>
              <w:pStyle w:val="NoSpacing"/>
              <w:jc w:val="right"/>
            </w:pPr>
            <w:r w:rsidRPr="00730DE4">
              <w:t xml:space="preserve">1,082,889 </w:t>
            </w:r>
          </w:p>
        </w:tc>
        <w:tc>
          <w:tcPr>
            <w:tcW w:w="845"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nil"/>
            </w:tcBorders>
            <w:shd w:val="clear" w:color="auto" w:fill="auto"/>
            <w:noWrap/>
            <w:vAlign w:val="bottom"/>
            <w:hideMark/>
          </w:tcPr>
          <w:p w14:paraId="02329DF3" w14:textId="77777777" w:rsidR="00730DE4" w:rsidRPr="00730DE4" w:rsidRDefault="00730DE4" w:rsidP="009E5BA1">
            <w:pPr>
              <w:pStyle w:val="NoSpacing"/>
              <w:jc w:val="right"/>
            </w:pPr>
            <w:r w:rsidRPr="00730DE4">
              <w:t xml:space="preserve">1,137,243 </w:t>
            </w:r>
          </w:p>
        </w:tc>
      </w:tr>
      <w:tr w:rsidR="00730DE4" w:rsidRPr="00730DE4" w14:paraId="15663991" w14:textId="77777777" w:rsidTr="008A2F83">
        <w:tc>
          <w:tcPr>
            <w:tcW w:w="2912" w:type="pct"/>
            <w:tcBorders>
              <w:top w:val="dashSmallGap" w:sz="4" w:space="0" w:color="BFBFBF" w:themeColor="background1" w:themeShade="BF"/>
              <w:left w:val="nil"/>
              <w:bottom w:val="dashSmallGap" w:sz="4" w:space="0" w:color="BFBFBF" w:themeColor="background1" w:themeShade="BF"/>
              <w:right w:val="dashSmallGap" w:sz="4" w:space="0" w:color="BFBFBF" w:themeColor="background1" w:themeShade="BF"/>
            </w:tcBorders>
            <w:vAlign w:val="bottom"/>
          </w:tcPr>
          <w:p w14:paraId="01C4827B" w14:textId="77777777" w:rsidR="00730DE4" w:rsidRPr="00730DE4" w:rsidRDefault="00730DE4" w:rsidP="009F6677">
            <w:pPr>
              <w:pStyle w:val="NoSpacingIndent"/>
            </w:pPr>
            <w:r w:rsidRPr="00730DE4">
              <w:t>Provisions</w:t>
            </w:r>
          </w:p>
        </w:tc>
        <w:tc>
          <w:tcPr>
            <w:tcW w:w="398"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noWrap/>
            <w:vAlign w:val="bottom"/>
            <w:hideMark/>
          </w:tcPr>
          <w:p w14:paraId="6ACE569D" w14:textId="77777777" w:rsidR="00730DE4" w:rsidRPr="00730DE4" w:rsidRDefault="00730DE4" w:rsidP="009E5BA1">
            <w:pPr>
              <w:pStyle w:val="NoSpacing"/>
              <w:jc w:val="right"/>
            </w:pPr>
            <w:r w:rsidRPr="00730DE4">
              <w:t>20</w:t>
            </w:r>
          </w:p>
        </w:tc>
        <w:tc>
          <w:tcPr>
            <w:tcW w:w="845"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08DDAC24" w14:textId="77777777" w:rsidR="00730DE4" w:rsidRPr="00730DE4" w:rsidRDefault="00730DE4" w:rsidP="009E5BA1">
            <w:pPr>
              <w:pStyle w:val="NoSpacing"/>
              <w:jc w:val="right"/>
            </w:pPr>
            <w:r w:rsidRPr="00730DE4">
              <w:t xml:space="preserve">202,654 </w:t>
            </w:r>
          </w:p>
        </w:tc>
        <w:tc>
          <w:tcPr>
            <w:tcW w:w="845"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nil"/>
            </w:tcBorders>
            <w:shd w:val="clear" w:color="auto" w:fill="auto"/>
            <w:noWrap/>
            <w:vAlign w:val="bottom"/>
            <w:hideMark/>
          </w:tcPr>
          <w:p w14:paraId="3B21A93C" w14:textId="77777777" w:rsidR="00730DE4" w:rsidRPr="00730DE4" w:rsidRDefault="00730DE4" w:rsidP="009E5BA1">
            <w:pPr>
              <w:pStyle w:val="NoSpacing"/>
              <w:jc w:val="right"/>
            </w:pPr>
            <w:r w:rsidRPr="00730DE4">
              <w:t xml:space="preserve">196,130 </w:t>
            </w:r>
          </w:p>
        </w:tc>
      </w:tr>
      <w:tr w:rsidR="00730DE4" w:rsidRPr="00730DE4" w14:paraId="42F314BE" w14:textId="77777777" w:rsidTr="008A2F83">
        <w:tc>
          <w:tcPr>
            <w:tcW w:w="2912" w:type="pct"/>
            <w:tcBorders>
              <w:top w:val="dashSmallGap" w:sz="4" w:space="0" w:color="BFBFBF" w:themeColor="background1" w:themeShade="BF"/>
              <w:left w:val="nil"/>
              <w:bottom w:val="dashSmallGap" w:sz="4" w:space="0" w:color="BFBFBF" w:themeColor="background1" w:themeShade="BF"/>
              <w:right w:val="dashSmallGap" w:sz="4" w:space="0" w:color="BFBFBF" w:themeColor="background1" w:themeShade="BF"/>
            </w:tcBorders>
            <w:vAlign w:val="bottom"/>
          </w:tcPr>
          <w:p w14:paraId="0DBB3031" w14:textId="77777777" w:rsidR="00730DE4" w:rsidRPr="00730DE4" w:rsidRDefault="00730DE4" w:rsidP="009F6677">
            <w:pPr>
              <w:pStyle w:val="NoSpacingIndent"/>
            </w:pPr>
            <w:r w:rsidRPr="00730DE4">
              <w:t xml:space="preserve">Unearned revenue – service concession arrangements </w:t>
            </w:r>
          </w:p>
        </w:tc>
        <w:tc>
          <w:tcPr>
            <w:tcW w:w="398"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noWrap/>
            <w:vAlign w:val="bottom"/>
            <w:hideMark/>
          </w:tcPr>
          <w:p w14:paraId="61348A56" w14:textId="77777777" w:rsidR="00730DE4" w:rsidRPr="00730DE4" w:rsidRDefault="00730DE4" w:rsidP="009E5BA1">
            <w:pPr>
              <w:pStyle w:val="NoSpacing"/>
              <w:jc w:val="right"/>
            </w:pPr>
            <w:r w:rsidRPr="00730DE4">
              <w:t>16</w:t>
            </w:r>
          </w:p>
        </w:tc>
        <w:tc>
          <w:tcPr>
            <w:tcW w:w="845"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37ABEA79" w14:textId="77777777" w:rsidR="00730DE4" w:rsidRPr="00730DE4" w:rsidRDefault="00730DE4" w:rsidP="009E5BA1">
            <w:pPr>
              <w:pStyle w:val="NoSpacing"/>
              <w:jc w:val="right"/>
            </w:pPr>
            <w:r w:rsidRPr="00730DE4">
              <w:t xml:space="preserve">6,690,955 </w:t>
            </w:r>
          </w:p>
        </w:tc>
        <w:tc>
          <w:tcPr>
            <w:tcW w:w="845"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nil"/>
            </w:tcBorders>
            <w:shd w:val="clear" w:color="auto" w:fill="auto"/>
            <w:noWrap/>
            <w:vAlign w:val="bottom"/>
            <w:hideMark/>
          </w:tcPr>
          <w:p w14:paraId="594EE6A4" w14:textId="77777777" w:rsidR="00730DE4" w:rsidRPr="00730DE4" w:rsidRDefault="00730DE4" w:rsidP="009E5BA1">
            <w:pPr>
              <w:pStyle w:val="NoSpacing"/>
              <w:jc w:val="right"/>
            </w:pPr>
            <w:r w:rsidRPr="00730DE4">
              <w:t xml:space="preserve">6,923,134 </w:t>
            </w:r>
          </w:p>
        </w:tc>
      </w:tr>
      <w:tr w:rsidR="00730DE4" w:rsidRPr="00730DE4" w14:paraId="712219BC" w14:textId="77777777" w:rsidTr="00800A48">
        <w:tc>
          <w:tcPr>
            <w:tcW w:w="2912" w:type="pct"/>
            <w:tcBorders>
              <w:top w:val="dashSmallGap" w:sz="4" w:space="0" w:color="BFBFBF" w:themeColor="background1" w:themeShade="BF"/>
              <w:left w:val="nil"/>
              <w:bottom w:val="dashSmallGap" w:sz="4" w:space="0" w:color="BFBFBF" w:themeColor="background1" w:themeShade="BF"/>
              <w:right w:val="dashSmallGap" w:sz="4" w:space="0" w:color="BFBFBF" w:themeColor="background1" w:themeShade="BF"/>
            </w:tcBorders>
            <w:vAlign w:val="bottom"/>
          </w:tcPr>
          <w:p w14:paraId="026F9DD6" w14:textId="77777777" w:rsidR="00730DE4" w:rsidRPr="00730DE4" w:rsidRDefault="00730DE4" w:rsidP="009F6677">
            <w:pPr>
              <w:pStyle w:val="NoSpacingIndent"/>
            </w:pPr>
            <w:r w:rsidRPr="00730DE4">
              <w:t>Lease liabilities</w:t>
            </w:r>
          </w:p>
        </w:tc>
        <w:tc>
          <w:tcPr>
            <w:tcW w:w="398"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noWrap/>
            <w:vAlign w:val="bottom"/>
            <w:hideMark/>
          </w:tcPr>
          <w:p w14:paraId="0F06C1EF" w14:textId="77777777" w:rsidR="00730DE4" w:rsidRPr="00730DE4" w:rsidRDefault="00730DE4" w:rsidP="009E5BA1">
            <w:pPr>
              <w:pStyle w:val="NoSpacing"/>
              <w:jc w:val="right"/>
            </w:pPr>
            <w:r w:rsidRPr="00730DE4">
              <w:t>17</w:t>
            </w:r>
          </w:p>
        </w:tc>
        <w:tc>
          <w:tcPr>
            <w:tcW w:w="845"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114AA13B" w14:textId="77777777" w:rsidR="00730DE4" w:rsidRPr="00730DE4" w:rsidRDefault="00730DE4" w:rsidP="009E5BA1">
            <w:pPr>
              <w:pStyle w:val="NoSpacing"/>
              <w:jc w:val="right"/>
            </w:pPr>
            <w:r w:rsidRPr="00730DE4">
              <w:t xml:space="preserve">73,557 </w:t>
            </w:r>
          </w:p>
        </w:tc>
        <w:tc>
          <w:tcPr>
            <w:tcW w:w="845"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nil"/>
            </w:tcBorders>
            <w:shd w:val="clear" w:color="auto" w:fill="auto"/>
            <w:noWrap/>
            <w:vAlign w:val="bottom"/>
            <w:hideMark/>
          </w:tcPr>
          <w:p w14:paraId="77180FC6" w14:textId="77777777" w:rsidR="00730DE4" w:rsidRPr="00730DE4" w:rsidRDefault="00730DE4" w:rsidP="009E5BA1">
            <w:pPr>
              <w:pStyle w:val="NoSpacing"/>
              <w:jc w:val="right"/>
            </w:pPr>
            <w:r w:rsidRPr="00730DE4">
              <w:t xml:space="preserve">85,780 </w:t>
            </w:r>
          </w:p>
        </w:tc>
      </w:tr>
      <w:tr w:rsidR="00730DE4" w:rsidRPr="00730DE4" w14:paraId="211615DE" w14:textId="77777777" w:rsidTr="001B3636">
        <w:tc>
          <w:tcPr>
            <w:tcW w:w="2912" w:type="pct"/>
            <w:tcBorders>
              <w:top w:val="dashSmallGap" w:sz="4" w:space="0" w:color="BFBFBF" w:themeColor="background1" w:themeShade="BF"/>
              <w:left w:val="nil"/>
              <w:bottom w:val="single" w:sz="4" w:space="0" w:color="auto"/>
              <w:right w:val="dashSmallGap" w:sz="4" w:space="0" w:color="BFBFBF" w:themeColor="background1" w:themeShade="BF"/>
            </w:tcBorders>
            <w:vAlign w:val="bottom"/>
          </w:tcPr>
          <w:p w14:paraId="44423669" w14:textId="77777777" w:rsidR="00730DE4" w:rsidRPr="00730DE4" w:rsidRDefault="00730DE4" w:rsidP="009F6677">
            <w:pPr>
              <w:pStyle w:val="NoSpacingIndent"/>
            </w:pPr>
            <w:r w:rsidRPr="00730DE4">
              <w:t>Other</w:t>
            </w:r>
          </w:p>
        </w:tc>
        <w:tc>
          <w:tcPr>
            <w:tcW w:w="398" w:type="pct"/>
            <w:tcBorders>
              <w:top w:val="dashSmallGap" w:sz="4" w:space="0" w:color="BFBFBF" w:themeColor="background1" w:themeShade="BF"/>
              <w:left w:val="dashSmallGap" w:sz="4" w:space="0" w:color="BFBFBF" w:themeColor="background1" w:themeShade="BF"/>
              <w:bottom w:val="single" w:sz="4" w:space="0" w:color="auto"/>
              <w:right w:val="dashSmallGap" w:sz="4" w:space="0" w:color="BFBFBF" w:themeColor="background1" w:themeShade="BF"/>
            </w:tcBorders>
            <w:shd w:val="clear" w:color="auto" w:fill="auto"/>
            <w:noWrap/>
            <w:vAlign w:val="bottom"/>
            <w:hideMark/>
          </w:tcPr>
          <w:p w14:paraId="3B2E3063" w14:textId="77777777" w:rsidR="00730DE4" w:rsidRPr="00730DE4" w:rsidRDefault="00730DE4" w:rsidP="009E5BA1">
            <w:pPr>
              <w:pStyle w:val="NoSpacing"/>
              <w:jc w:val="right"/>
            </w:pPr>
            <w:r w:rsidRPr="00730DE4">
              <w:t>22</w:t>
            </w:r>
          </w:p>
        </w:tc>
        <w:tc>
          <w:tcPr>
            <w:tcW w:w="845" w:type="pct"/>
            <w:tcBorders>
              <w:top w:val="dashSmallGap" w:sz="4" w:space="0" w:color="BFBFBF" w:themeColor="background1" w:themeShade="BF"/>
              <w:left w:val="dashSmallGap" w:sz="4" w:space="0" w:color="BFBFBF" w:themeColor="background1" w:themeShade="BF"/>
              <w:bottom w:val="single" w:sz="4" w:space="0" w:color="auto"/>
              <w:right w:val="dashSmallGap" w:sz="4" w:space="0" w:color="BFBFBF" w:themeColor="background1" w:themeShade="BF"/>
            </w:tcBorders>
            <w:shd w:val="clear" w:color="auto" w:fill="F2F2F2" w:themeFill="background1" w:themeFillShade="F2"/>
            <w:noWrap/>
            <w:vAlign w:val="bottom"/>
            <w:hideMark/>
          </w:tcPr>
          <w:p w14:paraId="7603226C" w14:textId="77777777" w:rsidR="00730DE4" w:rsidRPr="00730DE4" w:rsidRDefault="00730DE4" w:rsidP="009E5BA1">
            <w:pPr>
              <w:pStyle w:val="NoSpacing"/>
              <w:jc w:val="right"/>
            </w:pPr>
            <w:r w:rsidRPr="00730DE4">
              <w:t xml:space="preserve">620 </w:t>
            </w:r>
          </w:p>
        </w:tc>
        <w:tc>
          <w:tcPr>
            <w:tcW w:w="845" w:type="pct"/>
            <w:tcBorders>
              <w:top w:val="dashSmallGap" w:sz="4" w:space="0" w:color="BFBFBF" w:themeColor="background1" w:themeShade="BF"/>
              <w:left w:val="dashSmallGap" w:sz="4" w:space="0" w:color="BFBFBF" w:themeColor="background1" w:themeShade="BF"/>
              <w:bottom w:val="single" w:sz="4" w:space="0" w:color="auto"/>
              <w:right w:val="nil"/>
            </w:tcBorders>
            <w:shd w:val="clear" w:color="auto" w:fill="auto"/>
            <w:noWrap/>
            <w:vAlign w:val="bottom"/>
            <w:hideMark/>
          </w:tcPr>
          <w:p w14:paraId="714C8EFB" w14:textId="77777777" w:rsidR="00730DE4" w:rsidRPr="00730DE4" w:rsidRDefault="00730DE4" w:rsidP="009E5BA1">
            <w:pPr>
              <w:pStyle w:val="NoSpacing"/>
              <w:jc w:val="right"/>
            </w:pPr>
            <w:r w:rsidRPr="00730DE4">
              <w:t xml:space="preserve">108 </w:t>
            </w:r>
          </w:p>
        </w:tc>
      </w:tr>
      <w:tr w:rsidR="00730DE4" w:rsidRPr="00730DE4" w14:paraId="762E19E3" w14:textId="77777777" w:rsidTr="009057A0">
        <w:tc>
          <w:tcPr>
            <w:tcW w:w="2912" w:type="pct"/>
            <w:tcBorders>
              <w:top w:val="single" w:sz="4" w:space="0" w:color="auto"/>
              <w:left w:val="nil"/>
              <w:right w:val="dashSmallGap" w:sz="4" w:space="0" w:color="BFBFBF" w:themeColor="background1" w:themeShade="BF"/>
            </w:tcBorders>
          </w:tcPr>
          <w:p w14:paraId="6751A1AA" w14:textId="77777777" w:rsidR="00730DE4" w:rsidRPr="00730DE4" w:rsidRDefault="00730DE4" w:rsidP="009F6677">
            <w:pPr>
              <w:pStyle w:val="NoSpacingIndent"/>
            </w:pPr>
            <w:r w:rsidRPr="00730DE4">
              <w:rPr>
                <w:rStyle w:val="Strong"/>
                <w:b w:val="0"/>
                <w:bCs w:val="0"/>
              </w:rPr>
              <w:t>Total non-current liabilities</w:t>
            </w:r>
          </w:p>
        </w:tc>
        <w:tc>
          <w:tcPr>
            <w:tcW w:w="398" w:type="pct"/>
            <w:tcBorders>
              <w:top w:val="single" w:sz="4" w:space="0" w:color="auto"/>
              <w:left w:val="dashSmallGap" w:sz="4" w:space="0" w:color="BFBFBF" w:themeColor="background1" w:themeShade="BF"/>
              <w:right w:val="dashSmallGap" w:sz="4" w:space="0" w:color="BFBFBF" w:themeColor="background1" w:themeShade="BF"/>
            </w:tcBorders>
            <w:shd w:val="clear" w:color="auto" w:fill="auto"/>
            <w:noWrap/>
            <w:hideMark/>
          </w:tcPr>
          <w:p w14:paraId="41B3E38E" w14:textId="77777777" w:rsidR="00730DE4" w:rsidRPr="00730DE4" w:rsidRDefault="00730DE4" w:rsidP="009F6677">
            <w:pPr>
              <w:pStyle w:val="NoSpacing"/>
              <w:jc w:val="right"/>
            </w:pPr>
            <w:r w:rsidRPr="00730DE4">
              <w:t> </w:t>
            </w:r>
          </w:p>
        </w:tc>
        <w:tc>
          <w:tcPr>
            <w:tcW w:w="845" w:type="pct"/>
            <w:tcBorders>
              <w:top w:val="single" w:sz="4" w:space="0" w:color="auto"/>
              <w:left w:val="dashSmallGap" w:sz="4" w:space="0" w:color="BFBFBF" w:themeColor="background1" w:themeShade="BF"/>
              <w:right w:val="dashSmallGap" w:sz="4" w:space="0" w:color="BFBFBF" w:themeColor="background1" w:themeShade="BF"/>
            </w:tcBorders>
            <w:shd w:val="clear" w:color="auto" w:fill="F2F2F2" w:themeFill="background1" w:themeFillShade="F2"/>
            <w:noWrap/>
            <w:hideMark/>
          </w:tcPr>
          <w:p w14:paraId="2D2D8E89" w14:textId="77777777" w:rsidR="00730DE4" w:rsidRPr="00730DE4" w:rsidRDefault="00730DE4" w:rsidP="009F6677">
            <w:pPr>
              <w:pStyle w:val="NoSpacing"/>
              <w:jc w:val="right"/>
            </w:pPr>
            <w:r w:rsidRPr="00730DE4">
              <w:rPr>
                <w:rStyle w:val="Strong"/>
                <w:b w:val="0"/>
                <w:bCs w:val="0"/>
              </w:rPr>
              <w:t xml:space="preserve">8,050,675 </w:t>
            </w:r>
          </w:p>
        </w:tc>
        <w:tc>
          <w:tcPr>
            <w:tcW w:w="845" w:type="pct"/>
            <w:tcBorders>
              <w:top w:val="single" w:sz="4" w:space="0" w:color="auto"/>
              <w:left w:val="dashSmallGap" w:sz="4" w:space="0" w:color="BFBFBF" w:themeColor="background1" w:themeShade="BF"/>
              <w:right w:val="nil"/>
            </w:tcBorders>
            <w:shd w:val="clear" w:color="auto" w:fill="auto"/>
            <w:noWrap/>
            <w:hideMark/>
          </w:tcPr>
          <w:p w14:paraId="47C1F057" w14:textId="77777777" w:rsidR="00730DE4" w:rsidRPr="00730DE4" w:rsidRDefault="00730DE4" w:rsidP="009F6677">
            <w:pPr>
              <w:pStyle w:val="NoSpacing"/>
              <w:jc w:val="right"/>
              <w:rPr>
                <w:rStyle w:val="Strong"/>
                <w:b w:val="0"/>
                <w:bCs w:val="0"/>
              </w:rPr>
            </w:pPr>
            <w:r w:rsidRPr="00730DE4">
              <w:rPr>
                <w:rStyle w:val="Strong"/>
                <w:b w:val="0"/>
                <w:bCs w:val="0"/>
              </w:rPr>
              <w:t xml:space="preserve">8,342,395 </w:t>
            </w:r>
          </w:p>
        </w:tc>
      </w:tr>
      <w:tr w:rsidR="00730DE4" w:rsidRPr="00730DE4" w14:paraId="1827E73E" w14:textId="77777777" w:rsidTr="001B3636">
        <w:trPr>
          <w:trHeight w:val="454"/>
        </w:trPr>
        <w:tc>
          <w:tcPr>
            <w:tcW w:w="2912" w:type="pct"/>
            <w:tcBorders>
              <w:left w:val="nil"/>
              <w:bottom w:val="single" w:sz="4" w:space="0" w:color="auto"/>
              <w:right w:val="dashSmallGap" w:sz="4" w:space="0" w:color="BFBFBF" w:themeColor="background1" w:themeShade="BF"/>
            </w:tcBorders>
            <w:vAlign w:val="bottom"/>
          </w:tcPr>
          <w:p w14:paraId="61A402F6" w14:textId="77777777" w:rsidR="00730DE4" w:rsidRPr="00730DE4" w:rsidRDefault="00730DE4" w:rsidP="001B3636">
            <w:pPr>
              <w:pStyle w:val="NoSpacing"/>
              <w:rPr>
                <w:rStyle w:val="Strong"/>
              </w:rPr>
            </w:pPr>
            <w:r w:rsidRPr="00730DE4">
              <w:rPr>
                <w:rStyle w:val="Strong"/>
              </w:rPr>
              <w:t>Total liabilities</w:t>
            </w:r>
          </w:p>
        </w:tc>
        <w:tc>
          <w:tcPr>
            <w:tcW w:w="398" w:type="pct"/>
            <w:tcBorders>
              <w:left w:val="dashSmallGap" w:sz="4" w:space="0" w:color="BFBFBF" w:themeColor="background1" w:themeShade="BF"/>
              <w:bottom w:val="single" w:sz="4" w:space="0" w:color="auto"/>
              <w:right w:val="dashSmallGap" w:sz="4" w:space="0" w:color="BFBFBF" w:themeColor="background1" w:themeShade="BF"/>
            </w:tcBorders>
            <w:shd w:val="clear" w:color="auto" w:fill="auto"/>
            <w:noWrap/>
            <w:vAlign w:val="bottom"/>
            <w:hideMark/>
          </w:tcPr>
          <w:p w14:paraId="6C128DFA" w14:textId="77777777" w:rsidR="00730DE4" w:rsidRPr="00730DE4" w:rsidRDefault="00730DE4" w:rsidP="001B3636">
            <w:pPr>
              <w:pStyle w:val="NoSpacing"/>
              <w:jc w:val="right"/>
              <w:rPr>
                <w:rStyle w:val="Strong"/>
              </w:rPr>
            </w:pPr>
            <w:r w:rsidRPr="00730DE4">
              <w:rPr>
                <w:rStyle w:val="Strong"/>
              </w:rPr>
              <w:t> </w:t>
            </w:r>
          </w:p>
        </w:tc>
        <w:tc>
          <w:tcPr>
            <w:tcW w:w="845" w:type="pct"/>
            <w:tcBorders>
              <w:left w:val="dashSmallGap" w:sz="4" w:space="0" w:color="BFBFBF" w:themeColor="background1" w:themeShade="BF"/>
              <w:bottom w:val="single" w:sz="4" w:space="0" w:color="auto"/>
              <w:right w:val="dashSmallGap" w:sz="4" w:space="0" w:color="BFBFBF" w:themeColor="background1" w:themeShade="BF"/>
            </w:tcBorders>
            <w:shd w:val="clear" w:color="auto" w:fill="F2F2F2" w:themeFill="background1" w:themeFillShade="F2"/>
            <w:noWrap/>
            <w:vAlign w:val="bottom"/>
            <w:hideMark/>
          </w:tcPr>
          <w:p w14:paraId="1EDD9E44" w14:textId="77777777" w:rsidR="00730DE4" w:rsidRPr="00730DE4" w:rsidRDefault="00730DE4" w:rsidP="001B3636">
            <w:pPr>
              <w:pStyle w:val="NoSpacing"/>
              <w:jc w:val="right"/>
              <w:rPr>
                <w:rStyle w:val="Strong"/>
              </w:rPr>
            </w:pPr>
            <w:r w:rsidRPr="00730DE4">
              <w:rPr>
                <w:rStyle w:val="Strong"/>
              </w:rPr>
              <w:t xml:space="preserve">9,840,904 </w:t>
            </w:r>
          </w:p>
        </w:tc>
        <w:tc>
          <w:tcPr>
            <w:tcW w:w="845" w:type="pct"/>
            <w:tcBorders>
              <w:left w:val="dashSmallGap" w:sz="4" w:space="0" w:color="BFBFBF" w:themeColor="background1" w:themeShade="BF"/>
              <w:bottom w:val="single" w:sz="4" w:space="0" w:color="auto"/>
              <w:right w:val="nil"/>
            </w:tcBorders>
            <w:shd w:val="clear" w:color="auto" w:fill="auto"/>
            <w:noWrap/>
            <w:vAlign w:val="bottom"/>
            <w:hideMark/>
          </w:tcPr>
          <w:p w14:paraId="370D66A7" w14:textId="77777777" w:rsidR="00730DE4" w:rsidRPr="00730DE4" w:rsidRDefault="00730DE4" w:rsidP="001B3636">
            <w:pPr>
              <w:pStyle w:val="NoSpacing"/>
              <w:jc w:val="right"/>
              <w:rPr>
                <w:rStyle w:val="Strong"/>
              </w:rPr>
            </w:pPr>
            <w:r w:rsidRPr="00730DE4">
              <w:rPr>
                <w:rStyle w:val="Strong"/>
              </w:rPr>
              <w:t xml:space="preserve">10,185,996 </w:t>
            </w:r>
          </w:p>
        </w:tc>
      </w:tr>
      <w:tr w:rsidR="00730DE4" w:rsidRPr="00730DE4" w14:paraId="3D1AC161" w14:textId="77777777" w:rsidTr="001B3636">
        <w:trPr>
          <w:trHeight w:val="454"/>
        </w:trPr>
        <w:tc>
          <w:tcPr>
            <w:tcW w:w="2912" w:type="pct"/>
            <w:tcBorders>
              <w:top w:val="single" w:sz="4" w:space="0" w:color="auto"/>
              <w:left w:val="nil"/>
              <w:bottom w:val="double" w:sz="4" w:space="0" w:color="auto"/>
              <w:right w:val="dashSmallGap" w:sz="4" w:space="0" w:color="BFBFBF" w:themeColor="background1" w:themeShade="BF"/>
            </w:tcBorders>
            <w:vAlign w:val="bottom"/>
          </w:tcPr>
          <w:p w14:paraId="4DDEEF71" w14:textId="77777777" w:rsidR="00730DE4" w:rsidRPr="00730DE4" w:rsidRDefault="00730DE4" w:rsidP="001B3636">
            <w:pPr>
              <w:pStyle w:val="NoSpacing"/>
              <w:rPr>
                <w:rStyle w:val="Strong"/>
              </w:rPr>
            </w:pPr>
            <w:r w:rsidRPr="00730DE4">
              <w:rPr>
                <w:rStyle w:val="Strong"/>
              </w:rPr>
              <w:t>Net assets</w:t>
            </w:r>
          </w:p>
        </w:tc>
        <w:tc>
          <w:tcPr>
            <w:tcW w:w="398" w:type="pct"/>
            <w:tcBorders>
              <w:top w:val="single" w:sz="4" w:space="0" w:color="auto"/>
              <w:left w:val="dashSmallGap" w:sz="4" w:space="0" w:color="BFBFBF" w:themeColor="background1" w:themeShade="BF"/>
              <w:bottom w:val="double" w:sz="4" w:space="0" w:color="auto"/>
              <w:right w:val="dashSmallGap" w:sz="4" w:space="0" w:color="BFBFBF" w:themeColor="background1" w:themeShade="BF"/>
            </w:tcBorders>
            <w:shd w:val="clear" w:color="auto" w:fill="auto"/>
            <w:noWrap/>
            <w:vAlign w:val="bottom"/>
            <w:hideMark/>
          </w:tcPr>
          <w:p w14:paraId="7C94AB8C" w14:textId="77777777" w:rsidR="00730DE4" w:rsidRPr="00730DE4" w:rsidRDefault="00730DE4" w:rsidP="001B3636">
            <w:pPr>
              <w:pStyle w:val="NoSpacing"/>
              <w:rPr>
                <w:rStyle w:val="Strong"/>
              </w:rPr>
            </w:pPr>
            <w:r w:rsidRPr="00730DE4">
              <w:rPr>
                <w:rStyle w:val="Strong"/>
              </w:rPr>
              <w:t> </w:t>
            </w:r>
          </w:p>
        </w:tc>
        <w:tc>
          <w:tcPr>
            <w:tcW w:w="845" w:type="pct"/>
            <w:tcBorders>
              <w:top w:val="single" w:sz="4" w:space="0" w:color="auto"/>
              <w:left w:val="dashSmallGap" w:sz="4" w:space="0" w:color="BFBFBF" w:themeColor="background1" w:themeShade="BF"/>
              <w:bottom w:val="double" w:sz="4" w:space="0" w:color="auto"/>
              <w:right w:val="dashSmallGap" w:sz="4" w:space="0" w:color="BFBFBF" w:themeColor="background1" w:themeShade="BF"/>
            </w:tcBorders>
            <w:shd w:val="clear" w:color="auto" w:fill="F2F2F2" w:themeFill="background1" w:themeFillShade="F2"/>
            <w:noWrap/>
            <w:vAlign w:val="bottom"/>
            <w:hideMark/>
          </w:tcPr>
          <w:p w14:paraId="6E861078" w14:textId="77777777" w:rsidR="00730DE4" w:rsidRPr="00730DE4" w:rsidRDefault="00730DE4" w:rsidP="001B3636">
            <w:pPr>
              <w:pStyle w:val="NoSpacing"/>
              <w:jc w:val="right"/>
              <w:rPr>
                <w:rStyle w:val="Strong"/>
              </w:rPr>
            </w:pPr>
            <w:r w:rsidRPr="00730DE4">
              <w:rPr>
                <w:rStyle w:val="Strong"/>
              </w:rPr>
              <w:t xml:space="preserve">116,296,966 </w:t>
            </w:r>
          </w:p>
        </w:tc>
        <w:tc>
          <w:tcPr>
            <w:tcW w:w="845" w:type="pct"/>
            <w:tcBorders>
              <w:top w:val="single" w:sz="4" w:space="0" w:color="auto"/>
              <w:left w:val="dashSmallGap" w:sz="4" w:space="0" w:color="BFBFBF" w:themeColor="background1" w:themeShade="BF"/>
              <w:bottom w:val="double" w:sz="4" w:space="0" w:color="auto"/>
              <w:right w:val="nil"/>
            </w:tcBorders>
            <w:shd w:val="clear" w:color="auto" w:fill="auto"/>
            <w:noWrap/>
            <w:vAlign w:val="bottom"/>
            <w:hideMark/>
          </w:tcPr>
          <w:p w14:paraId="2832BA1D" w14:textId="77777777" w:rsidR="00730DE4" w:rsidRPr="00730DE4" w:rsidRDefault="00730DE4" w:rsidP="001B3636">
            <w:pPr>
              <w:pStyle w:val="NoSpacing"/>
              <w:jc w:val="right"/>
              <w:rPr>
                <w:rStyle w:val="Strong"/>
              </w:rPr>
            </w:pPr>
            <w:r w:rsidRPr="00730DE4">
              <w:rPr>
                <w:rStyle w:val="Strong"/>
              </w:rPr>
              <w:t xml:space="preserve">109,731,906 </w:t>
            </w:r>
          </w:p>
        </w:tc>
      </w:tr>
      <w:tr w:rsidR="00730DE4" w:rsidRPr="00730DE4" w14:paraId="209FCDA0" w14:textId="77777777" w:rsidTr="001B3636">
        <w:trPr>
          <w:trHeight w:val="454"/>
        </w:trPr>
        <w:tc>
          <w:tcPr>
            <w:tcW w:w="2912" w:type="pct"/>
            <w:tcBorders>
              <w:top w:val="double" w:sz="4" w:space="0" w:color="auto"/>
              <w:left w:val="nil"/>
              <w:bottom w:val="dotted" w:sz="4" w:space="0" w:color="BFBFBF" w:themeColor="background1" w:themeShade="BF"/>
              <w:right w:val="dotted" w:sz="4" w:space="0" w:color="BFBFBF" w:themeColor="background1" w:themeShade="BF"/>
            </w:tcBorders>
            <w:shd w:val="clear" w:color="auto" w:fill="auto"/>
            <w:vAlign w:val="bottom"/>
          </w:tcPr>
          <w:p w14:paraId="46796DB8" w14:textId="77777777" w:rsidR="00730DE4" w:rsidRPr="00730DE4" w:rsidRDefault="00730DE4" w:rsidP="009E5BA1">
            <w:pPr>
              <w:pStyle w:val="NoSpacing"/>
              <w:rPr>
                <w:rStyle w:val="Strong"/>
              </w:rPr>
            </w:pPr>
            <w:r w:rsidRPr="00730DE4">
              <w:rPr>
                <w:rStyle w:val="Strong"/>
              </w:rPr>
              <w:t>Equity</w:t>
            </w:r>
          </w:p>
        </w:tc>
        <w:tc>
          <w:tcPr>
            <w:tcW w:w="398"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B73109F" w14:textId="77777777" w:rsidR="00730DE4" w:rsidRPr="00730DE4" w:rsidRDefault="00730DE4" w:rsidP="009E5BA1">
            <w:pPr>
              <w:pStyle w:val="NoSpacing"/>
              <w:jc w:val="right"/>
              <w:rPr>
                <w:rStyle w:val="Strong"/>
              </w:rPr>
            </w:pPr>
            <w:r w:rsidRPr="00730DE4">
              <w:rPr>
                <w:rStyle w:val="Strong"/>
              </w:rPr>
              <w:t> </w:t>
            </w:r>
          </w:p>
        </w:tc>
        <w:tc>
          <w:tcPr>
            <w:tcW w:w="845"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851895D" w14:textId="77777777" w:rsidR="00730DE4" w:rsidRPr="00730DE4" w:rsidRDefault="00730DE4" w:rsidP="009E5BA1">
            <w:pPr>
              <w:pStyle w:val="NoSpacing"/>
              <w:jc w:val="right"/>
              <w:rPr>
                <w:rStyle w:val="Strong"/>
              </w:rPr>
            </w:pPr>
            <w:r w:rsidRPr="00730DE4">
              <w:rPr>
                <w:rStyle w:val="Strong"/>
              </w:rPr>
              <w:t> </w:t>
            </w:r>
          </w:p>
        </w:tc>
        <w:tc>
          <w:tcPr>
            <w:tcW w:w="845" w:type="pct"/>
            <w:tcBorders>
              <w:top w:val="double" w:sz="4" w:space="0" w:color="auto"/>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B0F9A4F" w14:textId="77777777" w:rsidR="00730DE4" w:rsidRPr="00730DE4" w:rsidRDefault="00730DE4" w:rsidP="009E5BA1">
            <w:pPr>
              <w:pStyle w:val="NoSpacing"/>
              <w:jc w:val="right"/>
              <w:rPr>
                <w:rStyle w:val="Strong"/>
              </w:rPr>
            </w:pPr>
          </w:p>
        </w:tc>
      </w:tr>
      <w:tr w:rsidR="00730DE4" w:rsidRPr="00730DE4" w14:paraId="7B439C92" w14:textId="77777777" w:rsidTr="008A2F83">
        <w:tc>
          <w:tcPr>
            <w:tcW w:w="291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vAlign w:val="bottom"/>
          </w:tcPr>
          <w:p w14:paraId="2DA02F98" w14:textId="77777777" w:rsidR="00730DE4" w:rsidRPr="00730DE4" w:rsidRDefault="00730DE4" w:rsidP="009F6677">
            <w:pPr>
              <w:pStyle w:val="NoSpacingIndent"/>
            </w:pPr>
            <w:r w:rsidRPr="00730DE4">
              <w:t>Contributed equity</w:t>
            </w:r>
          </w:p>
        </w:tc>
        <w:tc>
          <w:tcPr>
            <w:tcW w:w="39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54EA418" w14:textId="77777777" w:rsidR="00730DE4" w:rsidRPr="00730DE4" w:rsidRDefault="00730DE4" w:rsidP="009E5BA1">
            <w:pPr>
              <w:pStyle w:val="NoSpacing"/>
              <w:jc w:val="right"/>
            </w:pPr>
          </w:p>
        </w:tc>
        <w:tc>
          <w:tcPr>
            <w:tcW w:w="84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4FA30AA" w14:textId="77777777" w:rsidR="00730DE4" w:rsidRPr="00730DE4" w:rsidRDefault="00730DE4" w:rsidP="009E5BA1">
            <w:pPr>
              <w:pStyle w:val="NoSpacing"/>
              <w:jc w:val="right"/>
            </w:pPr>
            <w:r w:rsidRPr="00730DE4">
              <w:t xml:space="preserve">73,606,760 </w:t>
            </w:r>
          </w:p>
        </w:tc>
        <w:tc>
          <w:tcPr>
            <w:tcW w:w="845"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D29E503" w14:textId="77777777" w:rsidR="00730DE4" w:rsidRPr="00730DE4" w:rsidRDefault="00730DE4" w:rsidP="009E5BA1">
            <w:pPr>
              <w:pStyle w:val="NoSpacing"/>
              <w:jc w:val="right"/>
            </w:pPr>
            <w:r w:rsidRPr="00730DE4">
              <w:t xml:space="preserve">70,014,674 </w:t>
            </w:r>
          </w:p>
        </w:tc>
      </w:tr>
      <w:tr w:rsidR="00730DE4" w:rsidRPr="00730DE4" w14:paraId="2E09F12B" w14:textId="77777777" w:rsidTr="008A2F83">
        <w:tc>
          <w:tcPr>
            <w:tcW w:w="291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vAlign w:val="bottom"/>
          </w:tcPr>
          <w:p w14:paraId="6BDA903C" w14:textId="77777777" w:rsidR="00730DE4" w:rsidRPr="00730DE4" w:rsidRDefault="00730DE4" w:rsidP="009F6677">
            <w:pPr>
              <w:pStyle w:val="NoSpacingIndent"/>
            </w:pPr>
            <w:r w:rsidRPr="00730DE4">
              <w:t>Accumulated surplus</w:t>
            </w:r>
          </w:p>
        </w:tc>
        <w:tc>
          <w:tcPr>
            <w:tcW w:w="39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ADC5019" w14:textId="77777777" w:rsidR="00730DE4" w:rsidRPr="00730DE4" w:rsidRDefault="00730DE4" w:rsidP="009E5BA1">
            <w:pPr>
              <w:pStyle w:val="NoSpacing"/>
              <w:jc w:val="right"/>
            </w:pPr>
          </w:p>
        </w:tc>
        <w:tc>
          <w:tcPr>
            <w:tcW w:w="84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0F9A420" w14:textId="77777777" w:rsidR="00730DE4" w:rsidRPr="00730DE4" w:rsidRDefault="00730DE4" w:rsidP="009E5BA1">
            <w:pPr>
              <w:pStyle w:val="NoSpacing"/>
              <w:jc w:val="right"/>
            </w:pPr>
            <w:r w:rsidRPr="00730DE4">
              <w:t xml:space="preserve">4,005,213 </w:t>
            </w:r>
          </w:p>
        </w:tc>
        <w:tc>
          <w:tcPr>
            <w:tcW w:w="845"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41A3FAE" w14:textId="77777777" w:rsidR="00730DE4" w:rsidRPr="00730DE4" w:rsidRDefault="00730DE4" w:rsidP="009E5BA1">
            <w:pPr>
              <w:pStyle w:val="NoSpacing"/>
              <w:jc w:val="right"/>
            </w:pPr>
            <w:r w:rsidRPr="00730DE4">
              <w:t xml:space="preserve">3,682,603 </w:t>
            </w:r>
          </w:p>
        </w:tc>
      </w:tr>
      <w:tr w:rsidR="00730DE4" w:rsidRPr="00730DE4" w14:paraId="6E41790E" w14:textId="77777777" w:rsidTr="00800A48">
        <w:tc>
          <w:tcPr>
            <w:tcW w:w="2912" w:type="pct"/>
            <w:tcBorders>
              <w:top w:val="dotted" w:sz="4" w:space="0" w:color="BFBFBF" w:themeColor="background1" w:themeShade="BF"/>
              <w:left w:val="nil"/>
              <w:bottom w:val="double" w:sz="4" w:space="0" w:color="auto"/>
              <w:right w:val="dotted" w:sz="4" w:space="0" w:color="BFBFBF" w:themeColor="background1" w:themeShade="BF"/>
            </w:tcBorders>
            <w:vAlign w:val="bottom"/>
          </w:tcPr>
          <w:p w14:paraId="4E75DB4F" w14:textId="77777777" w:rsidR="00730DE4" w:rsidRPr="00730DE4" w:rsidRDefault="00730DE4" w:rsidP="009F6677">
            <w:pPr>
              <w:pStyle w:val="NoSpacingIndent"/>
            </w:pPr>
            <w:r w:rsidRPr="00730DE4">
              <w:t>Asset revaluation surplus</w:t>
            </w:r>
          </w:p>
        </w:tc>
        <w:tc>
          <w:tcPr>
            <w:tcW w:w="398" w:type="pct"/>
            <w:tcBorders>
              <w:top w:val="dotted" w:sz="4" w:space="0" w:color="BFBFBF" w:themeColor="background1" w:themeShade="BF"/>
              <w:left w:val="dotted" w:sz="4" w:space="0" w:color="BFBFBF" w:themeColor="background1" w:themeShade="BF"/>
              <w:bottom w:val="double" w:sz="4" w:space="0" w:color="auto"/>
              <w:right w:val="dotted" w:sz="4" w:space="0" w:color="BFBFBF" w:themeColor="background1" w:themeShade="BF"/>
            </w:tcBorders>
            <w:shd w:val="clear" w:color="auto" w:fill="auto"/>
            <w:noWrap/>
            <w:vAlign w:val="bottom"/>
            <w:hideMark/>
          </w:tcPr>
          <w:p w14:paraId="1A6B33A1" w14:textId="77777777" w:rsidR="00730DE4" w:rsidRPr="00730DE4" w:rsidRDefault="00730DE4" w:rsidP="009E5BA1">
            <w:pPr>
              <w:pStyle w:val="NoSpacing"/>
              <w:jc w:val="right"/>
            </w:pPr>
            <w:r w:rsidRPr="00730DE4">
              <w:t> </w:t>
            </w:r>
          </w:p>
        </w:tc>
        <w:tc>
          <w:tcPr>
            <w:tcW w:w="845" w:type="pct"/>
            <w:tcBorders>
              <w:top w:val="dotted" w:sz="4" w:space="0" w:color="BFBFBF" w:themeColor="background1" w:themeShade="BF"/>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vAlign w:val="bottom"/>
            <w:hideMark/>
          </w:tcPr>
          <w:p w14:paraId="1DA8575F" w14:textId="77777777" w:rsidR="00730DE4" w:rsidRPr="00730DE4" w:rsidRDefault="00730DE4" w:rsidP="009E5BA1">
            <w:pPr>
              <w:pStyle w:val="NoSpacing"/>
              <w:jc w:val="right"/>
            </w:pPr>
            <w:r w:rsidRPr="00730DE4">
              <w:t xml:space="preserve">38,684,993 </w:t>
            </w:r>
          </w:p>
        </w:tc>
        <w:tc>
          <w:tcPr>
            <w:tcW w:w="845" w:type="pct"/>
            <w:tcBorders>
              <w:top w:val="dotted" w:sz="4" w:space="0" w:color="BFBFBF" w:themeColor="background1" w:themeShade="BF"/>
              <w:left w:val="dotted" w:sz="4" w:space="0" w:color="BFBFBF" w:themeColor="background1" w:themeShade="BF"/>
              <w:bottom w:val="double" w:sz="4" w:space="0" w:color="auto"/>
              <w:right w:val="nil"/>
            </w:tcBorders>
            <w:shd w:val="clear" w:color="auto" w:fill="auto"/>
            <w:noWrap/>
            <w:vAlign w:val="bottom"/>
            <w:hideMark/>
          </w:tcPr>
          <w:p w14:paraId="5E2C8D9C" w14:textId="77777777" w:rsidR="00730DE4" w:rsidRPr="00730DE4" w:rsidRDefault="00730DE4" w:rsidP="009E5BA1">
            <w:pPr>
              <w:pStyle w:val="NoSpacing"/>
              <w:jc w:val="right"/>
            </w:pPr>
            <w:r w:rsidRPr="00730DE4">
              <w:t xml:space="preserve">36,034,629 </w:t>
            </w:r>
          </w:p>
        </w:tc>
      </w:tr>
      <w:tr w:rsidR="00730DE4" w:rsidRPr="00730DE4" w14:paraId="3461706F" w14:textId="77777777" w:rsidTr="001B3636">
        <w:trPr>
          <w:trHeight w:val="454"/>
        </w:trPr>
        <w:tc>
          <w:tcPr>
            <w:tcW w:w="2912" w:type="pct"/>
            <w:tcBorders>
              <w:top w:val="double" w:sz="4" w:space="0" w:color="auto"/>
              <w:left w:val="nil"/>
              <w:bottom w:val="double" w:sz="4" w:space="0" w:color="auto"/>
              <w:right w:val="dotted" w:sz="4" w:space="0" w:color="BFBFBF" w:themeColor="background1" w:themeShade="BF"/>
            </w:tcBorders>
            <w:vAlign w:val="bottom"/>
          </w:tcPr>
          <w:p w14:paraId="60CDF0B1" w14:textId="77777777" w:rsidR="00730DE4" w:rsidRPr="00730DE4" w:rsidRDefault="00730DE4" w:rsidP="001B3636">
            <w:pPr>
              <w:pStyle w:val="NoSpacing"/>
              <w:rPr>
                <w:rStyle w:val="Strong"/>
              </w:rPr>
            </w:pPr>
            <w:r w:rsidRPr="00730DE4">
              <w:rPr>
                <w:rStyle w:val="Strong"/>
              </w:rPr>
              <w:t>Total equity</w:t>
            </w:r>
          </w:p>
        </w:tc>
        <w:tc>
          <w:tcPr>
            <w:tcW w:w="398" w:type="pct"/>
            <w:tcBorders>
              <w:top w:val="doub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vAlign w:val="bottom"/>
          </w:tcPr>
          <w:p w14:paraId="579791A3" w14:textId="77777777" w:rsidR="00730DE4" w:rsidRPr="00730DE4" w:rsidRDefault="00730DE4" w:rsidP="001B3636">
            <w:pPr>
              <w:pStyle w:val="NoSpacing"/>
              <w:jc w:val="right"/>
              <w:rPr>
                <w:rStyle w:val="Strong"/>
              </w:rPr>
            </w:pPr>
            <w:r w:rsidRPr="00730DE4">
              <w:rPr>
                <w:rStyle w:val="Strong"/>
              </w:rPr>
              <w:t> </w:t>
            </w:r>
          </w:p>
        </w:tc>
        <w:tc>
          <w:tcPr>
            <w:tcW w:w="845" w:type="pct"/>
            <w:tcBorders>
              <w:top w:val="doub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vAlign w:val="bottom"/>
          </w:tcPr>
          <w:p w14:paraId="6CBB0429" w14:textId="77777777" w:rsidR="00730DE4" w:rsidRPr="00730DE4" w:rsidRDefault="00730DE4" w:rsidP="001B3636">
            <w:pPr>
              <w:pStyle w:val="NoSpacing"/>
              <w:jc w:val="right"/>
              <w:rPr>
                <w:rStyle w:val="Strong"/>
              </w:rPr>
            </w:pPr>
            <w:r w:rsidRPr="00730DE4">
              <w:rPr>
                <w:rStyle w:val="Strong"/>
              </w:rPr>
              <w:t xml:space="preserve">116,296,966 </w:t>
            </w:r>
          </w:p>
        </w:tc>
        <w:tc>
          <w:tcPr>
            <w:tcW w:w="845" w:type="pct"/>
            <w:tcBorders>
              <w:top w:val="double" w:sz="4" w:space="0" w:color="auto"/>
              <w:left w:val="dotted" w:sz="4" w:space="0" w:color="BFBFBF" w:themeColor="background1" w:themeShade="BF"/>
              <w:bottom w:val="double" w:sz="4" w:space="0" w:color="auto"/>
              <w:right w:val="nil"/>
            </w:tcBorders>
            <w:shd w:val="clear" w:color="auto" w:fill="auto"/>
            <w:noWrap/>
            <w:vAlign w:val="bottom"/>
          </w:tcPr>
          <w:p w14:paraId="5D9B92F4" w14:textId="77777777" w:rsidR="00730DE4" w:rsidRPr="00730DE4" w:rsidRDefault="00730DE4" w:rsidP="001B3636">
            <w:pPr>
              <w:pStyle w:val="NoSpacing"/>
              <w:jc w:val="right"/>
              <w:rPr>
                <w:rStyle w:val="Strong"/>
              </w:rPr>
            </w:pPr>
            <w:r w:rsidRPr="00730DE4">
              <w:rPr>
                <w:rStyle w:val="Strong"/>
              </w:rPr>
              <w:t xml:space="preserve">109,731,906 </w:t>
            </w:r>
          </w:p>
        </w:tc>
      </w:tr>
    </w:tbl>
    <w:p w14:paraId="19232B57" w14:textId="77777777" w:rsidR="00730DE4" w:rsidRPr="00730DE4" w:rsidRDefault="00730DE4" w:rsidP="006D2F0E">
      <w:pPr>
        <w:pStyle w:val="Caption"/>
        <w:rPr>
          <w:rStyle w:val="Emphasis"/>
        </w:rPr>
      </w:pPr>
      <w:r w:rsidRPr="00730DE4">
        <w:rPr>
          <w:rStyle w:val="Emphasis"/>
        </w:rPr>
        <w:t>The accompanying notes form part of these financial statements.</w:t>
      </w:r>
      <w:bookmarkStart w:id="1417" w:name="_Hlk141879211"/>
      <w:bookmarkStart w:id="1418" w:name="_Hlk139613146"/>
    </w:p>
    <w:p w14:paraId="75427A59" w14:textId="77777777" w:rsidR="00730DE4" w:rsidRPr="00730DE4" w:rsidRDefault="00730DE4" w:rsidP="00370697">
      <w:pPr>
        <w:pStyle w:val="Heading3"/>
        <w:sectPr w:rsidR="00730DE4" w:rsidRPr="00730DE4" w:rsidSect="00730DE4">
          <w:pgSz w:w="16838" w:h="23811" w:code="8"/>
          <w:pgMar w:top="1134" w:right="1418" w:bottom="1134" w:left="1418" w:header="227" w:footer="227" w:gutter="0"/>
          <w:cols w:space="708"/>
          <w:docGrid w:linePitch="360"/>
        </w:sectPr>
      </w:pPr>
    </w:p>
    <w:p w14:paraId="125CAF0E" w14:textId="77777777" w:rsidR="00730DE4" w:rsidRPr="00730DE4" w:rsidRDefault="00730DE4" w:rsidP="006A14A6">
      <w:pPr>
        <w:pStyle w:val="Heading2"/>
      </w:pPr>
      <w:bookmarkStart w:id="1419" w:name="_Toc179365595"/>
      <w:bookmarkStart w:id="1420" w:name="_Toc180490900"/>
      <w:bookmarkStart w:id="1421" w:name="_Toc180491933"/>
      <w:r w:rsidRPr="00730DE4">
        <w:t>Statement of comprehensive income by major departmental services</w:t>
      </w:r>
      <w:bookmarkEnd w:id="1417"/>
      <w:bookmarkEnd w:id="1419"/>
      <w:bookmarkEnd w:id="1420"/>
      <w:bookmarkEnd w:id="1421"/>
    </w:p>
    <w:p w14:paraId="08B47658" w14:textId="77777777" w:rsidR="00730DE4" w:rsidRPr="00730DE4" w:rsidRDefault="00730DE4" w:rsidP="005B343F">
      <w:pPr>
        <w:pStyle w:val="NoSpacing"/>
        <w:rPr>
          <w:sz w:val="24"/>
          <w:szCs w:val="24"/>
        </w:rPr>
      </w:pPr>
      <w:r w:rsidRPr="00730DE4">
        <w:rPr>
          <w:sz w:val="24"/>
          <w:szCs w:val="24"/>
        </w:rPr>
        <w:t>For the year ended 30 June 2024</w:t>
      </w:r>
    </w:p>
    <w:bookmarkEnd w:id="1418"/>
    <w:p w14:paraId="0E2CC1AC" w14:textId="77777777" w:rsidR="00730DE4" w:rsidRPr="00730DE4" w:rsidRDefault="00730DE4" w:rsidP="009D3417">
      <w:pPr>
        <w:pStyle w:val="NoSpacing"/>
      </w:pPr>
    </w:p>
    <w:tbl>
      <w:tblPr>
        <w:tblW w:w="5000" w:type="pct"/>
        <w:tblLayout w:type="fixed"/>
        <w:tblCellMar>
          <w:top w:w="23" w:type="dxa"/>
          <w:left w:w="23" w:type="dxa"/>
          <w:bottom w:w="23" w:type="dxa"/>
          <w:right w:w="23" w:type="dxa"/>
        </w:tblCellMar>
        <w:tblLook w:val="04A0" w:firstRow="1" w:lastRow="0" w:firstColumn="1" w:lastColumn="0" w:noHBand="0" w:noVBand="1"/>
      </w:tblPr>
      <w:tblGrid>
        <w:gridCol w:w="5671"/>
        <w:gridCol w:w="2550"/>
        <w:gridCol w:w="2550"/>
        <w:gridCol w:w="2551"/>
        <w:gridCol w:w="2551"/>
        <w:gridCol w:w="2551"/>
        <w:gridCol w:w="2551"/>
      </w:tblGrid>
      <w:tr w:rsidR="00730DE4" w:rsidRPr="00730DE4" w14:paraId="73214E83" w14:textId="77777777" w:rsidTr="00253FBD">
        <w:trPr>
          <w:cantSplit/>
        </w:trPr>
        <w:tc>
          <w:tcPr>
            <w:tcW w:w="1352" w:type="pct"/>
            <w:tcBorders>
              <w:top w:val="nil"/>
              <w:left w:val="nil"/>
              <w:bottom w:val="single" w:sz="4" w:space="0" w:color="auto"/>
              <w:right w:val="nil"/>
            </w:tcBorders>
            <w:shd w:val="clear" w:color="auto" w:fill="auto"/>
            <w:vAlign w:val="bottom"/>
          </w:tcPr>
          <w:p w14:paraId="660EA3B2" w14:textId="77777777" w:rsidR="00730DE4" w:rsidRPr="00730DE4" w:rsidRDefault="00730DE4" w:rsidP="00E50A17">
            <w:pPr>
              <w:pStyle w:val="NoSpacing"/>
              <w:rPr>
                <w:color w:val="080C0F" w:themeColor="text1"/>
                <w:szCs w:val="20"/>
              </w:rPr>
            </w:pPr>
            <w:r w:rsidRPr="00730DE4">
              <w:rPr>
                <w:rStyle w:val="Strong"/>
              </w:rPr>
              <w:t>OPERATING RESULT</w:t>
            </w:r>
          </w:p>
        </w:tc>
        <w:tc>
          <w:tcPr>
            <w:tcW w:w="608" w:type="pct"/>
            <w:tcBorders>
              <w:top w:val="nil"/>
              <w:left w:val="nil"/>
              <w:bottom w:val="single" w:sz="4" w:space="0" w:color="auto"/>
              <w:right w:val="nil"/>
            </w:tcBorders>
            <w:shd w:val="clear" w:color="auto" w:fill="auto"/>
            <w:noWrap/>
            <w:vAlign w:val="bottom"/>
          </w:tcPr>
          <w:p w14:paraId="5AAAD70D" w14:textId="77777777" w:rsidR="00730DE4" w:rsidRPr="00730DE4" w:rsidRDefault="00730DE4" w:rsidP="00F517C7">
            <w:pPr>
              <w:pStyle w:val="NoSpacing"/>
              <w:jc w:val="right"/>
              <w:rPr>
                <w:color w:val="080C0F" w:themeColor="text1"/>
                <w:szCs w:val="20"/>
              </w:rPr>
            </w:pPr>
            <w:r w:rsidRPr="00730DE4">
              <w:rPr>
                <w:rStyle w:val="Strong"/>
              </w:rPr>
              <w:t xml:space="preserve">Transport system investment planning and programming </w:t>
            </w:r>
            <w:r w:rsidRPr="00730DE4">
              <w:rPr>
                <w:rStyle w:val="Strong"/>
              </w:rPr>
              <w:br/>
            </w:r>
            <w:r w:rsidRPr="00730DE4">
              <w:rPr>
                <w:rStyle w:val="Strong"/>
              </w:rPr>
              <w:br/>
              <w:t>2024</w:t>
            </w:r>
            <w:r w:rsidRPr="00730DE4">
              <w:rPr>
                <w:rStyle w:val="Strong"/>
              </w:rPr>
              <w:br/>
              <w:t>$'000</w:t>
            </w:r>
          </w:p>
        </w:tc>
        <w:tc>
          <w:tcPr>
            <w:tcW w:w="608" w:type="pct"/>
            <w:tcBorders>
              <w:top w:val="nil"/>
              <w:left w:val="nil"/>
              <w:bottom w:val="single" w:sz="4" w:space="0" w:color="auto"/>
              <w:right w:val="nil"/>
            </w:tcBorders>
            <w:shd w:val="clear" w:color="auto" w:fill="auto"/>
            <w:noWrap/>
            <w:vAlign w:val="bottom"/>
          </w:tcPr>
          <w:p w14:paraId="6709036F" w14:textId="77777777" w:rsidR="00730DE4" w:rsidRPr="00730DE4" w:rsidRDefault="00730DE4" w:rsidP="00F517C7">
            <w:pPr>
              <w:pStyle w:val="NoSpacing"/>
              <w:jc w:val="right"/>
              <w:rPr>
                <w:color w:val="080C0F" w:themeColor="text1"/>
                <w:szCs w:val="20"/>
              </w:rPr>
            </w:pPr>
            <w:r w:rsidRPr="00730DE4">
              <w:rPr>
                <w:rStyle w:val="Strong"/>
              </w:rPr>
              <w:t xml:space="preserve">Transport infrastructure management and </w:t>
            </w:r>
            <w:r w:rsidRPr="00730DE4">
              <w:rPr>
                <w:rStyle w:val="Strong"/>
              </w:rPr>
              <w:br/>
              <w:t xml:space="preserve">delivery </w:t>
            </w:r>
            <w:r w:rsidRPr="00730DE4">
              <w:rPr>
                <w:rStyle w:val="Strong"/>
              </w:rPr>
              <w:br/>
            </w:r>
            <w:r w:rsidRPr="00730DE4">
              <w:rPr>
                <w:rStyle w:val="Strong"/>
              </w:rPr>
              <w:br/>
              <w:t xml:space="preserve">2024 </w:t>
            </w:r>
            <w:r w:rsidRPr="00730DE4">
              <w:rPr>
                <w:rStyle w:val="Strong"/>
              </w:rPr>
              <w:br/>
              <w:t>$'000</w:t>
            </w:r>
          </w:p>
        </w:tc>
        <w:tc>
          <w:tcPr>
            <w:tcW w:w="608" w:type="pct"/>
            <w:tcBorders>
              <w:top w:val="nil"/>
              <w:left w:val="nil"/>
              <w:bottom w:val="single" w:sz="4" w:space="0" w:color="auto"/>
              <w:right w:val="nil"/>
            </w:tcBorders>
            <w:shd w:val="clear" w:color="auto" w:fill="auto"/>
            <w:noWrap/>
            <w:vAlign w:val="bottom"/>
          </w:tcPr>
          <w:p w14:paraId="5FD5A0E0" w14:textId="77777777" w:rsidR="00730DE4" w:rsidRPr="00730DE4" w:rsidRDefault="00730DE4" w:rsidP="00F517C7">
            <w:pPr>
              <w:pStyle w:val="NoSpacing"/>
              <w:jc w:val="right"/>
              <w:rPr>
                <w:color w:val="080C0F" w:themeColor="text1"/>
                <w:szCs w:val="20"/>
              </w:rPr>
            </w:pPr>
            <w:r w:rsidRPr="00730DE4">
              <w:rPr>
                <w:rStyle w:val="Strong"/>
              </w:rPr>
              <w:t xml:space="preserve">Transport safety </w:t>
            </w:r>
            <w:r w:rsidRPr="00730DE4">
              <w:rPr>
                <w:rStyle w:val="Strong"/>
              </w:rPr>
              <w:br/>
              <w:t>and regulation</w:t>
            </w:r>
            <w:r w:rsidRPr="00730DE4">
              <w:rPr>
                <w:rStyle w:val="Strong"/>
              </w:rPr>
              <w:br/>
              <w:t xml:space="preserve"> </w:t>
            </w:r>
            <w:r w:rsidRPr="00730DE4">
              <w:rPr>
                <w:rStyle w:val="Strong"/>
              </w:rPr>
              <w:br/>
            </w:r>
            <w:r w:rsidRPr="00730DE4">
              <w:rPr>
                <w:rStyle w:val="Strong"/>
              </w:rPr>
              <w:br/>
              <w:t xml:space="preserve">2024 </w:t>
            </w:r>
            <w:r w:rsidRPr="00730DE4">
              <w:rPr>
                <w:rStyle w:val="Strong"/>
              </w:rPr>
              <w:br/>
              <w:t>$'000</w:t>
            </w:r>
          </w:p>
        </w:tc>
        <w:tc>
          <w:tcPr>
            <w:tcW w:w="608" w:type="pct"/>
            <w:tcBorders>
              <w:top w:val="nil"/>
              <w:left w:val="nil"/>
              <w:bottom w:val="single" w:sz="4" w:space="0" w:color="auto"/>
              <w:right w:val="nil"/>
            </w:tcBorders>
            <w:shd w:val="clear" w:color="auto" w:fill="auto"/>
            <w:noWrap/>
            <w:vAlign w:val="bottom"/>
          </w:tcPr>
          <w:p w14:paraId="21898C44" w14:textId="77777777" w:rsidR="00730DE4" w:rsidRPr="00730DE4" w:rsidRDefault="00730DE4" w:rsidP="00F517C7">
            <w:pPr>
              <w:pStyle w:val="NoSpacing"/>
              <w:jc w:val="right"/>
              <w:rPr>
                <w:color w:val="080C0F" w:themeColor="text1"/>
                <w:szCs w:val="20"/>
              </w:rPr>
            </w:pPr>
            <w:r w:rsidRPr="00730DE4">
              <w:rPr>
                <w:rStyle w:val="Strong"/>
              </w:rPr>
              <w:t xml:space="preserve">Customer </w:t>
            </w:r>
            <w:r w:rsidRPr="00730DE4">
              <w:rPr>
                <w:rStyle w:val="Strong"/>
              </w:rPr>
              <w:br/>
              <w:t>experience</w:t>
            </w:r>
            <w:r w:rsidRPr="00730DE4">
              <w:rPr>
                <w:rStyle w:val="Strong"/>
              </w:rPr>
              <w:br/>
              <w:t xml:space="preserve"> </w:t>
            </w:r>
            <w:r w:rsidRPr="00730DE4">
              <w:rPr>
                <w:rStyle w:val="Strong"/>
              </w:rPr>
              <w:br/>
            </w:r>
            <w:r w:rsidRPr="00730DE4">
              <w:rPr>
                <w:rStyle w:val="Strong"/>
              </w:rPr>
              <w:br/>
              <w:t xml:space="preserve">2024 </w:t>
            </w:r>
            <w:r w:rsidRPr="00730DE4">
              <w:rPr>
                <w:rStyle w:val="Strong"/>
              </w:rPr>
              <w:br/>
              <w:t>$'000</w:t>
            </w:r>
          </w:p>
        </w:tc>
        <w:tc>
          <w:tcPr>
            <w:tcW w:w="608" w:type="pct"/>
            <w:tcBorders>
              <w:top w:val="nil"/>
              <w:left w:val="nil"/>
              <w:bottom w:val="single" w:sz="4" w:space="0" w:color="auto"/>
              <w:right w:val="nil"/>
            </w:tcBorders>
            <w:shd w:val="clear" w:color="auto" w:fill="auto"/>
            <w:noWrap/>
            <w:vAlign w:val="bottom"/>
          </w:tcPr>
          <w:p w14:paraId="34D6CCD8" w14:textId="77777777" w:rsidR="00730DE4" w:rsidRPr="00730DE4" w:rsidRDefault="00730DE4" w:rsidP="00F517C7">
            <w:pPr>
              <w:pStyle w:val="NoSpacing"/>
              <w:jc w:val="right"/>
              <w:rPr>
                <w:color w:val="080C0F" w:themeColor="text1"/>
                <w:szCs w:val="20"/>
              </w:rPr>
            </w:pPr>
            <w:r w:rsidRPr="00730DE4">
              <w:rPr>
                <w:rStyle w:val="Strong"/>
              </w:rPr>
              <w:t xml:space="preserve">Passenger </w:t>
            </w:r>
            <w:r w:rsidRPr="00730DE4">
              <w:rPr>
                <w:rStyle w:val="Strong"/>
              </w:rPr>
              <w:br/>
              <w:t>transport services</w:t>
            </w:r>
            <w:r w:rsidRPr="00730DE4">
              <w:rPr>
                <w:rStyle w:val="Strong"/>
              </w:rPr>
              <w:br/>
              <w:t xml:space="preserve"> </w:t>
            </w:r>
            <w:r w:rsidRPr="00730DE4">
              <w:rPr>
                <w:rStyle w:val="Strong"/>
              </w:rPr>
              <w:br/>
            </w:r>
            <w:r w:rsidRPr="00730DE4">
              <w:rPr>
                <w:rStyle w:val="Strong"/>
              </w:rPr>
              <w:br/>
              <w:t xml:space="preserve">2024 </w:t>
            </w:r>
            <w:r w:rsidRPr="00730DE4">
              <w:rPr>
                <w:rStyle w:val="Strong"/>
              </w:rPr>
              <w:br/>
              <w:t>$'000</w:t>
            </w:r>
          </w:p>
        </w:tc>
        <w:tc>
          <w:tcPr>
            <w:tcW w:w="608" w:type="pct"/>
            <w:tcBorders>
              <w:top w:val="nil"/>
              <w:left w:val="nil"/>
              <w:bottom w:val="single" w:sz="4" w:space="0" w:color="auto"/>
              <w:right w:val="nil"/>
            </w:tcBorders>
            <w:shd w:val="clear" w:color="auto" w:fill="auto"/>
            <w:noWrap/>
            <w:vAlign w:val="bottom"/>
          </w:tcPr>
          <w:p w14:paraId="2F7D4087" w14:textId="77777777" w:rsidR="00730DE4" w:rsidRPr="00730DE4" w:rsidRDefault="00730DE4" w:rsidP="00F517C7">
            <w:pPr>
              <w:pStyle w:val="NoSpacing"/>
              <w:jc w:val="right"/>
              <w:rPr>
                <w:color w:val="080C0F" w:themeColor="text1"/>
                <w:szCs w:val="20"/>
              </w:rPr>
            </w:pPr>
            <w:r w:rsidRPr="00730DE4">
              <w:rPr>
                <w:rStyle w:val="Strong"/>
              </w:rPr>
              <w:t xml:space="preserve">Transport infrastructure construction and maintenance </w:t>
            </w:r>
            <w:r w:rsidRPr="00730DE4">
              <w:rPr>
                <w:rStyle w:val="Strong"/>
              </w:rPr>
              <w:br/>
            </w:r>
            <w:r w:rsidRPr="00730DE4">
              <w:rPr>
                <w:rStyle w:val="Strong"/>
              </w:rPr>
              <w:br/>
              <w:t xml:space="preserve">2024 </w:t>
            </w:r>
            <w:r w:rsidRPr="00730DE4">
              <w:rPr>
                <w:rStyle w:val="Strong"/>
              </w:rPr>
              <w:br/>
              <w:t>$'000</w:t>
            </w:r>
          </w:p>
        </w:tc>
      </w:tr>
      <w:tr w:rsidR="00730DE4" w:rsidRPr="00730DE4" w14:paraId="16FDFD8D" w14:textId="77777777" w:rsidTr="001B3636">
        <w:trPr>
          <w:cantSplit/>
          <w:trHeight w:val="340"/>
        </w:trPr>
        <w:tc>
          <w:tcPr>
            <w:tcW w:w="1352"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vAlign w:val="bottom"/>
          </w:tcPr>
          <w:p w14:paraId="5FCDDEC4" w14:textId="77777777" w:rsidR="00730DE4" w:rsidRPr="00730DE4" w:rsidRDefault="00730DE4" w:rsidP="00E50A17">
            <w:pPr>
              <w:pStyle w:val="NoSpacing"/>
              <w:rPr>
                <w:color w:val="080C0F" w:themeColor="text1"/>
                <w:szCs w:val="20"/>
              </w:rPr>
            </w:pPr>
            <w:r w:rsidRPr="00730DE4">
              <w:rPr>
                <w:rStyle w:val="Strong"/>
              </w:rPr>
              <w:t>Income</w:t>
            </w: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77E7E3AF" w14:textId="77777777" w:rsidR="00730DE4" w:rsidRPr="00730DE4" w:rsidRDefault="00730DE4" w:rsidP="00E50A17">
            <w:pPr>
              <w:pStyle w:val="NoSpacing"/>
              <w:jc w:val="right"/>
              <w:rPr>
                <w:color w:val="080C0F" w:themeColor="text1"/>
                <w:szCs w:val="20"/>
              </w:rPr>
            </w:pP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1616B2A7" w14:textId="77777777" w:rsidR="00730DE4" w:rsidRPr="00730DE4" w:rsidRDefault="00730DE4" w:rsidP="00E50A17">
            <w:pPr>
              <w:pStyle w:val="NoSpacing"/>
              <w:jc w:val="right"/>
              <w:rPr>
                <w:color w:val="080C0F" w:themeColor="text1"/>
                <w:szCs w:val="20"/>
              </w:rPr>
            </w:pP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7FD070BA" w14:textId="77777777" w:rsidR="00730DE4" w:rsidRPr="00730DE4" w:rsidRDefault="00730DE4" w:rsidP="00E50A17">
            <w:pPr>
              <w:pStyle w:val="NoSpacing"/>
              <w:jc w:val="right"/>
              <w:rPr>
                <w:color w:val="080C0F" w:themeColor="text1"/>
                <w:szCs w:val="20"/>
              </w:rPr>
            </w:pP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7A819B62" w14:textId="77777777" w:rsidR="00730DE4" w:rsidRPr="00730DE4" w:rsidRDefault="00730DE4" w:rsidP="00E50A17">
            <w:pPr>
              <w:pStyle w:val="NoSpacing"/>
              <w:jc w:val="right"/>
              <w:rPr>
                <w:color w:val="080C0F" w:themeColor="text1"/>
                <w:szCs w:val="20"/>
              </w:rPr>
            </w:pP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5932FCB4" w14:textId="77777777" w:rsidR="00730DE4" w:rsidRPr="00730DE4" w:rsidRDefault="00730DE4" w:rsidP="00E50A17">
            <w:pPr>
              <w:pStyle w:val="NoSpacing"/>
              <w:jc w:val="right"/>
              <w:rPr>
                <w:color w:val="080C0F" w:themeColor="text1"/>
                <w:szCs w:val="20"/>
              </w:rPr>
            </w:pPr>
          </w:p>
        </w:tc>
        <w:tc>
          <w:tcPr>
            <w:tcW w:w="608"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tcPr>
          <w:p w14:paraId="14157A35" w14:textId="77777777" w:rsidR="00730DE4" w:rsidRPr="00730DE4" w:rsidRDefault="00730DE4" w:rsidP="00E50A17">
            <w:pPr>
              <w:pStyle w:val="NoSpacing"/>
              <w:jc w:val="right"/>
              <w:rPr>
                <w:color w:val="080C0F" w:themeColor="text1"/>
                <w:szCs w:val="20"/>
              </w:rPr>
            </w:pPr>
          </w:p>
        </w:tc>
      </w:tr>
      <w:tr w:rsidR="00730DE4" w:rsidRPr="00730DE4" w14:paraId="4792080A" w14:textId="77777777" w:rsidTr="001B3636">
        <w:trPr>
          <w:cantSplit/>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28F4C9D7" w14:textId="77777777" w:rsidR="00730DE4" w:rsidRPr="00730DE4" w:rsidRDefault="00730DE4" w:rsidP="0088371D">
            <w:pPr>
              <w:pStyle w:val="NoSpacingIndent"/>
            </w:pPr>
            <w:r w:rsidRPr="00730DE4">
              <w:t>Appropriation revenue</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51EFF8BF"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122,178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7E26A7B3"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2,735,010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2BFC88F2"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71,181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121E7CC4"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365,028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36A51E4E"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3,487,840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tcPr>
          <w:p w14:paraId="77886B87"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 </w:t>
            </w:r>
          </w:p>
        </w:tc>
      </w:tr>
      <w:tr w:rsidR="00730DE4" w:rsidRPr="00730DE4" w14:paraId="57CB4D2C" w14:textId="77777777" w:rsidTr="001B3636">
        <w:trPr>
          <w:cantSplit/>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484B33FC" w14:textId="77777777" w:rsidR="00730DE4" w:rsidRPr="00730DE4" w:rsidRDefault="00730DE4" w:rsidP="0088371D">
            <w:pPr>
              <w:pStyle w:val="NoSpacingIndent"/>
            </w:pPr>
            <w:r w:rsidRPr="00730DE4">
              <w:t>User charges and fees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81627E9"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44,137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505D58F"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79,976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BDEA677"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293,690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7A50311"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16,845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07362DD"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358,782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45A4A142"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853,024 </w:t>
            </w:r>
          </w:p>
        </w:tc>
      </w:tr>
      <w:tr w:rsidR="00730DE4" w:rsidRPr="00730DE4" w14:paraId="310C0656" w14:textId="77777777" w:rsidTr="001B3636">
        <w:trPr>
          <w:cantSplit/>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2D5C75EA" w14:textId="77777777" w:rsidR="00730DE4" w:rsidRPr="00730DE4" w:rsidRDefault="00730DE4" w:rsidP="0088371D">
            <w:pPr>
              <w:pStyle w:val="NoSpacingIndent"/>
            </w:pPr>
            <w:r w:rsidRPr="00730DE4">
              <w:t xml:space="preserve">Grants and other contributions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F245F2F"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66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1646B5C"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538,139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47787BB"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3,745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89EEC92"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3E67C7F"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54,662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7C42FDB5"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 </w:t>
            </w:r>
          </w:p>
        </w:tc>
      </w:tr>
      <w:tr w:rsidR="00730DE4" w:rsidRPr="00730DE4" w14:paraId="61A4BF0B" w14:textId="77777777" w:rsidTr="001B3636">
        <w:trPr>
          <w:cantSplit/>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355BD534" w14:textId="77777777" w:rsidR="00730DE4" w:rsidRPr="00730DE4" w:rsidRDefault="00730DE4" w:rsidP="0088371D">
            <w:pPr>
              <w:pStyle w:val="NoSpacingIndent"/>
            </w:pPr>
            <w:r w:rsidRPr="00730DE4">
              <w:t>Service concession arrangements revenue</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F0EFC11"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CE8D94A"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223,020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BE4BFCE"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19F061A"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CB9B2C4"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9,160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0B0BE033"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 </w:t>
            </w:r>
          </w:p>
        </w:tc>
      </w:tr>
      <w:tr w:rsidR="00730DE4" w:rsidRPr="00730DE4" w14:paraId="5B58B60C" w14:textId="77777777" w:rsidTr="001B3636">
        <w:trPr>
          <w:cantSplit/>
        </w:trPr>
        <w:tc>
          <w:tcPr>
            <w:tcW w:w="1352"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vAlign w:val="bottom"/>
          </w:tcPr>
          <w:p w14:paraId="084203E2" w14:textId="77777777" w:rsidR="00730DE4" w:rsidRPr="00730DE4" w:rsidRDefault="00730DE4" w:rsidP="0088371D">
            <w:pPr>
              <w:pStyle w:val="NoSpacingIndent"/>
            </w:pPr>
            <w:r w:rsidRPr="00730DE4">
              <w:t>Other revenue</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679BA461"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2,460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58FE0EAE"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30,083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25860334"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921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21359B23"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15,567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208D5EDD"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10,335 </w:t>
            </w:r>
          </w:p>
        </w:tc>
        <w:tc>
          <w:tcPr>
            <w:tcW w:w="608"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F2F2F2" w:themeFill="background1" w:themeFillShade="F2"/>
            <w:noWrap/>
            <w:vAlign w:val="bottom"/>
            <w:hideMark/>
          </w:tcPr>
          <w:p w14:paraId="6A7D1342"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2,618 </w:t>
            </w:r>
          </w:p>
        </w:tc>
      </w:tr>
      <w:tr w:rsidR="00730DE4" w:rsidRPr="00730DE4" w14:paraId="683F8691" w14:textId="77777777" w:rsidTr="001B3636">
        <w:trPr>
          <w:cantSplit/>
          <w:trHeight w:val="340"/>
        </w:trPr>
        <w:tc>
          <w:tcPr>
            <w:tcW w:w="1352" w:type="pct"/>
            <w:tcBorders>
              <w:top w:val="single" w:sz="4" w:space="0" w:color="auto"/>
              <w:left w:val="nil"/>
              <w:right w:val="dotted" w:sz="4" w:space="0" w:color="BFBFBF" w:themeColor="background1" w:themeShade="BF"/>
            </w:tcBorders>
            <w:shd w:val="clear" w:color="auto" w:fill="auto"/>
          </w:tcPr>
          <w:p w14:paraId="754CD9DA" w14:textId="77777777" w:rsidR="00730DE4" w:rsidRPr="00730DE4" w:rsidRDefault="00730DE4" w:rsidP="0088371D">
            <w:pPr>
              <w:pStyle w:val="NoSpacingIndent"/>
              <w:rPr>
                <w:rStyle w:val="Strong"/>
              </w:rPr>
            </w:pPr>
            <w:r w:rsidRPr="00730DE4">
              <w:rPr>
                <w:rStyle w:val="Strong"/>
              </w:rPr>
              <w:t>Total revenue</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204E64D4" w14:textId="77777777" w:rsidR="00730DE4" w:rsidRPr="00730DE4" w:rsidRDefault="00730DE4" w:rsidP="00E50A17">
            <w:pPr>
              <w:pStyle w:val="NoSpacing"/>
              <w:jc w:val="right"/>
              <w:rPr>
                <w:color w:val="080C0F" w:themeColor="text1"/>
                <w:szCs w:val="20"/>
              </w:rPr>
            </w:pPr>
            <w:r w:rsidRPr="00730DE4">
              <w:rPr>
                <w:rStyle w:val="Strong"/>
              </w:rPr>
              <w:t xml:space="preserve">168,841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7A7ECA64" w14:textId="77777777" w:rsidR="00730DE4" w:rsidRPr="00730DE4" w:rsidRDefault="00730DE4" w:rsidP="00E50A17">
            <w:pPr>
              <w:pStyle w:val="NoSpacing"/>
              <w:jc w:val="right"/>
              <w:rPr>
                <w:color w:val="080C0F" w:themeColor="text1"/>
                <w:szCs w:val="20"/>
              </w:rPr>
            </w:pPr>
            <w:r w:rsidRPr="00730DE4">
              <w:rPr>
                <w:rStyle w:val="Strong"/>
              </w:rPr>
              <w:t xml:space="preserve">3,606,228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6D275310" w14:textId="77777777" w:rsidR="00730DE4" w:rsidRPr="00730DE4" w:rsidRDefault="00730DE4" w:rsidP="00E50A17">
            <w:pPr>
              <w:pStyle w:val="NoSpacing"/>
              <w:jc w:val="right"/>
              <w:rPr>
                <w:color w:val="080C0F" w:themeColor="text1"/>
                <w:szCs w:val="20"/>
              </w:rPr>
            </w:pPr>
            <w:r w:rsidRPr="00730DE4">
              <w:rPr>
                <w:rStyle w:val="Strong"/>
              </w:rPr>
              <w:t xml:space="preserve">369,537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18AA8D04" w14:textId="77777777" w:rsidR="00730DE4" w:rsidRPr="00730DE4" w:rsidRDefault="00730DE4" w:rsidP="00E50A17">
            <w:pPr>
              <w:pStyle w:val="NoSpacing"/>
              <w:jc w:val="right"/>
              <w:rPr>
                <w:color w:val="080C0F" w:themeColor="text1"/>
                <w:szCs w:val="20"/>
              </w:rPr>
            </w:pPr>
            <w:r w:rsidRPr="00730DE4">
              <w:rPr>
                <w:rStyle w:val="Strong"/>
              </w:rPr>
              <w:t xml:space="preserve">397,440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61F0A433" w14:textId="77777777" w:rsidR="00730DE4" w:rsidRPr="00730DE4" w:rsidRDefault="00730DE4" w:rsidP="00E50A17">
            <w:pPr>
              <w:pStyle w:val="NoSpacing"/>
              <w:jc w:val="right"/>
              <w:rPr>
                <w:color w:val="080C0F" w:themeColor="text1"/>
                <w:szCs w:val="20"/>
              </w:rPr>
            </w:pPr>
            <w:r w:rsidRPr="00730DE4">
              <w:rPr>
                <w:rStyle w:val="Strong"/>
              </w:rPr>
              <w:t xml:space="preserve">3,920,779 </w:t>
            </w:r>
          </w:p>
        </w:tc>
        <w:tc>
          <w:tcPr>
            <w:tcW w:w="608" w:type="pct"/>
            <w:tcBorders>
              <w:top w:val="single" w:sz="4" w:space="0" w:color="auto"/>
              <w:left w:val="dotted" w:sz="4" w:space="0" w:color="BFBFBF" w:themeColor="background1" w:themeShade="BF"/>
              <w:right w:val="nil"/>
            </w:tcBorders>
            <w:shd w:val="clear" w:color="auto" w:fill="F2F2F2" w:themeFill="background1" w:themeFillShade="F2"/>
            <w:noWrap/>
            <w:hideMark/>
          </w:tcPr>
          <w:p w14:paraId="67D818E2" w14:textId="77777777" w:rsidR="00730DE4" w:rsidRPr="00730DE4" w:rsidRDefault="00730DE4" w:rsidP="00E50A17">
            <w:pPr>
              <w:pStyle w:val="NoSpacing"/>
              <w:jc w:val="right"/>
              <w:rPr>
                <w:rStyle w:val="Strong"/>
              </w:rPr>
            </w:pPr>
            <w:r w:rsidRPr="00730DE4">
              <w:rPr>
                <w:rStyle w:val="Strong"/>
              </w:rPr>
              <w:t xml:space="preserve">855,642 </w:t>
            </w:r>
          </w:p>
        </w:tc>
      </w:tr>
      <w:tr w:rsidR="00730DE4" w:rsidRPr="00730DE4" w14:paraId="5BC399EF" w14:textId="77777777" w:rsidTr="001B3636">
        <w:trPr>
          <w:cantSplit/>
        </w:trPr>
        <w:tc>
          <w:tcPr>
            <w:tcW w:w="1352" w:type="pct"/>
            <w:tcBorders>
              <w:left w:val="nil"/>
              <w:bottom w:val="single" w:sz="4" w:space="0" w:color="auto"/>
              <w:right w:val="dotted" w:sz="4" w:space="0" w:color="BFBFBF" w:themeColor="background1" w:themeShade="BF"/>
            </w:tcBorders>
            <w:shd w:val="clear" w:color="auto" w:fill="auto"/>
            <w:vAlign w:val="bottom"/>
          </w:tcPr>
          <w:p w14:paraId="681A5B2A" w14:textId="77777777" w:rsidR="00730DE4" w:rsidRPr="00730DE4" w:rsidRDefault="00730DE4" w:rsidP="0088371D">
            <w:pPr>
              <w:pStyle w:val="NoSpacingIndent"/>
            </w:pPr>
            <w:r w:rsidRPr="00730DE4">
              <w:t>Gains on disposal of assets</w:t>
            </w:r>
          </w:p>
        </w:tc>
        <w:tc>
          <w:tcPr>
            <w:tcW w:w="608" w:type="pct"/>
            <w:tcBorders>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56284913"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805 </w:t>
            </w:r>
          </w:p>
        </w:tc>
        <w:tc>
          <w:tcPr>
            <w:tcW w:w="608" w:type="pct"/>
            <w:tcBorders>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6288508A"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32 </w:t>
            </w:r>
          </w:p>
        </w:tc>
        <w:tc>
          <w:tcPr>
            <w:tcW w:w="608" w:type="pct"/>
            <w:tcBorders>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2286BAE4"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90 </w:t>
            </w:r>
          </w:p>
        </w:tc>
        <w:tc>
          <w:tcPr>
            <w:tcW w:w="608" w:type="pct"/>
            <w:tcBorders>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25BC80DD"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1 </w:t>
            </w:r>
          </w:p>
        </w:tc>
        <w:tc>
          <w:tcPr>
            <w:tcW w:w="608" w:type="pct"/>
            <w:tcBorders>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4BA8756D"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 </w:t>
            </w:r>
          </w:p>
        </w:tc>
        <w:tc>
          <w:tcPr>
            <w:tcW w:w="608" w:type="pct"/>
            <w:tcBorders>
              <w:left w:val="dotted" w:sz="4" w:space="0" w:color="BFBFBF" w:themeColor="background1" w:themeShade="BF"/>
              <w:bottom w:val="single" w:sz="4" w:space="0" w:color="auto"/>
              <w:right w:val="nil"/>
            </w:tcBorders>
            <w:shd w:val="clear" w:color="auto" w:fill="F2F2F2" w:themeFill="background1" w:themeFillShade="F2"/>
            <w:noWrap/>
            <w:vAlign w:val="bottom"/>
            <w:hideMark/>
          </w:tcPr>
          <w:p w14:paraId="18ADB9F5"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1,491 </w:t>
            </w:r>
          </w:p>
        </w:tc>
      </w:tr>
      <w:tr w:rsidR="00730DE4" w:rsidRPr="00730DE4" w14:paraId="46F0AEA6" w14:textId="77777777" w:rsidTr="001B3636">
        <w:trPr>
          <w:cantSplit/>
          <w:trHeight w:val="340"/>
        </w:trPr>
        <w:tc>
          <w:tcPr>
            <w:tcW w:w="1352" w:type="pct"/>
            <w:tcBorders>
              <w:top w:val="single" w:sz="4" w:space="0" w:color="auto"/>
              <w:left w:val="nil"/>
              <w:right w:val="dotted" w:sz="4" w:space="0" w:color="BFBFBF" w:themeColor="background1" w:themeShade="BF"/>
            </w:tcBorders>
            <w:shd w:val="clear" w:color="auto" w:fill="auto"/>
          </w:tcPr>
          <w:p w14:paraId="79F54CEC" w14:textId="77777777" w:rsidR="00730DE4" w:rsidRPr="00730DE4" w:rsidRDefault="00730DE4" w:rsidP="0088371D">
            <w:pPr>
              <w:pStyle w:val="NoSpacingIndent"/>
              <w:rPr>
                <w:rStyle w:val="Strong"/>
              </w:rPr>
            </w:pPr>
            <w:r w:rsidRPr="00730DE4">
              <w:rPr>
                <w:rStyle w:val="Strong"/>
              </w:rPr>
              <w:t>Total income</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5294F78A" w14:textId="77777777" w:rsidR="00730DE4" w:rsidRPr="00730DE4" w:rsidRDefault="00730DE4" w:rsidP="00E50A17">
            <w:pPr>
              <w:pStyle w:val="NoSpacing"/>
              <w:jc w:val="right"/>
              <w:rPr>
                <w:color w:val="080C0F" w:themeColor="text1"/>
                <w:szCs w:val="20"/>
              </w:rPr>
            </w:pPr>
            <w:r w:rsidRPr="00730DE4">
              <w:rPr>
                <w:rStyle w:val="Strong"/>
              </w:rPr>
              <w:t xml:space="preserve">169,646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37E94213" w14:textId="77777777" w:rsidR="00730DE4" w:rsidRPr="00730DE4" w:rsidRDefault="00730DE4" w:rsidP="00E50A17">
            <w:pPr>
              <w:pStyle w:val="NoSpacing"/>
              <w:jc w:val="right"/>
              <w:rPr>
                <w:color w:val="080C0F" w:themeColor="text1"/>
                <w:szCs w:val="20"/>
              </w:rPr>
            </w:pPr>
            <w:r w:rsidRPr="00730DE4">
              <w:rPr>
                <w:rStyle w:val="Strong"/>
              </w:rPr>
              <w:t xml:space="preserve">3,606,260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0A989DAF" w14:textId="77777777" w:rsidR="00730DE4" w:rsidRPr="00730DE4" w:rsidRDefault="00730DE4" w:rsidP="00E50A17">
            <w:pPr>
              <w:pStyle w:val="NoSpacing"/>
              <w:jc w:val="right"/>
              <w:rPr>
                <w:color w:val="080C0F" w:themeColor="text1"/>
                <w:szCs w:val="20"/>
              </w:rPr>
            </w:pPr>
            <w:r w:rsidRPr="00730DE4">
              <w:rPr>
                <w:rStyle w:val="Strong"/>
              </w:rPr>
              <w:t xml:space="preserve">369,627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1BE600B1" w14:textId="77777777" w:rsidR="00730DE4" w:rsidRPr="00730DE4" w:rsidRDefault="00730DE4" w:rsidP="00E50A17">
            <w:pPr>
              <w:pStyle w:val="NoSpacing"/>
              <w:jc w:val="right"/>
              <w:rPr>
                <w:color w:val="080C0F" w:themeColor="text1"/>
                <w:szCs w:val="20"/>
              </w:rPr>
            </w:pPr>
            <w:r w:rsidRPr="00730DE4">
              <w:rPr>
                <w:rStyle w:val="Strong"/>
              </w:rPr>
              <w:t xml:space="preserve">397,441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61B55007" w14:textId="77777777" w:rsidR="00730DE4" w:rsidRPr="00730DE4" w:rsidRDefault="00730DE4" w:rsidP="00E50A17">
            <w:pPr>
              <w:pStyle w:val="NoSpacing"/>
              <w:jc w:val="right"/>
              <w:rPr>
                <w:color w:val="080C0F" w:themeColor="text1"/>
                <w:szCs w:val="20"/>
              </w:rPr>
            </w:pPr>
            <w:r w:rsidRPr="00730DE4">
              <w:rPr>
                <w:rStyle w:val="Strong"/>
              </w:rPr>
              <w:t xml:space="preserve">3,920,779 </w:t>
            </w:r>
          </w:p>
        </w:tc>
        <w:tc>
          <w:tcPr>
            <w:tcW w:w="608" w:type="pct"/>
            <w:tcBorders>
              <w:top w:val="single" w:sz="4" w:space="0" w:color="auto"/>
              <w:left w:val="dotted" w:sz="4" w:space="0" w:color="BFBFBF" w:themeColor="background1" w:themeShade="BF"/>
              <w:right w:val="nil"/>
            </w:tcBorders>
            <w:shd w:val="clear" w:color="auto" w:fill="F2F2F2" w:themeFill="background1" w:themeFillShade="F2"/>
            <w:noWrap/>
            <w:hideMark/>
          </w:tcPr>
          <w:p w14:paraId="03CC128F" w14:textId="77777777" w:rsidR="00730DE4" w:rsidRPr="00730DE4" w:rsidRDefault="00730DE4" w:rsidP="00E50A17">
            <w:pPr>
              <w:pStyle w:val="NoSpacing"/>
              <w:jc w:val="right"/>
              <w:rPr>
                <w:rStyle w:val="Strong"/>
              </w:rPr>
            </w:pPr>
            <w:r w:rsidRPr="00730DE4">
              <w:rPr>
                <w:rStyle w:val="Strong"/>
              </w:rPr>
              <w:t xml:space="preserve">857,133 </w:t>
            </w:r>
          </w:p>
        </w:tc>
      </w:tr>
      <w:tr w:rsidR="00730DE4" w:rsidRPr="00730DE4" w14:paraId="7F8A2547" w14:textId="77777777" w:rsidTr="001B3636">
        <w:trPr>
          <w:cantSplit/>
          <w:trHeight w:val="340"/>
        </w:trPr>
        <w:tc>
          <w:tcPr>
            <w:tcW w:w="1352" w:type="pct"/>
            <w:tcBorders>
              <w:left w:val="nil"/>
              <w:bottom w:val="dotted" w:sz="4" w:space="0" w:color="BFBFBF" w:themeColor="background1" w:themeShade="BF"/>
              <w:right w:val="dotted" w:sz="4" w:space="0" w:color="BFBFBF" w:themeColor="background1" w:themeShade="BF"/>
            </w:tcBorders>
            <w:shd w:val="clear" w:color="auto" w:fill="auto"/>
            <w:vAlign w:val="bottom"/>
          </w:tcPr>
          <w:p w14:paraId="1A68E0B6" w14:textId="77777777" w:rsidR="00730DE4" w:rsidRPr="00730DE4" w:rsidRDefault="00730DE4" w:rsidP="00E50A17">
            <w:pPr>
              <w:pStyle w:val="NoSpacing"/>
              <w:rPr>
                <w:rStyle w:val="Strong"/>
              </w:rPr>
            </w:pPr>
            <w:r w:rsidRPr="00730DE4">
              <w:rPr>
                <w:rStyle w:val="Strong"/>
              </w:rPr>
              <w:t>Expenses</w:t>
            </w:r>
          </w:p>
        </w:tc>
        <w:tc>
          <w:tcPr>
            <w:tcW w:w="608"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448167C1" w14:textId="77777777" w:rsidR="00730DE4" w:rsidRPr="00730DE4" w:rsidRDefault="00730DE4" w:rsidP="00E50A17">
            <w:pPr>
              <w:pStyle w:val="NoSpacing"/>
              <w:jc w:val="right"/>
              <w:rPr>
                <w:rStyle w:val="Strong"/>
              </w:rPr>
            </w:pPr>
          </w:p>
        </w:tc>
        <w:tc>
          <w:tcPr>
            <w:tcW w:w="608"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33763573" w14:textId="77777777" w:rsidR="00730DE4" w:rsidRPr="00730DE4" w:rsidRDefault="00730DE4" w:rsidP="00E50A17">
            <w:pPr>
              <w:pStyle w:val="NoSpacing"/>
              <w:jc w:val="right"/>
              <w:rPr>
                <w:rStyle w:val="Strong"/>
              </w:rPr>
            </w:pPr>
          </w:p>
        </w:tc>
        <w:tc>
          <w:tcPr>
            <w:tcW w:w="608"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58ED4A8D" w14:textId="77777777" w:rsidR="00730DE4" w:rsidRPr="00730DE4" w:rsidRDefault="00730DE4" w:rsidP="00E50A17">
            <w:pPr>
              <w:pStyle w:val="NoSpacing"/>
              <w:jc w:val="right"/>
              <w:rPr>
                <w:rStyle w:val="Strong"/>
              </w:rPr>
            </w:pPr>
          </w:p>
        </w:tc>
        <w:tc>
          <w:tcPr>
            <w:tcW w:w="608"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2251F1E5" w14:textId="77777777" w:rsidR="00730DE4" w:rsidRPr="00730DE4" w:rsidRDefault="00730DE4" w:rsidP="00E50A17">
            <w:pPr>
              <w:pStyle w:val="NoSpacing"/>
              <w:jc w:val="right"/>
              <w:rPr>
                <w:rStyle w:val="Strong"/>
              </w:rPr>
            </w:pPr>
          </w:p>
        </w:tc>
        <w:tc>
          <w:tcPr>
            <w:tcW w:w="608"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3CB99C88" w14:textId="77777777" w:rsidR="00730DE4" w:rsidRPr="00730DE4" w:rsidRDefault="00730DE4" w:rsidP="00E50A17">
            <w:pPr>
              <w:pStyle w:val="NoSpacing"/>
              <w:jc w:val="right"/>
              <w:rPr>
                <w:rStyle w:val="Strong"/>
              </w:rPr>
            </w:pPr>
          </w:p>
        </w:tc>
        <w:tc>
          <w:tcPr>
            <w:tcW w:w="608" w:type="pct"/>
            <w:tcBorders>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tcPr>
          <w:p w14:paraId="37B6EC0B" w14:textId="77777777" w:rsidR="00730DE4" w:rsidRPr="00730DE4" w:rsidRDefault="00730DE4" w:rsidP="00E50A17">
            <w:pPr>
              <w:pStyle w:val="NoSpacing"/>
              <w:jc w:val="right"/>
              <w:rPr>
                <w:rStyle w:val="Strong"/>
              </w:rPr>
            </w:pPr>
          </w:p>
        </w:tc>
      </w:tr>
      <w:tr w:rsidR="00730DE4" w:rsidRPr="00730DE4" w14:paraId="0A6431D2" w14:textId="77777777" w:rsidTr="001B3636">
        <w:trPr>
          <w:cantSplit/>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71C51957" w14:textId="77777777" w:rsidR="00730DE4" w:rsidRPr="00730DE4" w:rsidRDefault="00730DE4" w:rsidP="0088371D">
            <w:pPr>
              <w:pStyle w:val="NoSpacingIndent"/>
            </w:pPr>
            <w:r w:rsidRPr="00730DE4">
              <w:t>Employee expenses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16A04E2"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82,308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B4A29B1"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241,886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72E5219"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104,955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7109160"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222,698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1A5F94C"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133,577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3759C841"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195,674 </w:t>
            </w:r>
          </w:p>
        </w:tc>
      </w:tr>
      <w:tr w:rsidR="00730DE4" w:rsidRPr="00730DE4" w14:paraId="55E92D2C" w14:textId="77777777" w:rsidTr="001B3636">
        <w:trPr>
          <w:cantSplit/>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40D7EE5A" w14:textId="77777777" w:rsidR="00730DE4" w:rsidRPr="00730DE4" w:rsidRDefault="00730DE4" w:rsidP="0088371D">
            <w:pPr>
              <w:pStyle w:val="NoSpacingIndent"/>
            </w:pPr>
            <w:r w:rsidRPr="00730DE4">
              <w:t xml:space="preserve">Supplies and services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6DFBADA"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42,674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01013F6"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964,413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3DAAB3E"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239,183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6E8526D"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166,247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9AEDE77"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3,439,909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14993DEB"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619,248 </w:t>
            </w:r>
          </w:p>
        </w:tc>
      </w:tr>
      <w:tr w:rsidR="00730DE4" w:rsidRPr="00730DE4" w14:paraId="36AE80EC" w14:textId="77777777" w:rsidTr="001B3636">
        <w:trPr>
          <w:cantSplit/>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6D76D1CA" w14:textId="77777777" w:rsidR="00730DE4" w:rsidRPr="00730DE4" w:rsidRDefault="00730DE4" w:rsidP="0088371D">
            <w:pPr>
              <w:pStyle w:val="NoSpacingIndent"/>
            </w:pPr>
            <w:r w:rsidRPr="00730DE4">
              <w:t xml:space="preserve">Grants and subsidies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25B264D"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39,624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DD90B72"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476,126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A990C75"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10,207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C7F883F"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2,589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39AA504"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257,325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4EB952E9"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 </w:t>
            </w:r>
          </w:p>
        </w:tc>
      </w:tr>
      <w:tr w:rsidR="00730DE4" w:rsidRPr="00730DE4" w14:paraId="5BBEF0E4" w14:textId="77777777" w:rsidTr="001B3636">
        <w:trPr>
          <w:cantSplit/>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5F94B420" w14:textId="77777777" w:rsidR="00730DE4" w:rsidRPr="00730DE4" w:rsidRDefault="00730DE4" w:rsidP="0088371D">
            <w:pPr>
              <w:pStyle w:val="NoSpacingIndent"/>
            </w:pPr>
            <w:r w:rsidRPr="00730DE4">
              <w:t>Finance and borrowing costs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6CF1A05"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23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2262F53"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22,779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DF24024"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4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1939FBC"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5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763D67A"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77,297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3C27BE5E"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903 </w:t>
            </w:r>
          </w:p>
        </w:tc>
      </w:tr>
      <w:tr w:rsidR="00730DE4" w:rsidRPr="00730DE4" w14:paraId="6FF8E649" w14:textId="77777777" w:rsidTr="001B3636">
        <w:trPr>
          <w:cantSplit/>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472C4560" w14:textId="77777777" w:rsidR="00730DE4" w:rsidRPr="00730DE4" w:rsidRDefault="00730DE4" w:rsidP="0088371D">
            <w:pPr>
              <w:pStyle w:val="NoSpacingIndent"/>
            </w:pPr>
            <w:r w:rsidRPr="00730DE4">
              <w:t xml:space="preserve">Depreciation and amortisation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86E58F5"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4,753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C5763C2"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1,469,404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F9AB829"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13,517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D97B697"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5,097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0449374"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110,305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61D97F63"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13,639 </w:t>
            </w:r>
          </w:p>
        </w:tc>
      </w:tr>
      <w:tr w:rsidR="00730DE4" w:rsidRPr="00730DE4" w14:paraId="0747BCF7" w14:textId="77777777" w:rsidTr="001B3636">
        <w:trPr>
          <w:cantSplit/>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3AA76745" w14:textId="77777777" w:rsidR="00730DE4" w:rsidRPr="00730DE4" w:rsidRDefault="00730DE4" w:rsidP="0088371D">
            <w:pPr>
              <w:pStyle w:val="NoSpacingIndent"/>
            </w:pPr>
            <w:r w:rsidRPr="00730DE4">
              <w:t>Impairment losses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3319982"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60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0DAE917"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1,509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92D0187"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336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EA080A4" w14:textId="77777777" w:rsidR="00730DE4" w:rsidRPr="00730DE4" w:rsidRDefault="00730DE4" w:rsidP="00E50A17">
            <w:pPr>
              <w:pStyle w:val="NoSpacing"/>
              <w:jc w:val="right"/>
              <w:rPr>
                <w:color w:val="080C0F" w:themeColor="text1"/>
                <w:szCs w:val="20"/>
              </w:rPr>
            </w:pPr>
            <w:r w:rsidRPr="00730DE4">
              <w:rPr>
                <w:color w:val="080C0F" w:themeColor="text1"/>
                <w:szCs w:val="20"/>
              </w:rPr>
              <w:t>(16)</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E74034C" w14:textId="77777777" w:rsidR="00730DE4" w:rsidRPr="00730DE4" w:rsidRDefault="00730DE4" w:rsidP="00E50A17">
            <w:pPr>
              <w:pStyle w:val="NoSpacing"/>
              <w:jc w:val="right"/>
              <w:rPr>
                <w:color w:val="080C0F" w:themeColor="text1"/>
                <w:szCs w:val="20"/>
              </w:rPr>
            </w:pPr>
            <w:r w:rsidRPr="00730DE4">
              <w:rPr>
                <w:color w:val="080C0F" w:themeColor="text1"/>
                <w:szCs w:val="20"/>
              </w:rPr>
              <w:t>(97)</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53AF4DC7"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17 </w:t>
            </w:r>
          </w:p>
        </w:tc>
      </w:tr>
      <w:tr w:rsidR="00730DE4" w:rsidRPr="00730DE4" w14:paraId="3FA5C284" w14:textId="77777777" w:rsidTr="001B3636">
        <w:trPr>
          <w:cantSplit/>
        </w:trPr>
        <w:tc>
          <w:tcPr>
            <w:tcW w:w="1352"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vAlign w:val="bottom"/>
          </w:tcPr>
          <w:p w14:paraId="6628F1E5" w14:textId="77777777" w:rsidR="00730DE4" w:rsidRPr="00730DE4" w:rsidRDefault="00730DE4" w:rsidP="0088371D">
            <w:pPr>
              <w:pStyle w:val="NoSpacingIndent"/>
            </w:pPr>
            <w:r w:rsidRPr="00730DE4">
              <w:t>Other expenses</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4BD4D7CD"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204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3F67A5BF"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17,287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064E54CD"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1,425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0617E9BC"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821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5E6E79AF"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1,659 </w:t>
            </w:r>
          </w:p>
        </w:tc>
        <w:tc>
          <w:tcPr>
            <w:tcW w:w="608"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F2F2F2" w:themeFill="background1" w:themeFillShade="F2"/>
            <w:noWrap/>
            <w:vAlign w:val="bottom"/>
            <w:hideMark/>
          </w:tcPr>
          <w:p w14:paraId="4F3F04BE" w14:textId="77777777" w:rsidR="00730DE4" w:rsidRPr="00730DE4" w:rsidRDefault="00730DE4" w:rsidP="00E50A17">
            <w:pPr>
              <w:pStyle w:val="NoSpacing"/>
              <w:jc w:val="right"/>
              <w:rPr>
                <w:color w:val="080C0F" w:themeColor="text1"/>
                <w:szCs w:val="20"/>
              </w:rPr>
            </w:pPr>
            <w:r w:rsidRPr="00730DE4">
              <w:rPr>
                <w:color w:val="080C0F" w:themeColor="text1"/>
                <w:szCs w:val="20"/>
              </w:rPr>
              <w:t xml:space="preserve">19,364 </w:t>
            </w:r>
          </w:p>
        </w:tc>
      </w:tr>
      <w:tr w:rsidR="00730DE4" w:rsidRPr="00730DE4" w14:paraId="35E03D24" w14:textId="77777777" w:rsidTr="001B3636">
        <w:trPr>
          <w:cantSplit/>
          <w:trHeight w:val="340"/>
        </w:trPr>
        <w:tc>
          <w:tcPr>
            <w:tcW w:w="1352" w:type="pct"/>
            <w:tcBorders>
              <w:top w:val="single" w:sz="4" w:space="0" w:color="auto"/>
              <w:left w:val="nil"/>
              <w:right w:val="dotted" w:sz="4" w:space="0" w:color="BFBFBF" w:themeColor="background1" w:themeShade="BF"/>
            </w:tcBorders>
            <w:shd w:val="clear" w:color="auto" w:fill="auto"/>
          </w:tcPr>
          <w:p w14:paraId="55242575" w14:textId="77777777" w:rsidR="00730DE4" w:rsidRPr="00730DE4" w:rsidRDefault="00730DE4" w:rsidP="0088371D">
            <w:pPr>
              <w:pStyle w:val="NoSpacingIndent"/>
              <w:rPr>
                <w:rStyle w:val="Strong"/>
              </w:rPr>
            </w:pPr>
            <w:r w:rsidRPr="00730DE4">
              <w:rPr>
                <w:rStyle w:val="Strong"/>
              </w:rPr>
              <w:t>Total expenses</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66BDDBBC" w14:textId="77777777" w:rsidR="00730DE4" w:rsidRPr="00730DE4" w:rsidRDefault="00730DE4" w:rsidP="00E50A17">
            <w:pPr>
              <w:pStyle w:val="NoSpacing"/>
              <w:jc w:val="right"/>
              <w:rPr>
                <w:color w:val="080C0F" w:themeColor="text1"/>
                <w:szCs w:val="20"/>
              </w:rPr>
            </w:pPr>
            <w:r w:rsidRPr="00730DE4">
              <w:rPr>
                <w:rStyle w:val="Strong"/>
              </w:rPr>
              <w:t xml:space="preserve">169,646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1CA39A29" w14:textId="77777777" w:rsidR="00730DE4" w:rsidRPr="00730DE4" w:rsidRDefault="00730DE4" w:rsidP="00E50A17">
            <w:pPr>
              <w:pStyle w:val="NoSpacing"/>
              <w:jc w:val="right"/>
              <w:rPr>
                <w:color w:val="080C0F" w:themeColor="text1"/>
                <w:szCs w:val="20"/>
              </w:rPr>
            </w:pPr>
            <w:r w:rsidRPr="00730DE4">
              <w:rPr>
                <w:rStyle w:val="Strong"/>
              </w:rPr>
              <w:t xml:space="preserve">3,193,404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4B5DC8B9" w14:textId="77777777" w:rsidR="00730DE4" w:rsidRPr="00730DE4" w:rsidRDefault="00730DE4" w:rsidP="00E50A17">
            <w:pPr>
              <w:pStyle w:val="NoSpacing"/>
              <w:jc w:val="right"/>
              <w:rPr>
                <w:color w:val="080C0F" w:themeColor="text1"/>
                <w:szCs w:val="20"/>
              </w:rPr>
            </w:pPr>
            <w:r w:rsidRPr="00730DE4">
              <w:rPr>
                <w:rStyle w:val="Strong"/>
              </w:rPr>
              <w:t xml:space="preserve">369,627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67EA3307" w14:textId="77777777" w:rsidR="00730DE4" w:rsidRPr="00730DE4" w:rsidRDefault="00730DE4" w:rsidP="00E50A17">
            <w:pPr>
              <w:pStyle w:val="NoSpacing"/>
              <w:jc w:val="right"/>
              <w:rPr>
                <w:color w:val="080C0F" w:themeColor="text1"/>
                <w:szCs w:val="20"/>
              </w:rPr>
            </w:pPr>
            <w:r w:rsidRPr="00730DE4">
              <w:rPr>
                <w:rStyle w:val="Strong"/>
              </w:rPr>
              <w:t xml:space="preserve">397,441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1EB47ADF" w14:textId="77777777" w:rsidR="00730DE4" w:rsidRPr="00730DE4" w:rsidRDefault="00730DE4" w:rsidP="00E50A17">
            <w:pPr>
              <w:pStyle w:val="NoSpacing"/>
              <w:jc w:val="right"/>
              <w:rPr>
                <w:color w:val="080C0F" w:themeColor="text1"/>
                <w:szCs w:val="20"/>
              </w:rPr>
            </w:pPr>
            <w:r w:rsidRPr="00730DE4">
              <w:rPr>
                <w:rStyle w:val="Strong"/>
              </w:rPr>
              <w:t xml:space="preserve">4,019,975 </w:t>
            </w:r>
          </w:p>
        </w:tc>
        <w:tc>
          <w:tcPr>
            <w:tcW w:w="608" w:type="pct"/>
            <w:tcBorders>
              <w:top w:val="single" w:sz="4" w:space="0" w:color="auto"/>
              <w:left w:val="dotted" w:sz="4" w:space="0" w:color="BFBFBF" w:themeColor="background1" w:themeShade="BF"/>
              <w:right w:val="nil"/>
            </w:tcBorders>
            <w:shd w:val="clear" w:color="auto" w:fill="F2F2F2" w:themeFill="background1" w:themeFillShade="F2"/>
            <w:noWrap/>
            <w:hideMark/>
          </w:tcPr>
          <w:p w14:paraId="0CDA8300" w14:textId="77777777" w:rsidR="00730DE4" w:rsidRPr="00730DE4" w:rsidRDefault="00730DE4" w:rsidP="00E50A17">
            <w:pPr>
              <w:pStyle w:val="NoSpacing"/>
              <w:jc w:val="right"/>
              <w:rPr>
                <w:rStyle w:val="Strong"/>
              </w:rPr>
            </w:pPr>
            <w:r w:rsidRPr="00730DE4">
              <w:rPr>
                <w:rStyle w:val="Strong"/>
              </w:rPr>
              <w:t xml:space="preserve">848,845 </w:t>
            </w:r>
          </w:p>
        </w:tc>
      </w:tr>
      <w:tr w:rsidR="00730DE4" w:rsidRPr="00730DE4" w14:paraId="1B162DB1" w14:textId="77777777" w:rsidTr="001B3636">
        <w:trPr>
          <w:cantSplit/>
          <w:trHeight w:val="340"/>
        </w:trPr>
        <w:tc>
          <w:tcPr>
            <w:tcW w:w="1352" w:type="pct"/>
            <w:tcBorders>
              <w:left w:val="nil"/>
              <w:bottom w:val="dotted" w:sz="4" w:space="0" w:color="BFBFBF" w:themeColor="background1" w:themeShade="BF"/>
              <w:right w:val="dotted" w:sz="4" w:space="0" w:color="BFBFBF" w:themeColor="background1" w:themeShade="BF"/>
            </w:tcBorders>
            <w:shd w:val="clear" w:color="auto" w:fill="auto"/>
            <w:vAlign w:val="bottom"/>
          </w:tcPr>
          <w:p w14:paraId="76965302" w14:textId="77777777" w:rsidR="00730DE4" w:rsidRPr="00730DE4" w:rsidRDefault="00730DE4" w:rsidP="00E50A17">
            <w:pPr>
              <w:pStyle w:val="NoSpacing"/>
              <w:rPr>
                <w:rStyle w:val="Strong"/>
              </w:rPr>
            </w:pPr>
            <w:r w:rsidRPr="00730DE4">
              <w:rPr>
                <w:rStyle w:val="Strong"/>
              </w:rPr>
              <w:t>Operating result before income tax equivalent expense</w:t>
            </w:r>
          </w:p>
        </w:tc>
        <w:tc>
          <w:tcPr>
            <w:tcW w:w="608"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7FFB781F" w14:textId="77777777" w:rsidR="00730DE4" w:rsidRPr="00730DE4" w:rsidRDefault="00730DE4" w:rsidP="00E50A17">
            <w:pPr>
              <w:pStyle w:val="NoSpacing"/>
              <w:jc w:val="right"/>
              <w:rPr>
                <w:rStyle w:val="Strong"/>
              </w:rPr>
            </w:pPr>
            <w:r w:rsidRPr="00730DE4">
              <w:rPr>
                <w:rStyle w:val="Strong"/>
              </w:rPr>
              <w:t xml:space="preserve">- </w:t>
            </w:r>
          </w:p>
        </w:tc>
        <w:tc>
          <w:tcPr>
            <w:tcW w:w="608"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6D3C3BF7" w14:textId="77777777" w:rsidR="00730DE4" w:rsidRPr="00730DE4" w:rsidRDefault="00730DE4" w:rsidP="00E50A17">
            <w:pPr>
              <w:pStyle w:val="NoSpacing"/>
              <w:jc w:val="right"/>
              <w:rPr>
                <w:rStyle w:val="Strong"/>
              </w:rPr>
            </w:pPr>
            <w:r w:rsidRPr="00730DE4">
              <w:rPr>
                <w:rStyle w:val="Strong"/>
              </w:rPr>
              <w:t xml:space="preserve">412,856 </w:t>
            </w:r>
          </w:p>
        </w:tc>
        <w:tc>
          <w:tcPr>
            <w:tcW w:w="608"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3AD55290" w14:textId="77777777" w:rsidR="00730DE4" w:rsidRPr="00730DE4" w:rsidRDefault="00730DE4" w:rsidP="00E50A17">
            <w:pPr>
              <w:pStyle w:val="NoSpacing"/>
              <w:jc w:val="right"/>
              <w:rPr>
                <w:rStyle w:val="Strong"/>
              </w:rPr>
            </w:pPr>
            <w:r w:rsidRPr="00730DE4">
              <w:rPr>
                <w:rStyle w:val="Strong"/>
              </w:rPr>
              <w:t xml:space="preserve">- </w:t>
            </w:r>
          </w:p>
        </w:tc>
        <w:tc>
          <w:tcPr>
            <w:tcW w:w="608"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24CD4471" w14:textId="77777777" w:rsidR="00730DE4" w:rsidRPr="00730DE4" w:rsidRDefault="00730DE4" w:rsidP="00E50A17">
            <w:pPr>
              <w:pStyle w:val="NoSpacing"/>
              <w:jc w:val="right"/>
              <w:rPr>
                <w:rStyle w:val="Strong"/>
              </w:rPr>
            </w:pPr>
            <w:r w:rsidRPr="00730DE4">
              <w:rPr>
                <w:rStyle w:val="Strong"/>
              </w:rPr>
              <w:t xml:space="preserve">- </w:t>
            </w:r>
          </w:p>
        </w:tc>
        <w:tc>
          <w:tcPr>
            <w:tcW w:w="608"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71C76CA1" w14:textId="77777777" w:rsidR="00730DE4" w:rsidRPr="00730DE4" w:rsidRDefault="00730DE4" w:rsidP="00E50A17">
            <w:pPr>
              <w:pStyle w:val="NoSpacing"/>
              <w:jc w:val="right"/>
              <w:rPr>
                <w:rStyle w:val="Strong"/>
              </w:rPr>
            </w:pPr>
            <w:r w:rsidRPr="00730DE4">
              <w:rPr>
                <w:rStyle w:val="Strong"/>
              </w:rPr>
              <w:t>(99,196)</w:t>
            </w:r>
          </w:p>
        </w:tc>
        <w:tc>
          <w:tcPr>
            <w:tcW w:w="608" w:type="pct"/>
            <w:tcBorders>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tcPr>
          <w:p w14:paraId="0A9F4491" w14:textId="77777777" w:rsidR="00730DE4" w:rsidRPr="00730DE4" w:rsidRDefault="00730DE4" w:rsidP="00E50A17">
            <w:pPr>
              <w:pStyle w:val="NoSpacing"/>
              <w:jc w:val="right"/>
              <w:rPr>
                <w:rStyle w:val="Strong"/>
              </w:rPr>
            </w:pPr>
            <w:r w:rsidRPr="00730DE4">
              <w:rPr>
                <w:rStyle w:val="Strong"/>
              </w:rPr>
              <w:t xml:space="preserve">8,288 </w:t>
            </w:r>
          </w:p>
        </w:tc>
      </w:tr>
      <w:tr w:rsidR="00730DE4" w:rsidRPr="00730DE4" w14:paraId="643863D1" w14:textId="77777777" w:rsidTr="00193BC7">
        <w:trPr>
          <w:cantSplit/>
        </w:trPr>
        <w:tc>
          <w:tcPr>
            <w:tcW w:w="1352"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tcPr>
          <w:p w14:paraId="3CE3AFED" w14:textId="77777777" w:rsidR="00730DE4" w:rsidRPr="00730DE4" w:rsidRDefault="00730DE4" w:rsidP="0088371D">
            <w:pPr>
              <w:pStyle w:val="NoSpacingIndent"/>
              <w:rPr>
                <w:rStyle w:val="Strong"/>
              </w:rPr>
            </w:pPr>
            <w:r w:rsidRPr="00730DE4">
              <w:t>Income tax equivalent expense</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tcPr>
          <w:p w14:paraId="05E0DBA9" w14:textId="77777777" w:rsidR="00730DE4" w:rsidRPr="00730DE4" w:rsidRDefault="00730DE4" w:rsidP="0088371D">
            <w:pPr>
              <w:pStyle w:val="NoSpacing"/>
              <w:jc w:val="right"/>
              <w:rPr>
                <w:rStyle w:val="Strong"/>
              </w:rPr>
            </w:pPr>
            <w:r w:rsidRPr="00730DE4">
              <w:rPr>
                <w:color w:val="080C0F" w:themeColor="text1"/>
                <w:szCs w:val="20"/>
              </w:rPr>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tcPr>
          <w:p w14:paraId="1E579D97" w14:textId="77777777" w:rsidR="00730DE4" w:rsidRPr="00730DE4" w:rsidRDefault="00730DE4" w:rsidP="0088371D">
            <w:pPr>
              <w:pStyle w:val="NoSpacing"/>
              <w:jc w:val="right"/>
              <w:rPr>
                <w:rStyle w:val="Strong"/>
              </w:rPr>
            </w:pPr>
            <w:r w:rsidRPr="00730DE4">
              <w:rPr>
                <w:color w:val="080C0F" w:themeColor="text1"/>
                <w:szCs w:val="20"/>
              </w:rPr>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tcPr>
          <w:p w14:paraId="2245705D" w14:textId="77777777" w:rsidR="00730DE4" w:rsidRPr="00730DE4" w:rsidRDefault="00730DE4" w:rsidP="0088371D">
            <w:pPr>
              <w:pStyle w:val="NoSpacing"/>
              <w:jc w:val="right"/>
              <w:rPr>
                <w:rStyle w:val="Strong"/>
              </w:rPr>
            </w:pPr>
            <w:r w:rsidRPr="00730DE4">
              <w:rPr>
                <w:color w:val="080C0F" w:themeColor="text1"/>
                <w:szCs w:val="20"/>
              </w:rPr>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tcPr>
          <w:p w14:paraId="5CF476B3" w14:textId="77777777" w:rsidR="00730DE4" w:rsidRPr="00730DE4" w:rsidRDefault="00730DE4" w:rsidP="0088371D">
            <w:pPr>
              <w:pStyle w:val="NoSpacing"/>
              <w:jc w:val="right"/>
              <w:rPr>
                <w:rStyle w:val="Strong"/>
              </w:rPr>
            </w:pPr>
            <w:r w:rsidRPr="00730DE4">
              <w:rPr>
                <w:color w:val="080C0F" w:themeColor="text1"/>
                <w:szCs w:val="20"/>
              </w:rPr>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tcPr>
          <w:p w14:paraId="297AA5D8" w14:textId="77777777" w:rsidR="00730DE4" w:rsidRPr="00730DE4" w:rsidRDefault="00730DE4" w:rsidP="0088371D">
            <w:pPr>
              <w:pStyle w:val="NoSpacing"/>
              <w:jc w:val="right"/>
              <w:rPr>
                <w:rStyle w:val="Strong"/>
              </w:rPr>
            </w:pPr>
            <w:r w:rsidRPr="00730DE4">
              <w:rPr>
                <w:color w:val="080C0F" w:themeColor="text1"/>
                <w:szCs w:val="20"/>
              </w:rPr>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F2F2F2" w:themeFill="background1" w:themeFillShade="F2"/>
            <w:noWrap/>
          </w:tcPr>
          <w:p w14:paraId="613909C3" w14:textId="77777777" w:rsidR="00730DE4" w:rsidRPr="00730DE4" w:rsidRDefault="00730DE4" w:rsidP="0088371D">
            <w:pPr>
              <w:pStyle w:val="NoSpacing"/>
              <w:jc w:val="right"/>
              <w:rPr>
                <w:rStyle w:val="Strong"/>
              </w:rPr>
            </w:pPr>
            <w:r w:rsidRPr="00730DE4">
              <w:rPr>
                <w:color w:val="080C0F" w:themeColor="text1"/>
                <w:szCs w:val="20"/>
              </w:rPr>
              <w:t xml:space="preserve">6,797 </w:t>
            </w:r>
          </w:p>
        </w:tc>
      </w:tr>
      <w:tr w:rsidR="00730DE4" w:rsidRPr="00730DE4" w14:paraId="77BC2419" w14:textId="77777777" w:rsidTr="00193BC7">
        <w:trPr>
          <w:cantSplit/>
          <w:trHeight w:val="454"/>
        </w:trPr>
        <w:tc>
          <w:tcPr>
            <w:tcW w:w="1352" w:type="pct"/>
            <w:tcBorders>
              <w:top w:val="single" w:sz="4" w:space="0" w:color="auto"/>
              <w:left w:val="nil"/>
              <w:bottom w:val="single" w:sz="4" w:space="0" w:color="auto"/>
              <w:right w:val="dotted" w:sz="4" w:space="0" w:color="BFBFBF" w:themeColor="background1" w:themeShade="BF"/>
            </w:tcBorders>
            <w:shd w:val="clear" w:color="auto" w:fill="auto"/>
            <w:vAlign w:val="bottom"/>
          </w:tcPr>
          <w:p w14:paraId="625A2AEE" w14:textId="77777777" w:rsidR="00730DE4" w:rsidRPr="00730DE4" w:rsidRDefault="00730DE4" w:rsidP="00D50E43">
            <w:pPr>
              <w:pStyle w:val="NoSpacing"/>
              <w:rPr>
                <w:color w:val="080C0F" w:themeColor="text1"/>
                <w:szCs w:val="20"/>
              </w:rPr>
            </w:pPr>
            <w:r w:rsidRPr="00730DE4">
              <w:rPr>
                <w:rStyle w:val="Strong"/>
              </w:rPr>
              <w:t>Operating result for the year</w:t>
            </w:r>
          </w:p>
        </w:tc>
        <w:tc>
          <w:tcPr>
            <w:tcW w:w="608"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tcPr>
          <w:p w14:paraId="382DDCC7" w14:textId="77777777" w:rsidR="00730DE4" w:rsidRPr="00730DE4" w:rsidRDefault="00730DE4" w:rsidP="00D50E43">
            <w:pPr>
              <w:pStyle w:val="NoSpacing"/>
              <w:jc w:val="right"/>
              <w:rPr>
                <w:color w:val="080C0F" w:themeColor="text1"/>
                <w:szCs w:val="20"/>
              </w:rPr>
            </w:pPr>
            <w:r w:rsidRPr="00730DE4">
              <w:rPr>
                <w:rStyle w:val="Strong"/>
              </w:rPr>
              <w:t xml:space="preserve">- </w:t>
            </w:r>
          </w:p>
        </w:tc>
        <w:tc>
          <w:tcPr>
            <w:tcW w:w="608"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tcPr>
          <w:p w14:paraId="527BA2D9" w14:textId="77777777" w:rsidR="00730DE4" w:rsidRPr="00730DE4" w:rsidRDefault="00730DE4" w:rsidP="00D50E43">
            <w:pPr>
              <w:pStyle w:val="NoSpacing"/>
              <w:jc w:val="right"/>
              <w:rPr>
                <w:color w:val="080C0F" w:themeColor="text1"/>
                <w:szCs w:val="20"/>
              </w:rPr>
            </w:pPr>
            <w:r w:rsidRPr="00730DE4">
              <w:rPr>
                <w:rStyle w:val="Strong"/>
              </w:rPr>
              <w:t xml:space="preserve">412,856 </w:t>
            </w:r>
          </w:p>
        </w:tc>
        <w:tc>
          <w:tcPr>
            <w:tcW w:w="608"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tcPr>
          <w:p w14:paraId="6C232F87" w14:textId="77777777" w:rsidR="00730DE4" w:rsidRPr="00730DE4" w:rsidRDefault="00730DE4" w:rsidP="00D50E43">
            <w:pPr>
              <w:pStyle w:val="NoSpacing"/>
              <w:jc w:val="right"/>
              <w:rPr>
                <w:color w:val="080C0F" w:themeColor="text1"/>
                <w:szCs w:val="20"/>
              </w:rPr>
            </w:pPr>
            <w:r w:rsidRPr="00730DE4">
              <w:rPr>
                <w:rStyle w:val="Strong"/>
              </w:rPr>
              <w:t xml:space="preserve">- </w:t>
            </w:r>
          </w:p>
        </w:tc>
        <w:tc>
          <w:tcPr>
            <w:tcW w:w="608"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tcPr>
          <w:p w14:paraId="1CE33FF0" w14:textId="77777777" w:rsidR="00730DE4" w:rsidRPr="00730DE4" w:rsidRDefault="00730DE4" w:rsidP="00D50E43">
            <w:pPr>
              <w:pStyle w:val="NoSpacing"/>
              <w:jc w:val="right"/>
              <w:rPr>
                <w:color w:val="080C0F" w:themeColor="text1"/>
                <w:szCs w:val="20"/>
              </w:rPr>
            </w:pPr>
            <w:r w:rsidRPr="00730DE4">
              <w:rPr>
                <w:rStyle w:val="Strong"/>
              </w:rPr>
              <w:t xml:space="preserve">- </w:t>
            </w:r>
          </w:p>
        </w:tc>
        <w:tc>
          <w:tcPr>
            <w:tcW w:w="608"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tcPr>
          <w:p w14:paraId="55189142" w14:textId="77777777" w:rsidR="00730DE4" w:rsidRPr="00730DE4" w:rsidRDefault="00730DE4" w:rsidP="00D50E43">
            <w:pPr>
              <w:pStyle w:val="NoSpacing"/>
              <w:jc w:val="right"/>
              <w:rPr>
                <w:color w:val="080C0F" w:themeColor="text1"/>
                <w:szCs w:val="20"/>
              </w:rPr>
            </w:pPr>
            <w:r w:rsidRPr="00730DE4">
              <w:rPr>
                <w:rStyle w:val="Strong"/>
              </w:rPr>
              <w:t>(99,196)</w:t>
            </w:r>
          </w:p>
        </w:tc>
        <w:tc>
          <w:tcPr>
            <w:tcW w:w="608" w:type="pct"/>
            <w:tcBorders>
              <w:top w:val="single" w:sz="4" w:space="0" w:color="auto"/>
              <w:left w:val="dotted" w:sz="4" w:space="0" w:color="BFBFBF" w:themeColor="background1" w:themeShade="BF"/>
              <w:bottom w:val="single" w:sz="4" w:space="0" w:color="auto"/>
              <w:right w:val="nil"/>
            </w:tcBorders>
            <w:shd w:val="clear" w:color="auto" w:fill="F2F2F2" w:themeFill="background1" w:themeFillShade="F2"/>
            <w:noWrap/>
            <w:vAlign w:val="bottom"/>
          </w:tcPr>
          <w:p w14:paraId="2A897E39" w14:textId="77777777" w:rsidR="00730DE4" w:rsidRPr="00730DE4" w:rsidRDefault="00730DE4" w:rsidP="00D50E43">
            <w:pPr>
              <w:pStyle w:val="NoSpacing"/>
              <w:jc w:val="right"/>
              <w:rPr>
                <w:color w:val="080C0F" w:themeColor="text1"/>
                <w:szCs w:val="20"/>
              </w:rPr>
            </w:pPr>
            <w:r w:rsidRPr="00730DE4">
              <w:rPr>
                <w:rStyle w:val="Strong"/>
              </w:rPr>
              <w:t xml:space="preserve">1,491 </w:t>
            </w:r>
          </w:p>
        </w:tc>
      </w:tr>
      <w:tr w:rsidR="00730DE4" w:rsidRPr="00730DE4" w14:paraId="0EBE73DC" w14:textId="77777777" w:rsidTr="001B3636">
        <w:trPr>
          <w:cantSplit/>
          <w:trHeight w:val="454"/>
        </w:trPr>
        <w:tc>
          <w:tcPr>
            <w:tcW w:w="1352"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vAlign w:val="bottom"/>
          </w:tcPr>
          <w:p w14:paraId="07C1D9A8" w14:textId="77777777" w:rsidR="00730DE4" w:rsidRPr="00730DE4" w:rsidRDefault="00730DE4" w:rsidP="00E50A17">
            <w:pPr>
              <w:pStyle w:val="NoSpacing"/>
              <w:rPr>
                <w:color w:val="080C0F" w:themeColor="text1"/>
                <w:szCs w:val="20"/>
              </w:rPr>
            </w:pPr>
            <w:r w:rsidRPr="00730DE4">
              <w:rPr>
                <w:rStyle w:val="Strong"/>
              </w:rPr>
              <w:t>Items not reclassified to operating result</w:t>
            </w: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32C7BE33" w14:textId="77777777" w:rsidR="00730DE4" w:rsidRPr="00730DE4" w:rsidRDefault="00730DE4" w:rsidP="00E50A17">
            <w:pPr>
              <w:pStyle w:val="NoSpacing"/>
              <w:jc w:val="right"/>
              <w:rPr>
                <w:color w:val="080C0F" w:themeColor="text1"/>
                <w:szCs w:val="20"/>
              </w:rPr>
            </w:pPr>
            <w:r w:rsidRPr="00730DE4">
              <w:rPr>
                <w:color w:val="080C0F" w:themeColor="text1"/>
                <w:szCs w:val="20"/>
              </w:rPr>
              <w:t> </w:t>
            </w: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33D87EE6" w14:textId="77777777" w:rsidR="00730DE4" w:rsidRPr="00730DE4" w:rsidRDefault="00730DE4" w:rsidP="00E50A17">
            <w:pPr>
              <w:pStyle w:val="NoSpacing"/>
              <w:jc w:val="right"/>
              <w:rPr>
                <w:color w:val="080C0F" w:themeColor="text1"/>
                <w:szCs w:val="20"/>
              </w:rPr>
            </w:pPr>
            <w:r w:rsidRPr="00730DE4">
              <w:rPr>
                <w:color w:val="080C0F" w:themeColor="text1"/>
                <w:szCs w:val="20"/>
              </w:rPr>
              <w:t> </w:t>
            </w: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13890544" w14:textId="77777777" w:rsidR="00730DE4" w:rsidRPr="00730DE4" w:rsidRDefault="00730DE4" w:rsidP="00E50A17">
            <w:pPr>
              <w:pStyle w:val="NoSpacing"/>
              <w:jc w:val="right"/>
              <w:rPr>
                <w:color w:val="080C0F" w:themeColor="text1"/>
                <w:szCs w:val="20"/>
              </w:rPr>
            </w:pPr>
            <w:r w:rsidRPr="00730DE4">
              <w:rPr>
                <w:color w:val="080C0F" w:themeColor="text1"/>
                <w:szCs w:val="20"/>
              </w:rPr>
              <w:t> </w:t>
            </w: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0A9BAEAA" w14:textId="77777777" w:rsidR="00730DE4" w:rsidRPr="00730DE4" w:rsidRDefault="00730DE4" w:rsidP="00E50A17">
            <w:pPr>
              <w:pStyle w:val="NoSpacing"/>
              <w:jc w:val="right"/>
              <w:rPr>
                <w:color w:val="080C0F" w:themeColor="text1"/>
                <w:szCs w:val="20"/>
              </w:rPr>
            </w:pPr>
            <w:r w:rsidRPr="00730DE4">
              <w:rPr>
                <w:color w:val="080C0F" w:themeColor="text1"/>
                <w:szCs w:val="20"/>
              </w:rPr>
              <w:t> </w:t>
            </w: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118862A3" w14:textId="77777777" w:rsidR="00730DE4" w:rsidRPr="00730DE4" w:rsidRDefault="00730DE4" w:rsidP="00E50A17">
            <w:pPr>
              <w:pStyle w:val="NoSpacing"/>
              <w:jc w:val="right"/>
              <w:rPr>
                <w:color w:val="080C0F" w:themeColor="text1"/>
                <w:szCs w:val="20"/>
              </w:rPr>
            </w:pPr>
            <w:r w:rsidRPr="00730DE4">
              <w:rPr>
                <w:color w:val="080C0F" w:themeColor="text1"/>
                <w:szCs w:val="20"/>
              </w:rPr>
              <w:t> </w:t>
            </w:r>
          </w:p>
        </w:tc>
        <w:tc>
          <w:tcPr>
            <w:tcW w:w="608"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tcPr>
          <w:p w14:paraId="383CC781" w14:textId="77777777" w:rsidR="00730DE4" w:rsidRPr="00730DE4" w:rsidRDefault="00730DE4" w:rsidP="00E50A17">
            <w:pPr>
              <w:pStyle w:val="NoSpacing"/>
              <w:jc w:val="right"/>
              <w:rPr>
                <w:color w:val="080C0F" w:themeColor="text1"/>
                <w:szCs w:val="20"/>
              </w:rPr>
            </w:pPr>
            <w:r w:rsidRPr="00730DE4">
              <w:rPr>
                <w:color w:val="080C0F" w:themeColor="text1"/>
                <w:szCs w:val="20"/>
              </w:rPr>
              <w:t> </w:t>
            </w:r>
          </w:p>
        </w:tc>
      </w:tr>
      <w:tr w:rsidR="00730DE4" w:rsidRPr="00730DE4" w14:paraId="19CB2A66" w14:textId="77777777" w:rsidTr="001B3636">
        <w:trPr>
          <w:cantSplit/>
        </w:trPr>
        <w:tc>
          <w:tcPr>
            <w:tcW w:w="1352"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tcPr>
          <w:p w14:paraId="3B6F8A27" w14:textId="77777777" w:rsidR="00730DE4" w:rsidRPr="00730DE4" w:rsidRDefault="00730DE4" w:rsidP="00E31A99">
            <w:pPr>
              <w:pStyle w:val="NoSpacingIndent"/>
            </w:pPr>
            <w:r w:rsidRPr="00730DE4">
              <w:t>Increase in asset revaluation surplus</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tcPr>
          <w:p w14:paraId="4113BBBB" w14:textId="77777777" w:rsidR="00730DE4" w:rsidRPr="00730DE4" w:rsidRDefault="00730DE4" w:rsidP="00E31A99">
            <w:pPr>
              <w:pStyle w:val="NoSpacing"/>
              <w:jc w:val="right"/>
              <w:rPr>
                <w:color w:val="080C0F" w:themeColor="text1"/>
                <w:szCs w:val="20"/>
              </w:rPr>
            </w:pPr>
            <w:r w:rsidRPr="00730DE4">
              <w:rPr>
                <w:color w:val="080C0F" w:themeColor="text1"/>
                <w:szCs w:val="20"/>
              </w:rPr>
              <w:t xml:space="preserve">523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tcPr>
          <w:p w14:paraId="2D15CC4D" w14:textId="77777777" w:rsidR="00730DE4" w:rsidRPr="00730DE4" w:rsidRDefault="00730DE4" w:rsidP="00E31A99">
            <w:pPr>
              <w:pStyle w:val="NoSpacing"/>
              <w:jc w:val="right"/>
              <w:rPr>
                <w:color w:val="080C0F" w:themeColor="text1"/>
                <w:szCs w:val="20"/>
              </w:rPr>
            </w:pPr>
            <w:r w:rsidRPr="00730DE4">
              <w:rPr>
                <w:color w:val="080C0F" w:themeColor="text1"/>
                <w:szCs w:val="20"/>
              </w:rPr>
              <w:t xml:space="preserve">2,594,896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tcPr>
          <w:p w14:paraId="384B77DF" w14:textId="77777777" w:rsidR="00730DE4" w:rsidRPr="00730DE4" w:rsidRDefault="00730DE4" w:rsidP="00E31A99">
            <w:pPr>
              <w:pStyle w:val="NoSpacing"/>
              <w:jc w:val="right"/>
              <w:rPr>
                <w:color w:val="080C0F" w:themeColor="text1"/>
                <w:szCs w:val="20"/>
              </w:rPr>
            </w:pPr>
            <w:r w:rsidRPr="00730DE4">
              <w:rPr>
                <w:color w:val="080C0F" w:themeColor="text1"/>
                <w:szCs w:val="20"/>
              </w:rPr>
              <w:t>(9,467)</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tcPr>
          <w:p w14:paraId="42426DF1" w14:textId="77777777" w:rsidR="00730DE4" w:rsidRPr="00730DE4" w:rsidRDefault="00730DE4" w:rsidP="00E31A99">
            <w:pPr>
              <w:pStyle w:val="NoSpacing"/>
              <w:jc w:val="right"/>
              <w:rPr>
                <w:color w:val="080C0F" w:themeColor="text1"/>
                <w:szCs w:val="20"/>
              </w:rPr>
            </w:pPr>
            <w:r w:rsidRPr="00730DE4">
              <w:rPr>
                <w:color w:val="080C0F" w:themeColor="text1"/>
                <w:szCs w:val="20"/>
              </w:rPr>
              <w:t xml:space="preserve">1,071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tcPr>
          <w:p w14:paraId="09809EC8" w14:textId="77777777" w:rsidR="00730DE4" w:rsidRPr="00730DE4" w:rsidRDefault="00730DE4" w:rsidP="00E31A99">
            <w:pPr>
              <w:pStyle w:val="NoSpacing"/>
              <w:jc w:val="right"/>
              <w:rPr>
                <w:color w:val="080C0F" w:themeColor="text1"/>
                <w:szCs w:val="20"/>
              </w:rPr>
            </w:pPr>
            <w:r w:rsidRPr="00730DE4">
              <w:rPr>
                <w:color w:val="080C0F" w:themeColor="text1"/>
                <w:szCs w:val="20"/>
              </w:rPr>
              <w:t xml:space="preserve">63,276 </w:t>
            </w:r>
          </w:p>
        </w:tc>
        <w:tc>
          <w:tcPr>
            <w:tcW w:w="608"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F2F2F2" w:themeFill="background1" w:themeFillShade="F2"/>
            <w:noWrap/>
          </w:tcPr>
          <w:p w14:paraId="2658052C" w14:textId="77777777" w:rsidR="00730DE4" w:rsidRPr="00730DE4" w:rsidRDefault="00730DE4" w:rsidP="00E31A99">
            <w:pPr>
              <w:pStyle w:val="NoSpacing"/>
              <w:jc w:val="right"/>
              <w:rPr>
                <w:color w:val="080C0F" w:themeColor="text1"/>
                <w:szCs w:val="20"/>
              </w:rPr>
            </w:pPr>
            <w:r w:rsidRPr="00730DE4">
              <w:rPr>
                <w:color w:val="080C0F" w:themeColor="text1"/>
                <w:szCs w:val="20"/>
              </w:rPr>
              <w:t xml:space="preserve">65 </w:t>
            </w:r>
          </w:p>
        </w:tc>
      </w:tr>
      <w:tr w:rsidR="00730DE4" w:rsidRPr="00730DE4" w14:paraId="6950312E" w14:textId="77777777" w:rsidTr="001B3636">
        <w:trPr>
          <w:cantSplit/>
        </w:trPr>
        <w:tc>
          <w:tcPr>
            <w:tcW w:w="1352" w:type="pct"/>
            <w:tcBorders>
              <w:top w:val="single" w:sz="4" w:space="0" w:color="auto"/>
              <w:left w:val="nil"/>
              <w:bottom w:val="single" w:sz="4" w:space="0" w:color="auto"/>
              <w:right w:val="dotted" w:sz="4" w:space="0" w:color="BFBFBF" w:themeColor="background1" w:themeShade="BF"/>
            </w:tcBorders>
            <w:shd w:val="clear" w:color="auto" w:fill="auto"/>
          </w:tcPr>
          <w:p w14:paraId="2226547D" w14:textId="77777777" w:rsidR="00730DE4" w:rsidRPr="00730DE4" w:rsidRDefault="00730DE4" w:rsidP="00607851">
            <w:pPr>
              <w:pStyle w:val="NoSpacing"/>
              <w:rPr>
                <w:color w:val="080C0F" w:themeColor="text1"/>
                <w:szCs w:val="20"/>
              </w:rPr>
            </w:pPr>
            <w:r w:rsidRPr="00730DE4">
              <w:rPr>
                <w:rStyle w:val="Strong"/>
              </w:rPr>
              <w:t>Total other comprehensive income</w:t>
            </w:r>
          </w:p>
        </w:tc>
        <w:tc>
          <w:tcPr>
            <w:tcW w:w="608"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tcPr>
          <w:p w14:paraId="3383F330" w14:textId="77777777" w:rsidR="00730DE4" w:rsidRPr="00730DE4" w:rsidRDefault="00730DE4" w:rsidP="00607851">
            <w:pPr>
              <w:pStyle w:val="NoSpacing"/>
              <w:jc w:val="right"/>
              <w:rPr>
                <w:color w:val="080C0F" w:themeColor="text1"/>
                <w:szCs w:val="20"/>
              </w:rPr>
            </w:pPr>
            <w:r w:rsidRPr="00730DE4">
              <w:rPr>
                <w:rStyle w:val="Strong"/>
              </w:rPr>
              <w:t xml:space="preserve">523 </w:t>
            </w:r>
          </w:p>
        </w:tc>
        <w:tc>
          <w:tcPr>
            <w:tcW w:w="608"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tcPr>
          <w:p w14:paraId="68153F9E" w14:textId="77777777" w:rsidR="00730DE4" w:rsidRPr="00730DE4" w:rsidRDefault="00730DE4" w:rsidP="00607851">
            <w:pPr>
              <w:pStyle w:val="NoSpacing"/>
              <w:jc w:val="right"/>
              <w:rPr>
                <w:color w:val="080C0F" w:themeColor="text1"/>
                <w:szCs w:val="20"/>
              </w:rPr>
            </w:pPr>
            <w:r w:rsidRPr="00730DE4">
              <w:rPr>
                <w:rStyle w:val="Strong"/>
              </w:rPr>
              <w:t xml:space="preserve">2,594,896 </w:t>
            </w:r>
          </w:p>
        </w:tc>
        <w:tc>
          <w:tcPr>
            <w:tcW w:w="608"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tcPr>
          <w:p w14:paraId="12367FAC" w14:textId="77777777" w:rsidR="00730DE4" w:rsidRPr="00730DE4" w:rsidRDefault="00730DE4" w:rsidP="00607851">
            <w:pPr>
              <w:pStyle w:val="NoSpacing"/>
              <w:jc w:val="right"/>
              <w:rPr>
                <w:color w:val="080C0F" w:themeColor="text1"/>
                <w:szCs w:val="20"/>
              </w:rPr>
            </w:pPr>
            <w:r w:rsidRPr="00730DE4">
              <w:rPr>
                <w:rStyle w:val="Strong"/>
              </w:rPr>
              <w:t>(9,467)</w:t>
            </w:r>
          </w:p>
        </w:tc>
        <w:tc>
          <w:tcPr>
            <w:tcW w:w="608"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tcPr>
          <w:p w14:paraId="4FCC92D8" w14:textId="77777777" w:rsidR="00730DE4" w:rsidRPr="00730DE4" w:rsidRDefault="00730DE4" w:rsidP="00607851">
            <w:pPr>
              <w:pStyle w:val="NoSpacing"/>
              <w:jc w:val="right"/>
              <w:rPr>
                <w:color w:val="080C0F" w:themeColor="text1"/>
                <w:szCs w:val="20"/>
              </w:rPr>
            </w:pPr>
            <w:r w:rsidRPr="00730DE4">
              <w:rPr>
                <w:rStyle w:val="Strong"/>
              </w:rPr>
              <w:t xml:space="preserve">1,071 </w:t>
            </w:r>
          </w:p>
        </w:tc>
        <w:tc>
          <w:tcPr>
            <w:tcW w:w="608"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tcPr>
          <w:p w14:paraId="762A4C7F" w14:textId="77777777" w:rsidR="00730DE4" w:rsidRPr="00730DE4" w:rsidRDefault="00730DE4" w:rsidP="00607851">
            <w:pPr>
              <w:pStyle w:val="NoSpacing"/>
              <w:jc w:val="right"/>
              <w:rPr>
                <w:color w:val="080C0F" w:themeColor="text1"/>
                <w:szCs w:val="20"/>
              </w:rPr>
            </w:pPr>
            <w:r w:rsidRPr="00730DE4">
              <w:rPr>
                <w:rStyle w:val="Strong"/>
              </w:rPr>
              <w:t xml:space="preserve">63,276 </w:t>
            </w:r>
          </w:p>
        </w:tc>
        <w:tc>
          <w:tcPr>
            <w:tcW w:w="608" w:type="pct"/>
            <w:tcBorders>
              <w:top w:val="single" w:sz="4" w:space="0" w:color="auto"/>
              <w:left w:val="dotted" w:sz="4" w:space="0" w:color="BFBFBF" w:themeColor="background1" w:themeShade="BF"/>
              <w:bottom w:val="single" w:sz="4" w:space="0" w:color="auto"/>
              <w:right w:val="nil"/>
            </w:tcBorders>
            <w:shd w:val="clear" w:color="auto" w:fill="F2F2F2" w:themeFill="background1" w:themeFillShade="F2"/>
            <w:noWrap/>
          </w:tcPr>
          <w:p w14:paraId="4FC590C8" w14:textId="77777777" w:rsidR="00730DE4" w:rsidRPr="00730DE4" w:rsidRDefault="00730DE4" w:rsidP="00607851">
            <w:pPr>
              <w:pStyle w:val="NoSpacing"/>
              <w:jc w:val="right"/>
              <w:rPr>
                <w:color w:val="080C0F" w:themeColor="text1"/>
                <w:szCs w:val="20"/>
              </w:rPr>
            </w:pPr>
            <w:r w:rsidRPr="00730DE4">
              <w:rPr>
                <w:rStyle w:val="Strong"/>
              </w:rPr>
              <w:t xml:space="preserve">65 </w:t>
            </w:r>
          </w:p>
        </w:tc>
      </w:tr>
      <w:tr w:rsidR="00730DE4" w:rsidRPr="00730DE4" w14:paraId="4CD28EAB" w14:textId="77777777" w:rsidTr="00094DCA">
        <w:trPr>
          <w:cantSplit/>
          <w:trHeight w:val="454"/>
        </w:trPr>
        <w:tc>
          <w:tcPr>
            <w:tcW w:w="1352" w:type="pct"/>
            <w:tcBorders>
              <w:top w:val="single" w:sz="4" w:space="0" w:color="auto"/>
              <w:left w:val="nil"/>
              <w:bottom w:val="double" w:sz="4" w:space="0" w:color="auto"/>
              <w:right w:val="dotted" w:sz="4" w:space="0" w:color="BFBFBF" w:themeColor="background1" w:themeShade="BF"/>
            </w:tcBorders>
            <w:shd w:val="clear" w:color="auto" w:fill="auto"/>
            <w:vAlign w:val="bottom"/>
          </w:tcPr>
          <w:p w14:paraId="447B9A76" w14:textId="77777777" w:rsidR="00730DE4" w:rsidRPr="00730DE4" w:rsidRDefault="00730DE4" w:rsidP="00D50E43">
            <w:pPr>
              <w:pStyle w:val="NoSpacing"/>
              <w:rPr>
                <w:rStyle w:val="Strong"/>
              </w:rPr>
            </w:pPr>
            <w:r w:rsidRPr="00730DE4">
              <w:rPr>
                <w:rStyle w:val="Strong"/>
              </w:rPr>
              <w:t>Total comprehensive income</w:t>
            </w:r>
          </w:p>
        </w:tc>
        <w:tc>
          <w:tcPr>
            <w:tcW w:w="608"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vAlign w:val="bottom"/>
          </w:tcPr>
          <w:p w14:paraId="54E17828" w14:textId="77777777" w:rsidR="00730DE4" w:rsidRPr="00730DE4" w:rsidRDefault="00730DE4" w:rsidP="00D50E43">
            <w:pPr>
              <w:pStyle w:val="NoSpacing"/>
              <w:jc w:val="right"/>
              <w:rPr>
                <w:rStyle w:val="Strong"/>
              </w:rPr>
            </w:pPr>
            <w:r w:rsidRPr="00730DE4">
              <w:rPr>
                <w:rStyle w:val="Strong"/>
              </w:rPr>
              <w:t xml:space="preserve">523 </w:t>
            </w:r>
          </w:p>
        </w:tc>
        <w:tc>
          <w:tcPr>
            <w:tcW w:w="608"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vAlign w:val="bottom"/>
          </w:tcPr>
          <w:p w14:paraId="68CB87D2" w14:textId="77777777" w:rsidR="00730DE4" w:rsidRPr="00730DE4" w:rsidRDefault="00730DE4" w:rsidP="00D50E43">
            <w:pPr>
              <w:pStyle w:val="NoSpacing"/>
              <w:jc w:val="right"/>
              <w:rPr>
                <w:rStyle w:val="Strong"/>
              </w:rPr>
            </w:pPr>
            <w:r w:rsidRPr="00730DE4">
              <w:rPr>
                <w:rStyle w:val="Strong"/>
              </w:rPr>
              <w:t xml:space="preserve">3,007,752 </w:t>
            </w:r>
          </w:p>
        </w:tc>
        <w:tc>
          <w:tcPr>
            <w:tcW w:w="608"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vAlign w:val="bottom"/>
          </w:tcPr>
          <w:p w14:paraId="632675B4" w14:textId="77777777" w:rsidR="00730DE4" w:rsidRPr="00730DE4" w:rsidRDefault="00730DE4" w:rsidP="00D50E43">
            <w:pPr>
              <w:pStyle w:val="NoSpacing"/>
              <w:jc w:val="right"/>
              <w:rPr>
                <w:rStyle w:val="Strong"/>
              </w:rPr>
            </w:pPr>
            <w:r w:rsidRPr="00730DE4">
              <w:rPr>
                <w:rStyle w:val="Strong"/>
              </w:rPr>
              <w:t>(9,467)</w:t>
            </w:r>
          </w:p>
        </w:tc>
        <w:tc>
          <w:tcPr>
            <w:tcW w:w="608"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vAlign w:val="bottom"/>
          </w:tcPr>
          <w:p w14:paraId="557E623E" w14:textId="77777777" w:rsidR="00730DE4" w:rsidRPr="00730DE4" w:rsidRDefault="00730DE4" w:rsidP="00D50E43">
            <w:pPr>
              <w:pStyle w:val="NoSpacing"/>
              <w:jc w:val="right"/>
              <w:rPr>
                <w:rStyle w:val="Strong"/>
              </w:rPr>
            </w:pPr>
            <w:r w:rsidRPr="00730DE4">
              <w:rPr>
                <w:rStyle w:val="Strong"/>
              </w:rPr>
              <w:t xml:space="preserve">1,071 </w:t>
            </w:r>
          </w:p>
        </w:tc>
        <w:tc>
          <w:tcPr>
            <w:tcW w:w="608"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vAlign w:val="bottom"/>
          </w:tcPr>
          <w:p w14:paraId="6C8BB4EB" w14:textId="77777777" w:rsidR="00730DE4" w:rsidRPr="00730DE4" w:rsidRDefault="00730DE4" w:rsidP="00D50E43">
            <w:pPr>
              <w:pStyle w:val="NoSpacing"/>
              <w:jc w:val="right"/>
              <w:rPr>
                <w:rStyle w:val="Strong"/>
              </w:rPr>
            </w:pPr>
            <w:r w:rsidRPr="00730DE4">
              <w:rPr>
                <w:rStyle w:val="Strong"/>
              </w:rPr>
              <w:t>(35,920)</w:t>
            </w:r>
          </w:p>
        </w:tc>
        <w:tc>
          <w:tcPr>
            <w:tcW w:w="608" w:type="pct"/>
            <w:tcBorders>
              <w:top w:val="single" w:sz="4" w:space="0" w:color="auto"/>
              <w:left w:val="dotted" w:sz="4" w:space="0" w:color="BFBFBF" w:themeColor="background1" w:themeShade="BF"/>
              <w:bottom w:val="double" w:sz="4" w:space="0" w:color="auto"/>
              <w:right w:val="nil"/>
            </w:tcBorders>
            <w:shd w:val="clear" w:color="auto" w:fill="F2F2F2" w:themeFill="background1" w:themeFillShade="F2"/>
            <w:noWrap/>
            <w:vAlign w:val="bottom"/>
          </w:tcPr>
          <w:p w14:paraId="46A897C1" w14:textId="77777777" w:rsidR="00730DE4" w:rsidRPr="00730DE4" w:rsidRDefault="00730DE4" w:rsidP="00D50E43">
            <w:pPr>
              <w:pStyle w:val="NoSpacing"/>
              <w:jc w:val="right"/>
              <w:rPr>
                <w:rStyle w:val="Strong"/>
              </w:rPr>
            </w:pPr>
            <w:r w:rsidRPr="00730DE4">
              <w:rPr>
                <w:rStyle w:val="Strong"/>
              </w:rPr>
              <w:t xml:space="preserve">1,556 </w:t>
            </w:r>
          </w:p>
        </w:tc>
      </w:tr>
    </w:tbl>
    <w:p w14:paraId="44B821DE" w14:textId="77777777" w:rsidR="00730DE4" w:rsidRPr="00730DE4" w:rsidRDefault="00730DE4" w:rsidP="00D50E43">
      <w:r w:rsidRPr="00730DE4">
        <w:br w:type="page"/>
      </w:r>
    </w:p>
    <w:p w14:paraId="66F82321" w14:textId="77777777" w:rsidR="00730DE4" w:rsidRPr="00730DE4" w:rsidRDefault="00730DE4" w:rsidP="00A9765E">
      <w:pPr>
        <w:pStyle w:val="NoSpacing"/>
        <w:rPr>
          <w:b/>
          <w:bCs/>
          <w:sz w:val="24"/>
          <w:szCs w:val="24"/>
        </w:rPr>
      </w:pPr>
      <w:r w:rsidRPr="00730DE4">
        <w:rPr>
          <w:b/>
          <w:bCs/>
          <w:sz w:val="24"/>
          <w:szCs w:val="24"/>
        </w:rPr>
        <w:t>Statement of comprehensive income by major departmental services (continued)</w:t>
      </w:r>
    </w:p>
    <w:p w14:paraId="58688EE4" w14:textId="77777777" w:rsidR="00730DE4" w:rsidRPr="00730DE4" w:rsidRDefault="00730DE4" w:rsidP="00A9765E">
      <w:pPr>
        <w:pStyle w:val="NoSpacing"/>
        <w:rPr>
          <w:sz w:val="24"/>
          <w:szCs w:val="24"/>
        </w:rPr>
      </w:pPr>
      <w:r w:rsidRPr="00730DE4">
        <w:rPr>
          <w:sz w:val="24"/>
          <w:szCs w:val="24"/>
        </w:rPr>
        <w:t>For the year ended 30 June 2024</w:t>
      </w:r>
    </w:p>
    <w:p w14:paraId="3E3E9BDE" w14:textId="77777777" w:rsidR="00730DE4" w:rsidRPr="00730DE4" w:rsidRDefault="00730DE4" w:rsidP="00A9765E">
      <w:pPr>
        <w:pStyle w:val="NoSpacing"/>
        <w:rPr>
          <w:sz w:val="24"/>
          <w:szCs w:val="24"/>
        </w:rPr>
      </w:pPr>
    </w:p>
    <w:tbl>
      <w:tblPr>
        <w:tblW w:w="4978" w:type="pct"/>
        <w:tblLayout w:type="fixed"/>
        <w:tblCellMar>
          <w:top w:w="23" w:type="dxa"/>
          <w:left w:w="23" w:type="dxa"/>
          <w:bottom w:w="23" w:type="dxa"/>
          <w:right w:w="23" w:type="dxa"/>
        </w:tblCellMar>
        <w:tblLook w:val="04A0" w:firstRow="1" w:lastRow="0" w:firstColumn="1" w:lastColumn="0" w:noHBand="0" w:noVBand="1"/>
      </w:tblPr>
      <w:tblGrid>
        <w:gridCol w:w="5673"/>
        <w:gridCol w:w="2535"/>
        <w:gridCol w:w="2535"/>
        <w:gridCol w:w="2535"/>
        <w:gridCol w:w="2535"/>
        <w:gridCol w:w="2535"/>
        <w:gridCol w:w="2535"/>
      </w:tblGrid>
      <w:tr w:rsidR="00730DE4" w:rsidRPr="00730DE4" w14:paraId="590DF503" w14:textId="77777777" w:rsidTr="00253FBD">
        <w:trPr>
          <w:cantSplit/>
        </w:trPr>
        <w:tc>
          <w:tcPr>
            <w:tcW w:w="1358" w:type="pct"/>
            <w:tcBorders>
              <w:top w:val="nil"/>
              <w:left w:val="nil"/>
              <w:bottom w:val="single" w:sz="4" w:space="0" w:color="auto"/>
              <w:right w:val="nil"/>
            </w:tcBorders>
            <w:vAlign w:val="bottom"/>
          </w:tcPr>
          <w:p w14:paraId="02EE61BA" w14:textId="77777777" w:rsidR="00730DE4" w:rsidRPr="00730DE4" w:rsidRDefault="00730DE4" w:rsidP="006605E0">
            <w:pPr>
              <w:pStyle w:val="NoSpacing"/>
              <w:rPr>
                <w:rStyle w:val="Strong"/>
              </w:rPr>
            </w:pPr>
            <w:r w:rsidRPr="00730DE4">
              <w:rPr>
                <w:rStyle w:val="Strong"/>
              </w:rPr>
              <w:t>OPERATING RESULT</w:t>
            </w:r>
          </w:p>
        </w:tc>
        <w:tc>
          <w:tcPr>
            <w:tcW w:w="607" w:type="pct"/>
            <w:tcBorders>
              <w:top w:val="nil"/>
              <w:left w:val="nil"/>
              <w:bottom w:val="single" w:sz="4" w:space="0" w:color="auto"/>
              <w:right w:val="nil"/>
            </w:tcBorders>
            <w:shd w:val="clear" w:color="auto" w:fill="auto"/>
            <w:noWrap/>
            <w:vAlign w:val="bottom"/>
            <w:hideMark/>
          </w:tcPr>
          <w:p w14:paraId="0E27DA64" w14:textId="77777777" w:rsidR="00730DE4" w:rsidRPr="00730DE4" w:rsidRDefault="00730DE4" w:rsidP="006605E0">
            <w:pPr>
              <w:pStyle w:val="NoSpacing"/>
              <w:jc w:val="right"/>
              <w:rPr>
                <w:color w:val="080C0F" w:themeColor="text1"/>
                <w:szCs w:val="20"/>
              </w:rPr>
            </w:pPr>
            <w:r w:rsidRPr="00730DE4">
              <w:rPr>
                <w:rStyle w:val="Strong"/>
              </w:rPr>
              <w:t xml:space="preserve">Customer and </w:t>
            </w:r>
            <w:r w:rsidRPr="00730DE4">
              <w:rPr>
                <w:rStyle w:val="Strong"/>
              </w:rPr>
              <w:br/>
              <w:t xml:space="preserve">Digital Group </w:t>
            </w:r>
            <w:r w:rsidRPr="00730DE4">
              <w:rPr>
                <w:rStyle w:val="Strong"/>
              </w:rPr>
              <w:br/>
            </w:r>
            <w:r w:rsidRPr="00730DE4">
              <w:rPr>
                <w:rStyle w:val="Strong"/>
              </w:rPr>
              <w:br/>
              <w:t xml:space="preserve">2024 </w:t>
            </w:r>
            <w:r w:rsidRPr="00730DE4">
              <w:rPr>
                <w:rStyle w:val="Strong"/>
              </w:rPr>
              <w:br/>
              <w:t>$'000</w:t>
            </w:r>
          </w:p>
        </w:tc>
        <w:tc>
          <w:tcPr>
            <w:tcW w:w="607" w:type="pct"/>
            <w:tcBorders>
              <w:top w:val="nil"/>
              <w:left w:val="nil"/>
              <w:bottom w:val="single" w:sz="4" w:space="0" w:color="auto"/>
              <w:right w:val="nil"/>
            </w:tcBorders>
            <w:shd w:val="clear" w:color="auto" w:fill="auto"/>
            <w:noWrap/>
            <w:vAlign w:val="bottom"/>
            <w:hideMark/>
          </w:tcPr>
          <w:p w14:paraId="29F1DC30" w14:textId="77777777" w:rsidR="00730DE4" w:rsidRPr="00730DE4" w:rsidRDefault="00730DE4" w:rsidP="006605E0">
            <w:pPr>
              <w:pStyle w:val="NoSpacing"/>
              <w:jc w:val="right"/>
              <w:rPr>
                <w:color w:val="080C0F" w:themeColor="text1"/>
                <w:szCs w:val="20"/>
              </w:rPr>
            </w:pPr>
            <w:r w:rsidRPr="00730DE4">
              <w:rPr>
                <w:rStyle w:val="Strong"/>
              </w:rPr>
              <w:t>CITEC</w:t>
            </w:r>
            <w:r w:rsidRPr="00730DE4">
              <w:rPr>
                <w:rStyle w:val="Strong"/>
              </w:rPr>
              <w:br/>
              <w:t xml:space="preserve"> </w:t>
            </w:r>
            <w:r w:rsidRPr="00730DE4">
              <w:rPr>
                <w:rStyle w:val="Strong"/>
              </w:rPr>
              <w:br/>
            </w:r>
            <w:r w:rsidRPr="00730DE4">
              <w:rPr>
                <w:rStyle w:val="Strong"/>
              </w:rPr>
              <w:br/>
              <w:t xml:space="preserve">2024 </w:t>
            </w:r>
            <w:r w:rsidRPr="00730DE4">
              <w:rPr>
                <w:rStyle w:val="Strong"/>
              </w:rPr>
              <w:br/>
              <w:t>$'000</w:t>
            </w:r>
          </w:p>
        </w:tc>
        <w:tc>
          <w:tcPr>
            <w:tcW w:w="607" w:type="pct"/>
            <w:tcBorders>
              <w:top w:val="nil"/>
              <w:left w:val="nil"/>
              <w:bottom w:val="single" w:sz="4" w:space="0" w:color="auto"/>
              <w:right w:val="nil"/>
            </w:tcBorders>
            <w:shd w:val="clear" w:color="auto" w:fill="auto"/>
            <w:noWrap/>
            <w:vAlign w:val="bottom"/>
            <w:hideMark/>
          </w:tcPr>
          <w:p w14:paraId="3E98EE36" w14:textId="77777777" w:rsidR="00730DE4" w:rsidRPr="00730DE4" w:rsidRDefault="00730DE4" w:rsidP="006605E0">
            <w:pPr>
              <w:pStyle w:val="NoSpacing"/>
              <w:jc w:val="right"/>
              <w:rPr>
                <w:color w:val="080C0F" w:themeColor="text1"/>
                <w:szCs w:val="20"/>
              </w:rPr>
            </w:pPr>
            <w:r w:rsidRPr="00730DE4">
              <w:rPr>
                <w:rStyle w:val="Strong"/>
              </w:rPr>
              <w:t xml:space="preserve">Queensland </w:t>
            </w:r>
            <w:r w:rsidRPr="00730DE4">
              <w:rPr>
                <w:rStyle w:val="Strong"/>
              </w:rPr>
              <w:br/>
              <w:t xml:space="preserve">Shared Services </w:t>
            </w:r>
            <w:r w:rsidRPr="00730DE4">
              <w:rPr>
                <w:rStyle w:val="Strong"/>
              </w:rPr>
              <w:br/>
            </w:r>
            <w:r w:rsidRPr="00730DE4">
              <w:rPr>
                <w:rStyle w:val="Strong"/>
              </w:rPr>
              <w:br/>
              <w:t xml:space="preserve">2024 </w:t>
            </w:r>
            <w:r w:rsidRPr="00730DE4">
              <w:rPr>
                <w:rStyle w:val="Strong"/>
              </w:rPr>
              <w:br/>
              <w:t>$'000</w:t>
            </w:r>
          </w:p>
        </w:tc>
        <w:tc>
          <w:tcPr>
            <w:tcW w:w="607" w:type="pct"/>
            <w:tcBorders>
              <w:top w:val="nil"/>
              <w:left w:val="nil"/>
              <w:bottom w:val="single" w:sz="4" w:space="0" w:color="auto"/>
              <w:right w:val="nil"/>
            </w:tcBorders>
            <w:shd w:val="clear" w:color="auto" w:fill="auto"/>
            <w:noWrap/>
            <w:vAlign w:val="bottom"/>
            <w:hideMark/>
          </w:tcPr>
          <w:p w14:paraId="0BF7601E" w14:textId="77777777" w:rsidR="00730DE4" w:rsidRPr="00730DE4" w:rsidRDefault="00730DE4" w:rsidP="006605E0">
            <w:pPr>
              <w:pStyle w:val="NoSpacing"/>
              <w:jc w:val="right"/>
              <w:rPr>
                <w:color w:val="080C0F" w:themeColor="text1"/>
                <w:szCs w:val="20"/>
              </w:rPr>
            </w:pPr>
            <w:r w:rsidRPr="00730DE4">
              <w:rPr>
                <w:rStyle w:val="Strong"/>
              </w:rPr>
              <w:t xml:space="preserve">Corporate Administration Agency </w:t>
            </w:r>
            <w:r w:rsidRPr="00730DE4">
              <w:rPr>
                <w:rStyle w:val="Strong"/>
              </w:rPr>
              <w:br/>
            </w:r>
            <w:r w:rsidRPr="00730DE4">
              <w:rPr>
                <w:rStyle w:val="Strong"/>
              </w:rPr>
              <w:br/>
              <w:t xml:space="preserve">2024 </w:t>
            </w:r>
            <w:r w:rsidRPr="00730DE4">
              <w:rPr>
                <w:rStyle w:val="Strong"/>
              </w:rPr>
              <w:br/>
              <w:t>$'000</w:t>
            </w:r>
          </w:p>
        </w:tc>
        <w:tc>
          <w:tcPr>
            <w:tcW w:w="607" w:type="pct"/>
            <w:tcBorders>
              <w:top w:val="nil"/>
              <w:left w:val="nil"/>
              <w:bottom w:val="single" w:sz="4" w:space="0" w:color="auto"/>
              <w:right w:val="nil"/>
            </w:tcBorders>
            <w:shd w:val="clear" w:color="auto" w:fill="auto"/>
            <w:noWrap/>
            <w:vAlign w:val="bottom"/>
            <w:hideMark/>
          </w:tcPr>
          <w:p w14:paraId="2C2F11DA" w14:textId="77777777" w:rsidR="00730DE4" w:rsidRPr="00730DE4" w:rsidRDefault="00730DE4" w:rsidP="006605E0">
            <w:pPr>
              <w:pStyle w:val="NoSpacing"/>
              <w:jc w:val="right"/>
              <w:rPr>
                <w:color w:val="080C0F" w:themeColor="text1"/>
                <w:szCs w:val="20"/>
              </w:rPr>
            </w:pPr>
            <w:r w:rsidRPr="00730DE4">
              <w:rPr>
                <w:rStyle w:val="Strong"/>
              </w:rPr>
              <w:t xml:space="preserve">Inter-service/unit eliminations </w:t>
            </w:r>
            <w:r w:rsidRPr="00730DE4">
              <w:rPr>
                <w:rStyle w:val="Strong"/>
              </w:rPr>
              <w:br/>
            </w:r>
            <w:r w:rsidRPr="00730DE4">
              <w:rPr>
                <w:rStyle w:val="Strong"/>
              </w:rPr>
              <w:br/>
              <w:t xml:space="preserve">2024 </w:t>
            </w:r>
            <w:r w:rsidRPr="00730DE4">
              <w:rPr>
                <w:rStyle w:val="Strong"/>
              </w:rPr>
              <w:br/>
              <w:t>$'000</w:t>
            </w:r>
          </w:p>
        </w:tc>
        <w:tc>
          <w:tcPr>
            <w:tcW w:w="607" w:type="pct"/>
            <w:tcBorders>
              <w:top w:val="nil"/>
              <w:left w:val="nil"/>
              <w:bottom w:val="single" w:sz="4" w:space="0" w:color="auto"/>
              <w:right w:val="nil"/>
            </w:tcBorders>
            <w:shd w:val="clear" w:color="auto" w:fill="auto"/>
            <w:noWrap/>
            <w:vAlign w:val="bottom"/>
            <w:hideMark/>
          </w:tcPr>
          <w:p w14:paraId="24CC9F74" w14:textId="77777777" w:rsidR="00730DE4" w:rsidRPr="00730DE4" w:rsidRDefault="00730DE4" w:rsidP="006605E0">
            <w:pPr>
              <w:pStyle w:val="NoSpacing"/>
              <w:jc w:val="right"/>
              <w:rPr>
                <w:rStyle w:val="Strong"/>
              </w:rPr>
            </w:pPr>
            <w:r w:rsidRPr="00730DE4">
              <w:rPr>
                <w:rStyle w:val="Strong"/>
              </w:rPr>
              <w:t>Total Department</w:t>
            </w:r>
            <w:r w:rsidRPr="00730DE4">
              <w:rPr>
                <w:rStyle w:val="Strong"/>
              </w:rPr>
              <w:br/>
              <w:t xml:space="preserve"> </w:t>
            </w:r>
            <w:r w:rsidRPr="00730DE4">
              <w:rPr>
                <w:rStyle w:val="Strong"/>
              </w:rPr>
              <w:br/>
            </w:r>
            <w:r w:rsidRPr="00730DE4">
              <w:rPr>
                <w:rStyle w:val="Strong"/>
              </w:rPr>
              <w:br/>
              <w:t xml:space="preserve">2024 </w:t>
            </w:r>
            <w:r w:rsidRPr="00730DE4">
              <w:rPr>
                <w:rStyle w:val="Strong"/>
              </w:rPr>
              <w:br/>
              <w:t>$'000</w:t>
            </w:r>
          </w:p>
        </w:tc>
      </w:tr>
      <w:tr w:rsidR="00730DE4" w:rsidRPr="00730DE4" w14:paraId="279C738B" w14:textId="77777777" w:rsidTr="001B3636">
        <w:trPr>
          <w:cantSplit/>
          <w:trHeight w:val="340"/>
        </w:trPr>
        <w:tc>
          <w:tcPr>
            <w:tcW w:w="1358" w:type="pct"/>
            <w:tcBorders>
              <w:top w:val="single" w:sz="4" w:space="0" w:color="auto"/>
              <w:left w:val="nil"/>
              <w:bottom w:val="dashSmallGap" w:sz="4" w:space="0" w:color="BFBFBF" w:themeColor="background1" w:themeShade="BF"/>
              <w:right w:val="dashSmallGap" w:sz="4" w:space="0" w:color="BFBFBF" w:themeColor="background1" w:themeShade="BF"/>
            </w:tcBorders>
            <w:shd w:val="clear" w:color="auto" w:fill="auto"/>
            <w:vAlign w:val="bottom"/>
          </w:tcPr>
          <w:p w14:paraId="077D660F" w14:textId="77777777" w:rsidR="00730DE4" w:rsidRPr="00730DE4" w:rsidRDefault="00730DE4" w:rsidP="006605E0">
            <w:pPr>
              <w:pStyle w:val="NoSpacing"/>
              <w:rPr>
                <w:rStyle w:val="Strong"/>
              </w:rPr>
            </w:pPr>
            <w:r w:rsidRPr="00730DE4">
              <w:rPr>
                <w:rStyle w:val="Strong"/>
              </w:rPr>
              <w:t>Income</w:t>
            </w:r>
          </w:p>
        </w:tc>
        <w:tc>
          <w:tcPr>
            <w:tcW w:w="607" w:type="pct"/>
            <w:tcBorders>
              <w:top w:val="single" w:sz="4" w:space="0" w:color="auto"/>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tcPr>
          <w:p w14:paraId="70C10B7D" w14:textId="77777777" w:rsidR="00730DE4" w:rsidRPr="00730DE4" w:rsidRDefault="00730DE4" w:rsidP="006605E0">
            <w:pPr>
              <w:pStyle w:val="NoSpacing"/>
              <w:jc w:val="right"/>
              <w:rPr>
                <w:rStyle w:val="Strong"/>
              </w:rPr>
            </w:pPr>
          </w:p>
        </w:tc>
        <w:tc>
          <w:tcPr>
            <w:tcW w:w="607" w:type="pct"/>
            <w:tcBorders>
              <w:top w:val="single" w:sz="4" w:space="0" w:color="auto"/>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tcPr>
          <w:p w14:paraId="38E2A389" w14:textId="77777777" w:rsidR="00730DE4" w:rsidRPr="00730DE4" w:rsidRDefault="00730DE4" w:rsidP="006605E0">
            <w:pPr>
              <w:pStyle w:val="NoSpacing"/>
              <w:jc w:val="right"/>
              <w:rPr>
                <w:rStyle w:val="Strong"/>
              </w:rPr>
            </w:pPr>
          </w:p>
        </w:tc>
        <w:tc>
          <w:tcPr>
            <w:tcW w:w="607" w:type="pct"/>
            <w:tcBorders>
              <w:top w:val="single" w:sz="4" w:space="0" w:color="auto"/>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tcPr>
          <w:p w14:paraId="69A8929D" w14:textId="77777777" w:rsidR="00730DE4" w:rsidRPr="00730DE4" w:rsidRDefault="00730DE4" w:rsidP="006605E0">
            <w:pPr>
              <w:pStyle w:val="NoSpacing"/>
              <w:jc w:val="right"/>
              <w:rPr>
                <w:rStyle w:val="Strong"/>
              </w:rPr>
            </w:pPr>
          </w:p>
        </w:tc>
        <w:tc>
          <w:tcPr>
            <w:tcW w:w="607" w:type="pct"/>
            <w:tcBorders>
              <w:top w:val="single" w:sz="4" w:space="0" w:color="auto"/>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tcPr>
          <w:p w14:paraId="030D74B2" w14:textId="77777777" w:rsidR="00730DE4" w:rsidRPr="00730DE4" w:rsidRDefault="00730DE4" w:rsidP="006605E0">
            <w:pPr>
              <w:pStyle w:val="NoSpacing"/>
              <w:jc w:val="right"/>
              <w:rPr>
                <w:rStyle w:val="Strong"/>
              </w:rPr>
            </w:pPr>
          </w:p>
        </w:tc>
        <w:tc>
          <w:tcPr>
            <w:tcW w:w="607" w:type="pct"/>
            <w:tcBorders>
              <w:top w:val="single" w:sz="4" w:space="0" w:color="auto"/>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tcPr>
          <w:p w14:paraId="3642741B" w14:textId="77777777" w:rsidR="00730DE4" w:rsidRPr="00730DE4" w:rsidRDefault="00730DE4" w:rsidP="006605E0">
            <w:pPr>
              <w:pStyle w:val="NoSpacing"/>
              <w:jc w:val="right"/>
              <w:rPr>
                <w:rStyle w:val="Strong"/>
              </w:rPr>
            </w:pPr>
          </w:p>
        </w:tc>
        <w:tc>
          <w:tcPr>
            <w:tcW w:w="607" w:type="pct"/>
            <w:tcBorders>
              <w:top w:val="single" w:sz="4" w:space="0" w:color="auto"/>
              <w:left w:val="dashSmallGap" w:sz="4" w:space="0" w:color="BFBFBF" w:themeColor="background1" w:themeShade="BF"/>
              <w:bottom w:val="dashSmallGap" w:sz="4" w:space="0" w:color="BFBFBF" w:themeColor="background1" w:themeShade="BF"/>
              <w:right w:val="nil"/>
            </w:tcBorders>
            <w:shd w:val="clear" w:color="auto" w:fill="F2F2F2" w:themeFill="background1" w:themeFillShade="F2"/>
            <w:noWrap/>
            <w:vAlign w:val="bottom"/>
          </w:tcPr>
          <w:p w14:paraId="2E6D066E" w14:textId="77777777" w:rsidR="00730DE4" w:rsidRPr="00730DE4" w:rsidRDefault="00730DE4" w:rsidP="006605E0">
            <w:pPr>
              <w:pStyle w:val="NoSpacing"/>
              <w:jc w:val="right"/>
              <w:rPr>
                <w:rStyle w:val="Strong"/>
              </w:rPr>
            </w:pPr>
          </w:p>
        </w:tc>
      </w:tr>
      <w:tr w:rsidR="00730DE4" w:rsidRPr="00730DE4" w14:paraId="6534D638" w14:textId="77777777" w:rsidTr="001B3636">
        <w:trPr>
          <w:cantSplit/>
        </w:trPr>
        <w:tc>
          <w:tcPr>
            <w:tcW w:w="1358" w:type="pct"/>
            <w:tcBorders>
              <w:top w:val="dashSmallGap" w:sz="4" w:space="0" w:color="BFBFBF" w:themeColor="background1" w:themeShade="BF"/>
              <w:left w:val="nil"/>
              <w:bottom w:val="dashSmallGap" w:sz="4" w:space="0" w:color="BFBFBF" w:themeColor="background1" w:themeShade="BF"/>
              <w:right w:val="dashSmallGap" w:sz="4" w:space="0" w:color="BFBFBF" w:themeColor="background1" w:themeShade="BF"/>
            </w:tcBorders>
            <w:shd w:val="clear" w:color="auto" w:fill="auto"/>
            <w:vAlign w:val="bottom"/>
          </w:tcPr>
          <w:p w14:paraId="38095D36" w14:textId="77777777" w:rsidR="00730DE4" w:rsidRPr="00730DE4" w:rsidRDefault="00730DE4" w:rsidP="006605E0">
            <w:pPr>
              <w:pStyle w:val="NoSpacingIndent"/>
            </w:pPr>
            <w:r w:rsidRPr="00730DE4">
              <w:t>Appropriation revenue</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5A499F8E"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175,814 </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557AFA9A"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 </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69ECD4FD"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 </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3DB3CF18"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 </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361C95C0"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 </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nil"/>
            </w:tcBorders>
            <w:shd w:val="clear" w:color="auto" w:fill="F2F2F2" w:themeFill="background1" w:themeFillShade="F2"/>
            <w:noWrap/>
            <w:vAlign w:val="bottom"/>
            <w:hideMark/>
          </w:tcPr>
          <w:p w14:paraId="01A9ABEA" w14:textId="77777777" w:rsidR="00730DE4" w:rsidRPr="00730DE4" w:rsidRDefault="00730DE4" w:rsidP="006605E0">
            <w:pPr>
              <w:pStyle w:val="NoSpacing"/>
              <w:jc w:val="right"/>
              <w:rPr>
                <w:rStyle w:val="Strong"/>
              </w:rPr>
            </w:pPr>
            <w:r w:rsidRPr="00730DE4">
              <w:rPr>
                <w:rStyle w:val="Strong"/>
              </w:rPr>
              <w:t xml:space="preserve">6,957,051 </w:t>
            </w:r>
          </w:p>
        </w:tc>
      </w:tr>
      <w:tr w:rsidR="00730DE4" w:rsidRPr="00730DE4" w14:paraId="05866AD4" w14:textId="77777777" w:rsidTr="001B3636">
        <w:trPr>
          <w:cantSplit/>
        </w:trPr>
        <w:tc>
          <w:tcPr>
            <w:tcW w:w="1358" w:type="pct"/>
            <w:tcBorders>
              <w:top w:val="dashSmallGap" w:sz="4" w:space="0" w:color="BFBFBF" w:themeColor="background1" w:themeShade="BF"/>
              <w:left w:val="nil"/>
              <w:bottom w:val="dashSmallGap" w:sz="4" w:space="0" w:color="BFBFBF" w:themeColor="background1" w:themeShade="BF"/>
              <w:right w:val="dashSmallGap" w:sz="4" w:space="0" w:color="BFBFBF" w:themeColor="background1" w:themeShade="BF"/>
            </w:tcBorders>
            <w:shd w:val="clear" w:color="auto" w:fill="auto"/>
            <w:vAlign w:val="bottom"/>
          </w:tcPr>
          <w:p w14:paraId="370B149D" w14:textId="77777777" w:rsidR="00730DE4" w:rsidRPr="00730DE4" w:rsidRDefault="00730DE4" w:rsidP="006605E0">
            <w:pPr>
              <w:pStyle w:val="NoSpacingIndent"/>
            </w:pPr>
            <w:r w:rsidRPr="00730DE4">
              <w:t>User charges and fees</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3F228A0D"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84,877 </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2B16E559"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166,905 </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28694BE5"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150,292 </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6A914B62"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12,208 </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6305DB78" w14:textId="77777777" w:rsidR="00730DE4" w:rsidRPr="00730DE4" w:rsidRDefault="00730DE4" w:rsidP="006605E0">
            <w:pPr>
              <w:pStyle w:val="NoSpacing"/>
              <w:jc w:val="right"/>
              <w:rPr>
                <w:color w:val="080C0F" w:themeColor="text1"/>
                <w:szCs w:val="20"/>
              </w:rPr>
            </w:pPr>
            <w:r w:rsidRPr="00730DE4">
              <w:rPr>
                <w:color w:val="080C0F" w:themeColor="text1"/>
                <w:szCs w:val="20"/>
              </w:rPr>
              <w:t>(956,399)</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nil"/>
            </w:tcBorders>
            <w:shd w:val="clear" w:color="auto" w:fill="F2F2F2" w:themeFill="background1" w:themeFillShade="F2"/>
            <w:noWrap/>
            <w:vAlign w:val="bottom"/>
            <w:hideMark/>
          </w:tcPr>
          <w:p w14:paraId="72C187DF" w14:textId="77777777" w:rsidR="00730DE4" w:rsidRPr="00730DE4" w:rsidRDefault="00730DE4" w:rsidP="006605E0">
            <w:pPr>
              <w:pStyle w:val="NoSpacing"/>
              <w:jc w:val="right"/>
              <w:rPr>
                <w:rStyle w:val="Strong"/>
              </w:rPr>
            </w:pPr>
            <w:r w:rsidRPr="00730DE4">
              <w:rPr>
                <w:rStyle w:val="Strong"/>
              </w:rPr>
              <w:t xml:space="preserve">1,104,337 </w:t>
            </w:r>
          </w:p>
        </w:tc>
      </w:tr>
      <w:tr w:rsidR="00730DE4" w:rsidRPr="00730DE4" w14:paraId="715FC0AA" w14:textId="77777777" w:rsidTr="001B3636">
        <w:trPr>
          <w:cantSplit/>
        </w:trPr>
        <w:tc>
          <w:tcPr>
            <w:tcW w:w="1358" w:type="pct"/>
            <w:tcBorders>
              <w:top w:val="dashSmallGap" w:sz="4" w:space="0" w:color="BFBFBF" w:themeColor="background1" w:themeShade="BF"/>
              <w:left w:val="nil"/>
              <w:bottom w:val="dashSmallGap" w:sz="4" w:space="0" w:color="BFBFBF" w:themeColor="background1" w:themeShade="BF"/>
              <w:right w:val="dashSmallGap" w:sz="4" w:space="0" w:color="BFBFBF" w:themeColor="background1" w:themeShade="BF"/>
            </w:tcBorders>
            <w:shd w:val="clear" w:color="auto" w:fill="auto"/>
            <w:vAlign w:val="bottom"/>
          </w:tcPr>
          <w:p w14:paraId="10BD0163" w14:textId="77777777" w:rsidR="00730DE4" w:rsidRPr="00730DE4" w:rsidRDefault="00730DE4" w:rsidP="006605E0">
            <w:pPr>
              <w:pStyle w:val="NoSpacingIndent"/>
            </w:pPr>
            <w:r w:rsidRPr="00730DE4">
              <w:t xml:space="preserve">Grants and other contributions </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3DEAF98C"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320 </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7A744DBE"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 </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5AD762B7"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 </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13F2E784"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81 </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68A86F0B"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 </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nil"/>
            </w:tcBorders>
            <w:shd w:val="clear" w:color="auto" w:fill="F2F2F2" w:themeFill="background1" w:themeFillShade="F2"/>
            <w:noWrap/>
            <w:vAlign w:val="bottom"/>
            <w:hideMark/>
          </w:tcPr>
          <w:p w14:paraId="20B8ECC3" w14:textId="77777777" w:rsidR="00730DE4" w:rsidRPr="00730DE4" w:rsidRDefault="00730DE4" w:rsidP="006605E0">
            <w:pPr>
              <w:pStyle w:val="NoSpacing"/>
              <w:jc w:val="right"/>
              <w:rPr>
                <w:rStyle w:val="Strong"/>
              </w:rPr>
            </w:pPr>
            <w:r w:rsidRPr="00730DE4">
              <w:rPr>
                <w:rStyle w:val="Strong"/>
              </w:rPr>
              <w:t xml:space="preserve">597,013 </w:t>
            </w:r>
          </w:p>
        </w:tc>
      </w:tr>
      <w:tr w:rsidR="00730DE4" w:rsidRPr="00730DE4" w14:paraId="6BC90F42" w14:textId="77777777" w:rsidTr="001B3636">
        <w:trPr>
          <w:cantSplit/>
        </w:trPr>
        <w:tc>
          <w:tcPr>
            <w:tcW w:w="1358" w:type="pct"/>
            <w:tcBorders>
              <w:top w:val="dashSmallGap" w:sz="4" w:space="0" w:color="BFBFBF" w:themeColor="background1" w:themeShade="BF"/>
              <w:left w:val="nil"/>
              <w:bottom w:val="dashSmallGap" w:sz="4" w:space="0" w:color="BFBFBF" w:themeColor="background1" w:themeShade="BF"/>
              <w:right w:val="dashSmallGap" w:sz="4" w:space="0" w:color="BFBFBF" w:themeColor="background1" w:themeShade="BF"/>
            </w:tcBorders>
            <w:shd w:val="clear" w:color="auto" w:fill="auto"/>
            <w:vAlign w:val="bottom"/>
          </w:tcPr>
          <w:p w14:paraId="016F3312" w14:textId="77777777" w:rsidR="00730DE4" w:rsidRPr="00730DE4" w:rsidRDefault="00730DE4" w:rsidP="006605E0">
            <w:pPr>
              <w:pStyle w:val="NoSpacingIndent"/>
            </w:pPr>
            <w:r w:rsidRPr="00730DE4">
              <w:t>Service concession arrangements revenue</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2206F004"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 </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7F327EF3"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 </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4F3D3024"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 </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796CC10C"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 </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5C36DFBF"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 </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nil"/>
            </w:tcBorders>
            <w:shd w:val="clear" w:color="auto" w:fill="F2F2F2" w:themeFill="background1" w:themeFillShade="F2"/>
            <w:noWrap/>
            <w:vAlign w:val="bottom"/>
            <w:hideMark/>
          </w:tcPr>
          <w:p w14:paraId="40327BED" w14:textId="77777777" w:rsidR="00730DE4" w:rsidRPr="00730DE4" w:rsidRDefault="00730DE4" w:rsidP="006605E0">
            <w:pPr>
              <w:pStyle w:val="NoSpacing"/>
              <w:jc w:val="right"/>
              <w:rPr>
                <w:rStyle w:val="Strong"/>
              </w:rPr>
            </w:pPr>
            <w:r w:rsidRPr="00730DE4">
              <w:rPr>
                <w:rStyle w:val="Strong"/>
              </w:rPr>
              <w:t xml:space="preserve">232,180 </w:t>
            </w:r>
          </w:p>
        </w:tc>
      </w:tr>
      <w:tr w:rsidR="00730DE4" w:rsidRPr="00730DE4" w14:paraId="582AFB3F" w14:textId="77777777" w:rsidTr="001B3636">
        <w:trPr>
          <w:cantSplit/>
        </w:trPr>
        <w:tc>
          <w:tcPr>
            <w:tcW w:w="1358" w:type="pct"/>
            <w:tcBorders>
              <w:top w:val="dashSmallGap" w:sz="4" w:space="0" w:color="BFBFBF" w:themeColor="background1" w:themeShade="BF"/>
              <w:left w:val="nil"/>
              <w:bottom w:val="single" w:sz="4" w:space="0" w:color="auto"/>
              <w:right w:val="dashSmallGap" w:sz="4" w:space="0" w:color="BFBFBF" w:themeColor="background1" w:themeShade="BF"/>
            </w:tcBorders>
            <w:shd w:val="clear" w:color="auto" w:fill="auto"/>
            <w:vAlign w:val="bottom"/>
          </w:tcPr>
          <w:p w14:paraId="1B5B40DA" w14:textId="77777777" w:rsidR="00730DE4" w:rsidRPr="00730DE4" w:rsidRDefault="00730DE4" w:rsidP="006605E0">
            <w:pPr>
              <w:pStyle w:val="NoSpacingIndent"/>
            </w:pPr>
            <w:r w:rsidRPr="00730DE4">
              <w:t>Other revenue</w:t>
            </w:r>
          </w:p>
        </w:tc>
        <w:tc>
          <w:tcPr>
            <w:tcW w:w="607" w:type="pct"/>
            <w:tcBorders>
              <w:top w:val="dashSmallGap" w:sz="4" w:space="0" w:color="BFBFBF" w:themeColor="background1" w:themeShade="BF"/>
              <w:left w:val="dashSmallGap" w:sz="4" w:space="0" w:color="BFBFBF" w:themeColor="background1" w:themeShade="BF"/>
              <w:bottom w:val="single" w:sz="4" w:space="0" w:color="auto"/>
              <w:right w:val="dashSmallGap" w:sz="4" w:space="0" w:color="BFBFBF" w:themeColor="background1" w:themeShade="BF"/>
            </w:tcBorders>
            <w:shd w:val="clear" w:color="auto" w:fill="F2F2F2" w:themeFill="background1" w:themeFillShade="F2"/>
            <w:noWrap/>
            <w:vAlign w:val="bottom"/>
            <w:hideMark/>
          </w:tcPr>
          <w:p w14:paraId="16D3B800"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17,711 </w:t>
            </w:r>
          </w:p>
        </w:tc>
        <w:tc>
          <w:tcPr>
            <w:tcW w:w="607" w:type="pct"/>
            <w:tcBorders>
              <w:top w:val="dashSmallGap" w:sz="4" w:space="0" w:color="BFBFBF" w:themeColor="background1" w:themeShade="BF"/>
              <w:left w:val="dashSmallGap" w:sz="4" w:space="0" w:color="BFBFBF" w:themeColor="background1" w:themeShade="BF"/>
              <w:bottom w:val="single" w:sz="4" w:space="0" w:color="auto"/>
              <w:right w:val="dashSmallGap" w:sz="4" w:space="0" w:color="BFBFBF" w:themeColor="background1" w:themeShade="BF"/>
            </w:tcBorders>
            <w:shd w:val="clear" w:color="auto" w:fill="F2F2F2" w:themeFill="background1" w:themeFillShade="F2"/>
            <w:noWrap/>
            <w:vAlign w:val="bottom"/>
            <w:hideMark/>
          </w:tcPr>
          <w:p w14:paraId="53469271"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2,818 </w:t>
            </w:r>
          </w:p>
        </w:tc>
        <w:tc>
          <w:tcPr>
            <w:tcW w:w="607" w:type="pct"/>
            <w:tcBorders>
              <w:top w:val="dashSmallGap" w:sz="4" w:space="0" w:color="BFBFBF" w:themeColor="background1" w:themeShade="BF"/>
              <w:left w:val="dashSmallGap" w:sz="4" w:space="0" w:color="BFBFBF" w:themeColor="background1" w:themeShade="BF"/>
              <w:bottom w:val="single" w:sz="4" w:space="0" w:color="auto"/>
              <w:right w:val="dashSmallGap" w:sz="4" w:space="0" w:color="BFBFBF" w:themeColor="background1" w:themeShade="BF"/>
            </w:tcBorders>
            <w:shd w:val="clear" w:color="auto" w:fill="F2F2F2" w:themeFill="background1" w:themeFillShade="F2"/>
            <w:noWrap/>
            <w:vAlign w:val="bottom"/>
            <w:hideMark/>
          </w:tcPr>
          <w:p w14:paraId="556CECF7"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5,028 </w:t>
            </w:r>
          </w:p>
        </w:tc>
        <w:tc>
          <w:tcPr>
            <w:tcW w:w="607" w:type="pct"/>
            <w:tcBorders>
              <w:top w:val="dashSmallGap" w:sz="4" w:space="0" w:color="BFBFBF" w:themeColor="background1" w:themeShade="BF"/>
              <w:left w:val="dashSmallGap" w:sz="4" w:space="0" w:color="BFBFBF" w:themeColor="background1" w:themeShade="BF"/>
              <w:bottom w:val="single" w:sz="4" w:space="0" w:color="auto"/>
              <w:right w:val="dashSmallGap" w:sz="4" w:space="0" w:color="BFBFBF" w:themeColor="background1" w:themeShade="BF"/>
            </w:tcBorders>
            <w:shd w:val="clear" w:color="auto" w:fill="F2F2F2" w:themeFill="background1" w:themeFillShade="F2"/>
            <w:noWrap/>
            <w:vAlign w:val="bottom"/>
            <w:hideMark/>
          </w:tcPr>
          <w:p w14:paraId="4ECB997E"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571 </w:t>
            </w:r>
          </w:p>
        </w:tc>
        <w:tc>
          <w:tcPr>
            <w:tcW w:w="607" w:type="pct"/>
            <w:tcBorders>
              <w:top w:val="dashSmallGap" w:sz="4" w:space="0" w:color="BFBFBF" w:themeColor="background1" w:themeShade="BF"/>
              <w:left w:val="dashSmallGap" w:sz="4" w:space="0" w:color="BFBFBF" w:themeColor="background1" w:themeShade="BF"/>
              <w:bottom w:val="single" w:sz="4" w:space="0" w:color="auto"/>
              <w:right w:val="dashSmallGap" w:sz="4" w:space="0" w:color="BFBFBF" w:themeColor="background1" w:themeShade="BF"/>
            </w:tcBorders>
            <w:shd w:val="clear" w:color="auto" w:fill="F2F2F2" w:themeFill="background1" w:themeFillShade="F2"/>
            <w:noWrap/>
            <w:vAlign w:val="bottom"/>
            <w:hideMark/>
          </w:tcPr>
          <w:p w14:paraId="73CC67D6" w14:textId="77777777" w:rsidR="00730DE4" w:rsidRPr="00730DE4" w:rsidRDefault="00730DE4" w:rsidP="006605E0">
            <w:pPr>
              <w:pStyle w:val="NoSpacing"/>
              <w:jc w:val="right"/>
              <w:rPr>
                <w:color w:val="080C0F" w:themeColor="text1"/>
                <w:szCs w:val="20"/>
              </w:rPr>
            </w:pPr>
            <w:r w:rsidRPr="00730DE4">
              <w:rPr>
                <w:color w:val="080C0F" w:themeColor="text1"/>
                <w:szCs w:val="20"/>
              </w:rPr>
              <w:t>(26,181)</w:t>
            </w:r>
          </w:p>
        </w:tc>
        <w:tc>
          <w:tcPr>
            <w:tcW w:w="607" w:type="pct"/>
            <w:tcBorders>
              <w:top w:val="dashSmallGap" w:sz="4" w:space="0" w:color="BFBFBF" w:themeColor="background1" w:themeShade="BF"/>
              <w:left w:val="dashSmallGap" w:sz="4" w:space="0" w:color="BFBFBF" w:themeColor="background1" w:themeShade="BF"/>
              <w:bottom w:val="single" w:sz="4" w:space="0" w:color="auto"/>
              <w:right w:val="nil"/>
            </w:tcBorders>
            <w:shd w:val="clear" w:color="auto" w:fill="F2F2F2" w:themeFill="background1" w:themeFillShade="F2"/>
            <w:noWrap/>
            <w:vAlign w:val="bottom"/>
            <w:hideMark/>
          </w:tcPr>
          <w:p w14:paraId="03B8809F" w14:textId="77777777" w:rsidR="00730DE4" w:rsidRPr="00730DE4" w:rsidRDefault="00730DE4" w:rsidP="006605E0">
            <w:pPr>
              <w:pStyle w:val="NoSpacing"/>
              <w:jc w:val="right"/>
              <w:rPr>
                <w:rStyle w:val="Strong"/>
              </w:rPr>
            </w:pPr>
            <w:r w:rsidRPr="00730DE4">
              <w:rPr>
                <w:rStyle w:val="Strong"/>
              </w:rPr>
              <w:t xml:space="preserve">61,931 </w:t>
            </w:r>
          </w:p>
        </w:tc>
      </w:tr>
      <w:tr w:rsidR="00730DE4" w:rsidRPr="00730DE4" w14:paraId="5FA77A56" w14:textId="77777777" w:rsidTr="001B3636">
        <w:trPr>
          <w:cantSplit/>
          <w:trHeight w:val="340"/>
        </w:trPr>
        <w:tc>
          <w:tcPr>
            <w:tcW w:w="1358" w:type="pct"/>
            <w:tcBorders>
              <w:top w:val="single" w:sz="4" w:space="0" w:color="auto"/>
              <w:left w:val="nil"/>
              <w:right w:val="dashSmallGap" w:sz="4" w:space="0" w:color="BFBFBF" w:themeColor="background1" w:themeShade="BF"/>
            </w:tcBorders>
            <w:shd w:val="clear" w:color="auto" w:fill="auto"/>
          </w:tcPr>
          <w:p w14:paraId="03F59587" w14:textId="77777777" w:rsidR="00730DE4" w:rsidRPr="00730DE4" w:rsidRDefault="00730DE4" w:rsidP="006007A6">
            <w:pPr>
              <w:pStyle w:val="NoSpacingIndent"/>
              <w:rPr>
                <w:rStyle w:val="Strong"/>
              </w:rPr>
            </w:pPr>
            <w:r w:rsidRPr="00730DE4">
              <w:rPr>
                <w:rStyle w:val="Strong"/>
              </w:rPr>
              <w:t>Total revenue</w:t>
            </w:r>
          </w:p>
        </w:tc>
        <w:tc>
          <w:tcPr>
            <w:tcW w:w="607" w:type="pct"/>
            <w:tcBorders>
              <w:top w:val="single" w:sz="4" w:space="0" w:color="auto"/>
              <w:left w:val="dashSmallGap" w:sz="4" w:space="0" w:color="BFBFBF" w:themeColor="background1" w:themeShade="BF"/>
              <w:right w:val="dashSmallGap" w:sz="4" w:space="0" w:color="BFBFBF" w:themeColor="background1" w:themeShade="BF"/>
            </w:tcBorders>
            <w:shd w:val="clear" w:color="auto" w:fill="F2F2F2" w:themeFill="background1" w:themeFillShade="F2"/>
            <w:noWrap/>
            <w:hideMark/>
          </w:tcPr>
          <w:p w14:paraId="7F761642" w14:textId="77777777" w:rsidR="00730DE4" w:rsidRPr="00730DE4" w:rsidRDefault="00730DE4" w:rsidP="006007A6">
            <w:pPr>
              <w:pStyle w:val="NoSpacing"/>
              <w:jc w:val="right"/>
              <w:rPr>
                <w:color w:val="080C0F" w:themeColor="text1"/>
                <w:szCs w:val="20"/>
              </w:rPr>
            </w:pPr>
            <w:r w:rsidRPr="00730DE4">
              <w:rPr>
                <w:rStyle w:val="Strong"/>
              </w:rPr>
              <w:t xml:space="preserve">278,722 </w:t>
            </w:r>
          </w:p>
        </w:tc>
        <w:tc>
          <w:tcPr>
            <w:tcW w:w="607" w:type="pct"/>
            <w:tcBorders>
              <w:top w:val="single" w:sz="4" w:space="0" w:color="auto"/>
              <w:left w:val="dashSmallGap" w:sz="4" w:space="0" w:color="BFBFBF" w:themeColor="background1" w:themeShade="BF"/>
              <w:right w:val="dashSmallGap" w:sz="4" w:space="0" w:color="BFBFBF" w:themeColor="background1" w:themeShade="BF"/>
            </w:tcBorders>
            <w:shd w:val="clear" w:color="auto" w:fill="F2F2F2" w:themeFill="background1" w:themeFillShade="F2"/>
            <w:noWrap/>
            <w:hideMark/>
          </w:tcPr>
          <w:p w14:paraId="7040E759" w14:textId="77777777" w:rsidR="00730DE4" w:rsidRPr="00730DE4" w:rsidRDefault="00730DE4" w:rsidP="006007A6">
            <w:pPr>
              <w:pStyle w:val="NoSpacing"/>
              <w:jc w:val="right"/>
              <w:rPr>
                <w:color w:val="080C0F" w:themeColor="text1"/>
                <w:szCs w:val="20"/>
              </w:rPr>
            </w:pPr>
            <w:r w:rsidRPr="00730DE4">
              <w:rPr>
                <w:rStyle w:val="Strong"/>
              </w:rPr>
              <w:t xml:space="preserve">169,723 </w:t>
            </w:r>
          </w:p>
        </w:tc>
        <w:tc>
          <w:tcPr>
            <w:tcW w:w="607" w:type="pct"/>
            <w:tcBorders>
              <w:top w:val="single" w:sz="4" w:space="0" w:color="auto"/>
              <w:left w:val="dashSmallGap" w:sz="4" w:space="0" w:color="BFBFBF" w:themeColor="background1" w:themeShade="BF"/>
              <w:right w:val="dashSmallGap" w:sz="4" w:space="0" w:color="BFBFBF" w:themeColor="background1" w:themeShade="BF"/>
            </w:tcBorders>
            <w:shd w:val="clear" w:color="auto" w:fill="F2F2F2" w:themeFill="background1" w:themeFillShade="F2"/>
            <w:noWrap/>
            <w:hideMark/>
          </w:tcPr>
          <w:p w14:paraId="04F82777" w14:textId="77777777" w:rsidR="00730DE4" w:rsidRPr="00730DE4" w:rsidRDefault="00730DE4" w:rsidP="006007A6">
            <w:pPr>
              <w:pStyle w:val="NoSpacing"/>
              <w:jc w:val="right"/>
              <w:rPr>
                <w:color w:val="080C0F" w:themeColor="text1"/>
                <w:szCs w:val="20"/>
              </w:rPr>
            </w:pPr>
            <w:r w:rsidRPr="00730DE4">
              <w:rPr>
                <w:rStyle w:val="Strong"/>
              </w:rPr>
              <w:t xml:space="preserve">155,320 </w:t>
            </w:r>
          </w:p>
        </w:tc>
        <w:tc>
          <w:tcPr>
            <w:tcW w:w="607" w:type="pct"/>
            <w:tcBorders>
              <w:top w:val="single" w:sz="4" w:space="0" w:color="auto"/>
              <w:left w:val="dashSmallGap" w:sz="4" w:space="0" w:color="BFBFBF" w:themeColor="background1" w:themeShade="BF"/>
              <w:right w:val="dashSmallGap" w:sz="4" w:space="0" w:color="BFBFBF" w:themeColor="background1" w:themeShade="BF"/>
            </w:tcBorders>
            <w:shd w:val="clear" w:color="auto" w:fill="F2F2F2" w:themeFill="background1" w:themeFillShade="F2"/>
            <w:noWrap/>
            <w:hideMark/>
          </w:tcPr>
          <w:p w14:paraId="3F0EA386" w14:textId="77777777" w:rsidR="00730DE4" w:rsidRPr="00730DE4" w:rsidRDefault="00730DE4" w:rsidP="006007A6">
            <w:pPr>
              <w:pStyle w:val="NoSpacing"/>
              <w:jc w:val="right"/>
              <w:rPr>
                <w:color w:val="080C0F" w:themeColor="text1"/>
                <w:szCs w:val="20"/>
              </w:rPr>
            </w:pPr>
            <w:r w:rsidRPr="00730DE4">
              <w:rPr>
                <w:rStyle w:val="Strong"/>
              </w:rPr>
              <w:t xml:space="preserve">12,860 </w:t>
            </w:r>
          </w:p>
        </w:tc>
        <w:tc>
          <w:tcPr>
            <w:tcW w:w="607" w:type="pct"/>
            <w:tcBorders>
              <w:top w:val="single" w:sz="4" w:space="0" w:color="auto"/>
              <w:left w:val="dashSmallGap" w:sz="4" w:space="0" w:color="BFBFBF" w:themeColor="background1" w:themeShade="BF"/>
              <w:right w:val="dashSmallGap" w:sz="4" w:space="0" w:color="BFBFBF" w:themeColor="background1" w:themeShade="BF"/>
            </w:tcBorders>
            <w:shd w:val="clear" w:color="auto" w:fill="F2F2F2" w:themeFill="background1" w:themeFillShade="F2"/>
            <w:noWrap/>
            <w:hideMark/>
          </w:tcPr>
          <w:p w14:paraId="2FA4145D" w14:textId="77777777" w:rsidR="00730DE4" w:rsidRPr="00730DE4" w:rsidRDefault="00730DE4" w:rsidP="006007A6">
            <w:pPr>
              <w:pStyle w:val="NoSpacing"/>
              <w:jc w:val="right"/>
              <w:rPr>
                <w:color w:val="080C0F" w:themeColor="text1"/>
                <w:szCs w:val="20"/>
              </w:rPr>
            </w:pPr>
            <w:r w:rsidRPr="00730DE4">
              <w:rPr>
                <w:rStyle w:val="Strong"/>
              </w:rPr>
              <w:t>(982,580)</w:t>
            </w:r>
          </w:p>
        </w:tc>
        <w:tc>
          <w:tcPr>
            <w:tcW w:w="607" w:type="pct"/>
            <w:tcBorders>
              <w:top w:val="single" w:sz="4" w:space="0" w:color="auto"/>
              <w:left w:val="dashSmallGap" w:sz="4" w:space="0" w:color="BFBFBF" w:themeColor="background1" w:themeShade="BF"/>
              <w:right w:val="nil"/>
            </w:tcBorders>
            <w:shd w:val="clear" w:color="auto" w:fill="F2F2F2" w:themeFill="background1" w:themeFillShade="F2"/>
            <w:noWrap/>
            <w:hideMark/>
          </w:tcPr>
          <w:p w14:paraId="44ADEE9B" w14:textId="77777777" w:rsidR="00730DE4" w:rsidRPr="00730DE4" w:rsidRDefault="00730DE4" w:rsidP="006007A6">
            <w:pPr>
              <w:pStyle w:val="NoSpacing"/>
              <w:jc w:val="right"/>
              <w:rPr>
                <w:rStyle w:val="Strong"/>
              </w:rPr>
            </w:pPr>
            <w:r w:rsidRPr="00730DE4">
              <w:rPr>
                <w:rStyle w:val="Strong"/>
              </w:rPr>
              <w:t xml:space="preserve">8,952,512 </w:t>
            </w:r>
          </w:p>
        </w:tc>
      </w:tr>
      <w:tr w:rsidR="00730DE4" w:rsidRPr="00730DE4" w14:paraId="7F9D4EFA" w14:textId="77777777" w:rsidTr="001B3636">
        <w:trPr>
          <w:cantSplit/>
          <w:trHeight w:val="340"/>
        </w:trPr>
        <w:tc>
          <w:tcPr>
            <w:tcW w:w="1358" w:type="pct"/>
            <w:tcBorders>
              <w:left w:val="nil"/>
              <w:bottom w:val="single" w:sz="4" w:space="0" w:color="auto"/>
              <w:right w:val="dashSmallGap" w:sz="4" w:space="0" w:color="BFBFBF" w:themeColor="background1" w:themeShade="BF"/>
            </w:tcBorders>
            <w:shd w:val="clear" w:color="auto" w:fill="auto"/>
            <w:vAlign w:val="bottom"/>
          </w:tcPr>
          <w:p w14:paraId="370D20C4" w14:textId="77777777" w:rsidR="00730DE4" w:rsidRPr="00730DE4" w:rsidRDefault="00730DE4" w:rsidP="006605E0">
            <w:pPr>
              <w:pStyle w:val="NoSpacingIndent"/>
            </w:pPr>
            <w:r w:rsidRPr="00730DE4">
              <w:t>Gains on disposal of assets</w:t>
            </w:r>
          </w:p>
        </w:tc>
        <w:tc>
          <w:tcPr>
            <w:tcW w:w="607" w:type="pct"/>
            <w:tcBorders>
              <w:left w:val="dashSmallGap" w:sz="4" w:space="0" w:color="BFBFBF" w:themeColor="background1" w:themeShade="BF"/>
              <w:bottom w:val="single" w:sz="4" w:space="0" w:color="auto"/>
              <w:right w:val="dashSmallGap" w:sz="4" w:space="0" w:color="BFBFBF" w:themeColor="background1" w:themeShade="BF"/>
            </w:tcBorders>
            <w:shd w:val="clear" w:color="auto" w:fill="F2F2F2" w:themeFill="background1" w:themeFillShade="F2"/>
            <w:noWrap/>
            <w:vAlign w:val="bottom"/>
            <w:hideMark/>
          </w:tcPr>
          <w:p w14:paraId="0DAECBC9"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 </w:t>
            </w:r>
          </w:p>
        </w:tc>
        <w:tc>
          <w:tcPr>
            <w:tcW w:w="607" w:type="pct"/>
            <w:tcBorders>
              <w:left w:val="dashSmallGap" w:sz="4" w:space="0" w:color="BFBFBF" w:themeColor="background1" w:themeShade="BF"/>
              <w:bottom w:val="single" w:sz="4" w:space="0" w:color="auto"/>
              <w:right w:val="dashSmallGap" w:sz="4" w:space="0" w:color="BFBFBF" w:themeColor="background1" w:themeShade="BF"/>
            </w:tcBorders>
            <w:shd w:val="clear" w:color="auto" w:fill="F2F2F2" w:themeFill="background1" w:themeFillShade="F2"/>
            <w:noWrap/>
            <w:vAlign w:val="bottom"/>
            <w:hideMark/>
          </w:tcPr>
          <w:p w14:paraId="05CC8390"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 </w:t>
            </w:r>
          </w:p>
        </w:tc>
        <w:tc>
          <w:tcPr>
            <w:tcW w:w="607" w:type="pct"/>
            <w:tcBorders>
              <w:left w:val="dashSmallGap" w:sz="4" w:space="0" w:color="BFBFBF" w:themeColor="background1" w:themeShade="BF"/>
              <w:bottom w:val="single" w:sz="4" w:space="0" w:color="auto"/>
              <w:right w:val="dashSmallGap" w:sz="4" w:space="0" w:color="BFBFBF" w:themeColor="background1" w:themeShade="BF"/>
            </w:tcBorders>
            <w:shd w:val="clear" w:color="auto" w:fill="F2F2F2" w:themeFill="background1" w:themeFillShade="F2"/>
            <w:noWrap/>
            <w:vAlign w:val="bottom"/>
            <w:hideMark/>
          </w:tcPr>
          <w:p w14:paraId="11DFDEDE"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 </w:t>
            </w:r>
          </w:p>
        </w:tc>
        <w:tc>
          <w:tcPr>
            <w:tcW w:w="607" w:type="pct"/>
            <w:tcBorders>
              <w:left w:val="dashSmallGap" w:sz="4" w:space="0" w:color="BFBFBF" w:themeColor="background1" w:themeShade="BF"/>
              <w:bottom w:val="single" w:sz="4" w:space="0" w:color="auto"/>
              <w:right w:val="dashSmallGap" w:sz="4" w:space="0" w:color="BFBFBF" w:themeColor="background1" w:themeShade="BF"/>
            </w:tcBorders>
            <w:shd w:val="clear" w:color="auto" w:fill="F2F2F2" w:themeFill="background1" w:themeFillShade="F2"/>
            <w:noWrap/>
            <w:vAlign w:val="bottom"/>
            <w:hideMark/>
          </w:tcPr>
          <w:p w14:paraId="54759CED"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 </w:t>
            </w:r>
          </w:p>
        </w:tc>
        <w:tc>
          <w:tcPr>
            <w:tcW w:w="607" w:type="pct"/>
            <w:tcBorders>
              <w:left w:val="dashSmallGap" w:sz="4" w:space="0" w:color="BFBFBF" w:themeColor="background1" w:themeShade="BF"/>
              <w:bottom w:val="single" w:sz="4" w:space="0" w:color="auto"/>
              <w:right w:val="dashSmallGap" w:sz="4" w:space="0" w:color="BFBFBF" w:themeColor="background1" w:themeShade="BF"/>
            </w:tcBorders>
            <w:shd w:val="clear" w:color="auto" w:fill="F2F2F2" w:themeFill="background1" w:themeFillShade="F2"/>
            <w:noWrap/>
            <w:vAlign w:val="bottom"/>
            <w:hideMark/>
          </w:tcPr>
          <w:p w14:paraId="3F12055E"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 </w:t>
            </w:r>
          </w:p>
        </w:tc>
        <w:tc>
          <w:tcPr>
            <w:tcW w:w="607" w:type="pct"/>
            <w:tcBorders>
              <w:left w:val="dashSmallGap" w:sz="4" w:space="0" w:color="BFBFBF" w:themeColor="background1" w:themeShade="BF"/>
              <w:bottom w:val="single" w:sz="4" w:space="0" w:color="auto"/>
              <w:right w:val="nil"/>
            </w:tcBorders>
            <w:shd w:val="clear" w:color="auto" w:fill="F2F2F2" w:themeFill="background1" w:themeFillShade="F2"/>
            <w:noWrap/>
            <w:vAlign w:val="bottom"/>
            <w:hideMark/>
          </w:tcPr>
          <w:p w14:paraId="3164B5C0" w14:textId="77777777" w:rsidR="00730DE4" w:rsidRPr="00730DE4" w:rsidRDefault="00730DE4" w:rsidP="006605E0">
            <w:pPr>
              <w:pStyle w:val="NoSpacing"/>
              <w:jc w:val="right"/>
              <w:rPr>
                <w:rStyle w:val="Strong"/>
              </w:rPr>
            </w:pPr>
            <w:r w:rsidRPr="00730DE4">
              <w:rPr>
                <w:rStyle w:val="Strong"/>
              </w:rPr>
              <w:t xml:space="preserve">2,419 </w:t>
            </w:r>
          </w:p>
        </w:tc>
      </w:tr>
      <w:tr w:rsidR="00730DE4" w:rsidRPr="00730DE4" w14:paraId="6B0E2373" w14:textId="77777777" w:rsidTr="001B3636">
        <w:trPr>
          <w:cantSplit/>
          <w:trHeight w:val="340"/>
        </w:trPr>
        <w:tc>
          <w:tcPr>
            <w:tcW w:w="1358" w:type="pct"/>
            <w:tcBorders>
              <w:top w:val="single" w:sz="4" w:space="0" w:color="auto"/>
              <w:left w:val="nil"/>
              <w:right w:val="dashSmallGap" w:sz="4" w:space="0" w:color="BFBFBF" w:themeColor="background1" w:themeShade="BF"/>
            </w:tcBorders>
            <w:shd w:val="clear" w:color="auto" w:fill="auto"/>
          </w:tcPr>
          <w:p w14:paraId="50EBD0EB" w14:textId="77777777" w:rsidR="00730DE4" w:rsidRPr="00730DE4" w:rsidRDefault="00730DE4" w:rsidP="006007A6">
            <w:pPr>
              <w:pStyle w:val="NoSpacingIndent"/>
              <w:rPr>
                <w:rStyle w:val="Strong"/>
              </w:rPr>
            </w:pPr>
            <w:r w:rsidRPr="00730DE4">
              <w:rPr>
                <w:rStyle w:val="Strong"/>
              </w:rPr>
              <w:t>Total income</w:t>
            </w:r>
          </w:p>
        </w:tc>
        <w:tc>
          <w:tcPr>
            <w:tcW w:w="607" w:type="pct"/>
            <w:tcBorders>
              <w:top w:val="single" w:sz="4" w:space="0" w:color="auto"/>
              <w:left w:val="dashSmallGap" w:sz="4" w:space="0" w:color="BFBFBF" w:themeColor="background1" w:themeShade="BF"/>
              <w:right w:val="dashSmallGap" w:sz="4" w:space="0" w:color="BFBFBF" w:themeColor="background1" w:themeShade="BF"/>
            </w:tcBorders>
            <w:shd w:val="clear" w:color="auto" w:fill="F2F2F2" w:themeFill="background1" w:themeFillShade="F2"/>
            <w:noWrap/>
            <w:hideMark/>
          </w:tcPr>
          <w:p w14:paraId="01BAAA35" w14:textId="77777777" w:rsidR="00730DE4" w:rsidRPr="00730DE4" w:rsidRDefault="00730DE4" w:rsidP="006007A6">
            <w:pPr>
              <w:pStyle w:val="NoSpacing"/>
              <w:jc w:val="right"/>
              <w:rPr>
                <w:color w:val="080C0F" w:themeColor="text1"/>
                <w:szCs w:val="20"/>
              </w:rPr>
            </w:pPr>
            <w:r w:rsidRPr="00730DE4">
              <w:rPr>
                <w:rStyle w:val="Strong"/>
              </w:rPr>
              <w:t xml:space="preserve">278,722 </w:t>
            </w:r>
          </w:p>
        </w:tc>
        <w:tc>
          <w:tcPr>
            <w:tcW w:w="607" w:type="pct"/>
            <w:tcBorders>
              <w:top w:val="single" w:sz="4" w:space="0" w:color="auto"/>
              <w:left w:val="dashSmallGap" w:sz="4" w:space="0" w:color="BFBFBF" w:themeColor="background1" w:themeShade="BF"/>
              <w:right w:val="dashSmallGap" w:sz="4" w:space="0" w:color="BFBFBF" w:themeColor="background1" w:themeShade="BF"/>
            </w:tcBorders>
            <w:shd w:val="clear" w:color="auto" w:fill="F2F2F2" w:themeFill="background1" w:themeFillShade="F2"/>
            <w:noWrap/>
            <w:hideMark/>
          </w:tcPr>
          <w:p w14:paraId="712056C4" w14:textId="77777777" w:rsidR="00730DE4" w:rsidRPr="00730DE4" w:rsidRDefault="00730DE4" w:rsidP="006007A6">
            <w:pPr>
              <w:pStyle w:val="NoSpacing"/>
              <w:jc w:val="right"/>
              <w:rPr>
                <w:color w:val="080C0F" w:themeColor="text1"/>
                <w:szCs w:val="20"/>
              </w:rPr>
            </w:pPr>
            <w:r w:rsidRPr="00730DE4">
              <w:rPr>
                <w:rStyle w:val="Strong"/>
              </w:rPr>
              <w:t xml:space="preserve">169,723 </w:t>
            </w:r>
          </w:p>
        </w:tc>
        <w:tc>
          <w:tcPr>
            <w:tcW w:w="607" w:type="pct"/>
            <w:tcBorders>
              <w:top w:val="single" w:sz="4" w:space="0" w:color="auto"/>
              <w:left w:val="dashSmallGap" w:sz="4" w:space="0" w:color="BFBFBF" w:themeColor="background1" w:themeShade="BF"/>
              <w:right w:val="dashSmallGap" w:sz="4" w:space="0" w:color="BFBFBF" w:themeColor="background1" w:themeShade="BF"/>
            </w:tcBorders>
            <w:shd w:val="clear" w:color="auto" w:fill="F2F2F2" w:themeFill="background1" w:themeFillShade="F2"/>
            <w:noWrap/>
            <w:hideMark/>
          </w:tcPr>
          <w:p w14:paraId="00ADA129" w14:textId="77777777" w:rsidR="00730DE4" w:rsidRPr="00730DE4" w:rsidRDefault="00730DE4" w:rsidP="006007A6">
            <w:pPr>
              <w:pStyle w:val="NoSpacing"/>
              <w:jc w:val="right"/>
              <w:rPr>
                <w:color w:val="080C0F" w:themeColor="text1"/>
                <w:szCs w:val="20"/>
              </w:rPr>
            </w:pPr>
            <w:r w:rsidRPr="00730DE4">
              <w:rPr>
                <w:rStyle w:val="Strong"/>
              </w:rPr>
              <w:t xml:space="preserve">155,320 </w:t>
            </w:r>
          </w:p>
        </w:tc>
        <w:tc>
          <w:tcPr>
            <w:tcW w:w="607" w:type="pct"/>
            <w:tcBorders>
              <w:top w:val="single" w:sz="4" w:space="0" w:color="auto"/>
              <w:left w:val="dashSmallGap" w:sz="4" w:space="0" w:color="BFBFBF" w:themeColor="background1" w:themeShade="BF"/>
              <w:right w:val="dashSmallGap" w:sz="4" w:space="0" w:color="BFBFBF" w:themeColor="background1" w:themeShade="BF"/>
            </w:tcBorders>
            <w:shd w:val="clear" w:color="auto" w:fill="F2F2F2" w:themeFill="background1" w:themeFillShade="F2"/>
            <w:noWrap/>
            <w:hideMark/>
          </w:tcPr>
          <w:p w14:paraId="200C40FE" w14:textId="77777777" w:rsidR="00730DE4" w:rsidRPr="00730DE4" w:rsidRDefault="00730DE4" w:rsidP="006007A6">
            <w:pPr>
              <w:pStyle w:val="NoSpacing"/>
              <w:jc w:val="right"/>
              <w:rPr>
                <w:color w:val="080C0F" w:themeColor="text1"/>
                <w:szCs w:val="20"/>
              </w:rPr>
            </w:pPr>
            <w:r w:rsidRPr="00730DE4">
              <w:rPr>
                <w:rStyle w:val="Strong"/>
              </w:rPr>
              <w:t xml:space="preserve">12,860 </w:t>
            </w:r>
          </w:p>
        </w:tc>
        <w:tc>
          <w:tcPr>
            <w:tcW w:w="607" w:type="pct"/>
            <w:tcBorders>
              <w:top w:val="single" w:sz="4" w:space="0" w:color="auto"/>
              <w:left w:val="dashSmallGap" w:sz="4" w:space="0" w:color="BFBFBF" w:themeColor="background1" w:themeShade="BF"/>
              <w:right w:val="dashSmallGap" w:sz="4" w:space="0" w:color="BFBFBF" w:themeColor="background1" w:themeShade="BF"/>
            </w:tcBorders>
            <w:shd w:val="clear" w:color="auto" w:fill="F2F2F2" w:themeFill="background1" w:themeFillShade="F2"/>
            <w:noWrap/>
            <w:hideMark/>
          </w:tcPr>
          <w:p w14:paraId="1126125D" w14:textId="77777777" w:rsidR="00730DE4" w:rsidRPr="00730DE4" w:rsidRDefault="00730DE4" w:rsidP="006007A6">
            <w:pPr>
              <w:pStyle w:val="NoSpacing"/>
              <w:jc w:val="right"/>
              <w:rPr>
                <w:color w:val="080C0F" w:themeColor="text1"/>
                <w:szCs w:val="20"/>
              </w:rPr>
            </w:pPr>
            <w:r w:rsidRPr="00730DE4">
              <w:rPr>
                <w:rStyle w:val="Strong"/>
              </w:rPr>
              <w:t>(982,580)</w:t>
            </w:r>
          </w:p>
        </w:tc>
        <w:tc>
          <w:tcPr>
            <w:tcW w:w="607" w:type="pct"/>
            <w:tcBorders>
              <w:top w:val="single" w:sz="4" w:space="0" w:color="auto"/>
              <w:left w:val="dashSmallGap" w:sz="4" w:space="0" w:color="BFBFBF" w:themeColor="background1" w:themeShade="BF"/>
              <w:right w:val="nil"/>
            </w:tcBorders>
            <w:shd w:val="clear" w:color="auto" w:fill="F2F2F2" w:themeFill="background1" w:themeFillShade="F2"/>
            <w:noWrap/>
            <w:hideMark/>
          </w:tcPr>
          <w:p w14:paraId="7C9B40B4" w14:textId="77777777" w:rsidR="00730DE4" w:rsidRPr="00730DE4" w:rsidRDefault="00730DE4" w:rsidP="006007A6">
            <w:pPr>
              <w:pStyle w:val="NoSpacing"/>
              <w:jc w:val="right"/>
              <w:rPr>
                <w:rStyle w:val="Strong"/>
              </w:rPr>
            </w:pPr>
            <w:r w:rsidRPr="00730DE4">
              <w:rPr>
                <w:rStyle w:val="Strong"/>
              </w:rPr>
              <w:t xml:space="preserve">8,954,931 </w:t>
            </w:r>
          </w:p>
        </w:tc>
      </w:tr>
      <w:tr w:rsidR="00730DE4" w:rsidRPr="00730DE4" w14:paraId="71CE925F" w14:textId="77777777" w:rsidTr="001B3636">
        <w:trPr>
          <w:cantSplit/>
          <w:trHeight w:val="340"/>
        </w:trPr>
        <w:tc>
          <w:tcPr>
            <w:tcW w:w="1358" w:type="pct"/>
            <w:tcBorders>
              <w:left w:val="nil"/>
              <w:bottom w:val="dashSmallGap" w:sz="4" w:space="0" w:color="BFBFBF" w:themeColor="background1" w:themeShade="BF"/>
              <w:right w:val="dashSmallGap" w:sz="4" w:space="0" w:color="BFBFBF" w:themeColor="background1" w:themeShade="BF"/>
            </w:tcBorders>
            <w:shd w:val="clear" w:color="auto" w:fill="auto"/>
            <w:vAlign w:val="bottom"/>
          </w:tcPr>
          <w:p w14:paraId="1872E426" w14:textId="77777777" w:rsidR="00730DE4" w:rsidRPr="00730DE4" w:rsidRDefault="00730DE4" w:rsidP="006605E0">
            <w:pPr>
              <w:pStyle w:val="NoSpacing"/>
              <w:rPr>
                <w:color w:val="080C0F" w:themeColor="text1"/>
                <w:szCs w:val="20"/>
              </w:rPr>
            </w:pPr>
            <w:r w:rsidRPr="00730DE4">
              <w:rPr>
                <w:rStyle w:val="Strong"/>
              </w:rPr>
              <w:t>Expenses</w:t>
            </w:r>
          </w:p>
        </w:tc>
        <w:tc>
          <w:tcPr>
            <w:tcW w:w="607" w:type="pct"/>
            <w:tcBorders>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tcPr>
          <w:p w14:paraId="0AA7328A" w14:textId="77777777" w:rsidR="00730DE4" w:rsidRPr="00730DE4" w:rsidRDefault="00730DE4" w:rsidP="006605E0">
            <w:pPr>
              <w:pStyle w:val="NoSpacing"/>
              <w:jc w:val="right"/>
              <w:rPr>
                <w:color w:val="080C0F" w:themeColor="text1"/>
                <w:szCs w:val="20"/>
              </w:rPr>
            </w:pPr>
          </w:p>
        </w:tc>
        <w:tc>
          <w:tcPr>
            <w:tcW w:w="607" w:type="pct"/>
            <w:tcBorders>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tcPr>
          <w:p w14:paraId="4B4A9C78" w14:textId="77777777" w:rsidR="00730DE4" w:rsidRPr="00730DE4" w:rsidRDefault="00730DE4" w:rsidP="006605E0">
            <w:pPr>
              <w:pStyle w:val="NoSpacing"/>
              <w:jc w:val="right"/>
              <w:rPr>
                <w:color w:val="080C0F" w:themeColor="text1"/>
                <w:szCs w:val="20"/>
              </w:rPr>
            </w:pPr>
          </w:p>
        </w:tc>
        <w:tc>
          <w:tcPr>
            <w:tcW w:w="607" w:type="pct"/>
            <w:tcBorders>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tcPr>
          <w:p w14:paraId="08617440" w14:textId="77777777" w:rsidR="00730DE4" w:rsidRPr="00730DE4" w:rsidRDefault="00730DE4" w:rsidP="006605E0">
            <w:pPr>
              <w:pStyle w:val="NoSpacing"/>
              <w:jc w:val="right"/>
              <w:rPr>
                <w:color w:val="080C0F" w:themeColor="text1"/>
                <w:szCs w:val="20"/>
              </w:rPr>
            </w:pPr>
          </w:p>
        </w:tc>
        <w:tc>
          <w:tcPr>
            <w:tcW w:w="607" w:type="pct"/>
            <w:tcBorders>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tcPr>
          <w:p w14:paraId="1DB567C3" w14:textId="77777777" w:rsidR="00730DE4" w:rsidRPr="00730DE4" w:rsidRDefault="00730DE4" w:rsidP="006605E0">
            <w:pPr>
              <w:pStyle w:val="NoSpacing"/>
              <w:jc w:val="right"/>
              <w:rPr>
                <w:color w:val="080C0F" w:themeColor="text1"/>
                <w:szCs w:val="20"/>
              </w:rPr>
            </w:pPr>
          </w:p>
        </w:tc>
        <w:tc>
          <w:tcPr>
            <w:tcW w:w="607" w:type="pct"/>
            <w:tcBorders>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tcPr>
          <w:p w14:paraId="535A5345" w14:textId="77777777" w:rsidR="00730DE4" w:rsidRPr="00730DE4" w:rsidRDefault="00730DE4" w:rsidP="006605E0">
            <w:pPr>
              <w:pStyle w:val="NoSpacing"/>
              <w:jc w:val="right"/>
              <w:rPr>
                <w:color w:val="080C0F" w:themeColor="text1"/>
                <w:szCs w:val="20"/>
              </w:rPr>
            </w:pPr>
          </w:p>
        </w:tc>
        <w:tc>
          <w:tcPr>
            <w:tcW w:w="607" w:type="pct"/>
            <w:tcBorders>
              <w:left w:val="dashSmallGap" w:sz="4" w:space="0" w:color="BFBFBF" w:themeColor="background1" w:themeShade="BF"/>
              <w:bottom w:val="dashSmallGap" w:sz="4" w:space="0" w:color="BFBFBF" w:themeColor="background1" w:themeShade="BF"/>
              <w:right w:val="nil"/>
            </w:tcBorders>
            <w:shd w:val="clear" w:color="auto" w:fill="F2F2F2" w:themeFill="background1" w:themeFillShade="F2"/>
            <w:noWrap/>
            <w:vAlign w:val="bottom"/>
          </w:tcPr>
          <w:p w14:paraId="4B395715" w14:textId="77777777" w:rsidR="00730DE4" w:rsidRPr="00730DE4" w:rsidRDefault="00730DE4" w:rsidP="006605E0">
            <w:pPr>
              <w:pStyle w:val="NoSpacing"/>
              <w:jc w:val="right"/>
              <w:rPr>
                <w:rStyle w:val="Strong"/>
              </w:rPr>
            </w:pPr>
          </w:p>
        </w:tc>
      </w:tr>
      <w:tr w:rsidR="00730DE4" w:rsidRPr="00730DE4" w14:paraId="3DFFB809" w14:textId="77777777" w:rsidTr="001B3636">
        <w:trPr>
          <w:cantSplit/>
        </w:trPr>
        <w:tc>
          <w:tcPr>
            <w:tcW w:w="1358" w:type="pct"/>
            <w:tcBorders>
              <w:top w:val="dashSmallGap" w:sz="4" w:space="0" w:color="BFBFBF" w:themeColor="background1" w:themeShade="BF"/>
              <w:left w:val="nil"/>
              <w:bottom w:val="dashSmallGap" w:sz="4" w:space="0" w:color="BFBFBF" w:themeColor="background1" w:themeShade="BF"/>
              <w:right w:val="dashSmallGap" w:sz="4" w:space="0" w:color="BFBFBF" w:themeColor="background1" w:themeShade="BF"/>
            </w:tcBorders>
            <w:shd w:val="clear" w:color="auto" w:fill="auto"/>
            <w:vAlign w:val="bottom"/>
          </w:tcPr>
          <w:p w14:paraId="1CD24D3C" w14:textId="77777777" w:rsidR="00730DE4" w:rsidRPr="00730DE4" w:rsidRDefault="00730DE4" w:rsidP="006605E0">
            <w:pPr>
              <w:pStyle w:val="NoSpacingIndent"/>
            </w:pPr>
            <w:r w:rsidRPr="00730DE4">
              <w:t>Employee expenses</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4AE9C10D"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94,743 </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049FE9CA"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48,559 </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05D8AA9A"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92,588 </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64157C9B"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9,585 </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275A3C06" w14:textId="77777777" w:rsidR="00730DE4" w:rsidRPr="00730DE4" w:rsidRDefault="00730DE4" w:rsidP="006605E0">
            <w:pPr>
              <w:pStyle w:val="NoSpacing"/>
              <w:jc w:val="right"/>
              <w:rPr>
                <w:color w:val="080C0F" w:themeColor="text1"/>
                <w:szCs w:val="20"/>
              </w:rPr>
            </w:pPr>
            <w:r w:rsidRPr="00730DE4">
              <w:rPr>
                <w:color w:val="080C0F" w:themeColor="text1"/>
                <w:szCs w:val="20"/>
              </w:rPr>
              <w:t>(142,749)</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nil"/>
            </w:tcBorders>
            <w:shd w:val="clear" w:color="auto" w:fill="F2F2F2" w:themeFill="background1" w:themeFillShade="F2"/>
            <w:noWrap/>
            <w:vAlign w:val="bottom"/>
            <w:hideMark/>
          </w:tcPr>
          <w:p w14:paraId="4BBD735E" w14:textId="77777777" w:rsidR="00730DE4" w:rsidRPr="00730DE4" w:rsidRDefault="00730DE4" w:rsidP="006605E0">
            <w:pPr>
              <w:pStyle w:val="NoSpacing"/>
              <w:jc w:val="right"/>
              <w:rPr>
                <w:rStyle w:val="Strong"/>
              </w:rPr>
            </w:pPr>
            <w:r w:rsidRPr="00730DE4">
              <w:rPr>
                <w:rStyle w:val="Strong"/>
              </w:rPr>
              <w:t xml:space="preserve">1,083,824 </w:t>
            </w:r>
          </w:p>
        </w:tc>
      </w:tr>
      <w:tr w:rsidR="00730DE4" w:rsidRPr="00730DE4" w14:paraId="444BE2B5" w14:textId="77777777" w:rsidTr="001B3636">
        <w:trPr>
          <w:cantSplit/>
        </w:trPr>
        <w:tc>
          <w:tcPr>
            <w:tcW w:w="1358" w:type="pct"/>
            <w:tcBorders>
              <w:top w:val="dashSmallGap" w:sz="4" w:space="0" w:color="BFBFBF" w:themeColor="background1" w:themeShade="BF"/>
              <w:left w:val="nil"/>
              <w:bottom w:val="dashSmallGap" w:sz="4" w:space="0" w:color="BFBFBF" w:themeColor="background1" w:themeShade="BF"/>
              <w:right w:val="dashSmallGap" w:sz="4" w:space="0" w:color="BFBFBF" w:themeColor="background1" w:themeShade="BF"/>
            </w:tcBorders>
            <w:shd w:val="clear" w:color="auto" w:fill="auto"/>
            <w:vAlign w:val="bottom"/>
          </w:tcPr>
          <w:p w14:paraId="164417C6" w14:textId="77777777" w:rsidR="00730DE4" w:rsidRPr="00730DE4" w:rsidRDefault="00730DE4" w:rsidP="006605E0">
            <w:pPr>
              <w:pStyle w:val="NoSpacingIndent"/>
            </w:pPr>
            <w:r w:rsidRPr="00730DE4">
              <w:t>Supplies and services</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4D50CCFD"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158,539 </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2FD4D962"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103,111 </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13A4456B"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58,860 </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2007D1EB"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3,671 </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670CF91D" w14:textId="77777777" w:rsidR="00730DE4" w:rsidRPr="00730DE4" w:rsidRDefault="00730DE4" w:rsidP="006605E0">
            <w:pPr>
              <w:pStyle w:val="NoSpacing"/>
              <w:jc w:val="right"/>
              <w:rPr>
                <w:color w:val="080C0F" w:themeColor="text1"/>
                <w:szCs w:val="20"/>
              </w:rPr>
            </w:pPr>
            <w:r w:rsidRPr="00730DE4">
              <w:rPr>
                <w:color w:val="080C0F" w:themeColor="text1"/>
                <w:szCs w:val="20"/>
              </w:rPr>
              <w:t>(818,851)</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nil"/>
            </w:tcBorders>
            <w:shd w:val="clear" w:color="auto" w:fill="F2F2F2" w:themeFill="background1" w:themeFillShade="F2"/>
            <w:noWrap/>
            <w:vAlign w:val="bottom"/>
            <w:hideMark/>
          </w:tcPr>
          <w:p w14:paraId="77BDB815" w14:textId="77777777" w:rsidR="00730DE4" w:rsidRPr="00730DE4" w:rsidRDefault="00730DE4" w:rsidP="006605E0">
            <w:pPr>
              <w:pStyle w:val="NoSpacing"/>
              <w:jc w:val="right"/>
              <w:rPr>
                <w:rStyle w:val="Strong"/>
              </w:rPr>
            </w:pPr>
            <w:r w:rsidRPr="00730DE4">
              <w:rPr>
                <w:rStyle w:val="Strong"/>
              </w:rPr>
              <w:t xml:space="preserve">4,977,004 </w:t>
            </w:r>
          </w:p>
        </w:tc>
      </w:tr>
      <w:tr w:rsidR="00730DE4" w:rsidRPr="00730DE4" w14:paraId="49D622C3" w14:textId="77777777" w:rsidTr="001B3636">
        <w:trPr>
          <w:cantSplit/>
        </w:trPr>
        <w:tc>
          <w:tcPr>
            <w:tcW w:w="1358" w:type="pct"/>
            <w:tcBorders>
              <w:top w:val="dashSmallGap" w:sz="4" w:space="0" w:color="BFBFBF" w:themeColor="background1" w:themeShade="BF"/>
              <w:left w:val="nil"/>
              <w:bottom w:val="dashSmallGap" w:sz="4" w:space="0" w:color="BFBFBF" w:themeColor="background1" w:themeShade="BF"/>
              <w:right w:val="dashSmallGap" w:sz="4" w:space="0" w:color="BFBFBF" w:themeColor="background1" w:themeShade="BF"/>
            </w:tcBorders>
            <w:shd w:val="clear" w:color="auto" w:fill="auto"/>
            <w:vAlign w:val="bottom"/>
          </w:tcPr>
          <w:p w14:paraId="2E4514F1" w14:textId="77777777" w:rsidR="00730DE4" w:rsidRPr="00730DE4" w:rsidRDefault="00730DE4" w:rsidP="006605E0">
            <w:pPr>
              <w:pStyle w:val="NoSpacingIndent"/>
            </w:pPr>
            <w:r w:rsidRPr="00730DE4">
              <w:t xml:space="preserve">Grants and subsidies </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2B413D90"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4,799 </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00E39941"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 </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367B0138"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 </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27EA9A70"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 </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6E337880" w14:textId="77777777" w:rsidR="00730DE4" w:rsidRPr="00730DE4" w:rsidRDefault="00730DE4" w:rsidP="006605E0">
            <w:pPr>
              <w:pStyle w:val="NoSpacing"/>
              <w:jc w:val="right"/>
              <w:rPr>
                <w:color w:val="080C0F" w:themeColor="text1"/>
                <w:szCs w:val="20"/>
              </w:rPr>
            </w:pPr>
            <w:r w:rsidRPr="00730DE4">
              <w:rPr>
                <w:color w:val="080C0F" w:themeColor="text1"/>
                <w:szCs w:val="20"/>
              </w:rPr>
              <w:t>(437)</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nil"/>
            </w:tcBorders>
            <w:shd w:val="clear" w:color="auto" w:fill="F2F2F2" w:themeFill="background1" w:themeFillShade="F2"/>
            <w:noWrap/>
            <w:vAlign w:val="bottom"/>
            <w:hideMark/>
          </w:tcPr>
          <w:p w14:paraId="47A2C115" w14:textId="77777777" w:rsidR="00730DE4" w:rsidRPr="00730DE4" w:rsidRDefault="00730DE4" w:rsidP="006605E0">
            <w:pPr>
              <w:pStyle w:val="NoSpacing"/>
              <w:jc w:val="right"/>
              <w:rPr>
                <w:rStyle w:val="Strong"/>
              </w:rPr>
            </w:pPr>
            <w:r w:rsidRPr="00730DE4">
              <w:rPr>
                <w:rStyle w:val="Strong"/>
              </w:rPr>
              <w:t xml:space="preserve">790,233 </w:t>
            </w:r>
          </w:p>
        </w:tc>
      </w:tr>
      <w:tr w:rsidR="00730DE4" w:rsidRPr="00730DE4" w14:paraId="71EB52E8" w14:textId="77777777" w:rsidTr="001B3636">
        <w:trPr>
          <w:cantSplit/>
        </w:trPr>
        <w:tc>
          <w:tcPr>
            <w:tcW w:w="1358" w:type="pct"/>
            <w:tcBorders>
              <w:top w:val="dashSmallGap" w:sz="4" w:space="0" w:color="BFBFBF" w:themeColor="background1" w:themeShade="BF"/>
              <w:left w:val="nil"/>
              <w:bottom w:val="dashSmallGap" w:sz="4" w:space="0" w:color="BFBFBF" w:themeColor="background1" w:themeShade="BF"/>
              <w:right w:val="dashSmallGap" w:sz="4" w:space="0" w:color="BFBFBF" w:themeColor="background1" w:themeShade="BF"/>
            </w:tcBorders>
            <w:shd w:val="clear" w:color="auto" w:fill="auto"/>
            <w:vAlign w:val="bottom"/>
          </w:tcPr>
          <w:p w14:paraId="37006E67" w14:textId="77777777" w:rsidR="00730DE4" w:rsidRPr="00730DE4" w:rsidRDefault="00730DE4" w:rsidP="006605E0">
            <w:pPr>
              <w:pStyle w:val="NoSpacingIndent"/>
            </w:pPr>
            <w:r w:rsidRPr="00730DE4">
              <w:t>Finance and borrowing costs</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26983DE9"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2,961 </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398BDAFA"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226 </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455C7FAA"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 </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089A643E"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 </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26045CF1" w14:textId="77777777" w:rsidR="00730DE4" w:rsidRPr="00730DE4" w:rsidRDefault="00730DE4" w:rsidP="006605E0">
            <w:pPr>
              <w:pStyle w:val="NoSpacing"/>
              <w:jc w:val="right"/>
              <w:rPr>
                <w:color w:val="080C0F" w:themeColor="text1"/>
                <w:szCs w:val="20"/>
              </w:rPr>
            </w:pPr>
            <w:r w:rsidRPr="00730DE4">
              <w:rPr>
                <w:color w:val="080C0F" w:themeColor="text1"/>
                <w:szCs w:val="20"/>
              </w:rPr>
              <w:t>(1,553)</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nil"/>
            </w:tcBorders>
            <w:shd w:val="clear" w:color="auto" w:fill="F2F2F2" w:themeFill="background1" w:themeFillShade="F2"/>
            <w:noWrap/>
            <w:vAlign w:val="bottom"/>
            <w:hideMark/>
          </w:tcPr>
          <w:p w14:paraId="106E48CB" w14:textId="77777777" w:rsidR="00730DE4" w:rsidRPr="00730DE4" w:rsidRDefault="00730DE4" w:rsidP="006605E0">
            <w:pPr>
              <w:pStyle w:val="NoSpacing"/>
              <w:jc w:val="right"/>
              <w:rPr>
                <w:rStyle w:val="Strong"/>
              </w:rPr>
            </w:pPr>
            <w:r w:rsidRPr="00730DE4">
              <w:rPr>
                <w:rStyle w:val="Strong"/>
              </w:rPr>
              <w:t xml:space="preserve">102,645 </w:t>
            </w:r>
          </w:p>
        </w:tc>
      </w:tr>
      <w:tr w:rsidR="00730DE4" w:rsidRPr="00730DE4" w14:paraId="5EB84A51" w14:textId="77777777" w:rsidTr="001B3636">
        <w:trPr>
          <w:cantSplit/>
        </w:trPr>
        <w:tc>
          <w:tcPr>
            <w:tcW w:w="1358" w:type="pct"/>
            <w:tcBorders>
              <w:top w:val="dashSmallGap" w:sz="4" w:space="0" w:color="BFBFBF" w:themeColor="background1" w:themeShade="BF"/>
              <w:left w:val="nil"/>
              <w:bottom w:val="dashSmallGap" w:sz="4" w:space="0" w:color="BFBFBF" w:themeColor="background1" w:themeShade="BF"/>
              <w:right w:val="dashSmallGap" w:sz="4" w:space="0" w:color="BFBFBF" w:themeColor="background1" w:themeShade="BF"/>
            </w:tcBorders>
            <w:shd w:val="clear" w:color="auto" w:fill="auto"/>
            <w:vAlign w:val="bottom"/>
          </w:tcPr>
          <w:p w14:paraId="6BD89334" w14:textId="77777777" w:rsidR="00730DE4" w:rsidRPr="00730DE4" w:rsidRDefault="00730DE4" w:rsidP="006605E0">
            <w:pPr>
              <w:pStyle w:val="NoSpacingIndent"/>
            </w:pPr>
            <w:r w:rsidRPr="00730DE4">
              <w:t xml:space="preserve">Depreciation and amortisation </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6E9414B8"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18,899 </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41EBC729"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9,680 </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0D445487"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1,397 </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116B7059"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 </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61C1CDBD"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 </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nil"/>
            </w:tcBorders>
            <w:shd w:val="clear" w:color="auto" w:fill="F2F2F2" w:themeFill="background1" w:themeFillShade="F2"/>
            <w:noWrap/>
            <w:vAlign w:val="bottom"/>
            <w:hideMark/>
          </w:tcPr>
          <w:p w14:paraId="62FEA978" w14:textId="77777777" w:rsidR="00730DE4" w:rsidRPr="00730DE4" w:rsidRDefault="00730DE4" w:rsidP="006605E0">
            <w:pPr>
              <w:pStyle w:val="NoSpacing"/>
              <w:jc w:val="right"/>
              <w:rPr>
                <w:rStyle w:val="Strong"/>
              </w:rPr>
            </w:pPr>
            <w:r w:rsidRPr="00730DE4">
              <w:rPr>
                <w:rStyle w:val="Strong"/>
              </w:rPr>
              <w:t xml:space="preserve">1,646,691 </w:t>
            </w:r>
          </w:p>
        </w:tc>
      </w:tr>
      <w:tr w:rsidR="00730DE4" w:rsidRPr="00730DE4" w14:paraId="3C474D28" w14:textId="77777777" w:rsidTr="001B3636">
        <w:trPr>
          <w:cantSplit/>
        </w:trPr>
        <w:tc>
          <w:tcPr>
            <w:tcW w:w="1358" w:type="pct"/>
            <w:tcBorders>
              <w:top w:val="dashSmallGap" w:sz="4" w:space="0" w:color="BFBFBF" w:themeColor="background1" w:themeShade="BF"/>
              <w:left w:val="nil"/>
              <w:bottom w:val="dashSmallGap" w:sz="4" w:space="0" w:color="BFBFBF" w:themeColor="background1" w:themeShade="BF"/>
              <w:right w:val="dashSmallGap" w:sz="4" w:space="0" w:color="BFBFBF" w:themeColor="background1" w:themeShade="BF"/>
            </w:tcBorders>
            <w:shd w:val="clear" w:color="auto" w:fill="auto"/>
            <w:vAlign w:val="bottom"/>
          </w:tcPr>
          <w:p w14:paraId="5F07EA94" w14:textId="77777777" w:rsidR="00730DE4" w:rsidRPr="00730DE4" w:rsidRDefault="00730DE4" w:rsidP="006605E0">
            <w:pPr>
              <w:pStyle w:val="NoSpacingIndent"/>
            </w:pPr>
            <w:r w:rsidRPr="00730DE4">
              <w:t>Impairment losses</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4DBF11D9"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4 </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361C82C1"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11 </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7ED1068B"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 </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33F4F9EF"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 </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58250DFB"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 </w:t>
            </w:r>
          </w:p>
        </w:tc>
        <w:tc>
          <w:tcPr>
            <w:tcW w:w="60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nil"/>
            </w:tcBorders>
            <w:shd w:val="clear" w:color="auto" w:fill="F2F2F2" w:themeFill="background1" w:themeFillShade="F2"/>
            <w:noWrap/>
            <w:vAlign w:val="bottom"/>
            <w:hideMark/>
          </w:tcPr>
          <w:p w14:paraId="20962CF4" w14:textId="77777777" w:rsidR="00730DE4" w:rsidRPr="00730DE4" w:rsidRDefault="00730DE4" w:rsidP="006605E0">
            <w:pPr>
              <w:pStyle w:val="NoSpacing"/>
              <w:jc w:val="right"/>
              <w:rPr>
                <w:rStyle w:val="Strong"/>
              </w:rPr>
            </w:pPr>
            <w:r w:rsidRPr="00730DE4">
              <w:rPr>
                <w:rStyle w:val="Strong"/>
              </w:rPr>
              <w:t xml:space="preserve">1,824 </w:t>
            </w:r>
          </w:p>
        </w:tc>
      </w:tr>
      <w:tr w:rsidR="00730DE4" w:rsidRPr="00730DE4" w14:paraId="7085981C" w14:textId="77777777" w:rsidTr="001B3636">
        <w:trPr>
          <w:cantSplit/>
        </w:trPr>
        <w:tc>
          <w:tcPr>
            <w:tcW w:w="1358" w:type="pct"/>
            <w:tcBorders>
              <w:top w:val="dashSmallGap" w:sz="4" w:space="0" w:color="BFBFBF" w:themeColor="background1" w:themeShade="BF"/>
              <w:left w:val="nil"/>
              <w:bottom w:val="single" w:sz="4" w:space="0" w:color="auto"/>
              <w:right w:val="dashSmallGap" w:sz="4" w:space="0" w:color="BFBFBF" w:themeColor="background1" w:themeShade="BF"/>
            </w:tcBorders>
            <w:shd w:val="clear" w:color="auto" w:fill="auto"/>
            <w:vAlign w:val="bottom"/>
          </w:tcPr>
          <w:p w14:paraId="1667BA12" w14:textId="77777777" w:rsidR="00730DE4" w:rsidRPr="00730DE4" w:rsidRDefault="00730DE4" w:rsidP="006605E0">
            <w:pPr>
              <w:pStyle w:val="NoSpacingIndent"/>
            </w:pPr>
            <w:r w:rsidRPr="00730DE4">
              <w:t>Other expenses</w:t>
            </w:r>
          </w:p>
        </w:tc>
        <w:tc>
          <w:tcPr>
            <w:tcW w:w="607" w:type="pct"/>
            <w:tcBorders>
              <w:top w:val="dashSmallGap" w:sz="4" w:space="0" w:color="BFBFBF" w:themeColor="background1" w:themeShade="BF"/>
              <w:left w:val="dashSmallGap" w:sz="4" w:space="0" w:color="BFBFBF" w:themeColor="background1" w:themeShade="BF"/>
              <w:bottom w:val="single" w:sz="4" w:space="0" w:color="auto"/>
              <w:right w:val="dashSmallGap" w:sz="4" w:space="0" w:color="BFBFBF" w:themeColor="background1" w:themeShade="BF"/>
            </w:tcBorders>
            <w:shd w:val="clear" w:color="auto" w:fill="F2F2F2" w:themeFill="background1" w:themeFillShade="F2"/>
            <w:noWrap/>
            <w:vAlign w:val="bottom"/>
            <w:hideMark/>
          </w:tcPr>
          <w:p w14:paraId="245A0368"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160 </w:t>
            </w:r>
          </w:p>
        </w:tc>
        <w:tc>
          <w:tcPr>
            <w:tcW w:w="607" w:type="pct"/>
            <w:tcBorders>
              <w:top w:val="dashSmallGap" w:sz="4" w:space="0" w:color="BFBFBF" w:themeColor="background1" w:themeShade="BF"/>
              <w:left w:val="dashSmallGap" w:sz="4" w:space="0" w:color="BFBFBF" w:themeColor="background1" w:themeShade="BF"/>
              <w:bottom w:val="single" w:sz="4" w:space="0" w:color="auto"/>
              <w:right w:val="dashSmallGap" w:sz="4" w:space="0" w:color="BFBFBF" w:themeColor="background1" w:themeShade="BF"/>
            </w:tcBorders>
            <w:shd w:val="clear" w:color="auto" w:fill="F2F2F2" w:themeFill="background1" w:themeFillShade="F2"/>
            <w:noWrap/>
            <w:vAlign w:val="bottom"/>
            <w:hideMark/>
          </w:tcPr>
          <w:p w14:paraId="2C416F78"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429 </w:t>
            </w:r>
          </w:p>
        </w:tc>
        <w:tc>
          <w:tcPr>
            <w:tcW w:w="607" w:type="pct"/>
            <w:tcBorders>
              <w:top w:val="dashSmallGap" w:sz="4" w:space="0" w:color="BFBFBF" w:themeColor="background1" w:themeShade="BF"/>
              <w:left w:val="dashSmallGap" w:sz="4" w:space="0" w:color="BFBFBF" w:themeColor="background1" w:themeShade="BF"/>
              <w:bottom w:val="single" w:sz="4" w:space="0" w:color="auto"/>
              <w:right w:val="dashSmallGap" w:sz="4" w:space="0" w:color="BFBFBF" w:themeColor="background1" w:themeShade="BF"/>
            </w:tcBorders>
            <w:shd w:val="clear" w:color="auto" w:fill="F2F2F2" w:themeFill="background1" w:themeFillShade="F2"/>
            <w:noWrap/>
            <w:vAlign w:val="bottom"/>
            <w:hideMark/>
          </w:tcPr>
          <w:p w14:paraId="655E1B65"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718 </w:t>
            </w:r>
          </w:p>
        </w:tc>
        <w:tc>
          <w:tcPr>
            <w:tcW w:w="607" w:type="pct"/>
            <w:tcBorders>
              <w:top w:val="dashSmallGap" w:sz="4" w:space="0" w:color="BFBFBF" w:themeColor="background1" w:themeShade="BF"/>
              <w:left w:val="dashSmallGap" w:sz="4" w:space="0" w:color="BFBFBF" w:themeColor="background1" w:themeShade="BF"/>
              <w:bottom w:val="single" w:sz="4" w:space="0" w:color="auto"/>
              <w:right w:val="dashSmallGap" w:sz="4" w:space="0" w:color="BFBFBF" w:themeColor="background1" w:themeShade="BF"/>
            </w:tcBorders>
            <w:shd w:val="clear" w:color="auto" w:fill="F2F2F2" w:themeFill="background1" w:themeFillShade="F2"/>
            <w:noWrap/>
            <w:vAlign w:val="bottom"/>
            <w:hideMark/>
          </w:tcPr>
          <w:p w14:paraId="664DD27F" w14:textId="77777777" w:rsidR="00730DE4" w:rsidRPr="00730DE4" w:rsidRDefault="00730DE4" w:rsidP="006605E0">
            <w:pPr>
              <w:pStyle w:val="NoSpacing"/>
              <w:jc w:val="right"/>
              <w:rPr>
                <w:color w:val="080C0F" w:themeColor="text1"/>
                <w:szCs w:val="20"/>
              </w:rPr>
            </w:pPr>
            <w:r w:rsidRPr="00730DE4">
              <w:rPr>
                <w:color w:val="080C0F" w:themeColor="text1"/>
                <w:szCs w:val="20"/>
              </w:rPr>
              <w:t xml:space="preserve">226 </w:t>
            </w:r>
          </w:p>
        </w:tc>
        <w:tc>
          <w:tcPr>
            <w:tcW w:w="607" w:type="pct"/>
            <w:tcBorders>
              <w:top w:val="dashSmallGap" w:sz="4" w:space="0" w:color="BFBFBF" w:themeColor="background1" w:themeShade="BF"/>
              <w:left w:val="dashSmallGap" w:sz="4" w:space="0" w:color="BFBFBF" w:themeColor="background1" w:themeShade="BF"/>
              <w:bottom w:val="single" w:sz="4" w:space="0" w:color="auto"/>
              <w:right w:val="dashSmallGap" w:sz="4" w:space="0" w:color="BFBFBF" w:themeColor="background1" w:themeShade="BF"/>
            </w:tcBorders>
            <w:shd w:val="clear" w:color="auto" w:fill="F2F2F2" w:themeFill="background1" w:themeFillShade="F2"/>
            <w:noWrap/>
            <w:vAlign w:val="bottom"/>
            <w:hideMark/>
          </w:tcPr>
          <w:p w14:paraId="5291460D" w14:textId="77777777" w:rsidR="00730DE4" w:rsidRPr="00730DE4" w:rsidRDefault="00730DE4" w:rsidP="006605E0">
            <w:pPr>
              <w:pStyle w:val="NoSpacing"/>
              <w:jc w:val="right"/>
              <w:rPr>
                <w:color w:val="080C0F" w:themeColor="text1"/>
                <w:szCs w:val="20"/>
              </w:rPr>
            </w:pPr>
            <w:r w:rsidRPr="00730DE4">
              <w:rPr>
                <w:color w:val="080C0F" w:themeColor="text1"/>
                <w:szCs w:val="20"/>
              </w:rPr>
              <w:t>(18,990)</w:t>
            </w:r>
          </w:p>
        </w:tc>
        <w:tc>
          <w:tcPr>
            <w:tcW w:w="607" w:type="pct"/>
            <w:tcBorders>
              <w:top w:val="dashSmallGap" w:sz="4" w:space="0" w:color="BFBFBF" w:themeColor="background1" w:themeShade="BF"/>
              <w:left w:val="dashSmallGap" w:sz="4" w:space="0" w:color="BFBFBF" w:themeColor="background1" w:themeShade="BF"/>
              <w:bottom w:val="single" w:sz="4" w:space="0" w:color="auto"/>
              <w:right w:val="nil"/>
            </w:tcBorders>
            <w:shd w:val="clear" w:color="auto" w:fill="F2F2F2" w:themeFill="background1" w:themeFillShade="F2"/>
            <w:noWrap/>
            <w:vAlign w:val="bottom"/>
            <w:hideMark/>
          </w:tcPr>
          <w:p w14:paraId="2A393A7D" w14:textId="77777777" w:rsidR="00730DE4" w:rsidRPr="00730DE4" w:rsidRDefault="00730DE4" w:rsidP="006605E0">
            <w:pPr>
              <w:pStyle w:val="NoSpacing"/>
              <w:jc w:val="right"/>
              <w:rPr>
                <w:rStyle w:val="Strong"/>
              </w:rPr>
            </w:pPr>
            <w:r w:rsidRPr="00730DE4">
              <w:rPr>
                <w:rStyle w:val="Strong"/>
              </w:rPr>
              <w:t xml:space="preserve">23,303 </w:t>
            </w:r>
          </w:p>
        </w:tc>
      </w:tr>
      <w:tr w:rsidR="00730DE4" w:rsidRPr="00730DE4" w14:paraId="232C8063" w14:textId="77777777" w:rsidTr="001B3636">
        <w:trPr>
          <w:cantSplit/>
          <w:trHeight w:val="340"/>
        </w:trPr>
        <w:tc>
          <w:tcPr>
            <w:tcW w:w="1358" w:type="pct"/>
            <w:tcBorders>
              <w:top w:val="single" w:sz="4" w:space="0" w:color="auto"/>
              <w:left w:val="nil"/>
              <w:right w:val="dashSmallGap" w:sz="4" w:space="0" w:color="BFBFBF" w:themeColor="background1" w:themeShade="BF"/>
            </w:tcBorders>
            <w:shd w:val="clear" w:color="auto" w:fill="auto"/>
          </w:tcPr>
          <w:p w14:paraId="50296E0C" w14:textId="77777777" w:rsidR="00730DE4" w:rsidRPr="00730DE4" w:rsidRDefault="00730DE4" w:rsidP="006007A6">
            <w:pPr>
              <w:pStyle w:val="NoSpacingIndent"/>
              <w:rPr>
                <w:rStyle w:val="Strong"/>
              </w:rPr>
            </w:pPr>
            <w:r w:rsidRPr="00730DE4">
              <w:rPr>
                <w:rStyle w:val="Strong"/>
              </w:rPr>
              <w:t>Total expenses</w:t>
            </w:r>
          </w:p>
        </w:tc>
        <w:tc>
          <w:tcPr>
            <w:tcW w:w="607" w:type="pct"/>
            <w:tcBorders>
              <w:top w:val="single" w:sz="4" w:space="0" w:color="auto"/>
              <w:left w:val="dashSmallGap" w:sz="4" w:space="0" w:color="BFBFBF" w:themeColor="background1" w:themeShade="BF"/>
              <w:right w:val="dashSmallGap" w:sz="4" w:space="0" w:color="BFBFBF" w:themeColor="background1" w:themeShade="BF"/>
            </w:tcBorders>
            <w:shd w:val="clear" w:color="auto" w:fill="F2F2F2" w:themeFill="background1" w:themeFillShade="F2"/>
            <w:noWrap/>
            <w:hideMark/>
          </w:tcPr>
          <w:p w14:paraId="606F9035" w14:textId="77777777" w:rsidR="00730DE4" w:rsidRPr="00730DE4" w:rsidRDefault="00730DE4" w:rsidP="006007A6">
            <w:pPr>
              <w:pStyle w:val="NoSpacing"/>
              <w:jc w:val="right"/>
              <w:rPr>
                <w:color w:val="080C0F" w:themeColor="text1"/>
                <w:szCs w:val="20"/>
              </w:rPr>
            </w:pPr>
            <w:r w:rsidRPr="00730DE4">
              <w:rPr>
                <w:rStyle w:val="Strong"/>
              </w:rPr>
              <w:t xml:space="preserve">280,105 </w:t>
            </w:r>
          </w:p>
        </w:tc>
        <w:tc>
          <w:tcPr>
            <w:tcW w:w="607" w:type="pct"/>
            <w:tcBorders>
              <w:top w:val="single" w:sz="4" w:space="0" w:color="auto"/>
              <w:left w:val="dashSmallGap" w:sz="4" w:space="0" w:color="BFBFBF" w:themeColor="background1" w:themeShade="BF"/>
              <w:right w:val="dashSmallGap" w:sz="4" w:space="0" w:color="BFBFBF" w:themeColor="background1" w:themeShade="BF"/>
            </w:tcBorders>
            <w:shd w:val="clear" w:color="auto" w:fill="F2F2F2" w:themeFill="background1" w:themeFillShade="F2"/>
            <w:noWrap/>
            <w:hideMark/>
          </w:tcPr>
          <w:p w14:paraId="32FC36E4" w14:textId="77777777" w:rsidR="00730DE4" w:rsidRPr="00730DE4" w:rsidRDefault="00730DE4" w:rsidP="006007A6">
            <w:pPr>
              <w:pStyle w:val="NoSpacing"/>
              <w:jc w:val="right"/>
              <w:rPr>
                <w:color w:val="080C0F" w:themeColor="text1"/>
                <w:szCs w:val="20"/>
              </w:rPr>
            </w:pPr>
            <w:r w:rsidRPr="00730DE4">
              <w:rPr>
                <w:rStyle w:val="Strong"/>
              </w:rPr>
              <w:t xml:space="preserve">162,016 </w:t>
            </w:r>
          </w:p>
        </w:tc>
        <w:tc>
          <w:tcPr>
            <w:tcW w:w="607" w:type="pct"/>
            <w:tcBorders>
              <w:top w:val="single" w:sz="4" w:space="0" w:color="auto"/>
              <w:left w:val="dashSmallGap" w:sz="4" w:space="0" w:color="BFBFBF" w:themeColor="background1" w:themeShade="BF"/>
              <w:right w:val="dashSmallGap" w:sz="4" w:space="0" w:color="BFBFBF" w:themeColor="background1" w:themeShade="BF"/>
            </w:tcBorders>
            <w:shd w:val="clear" w:color="auto" w:fill="F2F2F2" w:themeFill="background1" w:themeFillShade="F2"/>
            <w:noWrap/>
            <w:hideMark/>
          </w:tcPr>
          <w:p w14:paraId="10D2A96A" w14:textId="77777777" w:rsidR="00730DE4" w:rsidRPr="00730DE4" w:rsidRDefault="00730DE4" w:rsidP="006007A6">
            <w:pPr>
              <w:pStyle w:val="NoSpacing"/>
              <w:jc w:val="right"/>
              <w:rPr>
                <w:color w:val="080C0F" w:themeColor="text1"/>
                <w:szCs w:val="20"/>
              </w:rPr>
            </w:pPr>
            <w:r w:rsidRPr="00730DE4">
              <w:rPr>
                <w:rStyle w:val="Strong"/>
              </w:rPr>
              <w:t xml:space="preserve">153,563 </w:t>
            </w:r>
          </w:p>
        </w:tc>
        <w:tc>
          <w:tcPr>
            <w:tcW w:w="607" w:type="pct"/>
            <w:tcBorders>
              <w:top w:val="single" w:sz="4" w:space="0" w:color="auto"/>
              <w:left w:val="dashSmallGap" w:sz="4" w:space="0" w:color="BFBFBF" w:themeColor="background1" w:themeShade="BF"/>
              <w:right w:val="dashSmallGap" w:sz="4" w:space="0" w:color="BFBFBF" w:themeColor="background1" w:themeShade="BF"/>
            </w:tcBorders>
            <w:shd w:val="clear" w:color="auto" w:fill="F2F2F2" w:themeFill="background1" w:themeFillShade="F2"/>
            <w:noWrap/>
            <w:hideMark/>
          </w:tcPr>
          <w:p w14:paraId="7CBA0026" w14:textId="77777777" w:rsidR="00730DE4" w:rsidRPr="00730DE4" w:rsidRDefault="00730DE4" w:rsidP="006007A6">
            <w:pPr>
              <w:pStyle w:val="NoSpacing"/>
              <w:jc w:val="right"/>
              <w:rPr>
                <w:color w:val="080C0F" w:themeColor="text1"/>
                <w:szCs w:val="20"/>
              </w:rPr>
            </w:pPr>
            <w:r w:rsidRPr="00730DE4">
              <w:rPr>
                <w:rStyle w:val="Strong"/>
              </w:rPr>
              <w:t xml:space="preserve">13,482 </w:t>
            </w:r>
          </w:p>
        </w:tc>
        <w:tc>
          <w:tcPr>
            <w:tcW w:w="607" w:type="pct"/>
            <w:tcBorders>
              <w:top w:val="single" w:sz="4" w:space="0" w:color="auto"/>
              <w:left w:val="dashSmallGap" w:sz="4" w:space="0" w:color="BFBFBF" w:themeColor="background1" w:themeShade="BF"/>
              <w:right w:val="dashSmallGap" w:sz="4" w:space="0" w:color="BFBFBF" w:themeColor="background1" w:themeShade="BF"/>
            </w:tcBorders>
            <w:shd w:val="clear" w:color="auto" w:fill="F2F2F2" w:themeFill="background1" w:themeFillShade="F2"/>
            <w:noWrap/>
            <w:hideMark/>
          </w:tcPr>
          <w:p w14:paraId="06A4BE4D" w14:textId="77777777" w:rsidR="00730DE4" w:rsidRPr="00730DE4" w:rsidRDefault="00730DE4" w:rsidP="006007A6">
            <w:pPr>
              <w:pStyle w:val="NoSpacing"/>
              <w:jc w:val="right"/>
              <w:rPr>
                <w:color w:val="080C0F" w:themeColor="text1"/>
                <w:szCs w:val="20"/>
              </w:rPr>
            </w:pPr>
            <w:r w:rsidRPr="00730DE4">
              <w:rPr>
                <w:rStyle w:val="Strong"/>
              </w:rPr>
              <w:t>(982,580)</w:t>
            </w:r>
          </w:p>
        </w:tc>
        <w:tc>
          <w:tcPr>
            <w:tcW w:w="607" w:type="pct"/>
            <w:tcBorders>
              <w:top w:val="single" w:sz="4" w:space="0" w:color="auto"/>
              <w:left w:val="dashSmallGap" w:sz="4" w:space="0" w:color="BFBFBF" w:themeColor="background1" w:themeShade="BF"/>
              <w:right w:val="nil"/>
            </w:tcBorders>
            <w:shd w:val="clear" w:color="auto" w:fill="F2F2F2" w:themeFill="background1" w:themeFillShade="F2"/>
            <w:noWrap/>
            <w:hideMark/>
          </w:tcPr>
          <w:p w14:paraId="79253343" w14:textId="77777777" w:rsidR="00730DE4" w:rsidRPr="00730DE4" w:rsidRDefault="00730DE4" w:rsidP="006007A6">
            <w:pPr>
              <w:pStyle w:val="NoSpacing"/>
              <w:jc w:val="right"/>
              <w:rPr>
                <w:rStyle w:val="Strong"/>
              </w:rPr>
            </w:pPr>
            <w:r w:rsidRPr="00730DE4">
              <w:rPr>
                <w:rStyle w:val="Strong"/>
              </w:rPr>
              <w:t xml:space="preserve">8,625,524 </w:t>
            </w:r>
          </w:p>
        </w:tc>
      </w:tr>
      <w:tr w:rsidR="00730DE4" w:rsidRPr="00730DE4" w14:paraId="7204E4CC" w14:textId="77777777" w:rsidTr="001B3636">
        <w:trPr>
          <w:cantSplit/>
          <w:trHeight w:val="340"/>
        </w:trPr>
        <w:tc>
          <w:tcPr>
            <w:tcW w:w="1358" w:type="pct"/>
            <w:tcBorders>
              <w:left w:val="nil"/>
              <w:bottom w:val="dashSmallGap" w:sz="4" w:space="0" w:color="BFBFBF" w:themeColor="background1" w:themeShade="BF"/>
              <w:right w:val="dashSmallGap" w:sz="4" w:space="0" w:color="BFBFBF" w:themeColor="background1" w:themeShade="BF"/>
            </w:tcBorders>
            <w:shd w:val="clear" w:color="auto" w:fill="auto"/>
            <w:vAlign w:val="bottom"/>
          </w:tcPr>
          <w:p w14:paraId="7D4610EE" w14:textId="77777777" w:rsidR="00730DE4" w:rsidRPr="00730DE4" w:rsidRDefault="00730DE4" w:rsidP="006605E0">
            <w:pPr>
              <w:pStyle w:val="NoSpacing"/>
              <w:rPr>
                <w:color w:val="080C0F" w:themeColor="text1"/>
                <w:szCs w:val="20"/>
              </w:rPr>
            </w:pPr>
            <w:r w:rsidRPr="00730DE4">
              <w:rPr>
                <w:rStyle w:val="Strong"/>
              </w:rPr>
              <w:t>Operating result before income tax equivalent expense</w:t>
            </w:r>
          </w:p>
        </w:tc>
        <w:tc>
          <w:tcPr>
            <w:tcW w:w="607" w:type="pct"/>
            <w:tcBorders>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tcPr>
          <w:p w14:paraId="040478CB" w14:textId="77777777" w:rsidR="00730DE4" w:rsidRPr="00730DE4" w:rsidRDefault="00730DE4" w:rsidP="006605E0">
            <w:pPr>
              <w:pStyle w:val="NoSpacing"/>
              <w:jc w:val="right"/>
              <w:rPr>
                <w:color w:val="080C0F" w:themeColor="text1"/>
                <w:szCs w:val="20"/>
              </w:rPr>
            </w:pPr>
            <w:r w:rsidRPr="00730DE4">
              <w:rPr>
                <w:rStyle w:val="Strong"/>
              </w:rPr>
              <w:t>(1,383)</w:t>
            </w:r>
          </w:p>
        </w:tc>
        <w:tc>
          <w:tcPr>
            <w:tcW w:w="607" w:type="pct"/>
            <w:tcBorders>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tcPr>
          <w:p w14:paraId="3A9AC0D0" w14:textId="77777777" w:rsidR="00730DE4" w:rsidRPr="00730DE4" w:rsidRDefault="00730DE4" w:rsidP="006605E0">
            <w:pPr>
              <w:pStyle w:val="NoSpacing"/>
              <w:jc w:val="right"/>
              <w:rPr>
                <w:color w:val="080C0F" w:themeColor="text1"/>
                <w:szCs w:val="20"/>
              </w:rPr>
            </w:pPr>
            <w:r w:rsidRPr="00730DE4">
              <w:rPr>
                <w:rStyle w:val="Strong"/>
              </w:rPr>
              <w:t xml:space="preserve">7,707 </w:t>
            </w:r>
          </w:p>
        </w:tc>
        <w:tc>
          <w:tcPr>
            <w:tcW w:w="607" w:type="pct"/>
            <w:tcBorders>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tcPr>
          <w:p w14:paraId="5DE3C6D3" w14:textId="77777777" w:rsidR="00730DE4" w:rsidRPr="00730DE4" w:rsidRDefault="00730DE4" w:rsidP="006605E0">
            <w:pPr>
              <w:pStyle w:val="NoSpacing"/>
              <w:jc w:val="right"/>
              <w:rPr>
                <w:color w:val="080C0F" w:themeColor="text1"/>
                <w:szCs w:val="20"/>
              </w:rPr>
            </w:pPr>
            <w:r w:rsidRPr="00730DE4">
              <w:rPr>
                <w:rStyle w:val="Strong"/>
              </w:rPr>
              <w:t xml:space="preserve">1,757 </w:t>
            </w:r>
          </w:p>
        </w:tc>
        <w:tc>
          <w:tcPr>
            <w:tcW w:w="607" w:type="pct"/>
            <w:tcBorders>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tcPr>
          <w:p w14:paraId="064F6FA3" w14:textId="77777777" w:rsidR="00730DE4" w:rsidRPr="00730DE4" w:rsidRDefault="00730DE4" w:rsidP="006605E0">
            <w:pPr>
              <w:pStyle w:val="NoSpacing"/>
              <w:jc w:val="right"/>
              <w:rPr>
                <w:color w:val="080C0F" w:themeColor="text1"/>
                <w:szCs w:val="20"/>
              </w:rPr>
            </w:pPr>
            <w:r w:rsidRPr="00730DE4">
              <w:rPr>
                <w:rStyle w:val="Strong"/>
              </w:rPr>
              <w:t>(622)</w:t>
            </w:r>
          </w:p>
        </w:tc>
        <w:tc>
          <w:tcPr>
            <w:tcW w:w="607" w:type="pct"/>
            <w:tcBorders>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tcPr>
          <w:p w14:paraId="307A71AB" w14:textId="77777777" w:rsidR="00730DE4" w:rsidRPr="00730DE4" w:rsidRDefault="00730DE4" w:rsidP="006605E0">
            <w:pPr>
              <w:pStyle w:val="NoSpacing"/>
              <w:jc w:val="right"/>
              <w:rPr>
                <w:color w:val="080C0F" w:themeColor="text1"/>
                <w:szCs w:val="20"/>
              </w:rPr>
            </w:pPr>
            <w:r w:rsidRPr="00730DE4">
              <w:rPr>
                <w:rStyle w:val="Strong"/>
              </w:rPr>
              <w:t xml:space="preserve">- </w:t>
            </w:r>
          </w:p>
        </w:tc>
        <w:tc>
          <w:tcPr>
            <w:tcW w:w="607" w:type="pct"/>
            <w:tcBorders>
              <w:left w:val="dashSmallGap" w:sz="4" w:space="0" w:color="BFBFBF" w:themeColor="background1" w:themeShade="BF"/>
              <w:bottom w:val="dashSmallGap" w:sz="4" w:space="0" w:color="BFBFBF" w:themeColor="background1" w:themeShade="BF"/>
              <w:right w:val="nil"/>
            </w:tcBorders>
            <w:shd w:val="clear" w:color="auto" w:fill="F2F2F2" w:themeFill="background1" w:themeFillShade="F2"/>
            <w:noWrap/>
            <w:vAlign w:val="bottom"/>
          </w:tcPr>
          <w:p w14:paraId="64678276" w14:textId="77777777" w:rsidR="00730DE4" w:rsidRPr="00730DE4" w:rsidRDefault="00730DE4" w:rsidP="006605E0">
            <w:pPr>
              <w:pStyle w:val="NoSpacing"/>
              <w:jc w:val="right"/>
              <w:rPr>
                <w:rStyle w:val="Strong"/>
              </w:rPr>
            </w:pPr>
            <w:r w:rsidRPr="00730DE4">
              <w:rPr>
                <w:rStyle w:val="Strong"/>
              </w:rPr>
              <w:t xml:space="preserve">329,407 </w:t>
            </w:r>
          </w:p>
        </w:tc>
      </w:tr>
      <w:tr w:rsidR="00730DE4" w:rsidRPr="00730DE4" w14:paraId="67FCF234" w14:textId="77777777" w:rsidTr="00193BC7">
        <w:trPr>
          <w:cantSplit/>
        </w:trPr>
        <w:tc>
          <w:tcPr>
            <w:tcW w:w="1358" w:type="pct"/>
            <w:tcBorders>
              <w:top w:val="dashSmallGap" w:sz="4" w:space="0" w:color="BFBFBF" w:themeColor="background1" w:themeShade="BF"/>
              <w:left w:val="nil"/>
              <w:bottom w:val="single" w:sz="4" w:space="0" w:color="auto"/>
              <w:right w:val="dashSmallGap" w:sz="4" w:space="0" w:color="BFBFBF" w:themeColor="background1" w:themeShade="BF"/>
            </w:tcBorders>
            <w:shd w:val="clear" w:color="auto" w:fill="auto"/>
          </w:tcPr>
          <w:p w14:paraId="40CA5095" w14:textId="77777777" w:rsidR="00730DE4" w:rsidRPr="00730DE4" w:rsidRDefault="00730DE4" w:rsidP="006007A6">
            <w:pPr>
              <w:pStyle w:val="NoSpacingIndent"/>
            </w:pPr>
            <w:r w:rsidRPr="00730DE4">
              <w:t>Income tax equivalent expense</w:t>
            </w:r>
          </w:p>
        </w:tc>
        <w:tc>
          <w:tcPr>
            <w:tcW w:w="607" w:type="pct"/>
            <w:tcBorders>
              <w:top w:val="dashSmallGap" w:sz="4" w:space="0" w:color="BFBFBF" w:themeColor="background1" w:themeShade="BF"/>
              <w:left w:val="dashSmallGap" w:sz="4" w:space="0" w:color="BFBFBF" w:themeColor="background1" w:themeShade="BF"/>
              <w:bottom w:val="single" w:sz="4" w:space="0" w:color="auto"/>
              <w:right w:val="dashSmallGap" w:sz="4" w:space="0" w:color="BFBFBF" w:themeColor="background1" w:themeShade="BF"/>
            </w:tcBorders>
            <w:shd w:val="clear" w:color="auto" w:fill="F2F2F2" w:themeFill="background1" w:themeFillShade="F2"/>
            <w:noWrap/>
            <w:hideMark/>
          </w:tcPr>
          <w:p w14:paraId="2C824251" w14:textId="77777777" w:rsidR="00730DE4" w:rsidRPr="00730DE4" w:rsidRDefault="00730DE4" w:rsidP="006007A6">
            <w:pPr>
              <w:pStyle w:val="NoSpacing"/>
              <w:jc w:val="right"/>
              <w:rPr>
                <w:color w:val="080C0F" w:themeColor="text1"/>
                <w:szCs w:val="20"/>
              </w:rPr>
            </w:pPr>
            <w:r w:rsidRPr="00730DE4">
              <w:rPr>
                <w:color w:val="080C0F" w:themeColor="text1"/>
                <w:szCs w:val="20"/>
              </w:rPr>
              <w:t xml:space="preserve">- </w:t>
            </w:r>
          </w:p>
        </w:tc>
        <w:tc>
          <w:tcPr>
            <w:tcW w:w="607" w:type="pct"/>
            <w:tcBorders>
              <w:top w:val="dashSmallGap" w:sz="4" w:space="0" w:color="BFBFBF" w:themeColor="background1" w:themeShade="BF"/>
              <w:left w:val="dashSmallGap" w:sz="4" w:space="0" w:color="BFBFBF" w:themeColor="background1" w:themeShade="BF"/>
              <w:bottom w:val="single" w:sz="4" w:space="0" w:color="auto"/>
              <w:right w:val="dashSmallGap" w:sz="4" w:space="0" w:color="BFBFBF" w:themeColor="background1" w:themeShade="BF"/>
            </w:tcBorders>
            <w:shd w:val="clear" w:color="auto" w:fill="F2F2F2" w:themeFill="background1" w:themeFillShade="F2"/>
            <w:noWrap/>
            <w:hideMark/>
          </w:tcPr>
          <w:p w14:paraId="1C36DD44" w14:textId="77777777" w:rsidR="00730DE4" w:rsidRPr="00730DE4" w:rsidRDefault="00730DE4" w:rsidP="006007A6">
            <w:pPr>
              <w:pStyle w:val="NoSpacing"/>
              <w:jc w:val="right"/>
              <w:rPr>
                <w:color w:val="080C0F" w:themeColor="text1"/>
                <w:szCs w:val="20"/>
              </w:rPr>
            </w:pPr>
            <w:r w:rsidRPr="00730DE4">
              <w:rPr>
                <w:color w:val="080C0F" w:themeColor="text1"/>
                <w:szCs w:val="20"/>
              </w:rPr>
              <w:t xml:space="preserve">- </w:t>
            </w:r>
          </w:p>
        </w:tc>
        <w:tc>
          <w:tcPr>
            <w:tcW w:w="607" w:type="pct"/>
            <w:tcBorders>
              <w:top w:val="dashSmallGap" w:sz="4" w:space="0" w:color="BFBFBF" w:themeColor="background1" w:themeShade="BF"/>
              <w:left w:val="dashSmallGap" w:sz="4" w:space="0" w:color="BFBFBF" w:themeColor="background1" w:themeShade="BF"/>
              <w:bottom w:val="single" w:sz="4" w:space="0" w:color="auto"/>
              <w:right w:val="dashSmallGap" w:sz="4" w:space="0" w:color="BFBFBF" w:themeColor="background1" w:themeShade="BF"/>
            </w:tcBorders>
            <w:shd w:val="clear" w:color="auto" w:fill="F2F2F2" w:themeFill="background1" w:themeFillShade="F2"/>
            <w:noWrap/>
            <w:hideMark/>
          </w:tcPr>
          <w:p w14:paraId="7FD34A3F" w14:textId="77777777" w:rsidR="00730DE4" w:rsidRPr="00730DE4" w:rsidRDefault="00730DE4" w:rsidP="006007A6">
            <w:pPr>
              <w:pStyle w:val="NoSpacing"/>
              <w:jc w:val="right"/>
              <w:rPr>
                <w:color w:val="080C0F" w:themeColor="text1"/>
                <w:szCs w:val="20"/>
              </w:rPr>
            </w:pPr>
            <w:r w:rsidRPr="00730DE4">
              <w:rPr>
                <w:color w:val="080C0F" w:themeColor="text1"/>
                <w:szCs w:val="20"/>
              </w:rPr>
              <w:t xml:space="preserve">- </w:t>
            </w:r>
          </w:p>
        </w:tc>
        <w:tc>
          <w:tcPr>
            <w:tcW w:w="607" w:type="pct"/>
            <w:tcBorders>
              <w:top w:val="dashSmallGap" w:sz="4" w:space="0" w:color="BFBFBF" w:themeColor="background1" w:themeShade="BF"/>
              <w:left w:val="dashSmallGap" w:sz="4" w:space="0" w:color="BFBFBF" w:themeColor="background1" w:themeShade="BF"/>
              <w:bottom w:val="single" w:sz="4" w:space="0" w:color="auto"/>
              <w:right w:val="dashSmallGap" w:sz="4" w:space="0" w:color="BFBFBF" w:themeColor="background1" w:themeShade="BF"/>
            </w:tcBorders>
            <w:shd w:val="clear" w:color="auto" w:fill="F2F2F2" w:themeFill="background1" w:themeFillShade="F2"/>
            <w:noWrap/>
            <w:hideMark/>
          </w:tcPr>
          <w:p w14:paraId="67D45D34" w14:textId="77777777" w:rsidR="00730DE4" w:rsidRPr="00730DE4" w:rsidRDefault="00730DE4" w:rsidP="006007A6">
            <w:pPr>
              <w:pStyle w:val="NoSpacing"/>
              <w:jc w:val="right"/>
              <w:rPr>
                <w:color w:val="080C0F" w:themeColor="text1"/>
                <w:szCs w:val="20"/>
              </w:rPr>
            </w:pPr>
            <w:r w:rsidRPr="00730DE4">
              <w:rPr>
                <w:color w:val="080C0F" w:themeColor="text1"/>
                <w:szCs w:val="20"/>
              </w:rPr>
              <w:t xml:space="preserve">- </w:t>
            </w:r>
          </w:p>
        </w:tc>
        <w:tc>
          <w:tcPr>
            <w:tcW w:w="607" w:type="pct"/>
            <w:tcBorders>
              <w:top w:val="dashSmallGap" w:sz="4" w:space="0" w:color="BFBFBF" w:themeColor="background1" w:themeShade="BF"/>
              <w:left w:val="dashSmallGap" w:sz="4" w:space="0" w:color="BFBFBF" w:themeColor="background1" w:themeShade="BF"/>
              <w:bottom w:val="single" w:sz="4" w:space="0" w:color="auto"/>
              <w:right w:val="dashSmallGap" w:sz="4" w:space="0" w:color="BFBFBF" w:themeColor="background1" w:themeShade="BF"/>
            </w:tcBorders>
            <w:shd w:val="clear" w:color="auto" w:fill="F2F2F2" w:themeFill="background1" w:themeFillShade="F2"/>
            <w:noWrap/>
            <w:hideMark/>
          </w:tcPr>
          <w:p w14:paraId="590879B8" w14:textId="77777777" w:rsidR="00730DE4" w:rsidRPr="00730DE4" w:rsidRDefault="00730DE4" w:rsidP="006007A6">
            <w:pPr>
              <w:pStyle w:val="NoSpacing"/>
              <w:jc w:val="right"/>
              <w:rPr>
                <w:color w:val="080C0F" w:themeColor="text1"/>
                <w:szCs w:val="20"/>
              </w:rPr>
            </w:pPr>
            <w:r w:rsidRPr="00730DE4">
              <w:rPr>
                <w:color w:val="080C0F" w:themeColor="text1"/>
                <w:szCs w:val="20"/>
              </w:rPr>
              <w:t xml:space="preserve">- </w:t>
            </w:r>
          </w:p>
        </w:tc>
        <w:tc>
          <w:tcPr>
            <w:tcW w:w="607" w:type="pct"/>
            <w:tcBorders>
              <w:top w:val="dashSmallGap" w:sz="4" w:space="0" w:color="BFBFBF" w:themeColor="background1" w:themeShade="BF"/>
              <w:left w:val="dashSmallGap" w:sz="4" w:space="0" w:color="BFBFBF" w:themeColor="background1" w:themeShade="BF"/>
              <w:bottom w:val="single" w:sz="4" w:space="0" w:color="auto"/>
              <w:right w:val="nil"/>
            </w:tcBorders>
            <w:shd w:val="clear" w:color="auto" w:fill="F2F2F2" w:themeFill="background1" w:themeFillShade="F2"/>
            <w:noWrap/>
            <w:hideMark/>
          </w:tcPr>
          <w:p w14:paraId="35325BEA" w14:textId="77777777" w:rsidR="00730DE4" w:rsidRPr="00730DE4" w:rsidRDefault="00730DE4" w:rsidP="006007A6">
            <w:pPr>
              <w:pStyle w:val="NoSpacing"/>
              <w:jc w:val="right"/>
              <w:rPr>
                <w:rStyle w:val="Strong"/>
              </w:rPr>
            </w:pPr>
            <w:r w:rsidRPr="00730DE4">
              <w:rPr>
                <w:rStyle w:val="Strong"/>
              </w:rPr>
              <w:t xml:space="preserve">6,797 </w:t>
            </w:r>
          </w:p>
        </w:tc>
      </w:tr>
      <w:tr w:rsidR="00730DE4" w:rsidRPr="00730DE4" w14:paraId="046788CC" w14:textId="77777777" w:rsidTr="00193BC7">
        <w:trPr>
          <w:cantSplit/>
          <w:trHeight w:val="454"/>
        </w:trPr>
        <w:tc>
          <w:tcPr>
            <w:tcW w:w="1358" w:type="pct"/>
            <w:tcBorders>
              <w:top w:val="single" w:sz="4" w:space="0" w:color="auto"/>
              <w:left w:val="nil"/>
              <w:bottom w:val="single" w:sz="4" w:space="0" w:color="auto"/>
              <w:right w:val="dashSmallGap" w:sz="4" w:space="0" w:color="BFBFBF" w:themeColor="background1" w:themeShade="BF"/>
            </w:tcBorders>
            <w:shd w:val="clear" w:color="auto" w:fill="auto"/>
            <w:vAlign w:val="bottom"/>
          </w:tcPr>
          <w:p w14:paraId="6DE498B1" w14:textId="77777777" w:rsidR="00730DE4" w:rsidRPr="00730DE4" w:rsidRDefault="00730DE4" w:rsidP="00D50E43">
            <w:pPr>
              <w:pStyle w:val="NoSpacing"/>
              <w:rPr>
                <w:color w:val="080C0F" w:themeColor="text1"/>
                <w:szCs w:val="20"/>
              </w:rPr>
            </w:pPr>
            <w:r w:rsidRPr="00730DE4">
              <w:rPr>
                <w:rStyle w:val="Strong"/>
              </w:rPr>
              <w:t>Operating result for the year</w:t>
            </w:r>
          </w:p>
        </w:tc>
        <w:tc>
          <w:tcPr>
            <w:tcW w:w="607" w:type="pct"/>
            <w:tcBorders>
              <w:top w:val="single" w:sz="4" w:space="0" w:color="auto"/>
              <w:left w:val="dashSmallGap" w:sz="4" w:space="0" w:color="BFBFBF" w:themeColor="background1" w:themeShade="BF"/>
              <w:bottom w:val="single" w:sz="4" w:space="0" w:color="auto"/>
              <w:right w:val="dashSmallGap" w:sz="4" w:space="0" w:color="BFBFBF" w:themeColor="background1" w:themeShade="BF"/>
            </w:tcBorders>
            <w:shd w:val="clear" w:color="auto" w:fill="F2F2F2" w:themeFill="background1" w:themeFillShade="F2"/>
            <w:noWrap/>
            <w:vAlign w:val="bottom"/>
          </w:tcPr>
          <w:p w14:paraId="75C2BC67" w14:textId="77777777" w:rsidR="00730DE4" w:rsidRPr="00730DE4" w:rsidRDefault="00730DE4" w:rsidP="00D50E43">
            <w:pPr>
              <w:pStyle w:val="NoSpacing"/>
              <w:jc w:val="right"/>
              <w:rPr>
                <w:color w:val="080C0F" w:themeColor="text1"/>
                <w:szCs w:val="20"/>
              </w:rPr>
            </w:pPr>
            <w:r w:rsidRPr="00730DE4">
              <w:rPr>
                <w:rStyle w:val="Strong"/>
              </w:rPr>
              <w:t>(1,383)</w:t>
            </w:r>
          </w:p>
        </w:tc>
        <w:tc>
          <w:tcPr>
            <w:tcW w:w="607" w:type="pct"/>
            <w:tcBorders>
              <w:top w:val="single" w:sz="4" w:space="0" w:color="auto"/>
              <w:left w:val="dashSmallGap" w:sz="4" w:space="0" w:color="BFBFBF" w:themeColor="background1" w:themeShade="BF"/>
              <w:bottom w:val="single" w:sz="4" w:space="0" w:color="auto"/>
              <w:right w:val="dashSmallGap" w:sz="4" w:space="0" w:color="BFBFBF" w:themeColor="background1" w:themeShade="BF"/>
            </w:tcBorders>
            <w:shd w:val="clear" w:color="auto" w:fill="F2F2F2" w:themeFill="background1" w:themeFillShade="F2"/>
            <w:noWrap/>
            <w:vAlign w:val="bottom"/>
          </w:tcPr>
          <w:p w14:paraId="4AC2B03B" w14:textId="77777777" w:rsidR="00730DE4" w:rsidRPr="00730DE4" w:rsidRDefault="00730DE4" w:rsidP="00D50E43">
            <w:pPr>
              <w:pStyle w:val="NoSpacing"/>
              <w:jc w:val="right"/>
              <w:rPr>
                <w:color w:val="080C0F" w:themeColor="text1"/>
                <w:szCs w:val="20"/>
              </w:rPr>
            </w:pPr>
            <w:r w:rsidRPr="00730DE4">
              <w:rPr>
                <w:rStyle w:val="Strong"/>
              </w:rPr>
              <w:t xml:space="preserve">7,707 </w:t>
            </w:r>
          </w:p>
        </w:tc>
        <w:tc>
          <w:tcPr>
            <w:tcW w:w="607" w:type="pct"/>
            <w:tcBorders>
              <w:top w:val="single" w:sz="4" w:space="0" w:color="auto"/>
              <w:left w:val="dashSmallGap" w:sz="4" w:space="0" w:color="BFBFBF" w:themeColor="background1" w:themeShade="BF"/>
              <w:bottom w:val="single" w:sz="4" w:space="0" w:color="auto"/>
              <w:right w:val="dashSmallGap" w:sz="4" w:space="0" w:color="BFBFBF" w:themeColor="background1" w:themeShade="BF"/>
            </w:tcBorders>
            <w:shd w:val="clear" w:color="auto" w:fill="F2F2F2" w:themeFill="background1" w:themeFillShade="F2"/>
            <w:noWrap/>
            <w:vAlign w:val="bottom"/>
          </w:tcPr>
          <w:p w14:paraId="29EFA82B" w14:textId="77777777" w:rsidR="00730DE4" w:rsidRPr="00730DE4" w:rsidRDefault="00730DE4" w:rsidP="00D50E43">
            <w:pPr>
              <w:pStyle w:val="NoSpacing"/>
              <w:jc w:val="right"/>
              <w:rPr>
                <w:color w:val="080C0F" w:themeColor="text1"/>
                <w:szCs w:val="20"/>
              </w:rPr>
            </w:pPr>
            <w:r w:rsidRPr="00730DE4">
              <w:rPr>
                <w:rStyle w:val="Strong"/>
              </w:rPr>
              <w:t xml:space="preserve">1,757 </w:t>
            </w:r>
          </w:p>
        </w:tc>
        <w:tc>
          <w:tcPr>
            <w:tcW w:w="607" w:type="pct"/>
            <w:tcBorders>
              <w:top w:val="single" w:sz="4" w:space="0" w:color="auto"/>
              <w:left w:val="dashSmallGap" w:sz="4" w:space="0" w:color="BFBFBF" w:themeColor="background1" w:themeShade="BF"/>
              <w:bottom w:val="single" w:sz="4" w:space="0" w:color="auto"/>
              <w:right w:val="dashSmallGap" w:sz="4" w:space="0" w:color="BFBFBF" w:themeColor="background1" w:themeShade="BF"/>
            </w:tcBorders>
            <w:shd w:val="clear" w:color="auto" w:fill="F2F2F2" w:themeFill="background1" w:themeFillShade="F2"/>
            <w:noWrap/>
            <w:vAlign w:val="bottom"/>
          </w:tcPr>
          <w:p w14:paraId="6A134034" w14:textId="77777777" w:rsidR="00730DE4" w:rsidRPr="00730DE4" w:rsidRDefault="00730DE4" w:rsidP="00D50E43">
            <w:pPr>
              <w:pStyle w:val="NoSpacing"/>
              <w:jc w:val="right"/>
              <w:rPr>
                <w:color w:val="080C0F" w:themeColor="text1"/>
                <w:szCs w:val="20"/>
              </w:rPr>
            </w:pPr>
            <w:r w:rsidRPr="00730DE4">
              <w:rPr>
                <w:rStyle w:val="Strong"/>
              </w:rPr>
              <w:t>(622)</w:t>
            </w:r>
          </w:p>
        </w:tc>
        <w:tc>
          <w:tcPr>
            <w:tcW w:w="607" w:type="pct"/>
            <w:tcBorders>
              <w:top w:val="single" w:sz="4" w:space="0" w:color="auto"/>
              <w:left w:val="dashSmallGap" w:sz="4" w:space="0" w:color="BFBFBF" w:themeColor="background1" w:themeShade="BF"/>
              <w:bottom w:val="single" w:sz="4" w:space="0" w:color="auto"/>
              <w:right w:val="dashSmallGap" w:sz="4" w:space="0" w:color="BFBFBF" w:themeColor="background1" w:themeShade="BF"/>
            </w:tcBorders>
            <w:shd w:val="clear" w:color="auto" w:fill="F2F2F2" w:themeFill="background1" w:themeFillShade="F2"/>
            <w:noWrap/>
            <w:vAlign w:val="bottom"/>
          </w:tcPr>
          <w:p w14:paraId="7F92E8C6" w14:textId="77777777" w:rsidR="00730DE4" w:rsidRPr="00730DE4" w:rsidRDefault="00730DE4" w:rsidP="00D50E43">
            <w:pPr>
              <w:pStyle w:val="NoSpacing"/>
              <w:jc w:val="right"/>
              <w:rPr>
                <w:color w:val="080C0F" w:themeColor="text1"/>
                <w:szCs w:val="20"/>
              </w:rPr>
            </w:pPr>
            <w:r w:rsidRPr="00730DE4">
              <w:rPr>
                <w:rStyle w:val="Strong"/>
              </w:rPr>
              <w:t xml:space="preserve">- </w:t>
            </w:r>
          </w:p>
        </w:tc>
        <w:tc>
          <w:tcPr>
            <w:tcW w:w="607" w:type="pct"/>
            <w:tcBorders>
              <w:top w:val="single" w:sz="4" w:space="0" w:color="auto"/>
              <w:left w:val="dashSmallGap" w:sz="4" w:space="0" w:color="BFBFBF" w:themeColor="background1" w:themeShade="BF"/>
              <w:bottom w:val="single" w:sz="4" w:space="0" w:color="auto"/>
              <w:right w:val="nil"/>
            </w:tcBorders>
            <w:shd w:val="clear" w:color="auto" w:fill="F2F2F2" w:themeFill="background1" w:themeFillShade="F2"/>
            <w:noWrap/>
            <w:vAlign w:val="bottom"/>
          </w:tcPr>
          <w:p w14:paraId="41F8E49F" w14:textId="77777777" w:rsidR="00730DE4" w:rsidRPr="00730DE4" w:rsidRDefault="00730DE4" w:rsidP="00D50E43">
            <w:pPr>
              <w:pStyle w:val="NoSpacing"/>
              <w:jc w:val="right"/>
              <w:rPr>
                <w:rStyle w:val="Strong"/>
              </w:rPr>
            </w:pPr>
            <w:r w:rsidRPr="00730DE4">
              <w:rPr>
                <w:rStyle w:val="Strong"/>
              </w:rPr>
              <w:t xml:space="preserve">322,610 </w:t>
            </w:r>
          </w:p>
        </w:tc>
      </w:tr>
      <w:tr w:rsidR="00730DE4" w:rsidRPr="00730DE4" w14:paraId="5FDD62DE" w14:textId="77777777" w:rsidTr="00426D4B">
        <w:trPr>
          <w:cantSplit/>
          <w:trHeight w:val="454"/>
        </w:trPr>
        <w:tc>
          <w:tcPr>
            <w:tcW w:w="1358" w:type="pct"/>
            <w:tcBorders>
              <w:top w:val="single" w:sz="4" w:space="0" w:color="auto"/>
              <w:left w:val="nil"/>
              <w:bottom w:val="dashSmallGap" w:sz="4" w:space="0" w:color="BFBFBF" w:themeColor="background1" w:themeShade="BF"/>
              <w:right w:val="dashSmallGap" w:sz="4" w:space="0" w:color="BFBFBF" w:themeColor="background1" w:themeShade="BF"/>
            </w:tcBorders>
            <w:shd w:val="clear" w:color="auto" w:fill="auto"/>
            <w:vAlign w:val="bottom"/>
          </w:tcPr>
          <w:p w14:paraId="12F7B634" w14:textId="77777777" w:rsidR="00730DE4" w:rsidRPr="00730DE4" w:rsidRDefault="00730DE4" w:rsidP="006605E0">
            <w:pPr>
              <w:pStyle w:val="NoSpacing"/>
              <w:rPr>
                <w:color w:val="080C0F" w:themeColor="text1"/>
                <w:szCs w:val="20"/>
              </w:rPr>
            </w:pPr>
            <w:r w:rsidRPr="00730DE4">
              <w:rPr>
                <w:rStyle w:val="Strong"/>
              </w:rPr>
              <w:t>Items not reclassified to operating result</w:t>
            </w:r>
          </w:p>
        </w:tc>
        <w:tc>
          <w:tcPr>
            <w:tcW w:w="607" w:type="pct"/>
            <w:tcBorders>
              <w:top w:val="single" w:sz="4" w:space="0" w:color="auto"/>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4415B64B" w14:textId="77777777" w:rsidR="00730DE4" w:rsidRPr="00730DE4" w:rsidRDefault="00730DE4" w:rsidP="006605E0">
            <w:pPr>
              <w:pStyle w:val="NoSpacing"/>
              <w:jc w:val="right"/>
              <w:rPr>
                <w:color w:val="080C0F" w:themeColor="text1"/>
                <w:szCs w:val="20"/>
              </w:rPr>
            </w:pPr>
            <w:r w:rsidRPr="00730DE4">
              <w:rPr>
                <w:color w:val="080C0F" w:themeColor="text1"/>
                <w:szCs w:val="20"/>
              </w:rPr>
              <w:t> </w:t>
            </w:r>
          </w:p>
        </w:tc>
        <w:tc>
          <w:tcPr>
            <w:tcW w:w="607" w:type="pct"/>
            <w:tcBorders>
              <w:top w:val="single" w:sz="4" w:space="0" w:color="auto"/>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0FFF2714" w14:textId="77777777" w:rsidR="00730DE4" w:rsidRPr="00730DE4" w:rsidRDefault="00730DE4" w:rsidP="006605E0">
            <w:pPr>
              <w:pStyle w:val="NoSpacing"/>
              <w:jc w:val="right"/>
              <w:rPr>
                <w:color w:val="080C0F" w:themeColor="text1"/>
                <w:szCs w:val="20"/>
              </w:rPr>
            </w:pPr>
            <w:r w:rsidRPr="00730DE4">
              <w:rPr>
                <w:color w:val="080C0F" w:themeColor="text1"/>
                <w:szCs w:val="20"/>
              </w:rPr>
              <w:t> </w:t>
            </w:r>
          </w:p>
        </w:tc>
        <w:tc>
          <w:tcPr>
            <w:tcW w:w="607" w:type="pct"/>
            <w:tcBorders>
              <w:top w:val="single" w:sz="4" w:space="0" w:color="auto"/>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4A8AD6D9" w14:textId="77777777" w:rsidR="00730DE4" w:rsidRPr="00730DE4" w:rsidRDefault="00730DE4" w:rsidP="006605E0">
            <w:pPr>
              <w:pStyle w:val="NoSpacing"/>
              <w:jc w:val="right"/>
              <w:rPr>
                <w:color w:val="080C0F" w:themeColor="text1"/>
                <w:szCs w:val="20"/>
              </w:rPr>
            </w:pPr>
            <w:r w:rsidRPr="00730DE4">
              <w:rPr>
                <w:color w:val="080C0F" w:themeColor="text1"/>
                <w:szCs w:val="20"/>
              </w:rPr>
              <w:t> </w:t>
            </w:r>
          </w:p>
        </w:tc>
        <w:tc>
          <w:tcPr>
            <w:tcW w:w="607" w:type="pct"/>
            <w:tcBorders>
              <w:top w:val="single" w:sz="4" w:space="0" w:color="auto"/>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4B611F98" w14:textId="77777777" w:rsidR="00730DE4" w:rsidRPr="00730DE4" w:rsidRDefault="00730DE4" w:rsidP="006605E0">
            <w:pPr>
              <w:pStyle w:val="NoSpacing"/>
              <w:jc w:val="right"/>
              <w:rPr>
                <w:color w:val="080C0F" w:themeColor="text1"/>
                <w:szCs w:val="20"/>
              </w:rPr>
            </w:pPr>
            <w:r w:rsidRPr="00730DE4">
              <w:rPr>
                <w:color w:val="080C0F" w:themeColor="text1"/>
                <w:szCs w:val="20"/>
              </w:rPr>
              <w:t> </w:t>
            </w:r>
          </w:p>
        </w:tc>
        <w:tc>
          <w:tcPr>
            <w:tcW w:w="607" w:type="pct"/>
            <w:tcBorders>
              <w:top w:val="single" w:sz="4" w:space="0" w:color="auto"/>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6805DF1C" w14:textId="77777777" w:rsidR="00730DE4" w:rsidRPr="00730DE4" w:rsidRDefault="00730DE4" w:rsidP="006605E0">
            <w:pPr>
              <w:pStyle w:val="NoSpacing"/>
              <w:jc w:val="right"/>
              <w:rPr>
                <w:color w:val="080C0F" w:themeColor="text1"/>
                <w:szCs w:val="20"/>
              </w:rPr>
            </w:pPr>
            <w:r w:rsidRPr="00730DE4">
              <w:rPr>
                <w:color w:val="080C0F" w:themeColor="text1"/>
                <w:szCs w:val="20"/>
              </w:rPr>
              <w:t> </w:t>
            </w:r>
          </w:p>
        </w:tc>
        <w:tc>
          <w:tcPr>
            <w:tcW w:w="607" w:type="pct"/>
            <w:tcBorders>
              <w:top w:val="single" w:sz="4" w:space="0" w:color="auto"/>
              <w:left w:val="dashSmallGap" w:sz="4" w:space="0" w:color="BFBFBF" w:themeColor="background1" w:themeShade="BF"/>
              <w:bottom w:val="dashSmallGap" w:sz="4" w:space="0" w:color="BFBFBF" w:themeColor="background1" w:themeShade="BF"/>
              <w:right w:val="nil"/>
            </w:tcBorders>
            <w:shd w:val="clear" w:color="auto" w:fill="F2F2F2" w:themeFill="background1" w:themeFillShade="F2"/>
            <w:noWrap/>
            <w:vAlign w:val="bottom"/>
            <w:hideMark/>
          </w:tcPr>
          <w:p w14:paraId="444D2DA8" w14:textId="77777777" w:rsidR="00730DE4" w:rsidRPr="00730DE4" w:rsidRDefault="00730DE4" w:rsidP="006605E0">
            <w:pPr>
              <w:pStyle w:val="NoSpacing"/>
              <w:jc w:val="right"/>
              <w:rPr>
                <w:rStyle w:val="Strong"/>
              </w:rPr>
            </w:pPr>
            <w:r w:rsidRPr="00730DE4">
              <w:rPr>
                <w:rStyle w:val="Strong"/>
              </w:rPr>
              <w:t> </w:t>
            </w:r>
          </w:p>
        </w:tc>
      </w:tr>
      <w:tr w:rsidR="00730DE4" w:rsidRPr="00730DE4" w14:paraId="25331F96" w14:textId="77777777" w:rsidTr="00426D4B">
        <w:trPr>
          <w:cantSplit/>
        </w:trPr>
        <w:tc>
          <w:tcPr>
            <w:tcW w:w="1358" w:type="pct"/>
            <w:tcBorders>
              <w:top w:val="dashSmallGap" w:sz="4" w:space="0" w:color="BFBFBF" w:themeColor="background1" w:themeShade="BF"/>
              <w:left w:val="nil"/>
              <w:bottom w:val="single" w:sz="4" w:space="0" w:color="auto"/>
              <w:right w:val="dashSmallGap" w:sz="4" w:space="0" w:color="BFBFBF" w:themeColor="background1" w:themeShade="BF"/>
            </w:tcBorders>
            <w:shd w:val="clear" w:color="auto" w:fill="auto"/>
          </w:tcPr>
          <w:p w14:paraId="4B26BA83" w14:textId="77777777" w:rsidR="00730DE4" w:rsidRPr="00730DE4" w:rsidRDefault="00730DE4" w:rsidP="00E31A99">
            <w:pPr>
              <w:pStyle w:val="NoSpacingIndent"/>
            </w:pPr>
            <w:r w:rsidRPr="00730DE4">
              <w:t>Increase in asset revaluation surplus</w:t>
            </w:r>
          </w:p>
        </w:tc>
        <w:tc>
          <w:tcPr>
            <w:tcW w:w="607" w:type="pct"/>
            <w:tcBorders>
              <w:top w:val="dashSmallGap" w:sz="4" w:space="0" w:color="BFBFBF" w:themeColor="background1" w:themeShade="BF"/>
              <w:left w:val="dashSmallGap" w:sz="4" w:space="0" w:color="BFBFBF" w:themeColor="background1" w:themeShade="BF"/>
              <w:bottom w:val="single" w:sz="4" w:space="0" w:color="auto"/>
              <w:right w:val="dashSmallGap" w:sz="4" w:space="0" w:color="BFBFBF" w:themeColor="background1" w:themeShade="BF"/>
            </w:tcBorders>
            <w:shd w:val="clear" w:color="auto" w:fill="F2F2F2" w:themeFill="background1" w:themeFillShade="F2"/>
            <w:noWrap/>
            <w:hideMark/>
          </w:tcPr>
          <w:p w14:paraId="27CE0198" w14:textId="77777777" w:rsidR="00730DE4" w:rsidRPr="00730DE4" w:rsidRDefault="00730DE4" w:rsidP="00E31A99">
            <w:pPr>
              <w:pStyle w:val="NoSpacing"/>
              <w:jc w:val="right"/>
              <w:rPr>
                <w:color w:val="080C0F" w:themeColor="text1"/>
                <w:szCs w:val="20"/>
              </w:rPr>
            </w:pPr>
            <w:r w:rsidRPr="00730DE4">
              <w:rPr>
                <w:color w:val="080C0F" w:themeColor="text1"/>
                <w:szCs w:val="20"/>
              </w:rPr>
              <w:t xml:space="preserve">- </w:t>
            </w:r>
          </w:p>
        </w:tc>
        <w:tc>
          <w:tcPr>
            <w:tcW w:w="607" w:type="pct"/>
            <w:tcBorders>
              <w:top w:val="dashSmallGap" w:sz="4" w:space="0" w:color="BFBFBF" w:themeColor="background1" w:themeShade="BF"/>
              <w:left w:val="dashSmallGap" w:sz="4" w:space="0" w:color="BFBFBF" w:themeColor="background1" w:themeShade="BF"/>
              <w:bottom w:val="single" w:sz="4" w:space="0" w:color="auto"/>
              <w:right w:val="dashSmallGap" w:sz="4" w:space="0" w:color="BFBFBF" w:themeColor="background1" w:themeShade="BF"/>
            </w:tcBorders>
            <w:shd w:val="clear" w:color="auto" w:fill="F2F2F2" w:themeFill="background1" w:themeFillShade="F2"/>
            <w:noWrap/>
            <w:hideMark/>
          </w:tcPr>
          <w:p w14:paraId="251FDB11" w14:textId="77777777" w:rsidR="00730DE4" w:rsidRPr="00730DE4" w:rsidRDefault="00730DE4" w:rsidP="00E31A99">
            <w:pPr>
              <w:pStyle w:val="NoSpacing"/>
              <w:jc w:val="right"/>
              <w:rPr>
                <w:color w:val="080C0F" w:themeColor="text1"/>
                <w:szCs w:val="20"/>
              </w:rPr>
            </w:pPr>
            <w:r w:rsidRPr="00730DE4">
              <w:rPr>
                <w:color w:val="080C0F" w:themeColor="text1"/>
                <w:szCs w:val="20"/>
              </w:rPr>
              <w:t xml:space="preserve">- </w:t>
            </w:r>
          </w:p>
        </w:tc>
        <w:tc>
          <w:tcPr>
            <w:tcW w:w="607" w:type="pct"/>
            <w:tcBorders>
              <w:top w:val="dashSmallGap" w:sz="4" w:space="0" w:color="BFBFBF" w:themeColor="background1" w:themeShade="BF"/>
              <w:left w:val="dashSmallGap" w:sz="4" w:space="0" w:color="BFBFBF" w:themeColor="background1" w:themeShade="BF"/>
              <w:bottom w:val="single" w:sz="4" w:space="0" w:color="auto"/>
              <w:right w:val="dashSmallGap" w:sz="4" w:space="0" w:color="BFBFBF" w:themeColor="background1" w:themeShade="BF"/>
            </w:tcBorders>
            <w:shd w:val="clear" w:color="auto" w:fill="F2F2F2" w:themeFill="background1" w:themeFillShade="F2"/>
            <w:noWrap/>
            <w:hideMark/>
          </w:tcPr>
          <w:p w14:paraId="5223F384" w14:textId="77777777" w:rsidR="00730DE4" w:rsidRPr="00730DE4" w:rsidRDefault="00730DE4" w:rsidP="00E31A99">
            <w:pPr>
              <w:pStyle w:val="NoSpacing"/>
              <w:jc w:val="right"/>
              <w:rPr>
                <w:color w:val="080C0F" w:themeColor="text1"/>
                <w:szCs w:val="20"/>
              </w:rPr>
            </w:pPr>
            <w:r w:rsidRPr="00730DE4">
              <w:rPr>
                <w:color w:val="080C0F" w:themeColor="text1"/>
                <w:szCs w:val="20"/>
              </w:rPr>
              <w:t xml:space="preserve">- </w:t>
            </w:r>
          </w:p>
        </w:tc>
        <w:tc>
          <w:tcPr>
            <w:tcW w:w="607" w:type="pct"/>
            <w:tcBorders>
              <w:top w:val="dashSmallGap" w:sz="4" w:space="0" w:color="BFBFBF" w:themeColor="background1" w:themeShade="BF"/>
              <w:left w:val="dashSmallGap" w:sz="4" w:space="0" w:color="BFBFBF" w:themeColor="background1" w:themeShade="BF"/>
              <w:bottom w:val="single" w:sz="4" w:space="0" w:color="auto"/>
              <w:right w:val="dashSmallGap" w:sz="4" w:space="0" w:color="BFBFBF" w:themeColor="background1" w:themeShade="BF"/>
            </w:tcBorders>
            <w:shd w:val="clear" w:color="auto" w:fill="F2F2F2" w:themeFill="background1" w:themeFillShade="F2"/>
            <w:noWrap/>
            <w:hideMark/>
          </w:tcPr>
          <w:p w14:paraId="4841EEB6" w14:textId="77777777" w:rsidR="00730DE4" w:rsidRPr="00730DE4" w:rsidRDefault="00730DE4" w:rsidP="00E31A99">
            <w:pPr>
              <w:pStyle w:val="NoSpacing"/>
              <w:jc w:val="right"/>
              <w:rPr>
                <w:color w:val="080C0F" w:themeColor="text1"/>
                <w:szCs w:val="20"/>
              </w:rPr>
            </w:pPr>
            <w:r w:rsidRPr="00730DE4">
              <w:rPr>
                <w:color w:val="080C0F" w:themeColor="text1"/>
                <w:szCs w:val="20"/>
              </w:rPr>
              <w:t xml:space="preserve">- </w:t>
            </w:r>
          </w:p>
        </w:tc>
        <w:tc>
          <w:tcPr>
            <w:tcW w:w="607" w:type="pct"/>
            <w:tcBorders>
              <w:top w:val="dashSmallGap" w:sz="4" w:space="0" w:color="BFBFBF" w:themeColor="background1" w:themeShade="BF"/>
              <w:left w:val="dashSmallGap" w:sz="4" w:space="0" w:color="BFBFBF" w:themeColor="background1" w:themeShade="BF"/>
              <w:bottom w:val="single" w:sz="4" w:space="0" w:color="auto"/>
              <w:right w:val="dashSmallGap" w:sz="4" w:space="0" w:color="BFBFBF" w:themeColor="background1" w:themeShade="BF"/>
            </w:tcBorders>
            <w:shd w:val="clear" w:color="auto" w:fill="F2F2F2" w:themeFill="background1" w:themeFillShade="F2"/>
            <w:noWrap/>
            <w:hideMark/>
          </w:tcPr>
          <w:p w14:paraId="246F9B34" w14:textId="77777777" w:rsidR="00730DE4" w:rsidRPr="00730DE4" w:rsidRDefault="00730DE4" w:rsidP="00E31A99">
            <w:pPr>
              <w:pStyle w:val="NoSpacing"/>
              <w:jc w:val="right"/>
              <w:rPr>
                <w:color w:val="080C0F" w:themeColor="text1"/>
                <w:szCs w:val="20"/>
              </w:rPr>
            </w:pPr>
            <w:r w:rsidRPr="00730DE4">
              <w:rPr>
                <w:color w:val="080C0F" w:themeColor="text1"/>
                <w:szCs w:val="20"/>
              </w:rPr>
              <w:t xml:space="preserve">- </w:t>
            </w:r>
          </w:p>
        </w:tc>
        <w:tc>
          <w:tcPr>
            <w:tcW w:w="607" w:type="pct"/>
            <w:tcBorders>
              <w:top w:val="dashSmallGap" w:sz="4" w:space="0" w:color="BFBFBF" w:themeColor="background1" w:themeShade="BF"/>
              <w:left w:val="dashSmallGap" w:sz="4" w:space="0" w:color="BFBFBF" w:themeColor="background1" w:themeShade="BF"/>
              <w:bottom w:val="single" w:sz="4" w:space="0" w:color="auto"/>
              <w:right w:val="nil"/>
            </w:tcBorders>
            <w:shd w:val="clear" w:color="auto" w:fill="F2F2F2" w:themeFill="background1" w:themeFillShade="F2"/>
            <w:noWrap/>
            <w:hideMark/>
          </w:tcPr>
          <w:p w14:paraId="68A1E09F" w14:textId="77777777" w:rsidR="00730DE4" w:rsidRPr="00730DE4" w:rsidRDefault="00730DE4" w:rsidP="00E31A99">
            <w:pPr>
              <w:pStyle w:val="NoSpacing"/>
              <w:jc w:val="right"/>
              <w:rPr>
                <w:rStyle w:val="Strong"/>
              </w:rPr>
            </w:pPr>
            <w:r w:rsidRPr="00730DE4">
              <w:rPr>
                <w:rStyle w:val="Strong"/>
              </w:rPr>
              <w:t xml:space="preserve">2,650,364 </w:t>
            </w:r>
          </w:p>
        </w:tc>
      </w:tr>
      <w:tr w:rsidR="00730DE4" w:rsidRPr="00730DE4" w14:paraId="218E0209" w14:textId="77777777" w:rsidTr="00426D4B">
        <w:trPr>
          <w:cantSplit/>
        </w:trPr>
        <w:tc>
          <w:tcPr>
            <w:tcW w:w="1358" w:type="pct"/>
            <w:tcBorders>
              <w:top w:val="single" w:sz="4" w:space="0" w:color="auto"/>
              <w:left w:val="nil"/>
              <w:bottom w:val="single" w:sz="4" w:space="0" w:color="auto"/>
              <w:right w:val="dashSmallGap" w:sz="4" w:space="0" w:color="BFBFBF" w:themeColor="background1" w:themeShade="BF"/>
            </w:tcBorders>
            <w:shd w:val="clear" w:color="auto" w:fill="auto"/>
          </w:tcPr>
          <w:p w14:paraId="354F7F94" w14:textId="77777777" w:rsidR="00730DE4" w:rsidRPr="00730DE4" w:rsidRDefault="00730DE4" w:rsidP="00607851">
            <w:pPr>
              <w:pStyle w:val="NoSpacing"/>
              <w:rPr>
                <w:color w:val="080C0F" w:themeColor="text1"/>
                <w:szCs w:val="20"/>
              </w:rPr>
            </w:pPr>
            <w:r w:rsidRPr="00730DE4">
              <w:rPr>
                <w:rStyle w:val="Strong"/>
              </w:rPr>
              <w:t>Total other comprehensive income</w:t>
            </w:r>
          </w:p>
        </w:tc>
        <w:tc>
          <w:tcPr>
            <w:tcW w:w="607" w:type="pct"/>
            <w:tcBorders>
              <w:top w:val="single" w:sz="4" w:space="0" w:color="auto"/>
              <w:left w:val="dashSmallGap" w:sz="4" w:space="0" w:color="BFBFBF" w:themeColor="background1" w:themeShade="BF"/>
              <w:bottom w:val="single" w:sz="4" w:space="0" w:color="auto"/>
              <w:right w:val="dashSmallGap" w:sz="4" w:space="0" w:color="BFBFBF" w:themeColor="background1" w:themeShade="BF"/>
            </w:tcBorders>
            <w:shd w:val="clear" w:color="auto" w:fill="F2F2F2" w:themeFill="background1" w:themeFillShade="F2"/>
            <w:noWrap/>
          </w:tcPr>
          <w:p w14:paraId="45DE328C" w14:textId="77777777" w:rsidR="00730DE4" w:rsidRPr="00730DE4" w:rsidRDefault="00730DE4" w:rsidP="00607851">
            <w:pPr>
              <w:pStyle w:val="NoSpacing"/>
              <w:jc w:val="right"/>
              <w:rPr>
                <w:color w:val="080C0F" w:themeColor="text1"/>
                <w:szCs w:val="20"/>
              </w:rPr>
            </w:pPr>
            <w:r w:rsidRPr="00730DE4">
              <w:rPr>
                <w:rStyle w:val="Strong"/>
              </w:rPr>
              <w:t xml:space="preserve">- </w:t>
            </w:r>
          </w:p>
        </w:tc>
        <w:tc>
          <w:tcPr>
            <w:tcW w:w="607" w:type="pct"/>
            <w:tcBorders>
              <w:top w:val="single" w:sz="4" w:space="0" w:color="auto"/>
              <w:left w:val="dashSmallGap" w:sz="4" w:space="0" w:color="BFBFBF" w:themeColor="background1" w:themeShade="BF"/>
              <w:bottom w:val="single" w:sz="4" w:space="0" w:color="auto"/>
              <w:right w:val="dashSmallGap" w:sz="4" w:space="0" w:color="BFBFBF" w:themeColor="background1" w:themeShade="BF"/>
            </w:tcBorders>
            <w:shd w:val="clear" w:color="auto" w:fill="F2F2F2" w:themeFill="background1" w:themeFillShade="F2"/>
            <w:noWrap/>
          </w:tcPr>
          <w:p w14:paraId="78460045" w14:textId="77777777" w:rsidR="00730DE4" w:rsidRPr="00730DE4" w:rsidRDefault="00730DE4" w:rsidP="00607851">
            <w:pPr>
              <w:pStyle w:val="NoSpacing"/>
              <w:jc w:val="right"/>
              <w:rPr>
                <w:color w:val="080C0F" w:themeColor="text1"/>
                <w:szCs w:val="20"/>
              </w:rPr>
            </w:pPr>
            <w:r w:rsidRPr="00730DE4">
              <w:rPr>
                <w:rStyle w:val="Strong"/>
              </w:rPr>
              <w:t xml:space="preserve">- </w:t>
            </w:r>
          </w:p>
        </w:tc>
        <w:tc>
          <w:tcPr>
            <w:tcW w:w="607" w:type="pct"/>
            <w:tcBorders>
              <w:top w:val="single" w:sz="4" w:space="0" w:color="auto"/>
              <w:left w:val="dashSmallGap" w:sz="4" w:space="0" w:color="BFBFBF" w:themeColor="background1" w:themeShade="BF"/>
              <w:bottom w:val="single" w:sz="4" w:space="0" w:color="auto"/>
              <w:right w:val="dashSmallGap" w:sz="4" w:space="0" w:color="BFBFBF" w:themeColor="background1" w:themeShade="BF"/>
            </w:tcBorders>
            <w:shd w:val="clear" w:color="auto" w:fill="F2F2F2" w:themeFill="background1" w:themeFillShade="F2"/>
            <w:noWrap/>
          </w:tcPr>
          <w:p w14:paraId="308547FC" w14:textId="77777777" w:rsidR="00730DE4" w:rsidRPr="00730DE4" w:rsidRDefault="00730DE4" w:rsidP="00607851">
            <w:pPr>
              <w:pStyle w:val="NoSpacing"/>
              <w:jc w:val="right"/>
              <w:rPr>
                <w:color w:val="080C0F" w:themeColor="text1"/>
                <w:szCs w:val="20"/>
              </w:rPr>
            </w:pPr>
            <w:r w:rsidRPr="00730DE4">
              <w:rPr>
                <w:rStyle w:val="Strong"/>
              </w:rPr>
              <w:t xml:space="preserve">- </w:t>
            </w:r>
          </w:p>
        </w:tc>
        <w:tc>
          <w:tcPr>
            <w:tcW w:w="607" w:type="pct"/>
            <w:tcBorders>
              <w:top w:val="single" w:sz="4" w:space="0" w:color="auto"/>
              <w:left w:val="dashSmallGap" w:sz="4" w:space="0" w:color="BFBFBF" w:themeColor="background1" w:themeShade="BF"/>
              <w:bottom w:val="single" w:sz="4" w:space="0" w:color="auto"/>
              <w:right w:val="dashSmallGap" w:sz="4" w:space="0" w:color="BFBFBF" w:themeColor="background1" w:themeShade="BF"/>
            </w:tcBorders>
            <w:shd w:val="clear" w:color="auto" w:fill="F2F2F2" w:themeFill="background1" w:themeFillShade="F2"/>
            <w:noWrap/>
          </w:tcPr>
          <w:p w14:paraId="04275E33" w14:textId="77777777" w:rsidR="00730DE4" w:rsidRPr="00730DE4" w:rsidRDefault="00730DE4" w:rsidP="00607851">
            <w:pPr>
              <w:pStyle w:val="NoSpacing"/>
              <w:jc w:val="right"/>
              <w:rPr>
                <w:color w:val="080C0F" w:themeColor="text1"/>
                <w:szCs w:val="20"/>
              </w:rPr>
            </w:pPr>
            <w:r w:rsidRPr="00730DE4">
              <w:rPr>
                <w:rStyle w:val="Strong"/>
              </w:rPr>
              <w:t xml:space="preserve">- </w:t>
            </w:r>
          </w:p>
        </w:tc>
        <w:tc>
          <w:tcPr>
            <w:tcW w:w="607" w:type="pct"/>
            <w:tcBorders>
              <w:top w:val="single" w:sz="4" w:space="0" w:color="auto"/>
              <w:left w:val="dashSmallGap" w:sz="4" w:space="0" w:color="BFBFBF" w:themeColor="background1" w:themeShade="BF"/>
              <w:bottom w:val="single" w:sz="4" w:space="0" w:color="auto"/>
              <w:right w:val="dashSmallGap" w:sz="4" w:space="0" w:color="BFBFBF" w:themeColor="background1" w:themeShade="BF"/>
            </w:tcBorders>
            <w:shd w:val="clear" w:color="auto" w:fill="F2F2F2" w:themeFill="background1" w:themeFillShade="F2"/>
            <w:noWrap/>
          </w:tcPr>
          <w:p w14:paraId="75558139" w14:textId="77777777" w:rsidR="00730DE4" w:rsidRPr="00730DE4" w:rsidRDefault="00730DE4" w:rsidP="00607851">
            <w:pPr>
              <w:pStyle w:val="NoSpacing"/>
              <w:jc w:val="right"/>
              <w:rPr>
                <w:color w:val="080C0F" w:themeColor="text1"/>
                <w:szCs w:val="20"/>
              </w:rPr>
            </w:pPr>
            <w:r w:rsidRPr="00730DE4">
              <w:rPr>
                <w:rStyle w:val="Strong"/>
              </w:rPr>
              <w:t xml:space="preserve">- </w:t>
            </w:r>
          </w:p>
        </w:tc>
        <w:tc>
          <w:tcPr>
            <w:tcW w:w="607" w:type="pct"/>
            <w:tcBorders>
              <w:top w:val="single" w:sz="4" w:space="0" w:color="auto"/>
              <w:left w:val="dashSmallGap" w:sz="4" w:space="0" w:color="BFBFBF" w:themeColor="background1" w:themeShade="BF"/>
              <w:bottom w:val="single" w:sz="4" w:space="0" w:color="auto"/>
              <w:right w:val="nil"/>
            </w:tcBorders>
            <w:shd w:val="clear" w:color="auto" w:fill="F2F2F2" w:themeFill="background1" w:themeFillShade="F2"/>
            <w:noWrap/>
          </w:tcPr>
          <w:p w14:paraId="6C4B5879" w14:textId="77777777" w:rsidR="00730DE4" w:rsidRPr="00730DE4" w:rsidRDefault="00730DE4" w:rsidP="00607851">
            <w:pPr>
              <w:pStyle w:val="NoSpacing"/>
              <w:jc w:val="right"/>
              <w:rPr>
                <w:rStyle w:val="Strong"/>
              </w:rPr>
            </w:pPr>
            <w:r w:rsidRPr="00730DE4">
              <w:rPr>
                <w:rStyle w:val="Strong"/>
              </w:rPr>
              <w:t xml:space="preserve">2,650,364 </w:t>
            </w:r>
          </w:p>
        </w:tc>
      </w:tr>
      <w:tr w:rsidR="00730DE4" w:rsidRPr="00730DE4" w14:paraId="23F3723C" w14:textId="77777777" w:rsidTr="00094DCA">
        <w:trPr>
          <w:cantSplit/>
          <w:trHeight w:val="454"/>
        </w:trPr>
        <w:tc>
          <w:tcPr>
            <w:tcW w:w="1358" w:type="pct"/>
            <w:tcBorders>
              <w:top w:val="single" w:sz="4" w:space="0" w:color="auto"/>
              <w:left w:val="nil"/>
              <w:bottom w:val="double" w:sz="4" w:space="0" w:color="auto"/>
              <w:right w:val="dashSmallGap" w:sz="4" w:space="0" w:color="BFBFBF" w:themeColor="background1" w:themeShade="BF"/>
            </w:tcBorders>
            <w:shd w:val="clear" w:color="auto" w:fill="auto"/>
            <w:vAlign w:val="bottom"/>
          </w:tcPr>
          <w:p w14:paraId="5FF0D248" w14:textId="77777777" w:rsidR="00730DE4" w:rsidRPr="00730DE4" w:rsidRDefault="00730DE4" w:rsidP="00193BC7">
            <w:pPr>
              <w:pStyle w:val="NoSpacing"/>
              <w:rPr>
                <w:color w:val="080C0F" w:themeColor="text1"/>
                <w:szCs w:val="20"/>
              </w:rPr>
            </w:pPr>
            <w:r w:rsidRPr="00730DE4">
              <w:rPr>
                <w:rStyle w:val="Strong"/>
              </w:rPr>
              <w:t>Total comprehensive income</w:t>
            </w:r>
          </w:p>
        </w:tc>
        <w:tc>
          <w:tcPr>
            <w:tcW w:w="607" w:type="pct"/>
            <w:tcBorders>
              <w:top w:val="single" w:sz="4" w:space="0" w:color="auto"/>
              <w:left w:val="dashSmallGap" w:sz="4" w:space="0" w:color="BFBFBF" w:themeColor="background1" w:themeShade="BF"/>
              <w:bottom w:val="double" w:sz="4" w:space="0" w:color="auto"/>
              <w:right w:val="dashSmallGap" w:sz="4" w:space="0" w:color="BFBFBF" w:themeColor="background1" w:themeShade="BF"/>
            </w:tcBorders>
            <w:shd w:val="clear" w:color="auto" w:fill="F2F2F2" w:themeFill="background1" w:themeFillShade="F2"/>
            <w:noWrap/>
            <w:vAlign w:val="bottom"/>
          </w:tcPr>
          <w:p w14:paraId="34C00B25" w14:textId="77777777" w:rsidR="00730DE4" w:rsidRPr="00730DE4" w:rsidRDefault="00730DE4" w:rsidP="00426D4B">
            <w:pPr>
              <w:pStyle w:val="NoSpacing"/>
              <w:jc w:val="right"/>
              <w:rPr>
                <w:color w:val="080C0F" w:themeColor="text1"/>
                <w:szCs w:val="20"/>
              </w:rPr>
            </w:pPr>
            <w:r w:rsidRPr="00730DE4">
              <w:rPr>
                <w:rStyle w:val="Strong"/>
              </w:rPr>
              <w:t>(1,383)</w:t>
            </w:r>
          </w:p>
        </w:tc>
        <w:tc>
          <w:tcPr>
            <w:tcW w:w="607" w:type="pct"/>
            <w:tcBorders>
              <w:top w:val="single" w:sz="4" w:space="0" w:color="auto"/>
              <w:left w:val="dashSmallGap" w:sz="4" w:space="0" w:color="BFBFBF" w:themeColor="background1" w:themeShade="BF"/>
              <w:bottom w:val="double" w:sz="4" w:space="0" w:color="auto"/>
              <w:right w:val="dashSmallGap" w:sz="4" w:space="0" w:color="BFBFBF" w:themeColor="background1" w:themeShade="BF"/>
            </w:tcBorders>
            <w:shd w:val="clear" w:color="auto" w:fill="F2F2F2" w:themeFill="background1" w:themeFillShade="F2"/>
            <w:noWrap/>
            <w:vAlign w:val="bottom"/>
          </w:tcPr>
          <w:p w14:paraId="46784F00" w14:textId="77777777" w:rsidR="00730DE4" w:rsidRPr="00730DE4" w:rsidRDefault="00730DE4" w:rsidP="00426D4B">
            <w:pPr>
              <w:pStyle w:val="NoSpacing"/>
              <w:jc w:val="right"/>
              <w:rPr>
                <w:color w:val="080C0F" w:themeColor="text1"/>
                <w:szCs w:val="20"/>
              </w:rPr>
            </w:pPr>
            <w:r w:rsidRPr="00730DE4">
              <w:rPr>
                <w:rStyle w:val="Strong"/>
              </w:rPr>
              <w:t xml:space="preserve">7,707 </w:t>
            </w:r>
          </w:p>
        </w:tc>
        <w:tc>
          <w:tcPr>
            <w:tcW w:w="607" w:type="pct"/>
            <w:tcBorders>
              <w:top w:val="single" w:sz="4" w:space="0" w:color="auto"/>
              <w:left w:val="dashSmallGap" w:sz="4" w:space="0" w:color="BFBFBF" w:themeColor="background1" w:themeShade="BF"/>
              <w:bottom w:val="double" w:sz="4" w:space="0" w:color="auto"/>
              <w:right w:val="dashSmallGap" w:sz="4" w:space="0" w:color="BFBFBF" w:themeColor="background1" w:themeShade="BF"/>
            </w:tcBorders>
            <w:shd w:val="clear" w:color="auto" w:fill="F2F2F2" w:themeFill="background1" w:themeFillShade="F2"/>
            <w:noWrap/>
            <w:vAlign w:val="bottom"/>
          </w:tcPr>
          <w:p w14:paraId="107B948F" w14:textId="77777777" w:rsidR="00730DE4" w:rsidRPr="00730DE4" w:rsidRDefault="00730DE4" w:rsidP="00426D4B">
            <w:pPr>
              <w:pStyle w:val="NoSpacing"/>
              <w:jc w:val="right"/>
              <w:rPr>
                <w:color w:val="080C0F" w:themeColor="text1"/>
                <w:szCs w:val="20"/>
              </w:rPr>
            </w:pPr>
            <w:r w:rsidRPr="00730DE4">
              <w:rPr>
                <w:rStyle w:val="Strong"/>
              </w:rPr>
              <w:t xml:space="preserve">1,757 </w:t>
            </w:r>
          </w:p>
        </w:tc>
        <w:tc>
          <w:tcPr>
            <w:tcW w:w="607" w:type="pct"/>
            <w:tcBorders>
              <w:top w:val="single" w:sz="4" w:space="0" w:color="auto"/>
              <w:left w:val="dashSmallGap" w:sz="4" w:space="0" w:color="BFBFBF" w:themeColor="background1" w:themeShade="BF"/>
              <w:bottom w:val="double" w:sz="4" w:space="0" w:color="auto"/>
              <w:right w:val="dashSmallGap" w:sz="4" w:space="0" w:color="BFBFBF" w:themeColor="background1" w:themeShade="BF"/>
            </w:tcBorders>
            <w:shd w:val="clear" w:color="auto" w:fill="F2F2F2" w:themeFill="background1" w:themeFillShade="F2"/>
            <w:noWrap/>
            <w:vAlign w:val="bottom"/>
          </w:tcPr>
          <w:p w14:paraId="6FFEF874" w14:textId="77777777" w:rsidR="00730DE4" w:rsidRPr="00730DE4" w:rsidRDefault="00730DE4" w:rsidP="00426D4B">
            <w:pPr>
              <w:pStyle w:val="NoSpacing"/>
              <w:jc w:val="right"/>
              <w:rPr>
                <w:color w:val="080C0F" w:themeColor="text1"/>
                <w:szCs w:val="20"/>
              </w:rPr>
            </w:pPr>
            <w:r w:rsidRPr="00730DE4">
              <w:rPr>
                <w:rStyle w:val="Strong"/>
              </w:rPr>
              <w:t>(622)</w:t>
            </w:r>
          </w:p>
        </w:tc>
        <w:tc>
          <w:tcPr>
            <w:tcW w:w="607" w:type="pct"/>
            <w:tcBorders>
              <w:top w:val="single" w:sz="4" w:space="0" w:color="auto"/>
              <w:left w:val="dashSmallGap" w:sz="4" w:space="0" w:color="BFBFBF" w:themeColor="background1" w:themeShade="BF"/>
              <w:bottom w:val="double" w:sz="4" w:space="0" w:color="auto"/>
              <w:right w:val="dashSmallGap" w:sz="4" w:space="0" w:color="BFBFBF" w:themeColor="background1" w:themeShade="BF"/>
            </w:tcBorders>
            <w:shd w:val="clear" w:color="auto" w:fill="F2F2F2" w:themeFill="background1" w:themeFillShade="F2"/>
            <w:noWrap/>
            <w:vAlign w:val="bottom"/>
          </w:tcPr>
          <w:p w14:paraId="238E776C" w14:textId="77777777" w:rsidR="00730DE4" w:rsidRPr="00730DE4" w:rsidRDefault="00730DE4" w:rsidP="00426D4B">
            <w:pPr>
              <w:pStyle w:val="NoSpacing"/>
              <w:jc w:val="right"/>
              <w:rPr>
                <w:color w:val="080C0F" w:themeColor="text1"/>
                <w:szCs w:val="20"/>
              </w:rPr>
            </w:pPr>
            <w:r w:rsidRPr="00730DE4">
              <w:rPr>
                <w:rStyle w:val="Strong"/>
              </w:rPr>
              <w:t xml:space="preserve">- </w:t>
            </w:r>
          </w:p>
        </w:tc>
        <w:tc>
          <w:tcPr>
            <w:tcW w:w="607" w:type="pct"/>
            <w:tcBorders>
              <w:top w:val="single" w:sz="4" w:space="0" w:color="auto"/>
              <w:left w:val="dashSmallGap" w:sz="4" w:space="0" w:color="BFBFBF" w:themeColor="background1" w:themeShade="BF"/>
              <w:bottom w:val="double" w:sz="4" w:space="0" w:color="auto"/>
              <w:right w:val="nil"/>
            </w:tcBorders>
            <w:shd w:val="clear" w:color="auto" w:fill="F2F2F2" w:themeFill="background1" w:themeFillShade="F2"/>
            <w:noWrap/>
            <w:vAlign w:val="bottom"/>
          </w:tcPr>
          <w:p w14:paraId="2B8838B0" w14:textId="77777777" w:rsidR="00730DE4" w:rsidRPr="00730DE4" w:rsidRDefault="00730DE4" w:rsidP="00426D4B">
            <w:pPr>
              <w:pStyle w:val="NoSpacing"/>
              <w:jc w:val="right"/>
              <w:rPr>
                <w:rStyle w:val="Strong"/>
              </w:rPr>
            </w:pPr>
            <w:r w:rsidRPr="00730DE4">
              <w:rPr>
                <w:rStyle w:val="Strong"/>
              </w:rPr>
              <w:t xml:space="preserve">2,972,974 </w:t>
            </w:r>
          </w:p>
        </w:tc>
      </w:tr>
    </w:tbl>
    <w:p w14:paraId="4D722769" w14:textId="77777777" w:rsidR="00730DE4" w:rsidRPr="00730DE4" w:rsidRDefault="00730DE4" w:rsidP="009D3417">
      <w:pPr>
        <w:pStyle w:val="NoSpacing"/>
      </w:pPr>
      <w:r w:rsidRPr="00730DE4">
        <w:br w:type="page"/>
      </w:r>
    </w:p>
    <w:p w14:paraId="2F5EC927" w14:textId="77777777" w:rsidR="00730DE4" w:rsidRPr="00730DE4" w:rsidRDefault="00730DE4" w:rsidP="00A9765E">
      <w:pPr>
        <w:pStyle w:val="NoSpacing"/>
        <w:rPr>
          <w:b/>
          <w:bCs/>
          <w:sz w:val="24"/>
          <w:szCs w:val="24"/>
        </w:rPr>
      </w:pPr>
      <w:r w:rsidRPr="00730DE4">
        <w:rPr>
          <w:b/>
          <w:bCs/>
          <w:sz w:val="24"/>
          <w:szCs w:val="24"/>
        </w:rPr>
        <w:t>Statement of comprehensive income by major departmental services (continued)</w:t>
      </w:r>
    </w:p>
    <w:p w14:paraId="6257A71F" w14:textId="77777777" w:rsidR="00730DE4" w:rsidRPr="00730DE4" w:rsidRDefault="00730DE4" w:rsidP="00A9765E">
      <w:pPr>
        <w:pStyle w:val="NoSpacing"/>
        <w:rPr>
          <w:sz w:val="24"/>
          <w:szCs w:val="24"/>
        </w:rPr>
      </w:pPr>
      <w:r w:rsidRPr="00730DE4">
        <w:rPr>
          <w:sz w:val="24"/>
          <w:szCs w:val="24"/>
        </w:rPr>
        <w:t>For the year ended 30 June 2024</w:t>
      </w:r>
    </w:p>
    <w:p w14:paraId="57B334D0" w14:textId="77777777" w:rsidR="00730DE4" w:rsidRPr="00730DE4" w:rsidRDefault="00730DE4" w:rsidP="009D3417">
      <w:pPr>
        <w:pStyle w:val="NoSpacing"/>
      </w:pPr>
    </w:p>
    <w:tbl>
      <w:tblPr>
        <w:tblW w:w="5000" w:type="pct"/>
        <w:tblLayout w:type="fixed"/>
        <w:tblCellMar>
          <w:top w:w="23" w:type="dxa"/>
          <w:left w:w="23" w:type="dxa"/>
          <w:bottom w:w="23" w:type="dxa"/>
          <w:right w:w="23" w:type="dxa"/>
        </w:tblCellMar>
        <w:tblLook w:val="04A0" w:firstRow="1" w:lastRow="0" w:firstColumn="1" w:lastColumn="0" w:noHBand="0" w:noVBand="1"/>
      </w:tblPr>
      <w:tblGrid>
        <w:gridCol w:w="5671"/>
        <w:gridCol w:w="2550"/>
        <w:gridCol w:w="2550"/>
        <w:gridCol w:w="2551"/>
        <w:gridCol w:w="2551"/>
        <w:gridCol w:w="2551"/>
        <w:gridCol w:w="2551"/>
      </w:tblGrid>
      <w:tr w:rsidR="00730DE4" w:rsidRPr="00730DE4" w14:paraId="2CCD633C" w14:textId="77777777" w:rsidTr="00253FBD">
        <w:trPr>
          <w:trHeight w:val="198"/>
        </w:trPr>
        <w:tc>
          <w:tcPr>
            <w:tcW w:w="1352" w:type="pct"/>
            <w:tcBorders>
              <w:top w:val="nil"/>
              <w:left w:val="nil"/>
              <w:bottom w:val="single" w:sz="4" w:space="0" w:color="auto"/>
              <w:right w:val="nil"/>
            </w:tcBorders>
            <w:vAlign w:val="bottom"/>
          </w:tcPr>
          <w:p w14:paraId="10FE06A0" w14:textId="77777777" w:rsidR="00730DE4" w:rsidRPr="00730DE4" w:rsidRDefault="00730DE4" w:rsidP="002729FD">
            <w:pPr>
              <w:pStyle w:val="NoSpacing"/>
              <w:rPr>
                <w:rStyle w:val="Strong"/>
              </w:rPr>
            </w:pPr>
            <w:r w:rsidRPr="00730DE4">
              <w:rPr>
                <w:rStyle w:val="Strong"/>
              </w:rPr>
              <w:t>Operating result</w:t>
            </w:r>
          </w:p>
        </w:tc>
        <w:tc>
          <w:tcPr>
            <w:tcW w:w="608" w:type="pct"/>
            <w:tcBorders>
              <w:top w:val="nil"/>
              <w:left w:val="nil"/>
              <w:bottom w:val="single" w:sz="4" w:space="0" w:color="auto"/>
              <w:right w:val="nil"/>
            </w:tcBorders>
            <w:shd w:val="clear" w:color="auto" w:fill="auto"/>
            <w:noWrap/>
            <w:vAlign w:val="bottom"/>
            <w:hideMark/>
          </w:tcPr>
          <w:p w14:paraId="7C50F3A6" w14:textId="77777777" w:rsidR="00730DE4" w:rsidRPr="00730DE4" w:rsidRDefault="00730DE4" w:rsidP="002729FD">
            <w:pPr>
              <w:pStyle w:val="NoSpacing"/>
              <w:jc w:val="right"/>
              <w:rPr>
                <w:rStyle w:val="Strong"/>
              </w:rPr>
            </w:pPr>
            <w:r w:rsidRPr="00730DE4">
              <w:rPr>
                <w:rStyle w:val="Strong"/>
              </w:rPr>
              <w:t xml:space="preserve">Transport system investment planning and programming </w:t>
            </w:r>
            <w:r w:rsidRPr="00730DE4">
              <w:rPr>
                <w:rStyle w:val="Strong"/>
              </w:rPr>
              <w:br/>
            </w:r>
            <w:r w:rsidRPr="00730DE4">
              <w:rPr>
                <w:rStyle w:val="Strong"/>
              </w:rPr>
              <w:br/>
              <w:t xml:space="preserve">2023 </w:t>
            </w:r>
            <w:r w:rsidRPr="00730DE4">
              <w:rPr>
                <w:rStyle w:val="Strong"/>
              </w:rPr>
              <w:br/>
              <w:t>$'000</w:t>
            </w:r>
          </w:p>
        </w:tc>
        <w:tc>
          <w:tcPr>
            <w:tcW w:w="608" w:type="pct"/>
            <w:tcBorders>
              <w:top w:val="nil"/>
              <w:left w:val="nil"/>
              <w:bottom w:val="single" w:sz="4" w:space="0" w:color="auto"/>
              <w:right w:val="nil"/>
            </w:tcBorders>
            <w:shd w:val="clear" w:color="auto" w:fill="auto"/>
            <w:noWrap/>
            <w:vAlign w:val="bottom"/>
            <w:hideMark/>
          </w:tcPr>
          <w:p w14:paraId="48A02B1A" w14:textId="77777777" w:rsidR="00730DE4" w:rsidRPr="00730DE4" w:rsidRDefault="00730DE4" w:rsidP="002729FD">
            <w:pPr>
              <w:pStyle w:val="NoSpacing"/>
              <w:jc w:val="right"/>
              <w:rPr>
                <w:color w:val="080C0F" w:themeColor="text1"/>
              </w:rPr>
            </w:pPr>
            <w:r w:rsidRPr="00730DE4">
              <w:rPr>
                <w:rStyle w:val="Strong"/>
              </w:rPr>
              <w:t xml:space="preserve">Transport infrastructure management and </w:t>
            </w:r>
            <w:r w:rsidRPr="00730DE4">
              <w:rPr>
                <w:rStyle w:val="Strong"/>
              </w:rPr>
              <w:br/>
              <w:t xml:space="preserve">delivery </w:t>
            </w:r>
            <w:r w:rsidRPr="00730DE4">
              <w:rPr>
                <w:rStyle w:val="Strong"/>
              </w:rPr>
              <w:br/>
            </w:r>
            <w:r w:rsidRPr="00730DE4">
              <w:rPr>
                <w:rStyle w:val="Strong"/>
              </w:rPr>
              <w:br/>
              <w:t xml:space="preserve">2023 </w:t>
            </w:r>
            <w:r w:rsidRPr="00730DE4">
              <w:rPr>
                <w:rStyle w:val="Strong"/>
              </w:rPr>
              <w:br/>
              <w:t>$'000</w:t>
            </w:r>
          </w:p>
        </w:tc>
        <w:tc>
          <w:tcPr>
            <w:tcW w:w="608" w:type="pct"/>
            <w:tcBorders>
              <w:top w:val="nil"/>
              <w:left w:val="nil"/>
              <w:bottom w:val="single" w:sz="4" w:space="0" w:color="auto"/>
              <w:right w:val="nil"/>
            </w:tcBorders>
            <w:shd w:val="clear" w:color="auto" w:fill="auto"/>
            <w:noWrap/>
            <w:vAlign w:val="bottom"/>
            <w:hideMark/>
          </w:tcPr>
          <w:p w14:paraId="43A271C4" w14:textId="77777777" w:rsidR="00730DE4" w:rsidRPr="00730DE4" w:rsidRDefault="00730DE4" w:rsidP="002729FD">
            <w:pPr>
              <w:pStyle w:val="NoSpacing"/>
              <w:jc w:val="right"/>
              <w:rPr>
                <w:color w:val="080C0F" w:themeColor="text1"/>
              </w:rPr>
            </w:pPr>
            <w:r w:rsidRPr="00730DE4">
              <w:rPr>
                <w:rStyle w:val="Strong"/>
              </w:rPr>
              <w:t>Transport safety and regulation</w:t>
            </w:r>
            <w:r w:rsidRPr="00730DE4">
              <w:rPr>
                <w:rStyle w:val="Strong"/>
              </w:rPr>
              <w:br/>
              <w:t xml:space="preserve"> </w:t>
            </w:r>
            <w:r w:rsidRPr="00730DE4">
              <w:rPr>
                <w:rStyle w:val="Strong"/>
              </w:rPr>
              <w:br/>
            </w:r>
            <w:r w:rsidRPr="00730DE4">
              <w:rPr>
                <w:rStyle w:val="Strong"/>
              </w:rPr>
              <w:br/>
              <w:t xml:space="preserve">2023 </w:t>
            </w:r>
            <w:r w:rsidRPr="00730DE4">
              <w:rPr>
                <w:rStyle w:val="Strong"/>
              </w:rPr>
              <w:br/>
              <w:t>$'000</w:t>
            </w:r>
          </w:p>
        </w:tc>
        <w:tc>
          <w:tcPr>
            <w:tcW w:w="608" w:type="pct"/>
            <w:tcBorders>
              <w:top w:val="nil"/>
              <w:left w:val="nil"/>
              <w:bottom w:val="single" w:sz="4" w:space="0" w:color="auto"/>
              <w:right w:val="nil"/>
            </w:tcBorders>
            <w:shd w:val="clear" w:color="auto" w:fill="auto"/>
            <w:noWrap/>
            <w:vAlign w:val="bottom"/>
            <w:hideMark/>
          </w:tcPr>
          <w:p w14:paraId="49F34691" w14:textId="77777777" w:rsidR="00730DE4" w:rsidRPr="00730DE4" w:rsidRDefault="00730DE4" w:rsidP="002729FD">
            <w:pPr>
              <w:pStyle w:val="NoSpacing"/>
              <w:jc w:val="right"/>
              <w:rPr>
                <w:color w:val="080C0F" w:themeColor="text1"/>
              </w:rPr>
            </w:pPr>
            <w:r w:rsidRPr="00730DE4">
              <w:rPr>
                <w:rStyle w:val="Strong"/>
              </w:rPr>
              <w:t>Customer experience</w:t>
            </w:r>
            <w:r w:rsidRPr="00730DE4">
              <w:rPr>
                <w:rStyle w:val="Strong"/>
              </w:rPr>
              <w:br/>
            </w:r>
            <w:r w:rsidRPr="00730DE4">
              <w:rPr>
                <w:rStyle w:val="Strong"/>
              </w:rPr>
              <w:br/>
              <w:t xml:space="preserve"> </w:t>
            </w:r>
            <w:r w:rsidRPr="00730DE4">
              <w:rPr>
                <w:rStyle w:val="Strong"/>
              </w:rPr>
              <w:br/>
            </w:r>
            <w:r w:rsidRPr="00730DE4">
              <w:rPr>
                <w:rStyle w:val="Strong"/>
              </w:rPr>
              <w:br/>
              <w:t xml:space="preserve">2023 </w:t>
            </w:r>
            <w:r w:rsidRPr="00730DE4">
              <w:rPr>
                <w:rStyle w:val="Strong"/>
              </w:rPr>
              <w:br/>
              <w:t>$'000</w:t>
            </w:r>
          </w:p>
        </w:tc>
        <w:tc>
          <w:tcPr>
            <w:tcW w:w="608" w:type="pct"/>
            <w:tcBorders>
              <w:top w:val="nil"/>
              <w:left w:val="nil"/>
              <w:bottom w:val="single" w:sz="4" w:space="0" w:color="auto"/>
              <w:right w:val="nil"/>
            </w:tcBorders>
            <w:shd w:val="clear" w:color="auto" w:fill="auto"/>
            <w:noWrap/>
            <w:vAlign w:val="bottom"/>
            <w:hideMark/>
          </w:tcPr>
          <w:p w14:paraId="14E704C4" w14:textId="77777777" w:rsidR="00730DE4" w:rsidRPr="00730DE4" w:rsidRDefault="00730DE4" w:rsidP="002729FD">
            <w:pPr>
              <w:pStyle w:val="NoSpacing"/>
              <w:jc w:val="right"/>
              <w:rPr>
                <w:color w:val="080C0F" w:themeColor="text1"/>
              </w:rPr>
            </w:pPr>
            <w:r w:rsidRPr="00730DE4">
              <w:rPr>
                <w:rStyle w:val="Strong"/>
              </w:rPr>
              <w:t>Passenger transport services</w:t>
            </w:r>
            <w:r w:rsidRPr="00730DE4">
              <w:rPr>
                <w:rStyle w:val="Strong"/>
              </w:rPr>
              <w:br/>
              <w:t xml:space="preserve"> </w:t>
            </w:r>
            <w:r w:rsidRPr="00730DE4">
              <w:rPr>
                <w:rStyle w:val="Strong"/>
              </w:rPr>
              <w:br/>
            </w:r>
            <w:r w:rsidRPr="00730DE4">
              <w:rPr>
                <w:rStyle w:val="Strong"/>
              </w:rPr>
              <w:br/>
              <w:t xml:space="preserve">2023 </w:t>
            </w:r>
            <w:r w:rsidRPr="00730DE4">
              <w:rPr>
                <w:rStyle w:val="Strong"/>
              </w:rPr>
              <w:br/>
              <w:t>$'000</w:t>
            </w:r>
          </w:p>
        </w:tc>
        <w:tc>
          <w:tcPr>
            <w:tcW w:w="608" w:type="pct"/>
            <w:tcBorders>
              <w:top w:val="nil"/>
              <w:left w:val="nil"/>
              <w:bottom w:val="single" w:sz="4" w:space="0" w:color="auto"/>
              <w:right w:val="nil"/>
            </w:tcBorders>
            <w:shd w:val="clear" w:color="auto" w:fill="auto"/>
            <w:noWrap/>
            <w:vAlign w:val="bottom"/>
            <w:hideMark/>
          </w:tcPr>
          <w:p w14:paraId="7DAE8FBE" w14:textId="77777777" w:rsidR="00730DE4" w:rsidRPr="00730DE4" w:rsidRDefault="00730DE4" w:rsidP="002729FD">
            <w:pPr>
              <w:pStyle w:val="NoSpacing"/>
              <w:jc w:val="right"/>
              <w:rPr>
                <w:color w:val="080C0F" w:themeColor="text1"/>
              </w:rPr>
            </w:pPr>
            <w:r w:rsidRPr="00730DE4">
              <w:rPr>
                <w:rStyle w:val="Strong"/>
              </w:rPr>
              <w:t xml:space="preserve">Transport infrastructure construction and maintenance </w:t>
            </w:r>
            <w:r w:rsidRPr="00730DE4">
              <w:rPr>
                <w:rStyle w:val="Strong"/>
              </w:rPr>
              <w:br/>
            </w:r>
            <w:r w:rsidRPr="00730DE4">
              <w:br/>
            </w:r>
            <w:r w:rsidRPr="00730DE4">
              <w:rPr>
                <w:rStyle w:val="Strong"/>
              </w:rPr>
              <w:t xml:space="preserve">2023 </w:t>
            </w:r>
            <w:r w:rsidRPr="00730DE4">
              <w:rPr>
                <w:rStyle w:val="Strong"/>
              </w:rPr>
              <w:br/>
              <w:t>$'000</w:t>
            </w:r>
          </w:p>
        </w:tc>
      </w:tr>
      <w:tr w:rsidR="00730DE4" w:rsidRPr="00730DE4" w14:paraId="5C500381" w14:textId="77777777" w:rsidTr="00193BC7">
        <w:trPr>
          <w:trHeight w:val="340"/>
        </w:trPr>
        <w:tc>
          <w:tcPr>
            <w:tcW w:w="1352"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vAlign w:val="bottom"/>
          </w:tcPr>
          <w:p w14:paraId="5E64CE56" w14:textId="77777777" w:rsidR="00730DE4" w:rsidRPr="00730DE4" w:rsidRDefault="00730DE4" w:rsidP="002729FD">
            <w:pPr>
              <w:pStyle w:val="NoSpacing"/>
              <w:rPr>
                <w:rStyle w:val="Strong"/>
              </w:rPr>
            </w:pPr>
            <w:r w:rsidRPr="00730DE4">
              <w:rPr>
                <w:rStyle w:val="Strong"/>
              </w:rPr>
              <w:t>Income</w:t>
            </w: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5C4C9567" w14:textId="77777777" w:rsidR="00730DE4" w:rsidRPr="00730DE4" w:rsidRDefault="00730DE4" w:rsidP="002729FD">
            <w:pPr>
              <w:pStyle w:val="NoSpacing"/>
              <w:jc w:val="right"/>
              <w:rPr>
                <w:rStyle w:val="Strong"/>
              </w:rPr>
            </w:pP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010C7A4C" w14:textId="77777777" w:rsidR="00730DE4" w:rsidRPr="00730DE4" w:rsidRDefault="00730DE4" w:rsidP="002729FD">
            <w:pPr>
              <w:pStyle w:val="NoSpacing"/>
              <w:jc w:val="right"/>
              <w:rPr>
                <w:rStyle w:val="Strong"/>
              </w:rPr>
            </w:pP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56BC5BF9" w14:textId="77777777" w:rsidR="00730DE4" w:rsidRPr="00730DE4" w:rsidRDefault="00730DE4" w:rsidP="002729FD">
            <w:pPr>
              <w:pStyle w:val="NoSpacing"/>
              <w:jc w:val="right"/>
              <w:rPr>
                <w:rStyle w:val="Strong"/>
              </w:rPr>
            </w:pP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1321394D" w14:textId="77777777" w:rsidR="00730DE4" w:rsidRPr="00730DE4" w:rsidRDefault="00730DE4" w:rsidP="002729FD">
            <w:pPr>
              <w:pStyle w:val="NoSpacing"/>
              <w:jc w:val="right"/>
              <w:rPr>
                <w:rStyle w:val="Strong"/>
              </w:rPr>
            </w:pP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7C9FF5BE" w14:textId="77777777" w:rsidR="00730DE4" w:rsidRPr="00730DE4" w:rsidRDefault="00730DE4" w:rsidP="002729FD">
            <w:pPr>
              <w:pStyle w:val="NoSpacing"/>
              <w:jc w:val="right"/>
              <w:rPr>
                <w:rStyle w:val="Strong"/>
              </w:rPr>
            </w:pPr>
          </w:p>
        </w:tc>
        <w:tc>
          <w:tcPr>
            <w:tcW w:w="608"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vAlign w:val="bottom"/>
          </w:tcPr>
          <w:p w14:paraId="1FA371C3" w14:textId="77777777" w:rsidR="00730DE4" w:rsidRPr="00730DE4" w:rsidRDefault="00730DE4" w:rsidP="002729FD">
            <w:pPr>
              <w:pStyle w:val="NoSpacing"/>
              <w:jc w:val="right"/>
              <w:rPr>
                <w:rStyle w:val="Strong"/>
              </w:rPr>
            </w:pPr>
          </w:p>
        </w:tc>
      </w:tr>
      <w:tr w:rsidR="00730DE4" w:rsidRPr="00730DE4" w14:paraId="6435FCDE" w14:textId="77777777" w:rsidTr="00193BC7">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04A35883" w14:textId="77777777" w:rsidR="00730DE4" w:rsidRPr="00730DE4" w:rsidRDefault="00730DE4" w:rsidP="006007A6">
            <w:pPr>
              <w:pStyle w:val="NoSpacingIndent"/>
            </w:pPr>
            <w:r w:rsidRPr="00730DE4">
              <w:t>Appropriation revenue</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9875B9B" w14:textId="77777777" w:rsidR="00730DE4" w:rsidRPr="00730DE4" w:rsidRDefault="00730DE4" w:rsidP="002729FD">
            <w:pPr>
              <w:pStyle w:val="NoSpacing"/>
              <w:jc w:val="right"/>
              <w:rPr>
                <w:color w:val="080C0F" w:themeColor="text1"/>
              </w:rPr>
            </w:pPr>
            <w:r w:rsidRPr="00730DE4">
              <w:rPr>
                <w:color w:val="080C0F" w:themeColor="text1"/>
              </w:rPr>
              <w:t xml:space="preserve">119,472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8D1FDC3" w14:textId="77777777" w:rsidR="00730DE4" w:rsidRPr="00730DE4" w:rsidRDefault="00730DE4" w:rsidP="002729FD">
            <w:pPr>
              <w:pStyle w:val="NoSpacing"/>
              <w:jc w:val="right"/>
              <w:rPr>
                <w:color w:val="080C0F" w:themeColor="text1"/>
              </w:rPr>
            </w:pPr>
            <w:r w:rsidRPr="00730DE4">
              <w:rPr>
                <w:color w:val="080C0F" w:themeColor="text1"/>
              </w:rPr>
              <w:t xml:space="preserve">2,625,581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B00DB03" w14:textId="77777777" w:rsidR="00730DE4" w:rsidRPr="00730DE4" w:rsidRDefault="00730DE4" w:rsidP="002729FD">
            <w:pPr>
              <w:pStyle w:val="NoSpacing"/>
              <w:jc w:val="right"/>
              <w:rPr>
                <w:color w:val="080C0F" w:themeColor="text1"/>
              </w:rPr>
            </w:pPr>
            <w:r w:rsidRPr="00730DE4">
              <w:rPr>
                <w:color w:val="080C0F" w:themeColor="text1"/>
              </w:rPr>
              <w:t xml:space="preserve">33,984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ADECC46" w14:textId="77777777" w:rsidR="00730DE4" w:rsidRPr="00730DE4" w:rsidRDefault="00730DE4" w:rsidP="002729FD">
            <w:pPr>
              <w:pStyle w:val="NoSpacing"/>
              <w:jc w:val="right"/>
              <w:rPr>
                <w:color w:val="080C0F" w:themeColor="text1"/>
              </w:rPr>
            </w:pPr>
            <w:r w:rsidRPr="00730DE4">
              <w:rPr>
                <w:color w:val="080C0F" w:themeColor="text1"/>
              </w:rPr>
              <w:t xml:space="preserve">398,092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04F462A" w14:textId="77777777" w:rsidR="00730DE4" w:rsidRPr="00730DE4" w:rsidRDefault="00730DE4" w:rsidP="002729FD">
            <w:pPr>
              <w:pStyle w:val="NoSpacing"/>
              <w:jc w:val="right"/>
              <w:rPr>
                <w:color w:val="080C0F" w:themeColor="text1"/>
              </w:rPr>
            </w:pPr>
            <w:r w:rsidRPr="00730DE4">
              <w:rPr>
                <w:color w:val="080C0F" w:themeColor="text1"/>
              </w:rPr>
              <w:t xml:space="preserve">3,180,773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C437D98" w14:textId="77777777" w:rsidR="00730DE4" w:rsidRPr="00730DE4" w:rsidRDefault="00730DE4" w:rsidP="002729FD">
            <w:pPr>
              <w:pStyle w:val="NoSpacing"/>
              <w:jc w:val="right"/>
              <w:rPr>
                <w:color w:val="080C0F" w:themeColor="text1"/>
              </w:rPr>
            </w:pPr>
            <w:r w:rsidRPr="00730DE4">
              <w:rPr>
                <w:color w:val="080C0F" w:themeColor="text1"/>
              </w:rPr>
              <w:t xml:space="preserve">- </w:t>
            </w:r>
          </w:p>
        </w:tc>
      </w:tr>
      <w:tr w:rsidR="00730DE4" w:rsidRPr="00730DE4" w14:paraId="1CDCC371" w14:textId="77777777" w:rsidTr="00193BC7">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0632C9E3" w14:textId="77777777" w:rsidR="00730DE4" w:rsidRPr="00730DE4" w:rsidRDefault="00730DE4" w:rsidP="006007A6">
            <w:pPr>
              <w:pStyle w:val="NoSpacingIndent"/>
            </w:pPr>
            <w:r w:rsidRPr="00730DE4">
              <w:t>User charges and fees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577B8E4" w14:textId="77777777" w:rsidR="00730DE4" w:rsidRPr="00730DE4" w:rsidRDefault="00730DE4" w:rsidP="002729FD">
            <w:pPr>
              <w:pStyle w:val="NoSpacing"/>
              <w:jc w:val="right"/>
              <w:rPr>
                <w:color w:val="080C0F" w:themeColor="text1"/>
              </w:rPr>
            </w:pPr>
            <w:r w:rsidRPr="00730DE4">
              <w:rPr>
                <w:color w:val="080C0F" w:themeColor="text1"/>
              </w:rPr>
              <w:t xml:space="preserve">37,897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CFD0235" w14:textId="77777777" w:rsidR="00730DE4" w:rsidRPr="00730DE4" w:rsidRDefault="00730DE4" w:rsidP="002729FD">
            <w:pPr>
              <w:pStyle w:val="NoSpacing"/>
              <w:jc w:val="right"/>
              <w:rPr>
                <w:color w:val="080C0F" w:themeColor="text1"/>
              </w:rPr>
            </w:pPr>
            <w:r w:rsidRPr="00730DE4">
              <w:rPr>
                <w:color w:val="080C0F" w:themeColor="text1"/>
              </w:rPr>
              <w:t xml:space="preserve">63,670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14A7D00" w14:textId="77777777" w:rsidR="00730DE4" w:rsidRPr="00730DE4" w:rsidRDefault="00730DE4" w:rsidP="002729FD">
            <w:pPr>
              <w:pStyle w:val="NoSpacing"/>
              <w:jc w:val="right"/>
              <w:rPr>
                <w:color w:val="080C0F" w:themeColor="text1"/>
              </w:rPr>
            </w:pPr>
            <w:r w:rsidRPr="00730DE4">
              <w:rPr>
                <w:color w:val="080C0F" w:themeColor="text1"/>
              </w:rPr>
              <w:t xml:space="preserve">299,771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1AA495C" w14:textId="77777777" w:rsidR="00730DE4" w:rsidRPr="00730DE4" w:rsidRDefault="00730DE4" w:rsidP="002729FD">
            <w:pPr>
              <w:pStyle w:val="NoSpacing"/>
              <w:jc w:val="right"/>
              <w:rPr>
                <w:color w:val="080C0F" w:themeColor="text1"/>
              </w:rPr>
            </w:pPr>
            <w:r w:rsidRPr="00730DE4">
              <w:rPr>
                <w:color w:val="080C0F" w:themeColor="text1"/>
              </w:rPr>
              <w:t xml:space="preserve">17,483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CCD1886" w14:textId="77777777" w:rsidR="00730DE4" w:rsidRPr="00730DE4" w:rsidRDefault="00730DE4" w:rsidP="002729FD">
            <w:pPr>
              <w:pStyle w:val="NoSpacing"/>
              <w:jc w:val="right"/>
              <w:rPr>
                <w:color w:val="080C0F" w:themeColor="text1"/>
              </w:rPr>
            </w:pPr>
            <w:r w:rsidRPr="00730DE4">
              <w:rPr>
                <w:color w:val="080C0F" w:themeColor="text1"/>
              </w:rPr>
              <w:t xml:space="preserve">315,211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332BF2C" w14:textId="77777777" w:rsidR="00730DE4" w:rsidRPr="00730DE4" w:rsidRDefault="00730DE4" w:rsidP="002729FD">
            <w:pPr>
              <w:pStyle w:val="NoSpacing"/>
              <w:jc w:val="right"/>
              <w:rPr>
                <w:color w:val="080C0F" w:themeColor="text1"/>
              </w:rPr>
            </w:pPr>
            <w:r w:rsidRPr="00730DE4">
              <w:rPr>
                <w:color w:val="080C0F" w:themeColor="text1"/>
              </w:rPr>
              <w:t xml:space="preserve">816,446 </w:t>
            </w:r>
          </w:p>
        </w:tc>
      </w:tr>
      <w:tr w:rsidR="00730DE4" w:rsidRPr="00730DE4" w14:paraId="5745530D" w14:textId="77777777" w:rsidTr="00193BC7">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5C429254" w14:textId="77777777" w:rsidR="00730DE4" w:rsidRPr="00730DE4" w:rsidRDefault="00730DE4" w:rsidP="006007A6">
            <w:pPr>
              <w:pStyle w:val="NoSpacingIndent"/>
            </w:pPr>
            <w:r w:rsidRPr="00730DE4">
              <w:t xml:space="preserve">Grants and other contributions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0F476EA" w14:textId="77777777" w:rsidR="00730DE4" w:rsidRPr="00730DE4" w:rsidRDefault="00730DE4" w:rsidP="002729FD">
            <w:pPr>
              <w:pStyle w:val="NoSpacing"/>
              <w:jc w:val="right"/>
              <w:rPr>
                <w:color w:val="080C0F" w:themeColor="text1"/>
              </w:rPr>
            </w:pPr>
            <w:r w:rsidRPr="00730DE4">
              <w:rPr>
                <w:color w:val="080C0F" w:themeColor="text1"/>
              </w:rPr>
              <w:t xml:space="preserve">259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D828CAE" w14:textId="77777777" w:rsidR="00730DE4" w:rsidRPr="00730DE4" w:rsidRDefault="00730DE4" w:rsidP="002729FD">
            <w:pPr>
              <w:pStyle w:val="NoSpacing"/>
              <w:jc w:val="right"/>
              <w:rPr>
                <w:color w:val="080C0F" w:themeColor="text1"/>
              </w:rPr>
            </w:pPr>
            <w:r w:rsidRPr="00730DE4">
              <w:rPr>
                <w:color w:val="080C0F" w:themeColor="text1"/>
              </w:rPr>
              <w:t xml:space="preserve">211,807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45BC65A" w14:textId="77777777" w:rsidR="00730DE4" w:rsidRPr="00730DE4" w:rsidRDefault="00730DE4" w:rsidP="002729FD">
            <w:pPr>
              <w:pStyle w:val="NoSpacing"/>
              <w:jc w:val="right"/>
              <w:rPr>
                <w:color w:val="080C0F" w:themeColor="text1"/>
              </w:rPr>
            </w:pPr>
            <w:r w:rsidRPr="00730DE4">
              <w:rPr>
                <w:color w:val="080C0F" w:themeColor="text1"/>
              </w:rPr>
              <w:t xml:space="preserve">3,685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FD55983" w14:textId="77777777" w:rsidR="00730DE4" w:rsidRPr="00730DE4" w:rsidRDefault="00730DE4" w:rsidP="002729FD">
            <w:pPr>
              <w:pStyle w:val="NoSpacing"/>
              <w:jc w:val="right"/>
              <w:rPr>
                <w:color w:val="080C0F" w:themeColor="text1"/>
              </w:rPr>
            </w:pPr>
            <w:r w:rsidRPr="00730DE4">
              <w:rPr>
                <w:color w:val="080C0F" w:themeColor="text1"/>
              </w:rPr>
              <w:t xml:space="preserve">720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6D7E93C" w14:textId="77777777" w:rsidR="00730DE4" w:rsidRPr="00730DE4" w:rsidRDefault="00730DE4" w:rsidP="002729FD">
            <w:pPr>
              <w:pStyle w:val="NoSpacing"/>
              <w:jc w:val="right"/>
              <w:rPr>
                <w:color w:val="080C0F" w:themeColor="text1"/>
              </w:rPr>
            </w:pPr>
            <w:r w:rsidRPr="00730DE4">
              <w:rPr>
                <w:color w:val="080C0F" w:themeColor="text1"/>
              </w:rPr>
              <w:t xml:space="preserve">59,593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41B52D3" w14:textId="77777777" w:rsidR="00730DE4" w:rsidRPr="00730DE4" w:rsidRDefault="00730DE4" w:rsidP="002729FD">
            <w:pPr>
              <w:pStyle w:val="NoSpacing"/>
              <w:jc w:val="right"/>
              <w:rPr>
                <w:color w:val="080C0F" w:themeColor="text1"/>
              </w:rPr>
            </w:pPr>
            <w:r w:rsidRPr="00730DE4">
              <w:rPr>
                <w:color w:val="080C0F" w:themeColor="text1"/>
              </w:rPr>
              <w:t xml:space="preserve">- </w:t>
            </w:r>
          </w:p>
        </w:tc>
      </w:tr>
      <w:tr w:rsidR="00730DE4" w:rsidRPr="00730DE4" w14:paraId="28B446FD" w14:textId="77777777" w:rsidTr="00193BC7">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198FF0DE" w14:textId="77777777" w:rsidR="00730DE4" w:rsidRPr="00730DE4" w:rsidRDefault="00730DE4" w:rsidP="006007A6">
            <w:pPr>
              <w:pStyle w:val="NoSpacingIndent"/>
            </w:pPr>
            <w:r w:rsidRPr="00730DE4">
              <w:t>Service concession arrangements revenue</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21831A4" w14:textId="77777777" w:rsidR="00730DE4" w:rsidRPr="00730DE4" w:rsidRDefault="00730DE4" w:rsidP="002729FD">
            <w:pPr>
              <w:pStyle w:val="NoSpacing"/>
              <w:jc w:val="right"/>
              <w:rPr>
                <w:color w:val="080C0F" w:themeColor="text1"/>
              </w:rPr>
            </w:pPr>
            <w:r w:rsidRPr="00730DE4">
              <w:rPr>
                <w:color w:val="080C0F" w:themeColor="text1"/>
              </w:rPr>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53534E0" w14:textId="77777777" w:rsidR="00730DE4" w:rsidRPr="00730DE4" w:rsidRDefault="00730DE4" w:rsidP="002729FD">
            <w:pPr>
              <w:pStyle w:val="NoSpacing"/>
              <w:jc w:val="right"/>
              <w:rPr>
                <w:color w:val="080C0F" w:themeColor="text1"/>
              </w:rPr>
            </w:pPr>
            <w:r w:rsidRPr="00730DE4">
              <w:rPr>
                <w:color w:val="080C0F" w:themeColor="text1"/>
              </w:rPr>
              <w:t xml:space="preserve">223,020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53A361D" w14:textId="77777777" w:rsidR="00730DE4" w:rsidRPr="00730DE4" w:rsidRDefault="00730DE4" w:rsidP="002729FD">
            <w:pPr>
              <w:pStyle w:val="NoSpacing"/>
              <w:jc w:val="right"/>
              <w:rPr>
                <w:color w:val="080C0F" w:themeColor="text1"/>
              </w:rPr>
            </w:pPr>
            <w:r w:rsidRPr="00730DE4">
              <w:rPr>
                <w:color w:val="080C0F" w:themeColor="text1"/>
              </w:rPr>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53ACDFA" w14:textId="77777777" w:rsidR="00730DE4" w:rsidRPr="00730DE4" w:rsidRDefault="00730DE4" w:rsidP="002729FD">
            <w:pPr>
              <w:pStyle w:val="NoSpacing"/>
              <w:jc w:val="right"/>
              <w:rPr>
                <w:color w:val="080C0F" w:themeColor="text1"/>
              </w:rPr>
            </w:pPr>
            <w:r w:rsidRPr="00730DE4">
              <w:rPr>
                <w:color w:val="080C0F" w:themeColor="text1"/>
              </w:rPr>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BFCC8B0" w14:textId="77777777" w:rsidR="00730DE4" w:rsidRPr="00730DE4" w:rsidRDefault="00730DE4" w:rsidP="002729FD">
            <w:pPr>
              <w:pStyle w:val="NoSpacing"/>
              <w:jc w:val="right"/>
              <w:rPr>
                <w:color w:val="080C0F" w:themeColor="text1"/>
              </w:rPr>
            </w:pPr>
            <w:r w:rsidRPr="00730DE4">
              <w:rPr>
                <w:color w:val="080C0F" w:themeColor="text1"/>
              </w:rPr>
              <w:t xml:space="preserve">9,160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BABCBC0" w14:textId="77777777" w:rsidR="00730DE4" w:rsidRPr="00730DE4" w:rsidRDefault="00730DE4" w:rsidP="002729FD">
            <w:pPr>
              <w:pStyle w:val="NoSpacing"/>
              <w:jc w:val="right"/>
              <w:rPr>
                <w:color w:val="080C0F" w:themeColor="text1"/>
              </w:rPr>
            </w:pPr>
            <w:r w:rsidRPr="00730DE4">
              <w:rPr>
                <w:color w:val="080C0F" w:themeColor="text1"/>
              </w:rPr>
              <w:t xml:space="preserve">- </w:t>
            </w:r>
          </w:p>
        </w:tc>
      </w:tr>
      <w:tr w:rsidR="00730DE4" w:rsidRPr="00730DE4" w14:paraId="6879E712" w14:textId="77777777" w:rsidTr="00193BC7">
        <w:trPr>
          <w:trHeight w:val="198"/>
        </w:trPr>
        <w:tc>
          <w:tcPr>
            <w:tcW w:w="1352"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vAlign w:val="bottom"/>
          </w:tcPr>
          <w:p w14:paraId="27142144" w14:textId="77777777" w:rsidR="00730DE4" w:rsidRPr="00730DE4" w:rsidRDefault="00730DE4" w:rsidP="006007A6">
            <w:pPr>
              <w:pStyle w:val="NoSpacingIndent"/>
            </w:pPr>
            <w:r w:rsidRPr="00730DE4">
              <w:t>Other revenue</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4A4D00E0" w14:textId="77777777" w:rsidR="00730DE4" w:rsidRPr="00730DE4" w:rsidRDefault="00730DE4" w:rsidP="002729FD">
            <w:pPr>
              <w:pStyle w:val="NoSpacing"/>
              <w:jc w:val="right"/>
              <w:rPr>
                <w:color w:val="080C0F" w:themeColor="text1"/>
              </w:rPr>
            </w:pPr>
            <w:r w:rsidRPr="00730DE4">
              <w:rPr>
                <w:color w:val="080C0F" w:themeColor="text1"/>
              </w:rPr>
              <w:t xml:space="preserve">1,677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07275CAF" w14:textId="77777777" w:rsidR="00730DE4" w:rsidRPr="00730DE4" w:rsidRDefault="00730DE4" w:rsidP="002729FD">
            <w:pPr>
              <w:pStyle w:val="NoSpacing"/>
              <w:jc w:val="right"/>
              <w:rPr>
                <w:color w:val="080C0F" w:themeColor="text1"/>
              </w:rPr>
            </w:pPr>
            <w:r w:rsidRPr="00730DE4">
              <w:rPr>
                <w:color w:val="080C0F" w:themeColor="text1"/>
              </w:rPr>
              <w:t xml:space="preserve">39,414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0C1B47BF" w14:textId="77777777" w:rsidR="00730DE4" w:rsidRPr="00730DE4" w:rsidRDefault="00730DE4" w:rsidP="002729FD">
            <w:pPr>
              <w:pStyle w:val="NoSpacing"/>
              <w:jc w:val="right"/>
              <w:rPr>
                <w:color w:val="080C0F" w:themeColor="text1"/>
              </w:rPr>
            </w:pPr>
            <w:r w:rsidRPr="00730DE4">
              <w:rPr>
                <w:color w:val="080C0F" w:themeColor="text1"/>
              </w:rPr>
              <w:t xml:space="preserve">1,237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0D9C1746" w14:textId="77777777" w:rsidR="00730DE4" w:rsidRPr="00730DE4" w:rsidRDefault="00730DE4" w:rsidP="002729FD">
            <w:pPr>
              <w:pStyle w:val="NoSpacing"/>
              <w:jc w:val="right"/>
              <w:rPr>
                <w:color w:val="080C0F" w:themeColor="text1"/>
              </w:rPr>
            </w:pPr>
            <w:r w:rsidRPr="00730DE4">
              <w:rPr>
                <w:color w:val="080C0F" w:themeColor="text1"/>
              </w:rPr>
              <w:t xml:space="preserve">39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38358457" w14:textId="77777777" w:rsidR="00730DE4" w:rsidRPr="00730DE4" w:rsidRDefault="00730DE4" w:rsidP="002729FD">
            <w:pPr>
              <w:pStyle w:val="NoSpacing"/>
              <w:jc w:val="right"/>
              <w:rPr>
                <w:color w:val="080C0F" w:themeColor="text1"/>
              </w:rPr>
            </w:pPr>
            <w:r w:rsidRPr="00730DE4">
              <w:rPr>
                <w:color w:val="080C0F" w:themeColor="text1"/>
              </w:rPr>
              <w:t xml:space="preserve">9,520 </w:t>
            </w:r>
          </w:p>
        </w:tc>
        <w:tc>
          <w:tcPr>
            <w:tcW w:w="608"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7822C203" w14:textId="77777777" w:rsidR="00730DE4" w:rsidRPr="00730DE4" w:rsidRDefault="00730DE4" w:rsidP="002729FD">
            <w:pPr>
              <w:pStyle w:val="NoSpacing"/>
              <w:jc w:val="right"/>
              <w:rPr>
                <w:color w:val="080C0F" w:themeColor="text1"/>
              </w:rPr>
            </w:pPr>
            <w:r w:rsidRPr="00730DE4">
              <w:rPr>
                <w:color w:val="080C0F" w:themeColor="text1"/>
              </w:rPr>
              <w:t xml:space="preserve">2,876 </w:t>
            </w:r>
          </w:p>
        </w:tc>
      </w:tr>
      <w:tr w:rsidR="00730DE4" w:rsidRPr="00730DE4" w14:paraId="30EA871D" w14:textId="77777777" w:rsidTr="00193BC7">
        <w:trPr>
          <w:trHeight w:val="340"/>
        </w:trPr>
        <w:tc>
          <w:tcPr>
            <w:tcW w:w="1352"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tcPr>
          <w:p w14:paraId="27A292A7" w14:textId="77777777" w:rsidR="00730DE4" w:rsidRPr="00730DE4" w:rsidRDefault="00730DE4" w:rsidP="00E31A99">
            <w:pPr>
              <w:pStyle w:val="NoSpacingIndent"/>
              <w:rPr>
                <w:rStyle w:val="Strong"/>
              </w:rPr>
            </w:pPr>
            <w:r w:rsidRPr="00730DE4">
              <w:rPr>
                <w:rStyle w:val="Strong"/>
              </w:rPr>
              <w:t>Total revenue</w:t>
            </w: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hideMark/>
          </w:tcPr>
          <w:p w14:paraId="22E0E6D6" w14:textId="77777777" w:rsidR="00730DE4" w:rsidRPr="00730DE4" w:rsidRDefault="00730DE4" w:rsidP="00E31A99">
            <w:pPr>
              <w:pStyle w:val="NoSpacing"/>
              <w:jc w:val="right"/>
              <w:rPr>
                <w:color w:val="080C0F" w:themeColor="text1"/>
              </w:rPr>
            </w:pPr>
            <w:r w:rsidRPr="00730DE4">
              <w:rPr>
                <w:rStyle w:val="Strong"/>
              </w:rPr>
              <w:t xml:space="preserve">159,305 </w:t>
            </w: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hideMark/>
          </w:tcPr>
          <w:p w14:paraId="2904753D" w14:textId="77777777" w:rsidR="00730DE4" w:rsidRPr="00730DE4" w:rsidRDefault="00730DE4" w:rsidP="00E31A99">
            <w:pPr>
              <w:pStyle w:val="NoSpacing"/>
              <w:jc w:val="right"/>
              <w:rPr>
                <w:color w:val="080C0F" w:themeColor="text1"/>
              </w:rPr>
            </w:pPr>
            <w:r w:rsidRPr="00730DE4">
              <w:rPr>
                <w:rStyle w:val="Strong"/>
              </w:rPr>
              <w:t xml:space="preserve">3,163,492 </w:t>
            </w: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hideMark/>
          </w:tcPr>
          <w:p w14:paraId="2B12624E" w14:textId="77777777" w:rsidR="00730DE4" w:rsidRPr="00730DE4" w:rsidRDefault="00730DE4" w:rsidP="00E31A99">
            <w:pPr>
              <w:pStyle w:val="NoSpacing"/>
              <w:jc w:val="right"/>
              <w:rPr>
                <w:color w:val="080C0F" w:themeColor="text1"/>
              </w:rPr>
            </w:pPr>
            <w:r w:rsidRPr="00730DE4">
              <w:rPr>
                <w:rStyle w:val="Strong"/>
              </w:rPr>
              <w:t xml:space="preserve">338,677 </w:t>
            </w: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hideMark/>
          </w:tcPr>
          <w:p w14:paraId="7B520633" w14:textId="77777777" w:rsidR="00730DE4" w:rsidRPr="00730DE4" w:rsidRDefault="00730DE4" w:rsidP="00E31A99">
            <w:pPr>
              <w:pStyle w:val="NoSpacing"/>
              <w:jc w:val="right"/>
              <w:rPr>
                <w:color w:val="080C0F" w:themeColor="text1"/>
              </w:rPr>
            </w:pPr>
            <w:r w:rsidRPr="00730DE4">
              <w:rPr>
                <w:rStyle w:val="Strong"/>
              </w:rPr>
              <w:t xml:space="preserve">416,334 </w:t>
            </w: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hideMark/>
          </w:tcPr>
          <w:p w14:paraId="14C4D7C1" w14:textId="77777777" w:rsidR="00730DE4" w:rsidRPr="00730DE4" w:rsidRDefault="00730DE4" w:rsidP="00E31A99">
            <w:pPr>
              <w:pStyle w:val="NoSpacing"/>
              <w:jc w:val="right"/>
              <w:rPr>
                <w:color w:val="080C0F" w:themeColor="text1"/>
              </w:rPr>
            </w:pPr>
            <w:r w:rsidRPr="00730DE4">
              <w:rPr>
                <w:rStyle w:val="Strong"/>
              </w:rPr>
              <w:t xml:space="preserve">3,574,257 </w:t>
            </w:r>
          </w:p>
        </w:tc>
        <w:tc>
          <w:tcPr>
            <w:tcW w:w="608"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hideMark/>
          </w:tcPr>
          <w:p w14:paraId="5E95B917" w14:textId="77777777" w:rsidR="00730DE4" w:rsidRPr="00730DE4" w:rsidRDefault="00730DE4" w:rsidP="00E31A99">
            <w:pPr>
              <w:pStyle w:val="NoSpacing"/>
              <w:jc w:val="right"/>
              <w:rPr>
                <w:rStyle w:val="Strong"/>
              </w:rPr>
            </w:pPr>
            <w:r w:rsidRPr="00730DE4">
              <w:rPr>
                <w:rStyle w:val="Strong"/>
              </w:rPr>
              <w:t xml:space="preserve">819,322 </w:t>
            </w:r>
          </w:p>
        </w:tc>
      </w:tr>
      <w:tr w:rsidR="00730DE4" w:rsidRPr="00730DE4" w14:paraId="0B951EFA" w14:textId="77777777" w:rsidTr="00193BC7">
        <w:trPr>
          <w:trHeight w:val="340"/>
        </w:trPr>
        <w:tc>
          <w:tcPr>
            <w:tcW w:w="1352"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vAlign w:val="bottom"/>
          </w:tcPr>
          <w:p w14:paraId="304E429F" w14:textId="77777777" w:rsidR="00730DE4" w:rsidRPr="00730DE4" w:rsidRDefault="00730DE4" w:rsidP="006007A6">
            <w:pPr>
              <w:pStyle w:val="NoSpacingIndent"/>
            </w:pPr>
            <w:r w:rsidRPr="00730DE4">
              <w:t>Gains on disposal of assets</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455E947E" w14:textId="77777777" w:rsidR="00730DE4" w:rsidRPr="00730DE4" w:rsidRDefault="00730DE4" w:rsidP="002729FD">
            <w:pPr>
              <w:pStyle w:val="NoSpacing"/>
              <w:jc w:val="right"/>
              <w:rPr>
                <w:color w:val="080C0F" w:themeColor="text1"/>
              </w:rPr>
            </w:pPr>
            <w:r w:rsidRPr="00730DE4">
              <w:rPr>
                <w:color w:val="080C0F" w:themeColor="text1"/>
              </w:rPr>
              <w:t xml:space="preserve">905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58739198" w14:textId="77777777" w:rsidR="00730DE4" w:rsidRPr="00730DE4" w:rsidRDefault="00730DE4" w:rsidP="002729FD">
            <w:pPr>
              <w:pStyle w:val="NoSpacing"/>
              <w:jc w:val="right"/>
              <w:rPr>
                <w:color w:val="080C0F" w:themeColor="text1"/>
              </w:rPr>
            </w:pPr>
            <w:r w:rsidRPr="00730DE4">
              <w:rPr>
                <w:color w:val="080C0F" w:themeColor="text1"/>
              </w:rPr>
              <w:t xml:space="preserve">55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64A55CAB" w14:textId="77777777" w:rsidR="00730DE4" w:rsidRPr="00730DE4" w:rsidRDefault="00730DE4" w:rsidP="002729FD">
            <w:pPr>
              <w:pStyle w:val="NoSpacing"/>
              <w:jc w:val="right"/>
              <w:rPr>
                <w:color w:val="080C0F" w:themeColor="text1"/>
              </w:rPr>
            </w:pPr>
            <w:r w:rsidRPr="00730DE4">
              <w:rPr>
                <w:color w:val="080C0F" w:themeColor="text1"/>
              </w:rPr>
              <w:t xml:space="preserve">131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36E0EDE7" w14:textId="77777777" w:rsidR="00730DE4" w:rsidRPr="00730DE4" w:rsidRDefault="00730DE4" w:rsidP="002729FD">
            <w:pPr>
              <w:pStyle w:val="NoSpacing"/>
              <w:jc w:val="right"/>
              <w:rPr>
                <w:color w:val="080C0F" w:themeColor="text1"/>
              </w:rPr>
            </w:pPr>
            <w:r w:rsidRPr="00730DE4">
              <w:rPr>
                <w:color w:val="080C0F" w:themeColor="text1"/>
              </w:rPr>
              <w:t xml:space="preserve">6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6E139254" w14:textId="77777777" w:rsidR="00730DE4" w:rsidRPr="00730DE4" w:rsidRDefault="00730DE4" w:rsidP="002729FD">
            <w:pPr>
              <w:pStyle w:val="NoSpacing"/>
              <w:jc w:val="right"/>
              <w:rPr>
                <w:color w:val="080C0F" w:themeColor="text1"/>
              </w:rPr>
            </w:pPr>
            <w:r w:rsidRPr="00730DE4">
              <w:rPr>
                <w:color w:val="080C0F" w:themeColor="text1"/>
              </w:rPr>
              <w:t xml:space="preserve">48 </w:t>
            </w:r>
          </w:p>
        </w:tc>
        <w:tc>
          <w:tcPr>
            <w:tcW w:w="608"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7FE1916E" w14:textId="77777777" w:rsidR="00730DE4" w:rsidRPr="00730DE4" w:rsidRDefault="00730DE4" w:rsidP="002729FD">
            <w:pPr>
              <w:pStyle w:val="NoSpacing"/>
              <w:jc w:val="right"/>
              <w:rPr>
                <w:color w:val="080C0F" w:themeColor="text1"/>
              </w:rPr>
            </w:pPr>
            <w:r w:rsidRPr="00730DE4">
              <w:rPr>
                <w:color w:val="080C0F" w:themeColor="text1"/>
              </w:rPr>
              <w:t xml:space="preserve">1,497 </w:t>
            </w:r>
          </w:p>
        </w:tc>
      </w:tr>
      <w:tr w:rsidR="00730DE4" w:rsidRPr="00730DE4" w14:paraId="5AED5D00" w14:textId="77777777" w:rsidTr="00193BC7">
        <w:trPr>
          <w:trHeight w:val="340"/>
        </w:trPr>
        <w:tc>
          <w:tcPr>
            <w:tcW w:w="1352" w:type="pct"/>
            <w:tcBorders>
              <w:top w:val="single" w:sz="4" w:space="0" w:color="auto"/>
              <w:left w:val="nil"/>
              <w:right w:val="dotted" w:sz="4" w:space="0" w:color="BFBFBF" w:themeColor="background1" w:themeShade="BF"/>
            </w:tcBorders>
            <w:shd w:val="clear" w:color="auto" w:fill="auto"/>
          </w:tcPr>
          <w:p w14:paraId="72D21397" w14:textId="77777777" w:rsidR="00730DE4" w:rsidRPr="00730DE4" w:rsidRDefault="00730DE4" w:rsidP="00E31A99">
            <w:pPr>
              <w:pStyle w:val="NoSpacingIndent"/>
              <w:rPr>
                <w:rStyle w:val="Strong"/>
              </w:rPr>
            </w:pPr>
            <w:r w:rsidRPr="00730DE4">
              <w:rPr>
                <w:rStyle w:val="Strong"/>
              </w:rPr>
              <w:t>Total income</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00467F98" w14:textId="77777777" w:rsidR="00730DE4" w:rsidRPr="00730DE4" w:rsidRDefault="00730DE4" w:rsidP="00E31A99">
            <w:pPr>
              <w:pStyle w:val="NoSpacing"/>
              <w:jc w:val="right"/>
              <w:rPr>
                <w:color w:val="080C0F" w:themeColor="text1"/>
              </w:rPr>
            </w:pPr>
            <w:r w:rsidRPr="00730DE4">
              <w:rPr>
                <w:rStyle w:val="Strong"/>
              </w:rPr>
              <w:t xml:space="preserve">160,210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2B99A7E3" w14:textId="77777777" w:rsidR="00730DE4" w:rsidRPr="00730DE4" w:rsidRDefault="00730DE4" w:rsidP="00E31A99">
            <w:pPr>
              <w:pStyle w:val="NoSpacing"/>
              <w:jc w:val="right"/>
              <w:rPr>
                <w:color w:val="080C0F" w:themeColor="text1"/>
              </w:rPr>
            </w:pPr>
            <w:r w:rsidRPr="00730DE4">
              <w:rPr>
                <w:rStyle w:val="Strong"/>
              </w:rPr>
              <w:t xml:space="preserve">3,163,547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40CA75C0" w14:textId="77777777" w:rsidR="00730DE4" w:rsidRPr="00730DE4" w:rsidRDefault="00730DE4" w:rsidP="00E31A99">
            <w:pPr>
              <w:pStyle w:val="NoSpacing"/>
              <w:jc w:val="right"/>
              <w:rPr>
                <w:color w:val="080C0F" w:themeColor="text1"/>
              </w:rPr>
            </w:pPr>
            <w:r w:rsidRPr="00730DE4">
              <w:rPr>
                <w:rStyle w:val="Strong"/>
              </w:rPr>
              <w:t xml:space="preserve">338,808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32141726" w14:textId="77777777" w:rsidR="00730DE4" w:rsidRPr="00730DE4" w:rsidRDefault="00730DE4" w:rsidP="00E31A99">
            <w:pPr>
              <w:pStyle w:val="NoSpacing"/>
              <w:jc w:val="right"/>
              <w:rPr>
                <w:color w:val="080C0F" w:themeColor="text1"/>
              </w:rPr>
            </w:pPr>
            <w:r w:rsidRPr="00730DE4">
              <w:rPr>
                <w:rStyle w:val="Strong"/>
              </w:rPr>
              <w:t xml:space="preserve">416,340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47C8E2D2" w14:textId="77777777" w:rsidR="00730DE4" w:rsidRPr="00730DE4" w:rsidRDefault="00730DE4" w:rsidP="00E31A99">
            <w:pPr>
              <w:pStyle w:val="NoSpacing"/>
              <w:jc w:val="right"/>
              <w:rPr>
                <w:color w:val="080C0F" w:themeColor="text1"/>
              </w:rPr>
            </w:pPr>
            <w:r w:rsidRPr="00730DE4">
              <w:rPr>
                <w:rStyle w:val="Strong"/>
              </w:rPr>
              <w:t xml:space="preserve">3,574,305 </w:t>
            </w:r>
          </w:p>
        </w:tc>
        <w:tc>
          <w:tcPr>
            <w:tcW w:w="608" w:type="pct"/>
            <w:tcBorders>
              <w:top w:val="single" w:sz="4" w:space="0" w:color="auto"/>
              <w:left w:val="dotted" w:sz="4" w:space="0" w:color="BFBFBF" w:themeColor="background1" w:themeShade="BF"/>
              <w:right w:val="nil"/>
            </w:tcBorders>
            <w:shd w:val="clear" w:color="auto" w:fill="auto"/>
            <w:noWrap/>
            <w:hideMark/>
          </w:tcPr>
          <w:p w14:paraId="00B28037" w14:textId="77777777" w:rsidR="00730DE4" w:rsidRPr="00730DE4" w:rsidRDefault="00730DE4" w:rsidP="00E31A99">
            <w:pPr>
              <w:pStyle w:val="NoSpacing"/>
              <w:jc w:val="right"/>
              <w:rPr>
                <w:rStyle w:val="Strong"/>
              </w:rPr>
            </w:pPr>
            <w:r w:rsidRPr="00730DE4">
              <w:rPr>
                <w:rStyle w:val="Strong"/>
              </w:rPr>
              <w:t xml:space="preserve">820,819 </w:t>
            </w:r>
          </w:p>
        </w:tc>
      </w:tr>
      <w:tr w:rsidR="00730DE4" w:rsidRPr="00730DE4" w14:paraId="261CAB4C" w14:textId="77777777" w:rsidTr="00193BC7">
        <w:trPr>
          <w:trHeight w:val="340"/>
        </w:trPr>
        <w:tc>
          <w:tcPr>
            <w:tcW w:w="1352" w:type="pct"/>
            <w:tcBorders>
              <w:left w:val="nil"/>
              <w:bottom w:val="dotted" w:sz="4" w:space="0" w:color="BFBFBF" w:themeColor="background1" w:themeShade="BF"/>
              <w:right w:val="dotted" w:sz="4" w:space="0" w:color="BFBFBF" w:themeColor="background1" w:themeShade="BF"/>
            </w:tcBorders>
            <w:shd w:val="clear" w:color="auto" w:fill="auto"/>
            <w:vAlign w:val="bottom"/>
          </w:tcPr>
          <w:p w14:paraId="5F15AA7B" w14:textId="77777777" w:rsidR="00730DE4" w:rsidRPr="00730DE4" w:rsidRDefault="00730DE4" w:rsidP="002729FD">
            <w:pPr>
              <w:pStyle w:val="NoSpacing"/>
              <w:rPr>
                <w:rStyle w:val="Strong"/>
              </w:rPr>
            </w:pPr>
            <w:r w:rsidRPr="00730DE4">
              <w:rPr>
                <w:rStyle w:val="Strong"/>
              </w:rPr>
              <w:t>Expenses</w:t>
            </w:r>
          </w:p>
        </w:tc>
        <w:tc>
          <w:tcPr>
            <w:tcW w:w="608"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D3A220C" w14:textId="77777777" w:rsidR="00730DE4" w:rsidRPr="00730DE4" w:rsidRDefault="00730DE4" w:rsidP="002729FD">
            <w:pPr>
              <w:pStyle w:val="NoSpacing"/>
              <w:jc w:val="right"/>
              <w:rPr>
                <w:rStyle w:val="Strong"/>
              </w:rPr>
            </w:pPr>
          </w:p>
        </w:tc>
        <w:tc>
          <w:tcPr>
            <w:tcW w:w="608"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A391FBF" w14:textId="77777777" w:rsidR="00730DE4" w:rsidRPr="00730DE4" w:rsidRDefault="00730DE4" w:rsidP="002729FD">
            <w:pPr>
              <w:pStyle w:val="NoSpacing"/>
              <w:jc w:val="right"/>
              <w:rPr>
                <w:color w:val="080C0F" w:themeColor="text1"/>
              </w:rPr>
            </w:pPr>
          </w:p>
        </w:tc>
        <w:tc>
          <w:tcPr>
            <w:tcW w:w="608"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C839FC1" w14:textId="77777777" w:rsidR="00730DE4" w:rsidRPr="00730DE4" w:rsidRDefault="00730DE4" w:rsidP="002729FD">
            <w:pPr>
              <w:pStyle w:val="NoSpacing"/>
              <w:jc w:val="right"/>
              <w:rPr>
                <w:color w:val="080C0F" w:themeColor="text1"/>
              </w:rPr>
            </w:pPr>
          </w:p>
        </w:tc>
        <w:tc>
          <w:tcPr>
            <w:tcW w:w="608"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0947FE4" w14:textId="77777777" w:rsidR="00730DE4" w:rsidRPr="00730DE4" w:rsidRDefault="00730DE4" w:rsidP="002729FD">
            <w:pPr>
              <w:pStyle w:val="NoSpacing"/>
              <w:jc w:val="right"/>
              <w:rPr>
                <w:color w:val="080C0F" w:themeColor="text1"/>
              </w:rPr>
            </w:pPr>
          </w:p>
        </w:tc>
        <w:tc>
          <w:tcPr>
            <w:tcW w:w="608"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BFAF9F6" w14:textId="77777777" w:rsidR="00730DE4" w:rsidRPr="00730DE4" w:rsidRDefault="00730DE4" w:rsidP="002729FD">
            <w:pPr>
              <w:pStyle w:val="NoSpacing"/>
              <w:jc w:val="right"/>
              <w:rPr>
                <w:color w:val="080C0F" w:themeColor="text1"/>
              </w:rPr>
            </w:pPr>
          </w:p>
        </w:tc>
        <w:tc>
          <w:tcPr>
            <w:tcW w:w="608" w:type="pct"/>
            <w:tcBorders>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46542BAF" w14:textId="77777777" w:rsidR="00730DE4" w:rsidRPr="00730DE4" w:rsidRDefault="00730DE4" w:rsidP="002729FD">
            <w:pPr>
              <w:pStyle w:val="NoSpacing"/>
              <w:jc w:val="right"/>
              <w:rPr>
                <w:color w:val="080C0F" w:themeColor="text1"/>
              </w:rPr>
            </w:pPr>
          </w:p>
        </w:tc>
      </w:tr>
      <w:tr w:rsidR="00730DE4" w:rsidRPr="00730DE4" w14:paraId="6F01224B" w14:textId="77777777" w:rsidTr="00193BC7">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34E44A77" w14:textId="77777777" w:rsidR="00730DE4" w:rsidRPr="00730DE4" w:rsidRDefault="00730DE4" w:rsidP="006007A6">
            <w:pPr>
              <w:pStyle w:val="NoSpacingIndent"/>
            </w:pPr>
            <w:r w:rsidRPr="00730DE4">
              <w:t>Employee expenses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509987D" w14:textId="77777777" w:rsidR="00730DE4" w:rsidRPr="00730DE4" w:rsidRDefault="00730DE4" w:rsidP="002729FD">
            <w:pPr>
              <w:pStyle w:val="NoSpacing"/>
              <w:jc w:val="right"/>
              <w:rPr>
                <w:color w:val="080C0F" w:themeColor="text1"/>
              </w:rPr>
            </w:pPr>
            <w:r w:rsidRPr="00730DE4">
              <w:rPr>
                <w:color w:val="080C0F" w:themeColor="text1"/>
              </w:rPr>
              <w:t xml:space="preserve">70,878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C2BC468" w14:textId="77777777" w:rsidR="00730DE4" w:rsidRPr="00730DE4" w:rsidRDefault="00730DE4" w:rsidP="002729FD">
            <w:pPr>
              <w:pStyle w:val="NoSpacing"/>
              <w:jc w:val="right"/>
              <w:rPr>
                <w:color w:val="080C0F" w:themeColor="text1"/>
              </w:rPr>
            </w:pPr>
            <w:r w:rsidRPr="00730DE4">
              <w:rPr>
                <w:color w:val="080C0F" w:themeColor="text1"/>
              </w:rPr>
              <w:t xml:space="preserve">195,619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61AB12F" w14:textId="77777777" w:rsidR="00730DE4" w:rsidRPr="00730DE4" w:rsidRDefault="00730DE4" w:rsidP="002729FD">
            <w:pPr>
              <w:pStyle w:val="NoSpacing"/>
              <w:jc w:val="right"/>
              <w:rPr>
                <w:color w:val="080C0F" w:themeColor="text1"/>
              </w:rPr>
            </w:pPr>
            <w:r w:rsidRPr="00730DE4">
              <w:rPr>
                <w:color w:val="080C0F" w:themeColor="text1"/>
              </w:rPr>
              <w:t xml:space="preserve">86,558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90C2507" w14:textId="77777777" w:rsidR="00730DE4" w:rsidRPr="00730DE4" w:rsidRDefault="00730DE4" w:rsidP="002729FD">
            <w:pPr>
              <w:pStyle w:val="NoSpacing"/>
              <w:jc w:val="right"/>
              <w:rPr>
                <w:color w:val="080C0F" w:themeColor="text1"/>
              </w:rPr>
            </w:pPr>
            <w:r w:rsidRPr="00730DE4">
              <w:rPr>
                <w:color w:val="080C0F" w:themeColor="text1"/>
              </w:rPr>
              <w:t xml:space="preserve">198,678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1F545ED" w14:textId="77777777" w:rsidR="00730DE4" w:rsidRPr="00730DE4" w:rsidRDefault="00730DE4" w:rsidP="002729FD">
            <w:pPr>
              <w:pStyle w:val="NoSpacing"/>
              <w:jc w:val="right"/>
              <w:rPr>
                <w:color w:val="080C0F" w:themeColor="text1"/>
              </w:rPr>
            </w:pPr>
            <w:r w:rsidRPr="00730DE4">
              <w:rPr>
                <w:color w:val="080C0F" w:themeColor="text1"/>
              </w:rPr>
              <w:t xml:space="preserve">105,717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9885A68" w14:textId="77777777" w:rsidR="00730DE4" w:rsidRPr="00730DE4" w:rsidRDefault="00730DE4" w:rsidP="002729FD">
            <w:pPr>
              <w:pStyle w:val="NoSpacing"/>
              <w:jc w:val="right"/>
              <w:rPr>
                <w:color w:val="080C0F" w:themeColor="text1"/>
              </w:rPr>
            </w:pPr>
            <w:r w:rsidRPr="00730DE4">
              <w:rPr>
                <w:color w:val="080C0F" w:themeColor="text1"/>
              </w:rPr>
              <w:t xml:space="preserve">163,254 </w:t>
            </w:r>
          </w:p>
        </w:tc>
      </w:tr>
      <w:tr w:rsidR="00730DE4" w:rsidRPr="00730DE4" w14:paraId="79BEE5E7" w14:textId="77777777" w:rsidTr="00193BC7">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198D8146" w14:textId="77777777" w:rsidR="00730DE4" w:rsidRPr="00730DE4" w:rsidRDefault="00730DE4" w:rsidP="006007A6">
            <w:pPr>
              <w:pStyle w:val="NoSpacingIndent"/>
            </w:pPr>
            <w:r w:rsidRPr="00730DE4">
              <w:t xml:space="preserve">Supplies and services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4A50ECD" w14:textId="77777777" w:rsidR="00730DE4" w:rsidRPr="00730DE4" w:rsidRDefault="00730DE4" w:rsidP="002729FD">
            <w:pPr>
              <w:pStyle w:val="NoSpacing"/>
              <w:jc w:val="right"/>
              <w:rPr>
                <w:color w:val="080C0F" w:themeColor="text1"/>
              </w:rPr>
            </w:pPr>
            <w:r w:rsidRPr="00730DE4">
              <w:rPr>
                <w:color w:val="080C0F" w:themeColor="text1"/>
              </w:rPr>
              <w:t xml:space="preserve">33,416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B35CD67" w14:textId="77777777" w:rsidR="00730DE4" w:rsidRPr="00730DE4" w:rsidRDefault="00730DE4" w:rsidP="002729FD">
            <w:pPr>
              <w:pStyle w:val="NoSpacing"/>
              <w:jc w:val="right"/>
              <w:rPr>
                <w:color w:val="080C0F" w:themeColor="text1"/>
              </w:rPr>
            </w:pPr>
            <w:r w:rsidRPr="00730DE4">
              <w:rPr>
                <w:color w:val="080C0F" w:themeColor="text1"/>
              </w:rPr>
              <w:t xml:space="preserve">949,155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A15B6B8" w14:textId="77777777" w:rsidR="00730DE4" w:rsidRPr="00730DE4" w:rsidRDefault="00730DE4" w:rsidP="002729FD">
            <w:pPr>
              <w:pStyle w:val="NoSpacing"/>
              <w:jc w:val="right"/>
              <w:rPr>
                <w:color w:val="080C0F" w:themeColor="text1"/>
              </w:rPr>
            </w:pPr>
            <w:r w:rsidRPr="00730DE4">
              <w:rPr>
                <w:color w:val="080C0F" w:themeColor="text1"/>
              </w:rPr>
              <w:t xml:space="preserve">223,700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E0F8391" w14:textId="77777777" w:rsidR="00730DE4" w:rsidRPr="00730DE4" w:rsidRDefault="00730DE4" w:rsidP="002729FD">
            <w:pPr>
              <w:pStyle w:val="NoSpacing"/>
              <w:jc w:val="right"/>
              <w:rPr>
                <w:color w:val="080C0F" w:themeColor="text1"/>
              </w:rPr>
            </w:pPr>
            <w:r w:rsidRPr="00730DE4">
              <w:rPr>
                <w:color w:val="080C0F" w:themeColor="text1"/>
              </w:rPr>
              <w:t xml:space="preserve">207,884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4371987" w14:textId="77777777" w:rsidR="00730DE4" w:rsidRPr="00730DE4" w:rsidRDefault="00730DE4" w:rsidP="002729FD">
            <w:pPr>
              <w:pStyle w:val="NoSpacing"/>
              <w:jc w:val="right"/>
              <w:rPr>
                <w:color w:val="080C0F" w:themeColor="text1"/>
              </w:rPr>
            </w:pPr>
            <w:r w:rsidRPr="00730DE4">
              <w:rPr>
                <w:color w:val="080C0F" w:themeColor="text1"/>
              </w:rPr>
              <w:t xml:space="preserve">3,157,972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0DB57AB" w14:textId="77777777" w:rsidR="00730DE4" w:rsidRPr="00730DE4" w:rsidRDefault="00730DE4" w:rsidP="002729FD">
            <w:pPr>
              <w:pStyle w:val="NoSpacing"/>
              <w:jc w:val="right"/>
              <w:rPr>
                <w:color w:val="080C0F" w:themeColor="text1"/>
              </w:rPr>
            </w:pPr>
            <w:r w:rsidRPr="00730DE4">
              <w:rPr>
                <w:color w:val="080C0F" w:themeColor="text1"/>
              </w:rPr>
              <w:t xml:space="preserve">613,168 </w:t>
            </w:r>
          </w:p>
        </w:tc>
      </w:tr>
      <w:tr w:rsidR="00730DE4" w:rsidRPr="00730DE4" w14:paraId="2048F07F" w14:textId="77777777" w:rsidTr="00193BC7">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2B86C442" w14:textId="77777777" w:rsidR="00730DE4" w:rsidRPr="00730DE4" w:rsidRDefault="00730DE4" w:rsidP="006007A6">
            <w:pPr>
              <w:pStyle w:val="NoSpacingIndent"/>
            </w:pPr>
            <w:r w:rsidRPr="00730DE4">
              <w:t xml:space="preserve">Grants and subsidies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C23E839" w14:textId="77777777" w:rsidR="00730DE4" w:rsidRPr="00730DE4" w:rsidRDefault="00730DE4" w:rsidP="002729FD">
            <w:pPr>
              <w:pStyle w:val="NoSpacing"/>
              <w:jc w:val="right"/>
              <w:rPr>
                <w:color w:val="080C0F" w:themeColor="text1"/>
              </w:rPr>
            </w:pPr>
            <w:r w:rsidRPr="00730DE4">
              <w:rPr>
                <w:color w:val="080C0F" w:themeColor="text1"/>
              </w:rPr>
              <w:t xml:space="preserve">50,089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890C127" w14:textId="77777777" w:rsidR="00730DE4" w:rsidRPr="00730DE4" w:rsidRDefault="00730DE4" w:rsidP="002729FD">
            <w:pPr>
              <w:pStyle w:val="NoSpacing"/>
              <w:jc w:val="right"/>
              <w:rPr>
                <w:color w:val="080C0F" w:themeColor="text1"/>
              </w:rPr>
            </w:pPr>
            <w:r w:rsidRPr="00730DE4">
              <w:rPr>
                <w:color w:val="080C0F" w:themeColor="text1"/>
              </w:rPr>
              <w:t xml:space="preserve">489,277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44EC51E" w14:textId="77777777" w:rsidR="00730DE4" w:rsidRPr="00730DE4" w:rsidRDefault="00730DE4" w:rsidP="002729FD">
            <w:pPr>
              <w:pStyle w:val="NoSpacing"/>
              <w:jc w:val="right"/>
              <w:rPr>
                <w:color w:val="080C0F" w:themeColor="text1"/>
              </w:rPr>
            </w:pPr>
            <w:r w:rsidRPr="00730DE4">
              <w:rPr>
                <w:color w:val="080C0F" w:themeColor="text1"/>
              </w:rPr>
              <w:t xml:space="preserve">7,654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CECE277" w14:textId="77777777" w:rsidR="00730DE4" w:rsidRPr="00730DE4" w:rsidRDefault="00730DE4" w:rsidP="002729FD">
            <w:pPr>
              <w:pStyle w:val="NoSpacing"/>
              <w:jc w:val="right"/>
              <w:rPr>
                <w:color w:val="080C0F" w:themeColor="text1"/>
              </w:rPr>
            </w:pPr>
            <w:r w:rsidRPr="00730DE4">
              <w:rPr>
                <w:color w:val="080C0F" w:themeColor="text1"/>
              </w:rPr>
              <w:t xml:space="preserve">173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6B8F5E1" w14:textId="77777777" w:rsidR="00730DE4" w:rsidRPr="00730DE4" w:rsidRDefault="00730DE4" w:rsidP="002729FD">
            <w:pPr>
              <w:pStyle w:val="NoSpacing"/>
              <w:jc w:val="right"/>
              <w:rPr>
                <w:color w:val="080C0F" w:themeColor="text1"/>
              </w:rPr>
            </w:pPr>
            <w:r w:rsidRPr="00730DE4">
              <w:rPr>
                <w:color w:val="080C0F" w:themeColor="text1"/>
              </w:rPr>
              <w:t xml:space="preserve">248,999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0BD7BF4" w14:textId="77777777" w:rsidR="00730DE4" w:rsidRPr="00730DE4" w:rsidRDefault="00730DE4" w:rsidP="002729FD">
            <w:pPr>
              <w:pStyle w:val="NoSpacing"/>
              <w:jc w:val="right"/>
              <w:rPr>
                <w:color w:val="080C0F" w:themeColor="text1"/>
              </w:rPr>
            </w:pPr>
            <w:r w:rsidRPr="00730DE4">
              <w:rPr>
                <w:color w:val="080C0F" w:themeColor="text1"/>
              </w:rPr>
              <w:t xml:space="preserve">- </w:t>
            </w:r>
          </w:p>
        </w:tc>
      </w:tr>
      <w:tr w:rsidR="00730DE4" w:rsidRPr="00730DE4" w14:paraId="226866BD" w14:textId="77777777" w:rsidTr="00193BC7">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293EFC19" w14:textId="77777777" w:rsidR="00730DE4" w:rsidRPr="00730DE4" w:rsidRDefault="00730DE4" w:rsidP="006007A6">
            <w:pPr>
              <w:pStyle w:val="NoSpacingIndent"/>
            </w:pPr>
            <w:r w:rsidRPr="00730DE4">
              <w:t>Finance and borrowing costs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05A1B41" w14:textId="77777777" w:rsidR="00730DE4" w:rsidRPr="00730DE4" w:rsidRDefault="00730DE4" w:rsidP="002729FD">
            <w:pPr>
              <w:pStyle w:val="NoSpacing"/>
              <w:jc w:val="right"/>
              <w:rPr>
                <w:color w:val="080C0F" w:themeColor="text1"/>
              </w:rPr>
            </w:pPr>
            <w:r w:rsidRPr="00730DE4">
              <w:rPr>
                <w:color w:val="080C0F" w:themeColor="text1"/>
              </w:rPr>
              <w:t xml:space="preserve">2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BD47417" w14:textId="77777777" w:rsidR="00730DE4" w:rsidRPr="00730DE4" w:rsidRDefault="00730DE4" w:rsidP="002729FD">
            <w:pPr>
              <w:pStyle w:val="NoSpacing"/>
              <w:jc w:val="right"/>
              <w:rPr>
                <w:color w:val="080C0F" w:themeColor="text1"/>
              </w:rPr>
            </w:pPr>
            <w:r w:rsidRPr="00730DE4">
              <w:rPr>
                <w:color w:val="080C0F" w:themeColor="text1"/>
              </w:rPr>
              <w:t xml:space="preserve">25,250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0766A5A" w14:textId="77777777" w:rsidR="00730DE4" w:rsidRPr="00730DE4" w:rsidRDefault="00730DE4" w:rsidP="002729FD">
            <w:pPr>
              <w:pStyle w:val="NoSpacing"/>
              <w:jc w:val="right"/>
              <w:rPr>
                <w:color w:val="080C0F" w:themeColor="text1"/>
              </w:rPr>
            </w:pPr>
            <w:r w:rsidRPr="00730DE4">
              <w:rPr>
                <w:color w:val="080C0F" w:themeColor="text1"/>
              </w:rPr>
              <w:t xml:space="preserve">4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9DAC9EC" w14:textId="77777777" w:rsidR="00730DE4" w:rsidRPr="00730DE4" w:rsidRDefault="00730DE4" w:rsidP="002729FD">
            <w:pPr>
              <w:pStyle w:val="NoSpacing"/>
              <w:jc w:val="right"/>
              <w:rPr>
                <w:color w:val="080C0F" w:themeColor="text1"/>
              </w:rPr>
            </w:pPr>
            <w:r w:rsidRPr="00730DE4">
              <w:rPr>
                <w:color w:val="080C0F" w:themeColor="text1"/>
              </w:rPr>
              <w:t xml:space="preserve">5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9814AA8" w14:textId="77777777" w:rsidR="00730DE4" w:rsidRPr="00730DE4" w:rsidRDefault="00730DE4" w:rsidP="002729FD">
            <w:pPr>
              <w:pStyle w:val="NoSpacing"/>
              <w:jc w:val="right"/>
              <w:rPr>
                <w:color w:val="080C0F" w:themeColor="text1"/>
              </w:rPr>
            </w:pPr>
            <w:r w:rsidRPr="00730DE4">
              <w:rPr>
                <w:color w:val="080C0F" w:themeColor="text1"/>
              </w:rPr>
              <w:t xml:space="preserve">72,309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01A0CC3" w14:textId="77777777" w:rsidR="00730DE4" w:rsidRPr="00730DE4" w:rsidRDefault="00730DE4" w:rsidP="002729FD">
            <w:pPr>
              <w:pStyle w:val="NoSpacing"/>
              <w:jc w:val="right"/>
              <w:rPr>
                <w:color w:val="080C0F" w:themeColor="text1"/>
              </w:rPr>
            </w:pPr>
            <w:r w:rsidRPr="00730DE4">
              <w:rPr>
                <w:color w:val="080C0F" w:themeColor="text1"/>
              </w:rPr>
              <w:t xml:space="preserve">1,719 </w:t>
            </w:r>
          </w:p>
        </w:tc>
      </w:tr>
      <w:tr w:rsidR="00730DE4" w:rsidRPr="00730DE4" w14:paraId="25220949" w14:textId="77777777" w:rsidTr="00193BC7">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1A3A2898" w14:textId="77777777" w:rsidR="00730DE4" w:rsidRPr="00730DE4" w:rsidRDefault="00730DE4" w:rsidP="006007A6">
            <w:pPr>
              <w:pStyle w:val="NoSpacingIndent"/>
            </w:pPr>
            <w:r w:rsidRPr="00730DE4">
              <w:t xml:space="preserve">Depreciation and amortisation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4341115" w14:textId="77777777" w:rsidR="00730DE4" w:rsidRPr="00730DE4" w:rsidRDefault="00730DE4" w:rsidP="002729FD">
            <w:pPr>
              <w:pStyle w:val="NoSpacing"/>
              <w:jc w:val="right"/>
              <w:rPr>
                <w:color w:val="080C0F" w:themeColor="text1"/>
              </w:rPr>
            </w:pPr>
            <w:r w:rsidRPr="00730DE4">
              <w:rPr>
                <w:color w:val="080C0F" w:themeColor="text1"/>
              </w:rPr>
              <w:t xml:space="preserve">4,712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C801F82" w14:textId="77777777" w:rsidR="00730DE4" w:rsidRPr="00730DE4" w:rsidRDefault="00730DE4" w:rsidP="002729FD">
            <w:pPr>
              <w:pStyle w:val="NoSpacing"/>
              <w:jc w:val="right"/>
              <w:rPr>
                <w:color w:val="080C0F" w:themeColor="text1"/>
              </w:rPr>
            </w:pPr>
            <w:r w:rsidRPr="00730DE4">
              <w:rPr>
                <w:color w:val="080C0F" w:themeColor="text1"/>
              </w:rPr>
              <w:t xml:space="preserve">1,367,698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A457FA3" w14:textId="77777777" w:rsidR="00730DE4" w:rsidRPr="00730DE4" w:rsidRDefault="00730DE4" w:rsidP="002729FD">
            <w:pPr>
              <w:pStyle w:val="NoSpacing"/>
              <w:jc w:val="right"/>
              <w:rPr>
                <w:color w:val="080C0F" w:themeColor="text1"/>
              </w:rPr>
            </w:pPr>
            <w:r w:rsidRPr="00730DE4">
              <w:rPr>
                <w:color w:val="080C0F" w:themeColor="text1"/>
              </w:rPr>
              <w:t xml:space="preserve">13,605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73E8002" w14:textId="77777777" w:rsidR="00730DE4" w:rsidRPr="00730DE4" w:rsidRDefault="00730DE4" w:rsidP="002729FD">
            <w:pPr>
              <w:pStyle w:val="NoSpacing"/>
              <w:jc w:val="right"/>
              <w:rPr>
                <w:color w:val="080C0F" w:themeColor="text1"/>
              </w:rPr>
            </w:pPr>
            <w:r w:rsidRPr="00730DE4">
              <w:rPr>
                <w:color w:val="080C0F" w:themeColor="text1"/>
              </w:rPr>
              <w:t xml:space="preserve">4,581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3C1A6DE" w14:textId="77777777" w:rsidR="00730DE4" w:rsidRPr="00730DE4" w:rsidRDefault="00730DE4" w:rsidP="002729FD">
            <w:pPr>
              <w:pStyle w:val="NoSpacing"/>
              <w:jc w:val="right"/>
              <w:rPr>
                <w:color w:val="080C0F" w:themeColor="text1"/>
              </w:rPr>
            </w:pPr>
            <w:r w:rsidRPr="00730DE4">
              <w:rPr>
                <w:color w:val="080C0F" w:themeColor="text1"/>
              </w:rPr>
              <w:t xml:space="preserve">101,669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72B59D6" w14:textId="77777777" w:rsidR="00730DE4" w:rsidRPr="00730DE4" w:rsidRDefault="00730DE4" w:rsidP="002729FD">
            <w:pPr>
              <w:pStyle w:val="NoSpacing"/>
              <w:jc w:val="right"/>
              <w:rPr>
                <w:color w:val="080C0F" w:themeColor="text1"/>
              </w:rPr>
            </w:pPr>
            <w:r w:rsidRPr="00730DE4">
              <w:rPr>
                <w:color w:val="080C0F" w:themeColor="text1"/>
              </w:rPr>
              <w:t xml:space="preserve">11,306 </w:t>
            </w:r>
          </w:p>
        </w:tc>
      </w:tr>
      <w:tr w:rsidR="00730DE4" w:rsidRPr="00730DE4" w14:paraId="5BE02600" w14:textId="77777777" w:rsidTr="00193BC7">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25CB053F" w14:textId="77777777" w:rsidR="00730DE4" w:rsidRPr="00730DE4" w:rsidRDefault="00730DE4" w:rsidP="006007A6">
            <w:pPr>
              <w:pStyle w:val="NoSpacingIndent"/>
            </w:pPr>
            <w:r w:rsidRPr="00730DE4">
              <w:t>Impairment losses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894FF8D" w14:textId="77777777" w:rsidR="00730DE4" w:rsidRPr="00730DE4" w:rsidRDefault="00730DE4" w:rsidP="002729FD">
            <w:pPr>
              <w:pStyle w:val="NoSpacing"/>
              <w:jc w:val="right"/>
              <w:rPr>
                <w:color w:val="080C0F" w:themeColor="text1"/>
              </w:rPr>
            </w:pPr>
            <w:r w:rsidRPr="00730DE4">
              <w:rPr>
                <w:color w:val="080C0F" w:themeColor="text1"/>
              </w:rPr>
              <w:t xml:space="preserve">92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71CB0DF" w14:textId="77777777" w:rsidR="00730DE4" w:rsidRPr="00730DE4" w:rsidRDefault="00730DE4" w:rsidP="002729FD">
            <w:pPr>
              <w:pStyle w:val="NoSpacing"/>
              <w:jc w:val="right"/>
              <w:rPr>
                <w:color w:val="080C0F" w:themeColor="text1"/>
              </w:rPr>
            </w:pPr>
            <w:r w:rsidRPr="00730DE4">
              <w:rPr>
                <w:color w:val="080C0F" w:themeColor="text1"/>
              </w:rPr>
              <w:t xml:space="preserve">1,097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2BA1D2C" w14:textId="77777777" w:rsidR="00730DE4" w:rsidRPr="00730DE4" w:rsidRDefault="00730DE4" w:rsidP="002729FD">
            <w:pPr>
              <w:pStyle w:val="NoSpacing"/>
              <w:jc w:val="right"/>
              <w:rPr>
                <w:color w:val="080C0F" w:themeColor="text1"/>
              </w:rPr>
            </w:pPr>
            <w:r w:rsidRPr="00730DE4">
              <w:rPr>
                <w:color w:val="080C0F" w:themeColor="text1"/>
              </w:rPr>
              <w:t xml:space="preserve">73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8FE09BB" w14:textId="77777777" w:rsidR="00730DE4" w:rsidRPr="00730DE4" w:rsidRDefault="00730DE4" w:rsidP="002729FD">
            <w:pPr>
              <w:pStyle w:val="NoSpacing"/>
              <w:jc w:val="right"/>
              <w:rPr>
                <w:color w:val="080C0F" w:themeColor="text1"/>
              </w:rPr>
            </w:pPr>
            <w:r w:rsidRPr="00730DE4">
              <w:rPr>
                <w:color w:val="080C0F" w:themeColor="text1"/>
              </w:rPr>
              <w:t xml:space="preserve">23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4C848BC" w14:textId="77777777" w:rsidR="00730DE4" w:rsidRPr="00730DE4" w:rsidRDefault="00730DE4" w:rsidP="002729FD">
            <w:pPr>
              <w:pStyle w:val="NoSpacing"/>
              <w:jc w:val="right"/>
              <w:rPr>
                <w:color w:val="080C0F" w:themeColor="text1"/>
              </w:rPr>
            </w:pPr>
            <w:r w:rsidRPr="00730DE4">
              <w:rPr>
                <w:color w:val="080C0F" w:themeColor="text1"/>
              </w:rPr>
              <w:t xml:space="preserve">82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429B5386" w14:textId="77777777" w:rsidR="00730DE4" w:rsidRPr="00730DE4" w:rsidRDefault="00730DE4" w:rsidP="002729FD">
            <w:pPr>
              <w:pStyle w:val="NoSpacing"/>
              <w:jc w:val="right"/>
              <w:rPr>
                <w:color w:val="080C0F" w:themeColor="text1"/>
              </w:rPr>
            </w:pPr>
            <w:r w:rsidRPr="00730DE4">
              <w:rPr>
                <w:color w:val="080C0F" w:themeColor="text1"/>
              </w:rPr>
              <w:t xml:space="preserve">42 </w:t>
            </w:r>
          </w:p>
        </w:tc>
      </w:tr>
      <w:tr w:rsidR="00730DE4" w:rsidRPr="00730DE4" w14:paraId="364849DD" w14:textId="77777777" w:rsidTr="00193BC7">
        <w:trPr>
          <w:trHeight w:val="198"/>
        </w:trPr>
        <w:tc>
          <w:tcPr>
            <w:tcW w:w="1352"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vAlign w:val="bottom"/>
          </w:tcPr>
          <w:p w14:paraId="411EC489" w14:textId="77777777" w:rsidR="00730DE4" w:rsidRPr="00730DE4" w:rsidRDefault="00730DE4" w:rsidP="006007A6">
            <w:pPr>
              <w:pStyle w:val="NoSpacingIndent"/>
            </w:pPr>
            <w:r w:rsidRPr="00730DE4">
              <w:t>Other expenses</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5466A33F" w14:textId="77777777" w:rsidR="00730DE4" w:rsidRPr="00730DE4" w:rsidRDefault="00730DE4" w:rsidP="002729FD">
            <w:pPr>
              <w:pStyle w:val="NoSpacing"/>
              <w:jc w:val="right"/>
              <w:rPr>
                <w:color w:val="080C0F" w:themeColor="text1"/>
              </w:rPr>
            </w:pPr>
            <w:r w:rsidRPr="00730DE4">
              <w:rPr>
                <w:color w:val="080C0F" w:themeColor="text1"/>
              </w:rPr>
              <w:t xml:space="preserve">1,021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00917BD0" w14:textId="77777777" w:rsidR="00730DE4" w:rsidRPr="00730DE4" w:rsidRDefault="00730DE4" w:rsidP="002729FD">
            <w:pPr>
              <w:pStyle w:val="NoSpacing"/>
              <w:jc w:val="right"/>
              <w:rPr>
                <w:color w:val="080C0F" w:themeColor="text1"/>
              </w:rPr>
            </w:pPr>
            <w:r w:rsidRPr="00730DE4">
              <w:rPr>
                <w:color w:val="080C0F" w:themeColor="text1"/>
              </w:rPr>
              <w:t xml:space="preserve">15,457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68477875" w14:textId="77777777" w:rsidR="00730DE4" w:rsidRPr="00730DE4" w:rsidRDefault="00730DE4" w:rsidP="002729FD">
            <w:pPr>
              <w:pStyle w:val="NoSpacing"/>
              <w:jc w:val="right"/>
              <w:rPr>
                <w:color w:val="080C0F" w:themeColor="text1"/>
              </w:rPr>
            </w:pPr>
            <w:r w:rsidRPr="00730DE4">
              <w:rPr>
                <w:color w:val="080C0F" w:themeColor="text1"/>
              </w:rPr>
              <w:t xml:space="preserve">7,214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18E50C8E" w14:textId="77777777" w:rsidR="00730DE4" w:rsidRPr="00730DE4" w:rsidRDefault="00730DE4" w:rsidP="002729FD">
            <w:pPr>
              <w:pStyle w:val="NoSpacing"/>
              <w:jc w:val="right"/>
              <w:rPr>
                <w:color w:val="080C0F" w:themeColor="text1"/>
              </w:rPr>
            </w:pPr>
            <w:r w:rsidRPr="00730DE4">
              <w:rPr>
                <w:color w:val="080C0F" w:themeColor="text1"/>
              </w:rPr>
              <w:t xml:space="preserve">4,996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261F5FAE" w14:textId="77777777" w:rsidR="00730DE4" w:rsidRPr="00730DE4" w:rsidRDefault="00730DE4" w:rsidP="002729FD">
            <w:pPr>
              <w:pStyle w:val="NoSpacing"/>
              <w:jc w:val="right"/>
              <w:rPr>
                <w:color w:val="080C0F" w:themeColor="text1"/>
              </w:rPr>
            </w:pPr>
            <w:r w:rsidRPr="00730DE4">
              <w:rPr>
                <w:color w:val="080C0F" w:themeColor="text1"/>
              </w:rPr>
              <w:t xml:space="preserve">1,959 </w:t>
            </w:r>
          </w:p>
        </w:tc>
        <w:tc>
          <w:tcPr>
            <w:tcW w:w="608"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1CA6639D" w14:textId="77777777" w:rsidR="00730DE4" w:rsidRPr="00730DE4" w:rsidRDefault="00730DE4" w:rsidP="002729FD">
            <w:pPr>
              <w:pStyle w:val="NoSpacing"/>
              <w:jc w:val="right"/>
              <w:rPr>
                <w:color w:val="080C0F" w:themeColor="text1"/>
              </w:rPr>
            </w:pPr>
            <w:r w:rsidRPr="00730DE4">
              <w:rPr>
                <w:color w:val="080C0F" w:themeColor="text1"/>
              </w:rPr>
              <w:t xml:space="preserve">25,318 </w:t>
            </w:r>
          </w:p>
        </w:tc>
      </w:tr>
      <w:tr w:rsidR="00730DE4" w:rsidRPr="00730DE4" w14:paraId="7CB8EBEB" w14:textId="77777777" w:rsidTr="00193BC7">
        <w:trPr>
          <w:trHeight w:val="340"/>
        </w:trPr>
        <w:tc>
          <w:tcPr>
            <w:tcW w:w="1352" w:type="pct"/>
            <w:tcBorders>
              <w:top w:val="single" w:sz="4" w:space="0" w:color="auto"/>
              <w:left w:val="nil"/>
              <w:right w:val="dotted" w:sz="4" w:space="0" w:color="BFBFBF" w:themeColor="background1" w:themeShade="BF"/>
            </w:tcBorders>
            <w:shd w:val="clear" w:color="auto" w:fill="auto"/>
          </w:tcPr>
          <w:p w14:paraId="0E46763C" w14:textId="77777777" w:rsidR="00730DE4" w:rsidRPr="00730DE4" w:rsidRDefault="00730DE4" w:rsidP="00E31A99">
            <w:pPr>
              <w:pStyle w:val="NoSpacingIndent"/>
              <w:rPr>
                <w:rStyle w:val="Strong"/>
              </w:rPr>
            </w:pPr>
            <w:r w:rsidRPr="00730DE4">
              <w:rPr>
                <w:rStyle w:val="Strong"/>
              </w:rPr>
              <w:t>Total expenses</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40329232" w14:textId="77777777" w:rsidR="00730DE4" w:rsidRPr="00730DE4" w:rsidRDefault="00730DE4" w:rsidP="00E31A99">
            <w:pPr>
              <w:pStyle w:val="NoSpacing"/>
              <w:jc w:val="right"/>
              <w:rPr>
                <w:color w:val="080C0F" w:themeColor="text1"/>
              </w:rPr>
            </w:pPr>
            <w:r w:rsidRPr="00730DE4">
              <w:rPr>
                <w:rStyle w:val="Strong"/>
              </w:rPr>
              <w:t xml:space="preserve">160,210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6F1F5D0E" w14:textId="77777777" w:rsidR="00730DE4" w:rsidRPr="00730DE4" w:rsidRDefault="00730DE4" w:rsidP="00E31A99">
            <w:pPr>
              <w:pStyle w:val="NoSpacing"/>
              <w:jc w:val="right"/>
              <w:rPr>
                <w:color w:val="080C0F" w:themeColor="text1"/>
              </w:rPr>
            </w:pPr>
            <w:r w:rsidRPr="00730DE4">
              <w:rPr>
                <w:rStyle w:val="Strong"/>
              </w:rPr>
              <w:t xml:space="preserve">3,043,553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2141DA93" w14:textId="77777777" w:rsidR="00730DE4" w:rsidRPr="00730DE4" w:rsidRDefault="00730DE4" w:rsidP="00E31A99">
            <w:pPr>
              <w:pStyle w:val="NoSpacing"/>
              <w:jc w:val="right"/>
              <w:rPr>
                <w:color w:val="080C0F" w:themeColor="text1"/>
              </w:rPr>
            </w:pPr>
            <w:r w:rsidRPr="00730DE4">
              <w:rPr>
                <w:rStyle w:val="Strong"/>
              </w:rPr>
              <w:t xml:space="preserve">338,808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766AEFDF" w14:textId="77777777" w:rsidR="00730DE4" w:rsidRPr="00730DE4" w:rsidRDefault="00730DE4" w:rsidP="00E31A99">
            <w:pPr>
              <w:pStyle w:val="NoSpacing"/>
              <w:jc w:val="right"/>
              <w:rPr>
                <w:color w:val="080C0F" w:themeColor="text1"/>
              </w:rPr>
            </w:pPr>
            <w:r w:rsidRPr="00730DE4">
              <w:rPr>
                <w:rStyle w:val="Strong"/>
              </w:rPr>
              <w:t xml:space="preserve">416,340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7F81403C" w14:textId="77777777" w:rsidR="00730DE4" w:rsidRPr="00730DE4" w:rsidRDefault="00730DE4" w:rsidP="00E31A99">
            <w:pPr>
              <w:pStyle w:val="NoSpacing"/>
              <w:jc w:val="right"/>
              <w:rPr>
                <w:color w:val="080C0F" w:themeColor="text1"/>
              </w:rPr>
            </w:pPr>
            <w:r w:rsidRPr="00730DE4">
              <w:rPr>
                <w:rStyle w:val="Strong"/>
              </w:rPr>
              <w:t xml:space="preserve">3,688,707 </w:t>
            </w:r>
          </w:p>
        </w:tc>
        <w:tc>
          <w:tcPr>
            <w:tcW w:w="608" w:type="pct"/>
            <w:tcBorders>
              <w:top w:val="single" w:sz="4" w:space="0" w:color="auto"/>
              <w:left w:val="dotted" w:sz="4" w:space="0" w:color="BFBFBF" w:themeColor="background1" w:themeShade="BF"/>
              <w:right w:val="nil"/>
            </w:tcBorders>
            <w:shd w:val="clear" w:color="auto" w:fill="auto"/>
            <w:noWrap/>
            <w:hideMark/>
          </w:tcPr>
          <w:p w14:paraId="1C8A3250" w14:textId="77777777" w:rsidR="00730DE4" w:rsidRPr="00730DE4" w:rsidRDefault="00730DE4" w:rsidP="00E31A99">
            <w:pPr>
              <w:pStyle w:val="NoSpacing"/>
              <w:jc w:val="right"/>
              <w:rPr>
                <w:rStyle w:val="Strong"/>
              </w:rPr>
            </w:pPr>
            <w:r w:rsidRPr="00730DE4">
              <w:rPr>
                <w:rStyle w:val="Strong"/>
              </w:rPr>
              <w:t xml:space="preserve">814,807 </w:t>
            </w:r>
          </w:p>
        </w:tc>
      </w:tr>
      <w:tr w:rsidR="00730DE4" w:rsidRPr="00730DE4" w14:paraId="1E46155C" w14:textId="77777777" w:rsidTr="00193BC7">
        <w:trPr>
          <w:trHeight w:val="340"/>
        </w:trPr>
        <w:tc>
          <w:tcPr>
            <w:tcW w:w="1352" w:type="pct"/>
            <w:tcBorders>
              <w:left w:val="nil"/>
              <w:bottom w:val="dotted" w:sz="4" w:space="0" w:color="BFBFBF" w:themeColor="background1" w:themeShade="BF"/>
              <w:right w:val="dotted" w:sz="4" w:space="0" w:color="BFBFBF" w:themeColor="background1" w:themeShade="BF"/>
            </w:tcBorders>
            <w:shd w:val="clear" w:color="auto" w:fill="auto"/>
            <w:vAlign w:val="bottom"/>
          </w:tcPr>
          <w:p w14:paraId="5D3F93CD" w14:textId="77777777" w:rsidR="00730DE4" w:rsidRPr="00730DE4" w:rsidRDefault="00730DE4" w:rsidP="002729FD">
            <w:pPr>
              <w:pStyle w:val="NoSpacing"/>
              <w:rPr>
                <w:rStyle w:val="Strong"/>
              </w:rPr>
            </w:pPr>
            <w:r w:rsidRPr="00730DE4">
              <w:rPr>
                <w:rStyle w:val="Strong"/>
              </w:rPr>
              <w:t>Operating result before income tax equivalent expense</w:t>
            </w:r>
          </w:p>
        </w:tc>
        <w:tc>
          <w:tcPr>
            <w:tcW w:w="608"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B15FC02" w14:textId="77777777" w:rsidR="00730DE4" w:rsidRPr="00730DE4" w:rsidRDefault="00730DE4" w:rsidP="002729FD">
            <w:pPr>
              <w:pStyle w:val="NoSpacing"/>
              <w:jc w:val="right"/>
              <w:rPr>
                <w:color w:val="080C0F" w:themeColor="text1"/>
              </w:rPr>
            </w:pPr>
            <w:r w:rsidRPr="00730DE4">
              <w:rPr>
                <w:rStyle w:val="Strong"/>
              </w:rPr>
              <w:t xml:space="preserve">- </w:t>
            </w:r>
          </w:p>
        </w:tc>
        <w:tc>
          <w:tcPr>
            <w:tcW w:w="608"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571BF14" w14:textId="77777777" w:rsidR="00730DE4" w:rsidRPr="00730DE4" w:rsidRDefault="00730DE4" w:rsidP="002729FD">
            <w:pPr>
              <w:pStyle w:val="NoSpacing"/>
              <w:jc w:val="right"/>
              <w:rPr>
                <w:color w:val="080C0F" w:themeColor="text1"/>
              </w:rPr>
            </w:pPr>
            <w:r w:rsidRPr="00730DE4">
              <w:rPr>
                <w:rStyle w:val="Strong"/>
              </w:rPr>
              <w:t xml:space="preserve">119,994 </w:t>
            </w:r>
          </w:p>
        </w:tc>
        <w:tc>
          <w:tcPr>
            <w:tcW w:w="608"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7BC40E7" w14:textId="77777777" w:rsidR="00730DE4" w:rsidRPr="00730DE4" w:rsidRDefault="00730DE4" w:rsidP="002729FD">
            <w:pPr>
              <w:pStyle w:val="NoSpacing"/>
              <w:jc w:val="right"/>
              <w:rPr>
                <w:color w:val="080C0F" w:themeColor="text1"/>
              </w:rPr>
            </w:pPr>
            <w:r w:rsidRPr="00730DE4">
              <w:rPr>
                <w:rStyle w:val="Strong"/>
              </w:rPr>
              <w:t xml:space="preserve">- </w:t>
            </w:r>
          </w:p>
        </w:tc>
        <w:tc>
          <w:tcPr>
            <w:tcW w:w="608"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C12A134" w14:textId="77777777" w:rsidR="00730DE4" w:rsidRPr="00730DE4" w:rsidRDefault="00730DE4" w:rsidP="002729FD">
            <w:pPr>
              <w:pStyle w:val="NoSpacing"/>
              <w:jc w:val="right"/>
              <w:rPr>
                <w:color w:val="080C0F" w:themeColor="text1"/>
              </w:rPr>
            </w:pPr>
            <w:r w:rsidRPr="00730DE4">
              <w:rPr>
                <w:rStyle w:val="Strong"/>
              </w:rPr>
              <w:t xml:space="preserve">- </w:t>
            </w:r>
          </w:p>
        </w:tc>
        <w:tc>
          <w:tcPr>
            <w:tcW w:w="608"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1BF2614" w14:textId="77777777" w:rsidR="00730DE4" w:rsidRPr="00730DE4" w:rsidRDefault="00730DE4" w:rsidP="002729FD">
            <w:pPr>
              <w:pStyle w:val="NoSpacing"/>
              <w:jc w:val="right"/>
              <w:rPr>
                <w:color w:val="080C0F" w:themeColor="text1"/>
              </w:rPr>
            </w:pPr>
            <w:r w:rsidRPr="00730DE4">
              <w:rPr>
                <w:rStyle w:val="Strong"/>
              </w:rPr>
              <w:t>(114,402)</w:t>
            </w:r>
          </w:p>
        </w:tc>
        <w:tc>
          <w:tcPr>
            <w:tcW w:w="608" w:type="pct"/>
            <w:tcBorders>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D248D1B" w14:textId="77777777" w:rsidR="00730DE4" w:rsidRPr="00730DE4" w:rsidRDefault="00730DE4" w:rsidP="002729FD">
            <w:pPr>
              <w:pStyle w:val="NoSpacing"/>
              <w:jc w:val="right"/>
              <w:rPr>
                <w:rStyle w:val="Strong"/>
              </w:rPr>
            </w:pPr>
            <w:r w:rsidRPr="00730DE4">
              <w:rPr>
                <w:rStyle w:val="Strong"/>
              </w:rPr>
              <w:t xml:space="preserve">6,012 </w:t>
            </w:r>
          </w:p>
        </w:tc>
      </w:tr>
      <w:tr w:rsidR="00730DE4" w:rsidRPr="00730DE4" w14:paraId="0D657192" w14:textId="77777777" w:rsidTr="00193BC7">
        <w:tc>
          <w:tcPr>
            <w:tcW w:w="1352"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tcPr>
          <w:p w14:paraId="01AE3F05" w14:textId="77777777" w:rsidR="00730DE4" w:rsidRPr="00730DE4" w:rsidRDefault="00730DE4" w:rsidP="00E31A99">
            <w:pPr>
              <w:pStyle w:val="NoSpacingIndent"/>
            </w:pPr>
            <w:r w:rsidRPr="00730DE4">
              <w:t>Income tax equivalent expense</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hideMark/>
          </w:tcPr>
          <w:p w14:paraId="14B45911" w14:textId="77777777" w:rsidR="00730DE4" w:rsidRPr="00730DE4" w:rsidRDefault="00730DE4" w:rsidP="00E31A99">
            <w:pPr>
              <w:pStyle w:val="NoSpacing"/>
              <w:jc w:val="right"/>
              <w:rPr>
                <w:color w:val="080C0F" w:themeColor="text1"/>
              </w:rPr>
            </w:pPr>
            <w:r w:rsidRPr="00730DE4">
              <w:rPr>
                <w:color w:val="080C0F" w:themeColor="text1"/>
              </w:rPr>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hideMark/>
          </w:tcPr>
          <w:p w14:paraId="65C9A822" w14:textId="77777777" w:rsidR="00730DE4" w:rsidRPr="00730DE4" w:rsidRDefault="00730DE4" w:rsidP="00E31A99">
            <w:pPr>
              <w:pStyle w:val="NoSpacing"/>
              <w:jc w:val="right"/>
              <w:rPr>
                <w:color w:val="080C0F" w:themeColor="text1"/>
              </w:rPr>
            </w:pPr>
            <w:r w:rsidRPr="00730DE4">
              <w:rPr>
                <w:color w:val="080C0F" w:themeColor="text1"/>
              </w:rPr>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hideMark/>
          </w:tcPr>
          <w:p w14:paraId="044411B9" w14:textId="77777777" w:rsidR="00730DE4" w:rsidRPr="00730DE4" w:rsidRDefault="00730DE4" w:rsidP="00E31A99">
            <w:pPr>
              <w:pStyle w:val="NoSpacing"/>
              <w:jc w:val="right"/>
              <w:rPr>
                <w:color w:val="080C0F" w:themeColor="text1"/>
              </w:rPr>
            </w:pPr>
            <w:r w:rsidRPr="00730DE4">
              <w:rPr>
                <w:color w:val="080C0F" w:themeColor="text1"/>
              </w:rPr>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hideMark/>
          </w:tcPr>
          <w:p w14:paraId="426892DD" w14:textId="77777777" w:rsidR="00730DE4" w:rsidRPr="00730DE4" w:rsidRDefault="00730DE4" w:rsidP="00E31A99">
            <w:pPr>
              <w:pStyle w:val="NoSpacing"/>
              <w:jc w:val="right"/>
              <w:rPr>
                <w:color w:val="080C0F" w:themeColor="text1"/>
              </w:rPr>
            </w:pPr>
            <w:r w:rsidRPr="00730DE4">
              <w:rPr>
                <w:color w:val="080C0F" w:themeColor="text1"/>
              </w:rPr>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hideMark/>
          </w:tcPr>
          <w:p w14:paraId="40D70C04" w14:textId="77777777" w:rsidR="00730DE4" w:rsidRPr="00730DE4" w:rsidRDefault="00730DE4" w:rsidP="00E31A99">
            <w:pPr>
              <w:pStyle w:val="NoSpacing"/>
              <w:jc w:val="right"/>
              <w:rPr>
                <w:color w:val="080C0F" w:themeColor="text1"/>
              </w:rPr>
            </w:pPr>
            <w:r w:rsidRPr="00730DE4">
              <w:rPr>
                <w:color w:val="080C0F" w:themeColor="text1"/>
              </w:rPr>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hideMark/>
          </w:tcPr>
          <w:p w14:paraId="14F4C63B" w14:textId="77777777" w:rsidR="00730DE4" w:rsidRPr="00730DE4" w:rsidRDefault="00730DE4" w:rsidP="00E31A99">
            <w:pPr>
              <w:pStyle w:val="NoSpacing"/>
              <w:jc w:val="right"/>
              <w:rPr>
                <w:color w:val="080C0F" w:themeColor="text1"/>
              </w:rPr>
            </w:pPr>
            <w:r w:rsidRPr="00730DE4">
              <w:rPr>
                <w:color w:val="080C0F" w:themeColor="text1"/>
              </w:rPr>
              <w:t xml:space="preserve">7,706 </w:t>
            </w:r>
          </w:p>
        </w:tc>
      </w:tr>
      <w:tr w:rsidR="00730DE4" w:rsidRPr="00730DE4" w14:paraId="65516EC5" w14:textId="77777777" w:rsidTr="00193BC7">
        <w:trPr>
          <w:trHeight w:val="454"/>
        </w:trPr>
        <w:tc>
          <w:tcPr>
            <w:tcW w:w="1352" w:type="pct"/>
            <w:tcBorders>
              <w:top w:val="single" w:sz="4" w:space="0" w:color="auto"/>
              <w:left w:val="nil"/>
              <w:bottom w:val="single" w:sz="4" w:space="0" w:color="auto"/>
              <w:right w:val="dotted" w:sz="4" w:space="0" w:color="BFBFBF" w:themeColor="background1" w:themeShade="BF"/>
            </w:tcBorders>
            <w:shd w:val="clear" w:color="auto" w:fill="auto"/>
            <w:vAlign w:val="bottom"/>
          </w:tcPr>
          <w:p w14:paraId="07C2A0FE" w14:textId="77777777" w:rsidR="00730DE4" w:rsidRPr="00730DE4" w:rsidRDefault="00730DE4" w:rsidP="002729FD">
            <w:pPr>
              <w:pStyle w:val="NoSpacing"/>
              <w:rPr>
                <w:rStyle w:val="Strong"/>
              </w:rPr>
            </w:pPr>
            <w:r w:rsidRPr="00730DE4">
              <w:rPr>
                <w:rStyle w:val="Strong"/>
              </w:rPr>
              <w:t>Operating result for the year</w:t>
            </w:r>
          </w:p>
        </w:tc>
        <w:tc>
          <w:tcPr>
            <w:tcW w:w="608"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50A6F788" w14:textId="77777777" w:rsidR="00730DE4" w:rsidRPr="00730DE4" w:rsidRDefault="00730DE4" w:rsidP="002729FD">
            <w:pPr>
              <w:pStyle w:val="NoSpacing"/>
              <w:jc w:val="right"/>
              <w:rPr>
                <w:color w:val="080C0F" w:themeColor="text1"/>
              </w:rPr>
            </w:pPr>
            <w:r w:rsidRPr="00730DE4">
              <w:rPr>
                <w:rStyle w:val="Strong"/>
              </w:rPr>
              <w:t xml:space="preserve">- </w:t>
            </w:r>
          </w:p>
        </w:tc>
        <w:tc>
          <w:tcPr>
            <w:tcW w:w="608"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3072EC48" w14:textId="77777777" w:rsidR="00730DE4" w:rsidRPr="00730DE4" w:rsidRDefault="00730DE4" w:rsidP="002729FD">
            <w:pPr>
              <w:pStyle w:val="NoSpacing"/>
              <w:jc w:val="right"/>
              <w:rPr>
                <w:color w:val="080C0F" w:themeColor="text1"/>
              </w:rPr>
            </w:pPr>
            <w:r w:rsidRPr="00730DE4">
              <w:rPr>
                <w:rStyle w:val="Strong"/>
              </w:rPr>
              <w:t xml:space="preserve">119,994 </w:t>
            </w:r>
          </w:p>
        </w:tc>
        <w:tc>
          <w:tcPr>
            <w:tcW w:w="608"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43DF51C2" w14:textId="77777777" w:rsidR="00730DE4" w:rsidRPr="00730DE4" w:rsidRDefault="00730DE4" w:rsidP="002729FD">
            <w:pPr>
              <w:pStyle w:val="NoSpacing"/>
              <w:jc w:val="right"/>
              <w:rPr>
                <w:color w:val="080C0F" w:themeColor="text1"/>
              </w:rPr>
            </w:pPr>
            <w:r w:rsidRPr="00730DE4">
              <w:rPr>
                <w:rStyle w:val="Strong"/>
              </w:rPr>
              <w:t xml:space="preserve">- </w:t>
            </w:r>
          </w:p>
        </w:tc>
        <w:tc>
          <w:tcPr>
            <w:tcW w:w="608"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695063E1" w14:textId="77777777" w:rsidR="00730DE4" w:rsidRPr="00730DE4" w:rsidRDefault="00730DE4" w:rsidP="002729FD">
            <w:pPr>
              <w:pStyle w:val="NoSpacing"/>
              <w:jc w:val="right"/>
              <w:rPr>
                <w:color w:val="080C0F" w:themeColor="text1"/>
              </w:rPr>
            </w:pPr>
            <w:r w:rsidRPr="00730DE4">
              <w:rPr>
                <w:rStyle w:val="Strong"/>
              </w:rPr>
              <w:t xml:space="preserve">- </w:t>
            </w:r>
          </w:p>
        </w:tc>
        <w:tc>
          <w:tcPr>
            <w:tcW w:w="608"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4C1497DD" w14:textId="77777777" w:rsidR="00730DE4" w:rsidRPr="00730DE4" w:rsidRDefault="00730DE4" w:rsidP="002729FD">
            <w:pPr>
              <w:pStyle w:val="NoSpacing"/>
              <w:jc w:val="right"/>
              <w:rPr>
                <w:color w:val="080C0F" w:themeColor="text1"/>
              </w:rPr>
            </w:pPr>
            <w:r w:rsidRPr="00730DE4">
              <w:rPr>
                <w:rStyle w:val="Strong"/>
              </w:rPr>
              <w:t>(114,402)</w:t>
            </w:r>
          </w:p>
        </w:tc>
        <w:tc>
          <w:tcPr>
            <w:tcW w:w="608" w:type="pct"/>
            <w:tcBorders>
              <w:top w:val="single" w:sz="4" w:space="0" w:color="auto"/>
              <w:left w:val="dotted" w:sz="4" w:space="0" w:color="BFBFBF" w:themeColor="background1" w:themeShade="BF"/>
              <w:bottom w:val="single" w:sz="4" w:space="0" w:color="auto"/>
              <w:right w:val="nil"/>
            </w:tcBorders>
            <w:shd w:val="clear" w:color="auto" w:fill="auto"/>
            <w:noWrap/>
            <w:vAlign w:val="bottom"/>
            <w:hideMark/>
          </w:tcPr>
          <w:p w14:paraId="4D12CD0E" w14:textId="77777777" w:rsidR="00730DE4" w:rsidRPr="00730DE4" w:rsidRDefault="00730DE4" w:rsidP="002729FD">
            <w:pPr>
              <w:pStyle w:val="NoSpacing"/>
              <w:jc w:val="right"/>
              <w:rPr>
                <w:rStyle w:val="Strong"/>
              </w:rPr>
            </w:pPr>
            <w:r w:rsidRPr="00730DE4">
              <w:rPr>
                <w:rStyle w:val="Strong"/>
              </w:rPr>
              <w:t>(1,694)</w:t>
            </w:r>
          </w:p>
        </w:tc>
      </w:tr>
      <w:tr w:rsidR="00730DE4" w:rsidRPr="00730DE4" w14:paraId="0D45983A" w14:textId="77777777" w:rsidTr="00552182">
        <w:trPr>
          <w:trHeight w:val="454"/>
        </w:trPr>
        <w:tc>
          <w:tcPr>
            <w:tcW w:w="1352"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vAlign w:val="bottom"/>
          </w:tcPr>
          <w:p w14:paraId="00136FDC" w14:textId="77777777" w:rsidR="00730DE4" w:rsidRPr="00730DE4" w:rsidRDefault="00730DE4" w:rsidP="002729FD">
            <w:pPr>
              <w:pStyle w:val="NoSpacing"/>
              <w:rPr>
                <w:color w:val="080C0F" w:themeColor="text1"/>
              </w:rPr>
            </w:pPr>
            <w:r w:rsidRPr="00730DE4">
              <w:rPr>
                <w:rStyle w:val="Strong"/>
              </w:rPr>
              <w:t>Items not reclassified to operating result</w:t>
            </w: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04B6FACE" w14:textId="77777777" w:rsidR="00730DE4" w:rsidRPr="00730DE4" w:rsidRDefault="00730DE4" w:rsidP="002729FD">
            <w:pPr>
              <w:pStyle w:val="NoSpacing"/>
              <w:jc w:val="right"/>
              <w:rPr>
                <w:color w:val="080C0F" w:themeColor="text1"/>
              </w:rPr>
            </w:pP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7AC066EF" w14:textId="77777777" w:rsidR="00730DE4" w:rsidRPr="00730DE4" w:rsidRDefault="00730DE4" w:rsidP="002729FD">
            <w:pPr>
              <w:pStyle w:val="NoSpacing"/>
              <w:jc w:val="right"/>
              <w:rPr>
                <w:color w:val="080C0F" w:themeColor="text1"/>
              </w:rPr>
            </w:pP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4239CBDD" w14:textId="77777777" w:rsidR="00730DE4" w:rsidRPr="00730DE4" w:rsidRDefault="00730DE4" w:rsidP="002729FD">
            <w:pPr>
              <w:pStyle w:val="NoSpacing"/>
              <w:jc w:val="right"/>
              <w:rPr>
                <w:color w:val="080C0F" w:themeColor="text1"/>
              </w:rPr>
            </w:pP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3E4EBA6C" w14:textId="77777777" w:rsidR="00730DE4" w:rsidRPr="00730DE4" w:rsidRDefault="00730DE4" w:rsidP="002729FD">
            <w:pPr>
              <w:pStyle w:val="NoSpacing"/>
              <w:jc w:val="right"/>
              <w:rPr>
                <w:color w:val="080C0F" w:themeColor="text1"/>
              </w:rPr>
            </w:pP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6D52929B" w14:textId="77777777" w:rsidR="00730DE4" w:rsidRPr="00730DE4" w:rsidRDefault="00730DE4" w:rsidP="002729FD">
            <w:pPr>
              <w:pStyle w:val="NoSpacing"/>
              <w:jc w:val="right"/>
              <w:rPr>
                <w:color w:val="080C0F" w:themeColor="text1"/>
              </w:rPr>
            </w:pPr>
          </w:p>
        </w:tc>
        <w:tc>
          <w:tcPr>
            <w:tcW w:w="608"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vAlign w:val="bottom"/>
          </w:tcPr>
          <w:p w14:paraId="13CF2831" w14:textId="77777777" w:rsidR="00730DE4" w:rsidRPr="00730DE4" w:rsidRDefault="00730DE4" w:rsidP="002729FD">
            <w:pPr>
              <w:pStyle w:val="NoSpacing"/>
              <w:jc w:val="right"/>
              <w:rPr>
                <w:color w:val="080C0F" w:themeColor="text1"/>
              </w:rPr>
            </w:pPr>
          </w:p>
        </w:tc>
      </w:tr>
      <w:tr w:rsidR="00730DE4" w:rsidRPr="00730DE4" w14:paraId="0FB28ABD" w14:textId="77777777" w:rsidTr="00193BC7">
        <w:trPr>
          <w:cantSplit/>
        </w:trPr>
        <w:tc>
          <w:tcPr>
            <w:tcW w:w="1352"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tcPr>
          <w:p w14:paraId="41ED93EE" w14:textId="77777777" w:rsidR="00730DE4" w:rsidRPr="00730DE4" w:rsidRDefault="00730DE4" w:rsidP="00E31A99">
            <w:pPr>
              <w:pStyle w:val="NoSpacingIndent"/>
            </w:pPr>
            <w:r w:rsidRPr="00730DE4">
              <w:t>Increase in asset revaluation surplus</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tcPr>
          <w:p w14:paraId="5250E767" w14:textId="77777777" w:rsidR="00730DE4" w:rsidRPr="00730DE4" w:rsidRDefault="00730DE4" w:rsidP="00E31A99">
            <w:pPr>
              <w:pStyle w:val="NoSpacing"/>
              <w:jc w:val="right"/>
              <w:rPr>
                <w:color w:val="080C0F" w:themeColor="text1"/>
              </w:rPr>
            </w:pPr>
            <w:r w:rsidRPr="00730DE4">
              <w:rPr>
                <w:color w:val="080C0F" w:themeColor="text1"/>
              </w:rPr>
              <w:t xml:space="preserve">910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tcPr>
          <w:p w14:paraId="04CA4160" w14:textId="77777777" w:rsidR="00730DE4" w:rsidRPr="00730DE4" w:rsidRDefault="00730DE4" w:rsidP="00E31A99">
            <w:pPr>
              <w:pStyle w:val="NoSpacing"/>
              <w:jc w:val="right"/>
              <w:rPr>
                <w:color w:val="080C0F" w:themeColor="text1"/>
              </w:rPr>
            </w:pPr>
            <w:r w:rsidRPr="00730DE4">
              <w:rPr>
                <w:color w:val="080C0F" w:themeColor="text1"/>
              </w:rPr>
              <w:t xml:space="preserve">14,874,801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tcPr>
          <w:p w14:paraId="5E3AA304" w14:textId="77777777" w:rsidR="00730DE4" w:rsidRPr="00730DE4" w:rsidRDefault="00730DE4" w:rsidP="00E31A99">
            <w:pPr>
              <w:pStyle w:val="NoSpacing"/>
              <w:jc w:val="right"/>
              <w:rPr>
                <w:color w:val="080C0F" w:themeColor="text1"/>
              </w:rPr>
            </w:pPr>
            <w:r w:rsidRPr="00730DE4">
              <w:rPr>
                <w:color w:val="080C0F" w:themeColor="text1"/>
              </w:rPr>
              <w:t xml:space="preserve">67,022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tcPr>
          <w:p w14:paraId="0A8CB190" w14:textId="77777777" w:rsidR="00730DE4" w:rsidRPr="00730DE4" w:rsidRDefault="00730DE4" w:rsidP="00E31A99">
            <w:pPr>
              <w:pStyle w:val="NoSpacing"/>
              <w:jc w:val="right"/>
              <w:rPr>
                <w:color w:val="080C0F" w:themeColor="text1"/>
              </w:rPr>
            </w:pPr>
            <w:r w:rsidRPr="00730DE4">
              <w:rPr>
                <w:color w:val="080C0F" w:themeColor="text1"/>
              </w:rPr>
              <w:t xml:space="preserve">2,461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tcPr>
          <w:p w14:paraId="5284A45F" w14:textId="77777777" w:rsidR="00730DE4" w:rsidRPr="00730DE4" w:rsidRDefault="00730DE4" w:rsidP="00E31A99">
            <w:pPr>
              <w:pStyle w:val="NoSpacing"/>
              <w:jc w:val="right"/>
              <w:rPr>
                <w:color w:val="080C0F" w:themeColor="text1"/>
              </w:rPr>
            </w:pPr>
            <w:r w:rsidRPr="00730DE4">
              <w:rPr>
                <w:color w:val="080C0F" w:themeColor="text1"/>
              </w:rPr>
              <w:t xml:space="preserve">157,869 </w:t>
            </w:r>
          </w:p>
        </w:tc>
        <w:tc>
          <w:tcPr>
            <w:tcW w:w="608"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tcPr>
          <w:p w14:paraId="45A2C028" w14:textId="77777777" w:rsidR="00730DE4" w:rsidRPr="00730DE4" w:rsidRDefault="00730DE4" w:rsidP="00E31A99">
            <w:pPr>
              <w:pStyle w:val="NoSpacing"/>
              <w:jc w:val="right"/>
              <w:rPr>
                <w:color w:val="080C0F" w:themeColor="text1"/>
              </w:rPr>
            </w:pPr>
            <w:r w:rsidRPr="00730DE4">
              <w:rPr>
                <w:color w:val="080C0F" w:themeColor="text1"/>
              </w:rPr>
              <w:t xml:space="preserve">65 </w:t>
            </w:r>
          </w:p>
        </w:tc>
      </w:tr>
      <w:tr w:rsidR="00730DE4" w:rsidRPr="00730DE4" w14:paraId="25E860F8" w14:textId="77777777" w:rsidTr="00193BC7">
        <w:tc>
          <w:tcPr>
            <w:tcW w:w="1352" w:type="pct"/>
            <w:tcBorders>
              <w:top w:val="single" w:sz="4" w:space="0" w:color="auto"/>
              <w:left w:val="nil"/>
              <w:bottom w:val="single" w:sz="4" w:space="0" w:color="auto"/>
              <w:right w:val="dotted" w:sz="4" w:space="0" w:color="BFBFBF" w:themeColor="background1" w:themeShade="BF"/>
            </w:tcBorders>
            <w:shd w:val="clear" w:color="auto" w:fill="auto"/>
          </w:tcPr>
          <w:p w14:paraId="4F811DB8" w14:textId="77777777" w:rsidR="00730DE4" w:rsidRPr="00730DE4" w:rsidRDefault="00730DE4" w:rsidP="00607851">
            <w:pPr>
              <w:pStyle w:val="NoSpacing"/>
              <w:rPr>
                <w:rStyle w:val="Strong"/>
              </w:rPr>
            </w:pPr>
            <w:r w:rsidRPr="00730DE4">
              <w:rPr>
                <w:rStyle w:val="Strong"/>
              </w:rPr>
              <w:t>Total other comprehensive income</w:t>
            </w:r>
          </w:p>
        </w:tc>
        <w:tc>
          <w:tcPr>
            <w:tcW w:w="608"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auto"/>
            <w:noWrap/>
            <w:hideMark/>
          </w:tcPr>
          <w:p w14:paraId="275E0A5D" w14:textId="77777777" w:rsidR="00730DE4" w:rsidRPr="00730DE4" w:rsidRDefault="00730DE4" w:rsidP="00607851">
            <w:pPr>
              <w:pStyle w:val="NoSpacing"/>
              <w:jc w:val="right"/>
              <w:rPr>
                <w:color w:val="080C0F" w:themeColor="text1"/>
              </w:rPr>
            </w:pPr>
            <w:r w:rsidRPr="00730DE4">
              <w:rPr>
                <w:rStyle w:val="Strong"/>
              </w:rPr>
              <w:t xml:space="preserve">910 </w:t>
            </w:r>
          </w:p>
        </w:tc>
        <w:tc>
          <w:tcPr>
            <w:tcW w:w="608"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auto"/>
            <w:noWrap/>
            <w:hideMark/>
          </w:tcPr>
          <w:p w14:paraId="5DC0688D" w14:textId="77777777" w:rsidR="00730DE4" w:rsidRPr="00730DE4" w:rsidRDefault="00730DE4" w:rsidP="00607851">
            <w:pPr>
              <w:pStyle w:val="NoSpacing"/>
              <w:jc w:val="right"/>
              <w:rPr>
                <w:color w:val="080C0F" w:themeColor="text1"/>
              </w:rPr>
            </w:pPr>
            <w:r w:rsidRPr="00730DE4">
              <w:rPr>
                <w:rStyle w:val="Strong"/>
              </w:rPr>
              <w:t xml:space="preserve">14,874,801 </w:t>
            </w:r>
          </w:p>
        </w:tc>
        <w:tc>
          <w:tcPr>
            <w:tcW w:w="608"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auto"/>
            <w:noWrap/>
            <w:hideMark/>
          </w:tcPr>
          <w:p w14:paraId="3977D01A" w14:textId="77777777" w:rsidR="00730DE4" w:rsidRPr="00730DE4" w:rsidRDefault="00730DE4" w:rsidP="00607851">
            <w:pPr>
              <w:pStyle w:val="NoSpacing"/>
              <w:jc w:val="right"/>
              <w:rPr>
                <w:color w:val="080C0F" w:themeColor="text1"/>
              </w:rPr>
            </w:pPr>
            <w:r w:rsidRPr="00730DE4">
              <w:rPr>
                <w:rStyle w:val="Strong"/>
              </w:rPr>
              <w:t xml:space="preserve">67,022 </w:t>
            </w:r>
          </w:p>
        </w:tc>
        <w:tc>
          <w:tcPr>
            <w:tcW w:w="608"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auto"/>
            <w:noWrap/>
            <w:hideMark/>
          </w:tcPr>
          <w:p w14:paraId="447737FB" w14:textId="77777777" w:rsidR="00730DE4" w:rsidRPr="00730DE4" w:rsidRDefault="00730DE4" w:rsidP="00607851">
            <w:pPr>
              <w:pStyle w:val="NoSpacing"/>
              <w:jc w:val="right"/>
              <w:rPr>
                <w:color w:val="080C0F" w:themeColor="text1"/>
              </w:rPr>
            </w:pPr>
            <w:r w:rsidRPr="00730DE4">
              <w:rPr>
                <w:rStyle w:val="Strong"/>
              </w:rPr>
              <w:t xml:space="preserve">2,461 </w:t>
            </w:r>
          </w:p>
        </w:tc>
        <w:tc>
          <w:tcPr>
            <w:tcW w:w="608"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auto"/>
            <w:noWrap/>
            <w:hideMark/>
          </w:tcPr>
          <w:p w14:paraId="2CAB7D6A" w14:textId="77777777" w:rsidR="00730DE4" w:rsidRPr="00730DE4" w:rsidRDefault="00730DE4" w:rsidP="00607851">
            <w:pPr>
              <w:pStyle w:val="NoSpacing"/>
              <w:jc w:val="right"/>
              <w:rPr>
                <w:color w:val="080C0F" w:themeColor="text1"/>
              </w:rPr>
            </w:pPr>
            <w:r w:rsidRPr="00730DE4">
              <w:rPr>
                <w:rStyle w:val="Strong"/>
              </w:rPr>
              <w:t xml:space="preserve">157,869 </w:t>
            </w:r>
          </w:p>
        </w:tc>
        <w:tc>
          <w:tcPr>
            <w:tcW w:w="608" w:type="pct"/>
            <w:tcBorders>
              <w:top w:val="single" w:sz="4" w:space="0" w:color="auto"/>
              <w:left w:val="dotted" w:sz="4" w:space="0" w:color="BFBFBF" w:themeColor="background1" w:themeShade="BF"/>
              <w:bottom w:val="single" w:sz="4" w:space="0" w:color="auto"/>
              <w:right w:val="nil"/>
            </w:tcBorders>
            <w:shd w:val="clear" w:color="auto" w:fill="auto"/>
            <w:noWrap/>
            <w:hideMark/>
          </w:tcPr>
          <w:p w14:paraId="49F70E32" w14:textId="77777777" w:rsidR="00730DE4" w:rsidRPr="00730DE4" w:rsidRDefault="00730DE4" w:rsidP="00607851">
            <w:pPr>
              <w:pStyle w:val="NoSpacing"/>
              <w:jc w:val="right"/>
              <w:rPr>
                <w:rStyle w:val="Strong"/>
              </w:rPr>
            </w:pPr>
            <w:r w:rsidRPr="00730DE4">
              <w:rPr>
                <w:rStyle w:val="Strong"/>
              </w:rPr>
              <w:t xml:space="preserve">65 </w:t>
            </w:r>
          </w:p>
        </w:tc>
      </w:tr>
      <w:tr w:rsidR="00730DE4" w:rsidRPr="00730DE4" w14:paraId="30407A1B" w14:textId="77777777" w:rsidTr="00094DCA">
        <w:trPr>
          <w:trHeight w:val="454"/>
        </w:trPr>
        <w:tc>
          <w:tcPr>
            <w:tcW w:w="1352" w:type="pct"/>
            <w:tcBorders>
              <w:top w:val="single" w:sz="4" w:space="0" w:color="auto"/>
              <w:left w:val="nil"/>
              <w:bottom w:val="double" w:sz="4" w:space="0" w:color="auto"/>
              <w:right w:val="dotted" w:sz="4" w:space="0" w:color="BFBFBF" w:themeColor="background1" w:themeShade="BF"/>
            </w:tcBorders>
            <w:shd w:val="clear" w:color="auto" w:fill="auto"/>
            <w:vAlign w:val="bottom"/>
          </w:tcPr>
          <w:p w14:paraId="5EDCC489" w14:textId="77777777" w:rsidR="00730DE4" w:rsidRPr="00730DE4" w:rsidRDefault="00730DE4" w:rsidP="00193BC7">
            <w:pPr>
              <w:pStyle w:val="NoSpacing"/>
              <w:rPr>
                <w:rStyle w:val="Strong"/>
              </w:rPr>
            </w:pPr>
            <w:r w:rsidRPr="00730DE4">
              <w:rPr>
                <w:rStyle w:val="Strong"/>
              </w:rPr>
              <w:t>Total comprehensive income</w:t>
            </w:r>
          </w:p>
        </w:tc>
        <w:tc>
          <w:tcPr>
            <w:tcW w:w="608"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vAlign w:val="bottom"/>
            <w:hideMark/>
          </w:tcPr>
          <w:p w14:paraId="566CAFAF" w14:textId="77777777" w:rsidR="00730DE4" w:rsidRPr="00730DE4" w:rsidRDefault="00730DE4" w:rsidP="00193BC7">
            <w:pPr>
              <w:pStyle w:val="NoSpacing"/>
              <w:jc w:val="right"/>
              <w:rPr>
                <w:color w:val="080C0F" w:themeColor="text1"/>
              </w:rPr>
            </w:pPr>
            <w:r w:rsidRPr="00730DE4">
              <w:rPr>
                <w:rStyle w:val="Strong"/>
              </w:rPr>
              <w:t xml:space="preserve">910 </w:t>
            </w:r>
          </w:p>
        </w:tc>
        <w:tc>
          <w:tcPr>
            <w:tcW w:w="608"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vAlign w:val="bottom"/>
            <w:hideMark/>
          </w:tcPr>
          <w:p w14:paraId="229CA657" w14:textId="77777777" w:rsidR="00730DE4" w:rsidRPr="00730DE4" w:rsidRDefault="00730DE4" w:rsidP="00193BC7">
            <w:pPr>
              <w:pStyle w:val="NoSpacing"/>
              <w:jc w:val="right"/>
              <w:rPr>
                <w:color w:val="080C0F" w:themeColor="text1"/>
              </w:rPr>
            </w:pPr>
            <w:r w:rsidRPr="00730DE4">
              <w:rPr>
                <w:rStyle w:val="Strong"/>
              </w:rPr>
              <w:t xml:space="preserve">14,994,795 </w:t>
            </w:r>
          </w:p>
        </w:tc>
        <w:tc>
          <w:tcPr>
            <w:tcW w:w="608"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vAlign w:val="bottom"/>
            <w:hideMark/>
          </w:tcPr>
          <w:p w14:paraId="6EA6224E" w14:textId="77777777" w:rsidR="00730DE4" w:rsidRPr="00730DE4" w:rsidRDefault="00730DE4" w:rsidP="00193BC7">
            <w:pPr>
              <w:pStyle w:val="NoSpacing"/>
              <w:jc w:val="right"/>
              <w:rPr>
                <w:color w:val="080C0F" w:themeColor="text1"/>
              </w:rPr>
            </w:pPr>
            <w:r w:rsidRPr="00730DE4">
              <w:rPr>
                <w:rStyle w:val="Strong"/>
              </w:rPr>
              <w:t xml:space="preserve">67,022 </w:t>
            </w:r>
          </w:p>
        </w:tc>
        <w:tc>
          <w:tcPr>
            <w:tcW w:w="608"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vAlign w:val="bottom"/>
            <w:hideMark/>
          </w:tcPr>
          <w:p w14:paraId="767F0E35" w14:textId="77777777" w:rsidR="00730DE4" w:rsidRPr="00730DE4" w:rsidRDefault="00730DE4" w:rsidP="00193BC7">
            <w:pPr>
              <w:pStyle w:val="NoSpacing"/>
              <w:jc w:val="right"/>
              <w:rPr>
                <w:color w:val="080C0F" w:themeColor="text1"/>
              </w:rPr>
            </w:pPr>
            <w:r w:rsidRPr="00730DE4">
              <w:rPr>
                <w:rStyle w:val="Strong"/>
              </w:rPr>
              <w:t xml:space="preserve">2,461 </w:t>
            </w:r>
          </w:p>
        </w:tc>
        <w:tc>
          <w:tcPr>
            <w:tcW w:w="608"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vAlign w:val="bottom"/>
            <w:hideMark/>
          </w:tcPr>
          <w:p w14:paraId="0350FB79" w14:textId="77777777" w:rsidR="00730DE4" w:rsidRPr="00730DE4" w:rsidRDefault="00730DE4" w:rsidP="00193BC7">
            <w:pPr>
              <w:pStyle w:val="NoSpacing"/>
              <w:jc w:val="right"/>
              <w:rPr>
                <w:color w:val="080C0F" w:themeColor="text1"/>
              </w:rPr>
            </w:pPr>
            <w:r w:rsidRPr="00730DE4">
              <w:rPr>
                <w:rStyle w:val="Strong"/>
              </w:rPr>
              <w:t xml:space="preserve">43,467 </w:t>
            </w:r>
          </w:p>
        </w:tc>
        <w:tc>
          <w:tcPr>
            <w:tcW w:w="608" w:type="pct"/>
            <w:tcBorders>
              <w:top w:val="single" w:sz="4" w:space="0" w:color="auto"/>
              <w:left w:val="dotted" w:sz="4" w:space="0" w:color="BFBFBF" w:themeColor="background1" w:themeShade="BF"/>
              <w:bottom w:val="double" w:sz="4" w:space="0" w:color="auto"/>
              <w:right w:val="nil"/>
            </w:tcBorders>
            <w:shd w:val="clear" w:color="auto" w:fill="auto"/>
            <w:noWrap/>
            <w:vAlign w:val="bottom"/>
            <w:hideMark/>
          </w:tcPr>
          <w:p w14:paraId="54CBF9F1" w14:textId="77777777" w:rsidR="00730DE4" w:rsidRPr="00730DE4" w:rsidRDefault="00730DE4" w:rsidP="00193BC7">
            <w:pPr>
              <w:pStyle w:val="NoSpacing"/>
              <w:jc w:val="right"/>
              <w:rPr>
                <w:rStyle w:val="Strong"/>
              </w:rPr>
            </w:pPr>
            <w:r w:rsidRPr="00730DE4">
              <w:rPr>
                <w:rStyle w:val="Strong"/>
              </w:rPr>
              <w:t>(1,629)</w:t>
            </w:r>
          </w:p>
        </w:tc>
      </w:tr>
    </w:tbl>
    <w:p w14:paraId="34992956" w14:textId="77777777" w:rsidR="00730DE4" w:rsidRPr="00730DE4" w:rsidRDefault="00730DE4" w:rsidP="009D3417">
      <w:pPr>
        <w:pStyle w:val="NoSpacing"/>
      </w:pPr>
      <w:r w:rsidRPr="00730DE4">
        <w:br w:type="page"/>
      </w:r>
    </w:p>
    <w:p w14:paraId="72D3A5AD" w14:textId="77777777" w:rsidR="00730DE4" w:rsidRPr="00730DE4" w:rsidRDefault="00730DE4" w:rsidP="00A9765E">
      <w:pPr>
        <w:pStyle w:val="NoSpacing"/>
        <w:rPr>
          <w:b/>
          <w:bCs/>
          <w:sz w:val="24"/>
          <w:szCs w:val="24"/>
        </w:rPr>
      </w:pPr>
      <w:r w:rsidRPr="00730DE4">
        <w:rPr>
          <w:b/>
          <w:bCs/>
          <w:sz w:val="24"/>
          <w:szCs w:val="24"/>
        </w:rPr>
        <w:t>Statement of comprehensive income by major departmental services (continued)</w:t>
      </w:r>
    </w:p>
    <w:p w14:paraId="3C87CB18" w14:textId="77777777" w:rsidR="00730DE4" w:rsidRPr="00730DE4" w:rsidRDefault="00730DE4" w:rsidP="00A9765E">
      <w:pPr>
        <w:pStyle w:val="NoSpacing"/>
        <w:rPr>
          <w:sz w:val="24"/>
          <w:szCs w:val="24"/>
        </w:rPr>
      </w:pPr>
      <w:r w:rsidRPr="00730DE4">
        <w:rPr>
          <w:sz w:val="24"/>
          <w:szCs w:val="24"/>
        </w:rPr>
        <w:t>For the year ended 30 June 2024</w:t>
      </w:r>
    </w:p>
    <w:p w14:paraId="40872B44" w14:textId="77777777" w:rsidR="00730DE4" w:rsidRPr="00730DE4" w:rsidRDefault="00730DE4" w:rsidP="009D3417">
      <w:pPr>
        <w:pStyle w:val="NoSpacing"/>
      </w:pPr>
    </w:p>
    <w:tbl>
      <w:tblPr>
        <w:tblW w:w="5000" w:type="pct"/>
        <w:tblLayout w:type="fixed"/>
        <w:tblCellMar>
          <w:top w:w="23" w:type="dxa"/>
          <w:left w:w="23" w:type="dxa"/>
          <w:bottom w:w="23" w:type="dxa"/>
          <w:right w:w="23" w:type="dxa"/>
        </w:tblCellMar>
        <w:tblLook w:val="04A0" w:firstRow="1" w:lastRow="0" w:firstColumn="1" w:lastColumn="0" w:noHBand="0" w:noVBand="1"/>
      </w:tblPr>
      <w:tblGrid>
        <w:gridCol w:w="5671"/>
        <w:gridCol w:w="2550"/>
        <w:gridCol w:w="2550"/>
        <w:gridCol w:w="2551"/>
        <w:gridCol w:w="2551"/>
        <w:gridCol w:w="2551"/>
        <w:gridCol w:w="2551"/>
      </w:tblGrid>
      <w:tr w:rsidR="00730DE4" w:rsidRPr="00730DE4" w14:paraId="221D3058" w14:textId="77777777" w:rsidTr="00253FBD">
        <w:trPr>
          <w:trHeight w:val="198"/>
        </w:trPr>
        <w:tc>
          <w:tcPr>
            <w:tcW w:w="1352" w:type="pct"/>
            <w:tcBorders>
              <w:top w:val="nil"/>
              <w:left w:val="nil"/>
              <w:bottom w:val="single" w:sz="4" w:space="0" w:color="auto"/>
              <w:right w:val="nil"/>
            </w:tcBorders>
            <w:vAlign w:val="bottom"/>
          </w:tcPr>
          <w:p w14:paraId="1C93977D" w14:textId="77777777" w:rsidR="00730DE4" w:rsidRPr="00730DE4" w:rsidRDefault="00730DE4" w:rsidP="00C8541B">
            <w:pPr>
              <w:pStyle w:val="NoSpacing"/>
              <w:rPr>
                <w:rStyle w:val="Strong"/>
              </w:rPr>
            </w:pPr>
            <w:r w:rsidRPr="00730DE4">
              <w:rPr>
                <w:rStyle w:val="Strong"/>
              </w:rPr>
              <w:t>Operating result</w:t>
            </w:r>
          </w:p>
        </w:tc>
        <w:tc>
          <w:tcPr>
            <w:tcW w:w="608" w:type="pct"/>
            <w:tcBorders>
              <w:top w:val="nil"/>
              <w:left w:val="nil"/>
              <w:bottom w:val="single" w:sz="4" w:space="0" w:color="auto"/>
              <w:right w:val="nil"/>
            </w:tcBorders>
            <w:shd w:val="clear" w:color="auto" w:fill="auto"/>
            <w:noWrap/>
            <w:vAlign w:val="bottom"/>
            <w:hideMark/>
          </w:tcPr>
          <w:p w14:paraId="65274A55" w14:textId="77777777" w:rsidR="00730DE4" w:rsidRPr="00730DE4" w:rsidRDefault="00730DE4" w:rsidP="00C8541B">
            <w:pPr>
              <w:pStyle w:val="NoSpacing"/>
              <w:jc w:val="right"/>
              <w:rPr>
                <w:rStyle w:val="Strong"/>
              </w:rPr>
            </w:pPr>
            <w:r w:rsidRPr="00730DE4">
              <w:rPr>
                <w:rStyle w:val="Strong"/>
              </w:rPr>
              <w:t xml:space="preserve">Customer </w:t>
            </w:r>
            <w:r w:rsidRPr="00730DE4">
              <w:rPr>
                <w:rStyle w:val="Strong"/>
              </w:rPr>
              <w:br/>
              <w:t xml:space="preserve">and Digital Group </w:t>
            </w:r>
            <w:r w:rsidRPr="00730DE4">
              <w:rPr>
                <w:rStyle w:val="Strong"/>
              </w:rPr>
              <w:br/>
            </w:r>
            <w:r w:rsidRPr="00730DE4">
              <w:rPr>
                <w:rStyle w:val="Strong"/>
              </w:rPr>
              <w:br/>
              <w:t>2023</w:t>
            </w:r>
            <w:r w:rsidRPr="00730DE4">
              <w:rPr>
                <w:rStyle w:val="Strong"/>
              </w:rPr>
              <w:br/>
              <w:t>$'000</w:t>
            </w:r>
          </w:p>
        </w:tc>
        <w:tc>
          <w:tcPr>
            <w:tcW w:w="608" w:type="pct"/>
            <w:tcBorders>
              <w:top w:val="nil"/>
              <w:left w:val="nil"/>
              <w:bottom w:val="single" w:sz="4" w:space="0" w:color="auto"/>
              <w:right w:val="nil"/>
            </w:tcBorders>
            <w:shd w:val="clear" w:color="auto" w:fill="auto"/>
            <w:noWrap/>
            <w:vAlign w:val="bottom"/>
            <w:hideMark/>
          </w:tcPr>
          <w:p w14:paraId="2F5B9A5D" w14:textId="77777777" w:rsidR="00730DE4" w:rsidRPr="00730DE4" w:rsidRDefault="00730DE4" w:rsidP="00C8541B">
            <w:pPr>
              <w:pStyle w:val="NoSpacing"/>
              <w:jc w:val="right"/>
              <w:rPr>
                <w:color w:val="080C0F" w:themeColor="text1"/>
              </w:rPr>
            </w:pPr>
            <w:r w:rsidRPr="00730DE4">
              <w:rPr>
                <w:rStyle w:val="Strong"/>
              </w:rPr>
              <w:t>CITEC</w:t>
            </w:r>
            <w:r w:rsidRPr="00730DE4">
              <w:rPr>
                <w:rStyle w:val="Strong"/>
              </w:rPr>
              <w:br/>
              <w:t xml:space="preserve"> </w:t>
            </w:r>
            <w:r w:rsidRPr="00730DE4">
              <w:rPr>
                <w:rStyle w:val="Strong"/>
              </w:rPr>
              <w:br/>
            </w:r>
            <w:r w:rsidRPr="00730DE4">
              <w:rPr>
                <w:rStyle w:val="Strong"/>
              </w:rPr>
              <w:br/>
              <w:t xml:space="preserve">2023 </w:t>
            </w:r>
            <w:r w:rsidRPr="00730DE4">
              <w:rPr>
                <w:rStyle w:val="Strong"/>
              </w:rPr>
              <w:br/>
              <w:t>$'000</w:t>
            </w:r>
          </w:p>
        </w:tc>
        <w:tc>
          <w:tcPr>
            <w:tcW w:w="608" w:type="pct"/>
            <w:tcBorders>
              <w:top w:val="nil"/>
              <w:left w:val="nil"/>
              <w:bottom w:val="single" w:sz="4" w:space="0" w:color="auto"/>
              <w:right w:val="nil"/>
            </w:tcBorders>
            <w:shd w:val="clear" w:color="auto" w:fill="auto"/>
            <w:noWrap/>
            <w:vAlign w:val="bottom"/>
            <w:hideMark/>
          </w:tcPr>
          <w:p w14:paraId="683DA272" w14:textId="77777777" w:rsidR="00730DE4" w:rsidRPr="00730DE4" w:rsidRDefault="00730DE4" w:rsidP="00C8541B">
            <w:pPr>
              <w:pStyle w:val="NoSpacing"/>
              <w:jc w:val="right"/>
              <w:rPr>
                <w:color w:val="080C0F" w:themeColor="text1"/>
              </w:rPr>
            </w:pPr>
            <w:r w:rsidRPr="00730DE4">
              <w:rPr>
                <w:rStyle w:val="Strong"/>
              </w:rPr>
              <w:t xml:space="preserve">Queensland </w:t>
            </w:r>
            <w:r w:rsidRPr="00730DE4">
              <w:rPr>
                <w:rStyle w:val="Strong"/>
              </w:rPr>
              <w:br/>
              <w:t xml:space="preserve">Shared Services </w:t>
            </w:r>
            <w:r w:rsidRPr="00730DE4">
              <w:rPr>
                <w:rStyle w:val="Strong"/>
              </w:rPr>
              <w:br/>
            </w:r>
            <w:r w:rsidRPr="00730DE4">
              <w:rPr>
                <w:rStyle w:val="Strong"/>
              </w:rPr>
              <w:br/>
              <w:t xml:space="preserve">2023 </w:t>
            </w:r>
            <w:r w:rsidRPr="00730DE4">
              <w:rPr>
                <w:rStyle w:val="Strong"/>
              </w:rPr>
              <w:br/>
              <w:t>$'000</w:t>
            </w:r>
          </w:p>
        </w:tc>
        <w:tc>
          <w:tcPr>
            <w:tcW w:w="608" w:type="pct"/>
            <w:tcBorders>
              <w:top w:val="nil"/>
              <w:left w:val="nil"/>
              <w:bottom w:val="single" w:sz="4" w:space="0" w:color="auto"/>
              <w:right w:val="nil"/>
            </w:tcBorders>
            <w:shd w:val="clear" w:color="auto" w:fill="auto"/>
            <w:noWrap/>
            <w:vAlign w:val="bottom"/>
            <w:hideMark/>
          </w:tcPr>
          <w:p w14:paraId="1F8DE641" w14:textId="77777777" w:rsidR="00730DE4" w:rsidRPr="00730DE4" w:rsidRDefault="00730DE4" w:rsidP="00C8541B">
            <w:pPr>
              <w:pStyle w:val="NoSpacing"/>
              <w:jc w:val="right"/>
              <w:rPr>
                <w:color w:val="080C0F" w:themeColor="text1"/>
              </w:rPr>
            </w:pPr>
            <w:r w:rsidRPr="00730DE4">
              <w:rPr>
                <w:rStyle w:val="Strong"/>
              </w:rPr>
              <w:t xml:space="preserve">Corporate </w:t>
            </w:r>
            <w:r w:rsidRPr="00730DE4">
              <w:rPr>
                <w:rStyle w:val="Strong"/>
              </w:rPr>
              <w:br/>
              <w:t xml:space="preserve">Administration Agency </w:t>
            </w:r>
            <w:r w:rsidRPr="00730DE4">
              <w:rPr>
                <w:rStyle w:val="Strong"/>
              </w:rPr>
              <w:br/>
            </w:r>
            <w:r w:rsidRPr="00730DE4">
              <w:rPr>
                <w:rStyle w:val="Strong"/>
              </w:rPr>
              <w:br/>
              <w:t xml:space="preserve">2023 </w:t>
            </w:r>
            <w:r w:rsidRPr="00730DE4">
              <w:rPr>
                <w:rStyle w:val="Strong"/>
              </w:rPr>
              <w:br/>
              <w:t>$'000</w:t>
            </w:r>
          </w:p>
        </w:tc>
        <w:tc>
          <w:tcPr>
            <w:tcW w:w="608" w:type="pct"/>
            <w:tcBorders>
              <w:top w:val="nil"/>
              <w:left w:val="nil"/>
              <w:bottom w:val="single" w:sz="4" w:space="0" w:color="auto"/>
              <w:right w:val="nil"/>
            </w:tcBorders>
            <w:shd w:val="clear" w:color="auto" w:fill="auto"/>
            <w:noWrap/>
            <w:vAlign w:val="bottom"/>
            <w:hideMark/>
          </w:tcPr>
          <w:p w14:paraId="21C7023D" w14:textId="77777777" w:rsidR="00730DE4" w:rsidRPr="00730DE4" w:rsidRDefault="00730DE4" w:rsidP="00C8541B">
            <w:pPr>
              <w:pStyle w:val="NoSpacing"/>
              <w:jc w:val="right"/>
              <w:rPr>
                <w:color w:val="080C0F" w:themeColor="text1"/>
              </w:rPr>
            </w:pPr>
            <w:r w:rsidRPr="00730DE4">
              <w:rPr>
                <w:rStyle w:val="Strong"/>
              </w:rPr>
              <w:t>Inter-service/unit</w:t>
            </w:r>
            <w:r w:rsidRPr="00730DE4">
              <w:rPr>
                <w:rStyle w:val="Strong"/>
              </w:rPr>
              <w:br/>
              <w:t xml:space="preserve">eliminations </w:t>
            </w:r>
            <w:r w:rsidRPr="00730DE4">
              <w:rPr>
                <w:rStyle w:val="Strong"/>
              </w:rPr>
              <w:br/>
            </w:r>
            <w:r w:rsidRPr="00730DE4">
              <w:rPr>
                <w:rStyle w:val="Strong"/>
              </w:rPr>
              <w:br/>
              <w:t xml:space="preserve">2023 </w:t>
            </w:r>
            <w:r w:rsidRPr="00730DE4">
              <w:rPr>
                <w:rStyle w:val="Strong"/>
              </w:rPr>
              <w:br/>
              <w:t>$'000</w:t>
            </w:r>
          </w:p>
        </w:tc>
        <w:tc>
          <w:tcPr>
            <w:tcW w:w="608" w:type="pct"/>
            <w:tcBorders>
              <w:top w:val="nil"/>
              <w:left w:val="nil"/>
              <w:bottom w:val="single" w:sz="4" w:space="0" w:color="auto"/>
              <w:right w:val="nil"/>
            </w:tcBorders>
            <w:shd w:val="clear" w:color="auto" w:fill="auto"/>
            <w:noWrap/>
            <w:vAlign w:val="bottom"/>
            <w:hideMark/>
          </w:tcPr>
          <w:p w14:paraId="6AADA198" w14:textId="77777777" w:rsidR="00730DE4" w:rsidRPr="00730DE4" w:rsidRDefault="00730DE4" w:rsidP="00C8541B">
            <w:pPr>
              <w:pStyle w:val="NoSpacing"/>
              <w:jc w:val="right"/>
              <w:rPr>
                <w:color w:val="080C0F" w:themeColor="text1"/>
              </w:rPr>
            </w:pPr>
            <w:r w:rsidRPr="00730DE4">
              <w:rPr>
                <w:rStyle w:val="Strong"/>
              </w:rPr>
              <w:t xml:space="preserve">Total </w:t>
            </w:r>
            <w:r w:rsidRPr="00730DE4">
              <w:rPr>
                <w:rStyle w:val="Strong"/>
              </w:rPr>
              <w:br/>
              <w:t xml:space="preserve">Department </w:t>
            </w:r>
            <w:r w:rsidRPr="00730DE4">
              <w:rPr>
                <w:rStyle w:val="Strong"/>
              </w:rPr>
              <w:br/>
            </w:r>
            <w:r w:rsidRPr="00730DE4">
              <w:rPr>
                <w:rStyle w:val="Strong"/>
              </w:rPr>
              <w:br/>
              <w:t xml:space="preserve">2023 </w:t>
            </w:r>
            <w:r w:rsidRPr="00730DE4">
              <w:rPr>
                <w:rStyle w:val="Strong"/>
              </w:rPr>
              <w:br/>
              <w:t>$'000</w:t>
            </w:r>
          </w:p>
        </w:tc>
      </w:tr>
      <w:tr w:rsidR="00730DE4" w:rsidRPr="00730DE4" w14:paraId="70795A87" w14:textId="77777777" w:rsidTr="00552182">
        <w:trPr>
          <w:trHeight w:val="340"/>
        </w:trPr>
        <w:tc>
          <w:tcPr>
            <w:tcW w:w="1352"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vAlign w:val="bottom"/>
          </w:tcPr>
          <w:p w14:paraId="54D45791" w14:textId="77777777" w:rsidR="00730DE4" w:rsidRPr="00730DE4" w:rsidRDefault="00730DE4" w:rsidP="00C8541B">
            <w:pPr>
              <w:pStyle w:val="NoSpacing"/>
              <w:rPr>
                <w:rStyle w:val="Strong"/>
              </w:rPr>
            </w:pPr>
            <w:r w:rsidRPr="00730DE4">
              <w:rPr>
                <w:rStyle w:val="Strong"/>
              </w:rPr>
              <w:t>Income</w:t>
            </w: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713026F8" w14:textId="77777777" w:rsidR="00730DE4" w:rsidRPr="00730DE4" w:rsidRDefault="00730DE4" w:rsidP="00C8541B">
            <w:pPr>
              <w:pStyle w:val="NoSpacing"/>
              <w:jc w:val="right"/>
              <w:rPr>
                <w:rStyle w:val="Strong"/>
              </w:rPr>
            </w:pP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5F53FB5E" w14:textId="77777777" w:rsidR="00730DE4" w:rsidRPr="00730DE4" w:rsidRDefault="00730DE4" w:rsidP="00C8541B">
            <w:pPr>
              <w:pStyle w:val="NoSpacing"/>
              <w:jc w:val="right"/>
              <w:rPr>
                <w:rStyle w:val="Strong"/>
              </w:rPr>
            </w:pP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33DF27FB" w14:textId="77777777" w:rsidR="00730DE4" w:rsidRPr="00730DE4" w:rsidRDefault="00730DE4" w:rsidP="00C8541B">
            <w:pPr>
              <w:pStyle w:val="NoSpacing"/>
              <w:jc w:val="right"/>
              <w:rPr>
                <w:rStyle w:val="Strong"/>
              </w:rPr>
            </w:pP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130D9211" w14:textId="77777777" w:rsidR="00730DE4" w:rsidRPr="00730DE4" w:rsidRDefault="00730DE4" w:rsidP="00C8541B">
            <w:pPr>
              <w:pStyle w:val="NoSpacing"/>
              <w:jc w:val="right"/>
              <w:rPr>
                <w:rStyle w:val="Strong"/>
              </w:rPr>
            </w:pP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0AA94D67" w14:textId="77777777" w:rsidR="00730DE4" w:rsidRPr="00730DE4" w:rsidRDefault="00730DE4" w:rsidP="00C8541B">
            <w:pPr>
              <w:pStyle w:val="NoSpacing"/>
              <w:jc w:val="right"/>
              <w:rPr>
                <w:rStyle w:val="Strong"/>
              </w:rPr>
            </w:pPr>
          </w:p>
        </w:tc>
        <w:tc>
          <w:tcPr>
            <w:tcW w:w="608"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vAlign w:val="bottom"/>
          </w:tcPr>
          <w:p w14:paraId="1C0B16E0" w14:textId="77777777" w:rsidR="00730DE4" w:rsidRPr="00730DE4" w:rsidRDefault="00730DE4" w:rsidP="00C8541B">
            <w:pPr>
              <w:pStyle w:val="NoSpacing"/>
              <w:jc w:val="right"/>
              <w:rPr>
                <w:rStyle w:val="Strong"/>
              </w:rPr>
            </w:pPr>
          </w:p>
        </w:tc>
      </w:tr>
      <w:tr w:rsidR="00730DE4" w:rsidRPr="00730DE4" w14:paraId="78153E5F" w14:textId="77777777" w:rsidTr="00552182">
        <w:trPr>
          <w:trHeight w:val="340"/>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7A92CDFF" w14:textId="77777777" w:rsidR="00730DE4" w:rsidRPr="00730DE4" w:rsidRDefault="00730DE4" w:rsidP="00A115E3">
            <w:pPr>
              <w:pStyle w:val="NoSpacingIndent"/>
            </w:pPr>
            <w:r w:rsidRPr="00730DE4">
              <w:t>Appropriation revenue</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CF5B1A3" w14:textId="77777777" w:rsidR="00730DE4" w:rsidRPr="00730DE4" w:rsidRDefault="00730DE4" w:rsidP="00C8541B">
            <w:pPr>
              <w:pStyle w:val="NoSpacing"/>
              <w:jc w:val="right"/>
              <w:rPr>
                <w:color w:val="080C0F" w:themeColor="text1"/>
              </w:rPr>
            </w:pPr>
            <w:r w:rsidRPr="00730DE4">
              <w:rPr>
                <w:color w:val="080C0F" w:themeColor="text1"/>
              </w:rPr>
              <w:t xml:space="preserve">13,712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8AC99C0" w14:textId="77777777" w:rsidR="00730DE4" w:rsidRPr="00730DE4" w:rsidRDefault="00730DE4" w:rsidP="00C8541B">
            <w:pPr>
              <w:pStyle w:val="NoSpacing"/>
              <w:jc w:val="right"/>
              <w:rPr>
                <w:color w:val="080C0F" w:themeColor="text1"/>
              </w:rPr>
            </w:pPr>
            <w:r w:rsidRPr="00730DE4">
              <w:rPr>
                <w:color w:val="080C0F" w:themeColor="text1"/>
              </w:rPr>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0932502" w14:textId="77777777" w:rsidR="00730DE4" w:rsidRPr="00730DE4" w:rsidRDefault="00730DE4" w:rsidP="00C8541B">
            <w:pPr>
              <w:pStyle w:val="NoSpacing"/>
              <w:jc w:val="right"/>
              <w:rPr>
                <w:color w:val="080C0F" w:themeColor="text1"/>
              </w:rPr>
            </w:pPr>
            <w:r w:rsidRPr="00730DE4">
              <w:rPr>
                <w:color w:val="080C0F" w:themeColor="text1"/>
              </w:rPr>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7FF716E" w14:textId="77777777" w:rsidR="00730DE4" w:rsidRPr="00730DE4" w:rsidRDefault="00730DE4" w:rsidP="00C8541B">
            <w:pPr>
              <w:pStyle w:val="NoSpacing"/>
              <w:jc w:val="right"/>
              <w:rPr>
                <w:color w:val="080C0F" w:themeColor="text1"/>
              </w:rPr>
            </w:pPr>
            <w:r w:rsidRPr="00730DE4">
              <w:rPr>
                <w:color w:val="080C0F" w:themeColor="text1"/>
              </w:rPr>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DAF492E" w14:textId="77777777" w:rsidR="00730DE4" w:rsidRPr="00730DE4" w:rsidRDefault="00730DE4" w:rsidP="00C8541B">
            <w:pPr>
              <w:pStyle w:val="NoSpacing"/>
              <w:jc w:val="right"/>
              <w:rPr>
                <w:color w:val="080C0F" w:themeColor="text1"/>
              </w:rPr>
            </w:pPr>
            <w:r w:rsidRPr="00730DE4">
              <w:rPr>
                <w:color w:val="080C0F" w:themeColor="text1"/>
              </w:rPr>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8971BE1" w14:textId="77777777" w:rsidR="00730DE4" w:rsidRPr="00730DE4" w:rsidRDefault="00730DE4" w:rsidP="00C8541B">
            <w:pPr>
              <w:pStyle w:val="NoSpacing"/>
              <w:jc w:val="right"/>
              <w:rPr>
                <w:rStyle w:val="Strong"/>
              </w:rPr>
            </w:pPr>
            <w:r w:rsidRPr="00730DE4">
              <w:rPr>
                <w:rStyle w:val="Strong"/>
              </w:rPr>
              <w:t xml:space="preserve">6,371,614 </w:t>
            </w:r>
          </w:p>
        </w:tc>
      </w:tr>
      <w:tr w:rsidR="00730DE4" w:rsidRPr="00730DE4" w14:paraId="484FFADF" w14:textId="77777777" w:rsidTr="00552182">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6206AA79" w14:textId="77777777" w:rsidR="00730DE4" w:rsidRPr="00730DE4" w:rsidRDefault="00730DE4" w:rsidP="00A115E3">
            <w:pPr>
              <w:pStyle w:val="NoSpacingIndent"/>
            </w:pPr>
            <w:r w:rsidRPr="00730DE4">
              <w:t>User charges and fees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4C6D207" w14:textId="77777777" w:rsidR="00730DE4" w:rsidRPr="00730DE4" w:rsidRDefault="00730DE4" w:rsidP="00C8541B">
            <w:pPr>
              <w:pStyle w:val="NoSpacing"/>
              <w:jc w:val="right"/>
              <w:rPr>
                <w:color w:val="080C0F" w:themeColor="text1"/>
              </w:rPr>
            </w:pPr>
            <w:r w:rsidRPr="00730DE4">
              <w:rPr>
                <w:color w:val="080C0F" w:themeColor="text1"/>
              </w:rPr>
              <w:t xml:space="preserve">5,392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A7429DD" w14:textId="77777777" w:rsidR="00730DE4" w:rsidRPr="00730DE4" w:rsidRDefault="00730DE4" w:rsidP="00C8541B">
            <w:pPr>
              <w:pStyle w:val="NoSpacing"/>
              <w:jc w:val="right"/>
              <w:rPr>
                <w:color w:val="080C0F" w:themeColor="text1"/>
              </w:rPr>
            </w:pPr>
            <w:r w:rsidRPr="00730DE4">
              <w:rPr>
                <w:color w:val="080C0F" w:themeColor="text1"/>
              </w:rPr>
              <w:t xml:space="preserve">13,159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576DC86" w14:textId="77777777" w:rsidR="00730DE4" w:rsidRPr="00730DE4" w:rsidRDefault="00730DE4" w:rsidP="00C8541B">
            <w:pPr>
              <w:pStyle w:val="NoSpacing"/>
              <w:jc w:val="right"/>
              <w:rPr>
                <w:color w:val="080C0F" w:themeColor="text1"/>
              </w:rPr>
            </w:pPr>
            <w:r w:rsidRPr="00730DE4">
              <w:rPr>
                <w:color w:val="080C0F" w:themeColor="text1"/>
              </w:rPr>
              <w:t xml:space="preserve">12,593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BF6E755" w14:textId="77777777" w:rsidR="00730DE4" w:rsidRPr="00730DE4" w:rsidRDefault="00730DE4" w:rsidP="00C8541B">
            <w:pPr>
              <w:pStyle w:val="NoSpacing"/>
              <w:jc w:val="right"/>
              <w:rPr>
                <w:color w:val="080C0F" w:themeColor="text1"/>
              </w:rPr>
            </w:pPr>
            <w:r w:rsidRPr="00730DE4">
              <w:rPr>
                <w:color w:val="080C0F" w:themeColor="text1"/>
              </w:rPr>
              <w:t xml:space="preserve">1,114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A157BDF" w14:textId="77777777" w:rsidR="00730DE4" w:rsidRPr="00730DE4" w:rsidRDefault="00730DE4" w:rsidP="00C8541B">
            <w:pPr>
              <w:pStyle w:val="NoSpacing"/>
              <w:jc w:val="right"/>
              <w:rPr>
                <w:color w:val="080C0F" w:themeColor="text1"/>
              </w:rPr>
            </w:pPr>
            <w:r w:rsidRPr="00730DE4">
              <w:rPr>
                <w:color w:val="080C0F" w:themeColor="text1"/>
              </w:rPr>
              <w:t>(803,893)</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53E0B9A" w14:textId="77777777" w:rsidR="00730DE4" w:rsidRPr="00730DE4" w:rsidRDefault="00730DE4" w:rsidP="00C8541B">
            <w:pPr>
              <w:pStyle w:val="NoSpacing"/>
              <w:jc w:val="right"/>
              <w:rPr>
                <w:rStyle w:val="Strong"/>
              </w:rPr>
            </w:pPr>
            <w:r w:rsidRPr="00730DE4">
              <w:rPr>
                <w:rStyle w:val="Strong"/>
              </w:rPr>
              <w:t xml:space="preserve">778,843 </w:t>
            </w:r>
          </w:p>
        </w:tc>
      </w:tr>
      <w:tr w:rsidR="00730DE4" w:rsidRPr="00730DE4" w14:paraId="653208D3" w14:textId="77777777" w:rsidTr="00552182">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3F581461" w14:textId="77777777" w:rsidR="00730DE4" w:rsidRPr="00730DE4" w:rsidRDefault="00730DE4" w:rsidP="00A115E3">
            <w:pPr>
              <w:pStyle w:val="NoSpacingIndent"/>
            </w:pPr>
            <w:r w:rsidRPr="00730DE4">
              <w:t xml:space="preserve">Grants and other contributions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1129F23" w14:textId="77777777" w:rsidR="00730DE4" w:rsidRPr="00730DE4" w:rsidRDefault="00730DE4" w:rsidP="00C8541B">
            <w:pPr>
              <w:pStyle w:val="NoSpacing"/>
              <w:jc w:val="right"/>
              <w:rPr>
                <w:color w:val="080C0F" w:themeColor="text1"/>
              </w:rPr>
            </w:pPr>
            <w:r w:rsidRPr="00730DE4">
              <w:rPr>
                <w:color w:val="080C0F" w:themeColor="text1"/>
              </w:rPr>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26FC9A6" w14:textId="77777777" w:rsidR="00730DE4" w:rsidRPr="00730DE4" w:rsidRDefault="00730DE4" w:rsidP="00C8541B">
            <w:pPr>
              <w:pStyle w:val="NoSpacing"/>
              <w:jc w:val="right"/>
              <w:rPr>
                <w:color w:val="080C0F" w:themeColor="text1"/>
              </w:rPr>
            </w:pPr>
            <w:r w:rsidRPr="00730DE4">
              <w:rPr>
                <w:color w:val="080C0F" w:themeColor="text1"/>
              </w:rPr>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597A72C" w14:textId="77777777" w:rsidR="00730DE4" w:rsidRPr="00730DE4" w:rsidRDefault="00730DE4" w:rsidP="00C8541B">
            <w:pPr>
              <w:pStyle w:val="NoSpacing"/>
              <w:jc w:val="right"/>
              <w:rPr>
                <w:color w:val="080C0F" w:themeColor="text1"/>
              </w:rPr>
            </w:pPr>
            <w:r w:rsidRPr="00730DE4">
              <w:rPr>
                <w:color w:val="080C0F" w:themeColor="text1"/>
              </w:rPr>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5F4E980" w14:textId="77777777" w:rsidR="00730DE4" w:rsidRPr="00730DE4" w:rsidRDefault="00730DE4" w:rsidP="00C8541B">
            <w:pPr>
              <w:pStyle w:val="NoSpacing"/>
              <w:jc w:val="right"/>
              <w:rPr>
                <w:color w:val="080C0F" w:themeColor="text1"/>
              </w:rPr>
            </w:pPr>
            <w:r w:rsidRPr="00730DE4">
              <w:rPr>
                <w:color w:val="080C0F" w:themeColor="text1"/>
              </w:rPr>
              <w:t xml:space="preserve">24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FAE94EA" w14:textId="77777777" w:rsidR="00730DE4" w:rsidRPr="00730DE4" w:rsidRDefault="00730DE4" w:rsidP="00C8541B">
            <w:pPr>
              <w:pStyle w:val="NoSpacing"/>
              <w:jc w:val="right"/>
              <w:rPr>
                <w:color w:val="080C0F" w:themeColor="text1"/>
              </w:rPr>
            </w:pPr>
            <w:r w:rsidRPr="00730DE4">
              <w:rPr>
                <w:color w:val="080C0F" w:themeColor="text1"/>
              </w:rPr>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7939E70" w14:textId="77777777" w:rsidR="00730DE4" w:rsidRPr="00730DE4" w:rsidRDefault="00730DE4" w:rsidP="00C8541B">
            <w:pPr>
              <w:pStyle w:val="NoSpacing"/>
              <w:jc w:val="right"/>
              <w:rPr>
                <w:rStyle w:val="Strong"/>
              </w:rPr>
            </w:pPr>
            <w:r w:rsidRPr="00730DE4">
              <w:rPr>
                <w:rStyle w:val="Strong"/>
              </w:rPr>
              <w:t xml:space="preserve">276,088 </w:t>
            </w:r>
          </w:p>
        </w:tc>
      </w:tr>
      <w:tr w:rsidR="00730DE4" w:rsidRPr="00730DE4" w14:paraId="57A6542B" w14:textId="77777777" w:rsidTr="00552182">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4B897432" w14:textId="77777777" w:rsidR="00730DE4" w:rsidRPr="00730DE4" w:rsidRDefault="00730DE4" w:rsidP="00A115E3">
            <w:pPr>
              <w:pStyle w:val="NoSpacingIndent"/>
            </w:pPr>
            <w:r w:rsidRPr="00730DE4">
              <w:t>Service concession arrangements revenue</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33B916E" w14:textId="77777777" w:rsidR="00730DE4" w:rsidRPr="00730DE4" w:rsidRDefault="00730DE4" w:rsidP="00C8541B">
            <w:pPr>
              <w:pStyle w:val="NoSpacing"/>
              <w:jc w:val="right"/>
              <w:rPr>
                <w:color w:val="080C0F" w:themeColor="text1"/>
              </w:rPr>
            </w:pPr>
            <w:r w:rsidRPr="00730DE4">
              <w:rPr>
                <w:color w:val="080C0F" w:themeColor="text1"/>
              </w:rPr>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F471F0C" w14:textId="77777777" w:rsidR="00730DE4" w:rsidRPr="00730DE4" w:rsidRDefault="00730DE4" w:rsidP="00C8541B">
            <w:pPr>
              <w:pStyle w:val="NoSpacing"/>
              <w:jc w:val="right"/>
              <w:rPr>
                <w:color w:val="080C0F" w:themeColor="text1"/>
              </w:rPr>
            </w:pPr>
            <w:r w:rsidRPr="00730DE4">
              <w:rPr>
                <w:color w:val="080C0F" w:themeColor="text1"/>
              </w:rPr>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67EF363" w14:textId="77777777" w:rsidR="00730DE4" w:rsidRPr="00730DE4" w:rsidRDefault="00730DE4" w:rsidP="00C8541B">
            <w:pPr>
              <w:pStyle w:val="NoSpacing"/>
              <w:jc w:val="right"/>
              <w:rPr>
                <w:color w:val="080C0F" w:themeColor="text1"/>
              </w:rPr>
            </w:pPr>
            <w:r w:rsidRPr="00730DE4">
              <w:rPr>
                <w:color w:val="080C0F" w:themeColor="text1"/>
              </w:rPr>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F4C099B" w14:textId="77777777" w:rsidR="00730DE4" w:rsidRPr="00730DE4" w:rsidRDefault="00730DE4" w:rsidP="00C8541B">
            <w:pPr>
              <w:pStyle w:val="NoSpacing"/>
              <w:jc w:val="right"/>
              <w:rPr>
                <w:color w:val="080C0F" w:themeColor="text1"/>
              </w:rPr>
            </w:pPr>
            <w:r w:rsidRPr="00730DE4">
              <w:rPr>
                <w:color w:val="080C0F" w:themeColor="text1"/>
              </w:rPr>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3198E33" w14:textId="77777777" w:rsidR="00730DE4" w:rsidRPr="00730DE4" w:rsidRDefault="00730DE4" w:rsidP="00C8541B">
            <w:pPr>
              <w:pStyle w:val="NoSpacing"/>
              <w:jc w:val="right"/>
              <w:rPr>
                <w:color w:val="080C0F" w:themeColor="text1"/>
              </w:rPr>
            </w:pPr>
            <w:r w:rsidRPr="00730DE4">
              <w:rPr>
                <w:color w:val="080C0F" w:themeColor="text1"/>
              </w:rPr>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670FCFE" w14:textId="77777777" w:rsidR="00730DE4" w:rsidRPr="00730DE4" w:rsidRDefault="00730DE4" w:rsidP="00C8541B">
            <w:pPr>
              <w:pStyle w:val="NoSpacing"/>
              <w:jc w:val="right"/>
              <w:rPr>
                <w:rStyle w:val="Strong"/>
              </w:rPr>
            </w:pPr>
            <w:r w:rsidRPr="00730DE4">
              <w:rPr>
                <w:rStyle w:val="Strong"/>
              </w:rPr>
              <w:t xml:space="preserve">232,180 </w:t>
            </w:r>
          </w:p>
        </w:tc>
      </w:tr>
      <w:tr w:rsidR="00730DE4" w:rsidRPr="00730DE4" w14:paraId="6CF4EC8A" w14:textId="77777777" w:rsidTr="00552182">
        <w:trPr>
          <w:trHeight w:val="198"/>
        </w:trPr>
        <w:tc>
          <w:tcPr>
            <w:tcW w:w="1352"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vAlign w:val="bottom"/>
          </w:tcPr>
          <w:p w14:paraId="22F7E2CB" w14:textId="77777777" w:rsidR="00730DE4" w:rsidRPr="00730DE4" w:rsidRDefault="00730DE4" w:rsidP="00A115E3">
            <w:pPr>
              <w:pStyle w:val="NoSpacingIndent"/>
            </w:pPr>
            <w:r w:rsidRPr="00730DE4">
              <w:t>Other revenue</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1AC4522D" w14:textId="77777777" w:rsidR="00730DE4" w:rsidRPr="00730DE4" w:rsidRDefault="00730DE4" w:rsidP="00C8541B">
            <w:pPr>
              <w:pStyle w:val="NoSpacing"/>
              <w:jc w:val="right"/>
              <w:rPr>
                <w:color w:val="080C0F" w:themeColor="text1"/>
              </w:rPr>
            </w:pPr>
            <w:r w:rsidRPr="00730DE4">
              <w:rPr>
                <w:color w:val="080C0F" w:themeColor="text1"/>
              </w:rPr>
              <w:t xml:space="preserve">2,697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7891464F" w14:textId="77777777" w:rsidR="00730DE4" w:rsidRPr="00730DE4" w:rsidRDefault="00730DE4" w:rsidP="00C8541B">
            <w:pPr>
              <w:pStyle w:val="NoSpacing"/>
              <w:jc w:val="right"/>
              <w:rPr>
                <w:color w:val="080C0F" w:themeColor="text1"/>
              </w:rPr>
            </w:pPr>
            <w:r w:rsidRPr="00730DE4">
              <w:rPr>
                <w:color w:val="080C0F" w:themeColor="text1"/>
              </w:rPr>
              <w:t xml:space="preserve">1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78434D37" w14:textId="77777777" w:rsidR="00730DE4" w:rsidRPr="00730DE4" w:rsidRDefault="00730DE4" w:rsidP="00C8541B">
            <w:pPr>
              <w:pStyle w:val="NoSpacing"/>
              <w:jc w:val="right"/>
              <w:rPr>
                <w:color w:val="080C0F" w:themeColor="text1"/>
              </w:rPr>
            </w:pPr>
            <w:r w:rsidRPr="00730DE4">
              <w:rPr>
                <w:color w:val="080C0F" w:themeColor="text1"/>
              </w:rPr>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48F63562" w14:textId="77777777" w:rsidR="00730DE4" w:rsidRPr="00730DE4" w:rsidRDefault="00730DE4" w:rsidP="00C8541B">
            <w:pPr>
              <w:pStyle w:val="NoSpacing"/>
              <w:jc w:val="right"/>
              <w:rPr>
                <w:color w:val="080C0F" w:themeColor="text1"/>
              </w:rPr>
            </w:pPr>
            <w:r w:rsidRPr="00730DE4">
              <w:rPr>
                <w:color w:val="080C0F" w:themeColor="text1"/>
              </w:rPr>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286ADAED" w14:textId="77777777" w:rsidR="00730DE4" w:rsidRPr="00730DE4" w:rsidRDefault="00730DE4" w:rsidP="00C8541B">
            <w:pPr>
              <w:pStyle w:val="NoSpacing"/>
              <w:jc w:val="right"/>
              <w:rPr>
                <w:color w:val="080C0F" w:themeColor="text1"/>
              </w:rPr>
            </w:pPr>
            <w:r w:rsidRPr="00730DE4">
              <w:rPr>
                <w:color w:val="080C0F" w:themeColor="text1"/>
              </w:rPr>
              <w:t>(25,677)</w:t>
            </w:r>
          </w:p>
        </w:tc>
        <w:tc>
          <w:tcPr>
            <w:tcW w:w="608"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265D8646" w14:textId="77777777" w:rsidR="00730DE4" w:rsidRPr="00730DE4" w:rsidRDefault="00730DE4" w:rsidP="00C8541B">
            <w:pPr>
              <w:pStyle w:val="NoSpacing"/>
              <w:jc w:val="right"/>
              <w:rPr>
                <w:rStyle w:val="Strong"/>
              </w:rPr>
            </w:pPr>
            <w:r w:rsidRPr="00730DE4">
              <w:rPr>
                <w:rStyle w:val="Strong"/>
              </w:rPr>
              <w:t xml:space="preserve">31,784 </w:t>
            </w:r>
          </w:p>
        </w:tc>
      </w:tr>
      <w:tr w:rsidR="00730DE4" w:rsidRPr="00730DE4" w14:paraId="78D4F37A" w14:textId="77777777" w:rsidTr="00552182">
        <w:trPr>
          <w:trHeight w:val="340"/>
        </w:trPr>
        <w:tc>
          <w:tcPr>
            <w:tcW w:w="1352" w:type="pct"/>
            <w:tcBorders>
              <w:top w:val="single" w:sz="4" w:space="0" w:color="auto"/>
              <w:left w:val="nil"/>
              <w:right w:val="dotted" w:sz="4" w:space="0" w:color="BFBFBF" w:themeColor="background1" w:themeShade="BF"/>
            </w:tcBorders>
            <w:shd w:val="clear" w:color="auto" w:fill="auto"/>
          </w:tcPr>
          <w:p w14:paraId="0B23646B" w14:textId="77777777" w:rsidR="00730DE4" w:rsidRPr="00730DE4" w:rsidRDefault="00730DE4" w:rsidP="00A115E3">
            <w:pPr>
              <w:pStyle w:val="NoSpacingIndent"/>
              <w:rPr>
                <w:rStyle w:val="Strong"/>
              </w:rPr>
            </w:pPr>
            <w:r w:rsidRPr="00730DE4">
              <w:rPr>
                <w:rStyle w:val="Strong"/>
              </w:rPr>
              <w:t>Total revenue</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67D02121" w14:textId="77777777" w:rsidR="00730DE4" w:rsidRPr="00730DE4" w:rsidRDefault="00730DE4" w:rsidP="00A115E3">
            <w:pPr>
              <w:pStyle w:val="NoSpacing"/>
              <w:jc w:val="right"/>
              <w:rPr>
                <w:color w:val="080C0F" w:themeColor="text1"/>
              </w:rPr>
            </w:pPr>
            <w:r w:rsidRPr="00730DE4">
              <w:rPr>
                <w:rStyle w:val="Strong"/>
              </w:rPr>
              <w:t xml:space="preserve">21,801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3693DB09" w14:textId="77777777" w:rsidR="00730DE4" w:rsidRPr="00730DE4" w:rsidRDefault="00730DE4" w:rsidP="00A115E3">
            <w:pPr>
              <w:pStyle w:val="NoSpacing"/>
              <w:jc w:val="right"/>
              <w:rPr>
                <w:color w:val="080C0F" w:themeColor="text1"/>
              </w:rPr>
            </w:pPr>
            <w:r w:rsidRPr="00730DE4">
              <w:rPr>
                <w:rStyle w:val="Strong"/>
              </w:rPr>
              <w:t xml:space="preserve">13,160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6146BF42" w14:textId="77777777" w:rsidR="00730DE4" w:rsidRPr="00730DE4" w:rsidRDefault="00730DE4" w:rsidP="00A115E3">
            <w:pPr>
              <w:pStyle w:val="NoSpacing"/>
              <w:jc w:val="right"/>
              <w:rPr>
                <w:color w:val="080C0F" w:themeColor="text1"/>
              </w:rPr>
            </w:pPr>
            <w:r w:rsidRPr="00730DE4">
              <w:rPr>
                <w:rStyle w:val="Strong"/>
              </w:rPr>
              <w:t xml:space="preserve">12,593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722442C1" w14:textId="77777777" w:rsidR="00730DE4" w:rsidRPr="00730DE4" w:rsidRDefault="00730DE4" w:rsidP="00A115E3">
            <w:pPr>
              <w:pStyle w:val="NoSpacing"/>
              <w:jc w:val="right"/>
              <w:rPr>
                <w:color w:val="080C0F" w:themeColor="text1"/>
              </w:rPr>
            </w:pPr>
            <w:r w:rsidRPr="00730DE4">
              <w:rPr>
                <w:rStyle w:val="Strong"/>
              </w:rPr>
              <w:t xml:space="preserve">1,138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7421E903" w14:textId="77777777" w:rsidR="00730DE4" w:rsidRPr="00730DE4" w:rsidRDefault="00730DE4" w:rsidP="00A115E3">
            <w:pPr>
              <w:pStyle w:val="NoSpacing"/>
              <w:jc w:val="right"/>
              <w:rPr>
                <w:color w:val="080C0F" w:themeColor="text1"/>
              </w:rPr>
            </w:pPr>
            <w:r w:rsidRPr="00730DE4">
              <w:rPr>
                <w:rStyle w:val="Strong"/>
              </w:rPr>
              <w:t>(829,570)</w:t>
            </w:r>
          </w:p>
        </w:tc>
        <w:tc>
          <w:tcPr>
            <w:tcW w:w="608" w:type="pct"/>
            <w:tcBorders>
              <w:top w:val="single" w:sz="4" w:space="0" w:color="auto"/>
              <w:left w:val="dotted" w:sz="4" w:space="0" w:color="BFBFBF" w:themeColor="background1" w:themeShade="BF"/>
              <w:right w:val="nil"/>
            </w:tcBorders>
            <w:shd w:val="clear" w:color="auto" w:fill="auto"/>
            <w:noWrap/>
            <w:hideMark/>
          </w:tcPr>
          <w:p w14:paraId="53F4FE84" w14:textId="77777777" w:rsidR="00730DE4" w:rsidRPr="00730DE4" w:rsidRDefault="00730DE4" w:rsidP="00A115E3">
            <w:pPr>
              <w:pStyle w:val="NoSpacing"/>
              <w:jc w:val="right"/>
              <w:rPr>
                <w:rStyle w:val="Strong"/>
              </w:rPr>
            </w:pPr>
            <w:r w:rsidRPr="00730DE4">
              <w:rPr>
                <w:rStyle w:val="Strong"/>
              </w:rPr>
              <w:t xml:space="preserve">7,690,509 </w:t>
            </w:r>
          </w:p>
        </w:tc>
      </w:tr>
      <w:tr w:rsidR="00730DE4" w:rsidRPr="00730DE4" w14:paraId="161E0A9A" w14:textId="77777777" w:rsidTr="00552182">
        <w:trPr>
          <w:trHeight w:val="340"/>
        </w:trPr>
        <w:tc>
          <w:tcPr>
            <w:tcW w:w="1352" w:type="pct"/>
            <w:tcBorders>
              <w:left w:val="nil"/>
              <w:bottom w:val="single" w:sz="4" w:space="0" w:color="auto"/>
              <w:right w:val="dotted" w:sz="4" w:space="0" w:color="BFBFBF" w:themeColor="background1" w:themeShade="BF"/>
            </w:tcBorders>
            <w:shd w:val="clear" w:color="auto" w:fill="auto"/>
            <w:vAlign w:val="bottom"/>
          </w:tcPr>
          <w:p w14:paraId="1C8D943F" w14:textId="77777777" w:rsidR="00730DE4" w:rsidRPr="00730DE4" w:rsidRDefault="00730DE4" w:rsidP="00A115E3">
            <w:pPr>
              <w:pStyle w:val="NoSpacingIndent"/>
            </w:pPr>
            <w:r w:rsidRPr="00730DE4">
              <w:t>Gains on disposal of assets</w:t>
            </w:r>
          </w:p>
        </w:tc>
        <w:tc>
          <w:tcPr>
            <w:tcW w:w="608" w:type="pct"/>
            <w:tcBorders>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7E7CF15A" w14:textId="77777777" w:rsidR="00730DE4" w:rsidRPr="00730DE4" w:rsidRDefault="00730DE4" w:rsidP="005C094E">
            <w:pPr>
              <w:pStyle w:val="NoSpacing"/>
              <w:jc w:val="right"/>
              <w:rPr>
                <w:color w:val="080C0F" w:themeColor="text1"/>
              </w:rPr>
            </w:pPr>
            <w:r w:rsidRPr="00730DE4">
              <w:rPr>
                <w:color w:val="080C0F" w:themeColor="text1"/>
              </w:rPr>
              <w:t xml:space="preserve">- </w:t>
            </w:r>
          </w:p>
        </w:tc>
        <w:tc>
          <w:tcPr>
            <w:tcW w:w="608" w:type="pct"/>
            <w:tcBorders>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1A43F9F1" w14:textId="77777777" w:rsidR="00730DE4" w:rsidRPr="00730DE4" w:rsidRDefault="00730DE4" w:rsidP="005C094E">
            <w:pPr>
              <w:pStyle w:val="NoSpacing"/>
              <w:jc w:val="right"/>
              <w:rPr>
                <w:color w:val="080C0F" w:themeColor="text1"/>
              </w:rPr>
            </w:pPr>
            <w:r w:rsidRPr="00730DE4">
              <w:rPr>
                <w:color w:val="080C0F" w:themeColor="text1"/>
              </w:rPr>
              <w:t xml:space="preserve">- </w:t>
            </w:r>
          </w:p>
        </w:tc>
        <w:tc>
          <w:tcPr>
            <w:tcW w:w="608" w:type="pct"/>
            <w:tcBorders>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3CD849EC" w14:textId="77777777" w:rsidR="00730DE4" w:rsidRPr="00730DE4" w:rsidRDefault="00730DE4" w:rsidP="005C094E">
            <w:pPr>
              <w:pStyle w:val="NoSpacing"/>
              <w:jc w:val="right"/>
              <w:rPr>
                <w:color w:val="080C0F" w:themeColor="text1"/>
              </w:rPr>
            </w:pPr>
            <w:r w:rsidRPr="00730DE4">
              <w:rPr>
                <w:color w:val="080C0F" w:themeColor="text1"/>
              </w:rPr>
              <w:t xml:space="preserve">- </w:t>
            </w:r>
          </w:p>
        </w:tc>
        <w:tc>
          <w:tcPr>
            <w:tcW w:w="608" w:type="pct"/>
            <w:tcBorders>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5098C57D" w14:textId="77777777" w:rsidR="00730DE4" w:rsidRPr="00730DE4" w:rsidRDefault="00730DE4" w:rsidP="005C094E">
            <w:pPr>
              <w:pStyle w:val="NoSpacing"/>
              <w:jc w:val="right"/>
              <w:rPr>
                <w:color w:val="080C0F" w:themeColor="text1"/>
              </w:rPr>
            </w:pPr>
            <w:r w:rsidRPr="00730DE4">
              <w:rPr>
                <w:color w:val="080C0F" w:themeColor="text1"/>
              </w:rPr>
              <w:t xml:space="preserve">- </w:t>
            </w:r>
          </w:p>
        </w:tc>
        <w:tc>
          <w:tcPr>
            <w:tcW w:w="608" w:type="pct"/>
            <w:tcBorders>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0FDD35B0" w14:textId="77777777" w:rsidR="00730DE4" w:rsidRPr="00730DE4" w:rsidRDefault="00730DE4" w:rsidP="005C094E">
            <w:pPr>
              <w:pStyle w:val="NoSpacing"/>
              <w:jc w:val="right"/>
              <w:rPr>
                <w:color w:val="080C0F" w:themeColor="text1"/>
              </w:rPr>
            </w:pPr>
            <w:r w:rsidRPr="00730DE4">
              <w:rPr>
                <w:color w:val="080C0F" w:themeColor="text1"/>
              </w:rPr>
              <w:t xml:space="preserve">- </w:t>
            </w:r>
          </w:p>
        </w:tc>
        <w:tc>
          <w:tcPr>
            <w:tcW w:w="608" w:type="pct"/>
            <w:tcBorders>
              <w:left w:val="dotted" w:sz="4" w:space="0" w:color="BFBFBF" w:themeColor="background1" w:themeShade="BF"/>
              <w:bottom w:val="single" w:sz="4" w:space="0" w:color="auto"/>
              <w:right w:val="nil"/>
            </w:tcBorders>
            <w:shd w:val="clear" w:color="auto" w:fill="auto"/>
            <w:noWrap/>
            <w:vAlign w:val="bottom"/>
            <w:hideMark/>
          </w:tcPr>
          <w:p w14:paraId="34615C48" w14:textId="77777777" w:rsidR="00730DE4" w:rsidRPr="00730DE4" w:rsidRDefault="00730DE4" w:rsidP="005C094E">
            <w:pPr>
              <w:pStyle w:val="NoSpacing"/>
              <w:jc w:val="right"/>
            </w:pPr>
            <w:r w:rsidRPr="00730DE4">
              <w:t xml:space="preserve">2,642 </w:t>
            </w:r>
          </w:p>
        </w:tc>
      </w:tr>
      <w:tr w:rsidR="00730DE4" w:rsidRPr="00730DE4" w14:paraId="4E44AA8E" w14:textId="77777777" w:rsidTr="00552182">
        <w:trPr>
          <w:trHeight w:val="340"/>
        </w:trPr>
        <w:tc>
          <w:tcPr>
            <w:tcW w:w="1352" w:type="pct"/>
            <w:tcBorders>
              <w:top w:val="single" w:sz="4" w:space="0" w:color="auto"/>
              <w:left w:val="nil"/>
              <w:right w:val="dotted" w:sz="4" w:space="0" w:color="BFBFBF" w:themeColor="background1" w:themeShade="BF"/>
            </w:tcBorders>
            <w:shd w:val="clear" w:color="auto" w:fill="auto"/>
          </w:tcPr>
          <w:p w14:paraId="1989849F" w14:textId="77777777" w:rsidR="00730DE4" w:rsidRPr="00730DE4" w:rsidRDefault="00730DE4" w:rsidP="00A115E3">
            <w:pPr>
              <w:pStyle w:val="NoSpacingIndent"/>
              <w:rPr>
                <w:rStyle w:val="Strong"/>
              </w:rPr>
            </w:pPr>
            <w:r w:rsidRPr="00730DE4">
              <w:rPr>
                <w:rStyle w:val="Strong"/>
              </w:rPr>
              <w:t>Total income</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4BB196F6" w14:textId="77777777" w:rsidR="00730DE4" w:rsidRPr="00730DE4" w:rsidRDefault="00730DE4" w:rsidP="00A115E3">
            <w:pPr>
              <w:pStyle w:val="NoSpacing"/>
              <w:jc w:val="right"/>
              <w:rPr>
                <w:color w:val="080C0F" w:themeColor="text1"/>
              </w:rPr>
            </w:pPr>
            <w:r w:rsidRPr="00730DE4">
              <w:rPr>
                <w:rStyle w:val="Strong"/>
              </w:rPr>
              <w:t xml:space="preserve">21,801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76F934FA" w14:textId="77777777" w:rsidR="00730DE4" w:rsidRPr="00730DE4" w:rsidRDefault="00730DE4" w:rsidP="00A115E3">
            <w:pPr>
              <w:pStyle w:val="NoSpacing"/>
              <w:jc w:val="right"/>
              <w:rPr>
                <w:color w:val="080C0F" w:themeColor="text1"/>
              </w:rPr>
            </w:pPr>
            <w:r w:rsidRPr="00730DE4">
              <w:rPr>
                <w:rStyle w:val="Strong"/>
              </w:rPr>
              <w:t xml:space="preserve">13,160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51726450" w14:textId="77777777" w:rsidR="00730DE4" w:rsidRPr="00730DE4" w:rsidRDefault="00730DE4" w:rsidP="00A115E3">
            <w:pPr>
              <w:pStyle w:val="NoSpacing"/>
              <w:jc w:val="right"/>
              <w:rPr>
                <w:color w:val="080C0F" w:themeColor="text1"/>
              </w:rPr>
            </w:pPr>
            <w:r w:rsidRPr="00730DE4">
              <w:rPr>
                <w:rStyle w:val="Strong"/>
              </w:rPr>
              <w:t xml:space="preserve">12,593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2C7F36E4" w14:textId="77777777" w:rsidR="00730DE4" w:rsidRPr="00730DE4" w:rsidRDefault="00730DE4" w:rsidP="00A115E3">
            <w:pPr>
              <w:pStyle w:val="NoSpacing"/>
              <w:jc w:val="right"/>
              <w:rPr>
                <w:color w:val="080C0F" w:themeColor="text1"/>
              </w:rPr>
            </w:pPr>
            <w:r w:rsidRPr="00730DE4">
              <w:rPr>
                <w:rStyle w:val="Strong"/>
              </w:rPr>
              <w:t xml:space="preserve">1,138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27699CE6" w14:textId="77777777" w:rsidR="00730DE4" w:rsidRPr="00730DE4" w:rsidRDefault="00730DE4" w:rsidP="00A115E3">
            <w:pPr>
              <w:pStyle w:val="NoSpacing"/>
              <w:jc w:val="right"/>
              <w:rPr>
                <w:color w:val="080C0F" w:themeColor="text1"/>
              </w:rPr>
            </w:pPr>
            <w:r w:rsidRPr="00730DE4">
              <w:rPr>
                <w:rStyle w:val="Strong"/>
              </w:rPr>
              <w:t>(829,570)</w:t>
            </w:r>
          </w:p>
        </w:tc>
        <w:tc>
          <w:tcPr>
            <w:tcW w:w="608" w:type="pct"/>
            <w:tcBorders>
              <w:top w:val="single" w:sz="4" w:space="0" w:color="auto"/>
              <w:left w:val="dotted" w:sz="4" w:space="0" w:color="BFBFBF" w:themeColor="background1" w:themeShade="BF"/>
              <w:right w:val="nil"/>
            </w:tcBorders>
            <w:shd w:val="clear" w:color="auto" w:fill="auto"/>
            <w:noWrap/>
            <w:hideMark/>
          </w:tcPr>
          <w:p w14:paraId="19B4F5C1" w14:textId="77777777" w:rsidR="00730DE4" w:rsidRPr="00730DE4" w:rsidRDefault="00730DE4" w:rsidP="00A115E3">
            <w:pPr>
              <w:pStyle w:val="NoSpacing"/>
              <w:jc w:val="right"/>
              <w:rPr>
                <w:rStyle w:val="Strong"/>
              </w:rPr>
            </w:pPr>
            <w:r w:rsidRPr="00730DE4">
              <w:rPr>
                <w:rStyle w:val="Strong"/>
              </w:rPr>
              <w:t xml:space="preserve">7,693,151 </w:t>
            </w:r>
          </w:p>
        </w:tc>
      </w:tr>
      <w:tr w:rsidR="00730DE4" w:rsidRPr="00730DE4" w14:paraId="48F9BCC0" w14:textId="77777777" w:rsidTr="00552182">
        <w:trPr>
          <w:trHeight w:val="340"/>
        </w:trPr>
        <w:tc>
          <w:tcPr>
            <w:tcW w:w="1352" w:type="pct"/>
            <w:tcBorders>
              <w:left w:val="nil"/>
              <w:bottom w:val="dotted" w:sz="4" w:space="0" w:color="BFBFBF" w:themeColor="background1" w:themeShade="BF"/>
              <w:right w:val="dotted" w:sz="4" w:space="0" w:color="BFBFBF" w:themeColor="background1" w:themeShade="BF"/>
            </w:tcBorders>
            <w:shd w:val="clear" w:color="auto" w:fill="auto"/>
            <w:vAlign w:val="bottom"/>
          </w:tcPr>
          <w:p w14:paraId="3B4FE154" w14:textId="77777777" w:rsidR="00730DE4" w:rsidRPr="00730DE4" w:rsidRDefault="00730DE4" w:rsidP="00C8541B">
            <w:pPr>
              <w:pStyle w:val="NoSpacing"/>
              <w:rPr>
                <w:rStyle w:val="Strong"/>
              </w:rPr>
            </w:pPr>
            <w:r w:rsidRPr="00730DE4">
              <w:rPr>
                <w:rStyle w:val="Strong"/>
              </w:rPr>
              <w:t>Expenses</w:t>
            </w:r>
          </w:p>
        </w:tc>
        <w:tc>
          <w:tcPr>
            <w:tcW w:w="608"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028421E5" w14:textId="77777777" w:rsidR="00730DE4" w:rsidRPr="00730DE4" w:rsidRDefault="00730DE4" w:rsidP="00C8541B">
            <w:pPr>
              <w:pStyle w:val="NoSpacing"/>
              <w:jc w:val="right"/>
              <w:rPr>
                <w:rStyle w:val="Strong"/>
              </w:rPr>
            </w:pPr>
          </w:p>
        </w:tc>
        <w:tc>
          <w:tcPr>
            <w:tcW w:w="608"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22150185" w14:textId="77777777" w:rsidR="00730DE4" w:rsidRPr="00730DE4" w:rsidRDefault="00730DE4" w:rsidP="00C8541B">
            <w:pPr>
              <w:pStyle w:val="NoSpacing"/>
              <w:jc w:val="right"/>
              <w:rPr>
                <w:color w:val="080C0F" w:themeColor="text1"/>
              </w:rPr>
            </w:pPr>
          </w:p>
        </w:tc>
        <w:tc>
          <w:tcPr>
            <w:tcW w:w="608"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1AE80F0E" w14:textId="77777777" w:rsidR="00730DE4" w:rsidRPr="00730DE4" w:rsidRDefault="00730DE4" w:rsidP="00C8541B">
            <w:pPr>
              <w:pStyle w:val="NoSpacing"/>
              <w:jc w:val="right"/>
              <w:rPr>
                <w:color w:val="080C0F" w:themeColor="text1"/>
              </w:rPr>
            </w:pPr>
          </w:p>
        </w:tc>
        <w:tc>
          <w:tcPr>
            <w:tcW w:w="608"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53965E5B" w14:textId="77777777" w:rsidR="00730DE4" w:rsidRPr="00730DE4" w:rsidRDefault="00730DE4" w:rsidP="00C8541B">
            <w:pPr>
              <w:pStyle w:val="NoSpacing"/>
              <w:jc w:val="right"/>
              <w:rPr>
                <w:color w:val="080C0F" w:themeColor="text1"/>
              </w:rPr>
            </w:pPr>
          </w:p>
        </w:tc>
        <w:tc>
          <w:tcPr>
            <w:tcW w:w="608"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4AAEB3D5" w14:textId="77777777" w:rsidR="00730DE4" w:rsidRPr="00730DE4" w:rsidRDefault="00730DE4" w:rsidP="00C8541B">
            <w:pPr>
              <w:pStyle w:val="NoSpacing"/>
              <w:jc w:val="right"/>
              <w:rPr>
                <w:color w:val="080C0F" w:themeColor="text1"/>
              </w:rPr>
            </w:pPr>
          </w:p>
        </w:tc>
        <w:tc>
          <w:tcPr>
            <w:tcW w:w="608" w:type="pct"/>
            <w:tcBorders>
              <w:left w:val="dotted" w:sz="4" w:space="0" w:color="BFBFBF" w:themeColor="background1" w:themeShade="BF"/>
              <w:bottom w:val="dotted" w:sz="4" w:space="0" w:color="BFBFBF" w:themeColor="background1" w:themeShade="BF"/>
              <w:right w:val="nil"/>
            </w:tcBorders>
            <w:shd w:val="clear" w:color="auto" w:fill="auto"/>
            <w:noWrap/>
            <w:vAlign w:val="bottom"/>
          </w:tcPr>
          <w:p w14:paraId="2B35C600" w14:textId="77777777" w:rsidR="00730DE4" w:rsidRPr="00730DE4" w:rsidRDefault="00730DE4" w:rsidP="00C8541B">
            <w:pPr>
              <w:pStyle w:val="NoSpacing"/>
              <w:jc w:val="right"/>
              <w:rPr>
                <w:color w:val="080C0F" w:themeColor="text1"/>
              </w:rPr>
            </w:pPr>
          </w:p>
        </w:tc>
      </w:tr>
      <w:tr w:rsidR="00730DE4" w:rsidRPr="00730DE4" w14:paraId="5D58B436" w14:textId="77777777" w:rsidTr="00552182">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2FCAE7EB" w14:textId="77777777" w:rsidR="00730DE4" w:rsidRPr="00730DE4" w:rsidRDefault="00730DE4" w:rsidP="00A115E3">
            <w:pPr>
              <w:pStyle w:val="NoSpacingIndent"/>
            </w:pPr>
            <w:r w:rsidRPr="00730DE4">
              <w:t>Employee expenses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62FF7DE" w14:textId="77777777" w:rsidR="00730DE4" w:rsidRPr="00730DE4" w:rsidRDefault="00730DE4" w:rsidP="00C8541B">
            <w:pPr>
              <w:pStyle w:val="NoSpacing"/>
              <w:jc w:val="right"/>
              <w:rPr>
                <w:color w:val="080C0F" w:themeColor="text1"/>
              </w:rPr>
            </w:pPr>
            <w:r w:rsidRPr="00730DE4">
              <w:rPr>
                <w:color w:val="080C0F" w:themeColor="text1"/>
              </w:rPr>
              <w:t xml:space="preserve">6,548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944BCCA" w14:textId="77777777" w:rsidR="00730DE4" w:rsidRPr="00730DE4" w:rsidRDefault="00730DE4" w:rsidP="00C8541B">
            <w:pPr>
              <w:pStyle w:val="NoSpacing"/>
              <w:jc w:val="right"/>
              <w:rPr>
                <w:color w:val="080C0F" w:themeColor="text1"/>
              </w:rPr>
            </w:pPr>
            <w:r w:rsidRPr="00730DE4">
              <w:rPr>
                <w:color w:val="080C0F" w:themeColor="text1"/>
              </w:rPr>
              <w:t xml:space="preserve">3,434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D0B739D" w14:textId="77777777" w:rsidR="00730DE4" w:rsidRPr="00730DE4" w:rsidRDefault="00730DE4" w:rsidP="00C8541B">
            <w:pPr>
              <w:pStyle w:val="NoSpacing"/>
              <w:jc w:val="right"/>
              <w:rPr>
                <w:color w:val="080C0F" w:themeColor="text1"/>
              </w:rPr>
            </w:pPr>
            <w:r w:rsidRPr="00730DE4">
              <w:rPr>
                <w:color w:val="080C0F" w:themeColor="text1"/>
              </w:rPr>
              <w:t xml:space="preserve">6,877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B5F2CE4" w14:textId="77777777" w:rsidR="00730DE4" w:rsidRPr="00730DE4" w:rsidRDefault="00730DE4" w:rsidP="00C8541B">
            <w:pPr>
              <w:pStyle w:val="NoSpacing"/>
              <w:jc w:val="right"/>
              <w:rPr>
                <w:color w:val="080C0F" w:themeColor="text1"/>
              </w:rPr>
            </w:pPr>
            <w:r w:rsidRPr="00730DE4">
              <w:rPr>
                <w:color w:val="080C0F" w:themeColor="text1"/>
              </w:rPr>
              <w:t xml:space="preserve">756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D4A2588" w14:textId="77777777" w:rsidR="00730DE4" w:rsidRPr="00730DE4" w:rsidRDefault="00730DE4" w:rsidP="00C8541B">
            <w:pPr>
              <w:pStyle w:val="NoSpacing"/>
              <w:jc w:val="right"/>
              <w:rPr>
                <w:color w:val="080C0F" w:themeColor="text1"/>
              </w:rPr>
            </w:pPr>
            <w:r w:rsidRPr="00730DE4">
              <w:rPr>
                <w:color w:val="080C0F" w:themeColor="text1"/>
              </w:rPr>
              <w:t>(128,572)</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08EB23D" w14:textId="77777777" w:rsidR="00730DE4" w:rsidRPr="00730DE4" w:rsidRDefault="00730DE4" w:rsidP="00C8541B">
            <w:pPr>
              <w:pStyle w:val="NoSpacing"/>
              <w:jc w:val="right"/>
              <w:rPr>
                <w:rStyle w:val="Strong"/>
              </w:rPr>
            </w:pPr>
            <w:r w:rsidRPr="00730DE4">
              <w:rPr>
                <w:rStyle w:val="Strong"/>
              </w:rPr>
              <w:t xml:space="preserve">709,747 </w:t>
            </w:r>
          </w:p>
        </w:tc>
      </w:tr>
      <w:tr w:rsidR="00730DE4" w:rsidRPr="00730DE4" w14:paraId="624B5DF3" w14:textId="77777777" w:rsidTr="00552182">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2F066498" w14:textId="77777777" w:rsidR="00730DE4" w:rsidRPr="00730DE4" w:rsidRDefault="00730DE4" w:rsidP="00A115E3">
            <w:pPr>
              <w:pStyle w:val="NoSpacingIndent"/>
            </w:pPr>
            <w:r w:rsidRPr="00730DE4">
              <w:t xml:space="preserve">Supplies and services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34DE10E" w14:textId="77777777" w:rsidR="00730DE4" w:rsidRPr="00730DE4" w:rsidRDefault="00730DE4" w:rsidP="00C8541B">
            <w:pPr>
              <w:pStyle w:val="NoSpacing"/>
              <w:jc w:val="right"/>
              <w:rPr>
                <w:color w:val="080C0F" w:themeColor="text1"/>
              </w:rPr>
            </w:pPr>
            <w:r w:rsidRPr="00730DE4">
              <w:rPr>
                <w:color w:val="080C0F" w:themeColor="text1"/>
              </w:rPr>
              <w:t xml:space="preserve">12,962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DBF94A6" w14:textId="77777777" w:rsidR="00730DE4" w:rsidRPr="00730DE4" w:rsidRDefault="00730DE4" w:rsidP="00C8541B">
            <w:pPr>
              <w:pStyle w:val="NoSpacing"/>
              <w:jc w:val="right"/>
              <w:rPr>
                <w:color w:val="080C0F" w:themeColor="text1"/>
              </w:rPr>
            </w:pPr>
            <w:r w:rsidRPr="00730DE4">
              <w:rPr>
                <w:color w:val="080C0F" w:themeColor="text1"/>
              </w:rPr>
              <w:t xml:space="preserve">7,954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9B697D8" w14:textId="77777777" w:rsidR="00730DE4" w:rsidRPr="00730DE4" w:rsidRDefault="00730DE4" w:rsidP="00C8541B">
            <w:pPr>
              <w:pStyle w:val="NoSpacing"/>
              <w:jc w:val="right"/>
              <w:rPr>
                <w:color w:val="080C0F" w:themeColor="text1"/>
              </w:rPr>
            </w:pPr>
            <w:r w:rsidRPr="00730DE4">
              <w:rPr>
                <w:color w:val="080C0F" w:themeColor="text1"/>
              </w:rPr>
              <w:t xml:space="preserve">4,855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CEC16E8" w14:textId="77777777" w:rsidR="00730DE4" w:rsidRPr="00730DE4" w:rsidRDefault="00730DE4" w:rsidP="00C8541B">
            <w:pPr>
              <w:pStyle w:val="NoSpacing"/>
              <w:jc w:val="right"/>
              <w:rPr>
                <w:color w:val="080C0F" w:themeColor="text1"/>
              </w:rPr>
            </w:pPr>
            <w:r w:rsidRPr="00730DE4">
              <w:rPr>
                <w:color w:val="080C0F" w:themeColor="text1"/>
              </w:rPr>
              <w:t xml:space="preserve">397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8378929" w14:textId="77777777" w:rsidR="00730DE4" w:rsidRPr="00730DE4" w:rsidRDefault="00730DE4" w:rsidP="00C8541B">
            <w:pPr>
              <w:pStyle w:val="NoSpacing"/>
              <w:jc w:val="right"/>
              <w:rPr>
                <w:color w:val="080C0F" w:themeColor="text1"/>
              </w:rPr>
            </w:pPr>
            <w:r w:rsidRPr="00730DE4">
              <w:rPr>
                <w:color w:val="080C0F" w:themeColor="text1"/>
              </w:rPr>
              <w:t>(675,321)</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595E3A8" w14:textId="77777777" w:rsidR="00730DE4" w:rsidRPr="00730DE4" w:rsidRDefault="00730DE4" w:rsidP="00C8541B">
            <w:pPr>
              <w:pStyle w:val="NoSpacing"/>
              <w:jc w:val="right"/>
              <w:rPr>
                <w:rStyle w:val="Strong"/>
              </w:rPr>
            </w:pPr>
            <w:r w:rsidRPr="00730DE4">
              <w:rPr>
                <w:rStyle w:val="Strong"/>
              </w:rPr>
              <w:t xml:space="preserve">4,536,142 </w:t>
            </w:r>
          </w:p>
        </w:tc>
      </w:tr>
      <w:tr w:rsidR="00730DE4" w:rsidRPr="00730DE4" w14:paraId="634F06CB" w14:textId="77777777" w:rsidTr="00552182">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00601CC8" w14:textId="77777777" w:rsidR="00730DE4" w:rsidRPr="00730DE4" w:rsidRDefault="00730DE4" w:rsidP="00A115E3">
            <w:pPr>
              <w:pStyle w:val="NoSpacingIndent"/>
            </w:pPr>
            <w:r w:rsidRPr="00730DE4">
              <w:t xml:space="preserve">Grants and subsidies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23CCE8C" w14:textId="77777777" w:rsidR="00730DE4" w:rsidRPr="00730DE4" w:rsidRDefault="00730DE4" w:rsidP="00C8541B">
            <w:pPr>
              <w:pStyle w:val="NoSpacing"/>
              <w:jc w:val="right"/>
              <w:rPr>
                <w:color w:val="080C0F" w:themeColor="text1"/>
              </w:rPr>
            </w:pPr>
            <w:r w:rsidRPr="00730DE4">
              <w:rPr>
                <w:color w:val="080C0F" w:themeColor="text1"/>
              </w:rPr>
              <w:t xml:space="preserve">496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1CC7293" w14:textId="77777777" w:rsidR="00730DE4" w:rsidRPr="00730DE4" w:rsidRDefault="00730DE4" w:rsidP="00C8541B">
            <w:pPr>
              <w:pStyle w:val="NoSpacing"/>
              <w:jc w:val="right"/>
              <w:rPr>
                <w:color w:val="080C0F" w:themeColor="text1"/>
              </w:rPr>
            </w:pPr>
            <w:r w:rsidRPr="00730DE4">
              <w:rPr>
                <w:color w:val="080C0F" w:themeColor="text1"/>
              </w:rPr>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B5475F0" w14:textId="77777777" w:rsidR="00730DE4" w:rsidRPr="00730DE4" w:rsidRDefault="00730DE4" w:rsidP="00C8541B">
            <w:pPr>
              <w:pStyle w:val="NoSpacing"/>
              <w:jc w:val="right"/>
              <w:rPr>
                <w:color w:val="080C0F" w:themeColor="text1"/>
              </w:rPr>
            </w:pPr>
            <w:r w:rsidRPr="00730DE4">
              <w:rPr>
                <w:color w:val="080C0F" w:themeColor="text1"/>
              </w:rPr>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23D5E9E" w14:textId="77777777" w:rsidR="00730DE4" w:rsidRPr="00730DE4" w:rsidRDefault="00730DE4" w:rsidP="00C8541B">
            <w:pPr>
              <w:pStyle w:val="NoSpacing"/>
              <w:jc w:val="right"/>
              <w:rPr>
                <w:color w:val="080C0F" w:themeColor="text1"/>
              </w:rPr>
            </w:pPr>
            <w:r w:rsidRPr="00730DE4">
              <w:rPr>
                <w:color w:val="080C0F" w:themeColor="text1"/>
              </w:rPr>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763927E" w14:textId="77777777" w:rsidR="00730DE4" w:rsidRPr="00730DE4" w:rsidRDefault="00730DE4" w:rsidP="00C8541B">
            <w:pPr>
              <w:pStyle w:val="NoSpacing"/>
              <w:jc w:val="right"/>
              <w:rPr>
                <w:color w:val="080C0F" w:themeColor="text1"/>
              </w:rPr>
            </w:pPr>
            <w:r w:rsidRPr="00730DE4">
              <w:rPr>
                <w:color w:val="080C0F" w:themeColor="text1"/>
              </w:rPr>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1F79D02" w14:textId="77777777" w:rsidR="00730DE4" w:rsidRPr="00730DE4" w:rsidRDefault="00730DE4" w:rsidP="00C8541B">
            <w:pPr>
              <w:pStyle w:val="NoSpacing"/>
              <w:jc w:val="right"/>
              <w:rPr>
                <w:rStyle w:val="Strong"/>
              </w:rPr>
            </w:pPr>
            <w:r w:rsidRPr="00730DE4">
              <w:rPr>
                <w:rStyle w:val="Strong"/>
              </w:rPr>
              <w:t xml:space="preserve">796,688 </w:t>
            </w:r>
          </w:p>
        </w:tc>
      </w:tr>
      <w:tr w:rsidR="00730DE4" w:rsidRPr="00730DE4" w14:paraId="0821D776" w14:textId="77777777" w:rsidTr="00552182">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69C489B9" w14:textId="77777777" w:rsidR="00730DE4" w:rsidRPr="00730DE4" w:rsidRDefault="00730DE4" w:rsidP="00A115E3">
            <w:pPr>
              <w:pStyle w:val="NoSpacingIndent"/>
            </w:pPr>
            <w:r w:rsidRPr="00730DE4">
              <w:t>Finance and borrowing costs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3E47CFD" w14:textId="77777777" w:rsidR="00730DE4" w:rsidRPr="00730DE4" w:rsidRDefault="00730DE4" w:rsidP="00C8541B">
            <w:pPr>
              <w:pStyle w:val="NoSpacing"/>
              <w:jc w:val="right"/>
              <w:rPr>
                <w:color w:val="080C0F" w:themeColor="text1"/>
              </w:rPr>
            </w:pPr>
            <w:r w:rsidRPr="00730DE4">
              <w:rPr>
                <w:color w:val="080C0F" w:themeColor="text1"/>
              </w:rPr>
              <w:t xml:space="preserve">261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F9BB646" w14:textId="77777777" w:rsidR="00730DE4" w:rsidRPr="00730DE4" w:rsidRDefault="00730DE4" w:rsidP="00C8541B">
            <w:pPr>
              <w:pStyle w:val="NoSpacing"/>
              <w:jc w:val="right"/>
              <w:rPr>
                <w:color w:val="080C0F" w:themeColor="text1"/>
              </w:rPr>
            </w:pPr>
            <w:r w:rsidRPr="00730DE4">
              <w:rPr>
                <w:color w:val="080C0F" w:themeColor="text1"/>
              </w:rPr>
              <w:t xml:space="preserve">22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3AC7664" w14:textId="77777777" w:rsidR="00730DE4" w:rsidRPr="00730DE4" w:rsidRDefault="00730DE4" w:rsidP="00C8541B">
            <w:pPr>
              <w:pStyle w:val="NoSpacing"/>
              <w:jc w:val="right"/>
              <w:rPr>
                <w:color w:val="080C0F" w:themeColor="text1"/>
              </w:rPr>
            </w:pPr>
            <w:r w:rsidRPr="00730DE4">
              <w:rPr>
                <w:color w:val="080C0F" w:themeColor="text1"/>
              </w:rPr>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A46C7CD" w14:textId="77777777" w:rsidR="00730DE4" w:rsidRPr="00730DE4" w:rsidRDefault="00730DE4" w:rsidP="00C8541B">
            <w:pPr>
              <w:pStyle w:val="NoSpacing"/>
              <w:jc w:val="right"/>
              <w:rPr>
                <w:color w:val="080C0F" w:themeColor="text1"/>
              </w:rPr>
            </w:pPr>
            <w:r w:rsidRPr="00730DE4">
              <w:rPr>
                <w:color w:val="080C0F" w:themeColor="text1"/>
              </w:rPr>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86BC57C" w14:textId="77777777" w:rsidR="00730DE4" w:rsidRPr="00730DE4" w:rsidRDefault="00730DE4" w:rsidP="00C8541B">
            <w:pPr>
              <w:pStyle w:val="NoSpacing"/>
              <w:jc w:val="right"/>
              <w:rPr>
                <w:color w:val="080C0F" w:themeColor="text1"/>
              </w:rPr>
            </w:pPr>
            <w:r w:rsidRPr="00730DE4">
              <w:rPr>
                <w:color w:val="080C0F" w:themeColor="text1"/>
              </w:rPr>
              <w:t>(2,295)</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98400DC" w14:textId="77777777" w:rsidR="00730DE4" w:rsidRPr="00730DE4" w:rsidRDefault="00730DE4" w:rsidP="00C8541B">
            <w:pPr>
              <w:pStyle w:val="NoSpacing"/>
              <w:jc w:val="right"/>
              <w:rPr>
                <w:rStyle w:val="Strong"/>
              </w:rPr>
            </w:pPr>
            <w:r w:rsidRPr="00730DE4">
              <w:rPr>
                <w:rStyle w:val="Strong"/>
              </w:rPr>
              <w:t xml:space="preserve">97,277 </w:t>
            </w:r>
          </w:p>
        </w:tc>
      </w:tr>
      <w:tr w:rsidR="00730DE4" w:rsidRPr="00730DE4" w14:paraId="5CF7C0E6" w14:textId="77777777" w:rsidTr="00552182">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15536DB0" w14:textId="77777777" w:rsidR="00730DE4" w:rsidRPr="00730DE4" w:rsidRDefault="00730DE4" w:rsidP="00A115E3">
            <w:pPr>
              <w:pStyle w:val="NoSpacingIndent"/>
            </w:pPr>
            <w:r w:rsidRPr="00730DE4">
              <w:t xml:space="preserve">Depreciation and amortisation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CA3A5AC" w14:textId="77777777" w:rsidR="00730DE4" w:rsidRPr="00730DE4" w:rsidRDefault="00730DE4" w:rsidP="00C8541B">
            <w:pPr>
              <w:pStyle w:val="NoSpacing"/>
              <w:jc w:val="right"/>
              <w:rPr>
                <w:color w:val="080C0F" w:themeColor="text1"/>
              </w:rPr>
            </w:pPr>
            <w:r w:rsidRPr="00730DE4">
              <w:rPr>
                <w:color w:val="080C0F" w:themeColor="text1"/>
              </w:rPr>
              <w:t xml:space="preserve">1,523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D177BD1" w14:textId="77777777" w:rsidR="00730DE4" w:rsidRPr="00730DE4" w:rsidRDefault="00730DE4" w:rsidP="00C8541B">
            <w:pPr>
              <w:pStyle w:val="NoSpacing"/>
              <w:jc w:val="right"/>
              <w:rPr>
                <w:color w:val="080C0F" w:themeColor="text1"/>
              </w:rPr>
            </w:pPr>
            <w:r w:rsidRPr="00730DE4">
              <w:rPr>
                <w:color w:val="080C0F" w:themeColor="text1"/>
              </w:rPr>
              <w:t xml:space="preserve">1,079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8F5F3F1" w14:textId="77777777" w:rsidR="00730DE4" w:rsidRPr="00730DE4" w:rsidRDefault="00730DE4" w:rsidP="00C8541B">
            <w:pPr>
              <w:pStyle w:val="NoSpacing"/>
              <w:jc w:val="right"/>
              <w:rPr>
                <w:color w:val="080C0F" w:themeColor="text1"/>
              </w:rPr>
            </w:pPr>
            <w:r w:rsidRPr="00730DE4">
              <w:rPr>
                <w:color w:val="080C0F" w:themeColor="text1"/>
              </w:rPr>
              <w:t xml:space="preserve">152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E9C377F" w14:textId="77777777" w:rsidR="00730DE4" w:rsidRPr="00730DE4" w:rsidRDefault="00730DE4" w:rsidP="00C8541B">
            <w:pPr>
              <w:pStyle w:val="NoSpacing"/>
              <w:jc w:val="right"/>
              <w:rPr>
                <w:color w:val="080C0F" w:themeColor="text1"/>
              </w:rPr>
            </w:pPr>
            <w:r w:rsidRPr="00730DE4">
              <w:rPr>
                <w:color w:val="080C0F" w:themeColor="text1"/>
              </w:rPr>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A09DFE6" w14:textId="77777777" w:rsidR="00730DE4" w:rsidRPr="00730DE4" w:rsidRDefault="00730DE4" w:rsidP="00C8541B">
            <w:pPr>
              <w:pStyle w:val="NoSpacing"/>
              <w:jc w:val="right"/>
              <w:rPr>
                <w:color w:val="080C0F" w:themeColor="text1"/>
              </w:rPr>
            </w:pPr>
            <w:r w:rsidRPr="00730DE4">
              <w:rPr>
                <w:color w:val="080C0F" w:themeColor="text1"/>
              </w:rPr>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47DF4F73" w14:textId="77777777" w:rsidR="00730DE4" w:rsidRPr="00730DE4" w:rsidRDefault="00730DE4" w:rsidP="00C8541B">
            <w:pPr>
              <w:pStyle w:val="NoSpacing"/>
              <w:jc w:val="right"/>
              <w:rPr>
                <w:rStyle w:val="Strong"/>
              </w:rPr>
            </w:pPr>
            <w:r w:rsidRPr="00730DE4">
              <w:rPr>
                <w:rStyle w:val="Strong"/>
              </w:rPr>
              <w:t xml:space="preserve">1,506,325 </w:t>
            </w:r>
          </w:p>
        </w:tc>
      </w:tr>
      <w:tr w:rsidR="00730DE4" w:rsidRPr="00730DE4" w14:paraId="0AB2CA9E" w14:textId="77777777" w:rsidTr="00552182">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27B01465" w14:textId="77777777" w:rsidR="00730DE4" w:rsidRPr="00730DE4" w:rsidRDefault="00730DE4" w:rsidP="00A115E3">
            <w:pPr>
              <w:pStyle w:val="NoSpacingIndent"/>
            </w:pPr>
            <w:r w:rsidRPr="00730DE4">
              <w:t>Impairment losses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90B1C31" w14:textId="77777777" w:rsidR="00730DE4" w:rsidRPr="00730DE4" w:rsidRDefault="00730DE4" w:rsidP="00C8541B">
            <w:pPr>
              <w:pStyle w:val="NoSpacing"/>
              <w:jc w:val="right"/>
              <w:rPr>
                <w:color w:val="080C0F" w:themeColor="text1"/>
              </w:rPr>
            </w:pPr>
            <w:r w:rsidRPr="00730DE4">
              <w:rPr>
                <w:color w:val="080C0F" w:themeColor="text1"/>
              </w:rPr>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A4551CE" w14:textId="77777777" w:rsidR="00730DE4" w:rsidRPr="00730DE4" w:rsidRDefault="00730DE4" w:rsidP="00C8541B">
            <w:pPr>
              <w:pStyle w:val="NoSpacing"/>
              <w:jc w:val="right"/>
              <w:rPr>
                <w:color w:val="080C0F" w:themeColor="text1"/>
              </w:rPr>
            </w:pPr>
            <w:r w:rsidRPr="00730DE4">
              <w:rPr>
                <w:color w:val="080C0F" w:themeColor="text1"/>
              </w:rPr>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06002AF" w14:textId="77777777" w:rsidR="00730DE4" w:rsidRPr="00730DE4" w:rsidRDefault="00730DE4" w:rsidP="00C8541B">
            <w:pPr>
              <w:pStyle w:val="NoSpacing"/>
              <w:jc w:val="right"/>
              <w:rPr>
                <w:color w:val="080C0F" w:themeColor="text1"/>
              </w:rPr>
            </w:pPr>
            <w:r w:rsidRPr="00730DE4">
              <w:rPr>
                <w:color w:val="080C0F" w:themeColor="text1"/>
              </w:rPr>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E53CBEA" w14:textId="77777777" w:rsidR="00730DE4" w:rsidRPr="00730DE4" w:rsidRDefault="00730DE4" w:rsidP="00C8541B">
            <w:pPr>
              <w:pStyle w:val="NoSpacing"/>
              <w:jc w:val="right"/>
              <w:rPr>
                <w:color w:val="080C0F" w:themeColor="text1"/>
              </w:rPr>
            </w:pPr>
            <w:r w:rsidRPr="00730DE4">
              <w:rPr>
                <w:color w:val="080C0F" w:themeColor="text1"/>
              </w:rPr>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FC2AFC4" w14:textId="77777777" w:rsidR="00730DE4" w:rsidRPr="00730DE4" w:rsidRDefault="00730DE4" w:rsidP="00C8541B">
            <w:pPr>
              <w:pStyle w:val="NoSpacing"/>
              <w:jc w:val="right"/>
              <w:rPr>
                <w:color w:val="080C0F" w:themeColor="text1"/>
              </w:rPr>
            </w:pPr>
            <w:r w:rsidRPr="00730DE4">
              <w:rPr>
                <w:color w:val="080C0F" w:themeColor="text1"/>
              </w:rPr>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ADDD149" w14:textId="77777777" w:rsidR="00730DE4" w:rsidRPr="00730DE4" w:rsidRDefault="00730DE4" w:rsidP="00C8541B">
            <w:pPr>
              <w:pStyle w:val="NoSpacing"/>
              <w:jc w:val="right"/>
              <w:rPr>
                <w:rStyle w:val="Strong"/>
              </w:rPr>
            </w:pPr>
            <w:r w:rsidRPr="00730DE4">
              <w:rPr>
                <w:rStyle w:val="Strong"/>
              </w:rPr>
              <w:t xml:space="preserve">1,409 </w:t>
            </w:r>
          </w:p>
        </w:tc>
      </w:tr>
      <w:tr w:rsidR="00730DE4" w:rsidRPr="00730DE4" w14:paraId="55518EF9" w14:textId="77777777" w:rsidTr="00552182">
        <w:trPr>
          <w:trHeight w:val="198"/>
        </w:trPr>
        <w:tc>
          <w:tcPr>
            <w:tcW w:w="1352"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vAlign w:val="bottom"/>
          </w:tcPr>
          <w:p w14:paraId="0813D4DC" w14:textId="77777777" w:rsidR="00730DE4" w:rsidRPr="00730DE4" w:rsidRDefault="00730DE4" w:rsidP="00A115E3">
            <w:pPr>
              <w:pStyle w:val="NoSpacingIndent"/>
            </w:pPr>
            <w:r w:rsidRPr="00730DE4">
              <w:t>Other expenses</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7BD9BE01" w14:textId="77777777" w:rsidR="00730DE4" w:rsidRPr="00730DE4" w:rsidRDefault="00730DE4" w:rsidP="00C8541B">
            <w:pPr>
              <w:pStyle w:val="NoSpacing"/>
              <w:jc w:val="right"/>
              <w:rPr>
                <w:color w:val="080C0F" w:themeColor="text1"/>
              </w:rPr>
            </w:pPr>
            <w:r w:rsidRPr="00730DE4">
              <w:rPr>
                <w:color w:val="080C0F" w:themeColor="text1"/>
              </w:rPr>
              <w:t xml:space="preserve">11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6B5B3481" w14:textId="77777777" w:rsidR="00730DE4" w:rsidRPr="00730DE4" w:rsidRDefault="00730DE4" w:rsidP="00C8541B">
            <w:pPr>
              <w:pStyle w:val="NoSpacing"/>
              <w:jc w:val="right"/>
              <w:rPr>
                <w:color w:val="080C0F" w:themeColor="text1"/>
              </w:rPr>
            </w:pPr>
            <w:r w:rsidRPr="00730DE4">
              <w:rPr>
                <w:color w:val="080C0F" w:themeColor="text1"/>
              </w:rPr>
              <w:t xml:space="preserve">110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24FA3AB7" w14:textId="77777777" w:rsidR="00730DE4" w:rsidRPr="00730DE4" w:rsidRDefault="00730DE4" w:rsidP="00C8541B">
            <w:pPr>
              <w:pStyle w:val="NoSpacing"/>
              <w:jc w:val="right"/>
              <w:rPr>
                <w:color w:val="080C0F" w:themeColor="text1"/>
              </w:rPr>
            </w:pPr>
            <w:r w:rsidRPr="00730DE4">
              <w:rPr>
                <w:color w:val="080C0F" w:themeColor="text1"/>
              </w:rPr>
              <w:t xml:space="preserve">147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2EAB5014" w14:textId="77777777" w:rsidR="00730DE4" w:rsidRPr="00730DE4" w:rsidRDefault="00730DE4" w:rsidP="00C8541B">
            <w:pPr>
              <w:pStyle w:val="NoSpacing"/>
              <w:jc w:val="right"/>
              <w:rPr>
                <w:color w:val="080C0F" w:themeColor="text1"/>
              </w:rPr>
            </w:pPr>
            <w:r w:rsidRPr="00730DE4">
              <w:rPr>
                <w:color w:val="080C0F" w:themeColor="text1"/>
              </w:rPr>
              <w:t xml:space="preserve">14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7D2BE1AF" w14:textId="77777777" w:rsidR="00730DE4" w:rsidRPr="00730DE4" w:rsidRDefault="00730DE4" w:rsidP="00C8541B">
            <w:pPr>
              <w:pStyle w:val="NoSpacing"/>
              <w:jc w:val="right"/>
              <w:rPr>
                <w:color w:val="080C0F" w:themeColor="text1"/>
              </w:rPr>
            </w:pPr>
            <w:r w:rsidRPr="00730DE4">
              <w:rPr>
                <w:color w:val="080C0F" w:themeColor="text1"/>
              </w:rPr>
              <w:t>(23,382)</w:t>
            </w:r>
          </w:p>
        </w:tc>
        <w:tc>
          <w:tcPr>
            <w:tcW w:w="608"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177DEF49" w14:textId="77777777" w:rsidR="00730DE4" w:rsidRPr="00730DE4" w:rsidRDefault="00730DE4" w:rsidP="00C8541B">
            <w:pPr>
              <w:pStyle w:val="NoSpacing"/>
              <w:jc w:val="right"/>
              <w:rPr>
                <w:rStyle w:val="Strong"/>
              </w:rPr>
            </w:pPr>
            <w:r w:rsidRPr="00730DE4">
              <w:rPr>
                <w:rStyle w:val="Strong"/>
              </w:rPr>
              <w:t xml:space="preserve">32,865 </w:t>
            </w:r>
          </w:p>
        </w:tc>
      </w:tr>
      <w:tr w:rsidR="00730DE4" w:rsidRPr="00730DE4" w14:paraId="0674021B" w14:textId="77777777" w:rsidTr="00552182">
        <w:trPr>
          <w:trHeight w:val="340"/>
        </w:trPr>
        <w:tc>
          <w:tcPr>
            <w:tcW w:w="1352" w:type="pct"/>
            <w:tcBorders>
              <w:top w:val="single" w:sz="4" w:space="0" w:color="auto"/>
              <w:left w:val="nil"/>
              <w:right w:val="dotted" w:sz="4" w:space="0" w:color="BFBFBF" w:themeColor="background1" w:themeShade="BF"/>
            </w:tcBorders>
            <w:shd w:val="clear" w:color="auto" w:fill="auto"/>
          </w:tcPr>
          <w:p w14:paraId="34E6BCED" w14:textId="77777777" w:rsidR="00730DE4" w:rsidRPr="00730DE4" w:rsidRDefault="00730DE4" w:rsidP="00A115E3">
            <w:pPr>
              <w:pStyle w:val="NoSpacingIndent"/>
              <w:rPr>
                <w:rStyle w:val="Strong"/>
              </w:rPr>
            </w:pPr>
            <w:r w:rsidRPr="00730DE4">
              <w:rPr>
                <w:rStyle w:val="Strong"/>
              </w:rPr>
              <w:t>Total expenses</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12EA9B1B" w14:textId="77777777" w:rsidR="00730DE4" w:rsidRPr="00730DE4" w:rsidRDefault="00730DE4" w:rsidP="00A115E3">
            <w:pPr>
              <w:pStyle w:val="NoSpacing"/>
              <w:jc w:val="right"/>
              <w:rPr>
                <w:color w:val="080C0F" w:themeColor="text1"/>
              </w:rPr>
            </w:pPr>
            <w:r w:rsidRPr="00730DE4">
              <w:rPr>
                <w:rStyle w:val="Strong"/>
              </w:rPr>
              <w:t xml:space="preserve">21,801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4D4D0777" w14:textId="77777777" w:rsidR="00730DE4" w:rsidRPr="00730DE4" w:rsidRDefault="00730DE4" w:rsidP="00A115E3">
            <w:pPr>
              <w:pStyle w:val="NoSpacing"/>
              <w:jc w:val="right"/>
              <w:rPr>
                <w:color w:val="080C0F" w:themeColor="text1"/>
              </w:rPr>
            </w:pPr>
            <w:r w:rsidRPr="00730DE4">
              <w:rPr>
                <w:rStyle w:val="Strong"/>
              </w:rPr>
              <w:t xml:space="preserve">12,599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1F2443F6" w14:textId="77777777" w:rsidR="00730DE4" w:rsidRPr="00730DE4" w:rsidRDefault="00730DE4" w:rsidP="00A115E3">
            <w:pPr>
              <w:pStyle w:val="NoSpacing"/>
              <w:jc w:val="right"/>
              <w:rPr>
                <w:color w:val="080C0F" w:themeColor="text1"/>
              </w:rPr>
            </w:pPr>
            <w:r w:rsidRPr="00730DE4">
              <w:rPr>
                <w:rStyle w:val="Strong"/>
              </w:rPr>
              <w:t xml:space="preserve">12,031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4D500524" w14:textId="77777777" w:rsidR="00730DE4" w:rsidRPr="00730DE4" w:rsidRDefault="00730DE4" w:rsidP="00A115E3">
            <w:pPr>
              <w:pStyle w:val="NoSpacing"/>
              <w:jc w:val="right"/>
              <w:rPr>
                <w:color w:val="080C0F" w:themeColor="text1"/>
              </w:rPr>
            </w:pPr>
            <w:r w:rsidRPr="00730DE4">
              <w:rPr>
                <w:rStyle w:val="Strong"/>
              </w:rPr>
              <w:t xml:space="preserve">1,167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11E20894" w14:textId="77777777" w:rsidR="00730DE4" w:rsidRPr="00730DE4" w:rsidRDefault="00730DE4" w:rsidP="00A115E3">
            <w:pPr>
              <w:pStyle w:val="NoSpacing"/>
              <w:jc w:val="right"/>
              <w:rPr>
                <w:color w:val="080C0F" w:themeColor="text1"/>
              </w:rPr>
            </w:pPr>
            <w:r w:rsidRPr="00730DE4">
              <w:rPr>
                <w:rStyle w:val="Strong"/>
              </w:rPr>
              <w:t>(829,570)</w:t>
            </w:r>
          </w:p>
        </w:tc>
        <w:tc>
          <w:tcPr>
            <w:tcW w:w="608" w:type="pct"/>
            <w:tcBorders>
              <w:top w:val="single" w:sz="4" w:space="0" w:color="auto"/>
              <w:left w:val="dotted" w:sz="4" w:space="0" w:color="BFBFBF" w:themeColor="background1" w:themeShade="BF"/>
              <w:right w:val="nil"/>
            </w:tcBorders>
            <w:shd w:val="clear" w:color="auto" w:fill="auto"/>
            <w:noWrap/>
            <w:hideMark/>
          </w:tcPr>
          <w:p w14:paraId="276FC8B8" w14:textId="77777777" w:rsidR="00730DE4" w:rsidRPr="00730DE4" w:rsidRDefault="00730DE4" w:rsidP="00A115E3">
            <w:pPr>
              <w:pStyle w:val="NoSpacing"/>
              <w:jc w:val="right"/>
              <w:rPr>
                <w:rStyle w:val="Strong"/>
              </w:rPr>
            </w:pPr>
            <w:r w:rsidRPr="00730DE4">
              <w:rPr>
                <w:rStyle w:val="Strong"/>
              </w:rPr>
              <w:t xml:space="preserve">7,680,453 </w:t>
            </w:r>
          </w:p>
        </w:tc>
      </w:tr>
      <w:tr w:rsidR="00730DE4" w:rsidRPr="00730DE4" w14:paraId="39CA48EB" w14:textId="77777777" w:rsidTr="00552182">
        <w:trPr>
          <w:trHeight w:val="340"/>
        </w:trPr>
        <w:tc>
          <w:tcPr>
            <w:tcW w:w="1352" w:type="pct"/>
            <w:tcBorders>
              <w:left w:val="nil"/>
              <w:bottom w:val="dotted" w:sz="4" w:space="0" w:color="BFBFBF" w:themeColor="background1" w:themeShade="BF"/>
              <w:right w:val="dotted" w:sz="4" w:space="0" w:color="BFBFBF" w:themeColor="background1" w:themeShade="BF"/>
            </w:tcBorders>
            <w:shd w:val="clear" w:color="auto" w:fill="auto"/>
            <w:vAlign w:val="bottom"/>
          </w:tcPr>
          <w:p w14:paraId="2B816F52" w14:textId="77777777" w:rsidR="00730DE4" w:rsidRPr="00730DE4" w:rsidRDefault="00730DE4" w:rsidP="00C8541B">
            <w:pPr>
              <w:pStyle w:val="NoSpacing"/>
              <w:rPr>
                <w:rStyle w:val="Strong"/>
              </w:rPr>
            </w:pPr>
            <w:r w:rsidRPr="00730DE4">
              <w:rPr>
                <w:rStyle w:val="Strong"/>
              </w:rPr>
              <w:t>Operating result before income tax equivalent expense</w:t>
            </w:r>
          </w:p>
        </w:tc>
        <w:tc>
          <w:tcPr>
            <w:tcW w:w="608"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F986865" w14:textId="77777777" w:rsidR="00730DE4" w:rsidRPr="00730DE4" w:rsidRDefault="00730DE4" w:rsidP="00C8541B">
            <w:pPr>
              <w:pStyle w:val="NoSpacing"/>
              <w:jc w:val="right"/>
              <w:rPr>
                <w:color w:val="080C0F" w:themeColor="text1"/>
              </w:rPr>
            </w:pPr>
            <w:r w:rsidRPr="00730DE4">
              <w:rPr>
                <w:rStyle w:val="Strong"/>
              </w:rPr>
              <w:t xml:space="preserve">- </w:t>
            </w:r>
          </w:p>
        </w:tc>
        <w:tc>
          <w:tcPr>
            <w:tcW w:w="608"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4E9A8BC" w14:textId="77777777" w:rsidR="00730DE4" w:rsidRPr="00730DE4" w:rsidRDefault="00730DE4" w:rsidP="00C8541B">
            <w:pPr>
              <w:pStyle w:val="NoSpacing"/>
              <w:jc w:val="right"/>
              <w:rPr>
                <w:color w:val="080C0F" w:themeColor="text1"/>
              </w:rPr>
            </w:pPr>
            <w:r w:rsidRPr="00730DE4">
              <w:rPr>
                <w:rStyle w:val="Strong"/>
              </w:rPr>
              <w:t xml:space="preserve">561 </w:t>
            </w:r>
          </w:p>
        </w:tc>
        <w:tc>
          <w:tcPr>
            <w:tcW w:w="608"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2FAF710" w14:textId="77777777" w:rsidR="00730DE4" w:rsidRPr="00730DE4" w:rsidRDefault="00730DE4" w:rsidP="00C8541B">
            <w:pPr>
              <w:pStyle w:val="NoSpacing"/>
              <w:jc w:val="right"/>
              <w:rPr>
                <w:color w:val="080C0F" w:themeColor="text1"/>
              </w:rPr>
            </w:pPr>
            <w:r w:rsidRPr="00730DE4">
              <w:rPr>
                <w:rStyle w:val="Strong"/>
              </w:rPr>
              <w:t xml:space="preserve">562 </w:t>
            </w:r>
          </w:p>
        </w:tc>
        <w:tc>
          <w:tcPr>
            <w:tcW w:w="608"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0E4CE37" w14:textId="77777777" w:rsidR="00730DE4" w:rsidRPr="00730DE4" w:rsidRDefault="00730DE4" w:rsidP="00C8541B">
            <w:pPr>
              <w:pStyle w:val="NoSpacing"/>
              <w:jc w:val="right"/>
              <w:rPr>
                <w:color w:val="080C0F" w:themeColor="text1"/>
              </w:rPr>
            </w:pPr>
            <w:r w:rsidRPr="00730DE4">
              <w:rPr>
                <w:rStyle w:val="Strong"/>
              </w:rPr>
              <w:t>(29)</w:t>
            </w:r>
          </w:p>
        </w:tc>
        <w:tc>
          <w:tcPr>
            <w:tcW w:w="608"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4C81709" w14:textId="77777777" w:rsidR="00730DE4" w:rsidRPr="00730DE4" w:rsidRDefault="00730DE4" w:rsidP="00C8541B">
            <w:pPr>
              <w:pStyle w:val="NoSpacing"/>
              <w:jc w:val="right"/>
              <w:rPr>
                <w:color w:val="080C0F" w:themeColor="text1"/>
              </w:rPr>
            </w:pPr>
            <w:r w:rsidRPr="00730DE4">
              <w:rPr>
                <w:rStyle w:val="Strong"/>
              </w:rPr>
              <w:t xml:space="preserve">- </w:t>
            </w:r>
          </w:p>
        </w:tc>
        <w:tc>
          <w:tcPr>
            <w:tcW w:w="608" w:type="pct"/>
            <w:tcBorders>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B2872D5" w14:textId="77777777" w:rsidR="00730DE4" w:rsidRPr="00730DE4" w:rsidRDefault="00730DE4" w:rsidP="00C8541B">
            <w:pPr>
              <w:pStyle w:val="NoSpacing"/>
              <w:jc w:val="right"/>
              <w:rPr>
                <w:rStyle w:val="Strong"/>
              </w:rPr>
            </w:pPr>
            <w:r w:rsidRPr="00730DE4">
              <w:rPr>
                <w:rStyle w:val="Strong"/>
              </w:rPr>
              <w:t xml:space="preserve">12,698 </w:t>
            </w:r>
          </w:p>
        </w:tc>
      </w:tr>
      <w:tr w:rsidR="00730DE4" w:rsidRPr="00730DE4" w14:paraId="34F99B4D" w14:textId="77777777" w:rsidTr="00552182">
        <w:tc>
          <w:tcPr>
            <w:tcW w:w="1352"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tcPr>
          <w:p w14:paraId="205C3CA9" w14:textId="77777777" w:rsidR="00730DE4" w:rsidRPr="00730DE4" w:rsidRDefault="00730DE4" w:rsidP="00A115E3">
            <w:pPr>
              <w:pStyle w:val="NoSpacingIndent"/>
            </w:pPr>
            <w:r w:rsidRPr="00730DE4">
              <w:t>Income tax equivalent expense</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hideMark/>
          </w:tcPr>
          <w:p w14:paraId="0D8FD858" w14:textId="77777777" w:rsidR="00730DE4" w:rsidRPr="00730DE4" w:rsidRDefault="00730DE4" w:rsidP="00A115E3">
            <w:pPr>
              <w:pStyle w:val="NoSpacing"/>
              <w:jc w:val="right"/>
              <w:rPr>
                <w:color w:val="080C0F" w:themeColor="text1"/>
              </w:rPr>
            </w:pPr>
            <w:r w:rsidRPr="00730DE4">
              <w:rPr>
                <w:color w:val="080C0F" w:themeColor="text1"/>
              </w:rPr>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hideMark/>
          </w:tcPr>
          <w:p w14:paraId="626B5D3E" w14:textId="77777777" w:rsidR="00730DE4" w:rsidRPr="00730DE4" w:rsidRDefault="00730DE4" w:rsidP="00A115E3">
            <w:pPr>
              <w:pStyle w:val="NoSpacing"/>
              <w:jc w:val="right"/>
              <w:rPr>
                <w:color w:val="080C0F" w:themeColor="text1"/>
              </w:rPr>
            </w:pPr>
            <w:r w:rsidRPr="00730DE4">
              <w:rPr>
                <w:color w:val="080C0F" w:themeColor="text1"/>
              </w:rPr>
              <w:t>(4)</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hideMark/>
          </w:tcPr>
          <w:p w14:paraId="4BE4F2FB" w14:textId="77777777" w:rsidR="00730DE4" w:rsidRPr="00730DE4" w:rsidRDefault="00730DE4" w:rsidP="00A115E3">
            <w:pPr>
              <w:pStyle w:val="NoSpacing"/>
              <w:jc w:val="right"/>
              <w:rPr>
                <w:color w:val="080C0F" w:themeColor="text1"/>
              </w:rPr>
            </w:pPr>
            <w:r w:rsidRPr="00730DE4">
              <w:rPr>
                <w:color w:val="080C0F" w:themeColor="text1"/>
              </w:rPr>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hideMark/>
          </w:tcPr>
          <w:p w14:paraId="294A70C2" w14:textId="77777777" w:rsidR="00730DE4" w:rsidRPr="00730DE4" w:rsidRDefault="00730DE4" w:rsidP="00A115E3">
            <w:pPr>
              <w:pStyle w:val="NoSpacing"/>
              <w:jc w:val="right"/>
              <w:rPr>
                <w:color w:val="080C0F" w:themeColor="text1"/>
              </w:rPr>
            </w:pPr>
            <w:r w:rsidRPr="00730DE4">
              <w:rPr>
                <w:color w:val="080C0F" w:themeColor="text1"/>
              </w:rPr>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hideMark/>
          </w:tcPr>
          <w:p w14:paraId="27D499B2" w14:textId="77777777" w:rsidR="00730DE4" w:rsidRPr="00730DE4" w:rsidRDefault="00730DE4" w:rsidP="00A115E3">
            <w:pPr>
              <w:pStyle w:val="NoSpacing"/>
              <w:jc w:val="right"/>
              <w:rPr>
                <w:color w:val="080C0F" w:themeColor="text1"/>
              </w:rPr>
            </w:pPr>
            <w:r w:rsidRPr="00730DE4">
              <w:rPr>
                <w:color w:val="080C0F" w:themeColor="text1"/>
              </w:rPr>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hideMark/>
          </w:tcPr>
          <w:p w14:paraId="221905A0" w14:textId="77777777" w:rsidR="00730DE4" w:rsidRPr="00730DE4" w:rsidRDefault="00730DE4" w:rsidP="00A115E3">
            <w:pPr>
              <w:pStyle w:val="NoSpacing"/>
              <w:jc w:val="right"/>
              <w:rPr>
                <w:rStyle w:val="Strong"/>
              </w:rPr>
            </w:pPr>
            <w:r w:rsidRPr="00730DE4">
              <w:rPr>
                <w:rStyle w:val="Strong"/>
              </w:rPr>
              <w:t xml:space="preserve">7,702 </w:t>
            </w:r>
          </w:p>
        </w:tc>
      </w:tr>
      <w:tr w:rsidR="00730DE4" w:rsidRPr="00730DE4" w14:paraId="5E4B1FD8" w14:textId="77777777" w:rsidTr="00552182">
        <w:trPr>
          <w:trHeight w:val="454"/>
        </w:trPr>
        <w:tc>
          <w:tcPr>
            <w:tcW w:w="1352" w:type="pct"/>
            <w:tcBorders>
              <w:top w:val="single" w:sz="4" w:space="0" w:color="auto"/>
              <w:left w:val="nil"/>
              <w:bottom w:val="single" w:sz="4" w:space="0" w:color="auto"/>
              <w:right w:val="dotted" w:sz="4" w:space="0" w:color="BFBFBF" w:themeColor="background1" w:themeShade="BF"/>
            </w:tcBorders>
            <w:shd w:val="clear" w:color="auto" w:fill="auto"/>
            <w:vAlign w:val="bottom"/>
          </w:tcPr>
          <w:p w14:paraId="66C79A15" w14:textId="77777777" w:rsidR="00730DE4" w:rsidRPr="00730DE4" w:rsidRDefault="00730DE4" w:rsidP="00C8541B">
            <w:pPr>
              <w:pStyle w:val="NoSpacing"/>
              <w:rPr>
                <w:rStyle w:val="Strong"/>
              </w:rPr>
            </w:pPr>
            <w:r w:rsidRPr="00730DE4">
              <w:rPr>
                <w:rStyle w:val="Strong"/>
              </w:rPr>
              <w:t>Operating result for the year</w:t>
            </w:r>
          </w:p>
        </w:tc>
        <w:tc>
          <w:tcPr>
            <w:tcW w:w="608"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126F11EA" w14:textId="77777777" w:rsidR="00730DE4" w:rsidRPr="00730DE4" w:rsidRDefault="00730DE4" w:rsidP="00C8541B">
            <w:pPr>
              <w:pStyle w:val="NoSpacing"/>
              <w:jc w:val="right"/>
              <w:rPr>
                <w:color w:val="080C0F" w:themeColor="text1"/>
              </w:rPr>
            </w:pPr>
            <w:r w:rsidRPr="00730DE4">
              <w:rPr>
                <w:rStyle w:val="Strong"/>
              </w:rPr>
              <w:t xml:space="preserve">- </w:t>
            </w:r>
          </w:p>
        </w:tc>
        <w:tc>
          <w:tcPr>
            <w:tcW w:w="608"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4A0F0244" w14:textId="77777777" w:rsidR="00730DE4" w:rsidRPr="00730DE4" w:rsidRDefault="00730DE4" w:rsidP="00C8541B">
            <w:pPr>
              <w:pStyle w:val="NoSpacing"/>
              <w:jc w:val="right"/>
              <w:rPr>
                <w:color w:val="080C0F" w:themeColor="text1"/>
              </w:rPr>
            </w:pPr>
            <w:r w:rsidRPr="00730DE4">
              <w:rPr>
                <w:rStyle w:val="Strong"/>
              </w:rPr>
              <w:t xml:space="preserve">565 </w:t>
            </w:r>
          </w:p>
        </w:tc>
        <w:tc>
          <w:tcPr>
            <w:tcW w:w="608"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3CD6D6C0" w14:textId="77777777" w:rsidR="00730DE4" w:rsidRPr="00730DE4" w:rsidRDefault="00730DE4" w:rsidP="00C8541B">
            <w:pPr>
              <w:pStyle w:val="NoSpacing"/>
              <w:jc w:val="right"/>
              <w:rPr>
                <w:color w:val="080C0F" w:themeColor="text1"/>
              </w:rPr>
            </w:pPr>
            <w:r w:rsidRPr="00730DE4">
              <w:rPr>
                <w:rStyle w:val="Strong"/>
              </w:rPr>
              <w:t xml:space="preserve">562 </w:t>
            </w:r>
          </w:p>
        </w:tc>
        <w:tc>
          <w:tcPr>
            <w:tcW w:w="608"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18F95ABF" w14:textId="77777777" w:rsidR="00730DE4" w:rsidRPr="00730DE4" w:rsidRDefault="00730DE4" w:rsidP="00C8541B">
            <w:pPr>
              <w:pStyle w:val="NoSpacing"/>
              <w:jc w:val="right"/>
              <w:rPr>
                <w:color w:val="080C0F" w:themeColor="text1"/>
              </w:rPr>
            </w:pPr>
            <w:r w:rsidRPr="00730DE4">
              <w:rPr>
                <w:rStyle w:val="Strong"/>
              </w:rPr>
              <w:t>(29)</w:t>
            </w:r>
          </w:p>
        </w:tc>
        <w:tc>
          <w:tcPr>
            <w:tcW w:w="608"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311B0071" w14:textId="77777777" w:rsidR="00730DE4" w:rsidRPr="00730DE4" w:rsidRDefault="00730DE4" w:rsidP="00C8541B">
            <w:pPr>
              <w:pStyle w:val="NoSpacing"/>
              <w:jc w:val="right"/>
              <w:rPr>
                <w:color w:val="080C0F" w:themeColor="text1"/>
              </w:rPr>
            </w:pPr>
            <w:r w:rsidRPr="00730DE4">
              <w:rPr>
                <w:rStyle w:val="Strong"/>
              </w:rPr>
              <w:t xml:space="preserve">- </w:t>
            </w:r>
          </w:p>
        </w:tc>
        <w:tc>
          <w:tcPr>
            <w:tcW w:w="608" w:type="pct"/>
            <w:tcBorders>
              <w:top w:val="single" w:sz="4" w:space="0" w:color="auto"/>
              <w:left w:val="dotted" w:sz="4" w:space="0" w:color="BFBFBF" w:themeColor="background1" w:themeShade="BF"/>
              <w:bottom w:val="single" w:sz="4" w:space="0" w:color="auto"/>
              <w:right w:val="nil"/>
            </w:tcBorders>
            <w:shd w:val="clear" w:color="auto" w:fill="auto"/>
            <w:noWrap/>
            <w:vAlign w:val="bottom"/>
            <w:hideMark/>
          </w:tcPr>
          <w:p w14:paraId="73ECCB96" w14:textId="77777777" w:rsidR="00730DE4" w:rsidRPr="00730DE4" w:rsidRDefault="00730DE4" w:rsidP="00C8541B">
            <w:pPr>
              <w:pStyle w:val="NoSpacing"/>
              <w:jc w:val="right"/>
              <w:rPr>
                <w:rStyle w:val="Strong"/>
              </w:rPr>
            </w:pPr>
            <w:r w:rsidRPr="00730DE4">
              <w:rPr>
                <w:rStyle w:val="Strong"/>
              </w:rPr>
              <w:t xml:space="preserve">4,996 </w:t>
            </w:r>
          </w:p>
        </w:tc>
      </w:tr>
      <w:tr w:rsidR="00730DE4" w:rsidRPr="00730DE4" w14:paraId="04BA2D40" w14:textId="77777777" w:rsidTr="00552182">
        <w:trPr>
          <w:trHeight w:val="454"/>
        </w:trPr>
        <w:tc>
          <w:tcPr>
            <w:tcW w:w="1352"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vAlign w:val="bottom"/>
          </w:tcPr>
          <w:p w14:paraId="0311801B" w14:textId="77777777" w:rsidR="00730DE4" w:rsidRPr="00730DE4" w:rsidRDefault="00730DE4" w:rsidP="00C8541B">
            <w:pPr>
              <w:pStyle w:val="NoSpacing"/>
              <w:rPr>
                <w:rStyle w:val="Strong"/>
              </w:rPr>
            </w:pPr>
            <w:r w:rsidRPr="00730DE4">
              <w:rPr>
                <w:rStyle w:val="Strong"/>
              </w:rPr>
              <w:t>Items not reclassified to operating result</w:t>
            </w: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516C4F18" w14:textId="77777777" w:rsidR="00730DE4" w:rsidRPr="00730DE4" w:rsidRDefault="00730DE4" w:rsidP="00C8541B">
            <w:pPr>
              <w:pStyle w:val="NoSpacing"/>
              <w:jc w:val="right"/>
              <w:rPr>
                <w:rStyle w:val="Strong"/>
              </w:rPr>
            </w:pP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432329E8" w14:textId="77777777" w:rsidR="00730DE4" w:rsidRPr="00730DE4" w:rsidRDefault="00730DE4" w:rsidP="00C8541B">
            <w:pPr>
              <w:pStyle w:val="NoSpacing"/>
              <w:jc w:val="right"/>
              <w:rPr>
                <w:color w:val="080C0F" w:themeColor="text1"/>
              </w:rPr>
            </w:pP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370B8020" w14:textId="77777777" w:rsidR="00730DE4" w:rsidRPr="00730DE4" w:rsidRDefault="00730DE4" w:rsidP="00C8541B">
            <w:pPr>
              <w:pStyle w:val="NoSpacing"/>
              <w:jc w:val="right"/>
              <w:rPr>
                <w:color w:val="080C0F" w:themeColor="text1"/>
              </w:rPr>
            </w:pP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4F3F131B" w14:textId="77777777" w:rsidR="00730DE4" w:rsidRPr="00730DE4" w:rsidRDefault="00730DE4" w:rsidP="00C8541B">
            <w:pPr>
              <w:pStyle w:val="NoSpacing"/>
              <w:jc w:val="right"/>
              <w:rPr>
                <w:color w:val="080C0F" w:themeColor="text1"/>
              </w:rPr>
            </w:pP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41CCD796" w14:textId="77777777" w:rsidR="00730DE4" w:rsidRPr="00730DE4" w:rsidRDefault="00730DE4" w:rsidP="00C8541B">
            <w:pPr>
              <w:pStyle w:val="NoSpacing"/>
              <w:jc w:val="right"/>
              <w:rPr>
                <w:color w:val="080C0F" w:themeColor="text1"/>
              </w:rPr>
            </w:pPr>
          </w:p>
        </w:tc>
        <w:tc>
          <w:tcPr>
            <w:tcW w:w="608"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vAlign w:val="bottom"/>
          </w:tcPr>
          <w:p w14:paraId="6A777B18" w14:textId="77777777" w:rsidR="00730DE4" w:rsidRPr="00730DE4" w:rsidRDefault="00730DE4" w:rsidP="00C8541B">
            <w:pPr>
              <w:pStyle w:val="NoSpacing"/>
              <w:jc w:val="right"/>
              <w:rPr>
                <w:color w:val="080C0F" w:themeColor="text1"/>
              </w:rPr>
            </w:pPr>
          </w:p>
        </w:tc>
      </w:tr>
      <w:tr w:rsidR="00730DE4" w:rsidRPr="00730DE4" w14:paraId="16C4AA19" w14:textId="77777777" w:rsidTr="00552182">
        <w:tc>
          <w:tcPr>
            <w:tcW w:w="1352"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tcPr>
          <w:p w14:paraId="7566A871" w14:textId="77777777" w:rsidR="00730DE4" w:rsidRPr="00730DE4" w:rsidRDefault="00730DE4" w:rsidP="00A115E3">
            <w:pPr>
              <w:pStyle w:val="NoSpacingIndent"/>
            </w:pPr>
            <w:r w:rsidRPr="00730DE4">
              <w:t>Increase in asset revaluation surplus</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hideMark/>
          </w:tcPr>
          <w:p w14:paraId="7E590017" w14:textId="77777777" w:rsidR="00730DE4" w:rsidRPr="00730DE4" w:rsidRDefault="00730DE4" w:rsidP="00A115E3">
            <w:pPr>
              <w:pStyle w:val="NoSpacing"/>
              <w:jc w:val="right"/>
              <w:rPr>
                <w:color w:val="080C0F" w:themeColor="text1"/>
              </w:rPr>
            </w:pPr>
            <w:r w:rsidRPr="00730DE4">
              <w:rPr>
                <w:color w:val="080C0F" w:themeColor="text1"/>
              </w:rPr>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hideMark/>
          </w:tcPr>
          <w:p w14:paraId="37657B1A" w14:textId="77777777" w:rsidR="00730DE4" w:rsidRPr="00730DE4" w:rsidRDefault="00730DE4" w:rsidP="00A115E3">
            <w:pPr>
              <w:pStyle w:val="NoSpacing"/>
              <w:jc w:val="right"/>
              <w:rPr>
                <w:color w:val="080C0F" w:themeColor="text1"/>
              </w:rPr>
            </w:pPr>
            <w:r w:rsidRPr="00730DE4">
              <w:rPr>
                <w:color w:val="080C0F" w:themeColor="text1"/>
              </w:rPr>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hideMark/>
          </w:tcPr>
          <w:p w14:paraId="4B305AF4" w14:textId="77777777" w:rsidR="00730DE4" w:rsidRPr="00730DE4" w:rsidRDefault="00730DE4" w:rsidP="00A115E3">
            <w:pPr>
              <w:pStyle w:val="NoSpacing"/>
              <w:jc w:val="right"/>
              <w:rPr>
                <w:color w:val="080C0F" w:themeColor="text1"/>
              </w:rPr>
            </w:pPr>
            <w:r w:rsidRPr="00730DE4">
              <w:rPr>
                <w:color w:val="080C0F" w:themeColor="text1"/>
              </w:rPr>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hideMark/>
          </w:tcPr>
          <w:p w14:paraId="191E198F" w14:textId="77777777" w:rsidR="00730DE4" w:rsidRPr="00730DE4" w:rsidRDefault="00730DE4" w:rsidP="00A115E3">
            <w:pPr>
              <w:pStyle w:val="NoSpacing"/>
              <w:jc w:val="right"/>
              <w:rPr>
                <w:color w:val="080C0F" w:themeColor="text1"/>
              </w:rPr>
            </w:pPr>
            <w:r w:rsidRPr="00730DE4">
              <w:rPr>
                <w:color w:val="080C0F" w:themeColor="text1"/>
              </w:rPr>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hideMark/>
          </w:tcPr>
          <w:p w14:paraId="32C75166" w14:textId="77777777" w:rsidR="00730DE4" w:rsidRPr="00730DE4" w:rsidRDefault="00730DE4" w:rsidP="00A115E3">
            <w:pPr>
              <w:pStyle w:val="NoSpacing"/>
              <w:jc w:val="right"/>
              <w:rPr>
                <w:color w:val="080C0F" w:themeColor="text1"/>
              </w:rPr>
            </w:pPr>
            <w:r w:rsidRPr="00730DE4">
              <w:rPr>
                <w:color w:val="080C0F" w:themeColor="text1"/>
              </w:rPr>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hideMark/>
          </w:tcPr>
          <w:p w14:paraId="238A96B7" w14:textId="77777777" w:rsidR="00730DE4" w:rsidRPr="00730DE4" w:rsidRDefault="00730DE4" w:rsidP="00A115E3">
            <w:pPr>
              <w:pStyle w:val="NoSpacing"/>
              <w:jc w:val="right"/>
              <w:rPr>
                <w:rStyle w:val="Strong"/>
              </w:rPr>
            </w:pPr>
            <w:r w:rsidRPr="00730DE4">
              <w:rPr>
                <w:rStyle w:val="Strong"/>
              </w:rPr>
              <w:t xml:space="preserve">15,103,128 </w:t>
            </w:r>
          </w:p>
        </w:tc>
      </w:tr>
      <w:tr w:rsidR="00730DE4" w:rsidRPr="00730DE4" w14:paraId="24EF3EC2" w14:textId="77777777" w:rsidTr="00552182">
        <w:tc>
          <w:tcPr>
            <w:tcW w:w="1352" w:type="pct"/>
            <w:tcBorders>
              <w:top w:val="single" w:sz="4" w:space="0" w:color="auto"/>
              <w:left w:val="nil"/>
              <w:bottom w:val="single" w:sz="4" w:space="0" w:color="auto"/>
              <w:right w:val="dotted" w:sz="4" w:space="0" w:color="BFBFBF" w:themeColor="background1" w:themeShade="BF"/>
            </w:tcBorders>
            <w:shd w:val="clear" w:color="auto" w:fill="auto"/>
          </w:tcPr>
          <w:p w14:paraId="11BE3CBA" w14:textId="77777777" w:rsidR="00730DE4" w:rsidRPr="00730DE4" w:rsidRDefault="00730DE4" w:rsidP="00607851">
            <w:pPr>
              <w:pStyle w:val="NoSpacing"/>
              <w:rPr>
                <w:rStyle w:val="Strong"/>
              </w:rPr>
            </w:pPr>
            <w:r w:rsidRPr="00730DE4">
              <w:rPr>
                <w:rStyle w:val="Strong"/>
              </w:rPr>
              <w:t>Total other comprehensive income</w:t>
            </w:r>
          </w:p>
        </w:tc>
        <w:tc>
          <w:tcPr>
            <w:tcW w:w="608"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auto"/>
            <w:noWrap/>
            <w:hideMark/>
          </w:tcPr>
          <w:p w14:paraId="4A2C7586" w14:textId="77777777" w:rsidR="00730DE4" w:rsidRPr="00730DE4" w:rsidRDefault="00730DE4" w:rsidP="00607851">
            <w:pPr>
              <w:pStyle w:val="NoSpacing"/>
              <w:jc w:val="right"/>
              <w:rPr>
                <w:color w:val="080C0F" w:themeColor="text1"/>
              </w:rPr>
            </w:pPr>
            <w:r w:rsidRPr="00730DE4">
              <w:rPr>
                <w:rStyle w:val="Strong"/>
              </w:rPr>
              <w:t xml:space="preserve">- </w:t>
            </w:r>
          </w:p>
        </w:tc>
        <w:tc>
          <w:tcPr>
            <w:tcW w:w="608"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auto"/>
            <w:noWrap/>
            <w:hideMark/>
          </w:tcPr>
          <w:p w14:paraId="26A57A3C" w14:textId="77777777" w:rsidR="00730DE4" w:rsidRPr="00730DE4" w:rsidRDefault="00730DE4" w:rsidP="00607851">
            <w:pPr>
              <w:pStyle w:val="NoSpacing"/>
              <w:jc w:val="right"/>
              <w:rPr>
                <w:color w:val="080C0F" w:themeColor="text1"/>
              </w:rPr>
            </w:pPr>
            <w:r w:rsidRPr="00730DE4">
              <w:rPr>
                <w:rStyle w:val="Strong"/>
              </w:rPr>
              <w:t xml:space="preserve">- </w:t>
            </w:r>
          </w:p>
        </w:tc>
        <w:tc>
          <w:tcPr>
            <w:tcW w:w="608"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auto"/>
            <w:noWrap/>
            <w:hideMark/>
          </w:tcPr>
          <w:p w14:paraId="354F207F" w14:textId="77777777" w:rsidR="00730DE4" w:rsidRPr="00730DE4" w:rsidRDefault="00730DE4" w:rsidP="00607851">
            <w:pPr>
              <w:pStyle w:val="NoSpacing"/>
              <w:jc w:val="right"/>
              <w:rPr>
                <w:color w:val="080C0F" w:themeColor="text1"/>
              </w:rPr>
            </w:pPr>
            <w:r w:rsidRPr="00730DE4">
              <w:rPr>
                <w:rStyle w:val="Strong"/>
              </w:rPr>
              <w:t xml:space="preserve">- </w:t>
            </w:r>
          </w:p>
        </w:tc>
        <w:tc>
          <w:tcPr>
            <w:tcW w:w="608"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auto"/>
            <w:noWrap/>
            <w:hideMark/>
          </w:tcPr>
          <w:p w14:paraId="379E73AA" w14:textId="77777777" w:rsidR="00730DE4" w:rsidRPr="00730DE4" w:rsidRDefault="00730DE4" w:rsidP="00607851">
            <w:pPr>
              <w:pStyle w:val="NoSpacing"/>
              <w:jc w:val="right"/>
              <w:rPr>
                <w:color w:val="080C0F" w:themeColor="text1"/>
              </w:rPr>
            </w:pPr>
            <w:r w:rsidRPr="00730DE4">
              <w:rPr>
                <w:rStyle w:val="Strong"/>
              </w:rPr>
              <w:t xml:space="preserve">- </w:t>
            </w:r>
          </w:p>
        </w:tc>
        <w:tc>
          <w:tcPr>
            <w:tcW w:w="608"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auto"/>
            <w:noWrap/>
            <w:hideMark/>
          </w:tcPr>
          <w:p w14:paraId="54C81E31" w14:textId="77777777" w:rsidR="00730DE4" w:rsidRPr="00730DE4" w:rsidRDefault="00730DE4" w:rsidP="00607851">
            <w:pPr>
              <w:pStyle w:val="NoSpacing"/>
              <w:jc w:val="right"/>
              <w:rPr>
                <w:color w:val="080C0F" w:themeColor="text1"/>
              </w:rPr>
            </w:pPr>
            <w:r w:rsidRPr="00730DE4">
              <w:rPr>
                <w:rStyle w:val="Strong"/>
              </w:rPr>
              <w:t xml:space="preserve">- </w:t>
            </w:r>
          </w:p>
        </w:tc>
        <w:tc>
          <w:tcPr>
            <w:tcW w:w="608" w:type="pct"/>
            <w:tcBorders>
              <w:top w:val="single" w:sz="4" w:space="0" w:color="auto"/>
              <w:left w:val="dotted" w:sz="4" w:space="0" w:color="BFBFBF" w:themeColor="background1" w:themeShade="BF"/>
              <w:bottom w:val="single" w:sz="4" w:space="0" w:color="auto"/>
              <w:right w:val="nil"/>
            </w:tcBorders>
            <w:shd w:val="clear" w:color="auto" w:fill="auto"/>
            <w:noWrap/>
            <w:hideMark/>
          </w:tcPr>
          <w:p w14:paraId="1C3B2B0C" w14:textId="77777777" w:rsidR="00730DE4" w:rsidRPr="00730DE4" w:rsidRDefault="00730DE4" w:rsidP="00607851">
            <w:pPr>
              <w:pStyle w:val="NoSpacing"/>
              <w:jc w:val="right"/>
              <w:rPr>
                <w:rStyle w:val="Strong"/>
              </w:rPr>
            </w:pPr>
            <w:r w:rsidRPr="00730DE4">
              <w:rPr>
                <w:rStyle w:val="Strong"/>
              </w:rPr>
              <w:t xml:space="preserve">15,103,128 </w:t>
            </w:r>
          </w:p>
        </w:tc>
      </w:tr>
      <w:tr w:rsidR="00730DE4" w:rsidRPr="00730DE4" w14:paraId="1770FED5" w14:textId="77777777" w:rsidTr="00094DCA">
        <w:trPr>
          <w:trHeight w:val="454"/>
        </w:trPr>
        <w:tc>
          <w:tcPr>
            <w:tcW w:w="1352" w:type="pct"/>
            <w:tcBorders>
              <w:top w:val="single" w:sz="4" w:space="0" w:color="auto"/>
              <w:left w:val="nil"/>
              <w:bottom w:val="double" w:sz="4" w:space="0" w:color="auto"/>
              <w:right w:val="dotted" w:sz="4" w:space="0" w:color="BFBFBF" w:themeColor="background1" w:themeShade="BF"/>
            </w:tcBorders>
            <w:shd w:val="clear" w:color="auto" w:fill="auto"/>
            <w:vAlign w:val="bottom"/>
          </w:tcPr>
          <w:p w14:paraId="09475253" w14:textId="77777777" w:rsidR="00730DE4" w:rsidRPr="00730DE4" w:rsidRDefault="00730DE4" w:rsidP="00094DCA">
            <w:pPr>
              <w:pStyle w:val="NoSpacing"/>
              <w:rPr>
                <w:rStyle w:val="Strong"/>
              </w:rPr>
            </w:pPr>
            <w:r w:rsidRPr="00730DE4">
              <w:rPr>
                <w:rStyle w:val="Strong"/>
              </w:rPr>
              <w:t>Total comprehensive income</w:t>
            </w:r>
          </w:p>
        </w:tc>
        <w:tc>
          <w:tcPr>
            <w:tcW w:w="608"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vAlign w:val="bottom"/>
            <w:hideMark/>
          </w:tcPr>
          <w:p w14:paraId="102DF653" w14:textId="77777777" w:rsidR="00730DE4" w:rsidRPr="00730DE4" w:rsidRDefault="00730DE4" w:rsidP="00094DCA">
            <w:pPr>
              <w:pStyle w:val="NoSpacing"/>
              <w:jc w:val="right"/>
              <w:rPr>
                <w:color w:val="080C0F" w:themeColor="text1"/>
              </w:rPr>
            </w:pPr>
            <w:r w:rsidRPr="00730DE4">
              <w:rPr>
                <w:rStyle w:val="Strong"/>
              </w:rPr>
              <w:t xml:space="preserve">- </w:t>
            </w:r>
          </w:p>
        </w:tc>
        <w:tc>
          <w:tcPr>
            <w:tcW w:w="608"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vAlign w:val="bottom"/>
            <w:hideMark/>
          </w:tcPr>
          <w:p w14:paraId="4E4F7C28" w14:textId="77777777" w:rsidR="00730DE4" w:rsidRPr="00730DE4" w:rsidRDefault="00730DE4" w:rsidP="00094DCA">
            <w:pPr>
              <w:pStyle w:val="NoSpacing"/>
              <w:jc w:val="right"/>
              <w:rPr>
                <w:color w:val="080C0F" w:themeColor="text1"/>
              </w:rPr>
            </w:pPr>
            <w:r w:rsidRPr="00730DE4">
              <w:rPr>
                <w:rStyle w:val="Strong"/>
              </w:rPr>
              <w:t xml:space="preserve">565 </w:t>
            </w:r>
          </w:p>
        </w:tc>
        <w:tc>
          <w:tcPr>
            <w:tcW w:w="608"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vAlign w:val="bottom"/>
            <w:hideMark/>
          </w:tcPr>
          <w:p w14:paraId="5A5AF89A" w14:textId="77777777" w:rsidR="00730DE4" w:rsidRPr="00730DE4" w:rsidRDefault="00730DE4" w:rsidP="00094DCA">
            <w:pPr>
              <w:pStyle w:val="NoSpacing"/>
              <w:jc w:val="right"/>
              <w:rPr>
                <w:color w:val="080C0F" w:themeColor="text1"/>
              </w:rPr>
            </w:pPr>
            <w:r w:rsidRPr="00730DE4">
              <w:rPr>
                <w:rStyle w:val="Strong"/>
              </w:rPr>
              <w:t xml:space="preserve">562 </w:t>
            </w:r>
          </w:p>
        </w:tc>
        <w:tc>
          <w:tcPr>
            <w:tcW w:w="608"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vAlign w:val="bottom"/>
            <w:hideMark/>
          </w:tcPr>
          <w:p w14:paraId="6EFFFF43" w14:textId="77777777" w:rsidR="00730DE4" w:rsidRPr="00730DE4" w:rsidRDefault="00730DE4" w:rsidP="00094DCA">
            <w:pPr>
              <w:pStyle w:val="NoSpacing"/>
              <w:jc w:val="right"/>
              <w:rPr>
                <w:color w:val="080C0F" w:themeColor="text1"/>
              </w:rPr>
            </w:pPr>
            <w:r w:rsidRPr="00730DE4">
              <w:rPr>
                <w:rStyle w:val="Strong"/>
              </w:rPr>
              <w:t>(29)</w:t>
            </w:r>
          </w:p>
        </w:tc>
        <w:tc>
          <w:tcPr>
            <w:tcW w:w="608"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vAlign w:val="bottom"/>
            <w:hideMark/>
          </w:tcPr>
          <w:p w14:paraId="6DF0ACF1" w14:textId="77777777" w:rsidR="00730DE4" w:rsidRPr="00730DE4" w:rsidRDefault="00730DE4" w:rsidP="00094DCA">
            <w:pPr>
              <w:pStyle w:val="NoSpacing"/>
              <w:jc w:val="right"/>
              <w:rPr>
                <w:color w:val="080C0F" w:themeColor="text1"/>
              </w:rPr>
            </w:pPr>
            <w:r w:rsidRPr="00730DE4">
              <w:rPr>
                <w:rStyle w:val="Strong"/>
              </w:rPr>
              <w:t xml:space="preserve">- </w:t>
            </w:r>
          </w:p>
        </w:tc>
        <w:tc>
          <w:tcPr>
            <w:tcW w:w="608" w:type="pct"/>
            <w:tcBorders>
              <w:top w:val="single" w:sz="4" w:space="0" w:color="auto"/>
              <w:left w:val="dotted" w:sz="4" w:space="0" w:color="BFBFBF" w:themeColor="background1" w:themeShade="BF"/>
              <w:bottom w:val="double" w:sz="4" w:space="0" w:color="auto"/>
              <w:right w:val="nil"/>
            </w:tcBorders>
            <w:shd w:val="clear" w:color="auto" w:fill="auto"/>
            <w:noWrap/>
            <w:vAlign w:val="bottom"/>
            <w:hideMark/>
          </w:tcPr>
          <w:p w14:paraId="45278047" w14:textId="77777777" w:rsidR="00730DE4" w:rsidRPr="00730DE4" w:rsidRDefault="00730DE4" w:rsidP="00094DCA">
            <w:pPr>
              <w:pStyle w:val="NoSpacing"/>
              <w:jc w:val="right"/>
              <w:rPr>
                <w:rStyle w:val="Strong"/>
              </w:rPr>
            </w:pPr>
            <w:r w:rsidRPr="00730DE4">
              <w:rPr>
                <w:rStyle w:val="Strong"/>
              </w:rPr>
              <w:t xml:space="preserve">15,108,124 </w:t>
            </w:r>
          </w:p>
        </w:tc>
      </w:tr>
    </w:tbl>
    <w:p w14:paraId="64ECFF74" w14:textId="77777777" w:rsidR="00730DE4" w:rsidRPr="00730DE4" w:rsidRDefault="00730DE4" w:rsidP="00370697">
      <w:pPr>
        <w:pStyle w:val="Heading3"/>
      </w:pPr>
      <w:r w:rsidRPr="00730DE4">
        <w:br w:type="page"/>
      </w:r>
    </w:p>
    <w:p w14:paraId="7310E951" w14:textId="77777777" w:rsidR="00730DE4" w:rsidRPr="00730DE4" w:rsidRDefault="00730DE4" w:rsidP="006A14A6">
      <w:pPr>
        <w:pStyle w:val="Heading2"/>
        <w:spacing w:after="0"/>
      </w:pPr>
      <w:bookmarkStart w:id="1422" w:name="_Toc179365596"/>
      <w:bookmarkStart w:id="1423" w:name="_Toc180490901"/>
      <w:bookmarkStart w:id="1424" w:name="_Toc180491934"/>
      <w:r w:rsidRPr="00730DE4">
        <w:t>Statement of assets and liabilities by major departmental services</w:t>
      </w:r>
      <w:bookmarkEnd w:id="1422"/>
      <w:bookmarkEnd w:id="1423"/>
      <w:bookmarkEnd w:id="1424"/>
    </w:p>
    <w:p w14:paraId="6AD3C302" w14:textId="77777777" w:rsidR="00730DE4" w:rsidRPr="00730DE4" w:rsidRDefault="00730DE4" w:rsidP="005B343F">
      <w:pPr>
        <w:pStyle w:val="NoSpacing"/>
        <w:rPr>
          <w:sz w:val="24"/>
          <w:szCs w:val="24"/>
        </w:rPr>
      </w:pPr>
      <w:r w:rsidRPr="00730DE4">
        <w:rPr>
          <w:sz w:val="24"/>
          <w:szCs w:val="24"/>
        </w:rPr>
        <w:t>As at 30 June 2024</w:t>
      </w:r>
    </w:p>
    <w:p w14:paraId="58ED03DC" w14:textId="77777777" w:rsidR="00730DE4" w:rsidRPr="00730DE4" w:rsidRDefault="00730DE4" w:rsidP="009D3417">
      <w:pPr>
        <w:pStyle w:val="NoSpacing"/>
      </w:pPr>
    </w:p>
    <w:tbl>
      <w:tblPr>
        <w:tblW w:w="5000" w:type="pct"/>
        <w:tblCellMar>
          <w:top w:w="23" w:type="dxa"/>
          <w:left w:w="23" w:type="dxa"/>
          <w:bottom w:w="23" w:type="dxa"/>
          <w:right w:w="23" w:type="dxa"/>
        </w:tblCellMar>
        <w:tblLook w:val="04A0" w:firstRow="1" w:lastRow="0" w:firstColumn="1" w:lastColumn="0" w:noHBand="0" w:noVBand="1"/>
      </w:tblPr>
      <w:tblGrid>
        <w:gridCol w:w="5671"/>
        <w:gridCol w:w="2550"/>
        <w:gridCol w:w="2550"/>
        <w:gridCol w:w="2551"/>
        <w:gridCol w:w="2551"/>
        <w:gridCol w:w="2551"/>
        <w:gridCol w:w="2551"/>
      </w:tblGrid>
      <w:tr w:rsidR="00730DE4" w:rsidRPr="00730DE4" w14:paraId="50FCA88E" w14:textId="77777777" w:rsidTr="00253FBD">
        <w:trPr>
          <w:trHeight w:val="198"/>
        </w:trPr>
        <w:tc>
          <w:tcPr>
            <w:tcW w:w="1352" w:type="pct"/>
            <w:tcBorders>
              <w:top w:val="nil"/>
              <w:left w:val="nil"/>
              <w:bottom w:val="single" w:sz="4" w:space="0" w:color="auto"/>
              <w:right w:val="nil"/>
            </w:tcBorders>
            <w:shd w:val="clear" w:color="auto" w:fill="auto"/>
            <w:noWrap/>
            <w:vAlign w:val="bottom"/>
            <w:hideMark/>
          </w:tcPr>
          <w:p w14:paraId="17B9EA90" w14:textId="77777777" w:rsidR="00730DE4" w:rsidRPr="00730DE4" w:rsidRDefault="00730DE4" w:rsidP="00C8541B">
            <w:pPr>
              <w:pStyle w:val="NoSpacing"/>
            </w:pPr>
          </w:p>
        </w:tc>
        <w:tc>
          <w:tcPr>
            <w:tcW w:w="608" w:type="pct"/>
            <w:tcBorders>
              <w:top w:val="nil"/>
              <w:left w:val="nil"/>
              <w:bottom w:val="single" w:sz="4" w:space="0" w:color="auto"/>
              <w:right w:val="nil"/>
            </w:tcBorders>
            <w:shd w:val="clear" w:color="auto" w:fill="auto"/>
            <w:vAlign w:val="bottom"/>
            <w:hideMark/>
          </w:tcPr>
          <w:p w14:paraId="52684F68" w14:textId="77777777" w:rsidR="00730DE4" w:rsidRPr="00730DE4" w:rsidRDefault="00730DE4" w:rsidP="00C8541B">
            <w:pPr>
              <w:pStyle w:val="NoSpacing"/>
              <w:jc w:val="right"/>
              <w:rPr>
                <w:b/>
                <w:bCs/>
              </w:rPr>
            </w:pPr>
            <w:r w:rsidRPr="00730DE4">
              <w:rPr>
                <w:rStyle w:val="Strong"/>
              </w:rPr>
              <w:t xml:space="preserve">Transport system investment planning and programming </w:t>
            </w:r>
            <w:r w:rsidRPr="00730DE4">
              <w:rPr>
                <w:rStyle w:val="Strong"/>
              </w:rPr>
              <w:br/>
            </w:r>
            <w:r w:rsidRPr="00730DE4">
              <w:rPr>
                <w:rStyle w:val="Strong"/>
              </w:rPr>
              <w:br/>
              <w:t xml:space="preserve">2024 </w:t>
            </w:r>
            <w:r w:rsidRPr="00730DE4">
              <w:rPr>
                <w:rStyle w:val="Strong"/>
              </w:rPr>
              <w:br/>
              <w:t>$'000</w:t>
            </w:r>
          </w:p>
        </w:tc>
        <w:tc>
          <w:tcPr>
            <w:tcW w:w="608" w:type="pct"/>
            <w:tcBorders>
              <w:top w:val="nil"/>
              <w:left w:val="nil"/>
              <w:bottom w:val="single" w:sz="4" w:space="0" w:color="auto"/>
              <w:right w:val="nil"/>
            </w:tcBorders>
            <w:shd w:val="clear" w:color="auto" w:fill="auto"/>
            <w:vAlign w:val="bottom"/>
            <w:hideMark/>
          </w:tcPr>
          <w:p w14:paraId="06BB325C" w14:textId="77777777" w:rsidR="00730DE4" w:rsidRPr="00730DE4" w:rsidRDefault="00730DE4" w:rsidP="00C8541B">
            <w:pPr>
              <w:pStyle w:val="NoSpacing"/>
              <w:jc w:val="right"/>
              <w:rPr>
                <w:b/>
                <w:bCs/>
              </w:rPr>
            </w:pPr>
            <w:r w:rsidRPr="00730DE4">
              <w:rPr>
                <w:rStyle w:val="Strong"/>
              </w:rPr>
              <w:t xml:space="preserve">Transport infrastructure management </w:t>
            </w:r>
            <w:r w:rsidRPr="00730DE4">
              <w:rPr>
                <w:rStyle w:val="Strong"/>
              </w:rPr>
              <w:br/>
              <w:t xml:space="preserve">and delivery </w:t>
            </w:r>
            <w:r w:rsidRPr="00730DE4">
              <w:rPr>
                <w:rStyle w:val="Strong"/>
              </w:rPr>
              <w:br/>
            </w:r>
            <w:r w:rsidRPr="00730DE4">
              <w:rPr>
                <w:rStyle w:val="Strong"/>
              </w:rPr>
              <w:br/>
              <w:t xml:space="preserve">2024 </w:t>
            </w:r>
            <w:r w:rsidRPr="00730DE4">
              <w:rPr>
                <w:rStyle w:val="Strong"/>
              </w:rPr>
              <w:br/>
              <w:t>$'000</w:t>
            </w:r>
          </w:p>
        </w:tc>
        <w:tc>
          <w:tcPr>
            <w:tcW w:w="608" w:type="pct"/>
            <w:tcBorders>
              <w:top w:val="nil"/>
              <w:left w:val="nil"/>
              <w:bottom w:val="single" w:sz="4" w:space="0" w:color="auto"/>
              <w:right w:val="nil"/>
            </w:tcBorders>
            <w:shd w:val="clear" w:color="auto" w:fill="auto"/>
            <w:vAlign w:val="bottom"/>
            <w:hideMark/>
          </w:tcPr>
          <w:p w14:paraId="5687A446" w14:textId="77777777" w:rsidR="00730DE4" w:rsidRPr="00730DE4" w:rsidRDefault="00730DE4" w:rsidP="00C8541B">
            <w:pPr>
              <w:pStyle w:val="NoSpacing"/>
              <w:jc w:val="right"/>
              <w:rPr>
                <w:b/>
                <w:bCs/>
              </w:rPr>
            </w:pPr>
            <w:r w:rsidRPr="00730DE4">
              <w:rPr>
                <w:rStyle w:val="Strong"/>
              </w:rPr>
              <w:t xml:space="preserve">Transport safety </w:t>
            </w:r>
            <w:r w:rsidRPr="00730DE4">
              <w:rPr>
                <w:rStyle w:val="Strong"/>
              </w:rPr>
              <w:br/>
              <w:t>and regulation</w:t>
            </w:r>
            <w:r w:rsidRPr="00730DE4">
              <w:rPr>
                <w:rStyle w:val="Strong"/>
              </w:rPr>
              <w:br/>
              <w:t xml:space="preserve"> </w:t>
            </w:r>
            <w:r w:rsidRPr="00730DE4">
              <w:rPr>
                <w:rStyle w:val="Strong"/>
              </w:rPr>
              <w:br/>
            </w:r>
            <w:r w:rsidRPr="00730DE4">
              <w:rPr>
                <w:rStyle w:val="Strong"/>
              </w:rPr>
              <w:br/>
              <w:t xml:space="preserve">2024 </w:t>
            </w:r>
            <w:r w:rsidRPr="00730DE4">
              <w:rPr>
                <w:rStyle w:val="Strong"/>
              </w:rPr>
              <w:br/>
              <w:t>$'000</w:t>
            </w:r>
          </w:p>
        </w:tc>
        <w:tc>
          <w:tcPr>
            <w:tcW w:w="608" w:type="pct"/>
            <w:tcBorders>
              <w:top w:val="nil"/>
              <w:left w:val="nil"/>
              <w:bottom w:val="single" w:sz="4" w:space="0" w:color="auto"/>
              <w:right w:val="nil"/>
            </w:tcBorders>
            <w:shd w:val="clear" w:color="auto" w:fill="auto"/>
            <w:vAlign w:val="bottom"/>
            <w:hideMark/>
          </w:tcPr>
          <w:p w14:paraId="2CB5FBC1" w14:textId="77777777" w:rsidR="00730DE4" w:rsidRPr="00730DE4" w:rsidRDefault="00730DE4" w:rsidP="00C8541B">
            <w:pPr>
              <w:pStyle w:val="NoSpacing"/>
              <w:jc w:val="right"/>
              <w:rPr>
                <w:b/>
                <w:bCs/>
              </w:rPr>
            </w:pPr>
            <w:r w:rsidRPr="00730DE4">
              <w:rPr>
                <w:rStyle w:val="Strong"/>
              </w:rPr>
              <w:t xml:space="preserve">Customer </w:t>
            </w:r>
            <w:r w:rsidRPr="00730DE4">
              <w:rPr>
                <w:rStyle w:val="Strong"/>
              </w:rPr>
              <w:br/>
              <w:t>experience</w:t>
            </w:r>
            <w:r w:rsidRPr="00730DE4">
              <w:rPr>
                <w:rStyle w:val="Strong"/>
              </w:rPr>
              <w:br/>
              <w:t xml:space="preserve"> </w:t>
            </w:r>
            <w:r w:rsidRPr="00730DE4">
              <w:rPr>
                <w:rStyle w:val="Strong"/>
              </w:rPr>
              <w:br/>
            </w:r>
            <w:r w:rsidRPr="00730DE4">
              <w:rPr>
                <w:rStyle w:val="Strong"/>
              </w:rPr>
              <w:br/>
              <w:t xml:space="preserve">2024 </w:t>
            </w:r>
            <w:r w:rsidRPr="00730DE4">
              <w:rPr>
                <w:rStyle w:val="Strong"/>
              </w:rPr>
              <w:br/>
              <w:t>$'000</w:t>
            </w:r>
          </w:p>
        </w:tc>
        <w:tc>
          <w:tcPr>
            <w:tcW w:w="608" w:type="pct"/>
            <w:tcBorders>
              <w:top w:val="nil"/>
              <w:left w:val="nil"/>
              <w:bottom w:val="single" w:sz="4" w:space="0" w:color="auto"/>
              <w:right w:val="nil"/>
            </w:tcBorders>
            <w:shd w:val="clear" w:color="auto" w:fill="auto"/>
            <w:vAlign w:val="bottom"/>
            <w:hideMark/>
          </w:tcPr>
          <w:p w14:paraId="5C87EB49" w14:textId="77777777" w:rsidR="00730DE4" w:rsidRPr="00730DE4" w:rsidRDefault="00730DE4" w:rsidP="00C8541B">
            <w:pPr>
              <w:pStyle w:val="NoSpacing"/>
              <w:jc w:val="right"/>
              <w:rPr>
                <w:b/>
                <w:bCs/>
              </w:rPr>
            </w:pPr>
            <w:r w:rsidRPr="00730DE4">
              <w:rPr>
                <w:rStyle w:val="Strong"/>
              </w:rPr>
              <w:t xml:space="preserve">Passenger </w:t>
            </w:r>
            <w:r w:rsidRPr="00730DE4">
              <w:rPr>
                <w:rStyle w:val="Strong"/>
              </w:rPr>
              <w:br/>
              <w:t>transport services</w:t>
            </w:r>
            <w:r w:rsidRPr="00730DE4">
              <w:rPr>
                <w:rStyle w:val="Strong"/>
              </w:rPr>
              <w:br/>
              <w:t xml:space="preserve"> </w:t>
            </w:r>
            <w:r w:rsidRPr="00730DE4">
              <w:rPr>
                <w:rStyle w:val="Strong"/>
              </w:rPr>
              <w:br/>
            </w:r>
            <w:r w:rsidRPr="00730DE4">
              <w:rPr>
                <w:rStyle w:val="Strong"/>
              </w:rPr>
              <w:br/>
              <w:t xml:space="preserve">2024 </w:t>
            </w:r>
            <w:r w:rsidRPr="00730DE4">
              <w:rPr>
                <w:rStyle w:val="Strong"/>
              </w:rPr>
              <w:br/>
              <w:t>$'000</w:t>
            </w:r>
          </w:p>
        </w:tc>
        <w:tc>
          <w:tcPr>
            <w:tcW w:w="608" w:type="pct"/>
            <w:tcBorders>
              <w:top w:val="nil"/>
              <w:left w:val="nil"/>
              <w:bottom w:val="single" w:sz="4" w:space="0" w:color="auto"/>
              <w:right w:val="nil"/>
            </w:tcBorders>
            <w:shd w:val="clear" w:color="auto" w:fill="auto"/>
            <w:vAlign w:val="bottom"/>
            <w:hideMark/>
          </w:tcPr>
          <w:p w14:paraId="655A36FE" w14:textId="77777777" w:rsidR="00730DE4" w:rsidRPr="00730DE4" w:rsidRDefault="00730DE4" w:rsidP="00C8541B">
            <w:pPr>
              <w:pStyle w:val="NoSpacing"/>
              <w:jc w:val="right"/>
              <w:rPr>
                <w:rStyle w:val="Strong"/>
              </w:rPr>
            </w:pPr>
            <w:r w:rsidRPr="00730DE4">
              <w:rPr>
                <w:rStyle w:val="Strong"/>
              </w:rPr>
              <w:t xml:space="preserve">Transport infrastructure construction and maintenance </w:t>
            </w:r>
            <w:r w:rsidRPr="00730DE4">
              <w:rPr>
                <w:rStyle w:val="Strong"/>
              </w:rPr>
              <w:br/>
            </w:r>
            <w:r w:rsidRPr="00730DE4">
              <w:rPr>
                <w:rStyle w:val="Strong"/>
              </w:rPr>
              <w:br/>
              <w:t xml:space="preserve">2024 </w:t>
            </w:r>
            <w:r w:rsidRPr="00730DE4">
              <w:rPr>
                <w:rStyle w:val="Strong"/>
              </w:rPr>
              <w:br/>
              <w:t>$'000</w:t>
            </w:r>
          </w:p>
        </w:tc>
      </w:tr>
      <w:tr w:rsidR="00730DE4" w:rsidRPr="00730DE4" w14:paraId="7326AC0D" w14:textId="77777777" w:rsidTr="006A14A6">
        <w:trPr>
          <w:trHeight w:val="340"/>
        </w:trPr>
        <w:tc>
          <w:tcPr>
            <w:tcW w:w="1352"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vAlign w:val="bottom"/>
          </w:tcPr>
          <w:p w14:paraId="07DB3A36" w14:textId="77777777" w:rsidR="00730DE4" w:rsidRPr="00730DE4" w:rsidRDefault="00730DE4" w:rsidP="00C8541B">
            <w:pPr>
              <w:pStyle w:val="NoSpacing"/>
              <w:rPr>
                <w:rStyle w:val="Strong"/>
              </w:rPr>
            </w:pPr>
            <w:r w:rsidRPr="00730DE4">
              <w:rPr>
                <w:rStyle w:val="Strong"/>
              </w:rPr>
              <w:t>Assets</w:t>
            </w: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tcPr>
          <w:p w14:paraId="0054EF4E" w14:textId="77777777" w:rsidR="00730DE4" w:rsidRPr="00730DE4" w:rsidRDefault="00730DE4" w:rsidP="00C8541B">
            <w:pPr>
              <w:pStyle w:val="NoSpacing"/>
              <w:jc w:val="right"/>
              <w:rPr>
                <w:rStyle w:val="Strong"/>
              </w:rPr>
            </w:pP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tcPr>
          <w:p w14:paraId="556D33F7" w14:textId="77777777" w:rsidR="00730DE4" w:rsidRPr="00730DE4" w:rsidRDefault="00730DE4" w:rsidP="00C8541B">
            <w:pPr>
              <w:pStyle w:val="NoSpacing"/>
              <w:jc w:val="right"/>
              <w:rPr>
                <w:rStyle w:val="Strong"/>
              </w:rPr>
            </w:pP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tcPr>
          <w:p w14:paraId="596F6026" w14:textId="77777777" w:rsidR="00730DE4" w:rsidRPr="00730DE4" w:rsidRDefault="00730DE4" w:rsidP="00C8541B">
            <w:pPr>
              <w:pStyle w:val="NoSpacing"/>
              <w:jc w:val="right"/>
              <w:rPr>
                <w:rStyle w:val="Strong"/>
              </w:rPr>
            </w:pP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tcPr>
          <w:p w14:paraId="20C87CBB" w14:textId="77777777" w:rsidR="00730DE4" w:rsidRPr="00730DE4" w:rsidRDefault="00730DE4" w:rsidP="00C8541B">
            <w:pPr>
              <w:pStyle w:val="NoSpacing"/>
              <w:jc w:val="right"/>
              <w:rPr>
                <w:rStyle w:val="Strong"/>
              </w:rPr>
            </w:pP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tcPr>
          <w:p w14:paraId="4665CD20" w14:textId="77777777" w:rsidR="00730DE4" w:rsidRPr="00730DE4" w:rsidRDefault="00730DE4" w:rsidP="00C8541B">
            <w:pPr>
              <w:pStyle w:val="NoSpacing"/>
              <w:jc w:val="right"/>
              <w:rPr>
                <w:rStyle w:val="Strong"/>
              </w:rPr>
            </w:pPr>
          </w:p>
        </w:tc>
        <w:tc>
          <w:tcPr>
            <w:tcW w:w="608"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F2F2F2" w:themeFill="background1" w:themeFillShade="F2"/>
            <w:vAlign w:val="bottom"/>
          </w:tcPr>
          <w:p w14:paraId="4A7B317F" w14:textId="77777777" w:rsidR="00730DE4" w:rsidRPr="00730DE4" w:rsidRDefault="00730DE4" w:rsidP="00C8541B">
            <w:pPr>
              <w:pStyle w:val="NoSpacing"/>
              <w:jc w:val="right"/>
              <w:rPr>
                <w:rStyle w:val="Strong"/>
              </w:rPr>
            </w:pPr>
          </w:p>
        </w:tc>
      </w:tr>
      <w:tr w:rsidR="00730DE4" w:rsidRPr="00730DE4" w14:paraId="46A80036" w14:textId="77777777" w:rsidTr="00094DCA">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tcPr>
          <w:p w14:paraId="2DA3638A" w14:textId="77777777" w:rsidR="00730DE4" w:rsidRPr="00730DE4" w:rsidRDefault="00730DE4" w:rsidP="00C8541B">
            <w:pPr>
              <w:pStyle w:val="NoSpacing"/>
            </w:pPr>
            <w:r w:rsidRPr="00730DE4">
              <w:rPr>
                <w:rStyle w:val="Strong"/>
              </w:rPr>
              <w:t>Current assets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702E5F80" w14:textId="77777777" w:rsidR="00730DE4" w:rsidRPr="00730DE4" w:rsidRDefault="00730DE4" w:rsidP="00C8541B">
            <w:pPr>
              <w:pStyle w:val="NoSpacing"/>
              <w:jc w:val="right"/>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3E129E72" w14:textId="77777777" w:rsidR="00730DE4" w:rsidRPr="00730DE4" w:rsidRDefault="00730DE4" w:rsidP="00C8541B">
            <w:pPr>
              <w:pStyle w:val="NoSpacing"/>
              <w:jc w:val="right"/>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6B555972" w14:textId="77777777" w:rsidR="00730DE4" w:rsidRPr="00730DE4" w:rsidRDefault="00730DE4" w:rsidP="00C8541B">
            <w:pPr>
              <w:pStyle w:val="NoSpacing"/>
              <w:jc w:val="right"/>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4455690B" w14:textId="77777777" w:rsidR="00730DE4" w:rsidRPr="00730DE4" w:rsidRDefault="00730DE4" w:rsidP="00C8541B">
            <w:pPr>
              <w:pStyle w:val="NoSpacing"/>
              <w:jc w:val="right"/>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1BABA3F0" w14:textId="77777777" w:rsidR="00730DE4" w:rsidRPr="00730DE4" w:rsidRDefault="00730DE4" w:rsidP="00C8541B">
            <w:pPr>
              <w:pStyle w:val="NoSpacing"/>
              <w:jc w:val="right"/>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tcPr>
          <w:p w14:paraId="22BCF8F8" w14:textId="77777777" w:rsidR="00730DE4" w:rsidRPr="00730DE4" w:rsidRDefault="00730DE4" w:rsidP="00C8541B">
            <w:pPr>
              <w:pStyle w:val="NoSpacing"/>
              <w:jc w:val="right"/>
            </w:pPr>
          </w:p>
        </w:tc>
      </w:tr>
      <w:tr w:rsidR="00730DE4" w:rsidRPr="00730DE4" w14:paraId="6499D8F8" w14:textId="77777777" w:rsidTr="00253FBD">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tcPr>
          <w:p w14:paraId="361CE159" w14:textId="77777777" w:rsidR="00730DE4" w:rsidRPr="00730DE4" w:rsidRDefault="00730DE4" w:rsidP="00311D64">
            <w:pPr>
              <w:pStyle w:val="NoSpacingIndent"/>
            </w:pPr>
            <w:r w:rsidRPr="00730DE4">
              <w:t>Cash</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0CFDE2FC" w14:textId="77777777" w:rsidR="00730DE4" w:rsidRPr="00730DE4" w:rsidRDefault="00730DE4" w:rsidP="00C8541B">
            <w:pPr>
              <w:pStyle w:val="NoSpacing"/>
              <w:jc w:val="right"/>
            </w:pPr>
            <w:r w:rsidRPr="00730DE4">
              <w:t xml:space="preserve">6,129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02F99440" w14:textId="77777777" w:rsidR="00730DE4" w:rsidRPr="00730DE4" w:rsidRDefault="00730DE4" w:rsidP="00C8541B">
            <w:pPr>
              <w:pStyle w:val="NoSpacing"/>
              <w:jc w:val="right"/>
            </w:pPr>
            <w:r w:rsidRPr="00730DE4">
              <w:t xml:space="preserve">59,904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3BB8FF4B" w14:textId="77777777" w:rsidR="00730DE4" w:rsidRPr="00730DE4" w:rsidRDefault="00730DE4" w:rsidP="00C8541B">
            <w:pPr>
              <w:pStyle w:val="NoSpacing"/>
              <w:jc w:val="right"/>
            </w:pPr>
            <w:r w:rsidRPr="00730DE4">
              <w:t xml:space="preserve">16,918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4326A1E3" w14:textId="77777777" w:rsidR="00730DE4" w:rsidRPr="00730DE4" w:rsidRDefault="00730DE4" w:rsidP="00C8541B">
            <w:pPr>
              <w:pStyle w:val="NoSpacing"/>
              <w:jc w:val="right"/>
            </w:pPr>
            <w:r w:rsidRPr="00730DE4">
              <w:t xml:space="preserve">19,082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3C1D5071" w14:textId="77777777" w:rsidR="00730DE4" w:rsidRPr="00730DE4" w:rsidRDefault="00730DE4" w:rsidP="00C8541B">
            <w:pPr>
              <w:pStyle w:val="NoSpacing"/>
              <w:jc w:val="right"/>
            </w:pPr>
            <w:r w:rsidRPr="00730DE4">
              <w:t xml:space="preserve">175,030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tcPr>
          <w:p w14:paraId="4BA3C3C2" w14:textId="77777777" w:rsidR="00730DE4" w:rsidRPr="00730DE4" w:rsidRDefault="00730DE4" w:rsidP="00C8541B">
            <w:pPr>
              <w:pStyle w:val="NoSpacing"/>
              <w:jc w:val="right"/>
            </w:pPr>
            <w:r w:rsidRPr="00730DE4">
              <w:t>(22,337)</w:t>
            </w:r>
          </w:p>
        </w:tc>
      </w:tr>
      <w:tr w:rsidR="00730DE4" w:rsidRPr="00730DE4" w14:paraId="3DF8843B" w14:textId="77777777" w:rsidTr="00253FBD">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D2586B8" w14:textId="77777777" w:rsidR="00730DE4" w:rsidRPr="00730DE4" w:rsidRDefault="00730DE4" w:rsidP="00311D64">
            <w:pPr>
              <w:pStyle w:val="NoSpacingIndent"/>
            </w:pPr>
            <w:r w:rsidRPr="00730DE4">
              <w:t>Receivables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3AE3EE0" w14:textId="77777777" w:rsidR="00730DE4" w:rsidRPr="00730DE4" w:rsidRDefault="00730DE4" w:rsidP="00C8541B">
            <w:pPr>
              <w:pStyle w:val="NoSpacing"/>
              <w:jc w:val="right"/>
            </w:pPr>
            <w:r w:rsidRPr="00730DE4">
              <w:t xml:space="preserve">24,501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EAEDEEE" w14:textId="77777777" w:rsidR="00730DE4" w:rsidRPr="00730DE4" w:rsidRDefault="00730DE4" w:rsidP="00C8541B">
            <w:pPr>
              <w:pStyle w:val="NoSpacing"/>
              <w:jc w:val="right"/>
            </w:pPr>
            <w:r w:rsidRPr="00730DE4">
              <w:t xml:space="preserve">57,871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5AB3C35" w14:textId="77777777" w:rsidR="00730DE4" w:rsidRPr="00730DE4" w:rsidRDefault="00730DE4" w:rsidP="00C8541B">
            <w:pPr>
              <w:pStyle w:val="NoSpacing"/>
              <w:jc w:val="right"/>
            </w:pPr>
            <w:r w:rsidRPr="00730DE4">
              <w:t xml:space="preserve">154,910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5319EE2" w14:textId="77777777" w:rsidR="00730DE4" w:rsidRPr="00730DE4" w:rsidRDefault="00730DE4" w:rsidP="00C8541B">
            <w:pPr>
              <w:pStyle w:val="NoSpacing"/>
              <w:jc w:val="right"/>
            </w:pPr>
            <w:r w:rsidRPr="00730DE4">
              <w:t xml:space="preserve">17,043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BA937F0" w14:textId="77777777" w:rsidR="00730DE4" w:rsidRPr="00730DE4" w:rsidRDefault="00730DE4" w:rsidP="00C8541B">
            <w:pPr>
              <w:pStyle w:val="NoSpacing"/>
              <w:jc w:val="right"/>
            </w:pPr>
            <w:r w:rsidRPr="00730DE4">
              <w:t xml:space="preserve">194,085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55D3EB58" w14:textId="77777777" w:rsidR="00730DE4" w:rsidRPr="00730DE4" w:rsidRDefault="00730DE4" w:rsidP="00C8541B">
            <w:pPr>
              <w:pStyle w:val="NoSpacing"/>
              <w:jc w:val="right"/>
            </w:pPr>
            <w:r w:rsidRPr="00730DE4">
              <w:t xml:space="preserve">85,920 </w:t>
            </w:r>
          </w:p>
        </w:tc>
      </w:tr>
      <w:tr w:rsidR="00730DE4" w:rsidRPr="00730DE4" w14:paraId="4862E6A3" w14:textId="77777777" w:rsidTr="00094DCA">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01F5AF8B" w14:textId="77777777" w:rsidR="00730DE4" w:rsidRPr="00730DE4" w:rsidRDefault="00730DE4" w:rsidP="00311D64">
            <w:pPr>
              <w:pStyle w:val="NoSpacingIndent"/>
            </w:pPr>
            <w:r w:rsidRPr="00730DE4">
              <w:t>Inventories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95C0E62"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BA0A9DB" w14:textId="77777777" w:rsidR="00730DE4" w:rsidRPr="00730DE4" w:rsidRDefault="00730DE4" w:rsidP="00C8541B">
            <w:pPr>
              <w:pStyle w:val="NoSpacing"/>
              <w:jc w:val="right"/>
            </w:pPr>
            <w:r w:rsidRPr="00730DE4">
              <w:t xml:space="preserve">112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DA128C1" w14:textId="77777777" w:rsidR="00730DE4" w:rsidRPr="00730DE4" w:rsidRDefault="00730DE4" w:rsidP="00C8541B">
            <w:pPr>
              <w:pStyle w:val="NoSpacing"/>
              <w:jc w:val="right"/>
            </w:pPr>
            <w:r w:rsidRPr="00730DE4">
              <w:t xml:space="preserve">2,014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AA520B1" w14:textId="77777777" w:rsidR="00730DE4" w:rsidRPr="00730DE4" w:rsidRDefault="00730DE4" w:rsidP="00C8541B">
            <w:pPr>
              <w:pStyle w:val="NoSpacing"/>
              <w:jc w:val="right"/>
            </w:pPr>
            <w:r w:rsidRPr="00730DE4">
              <w:t xml:space="preserve">101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BE4296D" w14:textId="77777777" w:rsidR="00730DE4" w:rsidRPr="00730DE4" w:rsidRDefault="00730DE4" w:rsidP="00C8541B">
            <w:pPr>
              <w:pStyle w:val="NoSpacing"/>
              <w:jc w:val="right"/>
            </w:pPr>
            <w:r w:rsidRPr="00730DE4">
              <w:t xml:space="preserve">1,190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6B160FA4" w14:textId="77777777" w:rsidR="00730DE4" w:rsidRPr="00730DE4" w:rsidRDefault="00730DE4" w:rsidP="00C8541B">
            <w:pPr>
              <w:pStyle w:val="NoSpacing"/>
              <w:jc w:val="right"/>
            </w:pPr>
            <w:r w:rsidRPr="00730DE4">
              <w:t xml:space="preserve">109,779 </w:t>
            </w:r>
          </w:p>
        </w:tc>
      </w:tr>
      <w:tr w:rsidR="00730DE4" w:rsidRPr="00730DE4" w14:paraId="5EA5E227" w14:textId="77777777" w:rsidTr="00094DCA">
        <w:trPr>
          <w:trHeight w:val="198"/>
        </w:trPr>
        <w:tc>
          <w:tcPr>
            <w:tcW w:w="1352"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1536CFF6" w14:textId="77777777" w:rsidR="00730DE4" w:rsidRPr="00730DE4" w:rsidRDefault="00730DE4" w:rsidP="00311D64">
            <w:pPr>
              <w:pStyle w:val="NoSpacingIndent"/>
            </w:pPr>
            <w:r w:rsidRPr="00730DE4">
              <w:t>Prepayments</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72D4D48D" w14:textId="77777777" w:rsidR="00730DE4" w:rsidRPr="00730DE4" w:rsidRDefault="00730DE4" w:rsidP="00C8541B">
            <w:pPr>
              <w:pStyle w:val="NoSpacing"/>
              <w:jc w:val="right"/>
            </w:pPr>
            <w:r w:rsidRPr="00730DE4">
              <w:t xml:space="preserve">1,491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69EB0A4C" w14:textId="77777777" w:rsidR="00730DE4" w:rsidRPr="00730DE4" w:rsidRDefault="00730DE4" w:rsidP="00C8541B">
            <w:pPr>
              <w:pStyle w:val="NoSpacing"/>
              <w:jc w:val="right"/>
            </w:pPr>
            <w:r w:rsidRPr="00730DE4">
              <w:t xml:space="preserve">18,833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78F70728" w14:textId="77777777" w:rsidR="00730DE4" w:rsidRPr="00730DE4" w:rsidRDefault="00730DE4" w:rsidP="00C8541B">
            <w:pPr>
              <w:pStyle w:val="NoSpacing"/>
              <w:jc w:val="right"/>
            </w:pPr>
            <w:r w:rsidRPr="00730DE4">
              <w:t xml:space="preserve">4,014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37DA8BE8" w14:textId="77777777" w:rsidR="00730DE4" w:rsidRPr="00730DE4" w:rsidRDefault="00730DE4" w:rsidP="00C8541B">
            <w:pPr>
              <w:pStyle w:val="NoSpacing"/>
              <w:jc w:val="right"/>
            </w:pPr>
            <w:r w:rsidRPr="00730DE4">
              <w:t xml:space="preserve">953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56361F38" w14:textId="77777777" w:rsidR="00730DE4" w:rsidRPr="00730DE4" w:rsidRDefault="00730DE4" w:rsidP="00C8541B">
            <w:pPr>
              <w:pStyle w:val="NoSpacing"/>
              <w:jc w:val="right"/>
            </w:pPr>
            <w:r w:rsidRPr="00730DE4">
              <w:t xml:space="preserve">34,095 </w:t>
            </w:r>
          </w:p>
        </w:tc>
        <w:tc>
          <w:tcPr>
            <w:tcW w:w="608"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F2F2F2" w:themeFill="background1" w:themeFillShade="F2"/>
            <w:noWrap/>
            <w:vAlign w:val="bottom"/>
            <w:hideMark/>
          </w:tcPr>
          <w:p w14:paraId="75587C4F" w14:textId="77777777" w:rsidR="00730DE4" w:rsidRPr="00730DE4" w:rsidRDefault="00730DE4" w:rsidP="00C8541B">
            <w:pPr>
              <w:pStyle w:val="NoSpacing"/>
              <w:jc w:val="right"/>
            </w:pPr>
            <w:r w:rsidRPr="00730DE4">
              <w:t xml:space="preserve">1,007 </w:t>
            </w:r>
          </w:p>
        </w:tc>
      </w:tr>
      <w:tr w:rsidR="00730DE4" w:rsidRPr="00730DE4" w14:paraId="2527B30E" w14:textId="77777777" w:rsidTr="00094DCA">
        <w:trPr>
          <w:trHeight w:val="340"/>
        </w:trPr>
        <w:tc>
          <w:tcPr>
            <w:tcW w:w="1352"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hideMark/>
          </w:tcPr>
          <w:p w14:paraId="1CE1CAF6" w14:textId="77777777" w:rsidR="00730DE4" w:rsidRPr="00730DE4" w:rsidRDefault="00730DE4" w:rsidP="00D50E43">
            <w:pPr>
              <w:pStyle w:val="NoSpacingIndent"/>
            </w:pPr>
            <w:r w:rsidRPr="00730DE4">
              <w:rPr>
                <w:rStyle w:val="Strong"/>
              </w:rPr>
              <w:t>Total current assets</w:t>
            </w: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1D33FC36" w14:textId="77777777" w:rsidR="00730DE4" w:rsidRPr="00730DE4" w:rsidRDefault="00730DE4" w:rsidP="00D50E43">
            <w:pPr>
              <w:pStyle w:val="NoSpacing"/>
              <w:jc w:val="right"/>
              <w:rPr>
                <w:b/>
                <w:bCs/>
              </w:rPr>
            </w:pPr>
            <w:r w:rsidRPr="00730DE4">
              <w:rPr>
                <w:rStyle w:val="Strong"/>
              </w:rPr>
              <w:t xml:space="preserve">32,121 </w:t>
            </w: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6E5F69F9" w14:textId="77777777" w:rsidR="00730DE4" w:rsidRPr="00730DE4" w:rsidRDefault="00730DE4" w:rsidP="00D50E43">
            <w:pPr>
              <w:pStyle w:val="NoSpacing"/>
              <w:jc w:val="right"/>
              <w:rPr>
                <w:b/>
                <w:bCs/>
              </w:rPr>
            </w:pPr>
            <w:r w:rsidRPr="00730DE4">
              <w:rPr>
                <w:rStyle w:val="Strong"/>
              </w:rPr>
              <w:t xml:space="preserve">136,720 </w:t>
            </w: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5D7164CD" w14:textId="77777777" w:rsidR="00730DE4" w:rsidRPr="00730DE4" w:rsidRDefault="00730DE4" w:rsidP="00D50E43">
            <w:pPr>
              <w:pStyle w:val="NoSpacing"/>
              <w:jc w:val="right"/>
              <w:rPr>
                <w:b/>
                <w:bCs/>
              </w:rPr>
            </w:pPr>
            <w:r w:rsidRPr="00730DE4">
              <w:rPr>
                <w:rStyle w:val="Strong"/>
              </w:rPr>
              <w:t xml:space="preserve">177,856 </w:t>
            </w: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6234E350" w14:textId="77777777" w:rsidR="00730DE4" w:rsidRPr="00730DE4" w:rsidRDefault="00730DE4" w:rsidP="00D50E43">
            <w:pPr>
              <w:pStyle w:val="NoSpacing"/>
              <w:jc w:val="right"/>
              <w:rPr>
                <w:b/>
                <w:bCs/>
              </w:rPr>
            </w:pPr>
            <w:r w:rsidRPr="00730DE4">
              <w:rPr>
                <w:rStyle w:val="Strong"/>
              </w:rPr>
              <w:t xml:space="preserve">37,179 </w:t>
            </w: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220161E9" w14:textId="77777777" w:rsidR="00730DE4" w:rsidRPr="00730DE4" w:rsidRDefault="00730DE4" w:rsidP="00D50E43">
            <w:pPr>
              <w:pStyle w:val="NoSpacing"/>
              <w:jc w:val="right"/>
              <w:rPr>
                <w:b/>
                <w:bCs/>
              </w:rPr>
            </w:pPr>
            <w:r w:rsidRPr="00730DE4">
              <w:rPr>
                <w:rStyle w:val="Strong"/>
              </w:rPr>
              <w:t xml:space="preserve">404,400 </w:t>
            </w:r>
          </w:p>
        </w:tc>
        <w:tc>
          <w:tcPr>
            <w:tcW w:w="608"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F2F2F2" w:themeFill="background1" w:themeFillShade="F2"/>
            <w:noWrap/>
            <w:hideMark/>
          </w:tcPr>
          <w:p w14:paraId="2A15E610" w14:textId="77777777" w:rsidR="00730DE4" w:rsidRPr="00730DE4" w:rsidRDefault="00730DE4" w:rsidP="00D50E43">
            <w:pPr>
              <w:pStyle w:val="NoSpacing"/>
              <w:jc w:val="right"/>
              <w:rPr>
                <w:rStyle w:val="Strong"/>
              </w:rPr>
            </w:pPr>
            <w:r w:rsidRPr="00730DE4">
              <w:rPr>
                <w:rStyle w:val="Strong"/>
              </w:rPr>
              <w:t xml:space="preserve">174,369 </w:t>
            </w:r>
          </w:p>
        </w:tc>
      </w:tr>
      <w:tr w:rsidR="00730DE4" w:rsidRPr="00730DE4" w14:paraId="4FE747ED" w14:textId="77777777" w:rsidTr="00F47B68">
        <w:trPr>
          <w:trHeight w:val="340"/>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tcPr>
          <w:p w14:paraId="7F0CDF3F" w14:textId="77777777" w:rsidR="00730DE4" w:rsidRPr="00730DE4" w:rsidRDefault="00730DE4" w:rsidP="00C8541B">
            <w:pPr>
              <w:pStyle w:val="NoSpacing"/>
            </w:pPr>
            <w:r w:rsidRPr="00730DE4">
              <w:rPr>
                <w:rStyle w:val="Strong"/>
              </w:rPr>
              <w:t>Non-current assets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2BDD78D0" w14:textId="77777777" w:rsidR="00730DE4" w:rsidRPr="00730DE4" w:rsidRDefault="00730DE4" w:rsidP="00C8541B">
            <w:pPr>
              <w:pStyle w:val="NoSpacing"/>
              <w:jc w:val="right"/>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6A708007" w14:textId="77777777" w:rsidR="00730DE4" w:rsidRPr="00730DE4" w:rsidRDefault="00730DE4" w:rsidP="00C8541B">
            <w:pPr>
              <w:pStyle w:val="NoSpacing"/>
              <w:jc w:val="right"/>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78EC7CC8" w14:textId="77777777" w:rsidR="00730DE4" w:rsidRPr="00730DE4" w:rsidRDefault="00730DE4" w:rsidP="00C8541B">
            <w:pPr>
              <w:pStyle w:val="NoSpacing"/>
              <w:jc w:val="right"/>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237C089B" w14:textId="77777777" w:rsidR="00730DE4" w:rsidRPr="00730DE4" w:rsidRDefault="00730DE4" w:rsidP="00C8541B">
            <w:pPr>
              <w:pStyle w:val="NoSpacing"/>
              <w:jc w:val="right"/>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6862F733" w14:textId="77777777" w:rsidR="00730DE4" w:rsidRPr="00730DE4" w:rsidRDefault="00730DE4" w:rsidP="00C8541B">
            <w:pPr>
              <w:pStyle w:val="NoSpacing"/>
              <w:jc w:val="right"/>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tcPr>
          <w:p w14:paraId="37B25803" w14:textId="77777777" w:rsidR="00730DE4" w:rsidRPr="00730DE4" w:rsidRDefault="00730DE4" w:rsidP="00C8541B">
            <w:pPr>
              <w:pStyle w:val="NoSpacing"/>
              <w:jc w:val="right"/>
            </w:pPr>
          </w:p>
        </w:tc>
      </w:tr>
      <w:tr w:rsidR="00730DE4" w:rsidRPr="00730DE4" w14:paraId="304E18ED" w14:textId="77777777" w:rsidTr="00253FBD">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tcPr>
          <w:p w14:paraId="76BF2AF5" w14:textId="77777777" w:rsidR="00730DE4" w:rsidRPr="00730DE4" w:rsidRDefault="00730DE4" w:rsidP="00311D64">
            <w:pPr>
              <w:pStyle w:val="NoSpacingIndent"/>
            </w:pPr>
            <w:r w:rsidRPr="00730DE4">
              <w:t>Receivables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1EDFED5F"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0FA20C70" w14:textId="77777777" w:rsidR="00730DE4" w:rsidRPr="00730DE4" w:rsidRDefault="00730DE4" w:rsidP="00C8541B">
            <w:pPr>
              <w:pStyle w:val="NoSpacing"/>
              <w:jc w:val="right"/>
            </w:pPr>
            <w:r w:rsidRPr="00730DE4">
              <w:t xml:space="preserve">19,000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56C3DDA2"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331A6B7D"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179A79DF" w14:textId="77777777" w:rsidR="00730DE4" w:rsidRPr="00730DE4" w:rsidRDefault="00730DE4" w:rsidP="00C8541B">
            <w:pPr>
              <w:pStyle w:val="NoSpacing"/>
              <w:jc w:val="right"/>
            </w:pPr>
            <w:r w:rsidRPr="00730DE4">
              <w:t xml:space="preserve">3,452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tcPr>
          <w:p w14:paraId="1C42233A" w14:textId="77777777" w:rsidR="00730DE4" w:rsidRPr="00730DE4" w:rsidRDefault="00730DE4" w:rsidP="00C8541B">
            <w:pPr>
              <w:pStyle w:val="NoSpacing"/>
              <w:jc w:val="right"/>
            </w:pPr>
            <w:r w:rsidRPr="00730DE4">
              <w:t xml:space="preserve">- </w:t>
            </w:r>
          </w:p>
        </w:tc>
      </w:tr>
      <w:tr w:rsidR="00730DE4" w:rsidRPr="00730DE4" w14:paraId="57A73670" w14:textId="77777777" w:rsidTr="00253FBD">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3F1F000F" w14:textId="77777777" w:rsidR="00730DE4" w:rsidRPr="00730DE4" w:rsidRDefault="00730DE4" w:rsidP="00311D64">
            <w:pPr>
              <w:pStyle w:val="NoSpacingIndent"/>
            </w:pPr>
            <w:r w:rsidRPr="00730DE4">
              <w:t>Prepayments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3520FA0" w14:textId="77777777" w:rsidR="00730DE4" w:rsidRPr="00730DE4" w:rsidRDefault="00730DE4" w:rsidP="00C8541B">
            <w:pPr>
              <w:pStyle w:val="NoSpacing"/>
              <w:jc w:val="right"/>
            </w:pPr>
            <w:r w:rsidRPr="00730DE4">
              <w:t xml:space="preserve">33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E2E2E3D" w14:textId="77777777" w:rsidR="00730DE4" w:rsidRPr="00730DE4" w:rsidRDefault="00730DE4" w:rsidP="00C8541B">
            <w:pPr>
              <w:pStyle w:val="NoSpacing"/>
              <w:jc w:val="right"/>
            </w:pPr>
            <w:r w:rsidRPr="00730DE4">
              <w:t xml:space="preserve">10,938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CB0AE14" w14:textId="77777777" w:rsidR="00730DE4" w:rsidRPr="00730DE4" w:rsidRDefault="00730DE4" w:rsidP="00C8541B">
            <w:pPr>
              <w:pStyle w:val="NoSpacing"/>
              <w:jc w:val="right"/>
            </w:pPr>
            <w:r w:rsidRPr="00730DE4">
              <w:t xml:space="preserve">257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1131FE3" w14:textId="77777777" w:rsidR="00730DE4" w:rsidRPr="00730DE4" w:rsidRDefault="00730DE4" w:rsidP="00C8541B">
            <w:pPr>
              <w:pStyle w:val="NoSpacing"/>
              <w:jc w:val="right"/>
            </w:pPr>
            <w:r w:rsidRPr="00730DE4">
              <w:t xml:space="preserve">95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5BB3396" w14:textId="77777777" w:rsidR="00730DE4" w:rsidRPr="00730DE4" w:rsidRDefault="00730DE4" w:rsidP="00C8541B">
            <w:pPr>
              <w:pStyle w:val="NoSpacing"/>
              <w:jc w:val="right"/>
            </w:pPr>
            <w:r w:rsidRPr="00730DE4">
              <w:t xml:space="preserve">61,888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59B6DF73" w14:textId="77777777" w:rsidR="00730DE4" w:rsidRPr="00730DE4" w:rsidRDefault="00730DE4" w:rsidP="00C8541B">
            <w:pPr>
              <w:pStyle w:val="NoSpacing"/>
              <w:jc w:val="right"/>
            </w:pPr>
            <w:r w:rsidRPr="00730DE4">
              <w:t xml:space="preserve">- </w:t>
            </w:r>
          </w:p>
        </w:tc>
      </w:tr>
      <w:tr w:rsidR="00730DE4" w:rsidRPr="00730DE4" w14:paraId="1C41D354" w14:textId="77777777" w:rsidTr="00253FBD">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44E04399" w14:textId="77777777" w:rsidR="00730DE4" w:rsidRPr="00730DE4" w:rsidRDefault="00730DE4" w:rsidP="00311D64">
            <w:pPr>
              <w:pStyle w:val="NoSpacingIndent"/>
            </w:pPr>
            <w:r w:rsidRPr="00730DE4">
              <w:t>Intangible assets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A8E2769" w14:textId="77777777" w:rsidR="00730DE4" w:rsidRPr="00730DE4" w:rsidRDefault="00730DE4" w:rsidP="00C8541B">
            <w:pPr>
              <w:pStyle w:val="NoSpacing"/>
              <w:jc w:val="right"/>
            </w:pPr>
            <w:r w:rsidRPr="00730DE4">
              <w:t xml:space="preserve">9,817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A8AD763" w14:textId="77777777" w:rsidR="00730DE4" w:rsidRPr="00730DE4" w:rsidRDefault="00730DE4" w:rsidP="00C8541B">
            <w:pPr>
              <w:pStyle w:val="NoSpacing"/>
              <w:jc w:val="right"/>
            </w:pPr>
            <w:r w:rsidRPr="00730DE4">
              <w:t xml:space="preserve">5,860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B75CE8C" w14:textId="77777777" w:rsidR="00730DE4" w:rsidRPr="00730DE4" w:rsidRDefault="00730DE4" w:rsidP="00C8541B">
            <w:pPr>
              <w:pStyle w:val="NoSpacing"/>
              <w:jc w:val="right"/>
            </w:pPr>
            <w:r w:rsidRPr="00730DE4">
              <w:t xml:space="preserve">13,508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181CC0B" w14:textId="77777777" w:rsidR="00730DE4" w:rsidRPr="00730DE4" w:rsidRDefault="00730DE4" w:rsidP="00C8541B">
            <w:pPr>
              <w:pStyle w:val="NoSpacing"/>
              <w:jc w:val="right"/>
            </w:pPr>
            <w:r w:rsidRPr="00730DE4">
              <w:t xml:space="preserve">20,592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B7D8D27" w14:textId="77777777" w:rsidR="00730DE4" w:rsidRPr="00730DE4" w:rsidRDefault="00730DE4" w:rsidP="00C8541B">
            <w:pPr>
              <w:pStyle w:val="NoSpacing"/>
              <w:jc w:val="right"/>
            </w:pPr>
            <w:r w:rsidRPr="00730DE4">
              <w:t xml:space="preserve">2,052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6A9CCBC2" w14:textId="77777777" w:rsidR="00730DE4" w:rsidRPr="00730DE4" w:rsidRDefault="00730DE4" w:rsidP="00C8541B">
            <w:pPr>
              <w:pStyle w:val="NoSpacing"/>
              <w:jc w:val="right"/>
            </w:pPr>
            <w:r w:rsidRPr="00730DE4">
              <w:t xml:space="preserve">- </w:t>
            </w:r>
          </w:p>
        </w:tc>
      </w:tr>
      <w:tr w:rsidR="00730DE4" w:rsidRPr="00730DE4" w14:paraId="5915E125" w14:textId="77777777" w:rsidTr="00253FBD">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4550F0A" w14:textId="77777777" w:rsidR="00730DE4" w:rsidRPr="00730DE4" w:rsidRDefault="00730DE4" w:rsidP="00311D64">
            <w:pPr>
              <w:pStyle w:val="NoSpacingIndent"/>
            </w:pPr>
            <w:r w:rsidRPr="00730DE4">
              <w:t>Property, plant and equipment</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E2EBE15" w14:textId="77777777" w:rsidR="00730DE4" w:rsidRPr="00730DE4" w:rsidRDefault="00730DE4" w:rsidP="00C8541B">
            <w:pPr>
              <w:pStyle w:val="NoSpacing"/>
              <w:jc w:val="right"/>
            </w:pPr>
            <w:r w:rsidRPr="00730DE4">
              <w:t xml:space="preserve">4,086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23F2876" w14:textId="77777777" w:rsidR="00730DE4" w:rsidRPr="00730DE4" w:rsidRDefault="00730DE4" w:rsidP="00C8541B">
            <w:pPr>
              <w:pStyle w:val="NoSpacing"/>
              <w:jc w:val="right"/>
            </w:pPr>
            <w:r w:rsidRPr="00730DE4">
              <w:t xml:space="preserve">107,678,865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C000206" w14:textId="77777777" w:rsidR="00730DE4" w:rsidRPr="00730DE4" w:rsidRDefault="00730DE4" w:rsidP="00C8541B">
            <w:pPr>
              <w:pStyle w:val="NoSpacing"/>
              <w:jc w:val="right"/>
            </w:pPr>
            <w:r w:rsidRPr="00730DE4">
              <w:t xml:space="preserve">256,840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75A5AC6" w14:textId="77777777" w:rsidR="00730DE4" w:rsidRPr="00730DE4" w:rsidRDefault="00730DE4" w:rsidP="00C8541B">
            <w:pPr>
              <w:pStyle w:val="NoSpacing"/>
              <w:jc w:val="right"/>
            </w:pPr>
            <w:r w:rsidRPr="00730DE4">
              <w:t xml:space="preserve">6,571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059396A" w14:textId="77777777" w:rsidR="00730DE4" w:rsidRPr="00730DE4" w:rsidRDefault="00730DE4" w:rsidP="00C8541B">
            <w:pPr>
              <w:pStyle w:val="NoSpacing"/>
              <w:jc w:val="right"/>
            </w:pPr>
            <w:r w:rsidRPr="00730DE4">
              <w:t xml:space="preserve">1,772,333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29FC8F65" w14:textId="77777777" w:rsidR="00730DE4" w:rsidRPr="00730DE4" w:rsidRDefault="00730DE4" w:rsidP="00C8541B">
            <w:pPr>
              <w:pStyle w:val="NoSpacing"/>
              <w:jc w:val="right"/>
            </w:pPr>
            <w:r w:rsidRPr="00730DE4">
              <w:t xml:space="preserve">87,489 </w:t>
            </w:r>
          </w:p>
        </w:tc>
      </w:tr>
      <w:tr w:rsidR="00730DE4" w:rsidRPr="00730DE4" w14:paraId="6F8FAFA4" w14:textId="77777777" w:rsidTr="00253FBD">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376B1EE9" w14:textId="77777777" w:rsidR="00730DE4" w:rsidRPr="00730DE4" w:rsidRDefault="00730DE4" w:rsidP="00311D64">
            <w:pPr>
              <w:pStyle w:val="NoSpacingIndent"/>
            </w:pPr>
            <w:r w:rsidRPr="00730DE4">
              <w:t>Service concession assets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38D9BA6"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A990254" w14:textId="77777777" w:rsidR="00730DE4" w:rsidRPr="00730DE4" w:rsidRDefault="00730DE4" w:rsidP="00C8541B">
            <w:pPr>
              <w:pStyle w:val="NoSpacing"/>
              <w:jc w:val="right"/>
            </w:pPr>
            <w:r w:rsidRPr="00730DE4">
              <w:t xml:space="preserve">13,533,035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AFB0DE2"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C5067DF"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3ADCEDF" w14:textId="77777777" w:rsidR="00730DE4" w:rsidRPr="00730DE4" w:rsidRDefault="00730DE4" w:rsidP="00C8541B">
            <w:pPr>
              <w:pStyle w:val="NoSpacing"/>
              <w:jc w:val="right"/>
            </w:pPr>
            <w:r w:rsidRPr="00730DE4">
              <w:t xml:space="preserve">1,544,878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2DE61A67" w14:textId="77777777" w:rsidR="00730DE4" w:rsidRPr="00730DE4" w:rsidRDefault="00730DE4" w:rsidP="00C8541B">
            <w:pPr>
              <w:pStyle w:val="NoSpacing"/>
              <w:jc w:val="right"/>
            </w:pPr>
            <w:r w:rsidRPr="00730DE4">
              <w:t xml:space="preserve">- </w:t>
            </w:r>
          </w:p>
        </w:tc>
      </w:tr>
      <w:tr w:rsidR="00730DE4" w:rsidRPr="00730DE4" w14:paraId="789D1954" w14:textId="77777777" w:rsidTr="00253FBD">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65218B1" w14:textId="77777777" w:rsidR="00730DE4" w:rsidRPr="00730DE4" w:rsidRDefault="00730DE4" w:rsidP="00311D64">
            <w:pPr>
              <w:pStyle w:val="NoSpacingIndent"/>
            </w:pPr>
            <w:r w:rsidRPr="00730DE4">
              <w:t>Deferred tax assets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68A30B7"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E7BC468"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D2AA126"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77500B3"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EA8C152"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6B0D4F03" w14:textId="77777777" w:rsidR="00730DE4" w:rsidRPr="00730DE4" w:rsidRDefault="00730DE4" w:rsidP="00C8541B">
            <w:pPr>
              <w:pStyle w:val="NoSpacing"/>
              <w:jc w:val="right"/>
            </w:pPr>
            <w:r w:rsidRPr="00730DE4">
              <w:t xml:space="preserve">3,769 </w:t>
            </w:r>
          </w:p>
        </w:tc>
      </w:tr>
      <w:tr w:rsidR="00730DE4" w:rsidRPr="00730DE4" w14:paraId="60AEF091" w14:textId="77777777" w:rsidTr="00094DCA">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3DE19371" w14:textId="77777777" w:rsidR="00730DE4" w:rsidRPr="00730DE4" w:rsidRDefault="00730DE4" w:rsidP="00311D64">
            <w:pPr>
              <w:pStyle w:val="NoSpacingIndent"/>
            </w:pPr>
            <w:r w:rsidRPr="00730DE4">
              <w:t>Right-of-use assets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1E22D7F"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CF813A4"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4163E63"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4644491"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5A73808"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6B1D5E13" w14:textId="77777777" w:rsidR="00730DE4" w:rsidRPr="00730DE4" w:rsidRDefault="00730DE4" w:rsidP="00C8541B">
            <w:pPr>
              <w:pStyle w:val="NoSpacing"/>
              <w:jc w:val="right"/>
            </w:pPr>
            <w:r w:rsidRPr="00730DE4">
              <w:t xml:space="preserve">- </w:t>
            </w:r>
          </w:p>
        </w:tc>
      </w:tr>
      <w:tr w:rsidR="00730DE4" w:rsidRPr="00730DE4" w14:paraId="1BAAEE71" w14:textId="77777777" w:rsidTr="00094DCA">
        <w:trPr>
          <w:trHeight w:val="198"/>
        </w:trPr>
        <w:tc>
          <w:tcPr>
            <w:tcW w:w="1352"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324FD9A5" w14:textId="77777777" w:rsidR="00730DE4" w:rsidRPr="00730DE4" w:rsidRDefault="00730DE4" w:rsidP="00311D64">
            <w:pPr>
              <w:pStyle w:val="NoSpacingIndent"/>
            </w:pPr>
            <w:r w:rsidRPr="00730DE4">
              <w:t>Investment in subsidiary</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3C5D6928"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6697F1AE" w14:textId="77777777" w:rsidR="00730DE4" w:rsidRPr="00730DE4" w:rsidRDefault="00730DE4" w:rsidP="00C8541B">
            <w:pPr>
              <w:pStyle w:val="NoSpacing"/>
              <w:jc w:val="right"/>
            </w:pPr>
            <w:r w:rsidRPr="00730DE4">
              <w:t xml:space="preserve">34,027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6E1F8B5B"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4B321885"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5BE386E6"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F2F2F2" w:themeFill="background1" w:themeFillShade="F2"/>
            <w:noWrap/>
            <w:vAlign w:val="bottom"/>
            <w:hideMark/>
          </w:tcPr>
          <w:p w14:paraId="42BB0490" w14:textId="77777777" w:rsidR="00730DE4" w:rsidRPr="00730DE4" w:rsidRDefault="00730DE4" w:rsidP="00C8541B">
            <w:pPr>
              <w:pStyle w:val="NoSpacing"/>
              <w:jc w:val="right"/>
            </w:pPr>
            <w:r w:rsidRPr="00730DE4">
              <w:t xml:space="preserve">- </w:t>
            </w:r>
          </w:p>
        </w:tc>
      </w:tr>
      <w:tr w:rsidR="00730DE4" w:rsidRPr="00730DE4" w14:paraId="7768FDAA" w14:textId="77777777" w:rsidTr="00094DCA">
        <w:trPr>
          <w:trHeight w:val="340"/>
        </w:trPr>
        <w:tc>
          <w:tcPr>
            <w:tcW w:w="1352" w:type="pct"/>
            <w:tcBorders>
              <w:top w:val="single" w:sz="4" w:space="0" w:color="auto"/>
              <w:left w:val="nil"/>
              <w:right w:val="dotted" w:sz="4" w:space="0" w:color="BFBFBF" w:themeColor="background1" w:themeShade="BF"/>
            </w:tcBorders>
            <w:shd w:val="clear" w:color="auto" w:fill="auto"/>
            <w:noWrap/>
            <w:hideMark/>
          </w:tcPr>
          <w:p w14:paraId="078A2EA2" w14:textId="77777777" w:rsidR="00730DE4" w:rsidRPr="00730DE4" w:rsidRDefault="00730DE4" w:rsidP="00D50E43">
            <w:pPr>
              <w:pStyle w:val="NoSpacingIndent"/>
            </w:pPr>
            <w:r w:rsidRPr="00730DE4">
              <w:rPr>
                <w:rStyle w:val="Strong"/>
              </w:rPr>
              <w:t>Total non-current assets</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5B2BBE90" w14:textId="77777777" w:rsidR="00730DE4" w:rsidRPr="00730DE4" w:rsidRDefault="00730DE4" w:rsidP="00D50E43">
            <w:pPr>
              <w:pStyle w:val="NoSpacing"/>
              <w:jc w:val="right"/>
              <w:rPr>
                <w:b/>
                <w:bCs/>
              </w:rPr>
            </w:pPr>
            <w:r w:rsidRPr="00730DE4">
              <w:rPr>
                <w:rStyle w:val="Strong"/>
              </w:rPr>
              <w:t xml:space="preserve">13,936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383A7F9E" w14:textId="77777777" w:rsidR="00730DE4" w:rsidRPr="00730DE4" w:rsidRDefault="00730DE4" w:rsidP="00D50E43">
            <w:pPr>
              <w:pStyle w:val="NoSpacing"/>
              <w:jc w:val="right"/>
              <w:rPr>
                <w:b/>
                <w:bCs/>
              </w:rPr>
            </w:pPr>
            <w:r w:rsidRPr="00730DE4">
              <w:rPr>
                <w:rStyle w:val="Strong"/>
              </w:rPr>
              <w:t xml:space="preserve">121,281,725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373E9A0E" w14:textId="77777777" w:rsidR="00730DE4" w:rsidRPr="00730DE4" w:rsidRDefault="00730DE4" w:rsidP="00D50E43">
            <w:pPr>
              <w:pStyle w:val="NoSpacing"/>
              <w:jc w:val="right"/>
              <w:rPr>
                <w:b/>
                <w:bCs/>
              </w:rPr>
            </w:pPr>
            <w:r w:rsidRPr="00730DE4">
              <w:rPr>
                <w:rStyle w:val="Strong"/>
              </w:rPr>
              <w:t xml:space="preserve">270,605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77A8D3C3" w14:textId="77777777" w:rsidR="00730DE4" w:rsidRPr="00730DE4" w:rsidRDefault="00730DE4" w:rsidP="00D50E43">
            <w:pPr>
              <w:pStyle w:val="NoSpacing"/>
              <w:jc w:val="right"/>
              <w:rPr>
                <w:b/>
                <w:bCs/>
              </w:rPr>
            </w:pPr>
            <w:r w:rsidRPr="00730DE4">
              <w:rPr>
                <w:rStyle w:val="Strong"/>
              </w:rPr>
              <w:t xml:space="preserve">27,258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22D0E763" w14:textId="77777777" w:rsidR="00730DE4" w:rsidRPr="00730DE4" w:rsidRDefault="00730DE4" w:rsidP="00D50E43">
            <w:pPr>
              <w:pStyle w:val="NoSpacing"/>
              <w:jc w:val="right"/>
              <w:rPr>
                <w:b/>
                <w:bCs/>
              </w:rPr>
            </w:pPr>
            <w:r w:rsidRPr="00730DE4">
              <w:rPr>
                <w:rStyle w:val="Strong"/>
              </w:rPr>
              <w:t xml:space="preserve">3,384,603 </w:t>
            </w:r>
          </w:p>
        </w:tc>
        <w:tc>
          <w:tcPr>
            <w:tcW w:w="608" w:type="pct"/>
            <w:tcBorders>
              <w:top w:val="single" w:sz="4" w:space="0" w:color="auto"/>
              <w:left w:val="dotted" w:sz="4" w:space="0" w:color="BFBFBF" w:themeColor="background1" w:themeShade="BF"/>
              <w:right w:val="nil"/>
            </w:tcBorders>
            <w:shd w:val="clear" w:color="auto" w:fill="F2F2F2" w:themeFill="background1" w:themeFillShade="F2"/>
            <w:noWrap/>
            <w:hideMark/>
          </w:tcPr>
          <w:p w14:paraId="43498B12" w14:textId="77777777" w:rsidR="00730DE4" w:rsidRPr="00730DE4" w:rsidRDefault="00730DE4" w:rsidP="00D50E43">
            <w:pPr>
              <w:pStyle w:val="NoSpacing"/>
              <w:jc w:val="right"/>
              <w:rPr>
                <w:rStyle w:val="Strong"/>
              </w:rPr>
            </w:pPr>
            <w:r w:rsidRPr="00730DE4">
              <w:rPr>
                <w:rStyle w:val="Strong"/>
              </w:rPr>
              <w:t xml:space="preserve">91,258 </w:t>
            </w:r>
          </w:p>
        </w:tc>
      </w:tr>
      <w:tr w:rsidR="00730DE4" w:rsidRPr="00730DE4" w14:paraId="6D1A3FBA" w14:textId="77777777" w:rsidTr="00094DCA">
        <w:trPr>
          <w:trHeight w:val="340"/>
        </w:trPr>
        <w:tc>
          <w:tcPr>
            <w:tcW w:w="1352" w:type="pct"/>
            <w:tcBorders>
              <w:left w:val="nil"/>
              <w:bottom w:val="double" w:sz="4" w:space="0" w:color="auto"/>
              <w:right w:val="dotted" w:sz="4" w:space="0" w:color="BFBFBF" w:themeColor="background1" w:themeShade="BF"/>
            </w:tcBorders>
            <w:shd w:val="clear" w:color="auto" w:fill="auto"/>
            <w:noWrap/>
            <w:vAlign w:val="bottom"/>
          </w:tcPr>
          <w:p w14:paraId="11D85194" w14:textId="77777777" w:rsidR="00730DE4" w:rsidRPr="00730DE4" w:rsidRDefault="00730DE4" w:rsidP="00094DCA">
            <w:pPr>
              <w:pStyle w:val="NoSpacing"/>
            </w:pPr>
            <w:r w:rsidRPr="00730DE4">
              <w:rPr>
                <w:rStyle w:val="Strong"/>
              </w:rPr>
              <w:t>Total assets</w:t>
            </w:r>
          </w:p>
        </w:tc>
        <w:tc>
          <w:tcPr>
            <w:tcW w:w="608" w:type="pct"/>
            <w:tcBorders>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vAlign w:val="bottom"/>
          </w:tcPr>
          <w:p w14:paraId="32BE671E" w14:textId="77777777" w:rsidR="00730DE4" w:rsidRPr="00730DE4" w:rsidRDefault="00730DE4" w:rsidP="00094DCA">
            <w:pPr>
              <w:pStyle w:val="NoSpacing"/>
              <w:jc w:val="right"/>
            </w:pPr>
            <w:r w:rsidRPr="00730DE4">
              <w:rPr>
                <w:rStyle w:val="Strong"/>
              </w:rPr>
              <w:t xml:space="preserve">46,057 </w:t>
            </w:r>
          </w:p>
        </w:tc>
        <w:tc>
          <w:tcPr>
            <w:tcW w:w="608" w:type="pct"/>
            <w:tcBorders>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vAlign w:val="bottom"/>
          </w:tcPr>
          <w:p w14:paraId="4D86C742" w14:textId="77777777" w:rsidR="00730DE4" w:rsidRPr="00730DE4" w:rsidRDefault="00730DE4" w:rsidP="00094DCA">
            <w:pPr>
              <w:pStyle w:val="NoSpacing"/>
              <w:jc w:val="right"/>
            </w:pPr>
            <w:r w:rsidRPr="00730DE4">
              <w:rPr>
                <w:rStyle w:val="Strong"/>
              </w:rPr>
              <w:t xml:space="preserve">121,418,445 </w:t>
            </w:r>
          </w:p>
        </w:tc>
        <w:tc>
          <w:tcPr>
            <w:tcW w:w="608" w:type="pct"/>
            <w:tcBorders>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vAlign w:val="bottom"/>
          </w:tcPr>
          <w:p w14:paraId="46971541" w14:textId="77777777" w:rsidR="00730DE4" w:rsidRPr="00730DE4" w:rsidRDefault="00730DE4" w:rsidP="00094DCA">
            <w:pPr>
              <w:pStyle w:val="NoSpacing"/>
              <w:jc w:val="right"/>
            </w:pPr>
            <w:r w:rsidRPr="00730DE4">
              <w:rPr>
                <w:rStyle w:val="Strong"/>
              </w:rPr>
              <w:t xml:space="preserve">448,461 </w:t>
            </w:r>
          </w:p>
        </w:tc>
        <w:tc>
          <w:tcPr>
            <w:tcW w:w="608" w:type="pct"/>
            <w:tcBorders>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vAlign w:val="bottom"/>
          </w:tcPr>
          <w:p w14:paraId="2D173622" w14:textId="77777777" w:rsidR="00730DE4" w:rsidRPr="00730DE4" w:rsidRDefault="00730DE4" w:rsidP="00094DCA">
            <w:pPr>
              <w:pStyle w:val="NoSpacing"/>
              <w:jc w:val="right"/>
            </w:pPr>
            <w:r w:rsidRPr="00730DE4">
              <w:rPr>
                <w:rStyle w:val="Strong"/>
              </w:rPr>
              <w:t xml:space="preserve">64,437 </w:t>
            </w:r>
          </w:p>
        </w:tc>
        <w:tc>
          <w:tcPr>
            <w:tcW w:w="608" w:type="pct"/>
            <w:tcBorders>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vAlign w:val="bottom"/>
          </w:tcPr>
          <w:p w14:paraId="6E846FD2" w14:textId="77777777" w:rsidR="00730DE4" w:rsidRPr="00730DE4" w:rsidRDefault="00730DE4" w:rsidP="00094DCA">
            <w:pPr>
              <w:pStyle w:val="NoSpacing"/>
              <w:jc w:val="right"/>
            </w:pPr>
            <w:r w:rsidRPr="00730DE4">
              <w:rPr>
                <w:rStyle w:val="Strong"/>
              </w:rPr>
              <w:t xml:space="preserve">3,789,003 </w:t>
            </w:r>
          </w:p>
        </w:tc>
        <w:tc>
          <w:tcPr>
            <w:tcW w:w="608" w:type="pct"/>
            <w:tcBorders>
              <w:left w:val="dotted" w:sz="4" w:space="0" w:color="BFBFBF" w:themeColor="background1" w:themeShade="BF"/>
              <w:bottom w:val="double" w:sz="4" w:space="0" w:color="auto"/>
              <w:right w:val="nil"/>
            </w:tcBorders>
            <w:shd w:val="clear" w:color="auto" w:fill="F2F2F2" w:themeFill="background1" w:themeFillShade="F2"/>
            <w:noWrap/>
            <w:vAlign w:val="bottom"/>
          </w:tcPr>
          <w:p w14:paraId="69C2B157" w14:textId="77777777" w:rsidR="00730DE4" w:rsidRPr="00730DE4" w:rsidRDefault="00730DE4" w:rsidP="00094DCA">
            <w:pPr>
              <w:pStyle w:val="NoSpacing"/>
              <w:jc w:val="right"/>
            </w:pPr>
            <w:r w:rsidRPr="00730DE4">
              <w:rPr>
                <w:rStyle w:val="Strong"/>
              </w:rPr>
              <w:t xml:space="preserve">265,627 </w:t>
            </w:r>
          </w:p>
        </w:tc>
      </w:tr>
      <w:tr w:rsidR="00730DE4" w:rsidRPr="00730DE4" w14:paraId="2A360B30" w14:textId="77777777" w:rsidTr="00094DCA">
        <w:trPr>
          <w:trHeight w:val="454"/>
        </w:trPr>
        <w:tc>
          <w:tcPr>
            <w:tcW w:w="1352" w:type="pct"/>
            <w:tcBorders>
              <w:top w:val="double" w:sz="4" w:space="0" w:color="auto"/>
              <w:left w:val="nil"/>
              <w:bottom w:val="dotted" w:sz="4" w:space="0" w:color="BFBFBF" w:themeColor="background1" w:themeShade="BF"/>
              <w:right w:val="dotted" w:sz="4" w:space="0" w:color="BFBFBF" w:themeColor="background1" w:themeShade="BF"/>
            </w:tcBorders>
            <w:shd w:val="clear" w:color="auto" w:fill="auto"/>
            <w:noWrap/>
            <w:vAlign w:val="bottom"/>
          </w:tcPr>
          <w:p w14:paraId="230BBCB5" w14:textId="77777777" w:rsidR="00730DE4" w:rsidRPr="00730DE4" w:rsidRDefault="00730DE4" w:rsidP="00C8541B">
            <w:pPr>
              <w:pStyle w:val="NoSpacing"/>
            </w:pPr>
            <w:r w:rsidRPr="00730DE4">
              <w:rPr>
                <w:rStyle w:val="Strong"/>
              </w:rPr>
              <w:t>Liabilities</w:t>
            </w:r>
          </w:p>
        </w:tc>
        <w:tc>
          <w:tcPr>
            <w:tcW w:w="608"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1453223B" w14:textId="77777777" w:rsidR="00730DE4" w:rsidRPr="00730DE4" w:rsidRDefault="00730DE4" w:rsidP="00C8541B">
            <w:pPr>
              <w:pStyle w:val="NoSpacing"/>
              <w:jc w:val="right"/>
            </w:pPr>
          </w:p>
        </w:tc>
        <w:tc>
          <w:tcPr>
            <w:tcW w:w="608"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5454E6EE" w14:textId="77777777" w:rsidR="00730DE4" w:rsidRPr="00730DE4" w:rsidRDefault="00730DE4" w:rsidP="00C8541B">
            <w:pPr>
              <w:pStyle w:val="NoSpacing"/>
              <w:jc w:val="right"/>
            </w:pPr>
          </w:p>
        </w:tc>
        <w:tc>
          <w:tcPr>
            <w:tcW w:w="608"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582C2CD3" w14:textId="77777777" w:rsidR="00730DE4" w:rsidRPr="00730DE4" w:rsidRDefault="00730DE4" w:rsidP="00C8541B">
            <w:pPr>
              <w:pStyle w:val="NoSpacing"/>
              <w:jc w:val="right"/>
            </w:pPr>
          </w:p>
        </w:tc>
        <w:tc>
          <w:tcPr>
            <w:tcW w:w="608"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31C077DD" w14:textId="77777777" w:rsidR="00730DE4" w:rsidRPr="00730DE4" w:rsidRDefault="00730DE4" w:rsidP="00C8541B">
            <w:pPr>
              <w:pStyle w:val="NoSpacing"/>
              <w:jc w:val="right"/>
            </w:pPr>
          </w:p>
        </w:tc>
        <w:tc>
          <w:tcPr>
            <w:tcW w:w="608"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3FC331A0" w14:textId="77777777" w:rsidR="00730DE4" w:rsidRPr="00730DE4" w:rsidRDefault="00730DE4" w:rsidP="00C8541B">
            <w:pPr>
              <w:pStyle w:val="NoSpacing"/>
              <w:jc w:val="right"/>
            </w:pPr>
          </w:p>
        </w:tc>
        <w:tc>
          <w:tcPr>
            <w:tcW w:w="608" w:type="pct"/>
            <w:tcBorders>
              <w:top w:val="double" w:sz="4" w:space="0" w:color="auto"/>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tcPr>
          <w:p w14:paraId="3E53A6E2" w14:textId="77777777" w:rsidR="00730DE4" w:rsidRPr="00730DE4" w:rsidRDefault="00730DE4" w:rsidP="00C8541B">
            <w:pPr>
              <w:pStyle w:val="NoSpacing"/>
              <w:jc w:val="right"/>
            </w:pPr>
          </w:p>
        </w:tc>
      </w:tr>
      <w:tr w:rsidR="00730DE4" w:rsidRPr="00730DE4" w14:paraId="357CFC31" w14:textId="77777777" w:rsidTr="00094DCA">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tcPr>
          <w:p w14:paraId="7657F72B" w14:textId="77777777" w:rsidR="00730DE4" w:rsidRPr="00730DE4" w:rsidRDefault="00730DE4" w:rsidP="00C8541B">
            <w:pPr>
              <w:pStyle w:val="NoSpacing"/>
            </w:pPr>
            <w:r w:rsidRPr="00730DE4">
              <w:rPr>
                <w:rStyle w:val="Strong"/>
              </w:rPr>
              <w:t>Current liabilities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27B21872" w14:textId="77777777" w:rsidR="00730DE4" w:rsidRPr="00730DE4" w:rsidRDefault="00730DE4" w:rsidP="00C8541B">
            <w:pPr>
              <w:pStyle w:val="NoSpacing"/>
              <w:jc w:val="right"/>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76608F93" w14:textId="77777777" w:rsidR="00730DE4" w:rsidRPr="00730DE4" w:rsidRDefault="00730DE4" w:rsidP="00C8541B">
            <w:pPr>
              <w:pStyle w:val="NoSpacing"/>
              <w:jc w:val="right"/>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7170E326" w14:textId="77777777" w:rsidR="00730DE4" w:rsidRPr="00730DE4" w:rsidRDefault="00730DE4" w:rsidP="00C8541B">
            <w:pPr>
              <w:pStyle w:val="NoSpacing"/>
              <w:jc w:val="right"/>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12C7269D" w14:textId="77777777" w:rsidR="00730DE4" w:rsidRPr="00730DE4" w:rsidRDefault="00730DE4" w:rsidP="00C8541B">
            <w:pPr>
              <w:pStyle w:val="NoSpacing"/>
              <w:jc w:val="right"/>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7D21079C" w14:textId="77777777" w:rsidR="00730DE4" w:rsidRPr="00730DE4" w:rsidRDefault="00730DE4" w:rsidP="00C8541B">
            <w:pPr>
              <w:pStyle w:val="NoSpacing"/>
              <w:jc w:val="right"/>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tcPr>
          <w:p w14:paraId="772DDCD0" w14:textId="77777777" w:rsidR="00730DE4" w:rsidRPr="00730DE4" w:rsidRDefault="00730DE4" w:rsidP="00C8541B">
            <w:pPr>
              <w:pStyle w:val="NoSpacing"/>
              <w:jc w:val="right"/>
            </w:pPr>
          </w:p>
        </w:tc>
      </w:tr>
      <w:tr w:rsidR="00730DE4" w:rsidRPr="00730DE4" w14:paraId="626D6E16" w14:textId="77777777" w:rsidTr="00253FBD">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tcPr>
          <w:p w14:paraId="16E3BB8B" w14:textId="77777777" w:rsidR="00730DE4" w:rsidRPr="00730DE4" w:rsidRDefault="00730DE4" w:rsidP="00311D64">
            <w:pPr>
              <w:pStyle w:val="NoSpacingIndent"/>
            </w:pPr>
            <w:r w:rsidRPr="00730DE4">
              <w:t>Payables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399E91DF" w14:textId="77777777" w:rsidR="00730DE4" w:rsidRPr="00730DE4" w:rsidRDefault="00730DE4" w:rsidP="00C8541B">
            <w:pPr>
              <w:pStyle w:val="NoSpacing"/>
              <w:jc w:val="right"/>
            </w:pPr>
            <w:r w:rsidRPr="00730DE4">
              <w:t xml:space="preserve">8,181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134EF1B4" w14:textId="77777777" w:rsidR="00730DE4" w:rsidRPr="00730DE4" w:rsidRDefault="00730DE4" w:rsidP="00C8541B">
            <w:pPr>
              <w:pStyle w:val="NoSpacing"/>
              <w:jc w:val="right"/>
            </w:pPr>
            <w:r w:rsidRPr="00730DE4">
              <w:t xml:space="preserve">187,311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569B4A20" w14:textId="77777777" w:rsidR="00730DE4" w:rsidRPr="00730DE4" w:rsidRDefault="00730DE4" w:rsidP="00C8541B">
            <w:pPr>
              <w:pStyle w:val="NoSpacing"/>
              <w:jc w:val="right"/>
            </w:pPr>
            <w:r w:rsidRPr="00730DE4">
              <w:t xml:space="preserve">45,909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1E778F42" w14:textId="77777777" w:rsidR="00730DE4" w:rsidRPr="00730DE4" w:rsidRDefault="00730DE4" w:rsidP="00C8541B">
            <w:pPr>
              <w:pStyle w:val="NoSpacing"/>
              <w:jc w:val="right"/>
            </w:pPr>
            <w:r w:rsidRPr="00730DE4">
              <w:t xml:space="preserve">31,877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6BBFA473" w14:textId="77777777" w:rsidR="00730DE4" w:rsidRPr="00730DE4" w:rsidRDefault="00730DE4" w:rsidP="00C8541B">
            <w:pPr>
              <w:pStyle w:val="NoSpacing"/>
              <w:jc w:val="right"/>
            </w:pPr>
            <w:r w:rsidRPr="00730DE4">
              <w:t xml:space="preserve">656,660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tcPr>
          <w:p w14:paraId="3214C8F0" w14:textId="77777777" w:rsidR="00730DE4" w:rsidRPr="00730DE4" w:rsidRDefault="00730DE4" w:rsidP="00C8541B">
            <w:pPr>
              <w:pStyle w:val="NoSpacing"/>
              <w:jc w:val="right"/>
            </w:pPr>
            <w:r w:rsidRPr="00730DE4">
              <w:t xml:space="preserve">55,434 </w:t>
            </w:r>
          </w:p>
        </w:tc>
      </w:tr>
      <w:tr w:rsidR="00730DE4" w:rsidRPr="00730DE4" w14:paraId="4B03BA49" w14:textId="77777777" w:rsidTr="00253FBD">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1B252619" w14:textId="77777777" w:rsidR="00730DE4" w:rsidRPr="00730DE4" w:rsidRDefault="00730DE4" w:rsidP="00311D64">
            <w:pPr>
              <w:pStyle w:val="NoSpacingIndent"/>
            </w:pPr>
            <w:r w:rsidRPr="00730DE4">
              <w:t>Borrowings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B335A54"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C1D5321" w14:textId="77777777" w:rsidR="00730DE4" w:rsidRPr="00730DE4" w:rsidRDefault="00730DE4" w:rsidP="00C8541B">
            <w:pPr>
              <w:pStyle w:val="NoSpacing"/>
              <w:jc w:val="right"/>
            </w:pPr>
            <w:r w:rsidRPr="00730DE4">
              <w:t xml:space="preserve">11,374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C0B1AB1"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10BBBF7"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A36A707" w14:textId="77777777" w:rsidR="00730DE4" w:rsidRPr="00730DE4" w:rsidRDefault="00730DE4" w:rsidP="00C8541B">
            <w:pPr>
              <w:pStyle w:val="NoSpacing"/>
              <w:jc w:val="right"/>
            </w:pPr>
            <w:r w:rsidRPr="00730DE4">
              <w:t xml:space="preserve">37,174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7DB2AF80" w14:textId="77777777" w:rsidR="00730DE4" w:rsidRPr="00730DE4" w:rsidRDefault="00730DE4" w:rsidP="00C8541B">
            <w:pPr>
              <w:pStyle w:val="NoSpacing"/>
              <w:jc w:val="right"/>
            </w:pPr>
            <w:r w:rsidRPr="00730DE4">
              <w:t xml:space="preserve">- </w:t>
            </w:r>
          </w:p>
        </w:tc>
      </w:tr>
      <w:tr w:rsidR="00730DE4" w:rsidRPr="00730DE4" w14:paraId="7E845861" w14:textId="77777777" w:rsidTr="00253FBD">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690E54DD" w14:textId="77777777" w:rsidR="00730DE4" w:rsidRPr="00730DE4" w:rsidRDefault="00730DE4" w:rsidP="00311D64">
            <w:pPr>
              <w:pStyle w:val="NoSpacingIndent"/>
            </w:pPr>
            <w:r w:rsidRPr="00730DE4">
              <w:t>Provisions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5DA9406"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D6DA00C" w14:textId="77777777" w:rsidR="00730DE4" w:rsidRPr="00730DE4" w:rsidRDefault="00730DE4" w:rsidP="00C8541B">
            <w:pPr>
              <w:pStyle w:val="NoSpacing"/>
              <w:jc w:val="right"/>
            </w:pPr>
            <w:r w:rsidRPr="00730DE4">
              <w:t xml:space="preserve">234,337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1A1951F"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EE298E8"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610E389" w14:textId="77777777" w:rsidR="00730DE4" w:rsidRPr="00730DE4" w:rsidRDefault="00730DE4" w:rsidP="00C8541B">
            <w:pPr>
              <w:pStyle w:val="NoSpacing"/>
              <w:jc w:val="right"/>
            </w:pPr>
            <w:r w:rsidRPr="00730DE4">
              <w:t xml:space="preserve">7,442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50F5BDEF" w14:textId="77777777" w:rsidR="00730DE4" w:rsidRPr="00730DE4" w:rsidRDefault="00730DE4" w:rsidP="00C8541B">
            <w:pPr>
              <w:pStyle w:val="NoSpacing"/>
              <w:jc w:val="right"/>
            </w:pPr>
            <w:r w:rsidRPr="00730DE4">
              <w:t xml:space="preserve">- </w:t>
            </w:r>
          </w:p>
        </w:tc>
      </w:tr>
      <w:tr w:rsidR="00730DE4" w:rsidRPr="00730DE4" w14:paraId="3D78D9DA" w14:textId="77777777" w:rsidTr="00253FBD">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363F8A48" w14:textId="77777777" w:rsidR="00730DE4" w:rsidRPr="00730DE4" w:rsidRDefault="00730DE4" w:rsidP="00311D64">
            <w:pPr>
              <w:pStyle w:val="NoSpacingIndent"/>
            </w:pPr>
            <w:r w:rsidRPr="00730DE4">
              <w:t>Accrued employee benefits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EA8CE8A" w14:textId="77777777" w:rsidR="00730DE4" w:rsidRPr="00730DE4" w:rsidRDefault="00730DE4" w:rsidP="00C8541B">
            <w:pPr>
              <w:pStyle w:val="NoSpacing"/>
              <w:jc w:val="right"/>
            </w:pPr>
            <w:r w:rsidRPr="00730DE4">
              <w:t xml:space="preserve">3,188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D084A90" w14:textId="77777777" w:rsidR="00730DE4" w:rsidRPr="00730DE4" w:rsidRDefault="00730DE4" w:rsidP="00C8541B">
            <w:pPr>
              <w:pStyle w:val="NoSpacing"/>
              <w:jc w:val="right"/>
            </w:pPr>
            <w:r w:rsidRPr="00730DE4">
              <w:t xml:space="preserve">9,370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2216C9F" w14:textId="77777777" w:rsidR="00730DE4" w:rsidRPr="00730DE4" w:rsidRDefault="00730DE4" w:rsidP="00C8541B">
            <w:pPr>
              <w:pStyle w:val="NoSpacing"/>
              <w:jc w:val="right"/>
            </w:pPr>
            <w:r w:rsidRPr="00730DE4">
              <w:t xml:space="preserve">4,066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75108C6" w14:textId="77777777" w:rsidR="00730DE4" w:rsidRPr="00730DE4" w:rsidRDefault="00730DE4" w:rsidP="00C8541B">
            <w:pPr>
              <w:pStyle w:val="NoSpacing"/>
              <w:jc w:val="right"/>
            </w:pPr>
            <w:r w:rsidRPr="00730DE4">
              <w:t xml:space="preserve">8,627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ACA54E4" w14:textId="77777777" w:rsidR="00730DE4" w:rsidRPr="00730DE4" w:rsidRDefault="00730DE4" w:rsidP="00C8541B">
            <w:pPr>
              <w:pStyle w:val="NoSpacing"/>
              <w:jc w:val="right"/>
            </w:pPr>
            <w:r w:rsidRPr="00730DE4">
              <w:t xml:space="preserve">5,175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4F279B2D" w14:textId="77777777" w:rsidR="00730DE4" w:rsidRPr="00730DE4" w:rsidRDefault="00730DE4" w:rsidP="00C8541B">
            <w:pPr>
              <w:pStyle w:val="NoSpacing"/>
              <w:jc w:val="right"/>
            </w:pPr>
            <w:r w:rsidRPr="00730DE4">
              <w:t xml:space="preserve">7,361 </w:t>
            </w:r>
          </w:p>
        </w:tc>
      </w:tr>
      <w:tr w:rsidR="00730DE4" w:rsidRPr="00730DE4" w14:paraId="5C8931CD" w14:textId="77777777" w:rsidTr="00253FBD">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604A4521" w14:textId="77777777" w:rsidR="00730DE4" w:rsidRPr="00730DE4" w:rsidRDefault="00730DE4" w:rsidP="00311D64">
            <w:pPr>
              <w:pStyle w:val="NoSpacingIndent"/>
            </w:pPr>
            <w:r w:rsidRPr="00730DE4">
              <w:t>Current tax liabilities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C4AE107"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FA77B71"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7379D34"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B96B72D"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FFDE050"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399321EC" w14:textId="77777777" w:rsidR="00730DE4" w:rsidRPr="00730DE4" w:rsidRDefault="00730DE4" w:rsidP="00C8541B">
            <w:pPr>
              <w:pStyle w:val="NoSpacing"/>
              <w:jc w:val="right"/>
            </w:pPr>
            <w:r w:rsidRPr="00730DE4">
              <w:t xml:space="preserve">41 </w:t>
            </w:r>
          </w:p>
        </w:tc>
      </w:tr>
      <w:tr w:rsidR="00730DE4" w:rsidRPr="00730DE4" w14:paraId="79FF7DB8" w14:textId="77777777" w:rsidTr="00253FBD">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164861DD" w14:textId="77777777" w:rsidR="00730DE4" w:rsidRPr="00730DE4" w:rsidRDefault="00730DE4" w:rsidP="00311D64">
            <w:pPr>
              <w:pStyle w:val="NoSpacingIndent"/>
            </w:pPr>
            <w:r w:rsidRPr="00730DE4">
              <w:t xml:space="preserve">Unearned revenue – service concession arrangements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1DF0D56"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50F82F9" w14:textId="77777777" w:rsidR="00730DE4" w:rsidRPr="00730DE4" w:rsidRDefault="00730DE4" w:rsidP="00C8541B">
            <w:pPr>
              <w:pStyle w:val="NoSpacing"/>
              <w:jc w:val="right"/>
            </w:pPr>
            <w:r w:rsidRPr="00730DE4">
              <w:t xml:space="preserve">223,020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F203F23"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322C96D"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8963EC7" w14:textId="77777777" w:rsidR="00730DE4" w:rsidRPr="00730DE4" w:rsidRDefault="00730DE4" w:rsidP="00C8541B">
            <w:pPr>
              <w:pStyle w:val="NoSpacing"/>
              <w:jc w:val="right"/>
            </w:pPr>
            <w:r w:rsidRPr="00730DE4">
              <w:t xml:space="preserve">9,160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46F32C83" w14:textId="77777777" w:rsidR="00730DE4" w:rsidRPr="00730DE4" w:rsidRDefault="00730DE4" w:rsidP="00C8541B">
            <w:pPr>
              <w:pStyle w:val="NoSpacing"/>
              <w:jc w:val="right"/>
            </w:pPr>
            <w:r w:rsidRPr="00730DE4">
              <w:t xml:space="preserve">- </w:t>
            </w:r>
          </w:p>
        </w:tc>
      </w:tr>
      <w:tr w:rsidR="00730DE4" w:rsidRPr="00730DE4" w14:paraId="0560B45A" w14:textId="77777777" w:rsidTr="00253FBD">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5986FDC5" w14:textId="77777777" w:rsidR="00730DE4" w:rsidRPr="00730DE4" w:rsidRDefault="00730DE4" w:rsidP="00311D64">
            <w:pPr>
              <w:pStyle w:val="NoSpacingIndent"/>
            </w:pPr>
            <w:r w:rsidRPr="00730DE4">
              <w:t>Lease liabilities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AC24735"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A329185"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1059049"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D7CE276"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B08AD92" w14:textId="77777777" w:rsidR="00730DE4" w:rsidRPr="00730DE4" w:rsidRDefault="00730DE4" w:rsidP="00C8541B">
            <w:pPr>
              <w:pStyle w:val="NoSpacing"/>
              <w:jc w:val="right"/>
            </w:pPr>
            <w:r w:rsidRPr="00730DE4">
              <w:t xml:space="preserve">114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26F7A424" w14:textId="77777777" w:rsidR="00730DE4" w:rsidRPr="00730DE4" w:rsidRDefault="00730DE4" w:rsidP="00C8541B">
            <w:pPr>
              <w:pStyle w:val="NoSpacing"/>
              <w:jc w:val="right"/>
            </w:pPr>
            <w:r w:rsidRPr="00730DE4">
              <w:t xml:space="preserve">- </w:t>
            </w:r>
          </w:p>
        </w:tc>
      </w:tr>
      <w:tr w:rsidR="00730DE4" w:rsidRPr="00730DE4" w14:paraId="768A74B3" w14:textId="77777777" w:rsidTr="00253FBD">
        <w:trPr>
          <w:trHeight w:val="198"/>
        </w:trPr>
        <w:tc>
          <w:tcPr>
            <w:tcW w:w="1352"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69F387CE" w14:textId="77777777" w:rsidR="00730DE4" w:rsidRPr="00730DE4" w:rsidRDefault="00730DE4" w:rsidP="00311D64">
            <w:pPr>
              <w:pStyle w:val="NoSpacingIndent"/>
            </w:pPr>
            <w:r w:rsidRPr="00730DE4">
              <w:t xml:space="preserve">Other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3EADE2FF" w14:textId="77777777" w:rsidR="00730DE4" w:rsidRPr="00730DE4" w:rsidRDefault="00730DE4" w:rsidP="00C8541B">
            <w:pPr>
              <w:pStyle w:val="NoSpacing"/>
              <w:jc w:val="right"/>
            </w:pPr>
            <w:r w:rsidRPr="00730DE4">
              <w:t xml:space="preserve">91,164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2FEA1F76" w14:textId="77777777" w:rsidR="00730DE4" w:rsidRPr="00730DE4" w:rsidRDefault="00730DE4" w:rsidP="00C8541B">
            <w:pPr>
              <w:pStyle w:val="NoSpacing"/>
              <w:jc w:val="right"/>
            </w:pPr>
            <w:r w:rsidRPr="00730DE4">
              <w:t xml:space="preserve">91,165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43C5CF01" w14:textId="77777777" w:rsidR="00730DE4" w:rsidRPr="00730DE4" w:rsidRDefault="00730DE4" w:rsidP="00C8541B">
            <w:pPr>
              <w:pStyle w:val="NoSpacing"/>
              <w:jc w:val="right"/>
            </w:pPr>
            <w:r w:rsidRPr="00730DE4">
              <w:t xml:space="preserve">5,705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16A32ABD"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0CAB522E" w14:textId="77777777" w:rsidR="00730DE4" w:rsidRPr="00730DE4" w:rsidRDefault="00730DE4" w:rsidP="00C8541B">
            <w:pPr>
              <w:pStyle w:val="NoSpacing"/>
              <w:jc w:val="right"/>
            </w:pPr>
            <w:r w:rsidRPr="00730DE4">
              <w:t xml:space="preserve">105,481 </w:t>
            </w:r>
          </w:p>
        </w:tc>
        <w:tc>
          <w:tcPr>
            <w:tcW w:w="608"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F2F2F2" w:themeFill="background1" w:themeFillShade="F2"/>
            <w:noWrap/>
            <w:vAlign w:val="bottom"/>
            <w:hideMark/>
          </w:tcPr>
          <w:p w14:paraId="237C670F" w14:textId="77777777" w:rsidR="00730DE4" w:rsidRPr="00730DE4" w:rsidRDefault="00730DE4" w:rsidP="00C8541B">
            <w:pPr>
              <w:pStyle w:val="NoSpacing"/>
              <w:jc w:val="right"/>
            </w:pPr>
            <w:r w:rsidRPr="00730DE4">
              <w:t xml:space="preserve">- </w:t>
            </w:r>
          </w:p>
        </w:tc>
      </w:tr>
      <w:tr w:rsidR="00730DE4" w:rsidRPr="00730DE4" w14:paraId="792F3152" w14:textId="77777777" w:rsidTr="00F47B68">
        <w:trPr>
          <w:trHeight w:val="340"/>
        </w:trPr>
        <w:tc>
          <w:tcPr>
            <w:tcW w:w="1352"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hideMark/>
          </w:tcPr>
          <w:p w14:paraId="38ABF775" w14:textId="77777777" w:rsidR="00730DE4" w:rsidRPr="00730DE4" w:rsidRDefault="00730DE4" w:rsidP="00D50E43">
            <w:pPr>
              <w:pStyle w:val="NoSpacingIndent"/>
            </w:pPr>
            <w:r w:rsidRPr="00730DE4">
              <w:rPr>
                <w:rStyle w:val="Strong"/>
              </w:rPr>
              <w:t>Total current liabilities</w:t>
            </w: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384103DE" w14:textId="77777777" w:rsidR="00730DE4" w:rsidRPr="00730DE4" w:rsidRDefault="00730DE4" w:rsidP="00D50E43">
            <w:pPr>
              <w:pStyle w:val="NoSpacing"/>
              <w:jc w:val="right"/>
              <w:rPr>
                <w:b/>
                <w:bCs/>
              </w:rPr>
            </w:pPr>
            <w:r w:rsidRPr="00730DE4">
              <w:rPr>
                <w:rStyle w:val="Strong"/>
              </w:rPr>
              <w:t xml:space="preserve">102,533 </w:t>
            </w: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313E369D" w14:textId="77777777" w:rsidR="00730DE4" w:rsidRPr="00730DE4" w:rsidRDefault="00730DE4" w:rsidP="00D50E43">
            <w:pPr>
              <w:pStyle w:val="NoSpacing"/>
              <w:jc w:val="right"/>
              <w:rPr>
                <w:b/>
                <w:bCs/>
              </w:rPr>
            </w:pPr>
            <w:r w:rsidRPr="00730DE4">
              <w:rPr>
                <w:rStyle w:val="Strong"/>
              </w:rPr>
              <w:t xml:space="preserve">756,577 </w:t>
            </w: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3AC1EC25" w14:textId="77777777" w:rsidR="00730DE4" w:rsidRPr="00730DE4" w:rsidRDefault="00730DE4" w:rsidP="00D50E43">
            <w:pPr>
              <w:pStyle w:val="NoSpacing"/>
              <w:jc w:val="right"/>
              <w:rPr>
                <w:b/>
                <w:bCs/>
              </w:rPr>
            </w:pPr>
            <w:r w:rsidRPr="00730DE4">
              <w:rPr>
                <w:rStyle w:val="Strong"/>
              </w:rPr>
              <w:t xml:space="preserve">55,680 </w:t>
            </w: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3C8D0961" w14:textId="77777777" w:rsidR="00730DE4" w:rsidRPr="00730DE4" w:rsidRDefault="00730DE4" w:rsidP="00D50E43">
            <w:pPr>
              <w:pStyle w:val="NoSpacing"/>
              <w:jc w:val="right"/>
              <w:rPr>
                <w:b/>
                <w:bCs/>
              </w:rPr>
            </w:pPr>
            <w:r w:rsidRPr="00730DE4">
              <w:rPr>
                <w:rStyle w:val="Strong"/>
              </w:rPr>
              <w:t xml:space="preserve">40,504 </w:t>
            </w: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09ADA216" w14:textId="77777777" w:rsidR="00730DE4" w:rsidRPr="00730DE4" w:rsidRDefault="00730DE4" w:rsidP="00D50E43">
            <w:pPr>
              <w:pStyle w:val="NoSpacing"/>
              <w:jc w:val="right"/>
              <w:rPr>
                <w:b/>
                <w:bCs/>
              </w:rPr>
            </w:pPr>
            <w:r w:rsidRPr="00730DE4">
              <w:rPr>
                <w:rStyle w:val="Strong"/>
              </w:rPr>
              <w:t xml:space="preserve">821,206 </w:t>
            </w:r>
          </w:p>
        </w:tc>
        <w:tc>
          <w:tcPr>
            <w:tcW w:w="608"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F2F2F2" w:themeFill="background1" w:themeFillShade="F2"/>
            <w:noWrap/>
            <w:hideMark/>
          </w:tcPr>
          <w:p w14:paraId="652FE348" w14:textId="77777777" w:rsidR="00730DE4" w:rsidRPr="00730DE4" w:rsidRDefault="00730DE4" w:rsidP="00D50E43">
            <w:pPr>
              <w:pStyle w:val="NoSpacing"/>
              <w:jc w:val="right"/>
              <w:rPr>
                <w:rStyle w:val="Strong"/>
              </w:rPr>
            </w:pPr>
            <w:r w:rsidRPr="00730DE4">
              <w:rPr>
                <w:rStyle w:val="Strong"/>
              </w:rPr>
              <w:t xml:space="preserve">62,836 </w:t>
            </w:r>
          </w:p>
        </w:tc>
      </w:tr>
      <w:tr w:rsidR="00730DE4" w:rsidRPr="00730DE4" w14:paraId="06AE82D6" w14:textId="77777777" w:rsidTr="006A14A6">
        <w:trPr>
          <w:trHeight w:val="340"/>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tcPr>
          <w:p w14:paraId="228413C6" w14:textId="77777777" w:rsidR="00730DE4" w:rsidRPr="00730DE4" w:rsidRDefault="00730DE4" w:rsidP="00C8541B">
            <w:pPr>
              <w:pStyle w:val="NoSpacing"/>
            </w:pPr>
            <w:r w:rsidRPr="00730DE4">
              <w:rPr>
                <w:rStyle w:val="Strong"/>
              </w:rPr>
              <w:t>Non-current liabilities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3FF74582" w14:textId="77777777" w:rsidR="00730DE4" w:rsidRPr="00730DE4" w:rsidRDefault="00730DE4" w:rsidP="00C8541B">
            <w:pPr>
              <w:pStyle w:val="NoSpacing"/>
              <w:jc w:val="right"/>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0C325702" w14:textId="77777777" w:rsidR="00730DE4" w:rsidRPr="00730DE4" w:rsidRDefault="00730DE4" w:rsidP="00C8541B">
            <w:pPr>
              <w:pStyle w:val="NoSpacing"/>
              <w:jc w:val="right"/>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0240A5D9" w14:textId="77777777" w:rsidR="00730DE4" w:rsidRPr="00730DE4" w:rsidRDefault="00730DE4" w:rsidP="00C8541B">
            <w:pPr>
              <w:pStyle w:val="NoSpacing"/>
              <w:jc w:val="right"/>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05271934" w14:textId="77777777" w:rsidR="00730DE4" w:rsidRPr="00730DE4" w:rsidRDefault="00730DE4" w:rsidP="00C8541B">
            <w:pPr>
              <w:pStyle w:val="NoSpacing"/>
              <w:jc w:val="right"/>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47FE892E" w14:textId="77777777" w:rsidR="00730DE4" w:rsidRPr="00730DE4" w:rsidRDefault="00730DE4" w:rsidP="00C8541B">
            <w:pPr>
              <w:pStyle w:val="NoSpacing"/>
              <w:jc w:val="right"/>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tcPr>
          <w:p w14:paraId="0AE17768" w14:textId="77777777" w:rsidR="00730DE4" w:rsidRPr="00730DE4" w:rsidRDefault="00730DE4" w:rsidP="00C8541B">
            <w:pPr>
              <w:pStyle w:val="NoSpacing"/>
              <w:jc w:val="right"/>
            </w:pPr>
          </w:p>
        </w:tc>
      </w:tr>
      <w:tr w:rsidR="00730DE4" w:rsidRPr="00730DE4" w14:paraId="1C3D1997" w14:textId="77777777" w:rsidTr="00253FBD">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tcPr>
          <w:p w14:paraId="6FDE0C1A" w14:textId="77777777" w:rsidR="00730DE4" w:rsidRPr="00730DE4" w:rsidRDefault="00730DE4" w:rsidP="00311D64">
            <w:pPr>
              <w:pStyle w:val="NoSpacingIndent"/>
            </w:pPr>
            <w:r w:rsidRPr="00730DE4">
              <w:t>Borrowings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348342C6"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2AA56D30" w14:textId="77777777" w:rsidR="00730DE4" w:rsidRPr="00730DE4" w:rsidRDefault="00730DE4" w:rsidP="00C8541B">
            <w:pPr>
              <w:pStyle w:val="NoSpacing"/>
              <w:jc w:val="right"/>
            </w:pPr>
            <w:r w:rsidRPr="00730DE4">
              <w:t xml:space="preserve">372,535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275A9A50"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59DEBAAA"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50ABF029" w14:textId="77777777" w:rsidR="00730DE4" w:rsidRPr="00730DE4" w:rsidRDefault="00730DE4" w:rsidP="00C8541B">
            <w:pPr>
              <w:pStyle w:val="NoSpacing"/>
              <w:jc w:val="right"/>
            </w:pPr>
            <w:r w:rsidRPr="00730DE4">
              <w:t xml:space="preserve">710,354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tcPr>
          <w:p w14:paraId="6F293E04" w14:textId="77777777" w:rsidR="00730DE4" w:rsidRPr="00730DE4" w:rsidRDefault="00730DE4" w:rsidP="00C8541B">
            <w:pPr>
              <w:pStyle w:val="NoSpacing"/>
              <w:jc w:val="right"/>
            </w:pPr>
            <w:r w:rsidRPr="00730DE4">
              <w:t xml:space="preserve">19,000 </w:t>
            </w:r>
          </w:p>
        </w:tc>
      </w:tr>
      <w:tr w:rsidR="00730DE4" w:rsidRPr="00730DE4" w14:paraId="14B93786" w14:textId="77777777" w:rsidTr="00253FBD">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6F0B6C53" w14:textId="77777777" w:rsidR="00730DE4" w:rsidRPr="00730DE4" w:rsidRDefault="00730DE4" w:rsidP="00311D64">
            <w:pPr>
              <w:pStyle w:val="NoSpacingIndent"/>
            </w:pPr>
            <w:r w:rsidRPr="00730DE4">
              <w:t>Provisions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447AE61"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CF98D63" w14:textId="77777777" w:rsidR="00730DE4" w:rsidRPr="00730DE4" w:rsidRDefault="00730DE4" w:rsidP="00C8541B">
            <w:pPr>
              <w:pStyle w:val="NoSpacing"/>
              <w:jc w:val="right"/>
            </w:pPr>
            <w:r w:rsidRPr="00730DE4">
              <w:t xml:space="preserve">202,654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CB1FA1D"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2D4FAC9"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FA5B91B"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63BAEA3E" w14:textId="77777777" w:rsidR="00730DE4" w:rsidRPr="00730DE4" w:rsidRDefault="00730DE4" w:rsidP="00C8541B">
            <w:pPr>
              <w:pStyle w:val="NoSpacing"/>
              <w:jc w:val="right"/>
            </w:pPr>
            <w:r w:rsidRPr="00730DE4">
              <w:t xml:space="preserve">- </w:t>
            </w:r>
          </w:p>
        </w:tc>
      </w:tr>
      <w:tr w:rsidR="00730DE4" w:rsidRPr="00730DE4" w14:paraId="134EAC5C" w14:textId="77777777" w:rsidTr="00253FBD">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093D1D8" w14:textId="77777777" w:rsidR="00730DE4" w:rsidRPr="00730DE4" w:rsidRDefault="00730DE4" w:rsidP="00311D64">
            <w:pPr>
              <w:pStyle w:val="NoSpacingIndent"/>
            </w:pPr>
            <w:r w:rsidRPr="00730DE4">
              <w:t xml:space="preserve">Unearned revenue – service concession arrangements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1E60DDA"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1AE61D9" w14:textId="77777777" w:rsidR="00730DE4" w:rsidRPr="00730DE4" w:rsidRDefault="00730DE4" w:rsidP="00C8541B">
            <w:pPr>
              <w:pStyle w:val="NoSpacing"/>
              <w:jc w:val="right"/>
            </w:pPr>
            <w:r w:rsidRPr="00730DE4">
              <w:t xml:space="preserve">6,591,718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9ECB320"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8A09EAD"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4F43AB3" w14:textId="77777777" w:rsidR="00730DE4" w:rsidRPr="00730DE4" w:rsidRDefault="00730DE4" w:rsidP="00C8541B">
            <w:pPr>
              <w:pStyle w:val="NoSpacing"/>
              <w:jc w:val="right"/>
            </w:pPr>
            <w:r w:rsidRPr="00730DE4">
              <w:t xml:space="preserve">99,237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687CB593" w14:textId="77777777" w:rsidR="00730DE4" w:rsidRPr="00730DE4" w:rsidRDefault="00730DE4" w:rsidP="00C8541B">
            <w:pPr>
              <w:pStyle w:val="NoSpacing"/>
              <w:jc w:val="right"/>
            </w:pPr>
            <w:r w:rsidRPr="00730DE4">
              <w:t xml:space="preserve">- </w:t>
            </w:r>
          </w:p>
        </w:tc>
      </w:tr>
      <w:tr w:rsidR="00730DE4" w:rsidRPr="00730DE4" w14:paraId="348F237E" w14:textId="77777777" w:rsidTr="00094DCA">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4C3704BC" w14:textId="77777777" w:rsidR="00730DE4" w:rsidRPr="00730DE4" w:rsidRDefault="00730DE4" w:rsidP="00311D64">
            <w:pPr>
              <w:pStyle w:val="NoSpacingIndent"/>
            </w:pPr>
            <w:r w:rsidRPr="00730DE4">
              <w:t>Lease liabilities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5BD8CCA"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3CF2230"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C5F4834"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E61D8A5"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AC0FF0A" w14:textId="77777777" w:rsidR="00730DE4" w:rsidRPr="00730DE4" w:rsidRDefault="00730DE4" w:rsidP="00C8541B">
            <w:pPr>
              <w:pStyle w:val="NoSpacing"/>
              <w:jc w:val="right"/>
            </w:pPr>
            <w:r w:rsidRPr="00730DE4">
              <w:t xml:space="preserve">3,452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59051F50" w14:textId="77777777" w:rsidR="00730DE4" w:rsidRPr="00730DE4" w:rsidRDefault="00730DE4" w:rsidP="00C8541B">
            <w:pPr>
              <w:pStyle w:val="NoSpacing"/>
              <w:jc w:val="right"/>
            </w:pPr>
            <w:r w:rsidRPr="00730DE4">
              <w:t xml:space="preserve">- </w:t>
            </w:r>
          </w:p>
        </w:tc>
      </w:tr>
      <w:tr w:rsidR="00730DE4" w:rsidRPr="00730DE4" w14:paraId="2B0D2E1E" w14:textId="77777777" w:rsidTr="00094DCA">
        <w:trPr>
          <w:trHeight w:val="198"/>
        </w:trPr>
        <w:tc>
          <w:tcPr>
            <w:tcW w:w="1352"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72517409" w14:textId="77777777" w:rsidR="00730DE4" w:rsidRPr="00730DE4" w:rsidRDefault="00730DE4" w:rsidP="00311D64">
            <w:pPr>
              <w:pStyle w:val="NoSpacingIndent"/>
            </w:pPr>
            <w:r w:rsidRPr="00730DE4">
              <w:t>Other</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39DD6040"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7CC24F23"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4562F464"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004671C8"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2987A3C7" w14:textId="77777777" w:rsidR="00730DE4" w:rsidRPr="00730DE4" w:rsidRDefault="00730DE4" w:rsidP="00C8541B">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F2F2F2" w:themeFill="background1" w:themeFillShade="F2"/>
            <w:noWrap/>
            <w:vAlign w:val="bottom"/>
            <w:hideMark/>
          </w:tcPr>
          <w:p w14:paraId="53A2E3E2" w14:textId="77777777" w:rsidR="00730DE4" w:rsidRPr="00730DE4" w:rsidRDefault="00730DE4" w:rsidP="00C8541B">
            <w:pPr>
              <w:pStyle w:val="NoSpacing"/>
              <w:jc w:val="right"/>
            </w:pPr>
            <w:r w:rsidRPr="00730DE4">
              <w:t xml:space="preserve">- </w:t>
            </w:r>
          </w:p>
        </w:tc>
      </w:tr>
      <w:tr w:rsidR="00730DE4" w:rsidRPr="00730DE4" w14:paraId="15BBC238" w14:textId="77777777" w:rsidTr="00094DCA">
        <w:trPr>
          <w:trHeight w:val="340"/>
        </w:trPr>
        <w:tc>
          <w:tcPr>
            <w:tcW w:w="1352" w:type="pct"/>
            <w:tcBorders>
              <w:top w:val="single" w:sz="4" w:space="0" w:color="auto"/>
              <w:left w:val="nil"/>
              <w:right w:val="dotted" w:sz="4" w:space="0" w:color="BFBFBF" w:themeColor="background1" w:themeShade="BF"/>
            </w:tcBorders>
            <w:shd w:val="clear" w:color="auto" w:fill="auto"/>
            <w:noWrap/>
          </w:tcPr>
          <w:p w14:paraId="33AF06A5" w14:textId="77777777" w:rsidR="00730DE4" w:rsidRPr="00730DE4" w:rsidRDefault="00730DE4" w:rsidP="00662028">
            <w:pPr>
              <w:pStyle w:val="NoSpacingIndent"/>
            </w:pPr>
            <w:r w:rsidRPr="00730DE4">
              <w:rPr>
                <w:rStyle w:val="Strong"/>
              </w:rPr>
              <w:t>Total non-current liabilities</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F2F2F2" w:themeFill="background1" w:themeFillShade="F2"/>
            <w:noWrap/>
          </w:tcPr>
          <w:p w14:paraId="5C9EC84C" w14:textId="77777777" w:rsidR="00730DE4" w:rsidRPr="00730DE4" w:rsidRDefault="00730DE4" w:rsidP="00662028">
            <w:pPr>
              <w:pStyle w:val="NoSpacing"/>
              <w:jc w:val="right"/>
            </w:pPr>
            <w:r w:rsidRPr="00730DE4">
              <w:rPr>
                <w:rStyle w:val="Strong"/>
              </w:rPr>
              <w:t xml:space="preserve">-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F2F2F2" w:themeFill="background1" w:themeFillShade="F2"/>
            <w:noWrap/>
          </w:tcPr>
          <w:p w14:paraId="5276FC13" w14:textId="77777777" w:rsidR="00730DE4" w:rsidRPr="00730DE4" w:rsidRDefault="00730DE4" w:rsidP="00662028">
            <w:pPr>
              <w:pStyle w:val="NoSpacing"/>
              <w:jc w:val="right"/>
            </w:pPr>
            <w:r w:rsidRPr="00730DE4">
              <w:rPr>
                <w:rStyle w:val="Strong"/>
              </w:rPr>
              <w:t xml:space="preserve">7,166,907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F2F2F2" w:themeFill="background1" w:themeFillShade="F2"/>
            <w:noWrap/>
          </w:tcPr>
          <w:p w14:paraId="39B15765" w14:textId="77777777" w:rsidR="00730DE4" w:rsidRPr="00730DE4" w:rsidRDefault="00730DE4" w:rsidP="00662028">
            <w:pPr>
              <w:pStyle w:val="NoSpacing"/>
              <w:jc w:val="right"/>
            </w:pPr>
            <w:r w:rsidRPr="00730DE4">
              <w:rPr>
                <w:rStyle w:val="Strong"/>
              </w:rPr>
              <w:t xml:space="preserve">-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F2F2F2" w:themeFill="background1" w:themeFillShade="F2"/>
            <w:noWrap/>
          </w:tcPr>
          <w:p w14:paraId="63728625" w14:textId="77777777" w:rsidR="00730DE4" w:rsidRPr="00730DE4" w:rsidRDefault="00730DE4" w:rsidP="00662028">
            <w:pPr>
              <w:pStyle w:val="NoSpacing"/>
              <w:jc w:val="right"/>
            </w:pPr>
            <w:r w:rsidRPr="00730DE4">
              <w:rPr>
                <w:rStyle w:val="Strong"/>
              </w:rPr>
              <w:t xml:space="preserve">-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F2F2F2" w:themeFill="background1" w:themeFillShade="F2"/>
            <w:noWrap/>
          </w:tcPr>
          <w:p w14:paraId="3B912C15" w14:textId="77777777" w:rsidR="00730DE4" w:rsidRPr="00730DE4" w:rsidRDefault="00730DE4" w:rsidP="00662028">
            <w:pPr>
              <w:pStyle w:val="NoSpacing"/>
              <w:jc w:val="right"/>
            </w:pPr>
            <w:r w:rsidRPr="00730DE4">
              <w:rPr>
                <w:rStyle w:val="Strong"/>
              </w:rPr>
              <w:t xml:space="preserve">813,043 </w:t>
            </w:r>
          </w:p>
        </w:tc>
        <w:tc>
          <w:tcPr>
            <w:tcW w:w="608" w:type="pct"/>
            <w:tcBorders>
              <w:top w:val="single" w:sz="4" w:space="0" w:color="auto"/>
              <w:left w:val="dotted" w:sz="4" w:space="0" w:color="BFBFBF" w:themeColor="background1" w:themeShade="BF"/>
              <w:right w:val="nil"/>
            </w:tcBorders>
            <w:shd w:val="clear" w:color="auto" w:fill="F2F2F2" w:themeFill="background1" w:themeFillShade="F2"/>
            <w:noWrap/>
          </w:tcPr>
          <w:p w14:paraId="4B54F805" w14:textId="77777777" w:rsidR="00730DE4" w:rsidRPr="00730DE4" w:rsidRDefault="00730DE4" w:rsidP="00662028">
            <w:pPr>
              <w:pStyle w:val="NoSpacing"/>
              <w:jc w:val="right"/>
            </w:pPr>
            <w:r w:rsidRPr="00730DE4">
              <w:rPr>
                <w:rStyle w:val="Strong"/>
              </w:rPr>
              <w:t xml:space="preserve">19,000 </w:t>
            </w:r>
          </w:p>
        </w:tc>
      </w:tr>
      <w:tr w:rsidR="00730DE4" w:rsidRPr="00730DE4" w14:paraId="213677C6" w14:textId="77777777" w:rsidTr="00094DCA">
        <w:trPr>
          <w:trHeight w:val="340"/>
        </w:trPr>
        <w:tc>
          <w:tcPr>
            <w:tcW w:w="1352" w:type="pct"/>
            <w:tcBorders>
              <w:left w:val="nil"/>
              <w:bottom w:val="double" w:sz="4" w:space="0" w:color="auto"/>
              <w:right w:val="dotted" w:sz="4" w:space="0" w:color="BFBFBF" w:themeColor="background1" w:themeShade="BF"/>
            </w:tcBorders>
            <w:shd w:val="clear" w:color="auto" w:fill="auto"/>
            <w:noWrap/>
            <w:vAlign w:val="bottom"/>
          </w:tcPr>
          <w:p w14:paraId="5F168F1F" w14:textId="77777777" w:rsidR="00730DE4" w:rsidRPr="00730DE4" w:rsidRDefault="00730DE4" w:rsidP="00094DCA">
            <w:pPr>
              <w:pStyle w:val="NoSpacing"/>
              <w:rPr>
                <w:rStyle w:val="Strong"/>
              </w:rPr>
            </w:pPr>
            <w:r w:rsidRPr="00730DE4">
              <w:rPr>
                <w:rStyle w:val="Strong"/>
              </w:rPr>
              <w:t>Total liabilities</w:t>
            </w:r>
          </w:p>
        </w:tc>
        <w:tc>
          <w:tcPr>
            <w:tcW w:w="608" w:type="pct"/>
            <w:tcBorders>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vAlign w:val="bottom"/>
          </w:tcPr>
          <w:p w14:paraId="7F7D7B9D" w14:textId="77777777" w:rsidR="00730DE4" w:rsidRPr="00730DE4" w:rsidRDefault="00730DE4" w:rsidP="00094DCA">
            <w:pPr>
              <w:pStyle w:val="NoSpacing"/>
              <w:jc w:val="right"/>
              <w:rPr>
                <w:b/>
                <w:bCs/>
              </w:rPr>
            </w:pPr>
            <w:r w:rsidRPr="00730DE4">
              <w:rPr>
                <w:rStyle w:val="Strong"/>
              </w:rPr>
              <w:t xml:space="preserve">102,533 </w:t>
            </w:r>
          </w:p>
        </w:tc>
        <w:tc>
          <w:tcPr>
            <w:tcW w:w="608" w:type="pct"/>
            <w:tcBorders>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vAlign w:val="bottom"/>
          </w:tcPr>
          <w:p w14:paraId="0BFC30B2" w14:textId="77777777" w:rsidR="00730DE4" w:rsidRPr="00730DE4" w:rsidRDefault="00730DE4" w:rsidP="00094DCA">
            <w:pPr>
              <w:pStyle w:val="NoSpacing"/>
              <w:jc w:val="right"/>
              <w:rPr>
                <w:b/>
                <w:bCs/>
              </w:rPr>
            </w:pPr>
            <w:r w:rsidRPr="00730DE4">
              <w:rPr>
                <w:rStyle w:val="Strong"/>
              </w:rPr>
              <w:t xml:space="preserve">7,923,484 </w:t>
            </w:r>
          </w:p>
        </w:tc>
        <w:tc>
          <w:tcPr>
            <w:tcW w:w="608" w:type="pct"/>
            <w:tcBorders>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vAlign w:val="bottom"/>
          </w:tcPr>
          <w:p w14:paraId="64E4DD7A" w14:textId="77777777" w:rsidR="00730DE4" w:rsidRPr="00730DE4" w:rsidRDefault="00730DE4" w:rsidP="00094DCA">
            <w:pPr>
              <w:pStyle w:val="NoSpacing"/>
              <w:jc w:val="right"/>
              <w:rPr>
                <w:b/>
                <w:bCs/>
              </w:rPr>
            </w:pPr>
            <w:r w:rsidRPr="00730DE4">
              <w:rPr>
                <w:rStyle w:val="Strong"/>
              </w:rPr>
              <w:t xml:space="preserve">55,680 </w:t>
            </w:r>
          </w:p>
        </w:tc>
        <w:tc>
          <w:tcPr>
            <w:tcW w:w="608" w:type="pct"/>
            <w:tcBorders>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vAlign w:val="bottom"/>
          </w:tcPr>
          <w:p w14:paraId="3B116FBB" w14:textId="77777777" w:rsidR="00730DE4" w:rsidRPr="00730DE4" w:rsidRDefault="00730DE4" w:rsidP="00094DCA">
            <w:pPr>
              <w:pStyle w:val="NoSpacing"/>
              <w:jc w:val="right"/>
              <w:rPr>
                <w:b/>
                <w:bCs/>
              </w:rPr>
            </w:pPr>
            <w:r w:rsidRPr="00730DE4">
              <w:rPr>
                <w:rStyle w:val="Strong"/>
              </w:rPr>
              <w:t xml:space="preserve">40,504 </w:t>
            </w:r>
          </w:p>
        </w:tc>
        <w:tc>
          <w:tcPr>
            <w:tcW w:w="608" w:type="pct"/>
            <w:tcBorders>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vAlign w:val="bottom"/>
          </w:tcPr>
          <w:p w14:paraId="26F82DAE" w14:textId="77777777" w:rsidR="00730DE4" w:rsidRPr="00730DE4" w:rsidRDefault="00730DE4" w:rsidP="00094DCA">
            <w:pPr>
              <w:pStyle w:val="NoSpacing"/>
              <w:jc w:val="right"/>
              <w:rPr>
                <w:b/>
                <w:bCs/>
              </w:rPr>
            </w:pPr>
            <w:r w:rsidRPr="00730DE4">
              <w:rPr>
                <w:rStyle w:val="Strong"/>
              </w:rPr>
              <w:t xml:space="preserve">1,634,249 </w:t>
            </w:r>
          </w:p>
        </w:tc>
        <w:tc>
          <w:tcPr>
            <w:tcW w:w="608" w:type="pct"/>
            <w:tcBorders>
              <w:left w:val="dotted" w:sz="4" w:space="0" w:color="BFBFBF" w:themeColor="background1" w:themeShade="BF"/>
              <w:bottom w:val="double" w:sz="4" w:space="0" w:color="auto"/>
              <w:right w:val="nil"/>
            </w:tcBorders>
            <w:shd w:val="clear" w:color="auto" w:fill="F2F2F2" w:themeFill="background1" w:themeFillShade="F2"/>
            <w:noWrap/>
            <w:vAlign w:val="bottom"/>
          </w:tcPr>
          <w:p w14:paraId="19FD3066" w14:textId="77777777" w:rsidR="00730DE4" w:rsidRPr="00730DE4" w:rsidRDefault="00730DE4" w:rsidP="00094DCA">
            <w:pPr>
              <w:pStyle w:val="NoSpacing"/>
              <w:jc w:val="right"/>
              <w:rPr>
                <w:rStyle w:val="Strong"/>
              </w:rPr>
            </w:pPr>
            <w:r w:rsidRPr="00730DE4">
              <w:rPr>
                <w:rStyle w:val="Strong"/>
              </w:rPr>
              <w:t xml:space="preserve">81,836 </w:t>
            </w:r>
          </w:p>
        </w:tc>
      </w:tr>
    </w:tbl>
    <w:p w14:paraId="419D9BAE" w14:textId="77777777" w:rsidR="00730DE4" w:rsidRPr="00730DE4" w:rsidRDefault="00730DE4" w:rsidP="00A9765E">
      <w:pPr>
        <w:pStyle w:val="NoSpacing"/>
        <w:rPr>
          <w:b/>
          <w:bCs/>
          <w:sz w:val="24"/>
          <w:szCs w:val="24"/>
        </w:rPr>
      </w:pPr>
      <w:r w:rsidRPr="00730DE4">
        <w:rPr>
          <w:b/>
          <w:bCs/>
          <w:sz w:val="24"/>
          <w:szCs w:val="24"/>
        </w:rPr>
        <w:t>Statement of assets and liabilities by major departmental services (continued)</w:t>
      </w:r>
    </w:p>
    <w:p w14:paraId="566A3741" w14:textId="77777777" w:rsidR="00730DE4" w:rsidRPr="00730DE4" w:rsidRDefault="00730DE4" w:rsidP="00A9765E">
      <w:pPr>
        <w:pStyle w:val="NoSpacing"/>
        <w:rPr>
          <w:sz w:val="24"/>
          <w:szCs w:val="24"/>
        </w:rPr>
      </w:pPr>
      <w:r w:rsidRPr="00730DE4">
        <w:rPr>
          <w:sz w:val="24"/>
          <w:szCs w:val="24"/>
        </w:rPr>
        <w:t>As at 30 June 2024</w:t>
      </w:r>
    </w:p>
    <w:p w14:paraId="43D698AC" w14:textId="77777777" w:rsidR="00730DE4" w:rsidRPr="00730DE4" w:rsidRDefault="00730DE4" w:rsidP="00A9765E">
      <w:pPr>
        <w:pStyle w:val="NoSpacing"/>
      </w:pPr>
    </w:p>
    <w:tbl>
      <w:tblPr>
        <w:tblW w:w="5000" w:type="pct"/>
        <w:tblCellMar>
          <w:top w:w="23" w:type="dxa"/>
          <w:left w:w="23" w:type="dxa"/>
          <w:bottom w:w="23" w:type="dxa"/>
          <w:right w:w="23" w:type="dxa"/>
        </w:tblCellMar>
        <w:tblLook w:val="04A0" w:firstRow="1" w:lastRow="0" w:firstColumn="1" w:lastColumn="0" w:noHBand="0" w:noVBand="1"/>
      </w:tblPr>
      <w:tblGrid>
        <w:gridCol w:w="5671"/>
        <w:gridCol w:w="2550"/>
        <w:gridCol w:w="2550"/>
        <w:gridCol w:w="2551"/>
        <w:gridCol w:w="2551"/>
        <w:gridCol w:w="2551"/>
        <w:gridCol w:w="2551"/>
      </w:tblGrid>
      <w:tr w:rsidR="00730DE4" w:rsidRPr="00730DE4" w14:paraId="3E723D08" w14:textId="77777777" w:rsidTr="00253FBD">
        <w:trPr>
          <w:trHeight w:val="198"/>
        </w:trPr>
        <w:tc>
          <w:tcPr>
            <w:tcW w:w="1352" w:type="pct"/>
            <w:tcBorders>
              <w:top w:val="nil"/>
              <w:left w:val="nil"/>
              <w:bottom w:val="single" w:sz="4" w:space="0" w:color="auto"/>
              <w:right w:val="nil"/>
            </w:tcBorders>
            <w:vAlign w:val="bottom"/>
          </w:tcPr>
          <w:p w14:paraId="1AABD315" w14:textId="77777777" w:rsidR="00730DE4" w:rsidRPr="00730DE4" w:rsidRDefault="00730DE4" w:rsidP="008354D6">
            <w:pPr>
              <w:pStyle w:val="NoSpacing"/>
              <w:rPr>
                <w:rStyle w:val="Strong"/>
              </w:rPr>
            </w:pPr>
          </w:p>
        </w:tc>
        <w:tc>
          <w:tcPr>
            <w:tcW w:w="608" w:type="pct"/>
            <w:tcBorders>
              <w:top w:val="nil"/>
              <w:left w:val="nil"/>
              <w:bottom w:val="single" w:sz="4" w:space="0" w:color="auto"/>
              <w:right w:val="nil"/>
            </w:tcBorders>
            <w:shd w:val="clear" w:color="auto" w:fill="auto"/>
            <w:vAlign w:val="bottom"/>
            <w:hideMark/>
          </w:tcPr>
          <w:p w14:paraId="4CCD82E0" w14:textId="77777777" w:rsidR="00730DE4" w:rsidRPr="00730DE4" w:rsidRDefault="00730DE4" w:rsidP="008354D6">
            <w:pPr>
              <w:pStyle w:val="NoSpacing"/>
              <w:jc w:val="right"/>
              <w:rPr>
                <w:b/>
                <w:bCs/>
              </w:rPr>
            </w:pPr>
            <w:r w:rsidRPr="00730DE4">
              <w:rPr>
                <w:rStyle w:val="Strong"/>
              </w:rPr>
              <w:t xml:space="preserve">Customer and </w:t>
            </w:r>
            <w:r w:rsidRPr="00730DE4">
              <w:rPr>
                <w:rStyle w:val="Strong"/>
              </w:rPr>
              <w:br/>
              <w:t xml:space="preserve">Digital Group </w:t>
            </w:r>
            <w:r w:rsidRPr="00730DE4">
              <w:rPr>
                <w:rStyle w:val="Strong"/>
              </w:rPr>
              <w:br/>
            </w:r>
            <w:r w:rsidRPr="00730DE4">
              <w:rPr>
                <w:rStyle w:val="Strong"/>
              </w:rPr>
              <w:br/>
              <w:t xml:space="preserve">2024 </w:t>
            </w:r>
            <w:r w:rsidRPr="00730DE4">
              <w:rPr>
                <w:rStyle w:val="Strong"/>
              </w:rPr>
              <w:br/>
              <w:t>$'000</w:t>
            </w:r>
          </w:p>
        </w:tc>
        <w:tc>
          <w:tcPr>
            <w:tcW w:w="608" w:type="pct"/>
            <w:tcBorders>
              <w:top w:val="nil"/>
              <w:left w:val="nil"/>
              <w:bottom w:val="single" w:sz="4" w:space="0" w:color="auto"/>
              <w:right w:val="nil"/>
            </w:tcBorders>
            <w:shd w:val="clear" w:color="auto" w:fill="auto"/>
            <w:vAlign w:val="bottom"/>
            <w:hideMark/>
          </w:tcPr>
          <w:p w14:paraId="0322B8B3" w14:textId="77777777" w:rsidR="00730DE4" w:rsidRPr="00730DE4" w:rsidRDefault="00730DE4" w:rsidP="008354D6">
            <w:pPr>
              <w:pStyle w:val="NoSpacing"/>
              <w:jc w:val="right"/>
              <w:rPr>
                <w:b/>
                <w:bCs/>
              </w:rPr>
            </w:pPr>
            <w:r w:rsidRPr="00730DE4">
              <w:rPr>
                <w:rStyle w:val="Strong"/>
              </w:rPr>
              <w:t>CITEC</w:t>
            </w:r>
            <w:r w:rsidRPr="00730DE4">
              <w:rPr>
                <w:rStyle w:val="Strong"/>
              </w:rPr>
              <w:br/>
              <w:t xml:space="preserve"> </w:t>
            </w:r>
            <w:r w:rsidRPr="00730DE4">
              <w:rPr>
                <w:rStyle w:val="Strong"/>
              </w:rPr>
              <w:br/>
            </w:r>
            <w:r w:rsidRPr="00730DE4">
              <w:rPr>
                <w:rStyle w:val="Strong"/>
              </w:rPr>
              <w:br/>
              <w:t xml:space="preserve">2024 </w:t>
            </w:r>
            <w:r w:rsidRPr="00730DE4">
              <w:rPr>
                <w:rStyle w:val="Strong"/>
              </w:rPr>
              <w:br/>
              <w:t>$'000</w:t>
            </w:r>
          </w:p>
        </w:tc>
        <w:tc>
          <w:tcPr>
            <w:tcW w:w="608" w:type="pct"/>
            <w:tcBorders>
              <w:top w:val="nil"/>
              <w:left w:val="nil"/>
              <w:bottom w:val="single" w:sz="4" w:space="0" w:color="auto"/>
              <w:right w:val="nil"/>
            </w:tcBorders>
            <w:shd w:val="clear" w:color="auto" w:fill="auto"/>
            <w:vAlign w:val="bottom"/>
            <w:hideMark/>
          </w:tcPr>
          <w:p w14:paraId="66145F07" w14:textId="77777777" w:rsidR="00730DE4" w:rsidRPr="00730DE4" w:rsidRDefault="00730DE4" w:rsidP="008354D6">
            <w:pPr>
              <w:pStyle w:val="NoSpacing"/>
              <w:jc w:val="right"/>
              <w:rPr>
                <w:b/>
                <w:bCs/>
              </w:rPr>
            </w:pPr>
            <w:r w:rsidRPr="00730DE4">
              <w:rPr>
                <w:rStyle w:val="Strong"/>
              </w:rPr>
              <w:t xml:space="preserve">Queensland </w:t>
            </w:r>
            <w:r w:rsidRPr="00730DE4">
              <w:rPr>
                <w:rStyle w:val="Strong"/>
              </w:rPr>
              <w:br/>
              <w:t xml:space="preserve">Shared Services </w:t>
            </w:r>
            <w:r w:rsidRPr="00730DE4">
              <w:rPr>
                <w:rStyle w:val="Strong"/>
              </w:rPr>
              <w:br/>
            </w:r>
            <w:r w:rsidRPr="00730DE4">
              <w:rPr>
                <w:rStyle w:val="Strong"/>
              </w:rPr>
              <w:br/>
              <w:t xml:space="preserve">2024 </w:t>
            </w:r>
            <w:r w:rsidRPr="00730DE4">
              <w:rPr>
                <w:rStyle w:val="Strong"/>
              </w:rPr>
              <w:br/>
              <w:t>$'000</w:t>
            </w:r>
          </w:p>
        </w:tc>
        <w:tc>
          <w:tcPr>
            <w:tcW w:w="608" w:type="pct"/>
            <w:tcBorders>
              <w:top w:val="nil"/>
              <w:left w:val="nil"/>
              <w:bottom w:val="single" w:sz="4" w:space="0" w:color="auto"/>
              <w:right w:val="nil"/>
            </w:tcBorders>
            <w:shd w:val="clear" w:color="auto" w:fill="auto"/>
            <w:vAlign w:val="bottom"/>
            <w:hideMark/>
          </w:tcPr>
          <w:p w14:paraId="368E6BA2" w14:textId="77777777" w:rsidR="00730DE4" w:rsidRPr="00730DE4" w:rsidRDefault="00730DE4" w:rsidP="008354D6">
            <w:pPr>
              <w:pStyle w:val="NoSpacing"/>
              <w:jc w:val="right"/>
              <w:rPr>
                <w:b/>
                <w:bCs/>
              </w:rPr>
            </w:pPr>
            <w:r w:rsidRPr="00730DE4">
              <w:rPr>
                <w:rStyle w:val="Strong"/>
              </w:rPr>
              <w:t xml:space="preserve">Corporate </w:t>
            </w:r>
            <w:r w:rsidRPr="00730DE4">
              <w:rPr>
                <w:rStyle w:val="Strong"/>
              </w:rPr>
              <w:br/>
              <w:t xml:space="preserve">Administration Agency </w:t>
            </w:r>
            <w:r w:rsidRPr="00730DE4">
              <w:rPr>
                <w:rStyle w:val="Strong"/>
              </w:rPr>
              <w:br/>
            </w:r>
            <w:r w:rsidRPr="00730DE4">
              <w:rPr>
                <w:rStyle w:val="Strong"/>
              </w:rPr>
              <w:br/>
              <w:t xml:space="preserve">2024 </w:t>
            </w:r>
            <w:r w:rsidRPr="00730DE4">
              <w:rPr>
                <w:rStyle w:val="Strong"/>
              </w:rPr>
              <w:br/>
              <w:t>$'000</w:t>
            </w:r>
          </w:p>
        </w:tc>
        <w:tc>
          <w:tcPr>
            <w:tcW w:w="608" w:type="pct"/>
            <w:tcBorders>
              <w:top w:val="nil"/>
              <w:left w:val="nil"/>
              <w:bottom w:val="single" w:sz="4" w:space="0" w:color="auto"/>
              <w:right w:val="nil"/>
            </w:tcBorders>
            <w:shd w:val="clear" w:color="auto" w:fill="auto"/>
            <w:vAlign w:val="bottom"/>
            <w:hideMark/>
          </w:tcPr>
          <w:p w14:paraId="10C3F966" w14:textId="77777777" w:rsidR="00730DE4" w:rsidRPr="00730DE4" w:rsidRDefault="00730DE4" w:rsidP="008354D6">
            <w:pPr>
              <w:pStyle w:val="NoSpacing"/>
              <w:jc w:val="right"/>
              <w:rPr>
                <w:b/>
                <w:bCs/>
              </w:rPr>
            </w:pPr>
            <w:r w:rsidRPr="00730DE4">
              <w:rPr>
                <w:rStyle w:val="Strong"/>
              </w:rPr>
              <w:t>Inter-service/unit</w:t>
            </w:r>
            <w:r w:rsidRPr="00730DE4">
              <w:rPr>
                <w:rStyle w:val="Strong"/>
              </w:rPr>
              <w:br/>
              <w:t xml:space="preserve">eliminations </w:t>
            </w:r>
            <w:r w:rsidRPr="00730DE4">
              <w:rPr>
                <w:rStyle w:val="Strong"/>
              </w:rPr>
              <w:br/>
            </w:r>
            <w:r w:rsidRPr="00730DE4">
              <w:rPr>
                <w:rStyle w:val="Strong"/>
              </w:rPr>
              <w:br/>
              <w:t xml:space="preserve">2024 </w:t>
            </w:r>
            <w:r w:rsidRPr="00730DE4">
              <w:rPr>
                <w:rStyle w:val="Strong"/>
              </w:rPr>
              <w:br/>
              <w:t>$'000</w:t>
            </w:r>
          </w:p>
        </w:tc>
        <w:tc>
          <w:tcPr>
            <w:tcW w:w="608" w:type="pct"/>
            <w:tcBorders>
              <w:top w:val="nil"/>
              <w:left w:val="nil"/>
              <w:bottom w:val="single" w:sz="4" w:space="0" w:color="auto"/>
              <w:right w:val="nil"/>
            </w:tcBorders>
            <w:shd w:val="clear" w:color="auto" w:fill="auto"/>
            <w:vAlign w:val="bottom"/>
            <w:hideMark/>
          </w:tcPr>
          <w:p w14:paraId="494385D6" w14:textId="77777777" w:rsidR="00730DE4" w:rsidRPr="00730DE4" w:rsidRDefault="00730DE4" w:rsidP="008354D6">
            <w:pPr>
              <w:pStyle w:val="NoSpacing"/>
              <w:jc w:val="right"/>
              <w:rPr>
                <w:rStyle w:val="Strong"/>
              </w:rPr>
            </w:pPr>
            <w:r w:rsidRPr="00730DE4">
              <w:rPr>
                <w:rStyle w:val="Strong"/>
              </w:rPr>
              <w:t>Total</w:t>
            </w:r>
            <w:r w:rsidRPr="00730DE4">
              <w:rPr>
                <w:rStyle w:val="Strong"/>
              </w:rPr>
              <w:br/>
              <w:t xml:space="preserve">Department </w:t>
            </w:r>
            <w:r w:rsidRPr="00730DE4">
              <w:rPr>
                <w:rStyle w:val="Strong"/>
              </w:rPr>
              <w:br/>
            </w:r>
            <w:r w:rsidRPr="00730DE4">
              <w:rPr>
                <w:rStyle w:val="Strong"/>
              </w:rPr>
              <w:br/>
              <w:t xml:space="preserve">2024 </w:t>
            </w:r>
            <w:r w:rsidRPr="00730DE4">
              <w:rPr>
                <w:rStyle w:val="Strong"/>
              </w:rPr>
              <w:br/>
              <w:t>$'000</w:t>
            </w:r>
          </w:p>
        </w:tc>
      </w:tr>
      <w:tr w:rsidR="00730DE4" w:rsidRPr="00730DE4" w14:paraId="43FAF8EB" w14:textId="77777777" w:rsidTr="00D15008">
        <w:trPr>
          <w:trHeight w:val="454"/>
        </w:trPr>
        <w:tc>
          <w:tcPr>
            <w:tcW w:w="1352"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vAlign w:val="bottom"/>
          </w:tcPr>
          <w:p w14:paraId="3F9C3106" w14:textId="77777777" w:rsidR="00730DE4" w:rsidRPr="00730DE4" w:rsidRDefault="00730DE4" w:rsidP="008354D6">
            <w:pPr>
              <w:pStyle w:val="NoSpacing"/>
            </w:pPr>
            <w:r w:rsidRPr="00730DE4">
              <w:rPr>
                <w:rStyle w:val="Strong"/>
              </w:rPr>
              <w:t>Assets</w:t>
            </w: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66119A34" w14:textId="77777777" w:rsidR="00730DE4" w:rsidRPr="00730DE4" w:rsidRDefault="00730DE4" w:rsidP="008354D6">
            <w:pPr>
              <w:pStyle w:val="NoSpacing"/>
              <w:jc w:val="right"/>
            </w:pP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4C55B3BA" w14:textId="77777777" w:rsidR="00730DE4" w:rsidRPr="00730DE4" w:rsidRDefault="00730DE4" w:rsidP="008354D6">
            <w:pPr>
              <w:pStyle w:val="NoSpacing"/>
              <w:jc w:val="right"/>
            </w:pP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0EDCC38F" w14:textId="77777777" w:rsidR="00730DE4" w:rsidRPr="00730DE4" w:rsidRDefault="00730DE4" w:rsidP="008354D6">
            <w:pPr>
              <w:pStyle w:val="NoSpacing"/>
              <w:jc w:val="right"/>
            </w:pP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46470862" w14:textId="77777777" w:rsidR="00730DE4" w:rsidRPr="00730DE4" w:rsidRDefault="00730DE4" w:rsidP="008354D6">
            <w:pPr>
              <w:pStyle w:val="NoSpacing"/>
              <w:jc w:val="right"/>
            </w:pP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2E1983B9" w14:textId="77777777" w:rsidR="00730DE4" w:rsidRPr="00730DE4" w:rsidRDefault="00730DE4" w:rsidP="008354D6">
            <w:pPr>
              <w:pStyle w:val="NoSpacing"/>
              <w:jc w:val="right"/>
            </w:pPr>
          </w:p>
        </w:tc>
        <w:tc>
          <w:tcPr>
            <w:tcW w:w="608"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tcPr>
          <w:p w14:paraId="23DF2E2B" w14:textId="77777777" w:rsidR="00730DE4" w:rsidRPr="00730DE4" w:rsidRDefault="00730DE4" w:rsidP="008354D6">
            <w:pPr>
              <w:pStyle w:val="NoSpacing"/>
              <w:jc w:val="right"/>
              <w:rPr>
                <w:rStyle w:val="Strong"/>
              </w:rPr>
            </w:pPr>
          </w:p>
        </w:tc>
      </w:tr>
      <w:tr w:rsidR="00730DE4" w:rsidRPr="00730DE4" w14:paraId="6AC9EAAE" w14:textId="77777777" w:rsidTr="00D15008">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0E2C2C49" w14:textId="77777777" w:rsidR="00730DE4" w:rsidRPr="00730DE4" w:rsidRDefault="00730DE4" w:rsidP="008354D6">
            <w:pPr>
              <w:pStyle w:val="NoSpacing"/>
            </w:pPr>
            <w:r w:rsidRPr="00730DE4">
              <w:rPr>
                <w:rStyle w:val="Strong"/>
              </w:rPr>
              <w:t>Current assets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4FABA8FC" w14:textId="77777777" w:rsidR="00730DE4" w:rsidRPr="00730DE4" w:rsidRDefault="00730DE4" w:rsidP="008354D6">
            <w:pPr>
              <w:pStyle w:val="NoSpacing"/>
              <w:jc w:val="right"/>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077EBBCB" w14:textId="77777777" w:rsidR="00730DE4" w:rsidRPr="00730DE4" w:rsidRDefault="00730DE4" w:rsidP="008354D6">
            <w:pPr>
              <w:pStyle w:val="NoSpacing"/>
              <w:jc w:val="right"/>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23F711F8" w14:textId="77777777" w:rsidR="00730DE4" w:rsidRPr="00730DE4" w:rsidRDefault="00730DE4" w:rsidP="008354D6">
            <w:pPr>
              <w:pStyle w:val="NoSpacing"/>
              <w:jc w:val="right"/>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58792BE9" w14:textId="77777777" w:rsidR="00730DE4" w:rsidRPr="00730DE4" w:rsidRDefault="00730DE4" w:rsidP="008354D6">
            <w:pPr>
              <w:pStyle w:val="NoSpacing"/>
              <w:jc w:val="right"/>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3B967B29" w14:textId="77777777" w:rsidR="00730DE4" w:rsidRPr="00730DE4" w:rsidRDefault="00730DE4" w:rsidP="008354D6">
            <w:pPr>
              <w:pStyle w:val="NoSpacing"/>
              <w:jc w:val="right"/>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tcPr>
          <w:p w14:paraId="16FFB4DB" w14:textId="77777777" w:rsidR="00730DE4" w:rsidRPr="00730DE4" w:rsidRDefault="00730DE4" w:rsidP="008354D6">
            <w:pPr>
              <w:pStyle w:val="NoSpacing"/>
              <w:jc w:val="right"/>
              <w:rPr>
                <w:rStyle w:val="Strong"/>
              </w:rPr>
            </w:pPr>
          </w:p>
        </w:tc>
      </w:tr>
      <w:tr w:rsidR="00730DE4" w:rsidRPr="00730DE4" w14:paraId="2A0EFAEB" w14:textId="77777777" w:rsidTr="00D15008">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5F3D0D18" w14:textId="77777777" w:rsidR="00730DE4" w:rsidRPr="00730DE4" w:rsidRDefault="00730DE4" w:rsidP="00F50AA9">
            <w:pPr>
              <w:pStyle w:val="NoSpacingIndent"/>
            </w:pPr>
            <w:r w:rsidRPr="00730DE4">
              <w:t>Cash</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442C4389" w14:textId="77777777" w:rsidR="00730DE4" w:rsidRPr="00730DE4" w:rsidRDefault="00730DE4" w:rsidP="008354D6">
            <w:pPr>
              <w:pStyle w:val="NoSpacing"/>
              <w:jc w:val="right"/>
            </w:pPr>
            <w:r w:rsidRPr="00730DE4">
              <w:t xml:space="preserve">51,209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7127B53C" w14:textId="77777777" w:rsidR="00730DE4" w:rsidRPr="00730DE4" w:rsidRDefault="00730DE4" w:rsidP="008354D6">
            <w:pPr>
              <w:pStyle w:val="NoSpacing"/>
              <w:jc w:val="right"/>
            </w:pPr>
            <w:r w:rsidRPr="00730DE4">
              <w:t xml:space="preserve">20,572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1B60B02A" w14:textId="77777777" w:rsidR="00730DE4" w:rsidRPr="00730DE4" w:rsidRDefault="00730DE4" w:rsidP="008354D6">
            <w:pPr>
              <w:pStyle w:val="NoSpacing"/>
              <w:jc w:val="right"/>
            </w:pPr>
            <w:r w:rsidRPr="00730DE4">
              <w:t xml:space="preserve">52,957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67530E5A" w14:textId="77777777" w:rsidR="00730DE4" w:rsidRPr="00730DE4" w:rsidRDefault="00730DE4" w:rsidP="008354D6">
            <w:pPr>
              <w:pStyle w:val="NoSpacing"/>
              <w:jc w:val="right"/>
            </w:pPr>
            <w:r w:rsidRPr="00730DE4">
              <w:t xml:space="preserve">2,594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785A7D64"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tcPr>
          <w:p w14:paraId="42895858" w14:textId="77777777" w:rsidR="00730DE4" w:rsidRPr="00730DE4" w:rsidRDefault="00730DE4" w:rsidP="008354D6">
            <w:pPr>
              <w:pStyle w:val="NoSpacing"/>
              <w:jc w:val="right"/>
              <w:rPr>
                <w:rStyle w:val="Strong"/>
              </w:rPr>
            </w:pPr>
            <w:r w:rsidRPr="00730DE4">
              <w:rPr>
                <w:rStyle w:val="Strong"/>
              </w:rPr>
              <w:t xml:space="preserve">382,058 </w:t>
            </w:r>
          </w:p>
        </w:tc>
      </w:tr>
      <w:tr w:rsidR="00730DE4" w:rsidRPr="00730DE4" w14:paraId="7B95FA34" w14:textId="77777777" w:rsidTr="00D15008">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1BBCBFC6" w14:textId="77777777" w:rsidR="00730DE4" w:rsidRPr="00730DE4" w:rsidRDefault="00730DE4" w:rsidP="00F50AA9">
            <w:pPr>
              <w:pStyle w:val="NoSpacingIndent"/>
            </w:pPr>
            <w:r w:rsidRPr="00730DE4">
              <w:t>Receivables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315BD76" w14:textId="77777777" w:rsidR="00730DE4" w:rsidRPr="00730DE4" w:rsidRDefault="00730DE4" w:rsidP="008354D6">
            <w:pPr>
              <w:pStyle w:val="NoSpacing"/>
              <w:jc w:val="right"/>
            </w:pPr>
            <w:r w:rsidRPr="00730DE4">
              <w:t xml:space="preserve">18,051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41229FD" w14:textId="77777777" w:rsidR="00730DE4" w:rsidRPr="00730DE4" w:rsidRDefault="00730DE4" w:rsidP="008354D6">
            <w:pPr>
              <w:pStyle w:val="NoSpacing"/>
              <w:jc w:val="right"/>
            </w:pPr>
            <w:r w:rsidRPr="00730DE4">
              <w:t xml:space="preserve">16,989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7E1ABC0" w14:textId="77777777" w:rsidR="00730DE4" w:rsidRPr="00730DE4" w:rsidRDefault="00730DE4" w:rsidP="008354D6">
            <w:pPr>
              <w:pStyle w:val="NoSpacing"/>
              <w:jc w:val="right"/>
            </w:pPr>
            <w:r w:rsidRPr="00730DE4">
              <w:t xml:space="preserve">11,214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7869A40" w14:textId="77777777" w:rsidR="00730DE4" w:rsidRPr="00730DE4" w:rsidRDefault="00730DE4" w:rsidP="008354D6">
            <w:pPr>
              <w:pStyle w:val="NoSpacing"/>
              <w:jc w:val="right"/>
            </w:pPr>
            <w:r w:rsidRPr="00730DE4">
              <w:t xml:space="preserve">1,122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1D85741" w14:textId="77777777" w:rsidR="00730DE4" w:rsidRPr="00730DE4" w:rsidRDefault="00730DE4" w:rsidP="008354D6">
            <w:pPr>
              <w:pStyle w:val="NoSpacing"/>
              <w:jc w:val="right"/>
            </w:pPr>
            <w:r w:rsidRPr="00730DE4">
              <w:t>(76,939)</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03980F77" w14:textId="77777777" w:rsidR="00730DE4" w:rsidRPr="00730DE4" w:rsidRDefault="00730DE4" w:rsidP="008354D6">
            <w:pPr>
              <w:pStyle w:val="NoSpacing"/>
              <w:jc w:val="right"/>
              <w:rPr>
                <w:rStyle w:val="Strong"/>
              </w:rPr>
            </w:pPr>
            <w:r w:rsidRPr="00730DE4">
              <w:rPr>
                <w:rStyle w:val="Strong"/>
              </w:rPr>
              <w:t xml:space="preserve">504,767 </w:t>
            </w:r>
          </w:p>
        </w:tc>
      </w:tr>
      <w:tr w:rsidR="00730DE4" w:rsidRPr="00730DE4" w14:paraId="2F93559C" w14:textId="77777777" w:rsidTr="00D15008">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43ACA303" w14:textId="77777777" w:rsidR="00730DE4" w:rsidRPr="00730DE4" w:rsidRDefault="00730DE4" w:rsidP="00F50AA9">
            <w:pPr>
              <w:pStyle w:val="NoSpacingIndent"/>
            </w:pPr>
            <w:r w:rsidRPr="00730DE4">
              <w:t>Inventories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0F68953"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CFF09D3"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F28A0DD"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4B04DD9"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AA75893" w14:textId="77777777" w:rsidR="00730DE4" w:rsidRPr="00730DE4" w:rsidRDefault="00730DE4" w:rsidP="008354D6">
            <w:pPr>
              <w:pStyle w:val="NoSpacing"/>
              <w:jc w:val="right"/>
            </w:pPr>
            <w:r w:rsidRPr="00730DE4">
              <w:t>(93,068)</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50FDB19B" w14:textId="77777777" w:rsidR="00730DE4" w:rsidRPr="00730DE4" w:rsidRDefault="00730DE4" w:rsidP="008354D6">
            <w:pPr>
              <w:pStyle w:val="NoSpacing"/>
              <w:jc w:val="right"/>
              <w:rPr>
                <w:rStyle w:val="Strong"/>
              </w:rPr>
            </w:pPr>
            <w:r w:rsidRPr="00730DE4">
              <w:rPr>
                <w:rStyle w:val="Strong"/>
              </w:rPr>
              <w:t xml:space="preserve">20,128 </w:t>
            </w:r>
          </w:p>
        </w:tc>
      </w:tr>
      <w:tr w:rsidR="00730DE4" w:rsidRPr="00730DE4" w14:paraId="6C06B074" w14:textId="77777777" w:rsidTr="00D15008">
        <w:trPr>
          <w:trHeight w:val="198"/>
        </w:trPr>
        <w:tc>
          <w:tcPr>
            <w:tcW w:w="1352"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vAlign w:val="bottom"/>
          </w:tcPr>
          <w:p w14:paraId="42481465" w14:textId="77777777" w:rsidR="00730DE4" w:rsidRPr="00730DE4" w:rsidRDefault="00730DE4" w:rsidP="00F50AA9">
            <w:pPr>
              <w:pStyle w:val="NoSpacingIndent"/>
            </w:pPr>
            <w:r w:rsidRPr="00730DE4">
              <w:t>Prepayments</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62432E8C" w14:textId="77777777" w:rsidR="00730DE4" w:rsidRPr="00730DE4" w:rsidRDefault="00730DE4" w:rsidP="008354D6">
            <w:pPr>
              <w:pStyle w:val="NoSpacing"/>
              <w:jc w:val="right"/>
            </w:pPr>
            <w:r w:rsidRPr="00730DE4">
              <w:t xml:space="preserve">4,678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465D921E" w14:textId="77777777" w:rsidR="00730DE4" w:rsidRPr="00730DE4" w:rsidRDefault="00730DE4" w:rsidP="008354D6">
            <w:pPr>
              <w:pStyle w:val="NoSpacing"/>
              <w:jc w:val="right"/>
            </w:pPr>
            <w:r w:rsidRPr="00730DE4">
              <w:t xml:space="preserve">8,108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0EBB59E6" w14:textId="77777777" w:rsidR="00730DE4" w:rsidRPr="00730DE4" w:rsidRDefault="00730DE4" w:rsidP="008354D6">
            <w:pPr>
              <w:pStyle w:val="NoSpacing"/>
              <w:jc w:val="right"/>
            </w:pPr>
            <w:r w:rsidRPr="00730DE4">
              <w:t xml:space="preserve">1,413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44748D98" w14:textId="77777777" w:rsidR="00730DE4" w:rsidRPr="00730DE4" w:rsidRDefault="00730DE4" w:rsidP="008354D6">
            <w:pPr>
              <w:pStyle w:val="NoSpacing"/>
              <w:jc w:val="right"/>
            </w:pPr>
            <w:r w:rsidRPr="00730DE4">
              <w:t xml:space="preserve">984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4668CD2C"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F2F2F2" w:themeFill="background1" w:themeFillShade="F2"/>
            <w:noWrap/>
            <w:vAlign w:val="bottom"/>
            <w:hideMark/>
          </w:tcPr>
          <w:p w14:paraId="3D93D95E" w14:textId="77777777" w:rsidR="00730DE4" w:rsidRPr="00730DE4" w:rsidRDefault="00730DE4" w:rsidP="008354D6">
            <w:pPr>
              <w:pStyle w:val="NoSpacing"/>
              <w:jc w:val="right"/>
              <w:rPr>
                <w:rStyle w:val="Strong"/>
              </w:rPr>
            </w:pPr>
            <w:r w:rsidRPr="00730DE4">
              <w:rPr>
                <w:rStyle w:val="Strong"/>
              </w:rPr>
              <w:t xml:space="preserve">75,576 </w:t>
            </w:r>
          </w:p>
        </w:tc>
      </w:tr>
      <w:tr w:rsidR="00730DE4" w:rsidRPr="00730DE4" w14:paraId="23557B36" w14:textId="77777777" w:rsidTr="00945B65">
        <w:tc>
          <w:tcPr>
            <w:tcW w:w="1352"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tcPr>
          <w:p w14:paraId="57AC5304" w14:textId="77777777" w:rsidR="00730DE4" w:rsidRPr="00730DE4" w:rsidRDefault="00730DE4" w:rsidP="00F50AA9">
            <w:pPr>
              <w:pStyle w:val="NoSpacingIndent"/>
              <w:rPr>
                <w:rStyle w:val="Strong"/>
              </w:rPr>
            </w:pPr>
            <w:r w:rsidRPr="00730DE4">
              <w:rPr>
                <w:rStyle w:val="Strong"/>
              </w:rPr>
              <w:t>Total current assets</w:t>
            </w: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08F9AA7B" w14:textId="77777777" w:rsidR="00730DE4" w:rsidRPr="00730DE4" w:rsidRDefault="00730DE4" w:rsidP="00F50AA9">
            <w:pPr>
              <w:pStyle w:val="NoSpacing"/>
              <w:jc w:val="right"/>
              <w:rPr>
                <w:b/>
                <w:bCs/>
              </w:rPr>
            </w:pPr>
            <w:r w:rsidRPr="00730DE4">
              <w:rPr>
                <w:rStyle w:val="Strong"/>
              </w:rPr>
              <w:t xml:space="preserve">73,938 </w:t>
            </w: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6D0DE4FB" w14:textId="77777777" w:rsidR="00730DE4" w:rsidRPr="00730DE4" w:rsidRDefault="00730DE4" w:rsidP="00F50AA9">
            <w:pPr>
              <w:pStyle w:val="NoSpacing"/>
              <w:jc w:val="right"/>
              <w:rPr>
                <w:b/>
                <w:bCs/>
              </w:rPr>
            </w:pPr>
            <w:r w:rsidRPr="00730DE4">
              <w:rPr>
                <w:rStyle w:val="Strong"/>
              </w:rPr>
              <w:t xml:space="preserve">45,669 </w:t>
            </w: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49166925" w14:textId="77777777" w:rsidR="00730DE4" w:rsidRPr="00730DE4" w:rsidRDefault="00730DE4" w:rsidP="00F50AA9">
            <w:pPr>
              <w:pStyle w:val="NoSpacing"/>
              <w:jc w:val="right"/>
              <w:rPr>
                <w:b/>
                <w:bCs/>
              </w:rPr>
            </w:pPr>
            <w:r w:rsidRPr="00730DE4">
              <w:rPr>
                <w:rStyle w:val="Strong"/>
              </w:rPr>
              <w:t xml:space="preserve">65,584 </w:t>
            </w: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7BCC82EF" w14:textId="77777777" w:rsidR="00730DE4" w:rsidRPr="00730DE4" w:rsidRDefault="00730DE4" w:rsidP="00F50AA9">
            <w:pPr>
              <w:pStyle w:val="NoSpacing"/>
              <w:jc w:val="right"/>
              <w:rPr>
                <w:b/>
                <w:bCs/>
              </w:rPr>
            </w:pPr>
            <w:r w:rsidRPr="00730DE4">
              <w:rPr>
                <w:rStyle w:val="Strong"/>
              </w:rPr>
              <w:t xml:space="preserve">4,700 </w:t>
            </w: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6FC80A80" w14:textId="77777777" w:rsidR="00730DE4" w:rsidRPr="00730DE4" w:rsidRDefault="00730DE4" w:rsidP="00F50AA9">
            <w:pPr>
              <w:pStyle w:val="NoSpacing"/>
              <w:jc w:val="right"/>
              <w:rPr>
                <w:b/>
                <w:bCs/>
              </w:rPr>
            </w:pPr>
            <w:r w:rsidRPr="00730DE4">
              <w:rPr>
                <w:rStyle w:val="Strong"/>
              </w:rPr>
              <w:t>(170,007)</w:t>
            </w:r>
          </w:p>
        </w:tc>
        <w:tc>
          <w:tcPr>
            <w:tcW w:w="608"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F2F2F2" w:themeFill="background1" w:themeFillShade="F2"/>
            <w:noWrap/>
            <w:hideMark/>
          </w:tcPr>
          <w:p w14:paraId="6847BE1E" w14:textId="77777777" w:rsidR="00730DE4" w:rsidRPr="00730DE4" w:rsidRDefault="00730DE4" w:rsidP="00F50AA9">
            <w:pPr>
              <w:pStyle w:val="NoSpacing"/>
              <w:jc w:val="right"/>
              <w:rPr>
                <w:rStyle w:val="Strong"/>
              </w:rPr>
            </w:pPr>
            <w:r w:rsidRPr="00730DE4">
              <w:rPr>
                <w:rStyle w:val="Strong"/>
              </w:rPr>
              <w:t xml:space="preserve">982,529 </w:t>
            </w:r>
          </w:p>
        </w:tc>
      </w:tr>
      <w:tr w:rsidR="00730DE4" w:rsidRPr="00730DE4" w14:paraId="2B44EC77" w14:textId="77777777" w:rsidTr="00D15008">
        <w:trPr>
          <w:trHeight w:val="340"/>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21649931" w14:textId="77777777" w:rsidR="00730DE4" w:rsidRPr="00730DE4" w:rsidRDefault="00730DE4" w:rsidP="008354D6">
            <w:pPr>
              <w:pStyle w:val="NoSpacing"/>
              <w:rPr>
                <w:rStyle w:val="Strong"/>
              </w:rPr>
            </w:pPr>
            <w:r w:rsidRPr="00730DE4">
              <w:rPr>
                <w:rStyle w:val="Strong"/>
              </w:rPr>
              <w:t>Non-current assets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2B55A6B9" w14:textId="77777777" w:rsidR="00730DE4" w:rsidRPr="00730DE4" w:rsidRDefault="00730DE4" w:rsidP="008354D6">
            <w:pPr>
              <w:pStyle w:val="NoSpacing"/>
              <w:jc w:val="right"/>
              <w:rPr>
                <w:rStyle w:val="Strong"/>
              </w:rPr>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0FE9CA59" w14:textId="77777777" w:rsidR="00730DE4" w:rsidRPr="00730DE4" w:rsidRDefault="00730DE4" w:rsidP="008354D6">
            <w:pPr>
              <w:pStyle w:val="NoSpacing"/>
              <w:jc w:val="right"/>
              <w:rPr>
                <w:rStyle w:val="Strong"/>
              </w:rPr>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17046238" w14:textId="77777777" w:rsidR="00730DE4" w:rsidRPr="00730DE4" w:rsidRDefault="00730DE4" w:rsidP="008354D6">
            <w:pPr>
              <w:pStyle w:val="NoSpacing"/>
              <w:jc w:val="right"/>
              <w:rPr>
                <w:rStyle w:val="Strong"/>
              </w:rPr>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1E38C66D" w14:textId="77777777" w:rsidR="00730DE4" w:rsidRPr="00730DE4" w:rsidRDefault="00730DE4" w:rsidP="008354D6">
            <w:pPr>
              <w:pStyle w:val="NoSpacing"/>
              <w:jc w:val="right"/>
              <w:rPr>
                <w:rStyle w:val="Strong"/>
              </w:rPr>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03211366" w14:textId="77777777" w:rsidR="00730DE4" w:rsidRPr="00730DE4" w:rsidRDefault="00730DE4" w:rsidP="008354D6">
            <w:pPr>
              <w:pStyle w:val="NoSpacing"/>
              <w:jc w:val="right"/>
              <w:rPr>
                <w:rStyle w:val="Strong"/>
              </w:rPr>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tcPr>
          <w:p w14:paraId="26F1F4B1" w14:textId="77777777" w:rsidR="00730DE4" w:rsidRPr="00730DE4" w:rsidRDefault="00730DE4" w:rsidP="008354D6">
            <w:pPr>
              <w:pStyle w:val="NoSpacing"/>
              <w:jc w:val="right"/>
              <w:rPr>
                <w:rStyle w:val="Strong"/>
              </w:rPr>
            </w:pPr>
          </w:p>
        </w:tc>
      </w:tr>
      <w:tr w:rsidR="00730DE4" w:rsidRPr="00730DE4" w14:paraId="00C32180" w14:textId="77777777" w:rsidTr="00D15008">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0E306AA0" w14:textId="77777777" w:rsidR="00730DE4" w:rsidRPr="00730DE4" w:rsidRDefault="00730DE4" w:rsidP="00F50AA9">
            <w:pPr>
              <w:pStyle w:val="NoSpacingIndent"/>
            </w:pPr>
            <w:r w:rsidRPr="00730DE4">
              <w:t>Receivables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27723FC"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FAC6CA9"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4D181CF"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46DCA0D"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2ED2546" w14:textId="77777777" w:rsidR="00730DE4" w:rsidRPr="00730DE4" w:rsidRDefault="00730DE4" w:rsidP="008354D6">
            <w:pPr>
              <w:pStyle w:val="NoSpacing"/>
              <w:jc w:val="right"/>
            </w:pPr>
            <w:r w:rsidRPr="00730DE4">
              <w:t>(19,000)</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7EBBAC04" w14:textId="77777777" w:rsidR="00730DE4" w:rsidRPr="00730DE4" w:rsidRDefault="00730DE4" w:rsidP="008354D6">
            <w:pPr>
              <w:pStyle w:val="NoSpacing"/>
              <w:jc w:val="right"/>
              <w:rPr>
                <w:rStyle w:val="Strong"/>
              </w:rPr>
            </w:pPr>
            <w:r w:rsidRPr="00730DE4">
              <w:rPr>
                <w:rStyle w:val="Strong"/>
              </w:rPr>
              <w:t xml:space="preserve">3,452 </w:t>
            </w:r>
          </w:p>
        </w:tc>
      </w:tr>
      <w:tr w:rsidR="00730DE4" w:rsidRPr="00730DE4" w14:paraId="7F38F0F2" w14:textId="77777777" w:rsidTr="00D15008">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58E8CB58" w14:textId="77777777" w:rsidR="00730DE4" w:rsidRPr="00730DE4" w:rsidRDefault="00730DE4" w:rsidP="00F50AA9">
            <w:pPr>
              <w:pStyle w:val="NoSpacingIndent"/>
            </w:pPr>
            <w:r w:rsidRPr="00730DE4">
              <w:t>Prepayments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5CDD060" w14:textId="77777777" w:rsidR="00730DE4" w:rsidRPr="00730DE4" w:rsidRDefault="00730DE4" w:rsidP="008354D6">
            <w:pPr>
              <w:pStyle w:val="NoSpacing"/>
              <w:jc w:val="right"/>
            </w:pPr>
            <w:r w:rsidRPr="00730DE4">
              <w:t xml:space="preserve">667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3BFDD45" w14:textId="77777777" w:rsidR="00730DE4" w:rsidRPr="00730DE4" w:rsidRDefault="00730DE4" w:rsidP="008354D6">
            <w:pPr>
              <w:pStyle w:val="NoSpacing"/>
              <w:jc w:val="right"/>
            </w:pPr>
            <w:r w:rsidRPr="00730DE4">
              <w:t xml:space="preserve">1,208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2989D93"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3E1CD78"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8944FDC"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0CC8678B" w14:textId="77777777" w:rsidR="00730DE4" w:rsidRPr="00730DE4" w:rsidRDefault="00730DE4" w:rsidP="008354D6">
            <w:pPr>
              <w:pStyle w:val="NoSpacing"/>
              <w:jc w:val="right"/>
              <w:rPr>
                <w:rStyle w:val="Strong"/>
              </w:rPr>
            </w:pPr>
            <w:r w:rsidRPr="00730DE4">
              <w:rPr>
                <w:rStyle w:val="Strong"/>
              </w:rPr>
              <w:t xml:space="preserve">75,086 </w:t>
            </w:r>
          </w:p>
        </w:tc>
      </w:tr>
      <w:tr w:rsidR="00730DE4" w:rsidRPr="00730DE4" w14:paraId="06B72EA4" w14:textId="77777777" w:rsidTr="00D15008">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46806F9F" w14:textId="77777777" w:rsidR="00730DE4" w:rsidRPr="00730DE4" w:rsidRDefault="00730DE4" w:rsidP="00F50AA9">
            <w:pPr>
              <w:pStyle w:val="NoSpacingIndent"/>
            </w:pPr>
            <w:r w:rsidRPr="00730DE4">
              <w:t>Intangible assets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846FC68" w14:textId="77777777" w:rsidR="00730DE4" w:rsidRPr="00730DE4" w:rsidRDefault="00730DE4" w:rsidP="008354D6">
            <w:pPr>
              <w:pStyle w:val="NoSpacing"/>
              <w:jc w:val="right"/>
            </w:pPr>
            <w:r w:rsidRPr="00730DE4">
              <w:t xml:space="preserve">503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64DECDB" w14:textId="77777777" w:rsidR="00730DE4" w:rsidRPr="00730DE4" w:rsidRDefault="00730DE4" w:rsidP="008354D6">
            <w:pPr>
              <w:pStyle w:val="NoSpacing"/>
              <w:jc w:val="right"/>
            </w:pPr>
            <w:r w:rsidRPr="00730DE4">
              <w:t xml:space="preserve">1,849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6848DE9" w14:textId="77777777" w:rsidR="00730DE4" w:rsidRPr="00730DE4" w:rsidRDefault="00730DE4" w:rsidP="008354D6">
            <w:pPr>
              <w:pStyle w:val="NoSpacing"/>
              <w:jc w:val="right"/>
            </w:pPr>
            <w:r w:rsidRPr="00730DE4">
              <w:t xml:space="preserve">3,720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6450341"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09AA5C4"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17D5F8D1" w14:textId="77777777" w:rsidR="00730DE4" w:rsidRPr="00730DE4" w:rsidRDefault="00730DE4" w:rsidP="008354D6">
            <w:pPr>
              <w:pStyle w:val="NoSpacing"/>
              <w:jc w:val="right"/>
              <w:rPr>
                <w:rStyle w:val="Strong"/>
              </w:rPr>
            </w:pPr>
            <w:r w:rsidRPr="00730DE4">
              <w:rPr>
                <w:rStyle w:val="Strong"/>
              </w:rPr>
              <w:t xml:space="preserve">57,901 </w:t>
            </w:r>
          </w:p>
        </w:tc>
      </w:tr>
      <w:tr w:rsidR="00730DE4" w:rsidRPr="00730DE4" w14:paraId="3D489FB4" w14:textId="77777777" w:rsidTr="00D15008">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3C84EC58" w14:textId="77777777" w:rsidR="00730DE4" w:rsidRPr="00730DE4" w:rsidRDefault="00730DE4" w:rsidP="00F50AA9">
            <w:pPr>
              <w:pStyle w:val="NoSpacingIndent"/>
            </w:pPr>
            <w:r w:rsidRPr="00730DE4">
              <w:t>Property, plant and equipment</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26BD099" w14:textId="77777777" w:rsidR="00730DE4" w:rsidRPr="00730DE4" w:rsidRDefault="00730DE4" w:rsidP="008354D6">
            <w:pPr>
              <w:pStyle w:val="NoSpacing"/>
              <w:jc w:val="right"/>
            </w:pPr>
            <w:r w:rsidRPr="00730DE4">
              <w:t xml:space="preserve">945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D2E5540" w14:textId="77777777" w:rsidR="00730DE4" w:rsidRPr="00730DE4" w:rsidRDefault="00730DE4" w:rsidP="008354D6">
            <w:pPr>
              <w:pStyle w:val="NoSpacing"/>
              <w:jc w:val="right"/>
            </w:pPr>
            <w:r w:rsidRPr="00730DE4">
              <w:t xml:space="preserve">12,428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5893FA8" w14:textId="77777777" w:rsidR="00730DE4" w:rsidRPr="00730DE4" w:rsidRDefault="00730DE4" w:rsidP="008354D6">
            <w:pPr>
              <w:pStyle w:val="NoSpacing"/>
              <w:jc w:val="right"/>
            </w:pPr>
            <w:r w:rsidRPr="00730DE4">
              <w:t xml:space="preserve">295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D5BEDD8"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AC03AD5"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0B9DBC2C" w14:textId="77777777" w:rsidR="00730DE4" w:rsidRPr="00730DE4" w:rsidRDefault="00730DE4" w:rsidP="008354D6">
            <w:pPr>
              <w:pStyle w:val="NoSpacing"/>
              <w:jc w:val="right"/>
              <w:rPr>
                <w:rStyle w:val="Strong"/>
              </w:rPr>
            </w:pPr>
            <w:r w:rsidRPr="00730DE4">
              <w:rPr>
                <w:rStyle w:val="Strong"/>
              </w:rPr>
              <w:t xml:space="preserve">109,819,852 </w:t>
            </w:r>
          </w:p>
        </w:tc>
      </w:tr>
      <w:tr w:rsidR="00730DE4" w:rsidRPr="00730DE4" w14:paraId="22713345" w14:textId="77777777" w:rsidTr="00D15008">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26238D51" w14:textId="77777777" w:rsidR="00730DE4" w:rsidRPr="00730DE4" w:rsidRDefault="00730DE4" w:rsidP="00F50AA9">
            <w:pPr>
              <w:pStyle w:val="NoSpacingIndent"/>
            </w:pPr>
            <w:r w:rsidRPr="00730DE4">
              <w:t>Service concession assets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CF1167F"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7F8D736"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064FA9F"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CEF94F4"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E3243C2"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295E51B4" w14:textId="77777777" w:rsidR="00730DE4" w:rsidRPr="00730DE4" w:rsidRDefault="00730DE4" w:rsidP="008354D6">
            <w:pPr>
              <w:pStyle w:val="NoSpacing"/>
              <w:jc w:val="right"/>
              <w:rPr>
                <w:rStyle w:val="Strong"/>
              </w:rPr>
            </w:pPr>
            <w:r w:rsidRPr="00730DE4">
              <w:rPr>
                <w:rStyle w:val="Strong"/>
              </w:rPr>
              <w:t xml:space="preserve">15,077,913 </w:t>
            </w:r>
          </w:p>
        </w:tc>
      </w:tr>
      <w:tr w:rsidR="00730DE4" w:rsidRPr="00730DE4" w14:paraId="323CBF36" w14:textId="77777777" w:rsidTr="00D15008">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6BC89F7A" w14:textId="77777777" w:rsidR="00730DE4" w:rsidRPr="00730DE4" w:rsidRDefault="00730DE4" w:rsidP="00F50AA9">
            <w:pPr>
              <w:pStyle w:val="NoSpacingIndent"/>
            </w:pPr>
            <w:r w:rsidRPr="00730DE4">
              <w:t>Deferred tax assets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A9AFB1E"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6A061AC"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1CFF109"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15E88F7"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2B92308"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5381B655" w14:textId="77777777" w:rsidR="00730DE4" w:rsidRPr="00730DE4" w:rsidRDefault="00730DE4" w:rsidP="008354D6">
            <w:pPr>
              <w:pStyle w:val="NoSpacing"/>
              <w:jc w:val="right"/>
              <w:rPr>
                <w:rStyle w:val="Strong"/>
              </w:rPr>
            </w:pPr>
            <w:r w:rsidRPr="00730DE4">
              <w:rPr>
                <w:rStyle w:val="Strong"/>
              </w:rPr>
              <w:t xml:space="preserve">3,769 </w:t>
            </w:r>
          </w:p>
        </w:tc>
      </w:tr>
      <w:tr w:rsidR="00730DE4" w:rsidRPr="00730DE4" w14:paraId="2D7957D7" w14:textId="77777777" w:rsidTr="00D15008">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5F803669" w14:textId="77777777" w:rsidR="00730DE4" w:rsidRPr="00730DE4" w:rsidRDefault="00730DE4" w:rsidP="00F50AA9">
            <w:pPr>
              <w:pStyle w:val="NoSpacingIndent"/>
            </w:pPr>
            <w:r w:rsidRPr="00730DE4">
              <w:t>Right-of-use assets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4B43209" w14:textId="77777777" w:rsidR="00730DE4" w:rsidRPr="00730DE4" w:rsidRDefault="00730DE4" w:rsidP="008354D6">
            <w:pPr>
              <w:pStyle w:val="NoSpacing"/>
              <w:jc w:val="right"/>
            </w:pPr>
            <w:r w:rsidRPr="00730DE4">
              <w:t xml:space="preserve">77,710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FF05F95" w14:textId="77777777" w:rsidR="00730DE4" w:rsidRPr="00730DE4" w:rsidRDefault="00730DE4" w:rsidP="008354D6">
            <w:pPr>
              <w:pStyle w:val="NoSpacing"/>
              <w:jc w:val="right"/>
            </w:pPr>
            <w:r w:rsidRPr="00730DE4">
              <w:t xml:space="preserve">5,631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38FA893"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942FA41"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98743D7"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154259BD" w14:textId="77777777" w:rsidR="00730DE4" w:rsidRPr="00730DE4" w:rsidRDefault="00730DE4" w:rsidP="008354D6">
            <w:pPr>
              <w:pStyle w:val="NoSpacing"/>
              <w:jc w:val="right"/>
              <w:rPr>
                <w:rStyle w:val="Strong"/>
              </w:rPr>
            </w:pPr>
            <w:r w:rsidRPr="00730DE4">
              <w:rPr>
                <w:rStyle w:val="Strong"/>
              </w:rPr>
              <w:t xml:space="preserve">83,341 </w:t>
            </w:r>
          </w:p>
        </w:tc>
      </w:tr>
      <w:tr w:rsidR="00730DE4" w:rsidRPr="00730DE4" w14:paraId="2878FE34" w14:textId="77777777" w:rsidTr="00D15008">
        <w:trPr>
          <w:trHeight w:val="198"/>
        </w:trPr>
        <w:tc>
          <w:tcPr>
            <w:tcW w:w="1352"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vAlign w:val="bottom"/>
          </w:tcPr>
          <w:p w14:paraId="232BA514" w14:textId="77777777" w:rsidR="00730DE4" w:rsidRPr="00730DE4" w:rsidRDefault="00730DE4" w:rsidP="00F50AA9">
            <w:pPr>
              <w:pStyle w:val="NoSpacingIndent"/>
            </w:pPr>
            <w:r w:rsidRPr="00730DE4">
              <w:t>Investment in subsidiary</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5C68BF2A"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397A925D"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2E4DC70A"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78D98885"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4C5757DE"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F2F2F2" w:themeFill="background1" w:themeFillShade="F2"/>
            <w:noWrap/>
            <w:vAlign w:val="bottom"/>
            <w:hideMark/>
          </w:tcPr>
          <w:p w14:paraId="4DD2BBBC" w14:textId="77777777" w:rsidR="00730DE4" w:rsidRPr="00730DE4" w:rsidRDefault="00730DE4" w:rsidP="008354D6">
            <w:pPr>
              <w:pStyle w:val="NoSpacing"/>
              <w:jc w:val="right"/>
              <w:rPr>
                <w:rStyle w:val="Strong"/>
              </w:rPr>
            </w:pPr>
            <w:r w:rsidRPr="00730DE4">
              <w:rPr>
                <w:rStyle w:val="Strong"/>
              </w:rPr>
              <w:t xml:space="preserve">34,027 </w:t>
            </w:r>
          </w:p>
        </w:tc>
      </w:tr>
      <w:tr w:rsidR="00730DE4" w:rsidRPr="00730DE4" w14:paraId="594C7EDD" w14:textId="77777777" w:rsidTr="00945B65">
        <w:tc>
          <w:tcPr>
            <w:tcW w:w="1352" w:type="pct"/>
            <w:tcBorders>
              <w:top w:val="single" w:sz="4" w:space="0" w:color="auto"/>
              <w:left w:val="nil"/>
              <w:right w:val="dotted" w:sz="4" w:space="0" w:color="BFBFBF" w:themeColor="background1" w:themeShade="BF"/>
            </w:tcBorders>
            <w:shd w:val="clear" w:color="auto" w:fill="auto"/>
          </w:tcPr>
          <w:p w14:paraId="44BCE1BD" w14:textId="77777777" w:rsidR="00730DE4" w:rsidRPr="00730DE4" w:rsidRDefault="00730DE4" w:rsidP="00F50AA9">
            <w:pPr>
              <w:pStyle w:val="NoSpacingIndent"/>
              <w:rPr>
                <w:rStyle w:val="Strong"/>
              </w:rPr>
            </w:pPr>
            <w:r w:rsidRPr="00730DE4">
              <w:rPr>
                <w:rStyle w:val="Strong"/>
              </w:rPr>
              <w:t>Total non-current assets</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1D2CE921" w14:textId="77777777" w:rsidR="00730DE4" w:rsidRPr="00730DE4" w:rsidRDefault="00730DE4" w:rsidP="00F50AA9">
            <w:pPr>
              <w:pStyle w:val="NoSpacing"/>
              <w:jc w:val="right"/>
              <w:rPr>
                <w:b/>
                <w:bCs/>
              </w:rPr>
            </w:pPr>
            <w:r w:rsidRPr="00730DE4">
              <w:rPr>
                <w:rStyle w:val="Strong"/>
              </w:rPr>
              <w:t xml:space="preserve">79,825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5EF845D1" w14:textId="77777777" w:rsidR="00730DE4" w:rsidRPr="00730DE4" w:rsidRDefault="00730DE4" w:rsidP="00F50AA9">
            <w:pPr>
              <w:pStyle w:val="NoSpacing"/>
              <w:jc w:val="right"/>
              <w:rPr>
                <w:b/>
                <w:bCs/>
              </w:rPr>
            </w:pPr>
            <w:r w:rsidRPr="00730DE4">
              <w:rPr>
                <w:rStyle w:val="Strong"/>
              </w:rPr>
              <w:t xml:space="preserve">21,116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759B50EB" w14:textId="77777777" w:rsidR="00730DE4" w:rsidRPr="00730DE4" w:rsidRDefault="00730DE4" w:rsidP="00F50AA9">
            <w:pPr>
              <w:pStyle w:val="NoSpacing"/>
              <w:jc w:val="right"/>
              <w:rPr>
                <w:b/>
                <w:bCs/>
              </w:rPr>
            </w:pPr>
            <w:r w:rsidRPr="00730DE4">
              <w:rPr>
                <w:rStyle w:val="Strong"/>
              </w:rPr>
              <w:t xml:space="preserve">4,015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627C3A16" w14:textId="77777777" w:rsidR="00730DE4" w:rsidRPr="00730DE4" w:rsidRDefault="00730DE4" w:rsidP="00F50AA9">
            <w:pPr>
              <w:pStyle w:val="NoSpacing"/>
              <w:jc w:val="right"/>
              <w:rPr>
                <w:b/>
                <w:bCs/>
              </w:rPr>
            </w:pPr>
            <w:r w:rsidRPr="00730DE4">
              <w:rPr>
                <w:rStyle w:val="Strong"/>
              </w:rPr>
              <w:t xml:space="preserve">-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52CD3B6D" w14:textId="77777777" w:rsidR="00730DE4" w:rsidRPr="00730DE4" w:rsidRDefault="00730DE4" w:rsidP="00F50AA9">
            <w:pPr>
              <w:pStyle w:val="NoSpacing"/>
              <w:jc w:val="right"/>
              <w:rPr>
                <w:b/>
                <w:bCs/>
              </w:rPr>
            </w:pPr>
            <w:r w:rsidRPr="00730DE4">
              <w:rPr>
                <w:rStyle w:val="Strong"/>
              </w:rPr>
              <w:t>(19,000)</w:t>
            </w:r>
          </w:p>
        </w:tc>
        <w:tc>
          <w:tcPr>
            <w:tcW w:w="608" w:type="pct"/>
            <w:tcBorders>
              <w:top w:val="single" w:sz="4" w:space="0" w:color="auto"/>
              <w:left w:val="dotted" w:sz="4" w:space="0" w:color="BFBFBF" w:themeColor="background1" w:themeShade="BF"/>
              <w:right w:val="nil"/>
            </w:tcBorders>
            <w:shd w:val="clear" w:color="auto" w:fill="F2F2F2" w:themeFill="background1" w:themeFillShade="F2"/>
            <w:noWrap/>
            <w:hideMark/>
          </w:tcPr>
          <w:p w14:paraId="266DB1D8" w14:textId="77777777" w:rsidR="00730DE4" w:rsidRPr="00730DE4" w:rsidRDefault="00730DE4" w:rsidP="00F50AA9">
            <w:pPr>
              <w:pStyle w:val="NoSpacing"/>
              <w:jc w:val="right"/>
              <w:rPr>
                <w:rStyle w:val="Strong"/>
              </w:rPr>
            </w:pPr>
            <w:r w:rsidRPr="00730DE4">
              <w:rPr>
                <w:rStyle w:val="Strong"/>
              </w:rPr>
              <w:t xml:space="preserve">125,155,341 </w:t>
            </w:r>
          </w:p>
        </w:tc>
      </w:tr>
      <w:tr w:rsidR="00730DE4" w:rsidRPr="00730DE4" w14:paraId="61E710A5" w14:textId="77777777" w:rsidTr="00D15008">
        <w:trPr>
          <w:trHeight w:val="454"/>
        </w:trPr>
        <w:tc>
          <w:tcPr>
            <w:tcW w:w="1352" w:type="pct"/>
            <w:tcBorders>
              <w:left w:val="nil"/>
              <w:bottom w:val="double" w:sz="4" w:space="0" w:color="auto"/>
              <w:right w:val="dotted" w:sz="4" w:space="0" w:color="BFBFBF" w:themeColor="background1" w:themeShade="BF"/>
            </w:tcBorders>
            <w:shd w:val="clear" w:color="auto" w:fill="auto"/>
            <w:vAlign w:val="bottom"/>
          </w:tcPr>
          <w:p w14:paraId="66ABC47E" w14:textId="77777777" w:rsidR="00730DE4" w:rsidRPr="00730DE4" w:rsidRDefault="00730DE4" w:rsidP="00D15008">
            <w:pPr>
              <w:pStyle w:val="NoSpacing"/>
              <w:rPr>
                <w:rStyle w:val="Strong"/>
              </w:rPr>
            </w:pPr>
            <w:r w:rsidRPr="00730DE4">
              <w:rPr>
                <w:rStyle w:val="Strong"/>
              </w:rPr>
              <w:t>Total assets</w:t>
            </w:r>
          </w:p>
        </w:tc>
        <w:tc>
          <w:tcPr>
            <w:tcW w:w="608" w:type="pct"/>
            <w:tcBorders>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vAlign w:val="bottom"/>
          </w:tcPr>
          <w:p w14:paraId="669DF84D" w14:textId="77777777" w:rsidR="00730DE4" w:rsidRPr="00730DE4" w:rsidRDefault="00730DE4" w:rsidP="00D15008">
            <w:pPr>
              <w:pStyle w:val="NoSpacing"/>
              <w:jc w:val="right"/>
              <w:rPr>
                <w:rStyle w:val="Strong"/>
              </w:rPr>
            </w:pPr>
            <w:r w:rsidRPr="00730DE4">
              <w:rPr>
                <w:rStyle w:val="Strong"/>
              </w:rPr>
              <w:t xml:space="preserve">153,763 </w:t>
            </w:r>
          </w:p>
        </w:tc>
        <w:tc>
          <w:tcPr>
            <w:tcW w:w="608" w:type="pct"/>
            <w:tcBorders>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vAlign w:val="bottom"/>
          </w:tcPr>
          <w:p w14:paraId="554B9CB4" w14:textId="77777777" w:rsidR="00730DE4" w:rsidRPr="00730DE4" w:rsidRDefault="00730DE4" w:rsidP="00D15008">
            <w:pPr>
              <w:pStyle w:val="NoSpacing"/>
              <w:jc w:val="right"/>
              <w:rPr>
                <w:rStyle w:val="Strong"/>
              </w:rPr>
            </w:pPr>
            <w:r w:rsidRPr="00730DE4">
              <w:rPr>
                <w:rStyle w:val="Strong"/>
              </w:rPr>
              <w:t xml:space="preserve">66,785 </w:t>
            </w:r>
          </w:p>
        </w:tc>
        <w:tc>
          <w:tcPr>
            <w:tcW w:w="608" w:type="pct"/>
            <w:tcBorders>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vAlign w:val="bottom"/>
          </w:tcPr>
          <w:p w14:paraId="50C79376" w14:textId="77777777" w:rsidR="00730DE4" w:rsidRPr="00730DE4" w:rsidRDefault="00730DE4" w:rsidP="00D15008">
            <w:pPr>
              <w:pStyle w:val="NoSpacing"/>
              <w:jc w:val="right"/>
              <w:rPr>
                <w:rStyle w:val="Strong"/>
              </w:rPr>
            </w:pPr>
            <w:r w:rsidRPr="00730DE4">
              <w:rPr>
                <w:rStyle w:val="Strong"/>
              </w:rPr>
              <w:t xml:space="preserve">69,599 </w:t>
            </w:r>
          </w:p>
        </w:tc>
        <w:tc>
          <w:tcPr>
            <w:tcW w:w="608" w:type="pct"/>
            <w:tcBorders>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vAlign w:val="bottom"/>
          </w:tcPr>
          <w:p w14:paraId="1370E931" w14:textId="77777777" w:rsidR="00730DE4" w:rsidRPr="00730DE4" w:rsidRDefault="00730DE4" w:rsidP="00D15008">
            <w:pPr>
              <w:pStyle w:val="NoSpacing"/>
              <w:jc w:val="right"/>
              <w:rPr>
                <w:rStyle w:val="Strong"/>
              </w:rPr>
            </w:pPr>
            <w:r w:rsidRPr="00730DE4">
              <w:rPr>
                <w:rStyle w:val="Strong"/>
              </w:rPr>
              <w:t xml:space="preserve">4,700 </w:t>
            </w:r>
          </w:p>
        </w:tc>
        <w:tc>
          <w:tcPr>
            <w:tcW w:w="608" w:type="pct"/>
            <w:tcBorders>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vAlign w:val="bottom"/>
          </w:tcPr>
          <w:p w14:paraId="6DAEAFAD" w14:textId="77777777" w:rsidR="00730DE4" w:rsidRPr="00730DE4" w:rsidRDefault="00730DE4" w:rsidP="00D15008">
            <w:pPr>
              <w:pStyle w:val="NoSpacing"/>
              <w:jc w:val="right"/>
              <w:rPr>
                <w:rStyle w:val="Strong"/>
              </w:rPr>
            </w:pPr>
            <w:r w:rsidRPr="00730DE4">
              <w:rPr>
                <w:rStyle w:val="Strong"/>
              </w:rPr>
              <w:t>(189,007)</w:t>
            </w:r>
          </w:p>
        </w:tc>
        <w:tc>
          <w:tcPr>
            <w:tcW w:w="608" w:type="pct"/>
            <w:tcBorders>
              <w:left w:val="dotted" w:sz="4" w:space="0" w:color="BFBFBF" w:themeColor="background1" w:themeShade="BF"/>
              <w:bottom w:val="double" w:sz="4" w:space="0" w:color="auto"/>
              <w:right w:val="nil"/>
            </w:tcBorders>
            <w:shd w:val="clear" w:color="auto" w:fill="F2F2F2" w:themeFill="background1" w:themeFillShade="F2"/>
            <w:noWrap/>
            <w:vAlign w:val="bottom"/>
          </w:tcPr>
          <w:p w14:paraId="6196667F" w14:textId="77777777" w:rsidR="00730DE4" w:rsidRPr="00730DE4" w:rsidRDefault="00730DE4" w:rsidP="00D15008">
            <w:pPr>
              <w:pStyle w:val="NoSpacing"/>
              <w:jc w:val="right"/>
              <w:rPr>
                <w:rStyle w:val="Strong"/>
              </w:rPr>
            </w:pPr>
            <w:r w:rsidRPr="00730DE4">
              <w:rPr>
                <w:rStyle w:val="Strong"/>
              </w:rPr>
              <w:t xml:space="preserve">126,137,870 </w:t>
            </w:r>
          </w:p>
        </w:tc>
      </w:tr>
      <w:tr w:rsidR="00730DE4" w:rsidRPr="00730DE4" w14:paraId="5BEB1AC7" w14:textId="77777777" w:rsidTr="00D15008">
        <w:trPr>
          <w:trHeight w:val="454"/>
        </w:trPr>
        <w:tc>
          <w:tcPr>
            <w:tcW w:w="1352" w:type="pct"/>
            <w:tcBorders>
              <w:top w:val="double" w:sz="4" w:space="0" w:color="auto"/>
              <w:left w:val="nil"/>
              <w:bottom w:val="dotted" w:sz="4" w:space="0" w:color="BFBFBF" w:themeColor="background1" w:themeShade="BF"/>
              <w:right w:val="dotted" w:sz="4" w:space="0" w:color="BFBFBF" w:themeColor="background1" w:themeShade="BF"/>
            </w:tcBorders>
            <w:shd w:val="clear" w:color="auto" w:fill="auto"/>
            <w:vAlign w:val="bottom"/>
          </w:tcPr>
          <w:p w14:paraId="7876631A" w14:textId="77777777" w:rsidR="00730DE4" w:rsidRPr="00730DE4" w:rsidRDefault="00730DE4" w:rsidP="008354D6">
            <w:pPr>
              <w:pStyle w:val="NoSpacing"/>
              <w:rPr>
                <w:rStyle w:val="Strong"/>
              </w:rPr>
            </w:pPr>
            <w:r w:rsidRPr="00730DE4">
              <w:rPr>
                <w:rStyle w:val="Strong"/>
              </w:rPr>
              <w:t>Liabilities</w:t>
            </w:r>
          </w:p>
        </w:tc>
        <w:tc>
          <w:tcPr>
            <w:tcW w:w="608"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70C4E27D" w14:textId="77777777" w:rsidR="00730DE4" w:rsidRPr="00730DE4" w:rsidRDefault="00730DE4" w:rsidP="008354D6">
            <w:pPr>
              <w:pStyle w:val="NoSpacing"/>
              <w:jc w:val="right"/>
              <w:rPr>
                <w:rStyle w:val="Strong"/>
              </w:rPr>
            </w:pPr>
          </w:p>
        </w:tc>
        <w:tc>
          <w:tcPr>
            <w:tcW w:w="608"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4C31D3F7" w14:textId="77777777" w:rsidR="00730DE4" w:rsidRPr="00730DE4" w:rsidRDefault="00730DE4" w:rsidP="008354D6">
            <w:pPr>
              <w:pStyle w:val="NoSpacing"/>
              <w:jc w:val="right"/>
              <w:rPr>
                <w:rStyle w:val="Strong"/>
              </w:rPr>
            </w:pPr>
          </w:p>
        </w:tc>
        <w:tc>
          <w:tcPr>
            <w:tcW w:w="608"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2E9D7CA1" w14:textId="77777777" w:rsidR="00730DE4" w:rsidRPr="00730DE4" w:rsidRDefault="00730DE4" w:rsidP="008354D6">
            <w:pPr>
              <w:pStyle w:val="NoSpacing"/>
              <w:jc w:val="right"/>
              <w:rPr>
                <w:rStyle w:val="Strong"/>
              </w:rPr>
            </w:pPr>
          </w:p>
        </w:tc>
        <w:tc>
          <w:tcPr>
            <w:tcW w:w="608"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6AC2F46B" w14:textId="77777777" w:rsidR="00730DE4" w:rsidRPr="00730DE4" w:rsidRDefault="00730DE4" w:rsidP="008354D6">
            <w:pPr>
              <w:pStyle w:val="NoSpacing"/>
              <w:jc w:val="right"/>
              <w:rPr>
                <w:rStyle w:val="Strong"/>
              </w:rPr>
            </w:pPr>
          </w:p>
        </w:tc>
        <w:tc>
          <w:tcPr>
            <w:tcW w:w="608"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54279518" w14:textId="77777777" w:rsidR="00730DE4" w:rsidRPr="00730DE4" w:rsidRDefault="00730DE4" w:rsidP="008354D6">
            <w:pPr>
              <w:pStyle w:val="NoSpacing"/>
              <w:jc w:val="right"/>
              <w:rPr>
                <w:rStyle w:val="Strong"/>
              </w:rPr>
            </w:pPr>
          </w:p>
        </w:tc>
        <w:tc>
          <w:tcPr>
            <w:tcW w:w="608" w:type="pct"/>
            <w:tcBorders>
              <w:top w:val="double" w:sz="4" w:space="0" w:color="auto"/>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tcPr>
          <w:p w14:paraId="0D8FACF6" w14:textId="77777777" w:rsidR="00730DE4" w:rsidRPr="00730DE4" w:rsidRDefault="00730DE4" w:rsidP="008354D6">
            <w:pPr>
              <w:pStyle w:val="NoSpacing"/>
              <w:jc w:val="right"/>
              <w:rPr>
                <w:rStyle w:val="Strong"/>
              </w:rPr>
            </w:pPr>
          </w:p>
        </w:tc>
      </w:tr>
      <w:tr w:rsidR="00730DE4" w:rsidRPr="00730DE4" w14:paraId="6F8CBD66" w14:textId="77777777" w:rsidTr="00D15008">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656F3416" w14:textId="77777777" w:rsidR="00730DE4" w:rsidRPr="00730DE4" w:rsidRDefault="00730DE4" w:rsidP="008354D6">
            <w:pPr>
              <w:pStyle w:val="NoSpacing"/>
              <w:rPr>
                <w:rStyle w:val="Strong"/>
              </w:rPr>
            </w:pPr>
            <w:r w:rsidRPr="00730DE4">
              <w:rPr>
                <w:rStyle w:val="Strong"/>
              </w:rPr>
              <w:t>Current liabilities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762E0A21" w14:textId="77777777" w:rsidR="00730DE4" w:rsidRPr="00730DE4" w:rsidRDefault="00730DE4" w:rsidP="008354D6">
            <w:pPr>
              <w:pStyle w:val="NoSpacing"/>
              <w:jc w:val="right"/>
              <w:rPr>
                <w:rStyle w:val="Strong"/>
              </w:rPr>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5F478188" w14:textId="77777777" w:rsidR="00730DE4" w:rsidRPr="00730DE4" w:rsidRDefault="00730DE4" w:rsidP="008354D6">
            <w:pPr>
              <w:pStyle w:val="NoSpacing"/>
              <w:jc w:val="right"/>
              <w:rPr>
                <w:rStyle w:val="Strong"/>
              </w:rPr>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55412DD3" w14:textId="77777777" w:rsidR="00730DE4" w:rsidRPr="00730DE4" w:rsidRDefault="00730DE4" w:rsidP="008354D6">
            <w:pPr>
              <w:pStyle w:val="NoSpacing"/>
              <w:jc w:val="right"/>
              <w:rPr>
                <w:rStyle w:val="Strong"/>
              </w:rPr>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4087D550" w14:textId="77777777" w:rsidR="00730DE4" w:rsidRPr="00730DE4" w:rsidRDefault="00730DE4" w:rsidP="008354D6">
            <w:pPr>
              <w:pStyle w:val="NoSpacing"/>
              <w:jc w:val="right"/>
              <w:rPr>
                <w:rStyle w:val="Strong"/>
              </w:rPr>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360F39DA" w14:textId="77777777" w:rsidR="00730DE4" w:rsidRPr="00730DE4" w:rsidRDefault="00730DE4" w:rsidP="008354D6">
            <w:pPr>
              <w:pStyle w:val="NoSpacing"/>
              <w:jc w:val="right"/>
              <w:rPr>
                <w:rStyle w:val="Strong"/>
              </w:rPr>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tcPr>
          <w:p w14:paraId="012B273B" w14:textId="77777777" w:rsidR="00730DE4" w:rsidRPr="00730DE4" w:rsidRDefault="00730DE4" w:rsidP="008354D6">
            <w:pPr>
              <w:pStyle w:val="NoSpacing"/>
              <w:jc w:val="right"/>
              <w:rPr>
                <w:rStyle w:val="Strong"/>
              </w:rPr>
            </w:pPr>
          </w:p>
        </w:tc>
      </w:tr>
      <w:tr w:rsidR="00730DE4" w:rsidRPr="00730DE4" w14:paraId="52CC1F87" w14:textId="77777777" w:rsidTr="00D15008">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054AF064" w14:textId="77777777" w:rsidR="00730DE4" w:rsidRPr="00730DE4" w:rsidRDefault="00730DE4" w:rsidP="00F50AA9">
            <w:pPr>
              <w:pStyle w:val="NoSpacingIndent"/>
            </w:pPr>
            <w:r w:rsidRPr="00730DE4">
              <w:t>Payables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6F4CE6C" w14:textId="77777777" w:rsidR="00730DE4" w:rsidRPr="00730DE4" w:rsidRDefault="00730DE4" w:rsidP="008354D6">
            <w:pPr>
              <w:pStyle w:val="NoSpacing"/>
              <w:jc w:val="right"/>
            </w:pPr>
            <w:r w:rsidRPr="00730DE4">
              <w:t xml:space="preserve">66,104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89FD184" w14:textId="77777777" w:rsidR="00730DE4" w:rsidRPr="00730DE4" w:rsidRDefault="00730DE4" w:rsidP="008354D6">
            <w:pPr>
              <w:pStyle w:val="NoSpacing"/>
              <w:jc w:val="right"/>
            </w:pPr>
            <w:r w:rsidRPr="00730DE4">
              <w:t xml:space="preserve">15,092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63564FB" w14:textId="77777777" w:rsidR="00730DE4" w:rsidRPr="00730DE4" w:rsidRDefault="00730DE4" w:rsidP="008354D6">
            <w:pPr>
              <w:pStyle w:val="NoSpacing"/>
              <w:jc w:val="right"/>
            </w:pPr>
            <w:r w:rsidRPr="00730DE4">
              <w:t xml:space="preserve">2,548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96FDB96" w14:textId="77777777" w:rsidR="00730DE4" w:rsidRPr="00730DE4" w:rsidRDefault="00730DE4" w:rsidP="008354D6">
            <w:pPr>
              <w:pStyle w:val="NoSpacing"/>
              <w:jc w:val="right"/>
            </w:pPr>
            <w:r w:rsidRPr="00730DE4">
              <w:t xml:space="preserve">68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347BA46" w14:textId="77777777" w:rsidR="00730DE4" w:rsidRPr="00730DE4" w:rsidRDefault="00730DE4" w:rsidP="008354D6">
            <w:pPr>
              <w:pStyle w:val="NoSpacing"/>
              <w:jc w:val="right"/>
            </w:pPr>
            <w:r w:rsidRPr="00730DE4">
              <w:t>(170,007)</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11C1CC6D" w14:textId="77777777" w:rsidR="00730DE4" w:rsidRPr="00730DE4" w:rsidRDefault="00730DE4" w:rsidP="008354D6">
            <w:pPr>
              <w:pStyle w:val="NoSpacing"/>
              <w:jc w:val="right"/>
              <w:rPr>
                <w:rStyle w:val="Strong"/>
              </w:rPr>
            </w:pPr>
            <w:r w:rsidRPr="00730DE4">
              <w:rPr>
                <w:rStyle w:val="Strong"/>
              </w:rPr>
              <w:t xml:space="preserve">899,177 </w:t>
            </w:r>
          </w:p>
        </w:tc>
      </w:tr>
      <w:tr w:rsidR="00730DE4" w:rsidRPr="00730DE4" w14:paraId="347B5377" w14:textId="77777777" w:rsidTr="00D15008">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7BE26524" w14:textId="77777777" w:rsidR="00730DE4" w:rsidRPr="00730DE4" w:rsidRDefault="00730DE4" w:rsidP="00F50AA9">
            <w:pPr>
              <w:pStyle w:val="NoSpacingIndent"/>
            </w:pPr>
            <w:r w:rsidRPr="00730DE4">
              <w:t>Borrowings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74F13E2"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FBA9E0A"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54DD6C6"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6354E8E"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6139B9D"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6945C3F4" w14:textId="77777777" w:rsidR="00730DE4" w:rsidRPr="00730DE4" w:rsidRDefault="00730DE4" w:rsidP="008354D6">
            <w:pPr>
              <w:pStyle w:val="NoSpacing"/>
              <w:jc w:val="right"/>
              <w:rPr>
                <w:rStyle w:val="Strong"/>
              </w:rPr>
            </w:pPr>
            <w:r w:rsidRPr="00730DE4">
              <w:rPr>
                <w:rStyle w:val="Strong"/>
              </w:rPr>
              <w:t xml:space="preserve">48,548 </w:t>
            </w:r>
          </w:p>
        </w:tc>
      </w:tr>
      <w:tr w:rsidR="00730DE4" w:rsidRPr="00730DE4" w14:paraId="370F842B" w14:textId="77777777" w:rsidTr="00D15008">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7A3DBE50" w14:textId="77777777" w:rsidR="00730DE4" w:rsidRPr="00730DE4" w:rsidRDefault="00730DE4" w:rsidP="00F50AA9">
            <w:pPr>
              <w:pStyle w:val="NoSpacingIndent"/>
            </w:pPr>
            <w:r w:rsidRPr="00730DE4">
              <w:t>Provisions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DBB0B35"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BA9CBBD"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BFA098C"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24D0B51"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0B7D287"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0714766A" w14:textId="77777777" w:rsidR="00730DE4" w:rsidRPr="00730DE4" w:rsidRDefault="00730DE4" w:rsidP="008354D6">
            <w:pPr>
              <w:pStyle w:val="NoSpacing"/>
              <w:jc w:val="right"/>
              <w:rPr>
                <w:rStyle w:val="Strong"/>
              </w:rPr>
            </w:pPr>
            <w:r w:rsidRPr="00730DE4">
              <w:rPr>
                <w:rStyle w:val="Strong"/>
              </w:rPr>
              <w:t xml:space="preserve">241,779 </w:t>
            </w:r>
          </w:p>
        </w:tc>
      </w:tr>
      <w:tr w:rsidR="00730DE4" w:rsidRPr="00730DE4" w14:paraId="7F567662" w14:textId="77777777" w:rsidTr="00D15008">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694E4048" w14:textId="77777777" w:rsidR="00730DE4" w:rsidRPr="00730DE4" w:rsidRDefault="00730DE4" w:rsidP="00F50AA9">
            <w:pPr>
              <w:pStyle w:val="NoSpacingIndent"/>
            </w:pPr>
            <w:r w:rsidRPr="00730DE4">
              <w:t>Accrued employee benefits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A05021D" w14:textId="77777777" w:rsidR="00730DE4" w:rsidRPr="00730DE4" w:rsidRDefault="00730DE4" w:rsidP="008354D6">
            <w:pPr>
              <w:pStyle w:val="NoSpacing"/>
              <w:jc w:val="right"/>
            </w:pPr>
            <w:r w:rsidRPr="00730DE4">
              <w:t xml:space="preserve">2,691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D2F0B52" w14:textId="77777777" w:rsidR="00730DE4" w:rsidRPr="00730DE4" w:rsidRDefault="00730DE4" w:rsidP="008354D6">
            <w:pPr>
              <w:pStyle w:val="NoSpacing"/>
              <w:jc w:val="right"/>
            </w:pPr>
            <w:r w:rsidRPr="00730DE4">
              <w:t xml:space="preserve">1,505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0D21B24" w14:textId="77777777" w:rsidR="00730DE4" w:rsidRPr="00730DE4" w:rsidRDefault="00730DE4" w:rsidP="008354D6">
            <w:pPr>
              <w:pStyle w:val="NoSpacing"/>
              <w:jc w:val="right"/>
            </w:pPr>
            <w:r w:rsidRPr="00730DE4">
              <w:t xml:space="preserve">5,867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767D918" w14:textId="77777777" w:rsidR="00730DE4" w:rsidRPr="00730DE4" w:rsidRDefault="00730DE4" w:rsidP="008354D6">
            <w:pPr>
              <w:pStyle w:val="NoSpacing"/>
              <w:jc w:val="right"/>
            </w:pPr>
            <w:r w:rsidRPr="00730DE4">
              <w:t xml:space="preserve">265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6003D39"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523967F8" w14:textId="77777777" w:rsidR="00730DE4" w:rsidRPr="00730DE4" w:rsidRDefault="00730DE4" w:rsidP="008354D6">
            <w:pPr>
              <w:pStyle w:val="NoSpacing"/>
              <w:jc w:val="right"/>
              <w:rPr>
                <w:rStyle w:val="Strong"/>
              </w:rPr>
            </w:pPr>
            <w:r w:rsidRPr="00730DE4">
              <w:rPr>
                <w:rStyle w:val="Strong"/>
              </w:rPr>
              <w:t xml:space="preserve">48,115 </w:t>
            </w:r>
          </w:p>
        </w:tc>
      </w:tr>
      <w:tr w:rsidR="00730DE4" w:rsidRPr="00730DE4" w14:paraId="3A8BBA78" w14:textId="77777777" w:rsidTr="00D15008">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33089BAB" w14:textId="77777777" w:rsidR="00730DE4" w:rsidRPr="00730DE4" w:rsidRDefault="00730DE4" w:rsidP="00F50AA9">
            <w:pPr>
              <w:pStyle w:val="NoSpacingIndent"/>
            </w:pPr>
            <w:r w:rsidRPr="00730DE4">
              <w:t>Current tax liabilities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C48B195"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BD17F64"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F10E648"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65F58E1"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2E1B257"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67837E28" w14:textId="77777777" w:rsidR="00730DE4" w:rsidRPr="00730DE4" w:rsidRDefault="00730DE4" w:rsidP="008354D6">
            <w:pPr>
              <w:pStyle w:val="NoSpacing"/>
              <w:jc w:val="right"/>
              <w:rPr>
                <w:rStyle w:val="Strong"/>
              </w:rPr>
            </w:pPr>
            <w:r w:rsidRPr="00730DE4">
              <w:rPr>
                <w:rStyle w:val="Strong"/>
              </w:rPr>
              <w:t xml:space="preserve">41 </w:t>
            </w:r>
          </w:p>
        </w:tc>
      </w:tr>
      <w:tr w:rsidR="00730DE4" w:rsidRPr="00730DE4" w14:paraId="5435FBB9" w14:textId="77777777" w:rsidTr="00D15008">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1D7D63B0" w14:textId="77777777" w:rsidR="00730DE4" w:rsidRPr="00730DE4" w:rsidRDefault="00730DE4" w:rsidP="00F50AA9">
            <w:pPr>
              <w:pStyle w:val="NoSpacingIndent"/>
            </w:pPr>
            <w:r w:rsidRPr="00730DE4">
              <w:t xml:space="preserve">Unearned revenue – service concession arrangements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E662576"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FB8077E"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2044EB5"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A4C38BD"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9299357"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1B061A91" w14:textId="77777777" w:rsidR="00730DE4" w:rsidRPr="00730DE4" w:rsidRDefault="00730DE4" w:rsidP="008354D6">
            <w:pPr>
              <w:pStyle w:val="NoSpacing"/>
              <w:jc w:val="right"/>
              <w:rPr>
                <w:rStyle w:val="Strong"/>
              </w:rPr>
            </w:pPr>
            <w:r w:rsidRPr="00730DE4">
              <w:rPr>
                <w:rStyle w:val="Strong"/>
              </w:rPr>
              <w:t xml:space="preserve">232,180 </w:t>
            </w:r>
          </w:p>
        </w:tc>
      </w:tr>
      <w:tr w:rsidR="00730DE4" w:rsidRPr="00730DE4" w14:paraId="0526FA8E" w14:textId="77777777" w:rsidTr="00D15008">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3606DA40" w14:textId="77777777" w:rsidR="00730DE4" w:rsidRPr="00730DE4" w:rsidRDefault="00730DE4" w:rsidP="00F50AA9">
            <w:pPr>
              <w:pStyle w:val="NoSpacingIndent"/>
            </w:pPr>
            <w:r w:rsidRPr="00730DE4">
              <w:t>Lease liabilities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FEF8E42" w14:textId="77777777" w:rsidR="00730DE4" w:rsidRPr="00730DE4" w:rsidRDefault="00730DE4" w:rsidP="008354D6">
            <w:pPr>
              <w:pStyle w:val="NoSpacing"/>
              <w:jc w:val="right"/>
            </w:pPr>
            <w:r w:rsidRPr="00730DE4">
              <w:t xml:space="preserve">19,203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4315EFA" w14:textId="77777777" w:rsidR="00730DE4" w:rsidRPr="00730DE4" w:rsidRDefault="00730DE4" w:rsidP="008354D6">
            <w:pPr>
              <w:pStyle w:val="NoSpacing"/>
              <w:jc w:val="right"/>
            </w:pPr>
            <w:r w:rsidRPr="00730DE4">
              <w:t xml:space="preserve">2,637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5159754"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85B4AAE"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14CD4E6"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1B902D4F" w14:textId="77777777" w:rsidR="00730DE4" w:rsidRPr="00730DE4" w:rsidRDefault="00730DE4" w:rsidP="008354D6">
            <w:pPr>
              <w:pStyle w:val="NoSpacing"/>
              <w:jc w:val="right"/>
              <w:rPr>
                <w:rStyle w:val="Strong"/>
              </w:rPr>
            </w:pPr>
            <w:r w:rsidRPr="00730DE4">
              <w:rPr>
                <w:rStyle w:val="Strong"/>
              </w:rPr>
              <w:t xml:space="preserve">21,954 </w:t>
            </w:r>
          </w:p>
        </w:tc>
      </w:tr>
      <w:tr w:rsidR="00730DE4" w:rsidRPr="00730DE4" w14:paraId="1A0AACA6" w14:textId="77777777" w:rsidTr="00D15008">
        <w:trPr>
          <w:trHeight w:val="198"/>
        </w:trPr>
        <w:tc>
          <w:tcPr>
            <w:tcW w:w="1352"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vAlign w:val="bottom"/>
          </w:tcPr>
          <w:p w14:paraId="4366DEAC" w14:textId="77777777" w:rsidR="00730DE4" w:rsidRPr="00730DE4" w:rsidRDefault="00730DE4" w:rsidP="00F50AA9">
            <w:pPr>
              <w:pStyle w:val="NoSpacingIndent"/>
            </w:pPr>
            <w:r w:rsidRPr="00730DE4">
              <w:t xml:space="preserve">Other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5C793217" w14:textId="77777777" w:rsidR="00730DE4" w:rsidRPr="00730DE4" w:rsidRDefault="00730DE4" w:rsidP="008354D6">
            <w:pPr>
              <w:pStyle w:val="NoSpacing"/>
              <w:jc w:val="right"/>
            </w:pPr>
            <w:r w:rsidRPr="00730DE4">
              <w:t xml:space="preserve">766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308392BE" w14:textId="77777777" w:rsidR="00730DE4" w:rsidRPr="00730DE4" w:rsidRDefault="00730DE4" w:rsidP="008354D6">
            <w:pPr>
              <w:pStyle w:val="NoSpacing"/>
              <w:jc w:val="right"/>
            </w:pPr>
            <w:r w:rsidRPr="00730DE4">
              <w:t xml:space="preserve">3,539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42A15C90" w14:textId="77777777" w:rsidR="00730DE4" w:rsidRPr="00730DE4" w:rsidRDefault="00730DE4" w:rsidP="008354D6">
            <w:pPr>
              <w:pStyle w:val="NoSpacing"/>
              <w:jc w:val="right"/>
            </w:pPr>
            <w:r w:rsidRPr="00730DE4">
              <w:t xml:space="preserve">5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4368DC79" w14:textId="77777777" w:rsidR="00730DE4" w:rsidRPr="00730DE4" w:rsidRDefault="00730DE4" w:rsidP="008354D6">
            <w:pPr>
              <w:pStyle w:val="NoSpacing"/>
              <w:jc w:val="right"/>
            </w:pPr>
            <w:r w:rsidRPr="00730DE4">
              <w:t xml:space="preserve">610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28DEF7D5"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F2F2F2" w:themeFill="background1" w:themeFillShade="F2"/>
            <w:noWrap/>
            <w:vAlign w:val="bottom"/>
            <w:hideMark/>
          </w:tcPr>
          <w:p w14:paraId="0CD6731C" w14:textId="77777777" w:rsidR="00730DE4" w:rsidRPr="00730DE4" w:rsidRDefault="00730DE4" w:rsidP="008354D6">
            <w:pPr>
              <w:pStyle w:val="NoSpacing"/>
              <w:jc w:val="right"/>
              <w:rPr>
                <w:rStyle w:val="Strong"/>
              </w:rPr>
            </w:pPr>
            <w:r w:rsidRPr="00730DE4">
              <w:rPr>
                <w:rStyle w:val="Strong"/>
              </w:rPr>
              <w:t xml:space="preserve">298,435 </w:t>
            </w:r>
          </w:p>
        </w:tc>
      </w:tr>
      <w:tr w:rsidR="00730DE4" w:rsidRPr="00730DE4" w14:paraId="702368D2" w14:textId="77777777" w:rsidTr="00945B65">
        <w:tc>
          <w:tcPr>
            <w:tcW w:w="1352" w:type="pct"/>
            <w:tcBorders>
              <w:top w:val="single" w:sz="4" w:space="0" w:color="auto"/>
              <w:left w:val="nil"/>
              <w:right w:val="dotted" w:sz="4" w:space="0" w:color="BFBFBF" w:themeColor="background1" w:themeShade="BF"/>
            </w:tcBorders>
            <w:shd w:val="clear" w:color="auto" w:fill="auto"/>
          </w:tcPr>
          <w:p w14:paraId="268E2DFA" w14:textId="77777777" w:rsidR="00730DE4" w:rsidRPr="00730DE4" w:rsidRDefault="00730DE4" w:rsidP="00F50AA9">
            <w:pPr>
              <w:pStyle w:val="NoSpacingIndent"/>
              <w:rPr>
                <w:rStyle w:val="Strong"/>
              </w:rPr>
            </w:pPr>
            <w:r w:rsidRPr="00730DE4">
              <w:rPr>
                <w:rStyle w:val="Strong"/>
              </w:rPr>
              <w:t>Total current liabilities</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3786A936" w14:textId="77777777" w:rsidR="00730DE4" w:rsidRPr="00730DE4" w:rsidRDefault="00730DE4" w:rsidP="00F50AA9">
            <w:pPr>
              <w:pStyle w:val="NoSpacing"/>
              <w:jc w:val="right"/>
              <w:rPr>
                <w:b/>
                <w:bCs/>
              </w:rPr>
            </w:pPr>
            <w:r w:rsidRPr="00730DE4">
              <w:rPr>
                <w:rStyle w:val="Strong"/>
              </w:rPr>
              <w:t xml:space="preserve">88,764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44164AD8" w14:textId="77777777" w:rsidR="00730DE4" w:rsidRPr="00730DE4" w:rsidRDefault="00730DE4" w:rsidP="00F50AA9">
            <w:pPr>
              <w:pStyle w:val="NoSpacing"/>
              <w:jc w:val="right"/>
              <w:rPr>
                <w:b/>
                <w:bCs/>
              </w:rPr>
            </w:pPr>
            <w:r w:rsidRPr="00730DE4">
              <w:rPr>
                <w:rStyle w:val="Strong"/>
              </w:rPr>
              <w:t xml:space="preserve">22,773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26420C39" w14:textId="77777777" w:rsidR="00730DE4" w:rsidRPr="00730DE4" w:rsidRDefault="00730DE4" w:rsidP="00F50AA9">
            <w:pPr>
              <w:pStyle w:val="NoSpacing"/>
              <w:jc w:val="right"/>
              <w:rPr>
                <w:b/>
                <w:bCs/>
              </w:rPr>
            </w:pPr>
            <w:r w:rsidRPr="00730DE4">
              <w:rPr>
                <w:rStyle w:val="Strong"/>
              </w:rPr>
              <w:t xml:space="preserve">8,420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4EDBB2AF" w14:textId="77777777" w:rsidR="00730DE4" w:rsidRPr="00730DE4" w:rsidRDefault="00730DE4" w:rsidP="00F50AA9">
            <w:pPr>
              <w:pStyle w:val="NoSpacing"/>
              <w:jc w:val="right"/>
              <w:rPr>
                <w:b/>
                <w:bCs/>
              </w:rPr>
            </w:pPr>
            <w:r w:rsidRPr="00730DE4">
              <w:rPr>
                <w:rStyle w:val="Strong"/>
              </w:rPr>
              <w:t xml:space="preserve">943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5D62C474" w14:textId="77777777" w:rsidR="00730DE4" w:rsidRPr="00730DE4" w:rsidRDefault="00730DE4" w:rsidP="00F50AA9">
            <w:pPr>
              <w:pStyle w:val="NoSpacing"/>
              <w:jc w:val="right"/>
              <w:rPr>
                <w:b/>
                <w:bCs/>
              </w:rPr>
            </w:pPr>
            <w:r w:rsidRPr="00730DE4">
              <w:rPr>
                <w:rStyle w:val="Strong"/>
              </w:rPr>
              <w:t>(170,007)</w:t>
            </w:r>
          </w:p>
        </w:tc>
        <w:tc>
          <w:tcPr>
            <w:tcW w:w="608" w:type="pct"/>
            <w:tcBorders>
              <w:top w:val="single" w:sz="4" w:space="0" w:color="auto"/>
              <w:left w:val="dotted" w:sz="4" w:space="0" w:color="BFBFBF" w:themeColor="background1" w:themeShade="BF"/>
              <w:right w:val="nil"/>
            </w:tcBorders>
            <w:shd w:val="clear" w:color="auto" w:fill="F2F2F2" w:themeFill="background1" w:themeFillShade="F2"/>
            <w:noWrap/>
            <w:hideMark/>
          </w:tcPr>
          <w:p w14:paraId="31179106" w14:textId="77777777" w:rsidR="00730DE4" w:rsidRPr="00730DE4" w:rsidRDefault="00730DE4" w:rsidP="00F50AA9">
            <w:pPr>
              <w:pStyle w:val="NoSpacing"/>
              <w:jc w:val="right"/>
              <w:rPr>
                <w:rStyle w:val="Strong"/>
              </w:rPr>
            </w:pPr>
            <w:r w:rsidRPr="00730DE4">
              <w:rPr>
                <w:rStyle w:val="Strong"/>
              </w:rPr>
              <w:t xml:space="preserve">1,790,229 </w:t>
            </w:r>
          </w:p>
        </w:tc>
      </w:tr>
      <w:tr w:rsidR="00730DE4" w:rsidRPr="00730DE4" w14:paraId="7BE2C832" w14:textId="77777777" w:rsidTr="00D15008">
        <w:trPr>
          <w:trHeight w:val="340"/>
        </w:trPr>
        <w:tc>
          <w:tcPr>
            <w:tcW w:w="1352" w:type="pct"/>
            <w:tcBorders>
              <w:left w:val="nil"/>
              <w:bottom w:val="dotted" w:sz="4" w:space="0" w:color="BFBFBF" w:themeColor="background1" w:themeShade="BF"/>
              <w:right w:val="dotted" w:sz="4" w:space="0" w:color="BFBFBF" w:themeColor="background1" w:themeShade="BF"/>
            </w:tcBorders>
            <w:shd w:val="clear" w:color="auto" w:fill="auto"/>
            <w:vAlign w:val="bottom"/>
          </w:tcPr>
          <w:p w14:paraId="197931BC" w14:textId="77777777" w:rsidR="00730DE4" w:rsidRPr="00730DE4" w:rsidRDefault="00730DE4" w:rsidP="008354D6">
            <w:pPr>
              <w:pStyle w:val="NoSpacing"/>
              <w:rPr>
                <w:rStyle w:val="Strong"/>
              </w:rPr>
            </w:pPr>
            <w:r w:rsidRPr="00730DE4">
              <w:rPr>
                <w:rStyle w:val="Strong"/>
              </w:rPr>
              <w:t>Non-current liabilities</w:t>
            </w:r>
          </w:p>
        </w:tc>
        <w:tc>
          <w:tcPr>
            <w:tcW w:w="608"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5975AD12" w14:textId="77777777" w:rsidR="00730DE4" w:rsidRPr="00730DE4" w:rsidRDefault="00730DE4" w:rsidP="008354D6">
            <w:pPr>
              <w:pStyle w:val="NoSpacing"/>
              <w:jc w:val="right"/>
              <w:rPr>
                <w:rStyle w:val="Strong"/>
              </w:rPr>
            </w:pPr>
          </w:p>
        </w:tc>
        <w:tc>
          <w:tcPr>
            <w:tcW w:w="608"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127D7916" w14:textId="77777777" w:rsidR="00730DE4" w:rsidRPr="00730DE4" w:rsidRDefault="00730DE4" w:rsidP="008354D6">
            <w:pPr>
              <w:pStyle w:val="NoSpacing"/>
              <w:jc w:val="right"/>
              <w:rPr>
                <w:rStyle w:val="Strong"/>
              </w:rPr>
            </w:pPr>
          </w:p>
        </w:tc>
        <w:tc>
          <w:tcPr>
            <w:tcW w:w="608"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729B09E5" w14:textId="77777777" w:rsidR="00730DE4" w:rsidRPr="00730DE4" w:rsidRDefault="00730DE4" w:rsidP="008354D6">
            <w:pPr>
              <w:pStyle w:val="NoSpacing"/>
              <w:jc w:val="right"/>
              <w:rPr>
                <w:rStyle w:val="Strong"/>
              </w:rPr>
            </w:pPr>
          </w:p>
        </w:tc>
        <w:tc>
          <w:tcPr>
            <w:tcW w:w="608"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40D78C47" w14:textId="77777777" w:rsidR="00730DE4" w:rsidRPr="00730DE4" w:rsidRDefault="00730DE4" w:rsidP="008354D6">
            <w:pPr>
              <w:pStyle w:val="NoSpacing"/>
              <w:jc w:val="right"/>
              <w:rPr>
                <w:rStyle w:val="Strong"/>
              </w:rPr>
            </w:pPr>
          </w:p>
        </w:tc>
        <w:tc>
          <w:tcPr>
            <w:tcW w:w="608"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282D63D3" w14:textId="77777777" w:rsidR="00730DE4" w:rsidRPr="00730DE4" w:rsidRDefault="00730DE4" w:rsidP="008354D6">
            <w:pPr>
              <w:pStyle w:val="NoSpacing"/>
              <w:jc w:val="right"/>
              <w:rPr>
                <w:rStyle w:val="Strong"/>
              </w:rPr>
            </w:pPr>
          </w:p>
        </w:tc>
        <w:tc>
          <w:tcPr>
            <w:tcW w:w="608" w:type="pct"/>
            <w:tcBorders>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tcPr>
          <w:p w14:paraId="705B5BEF" w14:textId="77777777" w:rsidR="00730DE4" w:rsidRPr="00730DE4" w:rsidRDefault="00730DE4" w:rsidP="008354D6">
            <w:pPr>
              <w:pStyle w:val="NoSpacing"/>
              <w:jc w:val="right"/>
              <w:rPr>
                <w:rStyle w:val="Strong"/>
              </w:rPr>
            </w:pPr>
          </w:p>
        </w:tc>
      </w:tr>
      <w:tr w:rsidR="00730DE4" w:rsidRPr="00730DE4" w14:paraId="5F7A5E20" w14:textId="77777777" w:rsidTr="00D15008">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4627276A" w14:textId="77777777" w:rsidR="00730DE4" w:rsidRPr="00730DE4" w:rsidRDefault="00730DE4" w:rsidP="00F50AA9">
            <w:pPr>
              <w:pStyle w:val="NoSpacingIndent"/>
            </w:pPr>
            <w:r w:rsidRPr="00730DE4">
              <w:t>Borrowings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71FF415"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FE3BD05"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ED7382A"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1928ACF"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DE4023C" w14:textId="77777777" w:rsidR="00730DE4" w:rsidRPr="00730DE4" w:rsidRDefault="00730DE4" w:rsidP="008354D6">
            <w:pPr>
              <w:pStyle w:val="NoSpacing"/>
              <w:jc w:val="right"/>
            </w:pPr>
            <w:r w:rsidRPr="00730DE4">
              <w:t>(19,000)</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2F36AC3D" w14:textId="77777777" w:rsidR="00730DE4" w:rsidRPr="00730DE4" w:rsidRDefault="00730DE4" w:rsidP="008354D6">
            <w:pPr>
              <w:pStyle w:val="NoSpacing"/>
              <w:jc w:val="right"/>
              <w:rPr>
                <w:rStyle w:val="Strong"/>
              </w:rPr>
            </w:pPr>
            <w:r w:rsidRPr="00730DE4">
              <w:rPr>
                <w:rStyle w:val="Strong"/>
              </w:rPr>
              <w:t xml:space="preserve">1,082,889 </w:t>
            </w:r>
          </w:p>
        </w:tc>
      </w:tr>
      <w:tr w:rsidR="00730DE4" w:rsidRPr="00730DE4" w14:paraId="7C158A7F" w14:textId="77777777" w:rsidTr="00D15008">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7479D3C7" w14:textId="77777777" w:rsidR="00730DE4" w:rsidRPr="00730DE4" w:rsidRDefault="00730DE4" w:rsidP="00F50AA9">
            <w:pPr>
              <w:pStyle w:val="NoSpacingIndent"/>
            </w:pPr>
            <w:r w:rsidRPr="00730DE4">
              <w:t>Provisions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0BE778D"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5FD123F"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8B1D34D"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9042333"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EC74541"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0DB88D68" w14:textId="77777777" w:rsidR="00730DE4" w:rsidRPr="00730DE4" w:rsidRDefault="00730DE4" w:rsidP="008354D6">
            <w:pPr>
              <w:pStyle w:val="NoSpacing"/>
              <w:jc w:val="right"/>
              <w:rPr>
                <w:rStyle w:val="Strong"/>
              </w:rPr>
            </w:pPr>
            <w:r w:rsidRPr="00730DE4">
              <w:rPr>
                <w:rStyle w:val="Strong"/>
              </w:rPr>
              <w:t xml:space="preserve">202,654 </w:t>
            </w:r>
          </w:p>
        </w:tc>
      </w:tr>
      <w:tr w:rsidR="00730DE4" w:rsidRPr="00730DE4" w14:paraId="6CE9DC5F" w14:textId="77777777" w:rsidTr="00D15008">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616F216C" w14:textId="77777777" w:rsidR="00730DE4" w:rsidRPr="00730DE4" w:rsidRDefault="00730DE4" w:rsidP="00F50AA9">
            <w:pPr>
              <w:pStyle w:val="NoSpacingIndent"/>
            </w:pPr>
            <w:r w:rsidRPr="00730DE4">
              <w:t xml:space="preserve">Unearned revenue – service concession arrangements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F620CAA"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F8CCD31"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7A8BF53"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FC083A1"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786A555"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138192CF" w14:textId="77777777" w:rsidR="00730DE4" w:rsidRPr="00730DE4" w:rsidRDefault="00730DE4" w:rsidP="008354D6">
            <w:pPr>
              <w:pStyle w:val="NoSpacing"/>
              <w:jc w:val="right"/>
              <w:rPr>
                <w:rStyle w:val="Strong"/>
              </w:rPr>
            </w:pPr>
            <w:r w:rsidRPr="00730DE4">
              <w:rPr>
                <w:rStyle w:val="Strong"/>
              </w:rPr>
              <w:t xml:space="preserve">6,690,955 </w:t>
            </w:r>
          </w:p>
        </w:tc>
      </w:tr>
      <w:tr w:rsidR="00730DE4" w:rsidRPr="00730DE4" w14:paraId="6A01D008" w14:textId="77777777" w:rsidTr="00D15008">
        <w:trPr>
          <w:trHeight w:val="198"/>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62B82C29" w14:textId="77777777" w:rsidR="00730DE4" w:rsidRPr="00730DE4" w:rsidRDefault="00730DE4" w:rsidP="00F50AA9">
            <w:pPr>
              <w:pStyle w:val="NoSpacingIndent"/>
            </w:pPr>
            <w:r w:rsidRPr="00730DE4">
              <w:t>Lease liabilities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E830047" w14:textId="77777777" w:rsidR="00730DE4" w:rsidRPr="00730DE4" w:rsidRDefault="00730DE4" w:rsidP="008354D6">
            <w:pPr>
              <w:pStyle w:val="NoSpacing"/>
              <w:jc w:val="right"/>
            </w:pPr>
            <w:r w:rsidRPr="00730DE4">
              <w:t xml:space="preserve">66,841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2AE8667" w14:textId="77777777" w:rsidR="00730DE4" w:rsidRPr="00730DE4" w:rsidRDefault="00730DE4" w:rsidP="008354D6">
            <w:pPr>
              <w:pStyle w:val="NoSpacing"/>
              <w:jc w:val="right"/>
            </w:pPr>
            <w:r w:rsidRPr="00730DE4">
              <w:t xml:space="preserve">3,264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C66D264"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FA23047"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C22E77D"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52177C21" w14:textId="77777777" w:rsidR="00730DE4" w:rsidRPr="00730DE4" w:rsidRDefault="00730DE4" w:rsidP="008354D6">
            <w:pPr>
              <w:pStyle w:val="NoSpacing"/>
              <w:jc w:val="right"/>
              <w:rPr>
                <w:rStyle w:val="Strong"/>
              </w:rPr>
            </w:pPr>
            <w:r w:rsidRPr="00730DE4">
              <w:rPr>
                <w:rStyle w:val="Strong"/>
              </w:rPr>
              <w:t xml:space="preserve">73,557 </w:t>
            </w:r>
          </w:p>
        </w:tc>
      </w:tr>
      <w:tr w:rsidR="00730DE4" w:rsidRPr="00730DE4" w14:paraId="52D4B96E" w14:textId="77777777" w:rsidTr="00D15008">
        <w:trPr>
          <w:trHeight w:val="198"/>
        </w:trPr>
        <w:tc>
          <w:tcPr>
            <w:tcW w:w="1352"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vAlign w:val="bottom"/>
          </w:tcPr>
          <w:p w14:paraId="6296BF23" w14:textId="77777777" w:rsidR="00730DE4" w:rsidRPr="00730DE4" w:rsidRDefault="00730DE4" w:rsidP="00F50AA9">
            <w:pPr>
              <w:pStyle w:val="NoSpacingIndent"/>
            </w:pPr>
            <w:r w:rsidRPr="00730DE4">
              <w:t>Other</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4C2F81B3"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558F7DA7" w14:textId="77777777" w:rsidR="00730DE4" w:rsidRPr="00730DE4" w:rsidRDefault="00730DE4" w:rsidP="008354D6">
            <w:pPr>
              <w:pStyle w:val="NoSpacing"/>
              <w:jc w:val="right"/>
            </w:pPr>
            <w:r w:rsidRPr="00730DE4">
              <w:t xml:space="preserve">620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7CD45066"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781D45FF"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16134C0A" w14:textId="77777777" w:rsidR="00730DE4" w:rsidRPr="00730DE4" w:rsidRDefault="00730DE4" w:rsidP="008354D6">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F2F2F2" w:themeFill="background1" w:themeFillShade="F2"/>
            <w:noWrap/>
            <w:vAlign w:val="bottom"/>
            <w:hideMark/>
          </w:tcPr>
          <w:p w14:paraId="7D58CD9B" w14:textId="77777777" w:rsidR="00730DE4" w:rsidRPr="00730DE4" w:rsidRDefault="00730DE4" w:rsidP="008354D6">
            <w:pPr>
              <w:pStyle w:val="NoSpacing"/>
              <w:jc w:val="right"/>
              <w:rPr>
                <w:rStyle w:val="Strong"/>
              </w:rPr>
            </w:pPr>
            <w:r w:rsidRPr="00730DE4">
              <w:rPr>
                <w:rStyle w:val="Strong"/>
              </w:rPr>
              <w:t xml:space="preserve">620 </w:t>
            </w:r>
          </w:p>
        </w:tc>
      </w:tr>
      <w:tr w:rsidR="00730DE4" w:rsidRPr="00730DE4" w14:paraId="643F2CEC" w14:textId="77777777" w:rsidTr="00945B65">
        <w:tc>
          <w:tcPr>
            <w:tcW w:w="1352" w:type="pct"/>
            <w:tcBorders>
              <w:top w:val="single" w:sz="4" w:space="0" w:color="auto"/>
              <w:left w:val="nil"/>
              <w:right w:val="dotted" w:sz="4" w:space="0" w:color="BFBFBF" w:themeColor="background1" w:themeShade="BF"/>
            </w:tcBorders>
            <w:shd w:val="clear" w:color="auto" w:fill="auto"/>
          </w:tcPr>
          <w:p w14:paraId="45DA9032" w14:textId="77777777" w:rsidR="00730DE4" w:rsidRPr="00730DE4" w:rsidRDefault="00730DE4" w:rsidP="00F50AA9">
            <w:pPr>
              <w:pStyle w:val="NoSpacingIndent"/>
              <w:rPr>
                <w:rStyle w:val="Strong"/>
              </w:rPr>
            </w:pPr>
            <w:r w:rsidRPr="00730DE4">
              <w:rPr>
                <w:rStyle w:val="Strong"/>
              </w:rPr>
              <w:t>Total non-current liabilities</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6CDAA2D5" w14:textId="77777777" w:rsidR="00730DE4" w:rsidRPr="00730DE4" w:rsidRDefault="00730DE4" w:rsidP="00F50AA9">
            <w:pPr>
              <w:pStyle w:val="NoSpacing"/>
              <w:jc w:val="right"/>
              <w:rPr>
                <w:b/>
                <w:bCs/>
              </w:rPr>
            </w:pPr>
            <w:r w:rsidRPr="00730DE4">
              <w:rPr>
                <w:rStyle w:val="Strong"/>
              </w:rPr>
              <w:t xml:space="preserve">66,841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1AA5A8F6" w14:textId="77777777" w:rsidR="00730DE4" w:rsidRPr="00730DE4" w:rsidRDefault="00730DE4" w:rsidP="00F50AA9">
            <w:pPr>
              <w:pStyle w:val="NoSpacing"/>
              <w:jc w:val="right"/>
              <w:rPr>
                <w:b/>
                <w:bCs/>
              </w:rPr>
            </w:pPr>
            <w:r w:rsidRPr="00730DE4">
              <w:rPr>
                <w:rStyle w:val="Strong"/>
              </w:rPr>
              <w:t xml:space="preserve">3,884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604FA847" w14:textId="77777777" w:rsidR="00730DE4" w:rsidRPr="00730DE4" w:rsidRDefault="00730DE4" w:rsidP="00F50AA9">
            <w:pPr>
              <w:pStyle w:val="NoSpacing"/>
              <w:jc w:val="right"/>
              <w:rPr>
                <w:b/>
                <w:bCs/>
              </w:rPr>
            </w:pPr>
            <w:r w:rsidRPr="00730DE4">
              <w:rPr>
                <w:rStyle w:val="Strong"/>
              </w:rPr>
              <w:t xml:space="preserve">-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6AF78D7F" w14:textId="77777777" w:rsidR="00730DE4" w:rsidRPr="00730DE4" w:rsidRDefault="00730DE4" w:rsidP="00F50AA9">
            <w:pPr>
              <w:pStyle w:val="NoSpacing"/>
              <w:jc w:val="right"/>
              <w:rPr>
                <w:b/>
                <w:bCs/>
              </w:rPr>
            </w:pPr>
            <w:r w:rsidRPr="00730DE4">
              <w:rPr>
                <w:rStyle w:val="Strong"/>
              </w:rPr>
              <w:t xml:space="preserve">-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35FC3BF2" w14:textId="77777777" w:rsidR="00730DE4" w:rsidRPr="00730DE4" w:rsidRDefault="00730DE4" w:rsidP="00F50AA9">
            <w:pPr>
              <w:pStyle w:val="NoSpacing"/>
              <w:jc w:val="right"/>
              <w:rPr>
                <w:b/>
                <w:bCs/>
              </w:rPr>
            </w:pPr>
            <w:r w:rsidRPr="00730DE4">
              <w:rPr>
                <w:rStyle w:val="Strong"/>
              </w:rPr>
              <w:t>(19,000)</w:t>
            </w:r>
          </w:p>
        </w:tc>
        <w:tc>
          <w:tcPr>
            <w:tcW w:w="608" w:type="pct"/>
            <w:tcBorders>
              <w:top w:val="single" w:sz="4" w:space="0" w:color="auto"/>
              <w:left w:val="dotted" w:sz="4" w:space="0" w:color="BFBFBF" w:themeColor="background1" w:themeShade="BF"/>
              <w:right w:val="nil"/>
            </w:tcBorders>
            <w:shd w:val="clear" w:color="auto" w:fill="F2F2F2" w:themeFill="background1" w:themeFillShade="F2"/>
            <w:noWrap/>
            <w:hideMark/>
          </w:tcPr>
          <w:p w14:paraId="289481AA" w14:textId="77777777" w:rsidR="00730DE4" w:rsidRPr="00730DE4" w:rsidRDefault="00730DE4" w:rsidP="00F50AA9">
            <w:pPr>
              <w:pStyle w:val="NoSpacing"/>
              <w:jc w:val="right"/>
              <w:rPr>
                <w:rStyle w:val="Strong"/>
              </w:rPr>
            </w:pPr>
            <w:r w:rsidRPr="00730DE4">
              <w:rPr>
                <w:rStyle w:val="Strong"/>
              </w:rPr>
              <w:t xml:space="preserve">8,050,675 </w:t>
            </w:r>
          </w:p>
        </w:tc>
      </w:tr>
      <w:tr w:rsidR="00730DE4" w:rsidRPr="00730DE4" w14:paraId="0D32708F" w14:textId="77777777" w:rsidTr="00D15008">
        <w:trPr>
          <w:trHeight w:val="454"/>
        </w:trPr>
        <w:tc>
          <w:tcPr>
            <w:tcW w:w="1352" w:type="pct"/>
            <w:tcBorders>
              <w:left w:val="nil"/>
              <w:bottom w:val="double" w:sz="4" w:space="0" w:color="auto"/>
              <w:right w:val="dotted" w:sz="4" w:space="0" w:color="BFBFBF" w:themeColor="background1" w:themeShade="BF"/>
            </w:tcBorders>
            <w:shd w:val="clear" w:color="auto" w:fill="auto"/>
            <w:vAlign w:val="bottom"/>
          </w:tcPr>
          <w:p w14:paraId="66AB5597" w14:textId="77777777" w:rsidR="00730DE4" w:rsidRPr="00730DE4" w:rsidRDefault="00730DE4" w:rsidP="00D15008">
            <w:pPr>
              <w:pStyle w:val="NoSpacing"/>
              <w:rPr>
                <w:rStyle w:val="Strong"/>
              </w:rPr>
            </w:pPr>
            <w:r w:rsidRPr="00730DE4">
              <w:rPr>
                <w:rStyle w:val="Strong"/>
              </w:rPr>
              <w:t>Total liabilities</w:t>
            </w:r>
          </w:p>
        </w:tc>
        <w:tc>
          <w:tcPr>
            <w:tcW w:w="608" w:type="pct"/>
            <w:tcBorders>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vAlign w:val="bottom"/>
          </w:tcPr>
          <w:p w14:paraId="55FF655C" w14:textId="77777777" w:rsidR="00730DE4" w:rsidRPr="00730DE4" w:rsidRDefault="00730DE4" w:rsidP="00D15008">
            <w:pPr>
              <w:pStyle w:val="NoSpacing"/>
              <w:jc w:val="right"/>
              <w:rPr>
                <w:rStyle w:val="Strong"/>
              </w:rPr>
            </w:pPr>
            <w:r w:rsidRPr="00730DE4">
              <w:rPr>
                <w:rStyle w:val="Strong"/>
              </w:rPr>
              <w:t xml:space="preserve">155,605 </w:t>
            </w:r>
          </w:p>
        </w:tc>
        <w:tc>
          <w:tcPr>
            <w:tcW w:w="608" w:type="pct"/>
            <w:tcBorders>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vAlign w:val="bottom"/>
          </w:tcPr>
          <w:p w14:paraId="41E05CA7" w14:textId="77777777" w:rsidR="00730DE4" w:rsidRPr="00730DE4" w:rsidRDefault="00730DE4" w:rsidP="00D15008">
            <w:pPr>
              <w:pStyle w:val="NoSpacing"/>
              <w:jc w:val="right"/>
              <w:rPr>
                <w:rStyle w:val="Strong"/>
              </w:rPr>
            </w:pPr>
            <w:r w:rsidRPr="00730DE4">
              <w:rPr>
                <w:rStyle w:val="Strong"/>
              </w:rPr>
              <w:t xml:space="preserve">26,657 </w:t>
            </w:r>
          </w:p>
        </w:tc>
        <w:tc>
          <w:tcPr>
            <w:tcW w:w="608" w:type="pct"/>
            <w:tcBorders>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vAlign w:val="bottom"/>
          </w:tcPr>
          <w:p w14:paraId="574F5187" w14:textId="77777777" w:rsidR="00730DE4" w:rsidRPr="00730DE4" w:rsidRDefault="00730DE4" w:rsidP="00D15008">
            <w:pPr>
              <w:pStyle w:val="NoSpacing"/>
              <w:jc w:val="right"/>
              <w:rPr>
                <w:rStyle w:val="Strong"/>
              </w:rPr>
            </w:pPr>
            <w:r w:rsidRPr="00730DE4">
              <w:rPr>
                <w:rStyle w:val="Strong"/>
              </w:rPr>
              <w:t xml:space="preserve">8,420 </w:t>
            </w:r>
          </w:p>
        </w:tc>
        <w:tc>
          <w:tcPr>
            <w:tcW w:w="608" w:type="pct"/>
            <w:tcBorders>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vAlign w:val="bottom"/>
          </w:tcPr>
          <w:p w14:paraId="18F7803C" w14:textId="77777777" w:rsidR="00730DE4" w:rsidRPr="00730DE4" w:rsidRDefault="00730DE4" w:rsidP="00D15008">
            <w:pPr>
              <w:pStyle w:val="NoSpacing"/>
              <w:jc w:val="right"/>
              <w:rPr>
                <w:rStyle w:val="Strong"/>
              </w:rPr>
            </w:pPr>
            <w:r w:rsidRPr="00730DE4">
              <w:rPr>
                <w:rStyle w:val="Strong"/>
              </w:rPr>
              <w:t xml:space="preserve">943 </w:t>
            </w:r>
          </w:p>
        </w:tc>
        <w:tc>
          <w:tcPr>
            <w:tcW w:w="608" w:type="pct"/>
            <w:tcBorders>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vAlign w:val="bottom"/>
          </w:tcPr>
          <w:p w14:paraId="69FF4F9E" w14:textId="77777777" w:rsidR="00730DE4" w:rsidRPr="00730DE4" w:rsidRDefault="00730DE4" w:rsidP="00D15008">
            <w:pPr>
              <w:pStyle w:val="NoSpacing"/>
              <w:jc w:val="right"/>
              <w:rPr>
                <w:rStyle w:val="Strong"/>
              </w:rPr>
            </w:pPr>
            <w:r w:rsidRPr="00730DE4">
              <w:rPr>
                <w:rStyle w:val="Strong"/>
              </w:rPr>
              <w:t>(189,007)</w:t>
            </w:r>
          </w:p>
        </w:tc>
        <w:tc>
          <w:tcPr>
            <w:tcW w:w="608" w:type="pct"/>
            <w:tcBorders>
              <w:left w:val="dotted" w:sz="4" w:space="0" w:color="BFBFBF" w:themeColor="background1" w:themeShade="BF"/>
              <w:bottom w:val="double" w:sz="4" w:space="0" w:color="auto"/>
              <w:right w:val="nil"/>
            </w:tcBorders>
            <w:shd w:val="clear" w:color="auto" w:fill="F2F2F2" w:themeFill="background1" w:themeFillShade="F2"/>
            <w:noWrap/>
            <w:vAlign w:val="bottom"/>
          </w:tcPr>
          <w:p w14:paraId="029E47BB" w14:textId="77777777" w:rsidR="00730DE4" w:rsidRPr="00730DE4" w:rsidRDefault="00730DE4" w:rsidP="00D15008">
            <w:pPr>
              <w:pStyle w:val="NoSpacing"/>
              <w:jc w:val="right"/>
              <w:rPr>
                <w:rStyle w:val="Strong"/>
              </w:rPr>
            </w:pPr>
            <w:r w:rsidRPr="00730DE4">
              <w:rPr>
                <w:rStyle w:val="Strong"/>
              </w:rPr>
              <w:t xml:space="preserve">9,840,904 </w:t>
            </w:r>
          </w:p>
        </w:tc>
      </w:tr>
    </w:tbl>
    <w:p w14:paraId="6314C417" w14:textId="77777777" w:rsidR="00730DE4" w:rsidRPr="00730DE4" w:rsidRDefault="00730DE4"/>
    <w:p w14:paraId="2EB38249" w14:textId="77777777" w:rsidR="00730DE4" w:rsidRPr="00730DE4" w:rsidRDefault="00730DE4" w:rsidP="00A9765E">
      <w:pPr>
        <w:pStyle w:val="NoSpacing"/>
        <w:rPr>
          <w:b/>
          <w:bCs/>
          <w:sz w:val="24"/>
          <w:szCs w:val="24"/>
        </w:rPr>
      </w:pPr>
      <w:r w:rsidRPr="00730DE4">
        <w:rPr>
          <w:b/>
          <w:bCs/>
          <w:sz w:val="24"/>
          <w:szCs w:val="24"/>
        </w:rPr>
        <w:t>Statement of assets and liabilities by major departmental services (continued)</w:t>
      </w:r>
    </w:p>
    <w:p w14:paraId="3799F034" w14:textId="77777777" w:rsidR="00730DE4" w:rsidRPr="00730DE4" w:rsidRDefault="00730DE4" w:rsidP="00A9765E">
      <w:pPr>
        <w:pStyle w:val="NoSpacing"/>
        <w:rPr>
          <w:sz w:val="24"/>
          <w:szCs w:val="24"/>
        </w:rPr>
      </w:pPr>
      <w:r w:rsidRPr="00730DE4">
        <w:rPr>
          <w:sz w:val="24"/>
          <w:szCs w:val="24"/>
        </w:rPr>
        <w:t>As at 30 June 2024</w:t>
      </w:r>
    </w:p>
    <w:p w14:paraId="27A0D1E2" w14:textId="77777777" w:rsidR="00730DE4" w:rsidRPr="00730DE4" w:rsidRDefault="00730DE4" w:rsidP="00A9765E">
      <w:pPr>
        <w:pStyle w:val="NoSpacing"/>
      </w:pPr>
    </w:p>
    <w:tbl>
      <w:tblPr>
        <w:tblW w:w="5000" w:type="pct"/>
        <w:tblCellMar>
          <w:top w:w="23" w:type="dxa"/>
          <w:left w:w="23" w:type="dxa"/>
          <w:bottom w:w="23" w:type="dxa"/>
          <w:right w:w="23" w:type="dxa"/>
        </w:tblCellMar>
        <w:tblLook w:val="04A0" w:firstRow="1" w:lastRow="0" w:firstColumn="1" w:lastColumn="0" w:noHBand="0" w:noVBand="1"/>
      </w:tblPr>
      <w:tblGrid>
        <w:gridCol w:w="5671"/>
        <w:gridCol w:w="2550"/>
        <w:gridCol w:w="2550"/>
        <w:gridCol w:w="2551"/>
        <w:gridCol w:w="2551"/>
        <w:gridCol w:w="2551"/>
        <w:gridCol w:w="2551"/>
      </w:tblGrid>
      <w:tr w:rsidR="00730DE4" w:rsidRPr="00730DE4" w14:paraId="09EA19A9" w14:textId="77777777" w:rsidTr="008A2F83">
        <w:trPr>
          <w:cantSplit/>
        </w:trPr>
        <w:tc>
          <w:tcPr>
            <w:tcW w:w="1352" w:type="pct"/>
            <w:tcBorders>
              <w:top w:val="nil"/>
              <w:left w:val="nil"/>
              <w:bottom w:val="single" w:sz="4" w:space="0" w:color="auto"/>
              <w:right w:val="nil"/>
            </w:tcBorders>
            <w:vAlign w:val="bottom"/>
          </w:tcPr>
          <w:p w14:paraId="5FA0A085" w14:textId="77777777" w:rsidR="00730DE4" w:rsidRPr="00730DE4" w:rsidRDefault="00730DE4" w:rsidP="00DE72D1">
            <w:pPr>
              <w:pStyle w:val="NoSpacing"/>
              <w:rPr>
                <w:rStyle w:val="Strong"/>
              </w:rPr>
            </w:pPr>
          </w:p>
        </w:tc>
        <w:tc>
          <w:tcPr>
            <w:tcW w:w="608" w:type="pct"/>
            <w:tcBorders>
              <w:top w:val="nil"/>
              <w:left w:val="nil"/>
              <w:bottom w:val="single" w:sz="4" w:space="0" w:color="auto"/>
              <w:right w:val="nil"/>
            </w:tcBorders>
            <w:shd w:val="clear" w:color="auto" w:fill="auto"/>
            <w:vAlign w:val="bottom"/>
            <w:hideMark/>
          </w:tcPr>
          <w:p w14:paraId="303AEADB" w14:textId="77777777" w:rsidR="00730DE4" w:rsidRPr="00730DE4" w:rsidRDefault="00730DE4" w:rsidP="00DE72D1">
            <w:pPr>
              <w:pStyle w:val="NoSpacing"/>
              <w:jc w:val="right"/>
              <w:rPr>
                <w:b/>
                <w:bCs/>
              </w:rPr>
            </w:pPr>
            <w:r w:rsidRPr="00730DE4">
              <w:rPr>
                <w:rStyle w:val="Strong"/>
              </w:rPr>
              <w:t xml:space="preserve">Transport system investment planning and programming </w:t>
            </w:r>
            <w:r w:rsidRPr="00730DE4">
              <w:rPr>
                <w:rStyle w:val="Strong"/>
              </w:rPr>
              <w:br/>
            </w:r>
            <w:r w:rsidRPr="00730DE4">
              <w:rPr>
                <w:rStyle w:val="Strong"/>
              </w:rPr>
              <w:br/>
              <w:t xml:space="preserve">2023 </w:t>
            </w:r>
            <w:r w:rsidRPr="00730DE4">
              <w:rPr>
                <w:rStyle w:val="Strong"/>
              </w:rPr>
              <w:br/>
              <w:t>$'000</w:t>
            </w:r>
          </w:p>
        </w:tc>
        <w:tc>
          <w:tcPr>
            <w:tcW w:w="608" w:type="pct"/>
            <w:tcBorders>
              <w:top w:val="nil"/>
              <w:left w:val="nil"/>
              <w:bottom w:val="single" w:sz="4" w:space="0" w:color="auto"/>
              <w:right w:val="nil"/>
            </w:tcBorders>
            <w:shd w:val="clear" w:color="auto" w:fill="auto"/>
            <w:vAlign w:val="bottom"/>
            <w:hideMark/>
          </w:tcPr>
          <w:p w14:paraId="5F50938C" w14:textId="77777777" w:rsidR="00730DE4" w:rsidRPr="00730DE4" w:rsidRDefault="00730DE4" w:rsidP="00DE72D1">
            <w:pPr>
              <w:pStyle w:val="NoSpacing"/>
              <w:jc w:val="right"/>
              <w:rPr>
                <w:b/>
                <w:bCs/>
              </w:rPr>
            </w:pPr>
            <w:r w:rsidRPr="00730DE4">
              <w:rPr>
                <w:rStyle w:val="Strong"/>
              </w:rPr>
              <w:t xml:space="preserve">Transport infrastructure management and </w:t>
            </w:r>
            <w:r w:rsidRPr="00730DE4">
              <w:rPr>
                <w:rStyle w:val="Strong"/>
              </w:rPr>
              <w:br/>
              <w:t xml:space="preserve">delivery </w:t>
            </w:r>
            <w:r w:rsidRPr="00730DE4">
              <w:rPr>
                <w:rStyle w:val="Strong"/>
              </w:rPr>
              <w:br/>
            </w:r>
            <w:r w:rsidRPr="00730DE4">
              <w:rPr>
                <w:rStyle w:val="Strong"/>
              </w:rPr>
              <w:br/>
              <w:t xml:space="preserve">2023 </w:t>
            </w:r>
            <w:r w:rsidRPr="00730DE4">
              <w:rPr>
                <w:rStyle w:val="Strong"/>
              </w:rPr>
              <w:br/>
              <w:t>$'000</w:t>
            </w:r>
          </w:p>
        </w:tc>
        <w:tc>
          <w:tcPr>
            <w:tcW w:w="608" w:type="pct"/>
            <w:tcBorders>
              <w:top w:val="nil"/>
              <w:left w:val="nil"/>
              <w:bottom w:val="single" w:sz="4" w:space="0" w:color="auto"/>
              <w:right w:val="nil"/>
            </w:tcBorders>
            <w:shd w:val="clear" w:color="auto" w:fill="auto"/>
            <w:vAlign w:val="bottom"/>
            <w:hideMark/>
          </w:tcPr>
          <w:p w14:paraId="31394058" w14:textId="77777777" w:rsidR="00730DE4" w:rsidRPr="00730DE4" w:rsidRDefault="00730DE4" w:rsidP="00DE72D1">
            <w:pPr>
              <w:pStyle w:val="NoSpacing"/>
              <w:jc w:val="right"/>
              <w:rPr>
                <w:b/>
                <w:bCs/>
              </w:rPr>
            </w:pPr>
            <w:r w:rsidRPr="00730DE4">
              <w:rPr>
                <w:rStyle w:val="Strong"/>
              </w:rPr>
              <w:t>Transport safety and regulation</w:t>
            </w:r>
            <w:r w:rsidRPr="00730DE4">
              <w:rPr>
                <w:rStyle w:val="Strong"/>
              </w:rPr>
              <w:br/>
              <w:t xml:space="preserve"> </w:t>
            </w:r>
            <w:r w:rsidRPr="00730DE4">
              <w:rPr>
                <w:rStyle w:val="Strong"/>
              </w:rPr>
              <w:br/>
            </w:r>
            <w:r w:rsidRPr="00730DE4">
              <w:rPr>
                <w:rStyle w:val="Strong"/>
              </w:rPr>
              <w:br/>
              <w:t xml:space="preserve">2023 </w:t>
            </w:r>
            <w:r w:rsidRPr="00730DE4">
              <w:rPr>
                <w:rStyle w:val="Strong"/>
              </w:rPr>
              <w:br/>
              <w:t>$'000</w:t>
            </w:r>
          </w:p>
        </w:tc>
        <w:tc>
          <w:tcPr>
            <w:tcW w:w="608" w:type="pct"/>
            <w:tcBorders>
              <w:top w:val="nil"/>
              <w:left w:val="nil"/>
              <w:bottom w:val="single" w:sz="4" w:space="0" w:color="auto"/>
              <w:right w:val="nil"/>
            </w:tcBorders>
            <w:shd w:val="clear" w:color="auto" w:fill="auto"/>
            <w:vAlign w:val="bottom"/>
            <w:hideMark/>
          </w:tcPr>
          <w:p w14:paraId="7C664BAD" w14:textId="77777777" w:rsidR="00730DE4" w:rsidRPr="00730DE4" w:rsidRDefault="00730DE4" w:rsidP="00DE72D1">
            <w:pPr>
              <w:pStyle w:val="NoSpacing"/>
              <w:jc w:val="right"/>
              <w:rPr>
                <w:b/>
                <w:bCs/>
              </w:rPr>
            </w:pPr>
            <w:r w:rsidRPr="00730DE4">
              <w:rPr>
                <w:rStyle w:val="Strong"/>
              </w:rPr>
              <w:t>Customer experience</w:t>
            </w:r>
            <w:r w:rsidRPr="00730DE4">
              <w:rPr>
                <w:rStyle w:val="Strong"/>
              </w:rPr>
              <w:br/>
            </w:r>
            <w:r w:rsidRPr="00730DE4">
              <w:rPr>
                <w:rStyle w:val="Strong"/>
              </w:rPr>
              <w:br/>
              <w:t xml:space="preserve"> </w:t>
            </w:r>
            <w:r w:rsidRPr="00730DE4">
              <w:rPr>
                <w:rStyle w:val="Strong"/>
              </w:rPr>
              <w:br/>
            </w:r>
            <w:r w:rsidRPr="00730DE4">
              <w:rPr>
                <w:rStyle w:val="Strong"/>
              </w:rPr>
              <w:br/>
              <w:t xml:space="preserve">2023 </w:t>
            </w:r>
            <w:r w:rsidRPr="00730DE4">
              <w:rPr>
                <w:rStyle w:val="Strong"/>
              </w:rPr>
              <w:br/>
              <w:t>$'000</w:t>
            </w:r>
          </w:p>
        </w:tc>
        <w:tc>
          <w:tcPr>
            <w:tcW w:w="608" w:type="pct"/>
            <w:tcBorders>
              <w:top w:val="nil"/>
              <w:left w:val="nil"/>
              <w:bottom w:val="single" w:sz="4" w:space="0" w:color="auto"/>
              <w:right w:val="nil"/>
            </w:tcBorders>
            <w:shd w:val="clear" w:color="auto" w:fill="auto"/>
            <w:vAlign w:val="bottom"/>
            <w:hideMark/>
          </w:tcPr>
          <w:p w14:paraId="7B7238A2" w14:textId="77777777" w:rsidR="00730DE4" w:rsidRPr="00730DE4" w:rsidRDefault="00730DE4" w:rsidP="00DE72D1">
            <w:pPr>
              <w:pStyle w:val="NoSpacing"/>
              <w:jc w:val="right"/>
              <w:rPr>
                <w:b/>
                <w:bCs/>
              </w:rPr>
            </w:pPr>
            <w:r w:rsidRPr="00730DE4">
              <w:rPr>
                <w:rStyle w:val="Strong"/>
              </w:rPr>
              <w:t>Passenger transport services</w:t>
            </w:r>
            <w:r w:rsidRPr="00730DE4">
              <w:rPr>
                <w:rStyle w:val="Strong"/>
              </w:rPr>
              <w:br/>
              <w:t xml:space="preserve"> </w:t>
            </w:r>
            <w:r w:rsidRPr="00730DE4">
              <w:rPr>
                <w:rStyle w:val="Strong"/>
              </w:rPr>
              <w:br/>
            </w:r>
            <w:r w:rsidRPr="00730DE4">
              <w:rPr>
                <w:rStyle w:val="Strong"/>
              </w:rPr>
              <w:br/>
              <w:t xml:space="preserve">2023 </w:t>
            </w:r>
            <w:r w:rsidRPr="00730DE4">
              <w:rPr>
                <w:rStyle w:val="Strong"/>
              </w:rPr>
              <w:br/>
              <w:t>$'000</w:t>
            </w:r>
          </w:p>
        </w:tc>
        <w:tc>
          <w:tcPr>
            <w:tcW w:w="608" w:type="pct"/>
            <w:tcBorders>
              <w:top w:val="nil"/>
              <w:left w:val="nil"/>
              <w:bottom w:val="single" w:sz="4" w:space="0" w:color="auto"/>
              <w:right w:val="nil"/>
            </w:tcBorders>
            <w:shd w:val="clear" w:color="auto" w:fill="auto"/>
            <w:vAlign w:val="bottom"/>
            <w:hideMark/>
          </w:tcPr>
          <w:p w14:paraId="67F3AABE" w14:textId="77777777" w:rsidR="00730DE4" w:rsidRPr="00730DE4" w:rsidRDefault="00730DE4" w:rsidP="00DE72D1">
            <w:pPr>
              <w:pStyle w:val="NoSpacing"/>
              <w:jc w:val="right"/>
              <w:rPr>
                <w:rStyle w:val="Strong"/>
              </w:rPr>
            </w:pPr>
            <w:r w:rsidRPr="00730DE4">
              <w:rPr>
                <w:rStyle w:val="Strong"/>
              </w:rPr>
              <w:t xml:space="preserve">Transport infrastructure construction and maintenance </w:t>
            </w:r>
            <w:r w:rsidRPr="00730DE4">
              <w:rPr>
                <w:rStyle w:val="Strong"/>
              </w:rPr>
              <w:br/>
            </w:r>
            <w:r w:rsidRPr="00730DE4">
              <w:rPr>
                <w:rStyle w:val="Strong"/>
              </w:rPr>
              <w:br/>
              <w:t xml:space="preserve">2023 </w:t>
            </w:r>
            <w:r w:rsidRPr="00730DE4">
              <w:rPr>
                <w:rStyle w:val="Strong"/>
              </w:rPr>
              <w:br/>
              <w:t>$'000</w:t>
            </w:r>
          </w:p>
        </w:tc>
      </w:tr>
      <w:tr w:rsidR="00730DE4" w:rsidRPr="00730DE4" w14:paraId="0F511162" w14:textId="77777777" w:rsidTr="007F423A">
        <w:trPr>
          <w:cantSplit/>
          <w:trHeight w:val="454"/>
        </w:trPr>
        <w:tc>
          <w:tcPr>
            <w:tcW w:w="1352"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vAlign w:val="bottom"/>
          </w:tcPr>
          <w:p w14:paraId="74E72BAD" w14:textId="77777777" w:rsidR="00730DE4" w:rsidRPr="00730DE4" w:rsidRDefault="00730DE4" w:rsidP="00DE72D1">
            <w:pPr>
              <w:pStyle w:val="NoSpacing"/>
              <w:rPr>
                <w:rStyle w:val="Strong"/>
              </w:rPr>
            </w:pPr>
            <w:r w:rsidRPr="00730DE4">
              <w:rPr>
                <w:rStyle w:val="Strong"/>
              </w:rPr>
              <w:t>Assets</w:t>
            </w: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63839065" w14:textId="77777777" w:rsidR="00730DE4" w:rsidRPr="00730DE4" w:rsidRDefault="00730DE4" w:rsidP="00DE72D1">
            <w:pPr>
              <w:pStyle w:val="NoSpacing"/>
              <w:jc w:val="right"/>
              <w:rPr>
                <w:rStyle w:val="Strong"/>
              </w:rPr>
            </w:pP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494758F8" w14:textId="77777777" w:rsidR="00730DE4" w:rsidRPr="00730DE4" w:rsidRDefault="00730DE4" w:rsidP="00DE72D1">
            <w:pPr>
              <w:pStyle w:val="NoSpacing"/>
              <w:jc w:val="right"/>
              <w:rPr>
                <w:rStyle w:val="Strong"/>
              </w:rPr>
            </w:pP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512CF99C" w14:textId="77777777" w:rsidR="00730DE4" w:rsidRPr="00730DE4" w:rsidRDefault="00730DE4" w:rsidP="00DE72D1">
            <w:pPr>
              <w:pStyle w:val="NoSpacing"/>
              <w:jc w:val="right"/>
              <w:rPr>
                <w:rStyle w:val="Strong"/>
              </w:rPr>
            </w:pP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4570B581" w14:textId="77777777" w:rsidR="00730DE4" w:rsidRPr="00730DE4" w:rsidRDefault="00730DE4" w:rsidP="00DE72D1">
            <w:pPr>
              <w:pStyle w:val="NoSpacing"/>
              <w:jc w:val="right"/>
              <w:rPr>
                <w:rStyle w:val="Strong"/>
              </w:rPr>
            </w:pP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0FEFFBEB" w14:textId="77777777" w:rsidR="00730DE4" w:rsidRPr="00730DE4" w:rsidRDefault="00730DE4" w:rsidP="00DE72D1">
            <w:pPr>
              <w:pStyle w:val="NoSpacing"/>
              <w:jc w:val="right"/>
              <w:rPr>
                <w:rStyle w:val="Strong"/>
              </w:rPr>
            </w:pPr>
          </w:p>
        </w:tc>
        <w:tc>
          <w:tcPr>
            <w:tcW w:w="608"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vAlign w:val="bottom"/>
          </w:tcPr>
          <w:p w14:paraId="04A028FC" w14:textId="77777777" w:rsidR="00730DE4" w:rsidRPr="00730DE4" w:rsidRDefault="00730DE4" w:rsidP="00DE72D1">
            <w:pPr>
              <w:pStyle w:val="NoSpacing"/>
              <w:jc w:val="right"/>
              <w:rPr>
                <w:rStyle w:val="Strong"/>
              </w:rPr>
            </w:pPr>
          </w:p>
        </w:tc>
      </w:tr>
      <w:tr w:rsidR="00730DE4" w:rsidRPr="00730DE4" w14:paraId="1B2623AB" w14:textId="77777777" w:rsidTr="007F423A">
        <w:trPr>
          <w:cantSplit/>
          <w:trHeight w:val="340"/>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34149B2B" w14:textId="77777777" w:rsidR="00730DE4" w:rsidRPr="00730DE4" w:rsidRDefault="00730DE4" w:rsidP="00662028">
            <w:pPr>
              <w:pStyle w:val="NoSpacingIndent"/>
              <w:rPr>
                <w:rStyle w:val="Strong"/>
              </w:rPr>
            </w:pPr>
            <w:r w:rsidRPr="00730DE4">
              <w:rPr>
                <w:rStyle w:val="Strong"/>
              </w:rPr>
              <w:t>Current assets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15918DCD" w14:textId="77777777" w:rsidR="00730DE4" w:rsidRPr="00730DE4" w:rsidRDefault="00730DE4" w:rsidP="00DE72D1">
            <w:pPr>
              <w:pStyle w:val="NoSpacing"/>
              <w:jc w:val="right"/>
              <w:rPr>
                <w:rStyle w:val="Strong"/>
              </w:rPr>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0BF9A866" w14:textId="77777777" w:rsidR="00730DE4" w:rsidRPr="00730DE4" w:rsidRDefault="00730DE4" w:rsidP="00DE72D1">
            <w:pPr>
              <w:pStyle w:val="NoSpacing"/>
              <w:jc w:val="right"/>
              <w:rPr>
                <w:rStyle w:val="Strong"/>
              </w:rPr>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03BE0A01" w14:textId="77777777" w:rsidR="00730DE4" w:rsidRPr="00730DE4" w:rsidRDefault="00730DE4" w:rsidP="00DE72D1">
            <w:pPr>
              <w:pStyle w:val="NoSpacing"/>
              <w:jc w:val="right"/>
              <w:rPr>
                <w:rStyle w:val="Strong"/>
              </w:rPr>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2C927DA4" w14:textId="77777777" w:rsidR="00730DE4" w:rsidRPr="00730DE4" w:rsidRDefault="00730DE4" w:rsidP="00DE72D1">
            <w:pPr>
              <w:pStyle w:val="NoSpacing"/>
              <w:jc w:val="right"/>
              <w:rPr>
                <w:rStyle w:val="Strong"/>
              </w:rPr>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0AEAB5AD" w14:textId="77777777" w:rsidR="00730DE4" w:rsidRPr="00730DE4" w:rsidRDefault="00730DE4" w:rsidP="00DE72D1">
            <w:pPr>
              <w:pStyle w:val="NoSpacing"/>
              <w:jc w:val="right"/>
              <w:rPr>
                <w:rStyle w:val="Strong"/>
              </w:rPr>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tcPr>
          <w:p w14:paraId="6948710E" w14:textId="77777777" w:rsidR="00730DE4" w:rsidRPr="00730DE4" w:rsidRDefault="00730DE4" w:rsidP="00DE72D1">
            <w:pPr>
              <w:pStyle w:val="NoSpacing"/>
              <w:jc w:val="right"/>
              <w:rPr>
                <w:rStyle w:val="Strong"/>
              </w:rPr>
            </w:pPr>
          </w:p>
        </w:tc>
      </w:tr>
      <w:tr w:rsidR="00730DE4" w:rsidRPr="00730DE4" w14:paraId="22639DC8" w14:textId="77777777" w:rsidTr="007F423A">
        <w:trPr>
          <w:cantSplit/>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21331B15" w14:textId="77777777" w:rsidR="00730DE4" w:rsidRPr="00730DE4" w:rsidRDefault="00730DE4" w:rsidP="00662028">
            <w:pPr>
              <w:pStyle w:val="NoSpacingIndent"/>
            </w:pPr>
            <w:r w:rsidRPr="00730DE4">
              <w:t>Cash</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0A2C4CD" w14:textId="77777777" w:rsidR="00730DE4" w:rsidRPr="00730DE4" w:rsidRDefault="00730DE4" w:rsidP="00DE72D1">
            <w:pPr>
              <w:pStyle w:val="NoSpacing"/>
              <w:jc w:val="right"/>
            </w:pPr>
            <w:r w:rsidRPr="00730DE4">
              <w:t xml:space="preserve">11,911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F64D3F3" w14:textId="77777777" w:rsidR="00730DE4" w:rsidRPr="00730DE4" w:rsidRDefault="00730DE4" w:rsidP="00DE72D1">
            <w:pPr>
              <w:pStyle w:val="NoSpacing"/>
              <w:jc w:val="right"/>
            </w:pPr>
            <w:r w:rsidRPr="00730DE4">
              <w:t xml:space="preserve">131,224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A23E533" w14:textId="77777777" w:rsidR="00730DE4" w:rsidRPr="00730DE4" w:rsidRDefault="00730DE4" w:rsidP="00DE72D1">
            <w:pPr>
              <w:pStyle w:val="NoSpacing"/>
              <w:jc w:val="right"/>
            </w:pPr>
            <w:r w:rsidRPr="00730DE4">
              <w:t xml:space="preserve">35,907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E1C99C9" w14:textId="77777777" w:rsidR="00730DE4" w:rsidRPr="00730DE4" w:rsidRDefault="00730DE4" w:rsidP="00DE72D1">
            <w:pPr>
              <w:pStyle w:val="NoSpacing"/>
              <w:jc w:val="right"/>
            </w:pPr>
            <w:r w:rsidRPr="00730DE4">
              <w:t xml:space="preserve">46,548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A44A011" w14:textId="77777777" w:rsidR="00730DE4" w:rsidRPr="00730DE4" w:rsidRDefault="00730DE4" w:rsidP="00DE72D1">
            <w:pPr>
              <w:pStyle w:val="NoSpacing"/>
              <w:jc w:val="right"/>
            </w:pPr>
            <w:r w:rsidRPr="00730DE4">
              <w:t xml:space="preserve">369,349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5BD8352" w14:textId="77777777" w:rsidR="00730DE4" w:rsidRPr="00730DE4" w:rsidRDefault="00730DE4" w:rsidP="00DE72D1">
            <w:pPr>
              <w:pStyle w:val="NoSpacing"/>
              <w:jc w:val="right"/>
            </w:pPr>
            <w:r w:rsidRPr="00730DE4">
              <w:t xml:space="preserve">6,305 </w:t>
            </w:r>
          </w:p>
        </w:tc>
      </w:tr>
      <w:tr w:rsidR="00730DE4" w:rsidRPr="00730DE4" w14:paraId="660291C3" w14:textId="77777777" w:rsidTr="007F423A">
        <w:trPr>
          <w:cantSplit/>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62A8D5F3" w14:textId="77777777" w:rsidR="00730DE4" w:rsidRPr="00730DE4" w:rsidRDefault="00730DE4" w:rsidP="00662028">
            <w:pPr>
              <w:pStyle w:val="NoSpacingIndent"/>
            </w:pPr>
            <w:r w:rsidRPr="00730DE4">
              <w:t>Receivables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224B262" w14:textId="77777777" w:rsidR="00730DE4" w:rsidRPr="00730DE4" w:rsidRDefault="00730DE4" w:rsidP="00DE72D1">
            <w:pPr>
              <w:pStyle w:val="NoSpacing"/>
              <w:jc w:val="right"/>
            </w:pPr>
            <w:r w:rsidRPr="00730DE4">
              <w:t xml:space="preserve">9,073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4DC0AAE" w14:textId="77777777" w:rsidR="00730DE4" w:rsidRPr="00730DE4" w:rsidRDefault="00730DE4" w:rsidP="00DE72D1">
            <w:pPr>
              <w:pStyle w:val="NoSpacing"/>
              <w:jc w:val="right"/>
            </w:pPr>
            <w:r w:rsidRPr="00730DE4">
              <w:t xml:space="preserve">23,635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8928E15" w14:textId="77777777" w:rsidR="00730DE4" w:rsidRPr="00730DE4" w:rsidRDefault="00730DE4" w:rsidP="00DE72D1">
            <w:pPr>
              <w:pStyle w:val="NoSpacing"/>
              <w:jc w:val="right"/>
            </w:pPr>
            <w:r w:rsidRPr="00730DE4">
              <w:t xml:space="preserve">69,013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9617014" w14:textId="77777777" w:rsidR="00730DE4" w:rsidRPr="00730DE4" w:rsidRDefault="00730DE4" w:rsidP="00DE72D1">
            <w:pPr>
              <w:pStyle w:val="NoSpacing"/>
              <w:jc w:val="right"/>
            </w:pPr>
            <w:r w:rsidRPr="00730DE4">
              <w:t xml:space="preserve">4,017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A158ECD" w14:textId="77777777" w:rsidR="00730DE4" w:rsidRPr="00730DE4" w:rsidRDefault="00730DE4" w:rsidP="00DE72D1">
            <w:pPr>
              <w:pStyle w:val="NoSpacing"/>
              <w:jc w:val="right"/>
            </w:pPr>
            <w:r w:rsidRPr="00730DE4">
              <w:t xml:space="preserve">74,453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81418A6" w14:textId="77777777" w:rsidR="00730DE4" w:rsidRPr="00730DE4" w:rsidRDefault="00730DE4" w:rsidP="00DE72D1">
            <w:pPr>
              <w:pStyle w:val="NoSpacing"/>
              <w:jc w:val="right"/>
            </w:pPr>
            <w:r w:rsidRPr="00730DE4">
              <w:t xml:space="preserve">65,866 </w:t>
            </w:r>
          </w:p>
        </w:tc>
      </w:tr>
      <w:tr w:rsidR="00730DE4" w:rsidRPr="00730DE4" w14:paraId="7C2FE494" w14:textId="77777777" w:rsidTr="007F423A">
        <w:trPr>
          <w:cantSplit/>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0B9ED08B" w14:textId="77777777" w:rsidR="00730DE4" w:rsidRPr="00730DE4" w:rsidRDefault="00730DE4" w:rsidP="00662028">
            <w:pPr>
              <w:pStyle w:val="NoSpacingIndent"/>
            </w:pPr>
            <w:r w:rsidRPr="00730DE4">
              <w:t>Inventories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6B30AC8"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DB193E3" w14:textId="77777777" w:rsidR="00730DE4" w:rsidRPr="00730DE4" w:rsidRDefault="00730DE4" w:rsidP="00DE72D1">
            <w:pPr>
              <w:pStyle w:val="NoSpacing"/>
              <w:jc w:val="right"/>
            </w:pPr>
            <w:r w:rsidRPr="00730DE4">
              <w:t xml:space="preserve">1,196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08367A0" w14:textId="77777777" w:rsidR="00730DE4" w:rsidRPr="00730DE4" w:rsidRDefault="00730DE4" w:rsidP="00DE72D1">
            <w:pPr>
              <w:pStyle w:val="NoSpacing"/>
              <w:jc w:val="right"/>
            </w:pPr>
            <w:r w:rsidRPr="00730DE4">
              <w:t xml:space="preserve">1,518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C2B17D9" w14:textId="77777777" w:rsidR="00730DE4" w:rsidRPr="00730DE4" w:rsidRDefault="00730DE4" w:rsidP="00DE72D1">
            <w:pPr>
              <w:pStyle w:val="NoSpacing"/>
              <w:jc w:val="right"/>
            </w:pPr>
            <w:r w:rsidRPr="00730DE4">
              <w:t xml:space="preserve">170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C3EDEE9" w14:textId="77777777" w:rsidR="00730DE4" w:rsidRPr="00730DE4" w:rsidRDefault="00730DE4" w:rsidP="00DE72D1">
            <w:pPr>
              <w:pStyle w:val="NoSpacing"/>
              <w:jc w:val="right"/>
            </w:pPr>
            <w:r w:rsidRPr="00730DE4">
              <w:t xml:space="preserve">3,407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2FA6CE2" w14:textId="77777777" w:rsidR="00730DE4" w:rsidRPr="00730DE4" w:rsidRDefault="00730DE4" w:rsidP="00DE72D1">
            <w:pPr>
              <w:pStyle w:val="NoSpacing"/>
              <w:jc w:val="right"/>
            </w:pPr>
            <w:r w:rsidRPr="00730DE4">
              <w:t xml:space="preserve">91,697 </w:t>
            </w:r>
          </w:p>
        </w:tc>
      </w:tr>
      <w:tr w:rsidR="00730DE4" w:rsidRPr="00730DE4" w14:paraId="6612FCAF" w14:textId="77777777" w:rsidTr="007F423A">
        <w:trPr>
          <w:cantSplit/>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5460F0BC" w14:textId="77777777" w:rsidR="00730DE4" w:rsidRPr="00730DE4" w:rsidRDefault="00730DE4" w:rsidP="00662028">
            <w:pPr>
              <w:pStyle w:val="NoSpacingIndent"/>
            </w:pPr>
            <w:r w:rsidRPr="00730DE4">
              <w:t>Prepayments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6003696" w14:textId="77777777" w:rsidR="00730DE4" w:rsidRPr="00730DE4" w:rsidRDefault="00730DE4" w:rsidP="00DE72D1">
            <w:pPr>
              <w:pStyle w:val="NoSpacing"/>
              <w:jc w:val="right"/>
            </w:pPr>
            <w:r w:rsidRPr="00730DE4">
              <w:t xml:space="preserve">1,573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13AED9C" w14:textId="77777777" w:rsidR="00730DE4" w:rsidRPr="00730DE4" w:rsidRDefault="00730DE4" w:rsidP="00DE72D1">
            <w:pPr>
              <w:pStyle w:val="NoSpacing"/>
              <w:jc w:val="right"/>
            </w:pPr>
            <w:r w:rsidRPr="00730DE4">
              <w:t xml:space="preserve">9,688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CBA60B2" w14:textId="77777777" w:rsidR="00730DE4" w:rsidRPr="00730DE4" w:rsidRDefault="00730DE4" w:rsidP="00DE72D1">
            <w:pPr>
              <w:pStyle w:val="NoSpacing"/>
              <w:jc w:val="right"/>
            </w:pPr>
            <w:r w:rsidRPr="00730DE4">
              <w:t xml:space="preserve">2,434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51C8394" w14:textId="77777777" w:rsidR="00730DE4" w:rsidRPr="00730DE4" w:rsidRDefault="00730DE4" w:rsidP="00DE72D1">
            <w:pPr>
              <w:pStyle w:val="NoSpacing"/>
              <w:jc w:val="right"/>
            </w:pPr>
            <w:r w:rsidRPr="00730DE4">
              <w:t xml:space="preserve">1,432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1F08270" w14:textId="77777777" w:rsidR="00730DE4" w:rsidRPr="00730DE4" w:rsidRDefault="00730DE4" w:rsidP="00DE72D1">
            <w:pPr>
              <w:pStyle w:val="NoSpacing"/>
              <w:jc w:val="right"/>
            </w:pPr>
            <w:r w:rsidRPr="00730DE4">
              <w:t xml:space="preserve">83,576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2C8A29C" w14:textId="77777777" w:rsidR="00730DE4" w:rsidRPr="00730DE4" w:rsidRDefault="00730DE4" w:rsidP="00DE72D1">
            <w:pPr>
              <w:pStyle w:val="NoSpacing"/>
              <w:jc w:val="right"/>
            </w:pPr>
            <w:r w:rsidRPr="00730DE4">
              <w:t xml:space="preserve">960 </w:t>
            </w:r>
          </w:p>
        </w:tc>
      </w:tr>
      <w:tr w:rsidR="00730DE4" w:rsidRPr="00730DE4" w14:paraId="47E8A600" w14:textId="77777777" w:rsidTr="007F423A">
        <w:trPr>
          <w:cantSplit/>
        </w:trPr>
        <w:tc>
          <w:tcPr>
            <w:tcW w:w="1352"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vAlign w:val="bottom"/>
          </w:tcPr>
          <w:p w14:paraId="0174B764" w14:textId="77777777" w:rsidR="00730DE4" w:rsidRPr="00730DE4" w:rsidRDefault="00730DE4" w:rsidP="00662028">
            <w:pPr>
              <w:pStyle w:val="NoSpacingIndent"/>
            </w:pPr>
            <w:r w:rsidRPr="00730DE4">
              <w:t>Non-current assets classified as held for sale</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75AC1FC9" w14:textId="77777777" w:rsidR="00730DE4" w:rsidRPr="00730DE4" w:rsidRDefault="00730DE4" w:rsidP="00DE72D1">
            <w:pPr>
              <w:pStyle w:val="NoSpacing"/>
              <w:jc w:val="right"/>
            </w:pPr>
            <w:r w:rsidRPr="00730DE4">
              <w:t xml:space="preserve">3,562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674C6585"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78DF7C4D"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30B07FC6"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7E2294AF"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0FAF01E7" w14:textId="77777777" w:rsidR="00730DE4" w:rsidRPr="00730DE4" w:rsidRDefault="00730DE4" w:rsidP="00DE72D1">
            <w:pPr>
              <w:pStyle w:val="NoSpacing"/>
              <w:jc w:val="right"/>
            </w:pPr>
            <w:r w:rsidRPr="00730DE4">
              <w:t xml:space="preserve">- </w:t>
            </w:r>
          </w:p>
        </w:tc>
      </w:tr>
      <w:tr w:rsidR="00730DE4" w:rsidRPr="00730DE4" w14:paraId="2DFE2097" w14:textId="77777777" w:rsidTr="007F423A">
        <w:trPr>
          <w:cantSplit/>
          <w:trHeight w:val="340"/>
        </w:trPr>
        <w:tc>
          <w:tcPr>
            <w:tcW w:w="1352"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tcPr>
          <w:p w14:paraId="433538D9" w14:textId="77777777" w:rsidR="00730DE4" w:rsidRPr="00730DE4" w:rsidRDefault="00730DE4" w:rsidP="00662028">
            <w:pPr>
              <w:pStyle w:val="NoSpacingIndent"/>
              <w:rPr>
                <w:rStyle w:val="Strong"/>
              </w:rPr>
            </w:pPr>
            <w:r w:rsidRPr="00730DE4">
              <w:rPr>
                <w:rStyle w:val="Strong"/>
              </w:rPr>
              <w:t>Total current assets</w:t>
            </w: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hideMark/>
          </w:tcPr>
          <w:p w14:paraId="6BD2B76B" w14:textId="77777777" w:rsidR="00730DE4" w:rsidRPr="00730DE4" w:rsidRDefault="00730DE4" w:rsidP="00662028">
            <w:pPr>
              <w:pStyle w:val="NoSpacing"/>
              <w:jc w:val="right"/>
              <w:rPr>
                <w:b/>
                <w:bCs/>
              </w:rPr>
            </w:pPr>
            <w:r w:rsidRPr="00730DE4">
              <w:rPr>
                <w:rStyle w:val="Strong"/>
              </w:rPr>
              <w:t xml:space="preserve">26,119 </w:t>
            </w: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hideMark/>
          </w:tcPr>
          <w:p w14:paraId="0DD374DE" w14:textId="77777777" w:rsidR="00730DE4" w:rsidRPr="00730DE4" w:rsidRDefault="00730DE4" w:rsidP="00662028">
            <w:pPr>
              <w:pStyle w:val="NoSpacing"/>
              <w:jc w:val="right"/>
              <w:rPr>
                <w:b/>
                <w:bCs/>
              </w:rPr>
            </w:pPr>
            <w:r w:rsidRPr="00730DE4">
              <w:rPr>
                <w:rStyle w:val="Strong"/>
              </w:rPr>
              <w:t xml:space="preserve">165,743 </w:t>
            </w: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hideMark/>
          </w:tcPr>
          <w:p w14:paraId="043718D5" w14:textId="77777777" w:rsidR="00730DE4" w:rsidRPr="00730DE4" w:rsidRDefault="00730DE4" w:rsidP="00662028">
            <w:pPr>
              <w:pStyle w:val="NoSpacing"/>
              <w:jc w:val="right"/>
              <w:rPr>
                <w:b/>
                <w:bCs/>
              </w:rPr>
            </w:pPr>
            <w:r w:rsidRPr="00730DE4">
              <w:rPr>
                <w:rStyle w:val="Strong"/>
              </w:rPr>
              <w:t xml:space="preserve">108,872 </w:t>
            </w: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hideMark/>
          </w:tcPr>
          <w:p w14:paraId="50C04EFD" w14:textId="77777777" w:rsidR="00730DE4" w:rsidRPr="00730DE4" w:rsidRDefault="00730DE4" w:rsidP="00662028">
            <w:pPr>
              <w:pStyle w:val="NoSpacing"/>
              <w:jc w:val="right"/>
              <w:rPr>
                <w:b/>
                <w:bCs/>
              </w:rPr>
            </w:pPr>
            <w:r w:rsidRPr="00730DE4">
              <w:rPr>
                <w:rStyle w:val="Strong"/>
              </w:rPr>
              <w:t xml:space="preserve">52,167 </w:t>
            </w: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hideMark/>
          </w:tcPr>
          <w:p w14:paraId="7CA30ECE" w14:textId="77777777" w:rsidR="00730DE4" w:rsidRPr="00730DE4" w:rsidRDefault="00730DE4" w:rsidP="00662028">
            <w:pPr>
              <w:pStyle w:val="NoSpacing"/>
              <w:jc w:val="right"/>
              <w:rPr>
                <w:b/>
                <w:bCs/>
              </w:rPr>
            </w:pPr>
            <w:r w:rsidRPr="00730DE4">
              <w:rPr>
                <w:rStyle w:val="Strong"/>
              </w:rPr>
              <w:t xml:space="preserve">530,785 </w:t>
            </w:r>
          </w:p>
        </w:tc>
        <w:tc>
          <w:tcPr>
            <w:tcW w:w="608"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hideMark/>
          </w:tcPr>
          <w:p w14:paraId="167BFF4E" w14:textId="77777777" w:rsidR="00730DE4" w:rsidRPr="00730DE4" w:rsidRDefault="00730DE4" w:rsidP="00662028">
            <w:pPr>
              <w:pStyle w:val="NoSpacing"/>
              <w:jc w:val="right"/>
              <w:rPr>
                <w:rStyle w:val="Strong"/>
              </w:rPr>
            </w:pPr>
            <w:r w:rsidRPr="00730DE4">
              <w:rPr>
                <w:rStyle w:val="Strong"/>
              </w:rPr>
              <w:t xml:space="preserve">164,828 </w:t>
            </w:r>
          </w:p>
        </w:tc>
      </w:tr>
      <w:tr w:rsidR="00730DE4" w:rsidRPr="00730DE4" w14:paraId="7EFDA7E4" w14:textId="77777777" w:rsidTr="007F423A">
        <w:trPr>
          <w:cantSplit/>
          <w:trHeight w:val="340"/>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0934FEC0" w14:textId="77777777" w:rsidR="00730DE4" w:rsidRPr="00730DE4" w:rsidRDefault="00730DE4" w:rsidP="00DE72D1">
            <w:pPr>
              <w:pStyle w:val="NoSpacing"/>
              <w:rPr>
                <w:rStyle w:val="Strong"/>
              </w:rPr>
            </w:pPr>
            <w:r w:rsidRPr="00730DE4">
              <w:rPr>
                <w:rStyle w:val="Strong"/>
              </w:rPr>
              <w:t>Non-current assets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511DC093" w14:textId="77777777" w:rsidR="00730DE4" w:rsidRPr="00730DE4" w:rsidRDefault="00730DE4" w:rsidP="00DE72D1">
            <w:pPr>
              <w:pStyle w:val="NoSpacing"/>
              <w:jc w:val="right"/>
              <w:rPr>
                <w:rStyle w:val="Strong"/>
              </w:rPr>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7D71A369" w14:textId="77777777" w:rsidR="00730DE4" w:rsidRPr="00730DE4" w:rsidRDefault="00730DE4" w:rsidP="00DE72D1">
            <w:pPr>
              <w:pStyle w:val="NoSpacing"/>
              <w:jc w:val="right"/>
              <w:rPr>
                <w:rStyle w:val="Strong"/>
              </w:rPr>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0B96F573" w14:textId="77777777" w:rsidR="00730DE4" w:rsidRPr="00730DE4" w:rsidRDefault="00730DE4" w:rsidP="00DE72D1">
            <w:pPr>
              <w:pStyle w:val="NoSpacing"/>
              <w:jc w:val="right"/>
              <w:rPr>
                <w:rStyle w:val="Strong"/>
              </w:rPr>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3952EB75" w14:textId="77777777" w:rsidR="00730DE4" w:rsidRPr="00730DE4" w:rsidRDefault="00730DE4" w:rsidP="00DE72D1">
            <w:pPr>
              <w:pStyle w:val="NoSpacing"/>
              <w:jc w:val="right"/>
              <w:rPr>
                <w:rStyle w:val="Strong"/>
              </w:rPr>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3D1FC790" w14:textId="77777777" w:rsidR="00730DE4" w:rsidRPr="00730DE4" w:rsidRDefault="00730DE4" w:rsidP="00DE72D1">
            <w:pPr>
              <w:pStyle w:val="NoSpacing"/>
              <w:jc w:val="right"/>
              <w:rPr>
                <w:rStyle w:val="Strong"/>
              </w:rPr>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tcPr>
          <w:p w14:paraId="0737B3E9" w14:textId="77777777" w:rsidR="00730DE4" w:rsidRPr="00730DE4" w:rsidRDefault="00730DE4" w:rsidP="00DE72D1">
            <w:pPr>
              <w:pStyle w:val="NoSpacing"/>
              <w:jc w:val="right"/>
              <w:rPr>
                <w:rStyle w:val="Strong"/>
              </w:rPr>
            </w:pPr>
          </w:p>
        </w:tc>
      </w:tr>
      <w:tr w:rsidR="00730DE4" w:rsidRPr="00730DE4" w14:paraId="604004F0" w14:textId="77777777" w:rsidTr="007F423A">
        <w:trPr>
          <w:cantSplit/>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641EC326" w14:textId="77777777" w:rsidR="00730DE4" w:rsidRPr="00730DE4" w:rsidRDefault="00730DE4" w:rsidP="00662028">
            <w:pPr>
              <w:pStyle w:val="NoSpacingIndent"/>
            </w:pPr>
            <w:r w:rsidRPr="00730DE4">
              <w:t>Receivables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B31633F"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0B92495" w14:textId="77777777" w:rsidR="00730DE4" w:rsidRPr="00730DE4" w:rsidRDefault="00730DE4" w:rsidP="00DE72D1">
            <w:pPr>
              <w:pStyle w:val="NoSpacing"/>
              <w:jc w:val="right"/>
            </w:pPr>
            <w:r w:rsidRPr="00730DE4">
              <w:t xml:space="preserve">19,000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9BD208C"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7969272"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67D00D1" w14:textId="77777777" w:rsidR="00730DE4" w:rsidRPr="00730DE4" w:rsidRDefault="00730DE4" w:rsidP="00DE72D1">
            <w:pPr>
              <w:pStyle w:val="NoSpacing"/>
              <w:jc w:val="right"/>
            </w:pPr>
            <w:r w:rsidRPr="00730DE4">
              <w:t xml:space="preserve">3,421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4955739" w14:textId="77777777" w:rsidR="00730DE4" w:rsidRPr="00730DE4" w:rsidRDefault="00730DE4" w:rsidP="00DE72D1">
            <w:pPr>
              <w:pStyle w:val="NoSpacing"/>
              <w:jc w:val="right"/>
            </w:pPr>
            <w:r w:rsidRPr="00730DE4">
              <w:t xml:space="preserve">- </w:t>
            </w:r>
          </w:p>
        </w:tc>
      </w:tr>
      <w:tr w:rsidR="00730DE4" w:rsidRPr="00730DE4" w14:paraId="1BB53CEB" w14:textId="77777777" w:rsidTr="007F423A">
        <w:trPr>
          <w:cantSplit/>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130A6639" w14:textId="77777777" w:rsidR="00730DE4" w:rsidRPr="00730DE4" w:rsidRDefault="00730DE4" w:rsidP="00662028">
            <w:pPr>
              <w:pStyle w:val="NoSpacingIndent"/>
            </w:pPr>
            <w:r w:rsidRPr="00730DE4">
              <w:t>Prepayments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10055ED" w14:textId="77777777" w:rsidR="00730DE4" w:rsidRPr="00730DE4" w:rsidRDefault="00730DE4" w:rsidP="00DE72D1">
            <w:pPr>
              <w:pStyle w:val="NoSpacing"/>
              <w:jc w:val="right"/>
            </w:pPr>
            <w:r w:rsidRPr="00730DE4">
              <w:t xml:space="preserve">47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4ED27EF" w14:textId="77777777" w:rsidR="00730DE4" w:rsidRPr="00730DE4" w:rsidRDefault="00730DE4" w:rsidP="00DE72D1">
            <w:pPr>
              <w:pStyle w:val="NoSpacing"/>
              <w:jc w:val="right"/>
            </w:pPr>
            <w:r w:rsidRPr="00730DE4">
              <w:t xml:space="preserve">7,224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921D690" w14:textId="77777777" w:rsidR="00730DE4" w:rsidRPr="00730DE4" w:rsidRDefault="00730DE4" w:rsidP="00DE72D1">
            <w:pPr>
              <w:pStyle w:val="NoSpacing"/>
              <w:jc w:val="right"/>
            </w:pPr>
            <w:r w:rsidRPr="00730DE4">
              <w:t xml:space="preserve">504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2312AE2" w14:textId="77777777" w:rsidR="00730DE4" w:rsidRPr="00730DE4" w:rsidRDefault="00730DE4" w:rsidP="00DE72D1">
            <w:pPr>
              <w:pStyle w:val="NoSpacing"/>
              <w:jc w:val="right"/>
            </w:pPr>
            <w:r w:rsidRPr="00730DE4">
              <w:t xml:space="preserve">210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346C80B" w14:textId="77777777" w:rsidR="00730DE4" w:rsidRPr="00730DE4" w:rsidRDefault="00730DE4" w:rsidP="00DE72D1">
            <w:pPr>
              <w:pStyle w:val="NoSpacing"/>
              <w:jc w:val="right"/>
            </w:pPr>
            <w:r w:rsidRPr="00730DE4">
              <w:t xml:space="preserve">70,764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4D74FA5A" w14:textId="77777777" w:rsidR="00730DE4" w:rsidRPr="00730DE4" w:rsidRDefault="00730DE4" w:rsidP="00DE72D1">
            <w:pPr>
              <w:pStyle w:val="NoSpacing"/>
              <w:jc w:val="right"/>
            </w:pPr>
            <w:r w:rsidRPr="00730DE4">
              <w:t xml:space="preserve">- </w:t>
            </w:r>
          </w:p>
        </w:tc>
      </w:tr>
      <w:tr w:rsidR="00730DE4" w:rsidRPr="00730DE4" w14:paraId="543B8A8F" w14:textId="77777777" w:rsidTr="007F423A">
        <w:trPr>
          <w:cantSplit/>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12EED545" w14:textId="77777777" w:rsidR="00730DE4" w:rsidRPr="00730DE4" w:rsidRDefault="00730DE4" w:rsidP="00662028">
            <w:pPr>
              <w:pStyle w:val="NoSpacingIndent"/>
            </w:pPr>
            <w:r w:rsidRPr="00730DE4">
              <w:t>Intangible assets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F787FFF" w14:textId="77777777" w:rsidR="00730DE4" w:rsidRPr="00730DE4" w:rsidRDefault="00730DE4" w:rsidP="00DE72D1">
            <w:pPr>
              <w:pStyle w:val="NoSpacing"/>
              <w:jc w:val="right"/>
            </w:pPr>
            <w:r w:rsidRPr="00730DE4">
              <w:t xml:space="preserve">13,398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CD341DC" w14:textId="77777777" w:rsidR="00730DE4" w:rsidRPr="00730DE4" w:rsidRDefault="00730DE4" w:rsidP="00DE72D1">
            <w:pPr>
              <w:pStyle w:val="NoSpacing"/>
              <w:jc w:val="right"/>
            </w:pPr>
            <w:r w:rsidRPr="00730DE4">
              <w:t xml:space="preserve">5,564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F92883C" w14:textId="77777777" w:rsidR="00730DE4" w:rsidRPr="00730DE4" w:rsidRDefault="00730DE4" w:rsidP="00DE72D1">
            <w:pPr>
              <w:pStyle w:val="NoSpacing"/>
              <w:jc w:val="right"/>
            </w:pPr>
            <w:r w:rsidRPr="00730DE4">
              <w:t xml:space="preserve">17,798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381549E" w14:textId="77777777" w:rsidR="00730DE4" w:rsidRPr="00730DE4" w:rsidRDefault="00730DE4" w:rsidP="00DE72D1">
            <w:pPr>
              <w:pStyle w:val="NoSpacing"/>
              <w:jc w:val="right"/>
            </w:pPr>
            <w:r w:rsidRPr="00730DE4">
              <w:t xml:space="preserve">21,878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397FDAD" w14:textId="77777777" w:rsidR="00730DE4" w:rsidRPr="00730DE4" w:rsidRDefault="00730DE4" w:rsidP="00DE72D1">
            <w:pPr>
              <w:pStyle w:val="NoSpacing"/>
              <w:jc w:val="right"/>
            </w:pPr>
            <w:r w:rsidRPr="00730DE4">
              <w:t xml:space="preserve">2,345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8EBAC3E" w14:textId="77777777" w:rsidR="00730DE4" w:rsidRPr="00730DE4" w:rsidRDefault="00730DE4" w:rsidP="00DE72D1">
            <w:pPr>
              <w:pStyle w:val="NoSpacing"/>
              <w:jc w:val="right"/>
            </w:pPr>
            <w:r w:rsidRPr="00730DE4">
              <w:t xml:space="preserve">- </w:t>
            </w:r>
          </w:p>
        </w:tc>
      </w:tr>
      <w:tr w:rsidR="00730DE4" w:rsidRPr="00730DE4" w14:paraId="089A9F7D" w14:textId="77777777" w:rsidTr="007F423A">
        <w:trPr>
          <w:cantSplit/>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0B3F6718" w14:textId="77777777" w:rsidR="00730DE4" w:rsidRPr="00730DE4" w:rsidRDefault="00730DE4" w:rsidP="00662028">
            <w:pPr>
              <w:pStyle w:val="NoSpacingIndent"/>
            </w:pPr>
            <w:r w:rsidRPr="00730DE4">
              <w:t>Property, plant and equipment</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A62C0B7" w14:textId="77777777" w:rsidR="00730DE4" w:rsidRPr="00730DE4" w:rsidRDefault="00730DE4" w:rsidP="00DE72D1">
            <w:pPr>
              <w:pStyle w:val="NoSpacing"/>
              <w:jc w:val="right"/>
            </w:pPr>
            <w:r w:rsidRPr="00730DE4">
              <w:t xml:space="preserve">3,847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987DA69" w14:textId="77777777" w:rsidR="00730DE4" w:rsidRPr="00730DE4" w:rsidRDefault="00730DE4" w:rsidP="00DE72D1">
            <w:pPr>
              <w:pStyle w:val="NoSpacing"/>
              <w:jc w:val="right"/>
            </w:pPr>
            <w:r w:rsidRPr="00730DE4">
              <w:t xml:space="preserve">102,425,848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BD2D53F" w14:textId="77777777" w:rsidR="00730DE4" w:rsidRPr="00730DE4" w:rsidRDefault="00730DE4" w:rsidP="00DE72D1">
            <w:pPr>
              <w:pStyle w:val="NoSpacing"/>
              <w:jc w:val="right"/>
            </w:pPr>
            <w:r w:rsidRPr="00730DE4">
              <w:t xml:space="preserve">269,872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24BA953" w14:textId="77777777" w:rsidR="00730DE4" w:rsidRPr="00730DE4" w:rsidRDefault="00730DE4" w:rsidP="00DE72D1">
            <w:pPr>
              <w:pStyle w:val="NoSpacing"/>
              <w:jc w:val="right"/>
            </w:pPr>
            <w:r w:rsidRPr="00730DE4">
              <w:t xml:space="preserve">22,224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BABD461" w14:textId="77777777" w:rsidR="00730DE4" w:rsidRPr="00730DE4" w:rsidRDefault="00730DE4" w:rsidP="00DE72D1">
            <w:pPr>
              <w:pStyle w:val="NoSpacing"/>
              <w:jc w:val="right"/>
            </w:pPr>
            <w:r w:rsidRPr="00730DE4">
              <w:t xml:space="preserve">1,688,877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9FF778F" w14:textId="77777777" w:rsidR="00730DE4" w:rsidRPr="00730DE4" w:rsidRDefault="00730DE4" w:rsidP="00DE72D1">
            <w:pPr>
              <w:pStyle w:val="NoSpacing"/>
              <w:jc w:val="right"/>
            </w:pPr>
            <w:r w:rsidRPr="00730DE4">
              <w:t xml:space="preserve">77,286 </w:t>
            </w:r>
          </w:p>
        </w:tc>
      </w:tr>
      <w:tr w:rsidR="00730DE4" w:rsidRPr="00730DE4" w14:paraId="1D5FE271" w14:textId="77777777" w:rsidTr="007F423A">
        <w:trPr>
          <w:cantSplit/>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2EE53F86" w14:textId="77777777" w:rsidR="00730DE4" w:rsidRPr="00730DE4" w:rsidRDefault="00730DE4" w:rsidP="00662028">
            <w:pPr>
              <w:pStyle w:val="NoSpacingIndent"/>
            </w:pPr>
            <w:r w:rsidRPr="00730DE4">
              <w:t>Service concession assets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BC2CB9A"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B099734" w14:textId="77777777" w:rsidR="00730DE4" w:rsidRPr="00730DE4" w:rsidRDefault="00730DE4" w:rsidP="00DE72D1">
            <w:pPr>
              <w:pStyle w:val="NoSpacing"/>
              <w:jc w:val="right"/>
            </w:pPr>
            <w:r w:rsidRPr="00730DE4">
              <w:t xml:space="preserve">12,726,611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9FA91EF"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CBD7B54"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C3128E0" w14:textId="77777777" w:rsidR="00730DE4" w:rsidRPr="00730DE4" w:rsidRDefault="00730DE4" w:rsidP="00DE72D1">
            <w:pPr>
              <w:pStyle w:val="NoSpacing"/>
              <w:jc w:val="right"/>
            </w:pPr>
            <w:r w:rsidRPr="00730DE4">
              <w:t xml:space="preserve">1,371,034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4F9C74F" w14:textId="77777777" w:rsidR="00730DE4" w:rsidRPr="00730DE4" w:rsidRDefault="00730DE4" w:rsidP="00DE72D1">
            <w:pPr>
              <w:pStyle w:val="NoSpacing"/>
              <w:jc w:val="right"/>
            </w:pPr>
            <w:r w:rsidRPr="00730DE4">
              <w:t xml:space="preserve">- </w:t>
            </w:r>
          </w:p>
        </w:tc>
      </w:tr>
      <w:tr w:rsidR="00730DE4" w:rsidRPr="00730DE4" w14:paraId="1DEFF63A" w14:textId="77777777" w:rsidTr="007F423A">
        <w:trPr>
          <w:cantSplit/>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027EBA22" w14:textId="77777777" w:rsidR="00730DE4" w:rsidRPr="00730DE4" w:rsidRDefault="00730DE4" w:rsidP="00662028">
            <w:pPr>
              <w:pStyle w:val="NoSpacingIndent"/>
            </w:pPr>
            <w:r w:rsidRPr="00730DE4">
              <w:t>Deferred tax assets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2B75CDA"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F72015F"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3AB72C1"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35E1667"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B8E4169"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B704ABC" w14:textId="77777777" w:rsidR="00730DE4" w:rsidRPr="00730DE4" w:rsidRDefault="00730DE4" w:rsidP="00DE72D1">
            <w:pPr>
              <w:pStyle w:val="NoSpacing"/>
              <w:jc w:val="right"/>
            </w:pPr>
            <w:r w:rsidRPr="00730DE4">
              <w:t xml:space="preserve">3,001 </w:t>
            </w:r>
          </w:p>
        </w:tc>
      </w:tr>
      <w:tr w:rsidR="00730DE4" w:rsidRPr="00730DE4" w14:paraId="4E3CB95A" w14:textId="77777777" w:rsidTr="007F423A">
        <w:trPr>
          <w:cantSplit/>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19C5C027" w14:textId="77777777" w:rsidR="00730DE4" w:rsidRPr="00730DE4" w:rsidRDefault="00730DE4" w:rsidP="00662028">
            <w:pPr>
              <w:pStyle w:val="NoSpacingIndent"/>
            </w:pPr>
            <w:r w:rsidRPr="00730DE4">
              <w:t>Right-of-use assets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2694AAB"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C626C4C"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6E161D8"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F738B30"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EAF839C"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E58C2FA" w14:textId="77777777" w:rsidR="00730DE4" w:rsidRPr="00730DE4" w:rsidRDefault="00730DE4" w:rsidP="00DE72D1">
            <w:pPr>
              <w:pStyle w:val="NoSpacing"/>
              <w:jc w:val="right"/>
            </w:pPr>
            <w:r w:rsidRPr="00730DE4">
              <w:t xml:space="preserve">- </w:t>
            </w:r>
          </w:p>
        </w:tc>
      </w:tr>
      <w:tr w:rsidR="00730DE4" w:rsidRPr="00730DE4" w14:paraId="4B78DF4D" w14:textId="77777777" w:rsidTr="007F423A">
        <w:trPr>
          <w:cantSplit/>
        </w:trPr>
        <w:tc>
          <w:tcPr>
            <w:tcW w:w="1352"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vAlign w:val="bottom"/>
          </w:tcPr>
          <w:p w14:paraId="0A9F84F2" w14:textId="77777777" w:rsidR="00730DE4" w:rsidRPr="00730DE4" w:rsidRDefault="00730DE4" w:rsidP="00662028">
            <w:pPr>
              <w:pStyle w:val="NoSpacingIndent"/>
            </w:pPr>
            <w:r w:rsidRPr="00730DE4">
              <w:t>Investment in subsidiary</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24BBE3D3"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571FDA10" w14:textId="77777777" w:rsidR="00730DE4" w:rsidRPr="00730DE4" w:rsidRDefault="00730DE4" w:rsidP="00DE72D1">
            <w:pPr>
              <w:pStyle w:val="NoSpacing"/>
              <w:jc w:val="right"/>
            </w:pPr>
            <w:r w:rsidRPr="00730DE4">
              <w:t xml:space="preserve">15,601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7BFD6B6E"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440F5013"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1A7FBF26"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31D4CAE7" w14:textId="77777777" w:rsidR="00730DE4" w:rsidRPr="00730DE4" w:rsidRDefault="00730DE4" w:rsidP="00DE72D1">
            <w:pPr>
              <w:pStyle w:val="NoSpacing"/>
              <w:jc w:val="right"/>
            </w:pPr>
            <w:r w:rsidRPr="00730DE4">
              <w:t xml:space="preserve">- </w:t>
            </w:r>
          </w:p>
        </w:tc>
      </w:tr>
      <w:tr w:rsidR="00730DE4" w:rsidRPr="00730DE4" w14:paraId="691AEEBF" w14:textId="77777777" w:rsidTr="007F423A">
        <w:trPr>
          <w:cantSplit/>
          <w:trHeight w:val="340"/>
        </w:trPr>
        <w:tc>
          <w:tcPr>
            <w:tcW w:w="1352" w:type="pct"/>
            <w:tcBorders>
              <w:top w:val="single" w:sz="4" w:space="0" w:color="auto"/>
              <w:left w:val="nil"/>
              <w:right w:val="dotted" w:sz="4" w:space="0" w:color="BFBFBF" w:themeColor="background1" w:themeShade="BF"/>
            </w:tcBorders>
            <w:shd w:val="clear" w:color="auto" w:fill="auto"/>
          </w:tcPr>
          <w:p w14:paraId="771B6F93" w14:textId="77777777" w:rsidR="00730DE4" w:rsidRPr="00730DE4" w:rsidRDefault="00730DE4" w:rsidP="00662028">
            <w:pPr>
              <w:pStyle w:val="NoSpacingIndent"/>
              <w:rPr>
                <w:rStyle w:val="Strong"/>
              </w:rPr>
            </w:pPr>
            <w:r w:rsidRPr="00730DE4">
              <w:rPr>
                <w:rStyle w:val="Strong"/>
              </w:rPr>
              <w:t>Total non-current assets</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72945C1A" w14:textId="77777777" w:rsidR="00730DE4" w:rsidRPr="00730DE4" w:rsidRDefault="00730DE4" w:rsidP="00662028">
            <w:pPr>
              <w:pStyle w:val="NoSpacing"/>
              <w:jc w:val="right"/>
              <w:rPr>
                <w:b/>
                <w:bCs/>
              </w:rPr>
            </w:pPr>
            <w:r w:rsidRPr="00730DE4">
              <w:rPr>
                <w:rStyle w:val="Strong"/>
              </w:rPr>
              <w:t xml:space="preserve">17,292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409E3B78" w14:textId="77777777" w:rsidR="00730DE4" w:rsidRPr="00730DE4" w:rsidRDefault="00730DE4" w:rsidP="00662028">
            <w:pPr>
              <w:pStyle w:val="NoSpacing"/>
              <w:jc w:val="right"/>
              <w:rPr>
                <w:b/>
                <w:bCs/>
              </w:rPr>
            </w:pPr>
            <w:r w:rsidRPr="00730DE4">
              <w:rPr>
                <w:rStyle w:val="Strong"/>
              </w:rPr>
              <w:t xml:space="preserve">115,199,848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115C4556" w14:textId="77777777" w:rsidR="00730DE4" w:rsidRPr="00730DE4" w:rsidRDefault="00730DE4" w:rsidP="00662028">
            <w:pPr>
              <w:pStyle w:val="NoSpacing"/>
              <w:jc w:val="right"/>
              <w:rPr>
                <w:b/>
                <w:bCs/>
              </w:rPr>
            </w:pPr>
            <w:r w:rsidRPr="00730DE4">
              <w:rPr>
                <w:rStyle w:val="Strong"/>
              </w:rPr>
              <w:t xml:space="preserve">288,174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1BDCA672" w14:textId="77777777" w:rsidR="00730DE4" w:rsidRPr="00730DE4" w:rsidRDefault="00730DE4" w:rsidP="00662028">
            <w:pPr>
              <w:pStyle w:val="NoSpacing"/>
              <w:jc w:val="right"/>
              <w:rPr>
                <w:b/>
                <w:bCs/>
              </w:rPr>
            </w:pPr>
            <w:r w:rsidRPr="00730DE4">
              <w:rPr>
                <w:rStyle w:val="Strong"/>
              </w:rPr>
              <w:t xml:space="preserve">44,312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7AEA31B6" w14:textId="77777777" w:rsidR="00730DE4" w:rsidRPr="00730DE4" w:rsidRDefault="00730DE4" w:rsidP="00662028">
            <w:pPr>
              <w:pStyle w:val="NoSpacing"/>
              <w:jc w:val="right"/>
              <w:rPr>
                <w:b/>
                <w:bCs/>
              </w:rPr>
            </w:pPr>
            <w:r w:rsidRPr="00730DE4">
              <w:rPr>
                <w:rStyle w:val="Strong"/>
              </w:rPr>
              <w:t xml:space="preserve">3,136,441 </w:t>
            </w:r>
          </w:p>
        </w:tc>
        <w:tc>
          <w:tcPr>
            <w:tcW w:w="608" w:type="pct"/>
            <w:tcBorders>
              <w:top w:val="single" w:sz="4" w:space="0" w:color="auto"/>
              <w:left w:val="dotted" w:sz="4" w:space="0" w:color="BFBFBF" w:themeColor="background1" w:themeShade="BF"/>
              <w:right w:val="nil"/>
            </w:tcBorders>
            <w:shd w:val="clear" w:color="auto" w:fill="auto"/>
            <w:noWrap/>
            <w:hideMark/>
          </w:tcPr>
          <w:p w14:paraId="05820C35" w14:textId="77777777" w:rsidR="00730DE4" w:rsidRPr="00730DE4" w:rsidRDefault="00730DE4" w:rsidP="00662028">
            <w:pPr>
              <w:pStyle w:val="NoSpacing"/>
              <w:jc w:val="right"/>
              <w:rPr>
                <w:rStyle w:val="Strong"/>
              </w:rPr>
            </w:pPr>
            <w:r w:rsidRPr="00730DE4">
              <w:rPr>
                <w:rStyle w:val="Strong"/>
              </w:rPr>
              <w:t xml:space="preserve">80,287 </w:t>
            </w:r>
          </w:p>
        </w:tc>
      </w:tr>
      <w:tr w:rsidR="00730DE4" w:rsidRPr="00730DE4" w14:paraId="5F8F928D" w14:textId="77777777" w:rsidTr="007F423A">
        <w:trPr>
          <w:cantSplit/>
          <w:trHeight w:val="454"/>
        </w:trPr>
        <w:tc>
          <w:tcPr>
            <w:tcW w:w="1352" w:type="pct"/>
            <w:tcBorders>
              <w:left w:val="nil"/>
              <w:bottom w:val="double" w:sz="4" w:space="0" w:color="auto"/>
              <w:right w:val="dotted" w:sz="4" w:space="0" w:color="BFBFBF" w:themeColor="background1" w:themeShade="BF"/>
            </w:tcBorders>
            <w:shd w:val="clear" w:color="auto" w:fill="auto"/>
            <w:vAlign w:val="bottom"/>
          </w:tcPr>
          <w:p w14:paraId="4945F6A5" w14:textId="77777777" w:rsidR="00730DE4" w:rsidRPr="00730DE4" w:rsidRDefault="00730DE4" w:rsidP="007F423A">
            <w:pPr>
              <w:pStyle w:val="NoSpacing"/>
            </w:pPr>
            <w:r w:rsidRPr="00730DE4">
              <w:rPr>
                <w:rStyle w:val="Strong"/>
              </w:rPr>
              <w:t>Total assets</w:t>
            </w:r>
          </w:p>
        </w:tc>
        <w:tc>
          <w:tcPr>
            <w:tcW w:w="608" w:type="pct"/>
            <w:tcBorders>
              <w:left w:val="dotted" w:sz="4" w:space="0" w:color="BFBFBF" w:themeColor="background1" w:themeShade="BF"/>
              <w:bottom w:val="double" w:sz="4" w:space="0" w:color="auto"/>
              <w:right w:val="dotted" w:sz="4" w:space="0" w:color="BFBFBF" w:themeColor="background1" w:themeShade="BF"/>
            </w:tcBorders>
            <w:shd w:val="clear" w:color="auto" w:fill="auto"/>
            <w:noWrap/>
            <w:vAlign w:val="bottom"/>
          </w:tcPr>
          <w:p w14:paraId="1C13E8F1" w14:textId="77777777" w:rsidR="00730DE4" w:rsidRPr="00730DE4" w:rsidRDefault="00730DE4" w:rsidP="007F423A">
            <w:pPr>
              <w:pStyle w:val="NoSpacing"/>
              <w:jc w:val="right"/>
            </w:pPr>
            <w:r w:rsidRPr="00730DE4">
              <w:rPr>
                <w:rStyle w:val="Strong"/>
              </w:rPr>
              <w:t xml:space="preserve">43,411 </w:t>
            </w:r>
          </w:p>
        </w:tc>
        <w:tc>
          <w:tcPr>
            <w:tcW w:w="608" w:type="pct"/>
            <w:tcBorders>
              <w:left w:val="dotted" w:sz="4" w:space="0" w:color="BFBFBF" w:themeColor="background1" w:themeShade="BF"/>
              <w:bottom w:val="double" w:sz="4" w:space="0" w:color="auto"/>
              <w:right w:val="dotted" w:sz="4" w:space="0" w:color="BFBFBF" w:themeColor="background1" w:themeShade="BF"/>
            </w:tcBorders>
            <w:shd w:val="clear" w:color="auto" w:fill="auto"/>
            <w:noWrap/>
            <w:vAlign w:val="bottom"/>
          </w:tcPr>
          <w:p w14:paraId="42DC2697" w14:textId="77777777" w:rsidR="00730DE4" w:rsidRPr="00730DE4" w:rsidRDefault="00730DE4" w:rsidP="007F423A">
            <w:pPr>
              <w:pStyle w:val="NoSpacing"/>
              <w:jc w:val="right"/>
            </w:pPr>
            <w:r w:rsidRPr="00730DE4">
              <w:rPr>
                <w:rStyle w:val="Strong"/>
              </w:rPr>
              <w:t xml:space="preserve">115,365,591 </w:t>
            </w:r>
          </w:p>
        </w:tc>
        <w:tc>
          <w:tcPr>
            <w:tcW w:w="608" w:type="pct"/>
            <w:tcBorders>
              <w:left w:val="dotted" w:sz="4" w:space="0" w:color="BFBFBF" w:themeColor="background1" w:themeShade="BF"/>
              <w:bottom w:val="double" w:sz="4" w:space="0" w:color="auto"/>
              <w:right w:val="dotted" w:sz="4" w:space="0" w:color="BFBFBF" w:themeColor="background1" w:themeShade="BF"/>
            </w:tcBorders>
            <w:shd w:val="clear" w:color="auto" w:fill="auto"/>
            <w:noWrap/>
            <w:vAlign w:val="bottom"/>
          </w:tcPr>
          <w:p w14:paraId="12C13BCF" w14:textId="77777777" w:rsidR="00730DE4" w:rsidRPr="00730DE4" w:rsidRDefault="00730DE4" w:rsidP="007F423A">
            <w:pPr>
              <w:pStyle w:val="NoSpacing"/>
              <w:jc w:val="right"/>
            </w:pPr>
            <w:r w:rsidRPr="00730DE4">
              <w:rPr>
                <w:rStyle w:val="Strong"/>
              </w:rPr>
              <w:t xml:space="preserve">397,046 </w:t>
            </w:r>
          </w:p>
        </w:tc>
        <w:tc>
          <w:tcPr>
            <w:tcW w:w="608" w:type="pct"/>
            <w:tcBorders>
              <w:left w:val="dotted" w:sz="4" w:space="0" w:color="BFBFBF" w:themeColor="background1" w:themeShade="BF"/>
              <w:bottom w:val="double" w:sz="4" w:space="0" w:color="auto"/>
              <w:right w:val="dotted" w:sz="4" w:space="0" w:color="BFBFBF" w:themeColor="background1" w:themeShade="BF"/>
            </w:tcBorders>
            <w:shd w:val="clear" w:color="auto" w:fill="auto"/>
            <w:noWrap/>
            <w:vAlign w:val="bottom"/>
          </w:tcPr>
          <w:p w14:paraId="1A203C95" w14:textId="77777777" w:rsidR="00730DE4" w:rsidRPr="00730DE4" w:rsidRDefault="00730DE4" w:rsidP="007F423A">
            <w:pPr>
              <w:pStyle w:val="NoSpacing"/>
              <w:jc w:val="right"/>
            </w:pPr>
            <w:r w:rsidRPr="00730DE4">
              <w:rPr>
                <w:rStyle w:val="Strong"/>
              </w:rPr>
              <w:t xml:space="preserve">96,479 </w:t>
            </w:r>
          </w:p>
        </w:tc>
        <w:tc>
          <w:tcPr>
            <w:tcW w:w="608" w:type="pct"/>
            <w:tcBorders>
              <w:left w:val="dotted" w:sz="4" w:space="0" w:color="BFBFBF" w:themeColor="background1" w:themeShade="BF"/>
              <w:bottom w:val="double" w:sz="4" w:space="0" w:color="auto"/>
              <w:right w:val="dotted" w:sz="4" w:space="0" w:color="BFBFBF" w:themeColor="background1" w:themeShade="BF"/>
            </w:tcBorders>
            <w:shd w:val="clear" w:color="auto" w:fill="auto"/>
            <w:noWrap/>
            <w:vAlign w:val="bottom"/>
          </w:tcPr>
          <w:p w14:paraId="61C0E570" w14:textId="77777777" w:rsidR="00730DE4" w:rsidRPr="00730DE4" w:rsidRDefault="00730DE4" w:rsidP="007F423A">
            <w:pPr>
              <w:pStyle w:val="NoSpacing"/>
              <w:jc w:val="right"/>
            </w:pPr>
            <w:r w:rsidRPr="00730DE4">
              <w:rPr>
                <w:rStyle w:val="Strong"/>
              </w:rPr>
              <w:t xml:space="preserve">3,667,226 </w:t>
            </w:r>
          </w:p>
        </w:tc>
        <w:tc>
          <w:tcPr>
            <w:tcW w:w="608" w:type="pct"/>
            <w:tcBorders>
              <w:left w:val="dotted" w:sz="4" w:space="0" w:color="BFBFBF" w:themeColor="background1" w:themeShade="BF"/>
              <w:bottom w:val="double" w:sz="4" w:space="0" w:color="auto"/>
              <w:right w:val="nil"/>
            </w:tcBorders>
            <w:shd w:val="clear" w:color="auto" w:fill="auto"/>
            <w:noWrap/>
            <w:vAlign w:val="bottom"/>
          </w:tcPr>
          <w:p w14:paraId="402ED434" w14:textId="77777777" w:rsidR="00730DE4" w:rsidRPr="00730DE4" w:rsidRDefault="00730DE4" w:rsidP="007F423A">
            <w:pPr>
              <w:pStyle w:val="NoSpacing"/>
              <w:jc w:val="right"/>
            </w:pPr>
            <w:r w:rsidRPr="00730DE4">
              <w:rPr>
                <w:rStyle w:val="Strong"/>
              </w:rPr>
              <w:t xml:space="preserve">245,115 </w:t>
            </w:r>
          </w:p>
        </w:tc>
      </w:tr>
      <w:tr w:rsidR="00730DE4" w:rsidRPr="00730DE4" w14:paraId="63A74613" w14:textId="77777777" w:rsidTr="007F423A">
        <w:trPr>
          <w:cantSplit/>
          <w:trHeight w:val="454"/>
        </w:trPr>
        <w:tc>
          <w:tcPr>
            <w:tcW w:w="1352" w:type="pct"/>
            <w:tcBorders>
              <w:top w:val="double" w:sz="4" w:space="0" w:color="auto"/>
              <w:left w:val="nil"/>
              <w:bottom w:val="dotted" w:sz="4" w:space="0" w:color="BFBFBF" w:themeColor="background1" w:themeShade="BF"/>
              <w:right w:val="dotted" w:sz="4" w:space="0" w:color="BFBFBF" w:themeColor="background1" w:themeShade="BF"/>
            </w:tcBorders>
            <w:shd w:val="clear" w:color="auto" w:fill="auto"/>
            <w:vAlign w:val="bottom"/>
          </w:tcPr>
          <w:p w14:paraId="21F605E3" w14:textId="77777777" w:rsidR="00730DE4" w:rsidRPr="00730DE4" w:rsidRDefault="00730DE4" w:rsidP="00DE72D1">
            <w:pPr>
              <w:pStyle w:val="NoSpacing"/>
            </w:pPr>
            <w:r w:rsidRPr="00730DE4">
              <w:rPr>
                <w:rStyle w:val="Strong"/>
              </w:rPr>
              <w:t>Liabilities</w:t>
            </w:r>
          </w:p>
        </w:tc>
        <w:tc>
          <w:tcPr>
            <w:tcW w:w="608"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764CA70F" w14:textId="77777777" w:rsidR="00730DE4" w:rsidRPr="00730DE4" w:rsidRDefault="00730DE4" w:rsidP="00DE72D1">
            <w:pPr>
              <w:pStyle w:val="NoSpacing"/>
              <w:jc w:val="right"/>
            </w:pPr>
          </w:p>
        </w:tc>
        <w:tc>
          <w:tcPr>
            <w:tcW w:w="608"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75B1E33B" w14:textId="77777777" w:rsidR="00730DE4" w:rsidRPr="00730DE4" w:rsidRDefault="00730DE4" w:rsidP="00DE72D1">
            <w:pPr>
              <w:pStyle w:val="NoSpacing"/>
              <w:jc w:val="right"/>
            </w:pPr>
          </w:p>
        </w:tc>
        <w:tc>
          <w:tcPr>
            <w:tcW w:w="608"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44674725" w14:textId="77777777" w:rsidR="00730DE4" w:rsidRPr="00730DE4" w:rsidRDefault="00730DE4" w:rsidP="00DE72D1">
            <w:pPr>
              <w:pStyle w:val="NoSpacing"/>
              <w:jc w:val="right"/>
            </w:pPr>
          </w:p>
        </w:tc>
        <w:tc>
          <w:tcPr>
            <w:tcW w:w="608"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492121E5" w14:textId="77777777" w:rsidR="00730DE4" w:rsidRPr="00730DE4" w:rsidRDefault="00730DE4" w:rsidP="00DE72D1">
            <w:pPr>
              <w:pStyle w:val="NoSpacing"/>
              <w:jc w:val="right"/>
            </w:pPr>
          </w:p>
        </w:tc>
        <w:tc>
          <w:tcPr>
            <w:tcW w:w="608"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171E24A9" w14:textId="77777777" w:rsidR="00730DE4" w:rsidRPr="00730DE4" w:rsidRDefault="00730DE4" w:rsidP="00DE72D1">
            <w:pPr>
              <w:pStyle w:val="NoSpacing"/>
              <w:jc w:val="right"/>
            </w:pPr>
          </w:p>
        </w:tc>
        <w:tc>
          <w:tcPr>
            <w:tcW w:w="608" w:type="pct"/>
            <w:tcBorders>
              <w:top w:val="double" w:sz="4" w:space="0" w:color="auto"/>
              <w:left w:val="dotted" w:sz="4" w:space="0" w:color="BFBFBF" w:themeColor="background1" w:themeShade="BF"/>
              <w:bottom w:val="dotted" w:sz="4" w:space="0" w:color="BFBFBF" w:themeColor="background1" w:themeShade="BF"/>
              <w:right w:val="nil"/>
            </w:tcBorders>
            <w:shd w:val="clear" w:color="auto" w:fill="auto"/>
            <w:noWrap/>
            <w:vAlign w:val="bottom"/>
          </w:tcPr>
          <w:p w14:paraId="7A713265" w14:textId="77777777" w:rsidR="00730DE4" w:rsidRPr="00730DE4" w:rsidRDefault="00730DE4" w:rsidP="00DE72D1">
            <w:pPr>
              <w:pStyle w:val="NoSpacing"/>
              <w:jc w:val="right"/>
            </w:pPr>
          </w:p>
        </w:tc>
      </w:tr>
      <w:tr w:rsidR="00730DE4" w:rsidRPr="00730DE4" w14:paraId="7F0112BB" w14:textId="77777777" w:rsidTr="007F423A">
        <w:trPr>
          <w:cantSplit/>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23382AA2" w14:textId="77777777" w:rsidR="00730DE4" w:rsidRPr="00730DE4" w:rsidRDefault="00730DE4" w:rsidP="00DE72D1">
            <w:pPr>
              <w:pStyle w:val="NoSpacing"/>
            </w:pPr>
            <w:r w:rsidRPr="00730DE4">
              <w:rPr>
                <w:rStyle w:val="Strong"/>
              </w:rPr>
              <w:t>Current liabilities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3CC859A0" w14:textId="77777777" w:rsidR="00730DE4" w:rsidRPr="00730DE4" w:rsidRDefault="00730DE4" w:rsidP="00DE72D1">
            <w:pPr>
              <w:pStyle w:val="NoSpacing"/>
              <w:jc w:val="right"/>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6D23219E" w14:textId="77777777" w:rsidR="00730DE4" w:rsidRPr="00730DE4" w:rsidRDefault="00730DE4" w:rsidP="00DE72D1">
            <w:pPr>
              <w:pStyle w:val="NoSpacing"/>
              <w:jc w:val="right"/>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77CDAA13" w14:textId="77777777" w:rsidR="00730DE4" w:rsidRPr="00730DE4" w:rsidRDefault="00730DE4" w:rsidP="00DE72D1">
            <w:pPr>
              <w:pStyle w:val="NoSpacing"/>
              <w:jc w:val="right"/>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28028886" w14:textId="77777777" w:rsidR="00730DE4" w:rsidRPr="00730DE4" w:rsidRDefault="00730DE4" w:rsidP="00DE72D1">
            <w:pPr>
              <w:pStyle w:val="NoSpacing"/>
              <w:jc w:val="right"/>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043C4CA2" w14:textId="77777777" w:rsidR="00730DE4" w:rsidRPr="00730DE4" w:rsidRDefault="00730DE4" w:rsidP="00DE72D1">
            <w:pPr>
              <w:pStyle w:val="NoSpacing"/>
              <w:jc w:val="right"/>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tcPr>
          <w:p w14:paraId="18548F10" w14:textId="77777777" w:rsidR="00730DE4" w:rsidRPr="00730DE4" w:rsidRDefault="00730DE4" w:rsidP="00DE72D1">
            <w:pPr>
              <w:pStyle w:val="NoSpacing"/>
              <w:jc w:val="right"/>
            </w:pPr>
          </w:p>
        </w:tc>
      </w:tr>
      <w:tr w:rsidR="00730DE4" w:rsidRPr="00730DE4" w14:paraId="2842D051" w14:textId="77777777" w:rsidTr="007F423A">
        <w:trPr>
          <w:cantSplit/>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6738796E" w14:textId="77777777" w:rsidR="00730DE4" w:rsidRPr="00730DE4" w:rsidRDefault="00730DE4" w:rsidP="00662028">
            <w:pPr>
              <w:pStyle w:val="NoSpacingIndent"/>
            </w:pPr>
            <w:r w:rsidRPr="00730DE4">
              <w:t>Payables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7C976792" w14:textId="77777777" w:rsidR="00730DE4" w:rsidRPr="00730DE4" w:rsidRDefault="00730DE4" w:rsidP="00DE72D1">
            <w:pPr>
              <w:pStyle w:val="NoSpacing"/>
              <w:jc w:val="right"/>
            </w:pPr>
            <w:r w:rsidRPr="00730DE4">
              <w:t xml:space="preserve">6,773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576D3A7B" w14:textId="77777777" w:rsidR="00730DE4" w:rsidRPr="00730DE4" w:rsidRDefault="00730DE4" w:rsidP="00DE72D1">
            <w:pPr>
              <w:pStyle w:val="NoSpacing"/>
              <w:jc w:val="right"/>
            </w:pPr>
            <w:r w:rsidRPr="00730DE4">
              <w:t xml:space="preserve">189,734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14697700" w14:textId="77777777" w:rsidR="00730DE4" w:rsidRPr="00730DE4" w:rsidRDefault="00730DE4" w:rsidP="00DE72D1">
            <w:pPr>
              <w:pStyle w:val="NoSpacing"/>
              <w:jc w:val="right"/>
            </w:pPr>
            <w:r w:rsidRPr="00730DE4">
              <w:t xml:space="preserve">45,420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2D06E736" w14:textId="77777777" w:rsidR="00730DE4" w:rsidRPr="00730DE4" w:rsidRDefault="00730DE4" w:rsidP="00DE72D1">
            <w:pPr>
              <w:pStyle w:val="NoSpacing"/>
              <w:jc w:val="right"/>
            </w:pPr>
            <w:r w:rsidRPr="00730DE4">
              <w:t xml:space="preserve">41,873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7CE0BC89" w14:textId="77777777" w:rsidR="00730DE4" w:rsidRPr="00730DE4" w:rsidRDefault="00730DE4" w:rsidP="00DE72D1">
            <w:pPr>
              <w:pStyle w:val="NoSpacing"/>
              <w:jc w:val="right"/>
            </w:pPr>
            <w:r w:rsidRPr="00730DE4">
              <w:t xml:space="preserve">710,319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tcPr>
          <w:p w14:paraId="54ADBD45" w14:textId="77777777" w:rsidR="00730DE4" w:rsidRPr="00730DE4" w:rsidRDefault="00730DE4" w:rsidP="00DE72D1">
            <w:pPr>
              <w:pStyle w:val="NoSpacing"/>
              <w:jc w:val="right"/>
            </w:pPr>
            <w:r w:rsidRPr="00730DE4">
              <w:t xml:space="preserve">38,151 </w:t>
            </w:r>
          </w:p>
        </w:tc>
      </w:tr>
      <w:tr w:rsidR="00730DE4" w:rsidRPr="00730DE4" w14:paraId="5326A935" w14:textId="77777777" w:rsidTr="007F423A">
        <w:trPr>
          <w:cantSplit/>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263E7B82" w14:textId="77777777" w:rsidR="00730DE4" w:rsidRPr="00730DE4" w:rsidRDefault="00730DE4" w:rsidP="00662028">
            <w:pPr>
              <w:pStyle w:val="NoSpacingIndent"/>
            </w:pPr>
            <w:r w:rsidRPr="00730DE4">
              <w:t>Borrowings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614FA06"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DC8A32E" w14:textId="77777777" w:rsidR="00730DE4" w:rsidRPr="00730DE4" w:rsidRDefault="00730DE4" w:rsidP="00DE72D1">
            <w:pPr>
              <w:pStyle w:val="NoSpacing"/>
              <w:jc w:val="right"/>
            </w:pPr>
            <w:r w:rsidRPr="00730DE4">
              <w:t xml:space="preserve">10,786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528DDE0"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BD49CC4"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68EBC21" w14:textId="77777777" w:rsidR="00730DE4" w:rsidRPr="00730DE4" w:rsidRDefault="00730DE4" w:rsidP="00DE72D1">
            <w:pPr>
              <w:pStyle w:val="NoSpacing"/>
              <w:jc w:val="right"/>
            </w:pPr>
            <w:r w:rsidRPr="00730DE4">
              <w:t xml:space="preserve">33,418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CD42F47" w14:textId="77777777" w:rsidR="00730DE4" w:rsidRPr="00730DE4" w:rsidRDefault="00730DE4" w:rsidP="00DE72D1">
            <w:pPr>
              <w:pStyle w:val="NoSpacing"/>
              <w:jc w:val="right"/>
            </w:pPr>
            <w:r w:rsidRPr="00730DE4">
              <w:t xml:space="preserve">- </w:t>
            </w:r>
          </w:p>
        </w:tc>
      </w:tr>
      <w:tr w:rsidR="00730DE4" w:rsidRPr="00730DE4" w14:paraId="60ACD7FE" w14:textId="77777777" w:rsidTr="007F423A">
        <w:trPr>
          <w:cantSplit/>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0D363E1C" w14:textId="77777777" w:rsidR="00730DE4" w:rsidRPr="00730DE4" w:rsidRDefault="00730DE4" w:rsidP="00662028">
            <w:pPr>
              <w:pStyle w:val="NoSpacingIndent"/>
            </w:pPr>
            <w:r w:rsidRPr="00730DE4">
              <w:t>Provisions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4F96234"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E396146" w14:textId="77777777" w:rsidR="00730DE4" w:rsidRPr="00730DE4" w:rsidRDefault="00730DE4" w:rsidP="00DE72D1">
            <w:pPr>
              <w:pStyle w:val="NoSpacing"/>
              <w:jc w:val="right"/>
            </w:pPr>
            <w:r w:rsidRPr="00730DE4">
              <w:t xml:space="preserve">264,877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A5581FD"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D688C4B"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EDAFABB" w14:textId="77777777" w:rsidR="00730DE4" w:rsidRPr="00730DE4" w:rsidRDefault="00730DE4" w:rsidP="00DE72D1">
            <w:pPr>
              <w:pStyle w:val="NoSpacing"/>
              <w:jc w:val="right"/>
            </w:pPr>
            <w:r w:rsidRPr="00730DE4">
              <w:t xml:space="preserve">52,096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1D1977A" w14:textId="77777777" w:rsidR="00730DE4" w:rsidRPr="00730DE4" w:rsidRDefault="00730DE4" w:rsidP="00DE72D1">
            <w:pPr>
              <w:pStyle w:val="NoSpacing"/>
              <w:jc w:val="right"/>
            </w:pPr>
            <w:r w:rsidRPr="00730DE4">
              <w:t xml:space="preserve">- </w:t>
            </w:r>
          </w:p>
        </w:tc>
      </w:tr>
      <w:tr w:rsidR="00730DE4" w:rsidRPr="00730DE4" w14:paraId="17379E47" w14:textId="77777777" w:rsidTr="007F423A">
        <w:trPr>
          <w:cantSplit/>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61E71FB6" w14:textId="77777777" w:rsidR="00730DE4" w:rsidRPr="00730DE4" w:rsidRDefault="00730DE4" w:rsidP="00662028">
            <w:pPr>
              <w:pStyle w:val="NoSpacingIndent"/>
            </w:pPr>
            <w:r w:rsidRPr="00730DE4">
              <w:t>Accrued employee benefits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AB8844C" w14:textId="77777777" w:rsidR="00730DE4" w:rsidRPr="00730DE4" w:rsidRDefault="00730DE4" w:rsidP="00DE72D1">
            <w:pPr>
              <w:pStyle w:val="NoSpacing"/>
              <w:jc w:val="right"/>
            </w:pPr>
            <w:r w:rsidRPr="00730DE4">
              <w:t xml:space="preserve">3,103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3B84921" w14:textId="77777777" w:rsidR="00730DE4" w:rsidRPr="00730DE4" w:rsidRDefault="00730DE4" w:rsidP="00DE72D1">
            <w:pPr>
              <w:pStyle w:val="NoSpacing"/>
              <w:jc w:val="right"/>
            </w:pPr>
            <w:r w:rsidRPr="00730DE4">
              <w:t xml:space="preserve">8,564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FDA31A9" w14:textId="77777777" w:rsidR="00730DE4" w:rsidRPr="00730DE4" w:rsidRDefault="00730DE4" w:rsidP="00DE72D1">
            <w:pPr>
              <w:pStyle w:val="NoSpacing"/>
              <w:jc w:val="right"/>
            </w:pPr>
            <w:r w:rsidRPr="00730DE4">
              <w:t xml:space="preserve">3,789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0AFDC7E" w14:textId="77777777" w:rsidR="00730DE4" w:rsidRPr="00730DE4" w:rsidRDefault="00730DE4" w:rsidP="00DE72D1">
            <w:pPr>
              <w:pStyle w:val="NoSpacing"/>
              <w:jc w:val="right"/>
            </w:pPr>
            <w:r w:rsidRPr="00730DE4">
              <w:t xml:space="preserve">8,698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5AA74D0" w14:textId="77777777" w:rsidR="00730DE4" w:rsidRPr="00730DE4" w:rsidRDefault="00730DE4" w:rsidP="00DE72D1">
            <w:pPr>
              <w:pStyle w:val="NoSpacing"/>
              <w:jc w:val="right"/>
            </w:pPr>
            <w:r w:rsidRPr="00730DE4">
              <w:t xml:space="preserve">4,628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7501B64" w14:textId="77777777" w:rsidR="00730DE4" w:rsidRPr="00730DE4" w:rsidRDefault="00730DE4" w:rsidP="00DE72D1">
            <w:pPr>
              <w:pStyle w:val="NoSpacing"/>
              <w:jc w:val="right"/>
            </w:pPr>
            <w:r w:rsidRPr="00730DE4">
              <w:t xml:space="preserve">5,729 </w:t>
            </w:r>
          </w:p>
        </w:tc>
      </w:tr>
      <w:tr w:rsidR="00730DE4" w:rsidRPr="00730DE4" w14:paraId="5AF65711" w14:textId="77777777" w:rsidTr="007F423A">
        <w:trPr>
          <w:cantSplit/>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4BBFC031" w14:textId="77777777" w:rsidR="00730DE4" w:rsidRPr="00730DE4" w:rsidRDefault="00730DE4" w:rsidP="00662028">
            <w:pPr>
              <w:pStyle w:val="NoSpacingIndent"/>
            </w:pPr>
            <w:r w:rsidRPr="00730DE4">
              <w:t xml:space="preserve">Unearned revenue – service concession arrangements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63CECB3"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A513AC9" w14:textId="77777777" w:rsidR="00730DE4" w:rsidRPr="00730DE4" w:rsidRDefault="00730DE4" w:rsidP="00DE72D1">
            <w:pPr>
              <w:pStyle w:val="NoSpacing"/>
              <w:jc w:val="right"/>
            </w:pPr>
            <w:r w:rsidRPr="00730DE4">
              <w:t xml:space="preserve">223,020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9490DDB"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2A5666B"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E570B3B" w14:textId="77777777" w:rsidR="00730DE4" w:rsidRPr="00730DE4" w:rsidRDefault="00730DE4" w:rsidP="00DE72D1">
            <w:pPr>
              <w:pStyle w:val="NoSpacing"/>
              <w:jc w:val="right"/>
            </w:pPr>
            <w:r w:rsidRPr="00730DE4">
              <w:t xml:space="preserve">9,160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C56DA01" w14:textId="77777777" w:rsidR="00730DE4" w:rsidRPr="00730DE4" w:rsidRDefault="00730DE4" w:rsidP="00DE72D1">
            <w:pPr>
              <w:pStyle w:val="NoSpacing"/>
              <w:jc w:val="right"/>
            </w:pPr>
            <w:r w:rsidRPr="00730DE4">
              <w:t xml:space="preserve">- </w:t>
            </w:r>
          </w:p>
        </w:tc>
      </w:tr>
      <w:tr w:rsidR="00730DE4" w:rsidRPr="00730DE4" w14:paraId="418A5FF4" w14:textId="77777777" w:rsidTr="007F423A">
        <w:trPr>
          <w:cantSplit/>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37770703" w14:textId="77777777" w:rsidR="00730DE4" w:rsidRPr="00730DE4" w:rsidRDefault="00730DE4" w:rsidP="00662028">
            <w:pPr>
              <w:pStyle w:val="NoSpacingIndent"/>
            </w:pPr>
            <w:r w:rsidRPr="00730DE4">
              <w:t>Lease liabilities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C54BDC7"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A016445"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27070F9"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EAAEC5A"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E3A281D" w14:textId="77777777" w:rsidR="00730DE4" w:rsidRPr="00730DE4" w:rsidRDefault="00730DE4" w:rsidP="00DE72D1">
            <w:pPr>
              <w:pStyle w:val="NoSpacing"/>
              <w:jc w:val="right"/>
            </w:pPr>
            <w:r w:rsidRPr="00730DE4">
              <w:t xml:space="preserve">106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821BE31" w14:textId="77777777" w:rsidR="00730DE4" w:rsidRPr="00730DE4" w:rsidRDefault="00730DE4" w:rsidP="00DE72D1">
            <w:pPr>
              <w:pStyle w:val="NoSpacing"/>
              <w:jc w:val="right"/>
            </w:pPr>
            <w:r w:rsidRPr="00730DE4">
              <w:t xml:space="preserve">- </w:t>
            </w:r>
          </w:p>
        </w:tc>
      </w:tr>
      <w:tr w:rsidR="00730DE4" w:rsidRPr="00730DE4" w14:paraId="35A9BB28" w14:textId="77777777" w:rsidTr="007F423A">
        <w:trPr>
          <w:cantSplit/>
        </w:trPr>
        <w:tc>
          <w:tcPr>
            <w:tcW w:w="1352"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vAlign w:val="bottom"/>
          </w:tcPr>
          <w:p w14:paraId="748FDABF" w14:textId="77777777" w:rsidR="00730DE4" w:rsidRPr="00730DE4" w:rsidRDefault="00730DE4" w:rsidP="00662028">
            <w:pPr>
              <w:pStyle w:val="NoSpacingIndent"/>
            </w:pPr>
            <w:r w:rsidRPr="00730DE4">
              <w:t xml:space="preserve">Other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4DC7B9B0" w14:textId="77777777" w:rsidR="00730DE4" w:rsidRPr="00730DE4" w:rsidRDefault="00730DE4" w:rsidP="00DE72D1">
            <w:pPr>
              <w:pStyle w:val="NoSpacing"/>
              <w:jc w:val="right"/>
            </w:pPr>
            <w:r w:rsidRPr="00730DE4">
              <w:t xml:space="preserve">106,119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022B68C9" w14:textId="77777777" w:rsidR="00730DE4" w:rsidRPr="00730DE4" w:rsidRDefault="00730DE4" w:rsidP="00DE72D1">
            <w:pPr>
              <w:pStyle w:val="NoSpacing"/>
              <w:jc w:val="right"/>
            </w:pPr>
            <w:r w:rsidRPr="00730DE4">
              <w:t xml:space="preserve">31,145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565FA44F" w14:textId="77777777" w:rsidR="00730DE4" w:rsidRPr="00730DE4" w:rsidRDefault="00730DE4" w:rsidP="00DE72D1">
            <w:pPr>
              <w:pStyle w:val="NoSpacing"/>
              <w:jc w:val="right"/>
            </w:pPr>
            <w:r w:rsidRPr="00730DE4">
              <w:t xml:space="preserve">1,524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2E2F5ADF"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69BDE444" w14:textId="77777777" w:rsidR="00730DE4" w:rsidRPr="00730DE4" w:rsidRDefault="00730DE4" w:rsidP="00DE72D1">
            <w:pPr>
              <w:pStyle w:val="NoSpacing"/>
              <w:jc w:val="right"/>
            </w:pPr>
            <w:r w:rsidRPr="00730DE4">
              <w:t xml:space="preserve">100,804 </w:t>
            </w:r>
          </w:p>
        </w:tc>
        <w:tc>
          <w:tcPr>
            <w:tcW w:w="608"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34EAFAF1" w14:textId="77777777" w:rsidR="00730DE4" w:rsidRPr="00730DE4" w:rsidRDefault="00730DE4" w:rsidP="00DE72D1">
            <w:pPr>
              <w:pStyle w:val="NoSpacing"/>
              <w:jc w:val="right"/>
            </w:pPr>
            <w:r w:rsidRPr="00730DE4">
              <w:t xml:space="preserve">- </w:t>
            </w:r>
          </w:p>
        </w:tc>
      </w:tr>
      <w:tr w:rsidR="00730DE4" w:rsidRPr="00730DE4" w14:paraId="7A903EB9" w14:textId="77777777" w:rsidTr="007F423A">
        <w:trPr>
          <w:cantSplit/>
          <w:trHeight w:val="340"/>
        </w:trPr>
        <w:tc>
          <w:tcPr>
            <w:tcW w:w="1352"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tcPr>
          <w:p w14:paraId="4B7DAB92" w14:textId="77777777" w:rsidR="00730DE4" w:rsidRPr="00730DE4" w:rsidRDefault="00730DE4" w:rsidP="00662028">
            <w:pPr>
              <w:pStyle w:val="NoSpacingIndent"/>
              <w:rPr>
                <w:rStyle w:val="Strong"/>
              </w:rPr>
            </w:pPr>
            <w:r w:rsidRPr="00730DE4">
              <w:rPr>
                <w:rStyle w:val="Strong"/>
              </w:rPr>
              <w:t>Total current liabilities</w:t>
            </w: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hideMark/>
          </w:tcPr>
          <w:p w14:paraId="2F2BE92A" w14:textId="77777777" w:rsidR="00730DE4" w:rsidRPr="00730DE4" w:rsidRDefault="00730DE4" w:rsidP="00662028">
            <w:pPr>
              <w:pStyle w:val="NoSpacing"/>
              <w:jc w:val="right"/>
              <w:rPr>
                <w:b/>
                <w:bCs/>
              </w:rPr>
            </w:pPr>
            <w:r w:rsidRPr="00730DE4">
              <w:rPr>
                <w:rStyle w:val="Strong"/>
              </w:rPr>
              <w:t xml:space="preserve">115,995 </w:t>
            </w: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hideMark/>
          </w:tcPr>
          <w:p w14:paraId="429CC407" w14:textId="77777777" w:rsidR="00730DE4" w:rsidRPr="00730DE4" w:rsidRDefault="00730DE4" w:rsidP="00662028">
            <w:pPr>
              <w:pStyle w:val="NoSpacing"/>
              <w:jc w:val="right"/>
              <w:rPr>
                <w:b/>
                <w:bCs/>
              </w:rPr>
            </w:pPr>
            <w:r w:rsidRPr="00730DE4">
              <w:rPr>
                <w:rStyle w:val="Strong"/>
              </w:rPr>
              <w:t xml:space="preserve">728,126 </w:t>
            </w: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hideMark/>
          </w:tcPr>
          <w:p w14:paraId="13191D3B" w14:textId="77777777" w:rsidR="00730DE4" w:rsidRPr="00730DE4" w:rsidRDefault="00730DE4" w:rsidP="00662028">
            <w:pPr>
              <w:pStyle w:val="NoSpacing"/>
              <w:jc w:val="right"/>
              <w:rPr>
                <w:b/>
                <w:bCs/>
              </w:rPr>
            </w:pPr>
            <w:r w:rsidRPr="00730DE4">
              <w:rPr>
                <w:rStyle w:val="Strong"/>
              </w:rPr>
              <w:t xml:space="preserve">50,733 </w:t>
            </w: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hideMark/>
          </w:tcPr>
          <w:p w14:paraId="45832E5C" w14:textId="77777777" w:rsidR="00730DE4" w:rsidRPr="00730DE4" w:rsidRDefault="00730DE4" w:rsidP="00662028">
            <w:pPr>
              <w:pStyle w:val="NoSpacing"/>
              <w:jc w:val="right"/>
              <w:rPr>
                <w:b/>
                <w:bCs/>
              </w:rPr>
            </w:pPr>
            <w:r w:rsidRPr="00730DE4">
              <w:rPr>
                <w:rStyle w:val="Strong"/>
              </w:rPr>
              <w:t xml:space="preserve">50,571 </w:t>
            </w: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hideMark/>
          </w:tcPr>
          <w:p w14:paraId="549655AA" w14:textId="77777777" w:rsidR="00730DE4" w:rsidRPr="00730DE4" w:rsidRDefault="00730DE4" w:rsidP="00662028">
            <w:pPr>
              <w:pStyle w:val="NoSpacing"/>
              <w:jc w:val="right"/>
              <w:rPr>
                <w:b/>
                <w:bCs/>
              </w:rPr>
            </w:pPr>
            <w:r w:rsidRPr="00730DE4">
              <w:rPr>
                <w:rStyle w:val="Strong"/>
              </w:rPr>
              <w:t xml:space="preserve">910,531 </w:t>
            </w:r>
          </w:p>
        </w:tc>
        <w:tc>
          <w:tcPr>
            <w:tcW w:w="608"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hideMark/>
          </w:tcPr>
          <w:p w14:paraId="26613739" w14:textId="77777777" w:rsidR="00730DE4" w:rsidRPr="00730DE4" w:rsidRDefault="00730DE4" w:rsidP="00662028">
            <w:pPr>
              <w:pStyle w:val="NoSpacing"/>
              <w:jc w:val="right"/>
              <w:rPr>
                <w:rStyle w:val="Strong"/>
              </w:rPr>
            </w:pPr>
            <w:r w:rsidRPr="00730DE4">
              <w:rPr>
                <w:rStyle w:val="Strong"/>
              </w:rPr>
              <w:t xml:space="preserve">43,880 </w:t>
            </w:r>
          </w:p>
        </w:tc>
      </w:tr>
      <w:tr w:rsidR="00730DE4" w:rsidRPr="00730DE4" w14:paraId="535471F1" w14:textId="77777777" w:rsidTr="007F423A">
        <w:trPr>
          <w:cantSplit/>
          <w:trHeight w:val="340"/>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0AC3482E" w14:textId="77777777" w:rsidR="00730DE4" w:rsidRPr="00730DE4" w:rsidRDefault="00730DE4" w:rsidP="00DE72D1">
            <w:pPr>
              <w:pStyle w:val="NoSpacing"/>
              <w:rPr>
                <w:rStyle w:val="Strong"/>
              </w:rPr>
            </w:pPr>
            <w:r w:rsidRPr="00730DE4">
              <w:rPr>
                <w:rStyle w:val="Strong"/>
              </w:rPr>
              <w:t>Non-current liabilities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00B4C1B0" w14:textId="77777777" w:rsidR="00730DE4" w:rsidRPr="00730DE4" w:rsidRDefault="00730DE4" w:rsidP="00DE72D1">
            <w:pPr>
              <w:pStyle w:val="NoSpacing"/>
              <w:jc w:val="right"/>
              <w:rPr>
                <w:rStyle w:val="Strong"/>
              </w:rPr>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31774086" w14:textId="77777777" w:rsidR="00730DE4" w:rsidRPr="00730DE4" w:rsidRDefault="00730DE4" w:rsidP="00DE72D1">
            <w:pPr>
              <w:pStyle w:val="NoSpacing"/>
              <w:jc w:val="right"/>
              <w:rPr>
                <w:rStyle w:val="Strong"/>
              </w:rPr>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46F32860" w14:textId="77777777" w:rsidR="00730DE4" w:rsidRPr="00730DE4" w:rsidRDefault="00730DE4" w:rsidP="00DE72D1">
            <w:pPr>
              <w:pStyle w:val="NoSpacing"/>
              <w:jc w:val="right"/>
              <w:rPr>
                <w:rStyle w:val="Strong"/>
              </w:rPr>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7960CC17" w14:textId="77777777" w:rsidR="00730DE4" w:rsidRPr="00730DE4" w:rsidRDefault="00730DE4" w:rsidP="00DE72D1">
            <w:pPr>
              <w:pStyle w:val="NoSpacing"/>
              <w:jc w:val="right"/>
              <w:rPr>
                <w:rStyle w:val="Strong"/>
              </w:rPr>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11829561" w14:textId="77777777" w:rsidR="00730DE4" w:rsidRPr="00730DE4" w:rsidRDefault="00730DE4" w:rsidP="00DE72D1">
            <w:pPr>
              <w:pStyle w:val="NoSpacing"/>
              <w:jc w:val="right"/>
              <w:rPr>
                <w:rStyle w:val="Strong"/>
              </w:rPr>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tcPr>
          <w:p w14:paraId="59A96A00" w14:textId="77777777" w:rsidR="00730DE4" w:rsidRPr="00730DE4" w:rsidRDefault="00730DE4" w:rsidP="00DE72D1">
            <w:pPr>
              <w:pStyle w:val="NoSpacing"/>
              <w:jc w:val="right"/>
              <w:rPr>
                <w:rStyle w:val="Strong"/>
              </w:rPr>
            </w:pPr>
          </w:p>
        </w:tc>
      </w:tr>
      <w:tr w:rsidR="00730DE4" w:rsidRPr="00730DE4" w14:paraId="13FA5D68" w14:textId="77777777" w:rsidTr="007F423A">
        <w:trPr>
          <w:cantSplit/>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69A412A0" w14:textId="77777777" w:rsidR="00730DE4" w:rsidRPr="00730DE4" w:rsidRDefault="00730DE4" w:rsidP="00662028">
            <w:pPr>
              <w:pStyle w:val="NoSpacingIndent"/>
            </w:pPr>
            <w:r w:rsidRPr="00730DE4">
              <w:t>Borrowings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66B696D"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1B86A9D" w14:textId="77777777" w:rsidR="00730DE4" w:rsidRPr="00730DE4" w:rsidRDefault="00730DE4" w:rsidP="00DE72D1">
            <w:pPr>
              <w:pStyle w:val="NoSpacing"/>
              <w:jc w:val="right"/>
            </w:pPr>
            <w:r w:rsidRPr="00730DE4">
              <w:t xml:space="preserve">383,909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ADEF814"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6DFF898"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950DD8C" w14:textId="77777777" w:rsidR="00730DE4" w:rsidRPr="00730DE4" w:rsidRDefault="00730DE4" w:rsidP="00DE72D1">
            <w:pPr>
              <w:pStyle w:val="NoSpacing"/>
              <w:jc w:val="right"/>
            </w:pPr>
            <w:r w:rsidRPr="00730DE4">
              <w:t xml:space="preserve">753,334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E502723" w14:textId="77777777" w:rsidR="00730DE4" w:rsidRPr="00730DE4" w:rsidRDefault="00730DE4" w:rsidP="00DE72D1">
            <w:pPr>
              <w:pStyle w:val="NoSpacing"/>
              <w:jc w:val="right"/>
            </w:pPr>
            <w:r w:rsidRPr="00730DE4">
              <w:t xml:space="preserve">19,000 </w:t>
            </w:r>
          </w:p>
        </w:tc>
      </w:tr>
      <w:tr w:rsidR="00730DE4" w:rsidRPr="00730DE4" w14:paraId="2AFEC0FB" w14:textId="77777777" w:rsidTr="007F423A">
        <w:trPr>
          <w:cantSplit/>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06DE23A5" w14:textId="77777777" w:rsidR="00730DE4" w:rsidRPr="00730DE4" w:rsidRDefault="00730DE4" w:rsidP="00662028">
            <w:pPr>
              <w:pStyle w:val="NoSpacingIndent"/>
            </w:pPr>
            <w:r w:rsidRPr="00730DE4">
              <w:t>Provisions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30A21A6"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6B99355" w14:textId="77777777" w:rsidR="00730DE4" w:rsidRPr="00730DE4" w:rsidRDefault="00730DE4" w:rsidP="00DE72D1">
            <w:pPr>
              <w:pStyle w:val="NoSpacing"/>
              <w:jc w:val="right"/>
            </w:pPr>
            <w:r w:rsidRPr="00730DE4">
              <w:t xml:space="preserve">190,548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855D5EF"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FFCF230"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5E3F667" w14:textId="77777777" w:rsidR="00730DE4" w:rsidRPr="00730DE4" w:rsidRDefault="00730DE4" w:rsidP="00DE72D1">
            <w:pPr>
              <w:pStyle w:val="NoSpacing"/>
              <w:jc w:val="right"/>
            </w:pPr>
            <w:r w:rsidRPr="00730DE4">
              <w:t xml:space="preserve">5,582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5709486" w14:textId="77777777" w:rsidR="00730DE4" w:rsidRPr="00730DE4" w:rsidRDefault="00730DE4" w:rsidP="00DE72D1">
            <w:pPr>
              <w:pStyle w:val="NoSpacing"/>
              <w:jc w:val="right"/>
            </w:pPr>
            <w:r w:rsidRPr="00730DE4">
              <w:t xml:space="preserve">- </w:t>
            </w:r>
          </w:p>
        </w:tc>
      </w:tr>
      <w:tr w:rsidR="00730DE4" w:rsidRPr="00730DE4" w14:paraId="681F810C" w14:textId="77777777" w:rsidTr="007F423A">
        <w:trPr>
          <w:cantSplit/>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0A3E3108" w14:textId="77777777" w:rsidR="00730DE4" w:rsidRPr="00730DE4" w:rsidRDefault="00730DE4" w:rsidP="00662028">
            <w:pPr>
              <w:pStyle w:val="NoSpacingIndent"/>
            </w:pPr>
            <w:r w:rsidRPr="00730DE4">
              <w:t xml:space="preserve">Unearned revenue – service concession arrangements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EEBBD33"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4C61756" w14:textId="77777777" w:rsidR="00730DE4" w:rsidRPr="00730DE4" w:rsidRDefault="00730DE4" w:rsidP="00DE72D1">
            <w:pPr>
              <w:pStyle w:val="NoSpacing"/>
              <w:jc w:val="right"/>
            </w:pPr>
            <w:r w:rsidRPr="00730DE4">
              <w:t xml:space="preserve">6,814,737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E79EE7F"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6BF5713"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57C650B" w14:textId="77777777" w:rsidR="00730DE4" w:rsidRPr="00730DE4" w:rsidRDefault="00730DE4" w:rsidP="00DE72D1">
            <w:pPr>
              <w:pStyle w:val="NoSpacing"/>
              <w:jc w:val="right"/>
            </w:pPr>
            <w:r w:rsidRPr="00730DE4">
              <w:t xml:space="preserve">108,397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03D3B7A" w14:textId="77777777" w:rsidR="00730DE4" w:rsidRPr="00730DE4" w:rsidRDefault="00730DE4" w:rsidP="00DE72D1">
            <w:pPr>
              <w:pStyle w:val="NoSpacing"/>
              <w:jc w:val="right"/>
            </w:pPr>
            <w:r w:rsidRPr="00730DE4">
              <w:t xml:space="preserve">- </w:t>
            </w:r>
          </w:p>
        </w:tc>
      </w:tr>
      <w:tr w:rsidR="00730DE4" w:rsidRPr="00730DE4" w14:paraId="049BA8AE" w14:textId="77777777" w:rsidTr="007F423A">
        <w:trPr>
          <w:cantSplit/>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1BA69F60" w14:textId="77777777" w:rsidR="00730DE4" w:rsidRPr="00730DE4" w:rsidRDefault="00730DE4" w:rsidP="00662028">
            <w:pPr>
              <w:pStyle w:val="NoSpacingIndent"/>
            </w:pPr>
            <w:r w:rsidRPr="00730DE4">
              <w:t>Lease liabilities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23CDC92"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3E6BDCE"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60C6FD6"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62B4314"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4B9240B" w14:textId="77777777" w:rsidR="00730DE4" w:rsidRPr="00730DE4" w:rsidRDefault="00730DE4" w:rsidP="00DE72D1">
            <w:pPr>
              <w:pStyle w:val="NoSpacing"/>
              <w:jc w:val="right"/>
            </w:pPr>
            <w:r w:rsidRPr="00730DE4">
              <w:t xml:space="preserve">3,421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DA8824D" w14:textId="77777777" w:rsidR="00730DE4" w:rsidRPr="00730DE4" w:rsidRDefault="00730DE4" w:rsidP="00DE72D1">
            <w:pPr>
              <w:pStyle w:val="NoSpacing"/>
              <w:jc w:val="right"/>
            </w:pPr>
            <w:r w:rsidRPr="00730DE4">
              <w:t xml:space="preserve">- </w:t>
            </w:r>
          </w:p>
        </w:tc>
      </w:tr>
      <w:tr w:rsidR="00730DE4" w:rsidRPr="00730DE4" w14:paraId="7B046CAA" w14:textId="77777777" w:rsidTr="007F423A">
        <w:trPr>
          <w:cantSplit/>
        </w:trPr>
        <w:tc>
          <w:tcPr>
            <w:tcW w:w="1352"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vAlign w:val="bottom"/>
          </w:tcPr>
          <w:p w14:paraId="62A2D37B" w14:textId="77777777" w:rsidR="00730DE4" w:rsidRPr="00730DE4" w:rsidRDefault="00730DE4" w:rsidP="00662028">
            <w:pPr>
              <w:pStyle w:val="NoSpacingIndent"/>
            </w:pPr>
            <w:r w:rsidRPr="00730DE4">
              <w:t>Other</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1B97FF56"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312B3E11"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62F8D203"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7E9DB3FF"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030F47F5"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7C484177" w14:textId="77777777" w:rsidR="00730DE4" w:rsidRPr="00730DE4" w:rsidRDefault="00730DE4" w:rsidP="00DE72D1">
            <w:pPr>
              <w:pStyle w:val="NoSpacing"/>
              <w:jc w:val="right"/>
            </w:pPr>
            <w:r w:rsidRPr="00730DE4">
              <w:t xml:space="preserve">- </w:t>
            </w:r>
          </w:p>
        </w:tc>
      </w:tr>
      <w:tr w:rsidR="00730DE4" w:rsidRPr="00730DE4" w14:paraId="0461552E" w14:textId="77777777" w:rsidTr="007F423A">
        <w:trPr>
          <w:cantSplit/>
          <w:trHeight w:val="340"/>
        </w:trPr>
        <w:tc>
          <w:tcPr>
            <w:tcW w:w="1352" w:type="pct"/>
            <w:tcBorders>
              <w:top w:val="single" w:sz="4" w:space="0" w:color="auto"/>
              <w:left w:val="nil"/>
              <w:right w:val="dotted" w:sz="4" w:space="0" w:color="BFBFBF" w:themeColor="background1" w:themeShade="BF"/>
            </w:tcBorders>
            <w:shd w:val="clear" w:color="auto" w:fill="auto"/>
          </w:tcPr>
          <w:p w14:paraId="73C99F07" w14:textId="77777777" w:rsidR="00730DE4" w:rsidRPr="00730DE4" w:rsidRDefault="00730DE4" w:rsidP="00662028">
            <w:pPr>
              <w:pStyle w:val="NoSpacingIndent"/>
              <w:rPr>
                <w:rStyle w:val="Strong"/>
              </w:rPr>
            </w:pPr>
            <w:r w:rsidRPr="00730DE4">
              <w:rPr>
                <w:rStyle w:val="Strong"/>
              </w:rPr>
              <w:t>Total non-current liabilities</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18E6D7B1" w14:textId="77777777" w:rsidR="00730DE4" w:rsidRPr="00730DE4" w:rsidRDefault="00730DE4" w:rsidP="00662028">
            <w:pPr>
              <w:pStyle w:val="NoSpacing"/>
              <w:jc w:val="right"/>
              <w:rPr>
                <w:b/>
                <w:bCs/>
              </w:rPr>
            </w:pPr>
            <w:r w:rsidRPr="00730DE4">
              <w:rPr>
                <w:rStyle w:val="Strong"/>
              </w:rPr>
              <w:t xml:space="preserve">-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6AED566C" w14:textId="77777777" w:rsidR="00730DE4" w:rsidRPr="00730DE4" w:rsidRDefault="00730DE4" w:rsidP="00662028">
            <w:pPr>
              <w:pStyle w:val="NoSpacing"/>
              <w:jc w:val="right"/>
              <w:rPr>
                <w:b/>
                <w:bCs/>
              </w:rPr>
            </w:pPr>
            <w:r w:rsidRPr="00730DE4">
              <w:rPr>
                <w:rStyle w:val="Strong"/>
              </w:rPr>
              <w:t xml:space="preserve">7,389,194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2E19651F" w14:textId="77777777" w:rsidR="00730DE4" w:rsidRPr="00730DE4" w:rsidRDefault="00730DE4" w:rsidP="00662028">
            <w:pPr>
              <w:pStyle w:val="NoSpacing"/>
              <w:jc w:val="right"/>
              <w:rPr>
                <w:b/>
                <w:bCs/>
              </w:rPr>
            </w:pPr>
            <w:r w:rsidRPr="00730DE4">
              <w:rPr>
                <w:rStyle w:val="Strong"/>
              </w:rPr>
              <w:t xml:space="preserve">-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1F4921B8" w14:textId="77777777" w:rsidR="00730DE4" w:rsidRPr="00730DE4" w:rsidRDefault="00730DE4" w:rsidP="00662028">
            <w:pPr>
              <w:pStyle w:val="NoSpacing"/>
              <w:jc w:val="right"/>
              <w:rPr>
                <w:b/>
                <w:bCs/>
              </w:rPr>
            </w:pPr>
            <w:r w:rsidRPr="00730DE4">
              <w:rPr>
                <w:rStyle w:val="Strong"/>
              </w:rPr>
              <w:t xml:space="preserve">-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539F3FF2" w14:textId="77777777" w:rsidR="00730DE4" w:rsidRPr="00730DE4" w:rsidRDefault="00730DE4" w:rsidP="00662028">
            <w:pPr>
              <w:pStyle w:val="NoSpacing"/>
              <w:jc w:val="right"/>
              <w:rPr>
                <w:b/>
                <w:bCs/>
              </w:rPr>
            </w:pPr>
            <w:r w:rsidRPr="00730DE4">
              <w:rPr>
                <w:rStyle w:val="Strong"/>
              </w:rPr>
              <w:t xml:space="preserve">870,734 </w:t>
            </w:r>
          </w:p>
        </w:tc>
        <w:tc>
          <w:tcPr>
            <w:tcW w:w="608" w:type="pct"/>
            <w:tcBorders>
              <w:top w:val="single" w:sz="4" w:space="0" w:color="auto"/>
              <w:left w:val="dotted" w:sz="4" w:space="0" w:color="BFBFBF" w:themeColor="background1" w:themeShade="BF"/>
              <w:right w:val="nil"/>
            </w:tcBorders>
            <w:shd w:val="clear" w:color="auto" w:fill="auto"/>
            <w:noWrap/>
            <w:hideMark/>
          </w:tcPr>
          <w:p w14:paraId="1F651848" w14:textId="77777777" w:rsidR="00730DE4" w:rsidRPr="00730DE4" w:rsidRDefault="00730DE4" w:rsidP="00662028">
            <w:pPr>
              <w:pStyle w:val="NoSpacing"/>
              <w:jc w:val="right"/>
              <w:rPr>
                <w:rStyle w:val="Strong"/>
              </w:rPr>
            </w:pPr>
            <w:r w:rsidRPr="00730DE4">
              <w:rPr>
                <w:rStyle w:val="Strong"/>
              </w:rPr>
              <w:t xml:space="preserve">19,000 </w:t>
            </w:r>
          </w:p>
        </w:tc>
      </w:tr>
      <w:tr w:rsidR="00730DE4" w:rsidRPr="00730DE4" w14:paraId="76CF6207" w14:textId="77777777" w:rsidTr="007F423A">
        <w:trPr>
          <w:cantSplit/>
          <w:trHeight w:val="454"/>
        </w:trPr>
        <w:tc>
          <w:tcPr>
            <w:tcW w:w="1352" w:type="pct"/>
            <w:tcBorders>
              <w:left w:val="nil"/>
              <w:bottom w:val="double" w:sz="4" w:space="0" w:color="auto"/>
              <w:right w:val="dotted" w:sz="4" w:space="0" w:color="BFBFBF" w:themeColor="background1" w:themeShade="BF"/>
            </w:tcBorders>
            <w:shd w:val="clear" w:color="auto" w:fill="auto"/>
            <w:vAlign w:val="bottom"/>
          </w:tcPr>
          <w:p w14:paraId="250D8314" w14:textId="77777777" w:rsidR="00730DE4" w:rsidRPr="00730DE4" w:rsidRDefault="00730DE4" w:rsidP="007F423A">
            <w:pPr>
              <w:pStyle w:val="NoSpacing"/>
              <w:rPr>
                <w:rStyle w:val="Strong"/>
              </w:rPr>
            </w:pPr>
            <w:r w:rsidRPr="00730DE4">
              <w:rPr>
                <w:rStyle w:val="Strong"/>
              </w:rPr>
              <w:t>Total liabilities</w:t>
            </w:r>
          </w:p>
        </w:tc>
        <w:tc>
          <w:tcPr>
            <w:tcW w:w="608" w:type="pct"/>
            <w:tcBorders>
              <w:left w:val="dotted" w:sz="4" w:space="0" w:color="BFBFBF" w:themeColor="background1" w:themeShade="BF"/>
              <w:bottom w:val="double" w:sz="4" w:space="0" w:color="auto"/>
              <w:right w:val="dotted" w:sz="4" w:space="0" w:color="BFBFBF" w:themeColor="background1" w:themeShade="BF"/>
            </w:tcBorders>
            <w:shd w:val="clear" w:color="auto" w:fill="auto"/>
            <w:noWrap/>
            <w:vAlign w:val="bottom"/>
          </w:tcPr>
          <w:p w14:paraId="126A670B" w14:textId="77777777" w:rsidR="00730DE4" w:rsidRPr="00730DE4" w:rsidRDefault="00730DE4" w:rsidP="007F423A">
            <w:pPr>
              <w:pStyle w:val="NoSpacing"/>
              <w:jc w:val="right"/>
              <w:rPr>
                <w:rStyle w:val="Strong"/>
              </w:rPr>
            </w:pPr>
            <w:r w:rsidRPr="00730DE4">
              <w:rPr>
                <w:rStyle w:val="Strong"/>
              </w:rPr>
              <w:t xml:space="preserve">115,995 </w:t>
            </w:r>
          </w:p>
        </w:tc>
        <w:tc>
          <w:tcPr>
            <w:tcW w:w="608" w:type="pct"/>
            <w:tcBorders>
              <w:left w:val="dotted" w:sz="4" w:space="0" w:color="BFBFBF" w:themeColor="background1" w:themeShade="BF"/>
              <w:bottom w:val="double" w:sz="4" w:space="0" w:color="auto"/>
              <w:right w:val="dotted" w:sz="4" w:space="0" w:color="BFBFBF" w:themeColor="background1" w:themeShade="BF"/>
            </w:tcBorders>
            <w:shd w:val="clear" w:color="auto" w:fill="auto"/>
            <w:noWrap/>
            <w:vAlign w:val="bottom"/>
          </w:tcPr>
          <w:p w14:paraId="16FFBD22" w14:textId="77777777" w:rsidR="00730DE4" w:rsidRPr="00730DE4" w:rsidRDefault="00730DE4" w:rsidP="007F423A">
            <w:pPr>
              <w:pStyle w:val="NoSpacing"/>
              <w:jc w:val="right"/>
              <w:rPr>
                <w:rStyle w:val="Strong"/>
              </w:rPr>
            </w:pPr>
            <w:r w:rsidRPr="00730DE4">
              <w:rPr>
                <w:rStyle w:val="Strong"/>
              </w:rPr>
              <w:t xml:space="preserve">8,117,320 </w:t>
            </w:r>
          </w:p>
        </w:tc>
        <w:tc>
          <w:tcPr>
            <w:tcW w:w="608" w:type="pct"/>
            <w:tcBorders>
              <w:left w:val="dotted" w:sz="4" w:space="0" w:color="BFBFBF" w:themeColor="background1" w:themeShade="BF"/>
              <w:bottom w:val="double" w:sz="4" w:space="0" w:color="auto"/>
              <w:right w:val="dotted" w:sz="4" w:space="0" w:color="BFBFBF" w:themeColor="background1" w:themeShade="BF"/>
            </w:tcBorders>
            <w:shd w:val="clear" w:color="auto" w:fill="auto"/>
            <w:noWrap/>
            <w:vAlign w:val="bottom"/>
          </w:tcPr>
          <w:p w14:paraId="6C07744D" w14:textId="77777777" w:rsidR="00730DE4" w:rsidRPr="00730DE4" w:rsidRDefault="00730DE4" w:rsidP="007F423A">
            <w:pPr>
              <w:pStyle w:val="NoSpacing"/>
              <w:jc w:val="right"/>
              <w:rPr>
                <w:rStyle w:val="Strong"/>
              </w:rPr>
            </w:pPr>
            <w:r w:rsidRPr="00730DE4">
              <w:rPr>
                <w:rStyle w:val="Strong"/>
              </w:rPr>
              <w:t xml:space="preserve">50,733 </w:t>
            </w:r>
          </w:p>
        </w:tc>
        <w:tc>
          <w:tcPr>
            <w:tcW w:w="608" w:type="pct"/>
            <w:tcBorders>
              <w:left w:val="dotted" w:sz="4" w:space="0" w:color="BFBFBF" w:themeColor="background1" w:themeShade="BF"/>
              <w:bottom w:val="double" w:sz="4" w:space="0" w:color="auto"/>
              <w:right w:val="dotted" w:sz="4" w:space="0" w:color="BFBFBF" w:themeColor="background1" w:themeShade="BF"/>
            </w:tcBorders>
            <w:shd w:val="clear" w:color="auto" w:fill="auto"/>
            <w:noWrap/>
            <w:vAlign w:val="bottom"/>
          </w:tcPr>
          <w:p w14:paraId="75059B97" w14:textId="77777777" w:rsidR="00730DE4" w:rsidRPr="00730DE4" w:rsidRDefault="00730DE4" w:rsidP="007F423A">
            <w:pPr>
              <w:pStyle w:val="NoSpacing"/>
              <w:jc w:val="right"/>
              <w:rPr>
                <w:rStyle w:val="Strong"/>
              </w:rPr>
            </w:pPr>
            <w:r w:rsidRPr="00730DE4">
              <w:rPr>
                <w:rStyle w:val="Strong"/>
              </w:rPr>
              <w:t xml:space="preserve">50,571 </w:t>
            </w:r>
          </w:p>
        </w:tc>
        <w:tc>
          <w:tcPr>
            <w:tcW w:w="608" w:type="pct"/>
            <w:tcBorders>
              <w:left w:val="dotted" w:sz="4" w:space="0" w:color="BFBFBF" w:themeColor="background1" w:themeShade="BF"/>
              <w:bottom w:val="double" w:sz="4" w:space="0" w:color="auto"/>
              <w:right w:val="dotted" w:sz="4" w:space="0" w:color="BFBFBF" w:themeColor="background1" w:themeShade="BF"/>
            </w:tcBorders>
            <w:shd w:val="clear" w:color="auto" w:fill="auto"/>
            <w:noWrap/>
            <w:vAlign w:val="bottom"/>
          </w:tcPr>
          <w:p w14:paraId="732EE62A" w14:textId="77777777" w:rsidR="00730DE4" w:rsidRPr="00730DE4" w:rsidRDefault="00730DE4" w:rsidP="007F423A">
            <w:pPr>
              <w:pStyle w:val="NoSpacing"/>
              <w:jc w:val="right"/>
              <w:rPr>
                <w:rStyle w:val="Strong"/>
              </w:rPr>
            </w:pPr>
            <w:r w:rsidRPr="00730DE4">
              <w:rPr>
                <w:rStyle w:val="Strong"/>
              </w:rPr>
              <w:t xml:space="preserve">1,781,265 </w:t>
            </w:r>
          </w:p>
        </w:tc>
        <w:tc>
          <w:tcPr>
            <w:tcW w:w="608" w:type="pct"/>
            <w:tcBorders>
              <w:left w:val="dotted" w:sz="4" w:space="0" w:color="BFBFBF" w:themeColor="background1" w:themeShade="BF"/>
              <w:bottom w:val="double" w:sz="4" w:space="0" w:color="auto"/>
              <w:right w:val="nil"/>
            </w:tcBorders>
            <w:shd w:val="clear" w:color="auto" w:fill="auto"/>
            <w:noWrap/>
            <w:vAlign w:val="bottom"/>
          </w:tcPr>
          <w:p w14:paraId="6940D244" w14:textId="77777777" w:rsidR="00730DE4" w:rsidRPr="00730DE4" w:rsidRDefault="00730DE4" w:rsidP="007F423A">
            <w:pPr>
              <w:pStyle w:val="NoSpacing"/>
              <w:jc w:val="right"/>
              <w:rPr>
                <w:rStyle w:val="Strong"/>
              </w:rPr>
            </w:pPr>
            <w:r w:rsidRPr="00730DE4">
              <w:rPr>
                <w:rStyle w:val="Strong"/>
              </w:rPr>
              <w:t xml:space="preserve">62,880 </w:t>
            </w:r>
          </w:p>
        </w:tc>
      </w:tr>
    </w:tbl>
    <w:p w14:paraId="0CF092E5" w14:textId="77777777" w:rsidR="00730DE4" w:rsidRPr="00730DE4" w:rsidRDefault="00730DE4" w:rsidP="00A9765E">
      <w:pPr>
        <w:pStyle w:val="NoSpacing"/>
        <w:rPr>
          <w:b/>
          <w:bCs/>
          <w:sz w:val="24"/>
          <w:szCs w:val="24"/>
        </w:rPr>
      </w:pPr>
      <w:r w:rsidRPr="00730DE4">
        <w:rPr>
          <w:b/>
          <w:bCs/>
          <w:sz w:val="24"/>
          <w:szCs w:val="24"/>
        </w:rPr>
        <w:t>Statement of assets and liabilities by major departmental services (continued)</w:t>
      </w:r>
    </w:p>
    <w:p w14:paraId="0440017C" w14:textId="77777777" w:rsidR="00730DE4" w:rsidRPr="00730DE4" w:rsidRDefault="00730DE4" w:rsidP="00A9765E">
      <w:pPr>
        <w:pStyle w:val="NoSpacing"/>
        <w:rPr>
          <w:sz w:val="24"/>
          <w:szCs w:val="24"/>
        </w:rPr>
      </w:pPr>
      <w:r w:rsidRPr="00730DE4">
        <w:rPr>
          <w:sz w:val="24"/>
          <w:szCs w:val="24"/>
        </w:rPr>
        <w:t>As at 30 June 2024</w:t>
      </w:r>
    </w:p>
    <w:p w14:paraId="26859E8E" w14:textId="77777777" w:rsidR="00730DE4" w:rsidRPr="00730DE4" w:rsidRDefault="00730DE4" w:rsidP="00A9765E">
      <w:pPr>
        <w:pStyle w:val="NoSpacing"/>
      </w:pPr>
    </w:p>
    <w:tbl>
      <w:tblPr>
        <w:tblW w:w="5000" w:type="pct"/>
        <w:tblCellMar>
          <w:top w:w="23" w:type="dxa"/>
          <w:left w:w="23" w:type="dxa"/>
          <w:bottom w:w="23" w:type="dxa"/>
          <w:right w:w="23" w:type="dxa"/>
        </w:tblCellMar>
        <w:tblLook w:val="04A0" w:firstRow="1" w:lastRow="0" w:firstColumn="1" w:lastColumn="0" w:noHBand="0" w:noVBand="1"/>
      </w:tblPr>
      <w:tblGrid>
        <w:gridCol w:w="5671"/>
        <w:gridCol w:w="2550"/>
        <w:gridCol w:w="2550"/>
        <w:gridCol w:w="2551"/>
        <w:gridCol w:w="2551"/>
        <w:gridCol w:w="2551"/>
        <w:gridCol w:w="2551"/>
      </w:tblGrid>
      <w:tr w:rsidR="00730DE4" w:rsidRPr="00730DE4" w14:paraId="16086EF0" w14:textId="77777777" w:rsidTr="00253FBD">
        <w:trPr>
          <w:trHeight w:val="20"/>
        </w:trPr>
        <w:tc>
          <w:tcPr>
            <w:tcW w:w="1352" w:type="pct"/>
            <w:tcBorders>
              <w:top w:val="nil"/>
              <w:left w:val="nil"/>
              <w:bottom w:val="single" w:sz="4" w:space="0" w:color="auto"/>
              <w:right w:val="nil"/>
            </w:tcBorders>
            <w:vAlign w:val="bottom"/>
          </w:tcPr>
          <w:p w14:paraId="6F208360" w14:textId="77777777" w:rsidR="00730DE4" w:rsidRPr="00730DE4" w:rsidRDefault="00730DE4" w:rsidP="00DE72D1">
            <w:pPr>
              <w:pStyle w:val="NoSpacing"/>
              <w:rPr>
                <w:rStyle w:val="Strong"/>
              </w:rPr>
            </w:pPr>
          </w:p>
        </w:tc>
        <w:tc>
          <w:tcPr>
            <w:tcW w:w="608" w:type="pct"/>
            <w:tcBorders>
              <w:top w:val="nil"/>
              <w:left w:val="nil"/>
              <w:bottom w:val="single" w:sz="4" w:space="0" w:color="auto"/>
              <w:right w:val="nil"/>
            </w:tcBorders>
            <w:shd w:val="clear" w:color="auto" w:fill="auto"/>
            <w:vAlign w:val="bottom"/>
            <w:hideMark/>
          </w:tcPr>
          <w:p w14:paraId="4D5CF941" w14:textId="77777777" w:rsidR="00730DE4" w:rsidRPr="00730DE4" w:rsidRDefault="00730DE4" w:rsidP="00DE72D1">
            <w:pPr>
              <w:pStyle w:val="NoSpacing"/>
              <w:jc w:val="right"/>
              <w:rPr>
                <w:b/>
                <w:bCs/>
              </w:rPr>
            </w:pPr>
            <w:r w:rsidRPr="00730DE4">
              <w:rPr>
                <w:rStyle w:val="Strong"/>
              </w:rPr>
              <w:t xml:space="preserve">Customer and Digital Group </w:t>
            </w:r>
            <w:r w:rsidRPr="00730DE4">
              <w:rPr>
                <w:rStyle w:val="Strong"/>
              </w:rPr>
              <w:br/>
            </w:r>
            <w:r w:rsidRPr="00730DE4">
              <w:rPr>
                <w:rStyle w:val="Strong"/>
              </w:rPr>
              <w:br/>
              <w:t xml:space="preserve">2023 </w:t>
            </w:r>
            <w:r w:rsidRPr="00730DE4">
              <w:rPr>
                <w:rStyle w:val="Strong"/>
              </w:rPr>
              <w:br/>
              <w:t>$'000</w:t>
            </w:r>
          </w:p>
        </w:tc>
        <w:tc>
          <w:tcPr>
            <w:tcW w:w="608" w:type="pct"/>
            <w:tcBorders>
              <w:top w:val="nil"/>
              <w:left w:val="nil"/>
              <w:bottom w:val="single" w:sz="4" w:space="0" w:color="auto"/>
              <w:right w:val="nil"/>
            </w:tcBorders>
            <w:shd w:val="clear" w:color="auto" w:fill="auto"/>
            <w:vAlign w:val="bottom"/>
            <w:hideMark/>
          </w:tcPr>
          <w:p w14:paraId="02D3045D" w14:textId="77777777" w:rsidR="00730DE4" w:rsidRPr="00730DE4" w:rsidRDefault="00730DE4" w:rsidP="00DE72D1">
            <w:pPr>
              <w:pStyle w:val="NoSpacing"/>
              <w:jc w:val="right"/>
              <w:rPr>
                <w:b/>
                <w:bCs/>
              </w:rPr>
            </w:pPr>
            <w:r w:rsidRPr="00730DE4">
              <w:rPr>
                <w:rStyle w:val="Strong"/>
              </w:rPr>
              <w:t>CITEC</w:t>
            </w:r>
            <w:r w:rsidRPr="00730DE4">
              <w:rPr>
                <w:rStyle w:val="Strong"/>
              </w:rPr>
              <w:br/>
              <w:t xml:space="preserve"> </w:t>
            </w:r>
            <w:r w:rsidRPr="00730DE4">
              <w:rPr>
                <w:rStyle w:val="Strong"/>
              </w:rPr>
              <w:br/>
            </w:r>
            <w:r w:rsidRPr="00730DE4">
              <w:rPr>
                <w:rStyle w:val="Strong"/>
              </w:rPr>
              <w:br/>
              <w:t xml:space="preserve">2023 </w:t>
            </w:r>
            <w:r w:rsidRPr="00730DE4">
              <w:rPr>
                <w:rStyle w:val="Strong"/>
              </w:rPr>
              <w:br/>
              <w:t>$'000</w:t>
            </w:r>
          </w:p>
        </w:tc>
        <w:tc>
          <w:tcPr>
            <w:tcW w:w="608" w:type="pct"/>
            <w:tcBorders>
              <w:top w:val="nil"/>
              <w:left w:val="nil"/>
              <w:bottom w:val="single" w:sz="4" w:space="0" w:color="auto"/>
              <w:right w:val="nil"/>
            </w:tcBorders>
            <w:shd w:val="clear" w:color="auto" w:fill="auto"/>
            <w:vAlign w:val="bottom"/>
            <w:hideMark/>
          </w:tcPr>
          <w:p w14:paraId="745B1DC7" w14:textId="77777777" w:rsidR="00730DE4" w:rsidRPr="00730DE4" w:rsidRDefault="00730DE4" w:rsidP="00DE72D1">
            <w:pPr>
              <w:pStyle w:val="NoSpacing"/>
              <w:jc w:val="right"/>
              <w:rPr>
                <w:b/>
                <w:bCs/>
              </w:rPr>
            </w:pPr>
            <w:r w:rsidRPr="00730DE4">
              <w:rPr>
                <w:rStyle w:val="Strong"/>
              </w:rPr>
              <w:t xml:space="preserve">Queensland Shared Services </w:t>
            </w:r>
            <w:r w:rsidRPr="00730DE4">
              <w:rPr>
                <w:rStyle w:val="Strong"/>
              </w:rPr>
              <w:br/>
            </w:r>
            <w:r w:rsidRPr="00730DE4">
              <w:rPr>
                <w:rStyle w:val="Strong"/>
              </w:rPr>
              <w:br/>
              <w:t xml:space="preserve">2023 </w:t>
            </w:r>
            <w:r w:rsidRPr="00730DE4">
              <w:rPr>
                <w:rStyle w:val="Strong"/>
              </w:rPr>
              <w:br/>
              <w:t>$'000</w:t>
            </w:r>
          </w:p>
        </w:tc>
        <w:tc>
          <w:tcPr>
            <w:tcW w:w="608" w:type="pct"/>
            <w:tcBorders>
              <w:top w:val="nil"/>
              <w:left w:val="nil"/>
              <w:bottom w:val="single" w:sz="4" w:space="0" w:color="auto"/>
              <w:right w:val="nil"/>
            </w:tcBorders>
            <w:shd w:val="clear" w:color="auto" w:fill="auto"/>
            <w:vAlign w:val="bottom"/>
            <w:hideMark/>
          </w:tcPr>
          <w:p w14:paraId="66924BC3" w14:textId="77777777" w:rsidR="00730DE4" w:rsidRPr="00730DE4" w:rsidRDefault="00730DE4" w:rsidP="00DE72D1">
            <w:pPr>
              <w:pStyle w:val="NoSpacing"/>
              <w:jc w:val="right"/>
              <w:rPr>
                <w:b/>
                <w:bCs/>
              </w:rPr>
            </w:pPr>
            <w:r w:rsidRPr="00730DE4">
              <w:rPr>
                <w:rStyle w:val="Strong"/>
              </w:rPr>
              <w:t xml:space="preserve">Corporate Administration Agency </w:t>
            </w:r>
            <w:r w:rsidRPr="00730DE4">
              <w:rPr>
                <w:rStyle w:val="Strong"/>
              </w:rPr>
              <w:br/>
            </w:r>
            <w:r w:rsidRPr="00730DE4">
              <w:rPr>
                <w:rStyle w:val="Strong"/>
              </w:rPr>
              <w:br/>
              <w:t xml:space="preserve">2023 </w:t>
            </w:r>
            <w:r w:rsidRPr="00730DE4">
              <w:rPr>
                <w:rStyle w:val="Strong"/>
              </w:rPr>
              <w:br/>
              <w:t>$'000</w:t>
            </w:r>
          </w:p>
        </w:tc>
        <w:tc>
          <w:tcPr>
            <w:tcW w:w="608" w:type="pct"/>
            <w:tcBorders>
              <w:top w:val="nil"/>
              <w:left w:val="nil"/>
              <w:bottom w:val="single" w:sz="4" w:space="0" w:color="auto"/>
              <w:right w:val="nil"/>
            </w:tcBorders>
            <w:shd w:val="clear" w:color="auto" w:fill="auto"/>
            <w:vAlign w:val="bottom"/>
            <w:hideMark/>
          </w:tcPr>
          <w:p w14:paraId="15715AF9" w14:textId="77777777" w:rsidR="00730DE4" w:rsidRPr="00730DE4" w:rsidRDefault="00730DE4" w:rsidP="00DE72D1">
            <w:pPr>
              <w:pStyle w:val="NoSpacing"/>
              <w:jc w:val="right"/>
              <w:rPr>
                <w:b/>
                <w:bCs/>
              </w:rPr>
            </w:pPr>
            <w:r w:rsidRPr="00730DE4">
              <w:rPr>
                <w:rStyle w:val="Strong"/>
              </w:rPr>
              <w:t>Inter-service/unit</w:t>
            </w:r>
            <w:r w:rsidRPr="00730DE4">
              <w:rPr>
                <w:rStyle w:val="Strong"/>
              </w:rPr>
              <w:br/>
              <w:t xml:space="preserve">eliminations </w:t>
            </w:r>
            <w:r w:rsidRPr="00730DE4">
              <w:rPr>
                <w:rStyle w:val="Strong"/>
              </w:rPr>
              <w:br/>
            </w:r>
            <w:r w:rsidRPr="00730DE4">
              <w:rPr>
                <w:rStyle w:val="Strong"/>
              </w:rPr>
              <w:br/>
              <w:t xml:space="preserve">2023 </w:t>
            </w:r>
            <w:r w:rsidRPr="00730DE4">
              <w:rPr>
                <w:rStyle w:val="Strong"/>
              </w:rPr>
              <w:br/>
              <w:t>$'000</w:t>
            </w:r>
          </w:p>
        </w:tc>
        <w:tc>
          <w:tcPr>
            <w:tcW w:w="608" w:type="pct"/>
            <w:tcBorders>
              <w:top w:val="nil"/>
              <w:left w:val="nil"/>
              <w:bottom w:val="single" w:sz="4" w:space="0" w:color="auto"/>
              <w:right w:val="nil"/>
            </w:tcBorders>
            <w:shd w:val="clear" w:color="auto" w:fill="auto"/>
            <w:vAlign w:val="bottom"/>
            <w:hideMark/>
          </w:tcPr>
          <w:p w14:paraId="38BBC1D9" w14:textId="77777777" w:rsidR="00730DE4" w:rsidRPr="00730DE4" w:rsidRDefault="00730DE4" w:rsidP="00DE72D1">
            <w:pPr>
              <w:pStyle w:val="NoSpacing"/>
              <w:jc w:val="right"/>
              <w:rPr>
                <w:rStyle w:val="Strong"/>
              </w:rPr>
            </w:pPr>
            <w:r w:rsidRPr="00730DE4">
              <w:rPr>
                <w:rStyle w:val="Strong"/>
              </w:rPr>
              <w:t>Total</w:t>
            </w:r>
            <w:r w:rsidRPr="00730DE4">
              <w:rPr>
                <w:rStyle w:val="Strong"/>
              </w:rPr>
              <w:br/>
              <w:t xml:space="preserve">Department </w:t>
            </w:r>
            <w:r w:rsidRPr="00730DE4">
              <w:rPr>
                <w:rStyle w:val="Strong"/>
              </w:rPr>
              <w:br/>
            </w:r>
            <w:r w:rsidRPr="00730DE4">
              <w:rPr>
                <w:rStyle w:val="Strong"/>
              </w:rPr>
              <w:br/>
              <w:t xml:space="preserve">2023 </w:t>
            </w:r>
            <w:r w:rsidRPr="00730DE4">
              <w:rPr>
                <w:rStyle w:val="Strong"/>
              </w:rPr>
              <w:br/>
              <w:t>$'000</w:t>
            </w:r>
          </w:p>
        </w:tc>
      </w:tr>
      <w:tr w:rsidR="00730DE4" w:rsidRPr="00730DE4" w14:paraId="16D511F8" w14:textId="77777777" w:rsidTr="007F423A">
        <w:trPr>
          <w:trHeight w:val="454"/>
        </w:trPr>
        <w:tc>
          <w:tcPr>
            <w:tcW w:w="1352"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vAlign w:val="bottom"/>
          </w:tcPr>
          <w:p w14:paraId="5C949D24" w14:textId="77777777" w:rsidR="00730DE4" w:rsidRPr="00730DE4" w:rsidRDefault="00730DE4" w:rsidP="00DE72D1">
            <w:pPr>
              <w:pStyle w:val="NoSpacing"/>
              <w:rPr>
                <w:rStyle w:val="Strong"/>
              </w:rPr>
            </w:pPr>
            <w:r w:rsidRPr="00730DE4">
              <w:rPr>
                <w:rStyle w:val="Strong"/>
              </w:rPr>
              <w:t>Assets</w:t>
            </w: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tcPr>
          <w:p w14:paraId="4C5D5182" w14:textId="77777777" w:rsidR="00730DE4" w:rsidRPr="00730DE4" w:rsidRDefault="00730DE4" w:rsidP="00DE72D1">
            <w:pPr>
              <w:pStyle w:val="NoSpacing"/>
              <w:jc w:val="right"/>
              <w:rPr>
                <w:rStyle w:val="Strong"/>
              </w:rPr>
            </w:pP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tcPr>
          <w:p w14:paraId="330CC37E" w14:textId="77777777" w:rsidR="00730DE4" w:rsidRPr="00730DE4" w:rsidRDefault="00730DE4" w:rsidP="00DE72D1">
            <w:pPr>
              <w:pStyle w:val="NoSpacing"/>
              <w:jc w:val="right"/>
              <w:rPr>
                <w:rStyle w:val="Strong"/>
              </w:rPr>
            </w:pP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tcPr>
          <w:p w14:paraId="0BB47565" w14:textId="77777777" w:rsidR="00730DE4" w:rsidRPr="00730DE4" w:rsidRDefault="00730DE4" w:rsidP="00DE72D1">
            <w:pPr>
              <w:pStyle w:val="NoSpacing"/>
              <w:jc w:val="right"/>
              <w:rPr>
                <w:rStyle w:val="Strong"/>
              </w:rPr>
            </w:pP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tcPr>
          <w:p w14:paraId="25085525" w14:textId="77777777" w:rsidR="00730DE4" w:rsidRPr="00730DE4" w:rsidRDefault="00730DE4" w:rsidP="00DE72D1">
            <w:pPr>
              <w:pStyle w:val="NoSpacing"/>
              <w:jc w:val="right"/>
              <w:rPr>
                <w:rStyle w:val="Strong"/>
              </w:rPr>
            </w:pP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tcPr>
          <w:p w14:paraId="4BB741C9" w14:textId="77777777" w:rsidR="00730DE4" w:rsidRPr="00730DE4" w:rsidRDefault="00730DE4" w:rsidP="00DE72D1">
            <w:pPr>
              <w:pStyle w:val="NoSpacing"/>
              <w:jc w:val="right"/>
              <w:rPr>
                <w:rStyle w:val="Strong"/>
              </w:rPr>
            </w:pPr>
          </w:p>
        </w:tc>
        <w:tc>
          <w:tcPr>
            <w:tcW w:w="608"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vAlign w:val="bottom"/>
          </w:tcPr>
          <w:p w14:paraId="50639196" w14:textId="77777777" w:rsidR="00730DE4" w:rsidRPr="00730DE4" w:rsidRDefault="00730DE4" w:rsidP="00DE72D1">
            <w:pPr>
              <w:pStyle w:val="NoSpacing"/>
              <w:jc w:val="right"/>
              <w:rPr>
                <w:rStyle w:val="Strong"/>
              </w:rPr>
            </w:pPr>
          </w:p>
        </w:tc>
      </w:tr>
      <w:tr w:rsidR="00730DE4" w:rsidRPr="00730DE4" w14:paraId="653C99FF" w14:textId="77777777" w:rsidTr="007F423A">
        <w:trPr>
          <w:trHeight w:val="340"/>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071F0ED8" w14:textId="77777777" w:rsidR="00730DE4" w:rsidRPr="00730DE4" w:rsidRDefault="00730DE4" w:rsidP="00DE72D1">
            <w:pPr>
              <w:pStyle w:val="NoSpacing"/>
              <w:rPr>
                <w:rStyle w:val="Strong"/>
              </w:rPr>
            </w:pPr>
            <w:r w:rsidRPr="00730DE4">
              <w:rPr>
                <w:rStyle w:val="Strong"/>
              </w:rPr>
              <w:t>Current assets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tcPr>
          <w:p w14:paraId="4D892D57" w14:textId="77777777" w:rsidR="00730DE4" w:rsidRPr="00730DE4" w:rsidRDefault="00730DE4" w:rsidP="00DE72D1">
            <w:pPr>
              <w:pStyle w:val="NoSpacing"/>
              <w:jc w:val="right"/>
              <w:rPr>
                <w:rStyle w:val="Strong"/>
              </w:rPr>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tcPr>
          <w:p w14:paraId="229D3747" w14:textId="77777777" w:rsidR="00730DE4" w:rsidRPr="00730DE4" w:rsidRDefault="00730DE4" w:rsidP="00DE72D1">
            <w:pPr>
              <w:pStyle w:val="NoSpacing"/>
              <w:jc w:val="right"/>
              <w:rPr>
                <w:rStyle w:val="Strong"/>
              </w:rPr>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tcPr>
          <w:p w14:paraId="045E5C03" w14:textId="77777777" w:rsidR="00730DE4" w:rsidRPr="00730DE4" w:rsidRDefault="00730DE4" w:rsidP="00DE72D1">
            <w:pPr>
              <w:pStyle w:val="NoSpacing"/>
              <w:jc w:val="right"/>
              <w:rPr>
                <w:rStyle w:val="Strong"/>
              </w:rPr>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tcPr>
          <w:p w14:paraId="32FCA1ED" w14:textId="77777777" w:rsidR="00730DE4" w:rsidRPr="00730DE4" w:rsidRDefault="00730DE4" w:rsidP="00DE72D1">
            <w:pPr>
              <w:pStyle w:val="NoSpacing"/>
              <w:jc w:val="right"/>
              <w:rPr>
                <w:rStyle w:val="Strong"/>
              </w:rPr>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tcPr>
          <w:p w14:paraId="20DCDBD7" w14:textId="77777777" w:rsidR="00730DE4" w:rsidRPr="00730DE4" w:rsidRDefault="00730DE4" w:rsidP="00DE72D1">
            <w:pPr>
              <w:pStyle w:val="NoSpacing"/>
              <w:jc w:val="right"/>
              <w:rPr>
                <w:rStyle w:val="Strong"/>
              </w:rPr>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vAlign w:val="bottom"/>
          </w:tcPr>
          <w:p w14:paraId="53EA794E" w14:textId="77777777" w:rsidR="00730DE4" w:rsidRPr="00730DE4" w:rsidRDefault="00730DE4" w:rsidP="00DE72D1">
            <w:pPr>
              <w:pStyle w:val="NoSpacing"/>
              <w:jc w:val="right"/>
              <w:rPr>
                <w:rStyle w:val="Strong"/>
              </w:rPr>
            </w:pPr>
          </w:p>
        </w:tc>
      </w:tr>
      <w:tr w:rsidR="00730DE4" w:rsidRPr="00730DE4" w14:paraId="6D34C215" w14:textId="77777777" w:rsidTr="007F423A">
        <w:trPr>
          <w:trHeight w:val="20"/>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60ECC4B8" w14:textId="77777777" w:rsidR="00730DE4" w:rsidRPr="00730DE4" w:rsidRDefault="00730DE4" w:rsidP="00662028">
            <w:pPr>
              <w:pStyle w:val="NoSpacingIndent"/>
            </w:pPr>
            <w:r w:rsidRPr="00730DE4">
              <w:t>Cash</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643B50F" w14:textId="77777777" w:rsidR="00730DE4" w:rsidRPr="00730DE4" w:rsidRDefault="00730DE4" w:rsidP="00DE72D1">
            <w:pPr>
              <w:pStyle w:val="NoSpacing"/>
              <w:jc w:val="right"/>
            </w:pPr>
            <w:r w:rsidRPr="00730DE4">
              <w:t xml:space="preserve">8,391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E860812" w14:textId="77777777" w:rsidR="00730DE4" w:rsidRPr="00730DE4" w:rsidRDefault="00730DE4" w:rsidP="00DE72D1">
            <w:pPr>
              <w:pStyle w:val="NoSpacing"/>
              <w:jc w:val="right"/>
            </w:pPr>
            <w:r w:rsidRPr="00730DE4">
              <w:t xml:space="preserve">11,956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6F06BB0" w14:textId="77777777" w:rsidR="00730DE4" w:rsidRPr="00730DE4" w:rsidRDefault="00730DE4" w:rsidP="00DE72D1">
            <w:pPr>
              <w:pStyle w:val="NoSpacing"/>
              <w:jc w:val="right"/>
            </w:pPr>
            <w:r w:rsidRPr="00730DE4">
              <w:t xml:space="preserve">45,573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0600DEA" w14:textId="77777777" w:rsidR="00730DE4" w:rsidRPr="00730DE4" w:rsidRDefault="00730DE4" w:rsidP="00DE72D1">
            <w:pPr>
              <w:pStyle w:val="NoSpacing"/>
              <w:jc w:val="right"/>
            </w:pPr>
            <w:r w:rsidRPr="00730DE4">
              <w:t xml:space="preserve">2,938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0028EB8"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D29F1FA" w14:textId="77777777" w:rsidR="00730DE4" w:rsidRPr="00730DE4" w:rsidRDefault="00730DE4" w:rsidP="00DE72D1">
            <w:pPr>
              <w:pStyle w:val="NoSpacing"/>
              <w:jc w:val="right"/>
              <w:rPr>
                <w:rStyle w:val="Strong"/>
              </w:rPr>
            </w:pPr>
            <w:r w:rsidRPr="00730DE4">
              <w:rPr>
                <w:rStyle w:val="Strong"/>
              </w:rPr>
              <w:t xml:space="preserve">670,102 </w:t>
            </w:r>
          </w:p>
        </w:tc>
      </w:tr>
      <w:tr w:rsidR="00730DE4" w:rsidRPr="00730DE4" w14:paraId="2EB0EE6B" w14:textId="77777777" w:rsidTr="007F423A">
        <w:trPr>
          <w:trHeight w:val="20"/>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1C069DA9" w14:textId="77777777" w:rsidR="00730DE4" w:rsidRPr="00730DE4" w:rsidRDefault="00730DE4" w:rsidP="00662028">
            <w:pPr>
              <w:pStyle w:val="NoSpacingIndent"/>
            </w:pPr>
            <w:r w:rsidRPr="00730DE4">
              <w:t>Receivables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4DB23F3" w14:textId="77777777" w:rsidR="00730DE4" w:rsidRPr="00730DE4" w:rsidRDefault="00730DE4" w:rsidP="00DE72D1">
            <w:pPr>
              <w:pStyle w:val="NoSpacing"/>
              <w:jc w:val="right"/>
            </w:pPr>
            <w:r w:rsidRPr="00730DE4">
              <w:t xml:space="preserve">23,391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5FF0D07" w14:textId="77777777" w:rsidR="00730DE4" w:rsidRPr="00730DE4" w:rsidRDefault="00730DE4" w:rsidP="00DE72D1">
            <w:pPr>
              <w:pStyle w:val="NoSpacing"/>
              <w:jc w:val="right"/>
            </w:pPr>
            <w:r w:rsidRPr="00730DE4">
              <w:t xml:space="preserve">15,036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4A380A9" w14:textId="77777777" w:rsidR="00730DE4" w:rsidRPr="00730DE4" w:rsidRDefault="00730DE4" w:rsidP="00DE72D1">
            <w:pPr>
              <w:pStyle w:val="NoSpacing"/>
              <w:jc w:val="right"/>
            </w:pPr>
            <w:r w:rsidRPr="00730DE4">
              <w:t xml:space="preserve">11,740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F8BB94C" w14:textId="77777777" w:rsidR="00730DE4" w:rsidRPr="00730DE4" w:rsidRDefault="00730DE4" w:rsidP="00DE72D1">
            <w:pPr>
              <w:pStyle w:val="NoSpacing"/>
              <w:jc w:val="right"/>
            </w:pPr>
            <w:r w:rsidRPr="00730DE4">
              <w:t xml:space="preserve">1,371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E5073A6" w14:textId="77777777" w:rsidR="00730DE4" w:rsidRPr="00730DE4" w:rsidRDefault="00730DE4" w:rsidP="00DE72D1">
            <w:pPr>
              <w:pStyle w:val="NoSpacing"/>
              <w:jc w:val="right"/>
            </w:pPr>
            <w:r w:rsidRPr="00730DE4">
              <w:t>(52,531)</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F717562" w14:textId="77777777" w:rsidR="00730DE4" w:rsidRPr="00730DE4" w:rsidRDefault="00730DE4" w:rsidP="00DE72D1">
            <w:pPr>
              <w:pStyle w:val="NoSpacing"/>
              <w:jc w:val="right"/>
              <w:rPr>
                <w:rStyle w:val="Strong"/>
              </w:rPr>
            </w:pPr>
            <w:r w:rsidRPr="00730DE4">
              <w:rPr>
                <w:rStyle w:val="Strong"/>
              </w:rPr>
              <w:t xml:space="preserve">245,064 </w:t>
            </w:r>
          </w:p>
        </w:tc>
      </w:tr>
      <w:tr w:rsidR="00730DE4" w:rsidRPr="00730DE4" w14:paraId="64C2F51A" w14:textId="77777777" w:rsidTr="007F423A">
        <w:trPr>
          <w:trHeight w:val="20"/>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54B75317" w14:textId="77777777" w:rsidR="00730DE4" w:rsidRPr="00730DE4" w:rsidRDefault="00730DE4" w:rsidP="00662028">
            <w:pPr>
              <w:pStyle w:val="NoSpacingIndent"/>
            </w:pPr>
            <w:r w:rsidRPr="00730DE4">
              <w:t>Inventories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7FB797E"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5708BF9"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9B6A7F2"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F55DC9D"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BFD2384" w14:textId="77777777" w:rsidR="00730DE4" w:rsidRPr="00730DE4" w:rsidRDefault="00730DE4" w:rsidP="00DE72D1">
            <w:pPr>
              <w:pStyle w:val="NoSpacing"/>
              <w:jc w:val="right"/>
            </w:pPr>
            <w:r w:rsidRPr="00730DE4">
              <w:t>(76,272)</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948466E" w14:textId="77777777" w:rsidR="00730DE4" w:rsidRPr="00730DE4" w:rsidRDefault="00730DE4" w:rsidP="00DE72D1">
            <w:pPr>
              <w:pStyle w:val="NoSpacing"/>
              <w:jc w:val="right"/>
              <w:rPr>
                <w:rStyle w:val="Strong"/>
              </w:rPr>
            </w:pPr>
            <w:r w:rsidRPr="00730DE4">
              <w:rPr>
                <w:rStyle w:val="Strong"/>
              </w:rPr>
              <w:t xml:space="preserve">21,716 </w:t>
            </w:r>
          </w:p>
        </w:tc>
      </w:tr>
      <w:tr w:rsidR="00730DE4" w:rsidRPr="00730DE4" w14:paraId="70D83451" w14:textId="77777777" w:rsidTr="007F423A">
        <w:trPr>
          <w:trHeight w:val="20"/>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2641CC20" w14:textId="77777777" w:rsidR="00730DE4" w:rsidRPr="00730DE4" w:rsidRDefault="00730DE4" w:rsidP="00662028">
            <w:pPr>
              <w:pStyle w:val="NoSpacingIndent"/>
            </w:pPr>
            <w:r w:rsidRPr="00730DE4">
              <w:t>Prepayments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540ADC2" w14:textId="77777777" w:rsidR="00730DE4" w:rsidRPr="00730DE4" w:rsidRDefault="00730DE4" w:rsidP="00DE72D1">
            <w:pPr>
              <w:pStyle w:val="NoSpacing"/>
              <w:jc w:val="right"/>
            </w:pPr>
            <w:r w:rsidRPr="00730DE4">
              <w:t xml:space="preserve">4,324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D56C5EA" w14:textId="77777777" w:rsidR="00730DE4" w:rsidRPr="00730DE4" w:rsidRDefault="00730DE4" w:rsidP="00DE72D1">
            <w:pPr>
              <w:pStyle w:val="NoSpacing"/>
              <w:jc w:val="right"/>
            </w:pPr>
            <w:r w:rsidRPr="00730DE4">
              <w:t xml:space="preserve">7,094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4F38510" w14:textId="77777777" w:rsidR="00730DE4" w:rsidRPr="00730DE4" w:rsidRDefault="00730DE4" w:rsidP="00DE72D1">
            <w:pPr>
              <w:pStyle w:val="NoSpacing"/>
              <w:jc w:val="right"/>
            </w:pPr>
            <w:r w:rsidRPr="00730DE4">
              <w:t xml:space="preserve">1,194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D449598" w14:textId="77777777" w:rsidR="00730DE4" w:rsidRPr="00730DE4" w:rsidRDefault="00730DE4" w:rsidP="00DE72D1">
            <w:pPr>
              <w:pStyle w:val="NoSpacing"/>
              <w:jc w:val="right"/>
            </w:pPr>
            <w:r w:rsidRPr="00730DE4">
              <w:t xml:space="preserve">810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B2BDFCD"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D35B7C7" w14:textId="77777777" w:rsidR="00730DE4" w:rsidRPr="00730DE4" w:rsidRDefault="00730DE4" w:rsidP="00DE72D1">
            <w:pPr>
              <w:pStyle w:val="NoSpacing"/>
              <w:jc w:val="right"/>
              <w:rPr>
                <w:rStyle w:val="Strong"/>
              </w:rPr>
            </w:pPr>
            <w:r w:rsidRPr="00730DE4">
              <w:rPr>
                <w:rStyle w:val="Strong"/>
              </w:rPr>
              <w:t xml:space="preserve">113,085 </w:t>
            </w:r>
          </w:p>
        </w:tc>
      </w:tr>
      <w:tr w:rsidR="00730DE4" w:rsidRPr="00730DE4" w14:paraId="35D98D89" w14:textId="77777777" w:rsidTr="007F423A">
        <w:trPr>
          <w:trHeight w:val="20"/>
        </w:trPr>
        <w:tc>
          <w:tcPr>
            <w:tcW w:w="1352"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vAlign w:val="bottom"/>
          </w:tcPr>
          <w:p w14:paraId="315BFE43" w14:textId="77777777" w:rsidR="00730DE4" w:rsidRPr="00730DE4" w:rsidRDefault="00730DE4" w:rsidP="00662028">
            <w:pPr>
              <w:pStyle w:val="NoSpacingIndent"/>
            </w:pPr>
            <w:r w:rsidRPr="00730DE4">
              <w:t>Non-current assets classified as held for sale</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31362D7A"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067B72B2"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48EBD42E"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1A37C76C"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68EA447C"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7E524978" w14:textId="77777777" w:rsidR="00730DE4" w:rsidRPr="00730DE4" w:rsidRDefault="00730DE4" w:rsidP="00DE72D1">
            <w:pPr>
              <w:pStyle w:val="NoSpacing"/>
              <w:jc w:val="right"/>
              <w:rPr>
                <w:rStyle w:val="Strong"/>
              </w:rPr>
            </w:pPr>
            <w:r w:rsidRPr="00730DE4">
              <w:rPr>
                <w:rStyle w:val="Strong"/>
              </w:rPr>
              <w:t xml:space="preserve">3,562 </w:t>
            </w:r>
          </w:p>
        </w:tc>
      </w:tr>
      <w:tr w:rsidR="00730DE4" w:rsidRPr="00730DE4" w14:paraId="7E6DD276" w14:textId="77777777" w:rsidTr="007F423A">
        <w:trPr>
          <w:trHeight w:val="340"/>
        </w:trPr>
        <w:tc>
          <w:tcPr>
            <w:tcW w:w="1352"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tcPr>
          <w:p w14:paraId="76178DDE" w14:textId="77777777" w:rsidR="00730DE4" w:rsidRPr="00730DE4" w:rsidRDefault="00730DE4" w:rsidP="00ED182F">
            <w:pPr>
              <w:pStyle w:val="NoSpacingIndent"/>
              <w:rPr>
                <w:rStyle w:val="Strong"/>
              </w:rPr>
            </w:pPr>
            <w:r w:rsidRPr="00730DE4">
              <w:rPr>
                <w:rStyle w:val="Strong"/>
              </w:rPr>
              <w:t>Total current assets</w:t>
            </w: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hideMark/>
          </w:tcPr>
          <w:p w14:paraId="00AA7A55" w14:textId="77777777" w:rsidR="00730DE4" w:rsidRPr="00730DE4" w:rsidRDefault="00730DE4" w:rsidP="00ED182F">
            <w:pPr>
              <w:pStyle w:val="NoSpacing"/>
              <w:jc w:val="right"/>
              <w:rPr>
                <w:b/>
                <w:bCs/>
              </w:rPr>
            </w:pPr>
            <w:r w:rsidRPr="00730DE4">
              <w:rPr>
                <w:rStyle w:val="Strong"/>
              </w:rPr>
              <w:t xml:space="preserve">36,106 </w:t>
            </w: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hideMark/>
          </w:tcPr>
          <w:p w14:paraId="2723CBF3" w14:textId="77777777" w:rsidR="00730DE4" w:rsidRPr="00730DE4" w:rsidRDefault="00730DE4" w:rsidP="00ED182F">
            <w:pPr>
              <w:pStyle w:val="NoSpacing"/>
              <w:jc w:val="right"/>
              <w:rPr>
                <w:b/>
                <w:bCs/>
              </w:rPr>
            </w:pPr>
            <w:r w:rsidRPr="00730DE4">
              <w:rPr>
                <w:rStyle w:val="Strong"/>
              </w:rPr>
              <w:t xml:space="preserve">34,086 </w:t>
            </w: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hideMark/>
          </w:tcPr>
          <w:p w14:paraId="2353DE2E" w14:textId="77777777" w:rsidR="00730DE4" w:rsidRPr="00730DE4" w:rsidRDefault="00730DE4" w:rsidP="00ED182F">
            <w:pPr>
              <w:pStyle w:val="NoSpacing"/>
              <w:jc w:val="right"/>
              <w:rPr>
                <w:b/>
                <w:bCs/>
              </w:rPr>
            </w:pPr>
            <w:r w:rsidRPr="00730DE4">
              <w:rPr>
                <w:rStyle w:val="Strong"/>
              </w:rPr>
              <w:t xml:space="preserve">58,507 </w:t>
            </w: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hideMark/>
          </w:tcPr>
          <w:p w14:paraId="637F52D4" w14:textId="77777777" w:rsidR="00730DE4" w:rsidRPr="00730DE4" w:rsidRDefault="00730DE4" w:rsidP="00ED182F">
            <w:pPr>
              <w:pStyle w:val="NoSpacing"/>
              <w:jc w:val="right"/>
              <w:rPr>
                <w:b/>
                <w:bCs/>
              </w:rPr>
            </w:pPr>
            <w:r w:rsidRPr="00730DE4">
              <w:rPr>
                <w:rStyle w:val="Strong"/>
              </w:rPr>
              <w:t xml:space="preserve">5,119 </w:t>
            </w: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hideMark/>
          </w:tcPr>
          <w:p w14:paraId="2699757B" w14:textId="77777777" w:rsidR="00730DE4" w:rsidRPr="00730DE4" w:rsidRDefault="00730DE4" w:rsidP="00ED182F">
            <w:pPr>
              <w:pStyle w:val="NoSpacing"/>
              <w:jc w:val="right"/>
              <w:rPr>
                <w:b/>
                <w:bCs/>
              </w:rPr>
            </w:pPr>
            <w:r w:rsidRPr="00730DE4">
              <w:rPr>
                <w:rStyle w:val="Strong"/>
              </w:rPr>
              <w:t>(128,803)</w:t>
            </w:r>
          </w:p>
        </w:tc>
        <w:tc>
          <w:tcPr>
            <w:tcW w:w="608"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hideMark/>
          </w:tcPr>
          <w:p w14:paraId="683CC566" w14:textId="77777777" w:rsidR="00730DE4" w:rsidRPr="00730DE4" w:rsidRDefault="00730DE4" w:rsidP="00ED182F">
            <w:pPr>
              <w:pStyle w:val="NoSpacing"/>
              <w:jc w:val="right"/>
              <w:rPr>
                <w:rStyle w:val="Strong"/>
              </w:rPr>
            </w:pPr>
            <w:r w:rsidRPr="00730DE4">
              <w:rPr>
                <w:rStyle w:val="Strong"/>
              </w:rPr>
              <w:t xml:space="preserve">1,053,529 </w:t>
            </w:r>
          </w:p>
        </w:tc>
      </w:tr>
      <w:tr w:rsidR="00730DE4" w:rsidRPr="00730DE4" w14:paraId="10A6DD45" w14:textId="77777777" w:rsidTr="007F423A">
        <w:trPr>
          <w:trHeight w:val="340"/>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562FF519" w14:textId="77777777" w:rsidR="00730DE4" w:rsidRPr="00730DE4" w:rsidRDefault="00730DE4" w:rsidP="00DE72D1">
            <w:pPr>
              <w:pStyle w:val="NoSpacing"/>
              <w:rPr>
                <w:rStyle w:val="Strong"/>
              </w:rPr>
            </w:pPr>
            <w:r w:rsidRPr="00730DE4">
              <w:rPr>
                <w:rStyle w:val="Strong"/>
              </w:rPr>
              <w:t>Non-current assets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08DAA038" w14:textId="77777777" w:rsidR="00730DE4" w:rsidRPr="00730DE4" w:rsidRDefault="00730DE4" w:rsidP="00DE72D1">
            <w:pPr>
              <w:pStyle w:val="NoSpacing"/>
              <w:jc w:val="right"/>
              <w:rPr>
                <w:rStyle w:val="Strong"/>
              </w:rPr>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4641398B" w14:textId="77777777" w:rsidR="00730DE4" w:rsidRPr="00730DE4" w:rsidRDefault="00730DE4" w:rsidP="00DE72D1">
            <w:pPr>
              <w:pStyle w:val="NoSpacing"/>
              <w:jc w:val="right"/>
              <w:rPr>
                <w:rStyle w:val="Strong"/>
              </w:rPr>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4F4961FC" w14:textId="77777777" w:rsidR="00730DE4" w:rsidRPr="00730DE4" w:rsidRDefault="00730DE4" w:rsidP="00DE72D1">
            <w:pPr>
              <w:pStyle w:val="NoSpacing"/>
              <w:jc w:val="right"/>
              <w:rPr>
                <w:rStyle w:val="Strong"/>
              </w:rPr>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4D40EE3E" w14:textId="77777777" w:rsidR="00730DE4" w:rsidRPr="00730DE4" w:rsidRDefault="00730DE4" w:rsidP="00DE72D1">
            <w:pPr>
              <w:pStyle w:val="NoSpacing"/>
              <w:jc w:val="right"/>
              <w:rPr>
                <w:rStyle w:val="Strong"/>
              </w:rPr>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4F00975D" w14:textId="77777777" w:rsidR="00730DE4" w:rsidRPr="00730DE4" w:rsidRDefault="00730DE4" w:rsidP="00DE72D1">
            <w:pPr>
              <w:pStyle w:val="NoSpacing"/>
              <w:jc w:val="right"/>
              <w:rPr>
                <w:rStyle w:val="Strong"/>
              </w:rPr>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tcPr>
          <w:p w14:paraId="64BBB8A1" w14:textId="77777777" w:rsidR="00730DE4" w:rsidRPr="00730DE4" w:rsidRDefault="00730DE4" w:rsidP="00DE72D1">
            <w:pPr>
              <w:pStyle w:val="NoSpacing"/>
              <w:jc w:val="right"/>
              <w:rPr>
                <w:rStyle w:val="Strong"/>
              </w:rPr>
            </w:pPr>
          </w:p>
        </w:tc>
      </w:tr>
      <w:tr w:rsidR="00730DE4" w:rsidRPr="00730DE4" w14:paraId="0F47A689" w14:textId="77777777" w:rsidTr="007F423A">
        <w:trPr>
          <w:trHeight w:val="20"/>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6C835F4E" w14:textId="77777777" w:rsidR="00730DE4" w:rsidRPr="00730DE4" w:rsidRDefault="00730DE4" w:rsidP="00662028">
            <w:pPr>
              <w:pStyle w:val="NoSpacingIndent"/>
            </w:pPr>
            <w:r w:rsidRPr="00730DE4">
              <w:t>Receivables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6EC18DE"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A82B4EC"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3638504"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BF2EF00"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1C7B947" w14:textId="77777777" w:rsidR="00730DE4" w:rsidRPr="00730DE4" w:rsidRDefault="00730DE4" w:rsidP="00DE72D1">
            <w:pPr>
              <w:pStyle w:val="NoSpacing"/>
              <w:jc w:val="right"/>
            </w:pPr>
            <w:r w:rsidRPr="00730DE4">
              <w:t>(19,000)</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61BB050" w14:textId="77777777" w:rsidR="00730DE4" w:rsidRPr="00730DE4" w:rsidRDefault="00730DE4" w:rsidP="00DE72D1">
            <w:pPr>
              <w:pStyle w:val="NoSpacing"/>
              <w:jc w:val="right"/>
              <w:rPr>
                <w:rStyle w:val="Strong"/>
              </w:rPr>
            </w:pPr>
            <w:r w:rsidRPr="00730DE4">
              <w:rPr>
                <w:rStyle w:val="Strong"/>
              </w:rPr>
              <w:t xml:space="preserve">3,421 </w:t>
            </w:r>
          </w:p>
        </w:tc>
      </w:tr>
      <w:tr w:rsidR="00730DE4" w:rsidRPr="00730DE4" w14:paraId="1C8CFB0B" w14:textId="77777777" w:rsidTr="007F423A">
        <w:trPr>
          <w:trHeight w:val="20"/>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4ACC9575" w14:textId="77777777" w:rsidR="00730DE4" w:rsidRPr="00730DE4" w:rsidRDefault="00730DE4" w:rsidP="00662028">
            <w:pPr>
              <w:pStyle w:val="NoSpacingIndent"/>
            </w:pPr>
            <w:r w:rsidRPr="00730DE4">
              <w:t>Prepayments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58E927B" w14:textId="77777777" w:rsidR="00730DE4" w:rsidRPr="00730DE4" w:rsidRDefault="00730DE4" w:rsidP="00DE72D1">
            <w:pPr>
              <w:pStyle w:val="NoSpacing"/>
              <w:jc w:val="right"/>
            </w:pPr>
            <w:r w:rsidRPr="00730DE4">
              <w:t xml:space="preserve">1,212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9963E84" w14:textId="77777777" w:rsidR="00730DE4" w:rsidRPr="00730DE4" w:rsidRDefault="00730DE4" w:rsidP="00DE72D1">
            <w:pPr>
              <w:pStyle w:val="NoSpacing"/>
              <w:jc w:val="right"/>
            </w:pPr>
            <w:r w:rsidRPr="00730DE4">
              <w:t xml:space="preserve">583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3E932E2" w14:textId="77777777" w:rsidR="00730DE4" w:rsidRPr="00730DE4" w:rsidRDefault="00730DE4" w:rsidP="00DE72D1">
            <w:pPr>
              <w:pStyle w:val="NoSpacing"/>
              <w:jc w:val="right"/>
            </w:pPr>
            <w:r w:rsidRPr="00730DE4">
              <w:t xml:space="preserve">6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451D547"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26FE214"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940F894" w14:textId="77777777" w:rsidR="00730DE4" w:rsidRPr="00730DE4" w:rsidRDefault="00730DE4" w:rsidP="00DE72D1">
            <w:pPr>
              <w:pStyle w:val="NoSpacing"/>
              <w:jc w:val="right"/>
              <w:rPr>
                <w:rStyle w:val="Strong"/>
              </w:rPr>
            </w:pPr>
            <w:r w:rsidRPr="00730DE4">
              <w:rPr>
                <w:rStyle w:val="Strong"/>
              </w:rPr>
              <w:t xml:space="preserve">80,550 </w:t>
            </w:r>
          </w:p>
        </w:tc>
      </w:tr>
      <w:tr w:rsidR="00730DE4" w:rsidRPr="00730DE4" w14:paraId="46435F90" w14:textId="77777777" w:rsidTr="007F423A">
        <w:trPr>
          <w:trHeight w:val="20"/>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67878E17" w14:textId="77777777" w:rsidR="00730DE4" w:rsidRPr="00730DE4" w:rsidRDefault="00730DE4" w:rsidP="00662028">
            <w:pPr>
              <w:pStyle w:val="NoSpacingIndent"/>
            </w:pPr>
            <w:r w:rsidRPr="00730DE4">
              <w:t>Intangible assets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662F1EE" w14:textId="77777777" w:rsidR="00730DE4" w:rsidRPr="00730DE4" w:rsidRDefault="00730DE4" w:rsidP="00DE72D1">
            <w:pPr>
              <w:pStyle w:val="NoSpacing"/>
              <w:jc w:val="right"/>
            </w:pPr>
            <w:r w:rsidRPr="00730DE4">
              <w:t xml:space="preserve">1,741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CE80EAE" w14:textId="77777777" w:rsidR="00730DE4" w:rsidRPr="00730DE4" w:rsidRDefault="00730DE4" w:rsidP="00DE72D1">
            <w:pPr>
              <w:pStyle w:val="NoSpacing"/>
              <w:jc w:val="right"/>
            </w:pPr>
            <w:r w:rsidRPr="00730DE4">
              <w:t xml:space="preserve">1,415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D87ED2B" w14:textId="77777777" w:rsidR="00730DE4" w:rsidRPr="00730DE4" w:rsidRDefault="00730DE4" w:rsidP="00DE72D1">
            <w:pPr>
              <w:pStyle w:val="NoSpacing"/>
              <w:jc w:val="right"/>
            </w:pPr>
            <w:r w:rsidRPr="00730DE4">
              <w:t xml:space="preserve">5,075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2A28128"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F41C301"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48E2F7A5" w14:textId="77777777" w:rsidR="00730DE4" w:rsidRPr="00730DE4" w:rsidRDefault="00730DE4" w:rsidP="00DE72D1">
            <w:pPr>
              <w:pStyle w:val="NoSpacing"/>
              <w:jc w:val="right"/>
              <w:rPr>
                <w:rStyle w:val="Strong"/>
              </w:rPr>
            </w:pPr>
            <w:r w:rsidRPr="00730DE4">
              <w:rPr>
                <w:rStyle w:val="Strong"/>
              </w:rPr>
              <w:t xml:space="preserve">69,214 </w:t>
            </w:r>
          </w:p>
        </w:tc>
      </w:tr>
      <w:tr w:rsidR="00730DE4" w:rsidRPr="00730DE4" w14:paraId="58F5731F" w14:textId="77777777" w:rsidTr="007F423A">
        <w:trPr>
          <w:trHeight w:val="20"/>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21B6035C" w14:textId="77777777" w:rsidR="00730DE4" w:rsidRPr="00730DE4" w:rsidRDefault="00730DE4" w:rsidP="00662028">
            <w:pPr>
              <w:pStyle w:val="NoSpacingIndent"/>
            </w:pPr>
            <w:r w:rsidRPr="00730DE4">
              <w:t>Property, plant and equipment</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EABB769" w14:textId="77777777" w:rsidR="00730DE4" w:rsidRPr="00730DE4" w:rsidRDefault="00730DE4" w:rsidP="00DE72D1">
            <w:pPr>
              <w:pStyle w:val="NoSpacing"/>
              <w:jc w:val="right"/>
            </w:pPr>
            <w:r w:rsidRPr="00730DE4">
              <w:t xml:space="preserve">895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CA832EC" w14:textId="77777777" w:rsidR="00730DE4" w:rsidRPr="00730DE4" w:rsidRDefault="00730DE4" w:rsidP="00DE72D1">
            <w:pPr>
              <w:pStyle w:val="NoSpacing"/>
              <w:jc w:val="right"/>
            </w:pPr>
            <w:r w:rsidRPr="00730DE4">
              <w:t xml:space="preserve">6,895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BB68AA2" w14:textId="77777777" w:rsidR="00730DE4" w:rsidRPr="00730DE4" w:rsidRDefault="00730DE4" w:rsidP="00DE72D1">
            <w:pPr>
              <w:pStyle w:val="NoSpacing"/>
              <w:jc w:val="right"/>
            </w:pPr>
            <w:r w:rsidRPr="00730DE4">
              <w:t xml:space="preserve">326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4F14F48"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87B3C3F"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AC3147A" w14:textId="77777777" w:rsidR="00730DE4" w:rsidRPr="00730DE4" w:rsidRDefault="00730DE4" w:rsidP="00DE72D1">
            <w:pPr>
              <w:pStyle w:val="NoSpacing"/>
              <w:jc w:val="right"/>
              <w:rPr>
                <w:rStyle w:val="Strong"/>
              </w:rPr>
            </w:pPr>
            <w:r w:rsidRPr="00730DE4">
              <w:rPr>
                <w:rStyle w:val="Strong"/>
              </w:rPr>
              <w:t xml:space="preserve">104,496,070 </w:t>
            </w:r>
          </w:p>
        </w:tc>
      </w:tr>
      <w:tr w:rsidR="00730DE4" w:rsidRPr="00730DE4" w14:paraId="609AE73B" w14:textId="77777777" w:rsidTr="007F423A">
        <w:trPr>
          <w:trHeight w:val="20"/>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5B4E4E31" w14:textId="77777777" w:rsidR="00730DE4" w:rsidRPr="00730DE4" w:rsidRDefault="00730DE4" w:rsidP="00662028">
            <w:pPr>
              <w:pStyle w:val="NoSpacingIndent"/>
            </w:pPr>
            <w:r w:rsidRPr="00730DE4">
              <w:t>Service concession assets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61A9726"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525757B"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918C002"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58ADBC7"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B1E2CF9"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FB01177" w14:textId="77777777" w:rsidR="00730DE4" w:rsidRPr="00730DE4" w:rsidRDefault="00730DE4" w:rsidP="00DE72D1">
            <w:pPr>
              <w:pStyle w:val="NoSpacing"/>
              <w:jc w:val="right"/>
              <w:rPr>
                <w:rStyle w:val="Strong"/>
              </w:rPr>
            </w:pPr>
            <w:r w:rsidRPr="00730DE4">
              <w:rPr>
                <w:rStyle w:val="Strong"/>
              </w:rPr>
              <w:t xml:space="preserve">14,097,645 </w:t>
            </w:r>
          </w:p>
        </w:tc>
      </w:tr>
      <w:tr w:rsidR="00730DE4" w:rsidRPr="00730DE4" w14:paraId="37721B9F" w14:textId="77777777" w:rsidTr="007F423A">
        <w:trPr>
          <w:trHeight w:val="20"/>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31A5BCF1" w14:textId="77777777" w:rsidR="00730DE4" w:rsidRPr="00730DE4" w:rsidRDefault="00730DE4" w:rsidP="00662028">
            <w:pPr>
              <w:pStyle w:val="NoSpacingIndent"/>
            </w:pPr>
            <w:r w:rsidRPr="00730DE4">
              <w:t>Deferred tax assets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E4E42B7"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B62462A"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42A915F"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017DABA"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E2EFD05"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BAD6E6D" w14:textId="77777777" w:rsidR="00730DE4" w:rsidRPr="00730DE4" w:rsidRDefault="00730DE4" w:rsidP="00DE72D1">
            <w:pPr>
              <w:pStyle w:val="NoSpacing"/>
              <w:jc w:val="right"/>
              <w:rPr>
                <w:rStyle w:val="Strong"/>
              </w:rPr>
            </w:pPr>
            <w:r w:rsidRPr="00730DE4">
              <w:rPr>
                <w:rStyle w:val="Strong"/>
              </w:rPr>
              <w:t xml:space="preserve">3,001 </w:t>
            </w:r>
          </w:p>
        </w:tc>
      </w:tr>
      <w:tr w:rsidR="00730DE4" w:rsidRPr="00730DE4" w14:paraId="38D13859" w14:textId="77777777" w:rsidTr="007F423A">
        <w:trPr>
          <w:trHeight w:val="20"/>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2F9A7C4D" w14:textId="77777777" w:rsidR="00730DE4" w:rsidRPr="00730DE4" w:rsidRDefault="00730DE4" w:rsidP="00662028">
            <w:pPr>
              <w:pStyle w:val="NoSpacingIndent"/>
            </w:pPr>
            <w:r w:rsidRPr="00730DE4">
              <w:t>Right-of-use assets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49F7222" w14:textId="77777777" w:rsidR="00730DE4" w:rsidRPr="00730DE4" w:rsidRDefault="00730DE4" w:rsidP="00DE72D1">
            <w:pPr>
              <w:pStyle w:val="NoSpacing"/>
              <w:jc w:val="right"/>
            </w:pPr>
            <w:r w:rsidRPr="00730DE4">
              <w:t xml:space="preserve">87,514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3EA6C3B" w14:textId="77777777" w:rsidR="00730DE4" w:rsidRPr="00730DE4" w:rsidRDefault="00730DE4" w:rsidP="00DE72D1">
            <w:pPr>
              <w:pStyle w:val="NoSpacing"/>
              <w:jc w:val="right"/>
            </w:pPr>
            <w:r w:rsidRPr="00730DE4">
              <w:t xml:space="preserve">11,357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346B9CC"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B52A0F2"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BF55BF4"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ED552AA" w14:textId="77777777" w:rsidR="00730DE4" w:rsidRPr="00730DE4" w:rsidRDefault="00730DE4" w:rsidP="00DE72D1">
            <w:pPr>
              <w:pStyle w:val="NoSpacing"/>
              <w:jc w:val="right"/>
              <w:rPr>
                <w:rStyle w:val="Strong"/>
              </w:rPr>
            </w:pPr>
            <w:r w:rsidRPr="00730DE4">
              <w:rPr>
                <w:rStyle w:val="Strong"/>
              </w:rPr>
              <w:t xml:space="preserve">98,871 </w:t>
            </w:r>
          </w:p>
        </w:tc>
      </w:tr>
      <w:tr w:rsidR="00730DE4" w:rsidRPr="00730DE4" w14:paraId="654AAF36" w14:textId="77777777" w:rsidTr="007F423A">
        <w:trPr>
          <w:trHeight w:val="20"/>
        </w:trPr>
        <w:tc>
          <w:tcPr>
            <w:tcW w:w="1352"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vAlign w:val="bottom"/>
          </w:tcPr>
          <w:p w14:paraId="4D6B7A16" w14:textId="77777777" w:rsidR="00730DE4" w:rsidRPr="00730DE4" w:rsidRDefault="00730DE4" w:rsidP="00662028">
            <w:pPr>
              <w:pStyle w:val="NoSpacingIndent"/>
            </w:pPr>
            <w:r w:rsidRPr="00730DE4">
              <w:t>Investment in subsidiary</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2F3769F9"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7BE92FF9"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3BE25E57"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764A053F"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10B83355"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0595F7A9" w14:textId="77777777" w:rsidR="00730DE4" w:rsidRPr="00730DE4" w:rsidRDefault="00730DE4" w:rsidP="00DE72D1">
            <w:pPr>
              <w:pStyle w:val="NoSpacing"/>
              <w:jc w:val="right"/>
              <w:rPr>
                <w:rStyle w:val="Strong"/>
              </w:rPr>
            </w:pPr>
            <w:r w:rsidRPr="00730DE4">
              <w:rPr>
                <w:rStyle w:val="Strong"/>
              </w:rPr>
              <w:t xml:space="preserve">15,601 </w:t>
            </w:r>
          </w:p>
        </w:tc>
      </w:tr>
      <w:tr w:rsidR="00730DE4" w:rsidRPr="00730DE4" w14:paraId="6ACE6D02" w14:textId="77777777" w:rsidTr="007F423A">
        <w:trPr>
          <w:trHeight w:val="340"/>
        </w:trPr>
        <w:tc>
          <w:tcPr>
            <w:tcW w:w="1352" w:type="pct"/>
            <w:tcBorders>
              <w:top w:val="single" w:sz="4" w:space="0" w:color="auto"/>
              <w:left w:val="nil"/>
              <w:right w:val="dotted" w:sz="4" w:space="0" w:color="BFBFBF" w:themeColor="background1" w:themeShade="BF"/>
            </w:tcBorders>
            <w:shd w:val="clear" w:color="auto" w:fill="auto"/>
          </w:tcPr>
          <w:p w14:paraId="7D3099E2" w14:textId="77777777" w:rsidR="00730DE4" w:rsidRPr="00730DE4" w:rsidRDefault="00730DE4" w:rsidP="00B3301D">
            <w:pPr>
              <w:pStyle w:val="NoSpacingIndent"/>
              <w:rPr>
                <w:rStyle w:val="Strong"/>
              </w:rPr>
            </w:pPr>
            <w:r w:rsidRPr="00730DE4">
              <w:rPr>
                <w:rStyle w:val="Strong"/>
              </w:rPr>
              <w:t>Total non-current assets</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4C8C6930" w14:textId="77777777" w:rsidR="00730DE4" w:rsidRPr="00730DE4" w:rsidRDefault="00730DE4" w:rsidP="00B3301D">
            <w:pPr>
              <w:pStyle w:val="NoSpacing"/>
              <w:jc w:val="right"/>
              <w:rPr>
                <w:b/>
                <w:bCs/>
              </w:rPr>
            </w:pPr>
            <w:r w:rsidRPr="00730DE4">
              <w:rPr>
                <w:rStyle w:val="Strong"/>
              </w:rPr>
              <w:t xml:space="preserve">91,362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41AC3A78" w14:textId="77777777" w:rsidR="00730DE4" w:rsidRPr="00730DE4" w:rsidRDefault="00730DE4" w:rsidP="00B3301D">
            <w:pPr>
              <w:pStyle w:val="NoSpacing"/>
              <w:jc w:val="right"/>
              <w:rPr>
                <w:b/>
                <w:bCs/>
              </w:rPr>
            </w:pPr>
            <w:r w:rsidRPr="00730DE4">
              <w:rPr>
                <w:rStyle w:val="Strong"/>
              </w:rPr>
              <w:t xml:space="preserve">20,250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074BD3E1" w14:textId="77777777" w:rsidR="00730DE4" w:rsidRPr="00730DE4" w:rsidRDefault="00730DE4" w:rsidP="00B3301D">
            <w:pPr>
              <w:pStyle w:val="NoSpacing"/>
              <w:jc w:val="right"/>
              <w:rPr>
                <w:b/>
                <w:bCs/>
              </w:rPr>
            </w:pPr>
            <w:r w:rsidRPr="00730DE4">
              <w:rPr>
                <w:rStyle w:val="Strong"/>
              </w:rPr>
              <w:t xml:space="preserve">5,407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030C20C1" w14:textId="77777777" w:rsidR="00730DE4" w:rsidRPr="00730DE4" w:rsidRDefault="00730DE4" w:rsidP="00B3301D">
            <w:pPr>
              <w:pStyle w:val="NoSpacing"/>
              <w:jc w:val="right"/>
              <w:rPr>
                <w:b/>
                <w:bCs/>
              </w:rPr>
            </w:pPr>
            <w:r w:rsidRPr="00730DE4">
              <w:rPr>
                <w:rStyle w:val="Strong"/>
              </w:rPr>
              <w:t xml:space="preserve">-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03514091" w14:textId="77777777" w:rsidR="00730DE4" w:rsidRPr="00730DE4" w:rsidRDefault="00730DE4" w:rsidP="00B3301D">
            <w:pPr>
              <w:pStyle w:val="NoSpacing"/>
              <w:jc w:val="right"/>
              <w:rPr>
                <w:b/>
                <w:bCs/>
              </w:rPr>
            </w:pPr>
            <w:r w:rsidRPr="00730DE4">
              <w:rPr>
                <w:rStyle w:val="Strong"/>
              </w:rPr>
              <w:t>(19,000)</w:t>
            </w:r>
          </w:p>
        </w:tc>
        <w:tc>
          <w:tcPr>
            <w:tcW w:w="608" w:type="pct"/>
            <w:tcBorders>
              <w:top w:val="single" w:sz="4" w:space="0" w:color="auto"/>
              <w:left w:val="dotted" w:sz="4" w:space="0" w:color="BFBFBF" w:themeColor="background1" w:themeShade="BF"/>
              <w:right w:val="nil"/>
            </w:tcBorders>
            <w:shd w:val="clear" w:color="auto" w:fill="auto"/>
            <w:noWrap/>
            <w:hideMark/>
          </w:tcPr>
          <w:p w14:paraId="5F26B3D9" w14:textId="77777777" w:rsidR="00730DE4" w:rsidRPr="00730DE4" w:rsidRDefault="00730DE4" w:rsidP="00B3301D">
            <w:pPr>
              <w:pStyle w:val="NoSpacing"/>
              <w:jc w:val="right"/>
              <w:rPr>
                <w:rStyle w:val="Strong"/>
              </w:rPr>
            </w:pPr>
            <w:r w:rsidRPr="00730DE4">
              <w:rPr>
                <w:rStyle w:val="Strong"/>
              </w:rPr>
              <w:t xml:space="preserve">118,864,373 </w:t>
            </w:r>
          </w:p>
        </w:tc>
      </w:tr>
      <w:tr w:rsidR="00730DE4" w:rsidRPr="00730DE4" w14:paraId="3BD31DEB" w14:textId="77777777" w:rsidTr="007F423A">
        <w:trPr>
          <w:trHeight w:val="340"/>
        </w:trPr>
        <w:tc>
          <w:tcPr>
            <w:tcW w:w="1352" w:type="pct"/>
            <w:tcBorders>
              <w:left w:val="nil"/>
              <w:bottom w:val="double" w:sz="4" w:space="0" w:color="auto"/>
              <w:right w:val="dotted" w:sz="4" w:space="0" w:color="BFBFBF" w:themeColor="background1" w:themeShade="BF"/>
            </w:tcBorders>
            <w:shd w:val="clear" w:color="auto" w:fill="auto"/>
            <w:vAlign w:val="bottom"/>
          </w:tcPr>
          <w:p w14:paraId="0C38CE7B" w14:textId="77777777" w:rsidR="00730DE4" w:rsidRPr="00730DE4" w:rsidRDefault="00730DE4" w:rsidP="00DE72D1">
            <w:pPr>
              <w:pStyle w:val="NoSpacing"/>
              <w:rPr>
                <w:rStyle w:val="Strong"/>
              </w:rPr>
            </w:pPr>
            <w:r w:rsidRPr="00730DE4">
              <w:rPr>
                <w:rStyle w:val="Strong"/>
              </w:rPr>
              <w:t>Total assets</w:t>
            </w:r>
          </w:p>
        </w:tc>
        <w:tc>
          <w:tcPr>
            <w:tcW w:w="608" w:type="pct"/>
            <w:tcBorders>
              <w:left w:val="dotted" w:sz="4" w:space="0" w:color="BFBFBF" w:themeColor="background1" w:themeShade="BF"/>
              <w:bottom w:val="double" w:sz="4" w:space="0" w:color="auto"/>
              <w:right w:val="dotted" w:sz="4" w:space="0" w:color="BFBFBF" w:themeColor="background1" w:themeShade="BF"/>
            </w:tcBorders>
            <w:shd w:val="clear" w:color="auto" w:fill="auto"/>
            <w:noWrap/>
            <w:vAlign w:val="bottom"/>
          </w:tcPr>
          <w:p w14:paraId="7A55F5C2" w14:textId="77777777" w:rsidR="00730DE4" w:rsidRPr="00730DE4" w:rsidRDefault="00730DE4" w:rsidP="00DE72D1">
            <w:pPr>
              <w:pStyle w:val="NoSpacing"/>
              <w:jc w:val="right"/>
              <w:rPr>
                <w:rStyle w:val="Strong"/>
              </w:rPr>
            </w:pPr>
            <w:r w:rsidRPr="00730DE4">
              <w:rPr>
                <w:rStyle w:val="Strong"/>
              </w:rPr>
              <w:t xml:space="preserve">127,468 </w:t>
            </w:r>
          </w:p>
        </w:tc>
        <w:tc>
          <w:tcPr>
            <w:tcW w:w="608" w:type="pct"/>
            <w:tcBorders>
              <w:left w:val="dotted" w:sz="4" w:space="0" w:color="BFBFBF" w:themeColor="background1" w:themeShade="BF"/>
              <w:bottom w:val="double" w:sz="4" w:space="0" w:color="auto"/>
              <w:right w:val="dotted" w:sz="4" w:space="0" w:color="BFBFBF" w:themeColor="background1" w:themeShade="BF"/>
            </w:tcBorders>
            <w:shd w:val="clear" w:color="auto" w:fill="auto"/>
            <w:noWrap/>
            <w:vAlign w:val="bottom"/>
          </w:tcPr>
          <w:p w14:paraId="4EC212B4" w14:textId="77777777" w:rsidR="00730DE4" w:rsidRPr="00730DE4" w:rsidRDefault="00730DE4" w:rsidP="00DE72D1">
            <w:pPr>
              <w:pStyle w:val="NoSpacing"/>
              <w:jc w:val="right"/>
              <w:rPr>
                <w:rStyle w:val="Strong"/>
              </w:rPr>
            </w:pPr>
            <w:r w:rsidRPr="00730DE4">
              <w:rPr>
                <w:rStyle w:val="Strong"/>
              </w:rPr>
              <w:t xml:space="preserve">54,336 </w:t>
            </w:r>
          </w:p>
        </w:tc>
        <w:tc>
          <w:tcPr>
            <w:tcW w:w="608" w:type="pct"/>
            <w:tcBorders>
              <w:left w:val="dotted" w:sz="4" w:space="0" w:color="BFBFBF" w:themeColor="background1" w:themeShade="BF"/>
              <w:bottom w:val="double" w:sz="4" w:space="0" w:color="auto"/>
              <w:right w:val="dotted" w:sz="4" w:space="0" w:color="BFBFBF" w:themeColor="background1" w:themeShade="BF"/>
            </w:tcBorders>
            <w:shd w:val="clear" w:color="auto" w:fill="auto"/>
            <w:noWrap/>
            <w:vAlign w:val="bottom"/>
          </w:tcPr>
          <w:p w14:paraId="06546DB8" w14:textId="77777777" w:rsidR="00730DE4" w:rsidRPr="00730DE4" w:rsidRDefault="00730DE4" w:rsidP="00DE72D1">
            <w:pPr>
              <w:pStyle w:val="NoSpacing"/>
              <w:jc w:val="right"/>
              <w:rPr>
                <w:rStyle w:val="Strong"/>
              </w:rPr>
            </w:pPr>
            <w:r w:rsidRPr="00730DE4">
              <w:rPr>
                <w:rStyle w:val="Strong"/>
              </w:rPr>
              <w:t xml:space="preserve">63,914 </w:t>
            </w:r>
          </w:p>
        </w:tc>
        <w:tc>
          <w:tcPr>
            <w:tcW w:w="608" w:type="pct"/>
            <w:tcBorders>
              <w:left w:val="dotted" w:sz="4" w:space="0" w:color="BFBFBF" w:themeColor="background1" w:themeShade="BF"/>
              <w:bottom w:val="double" w:sz="4" w:space="0" w:color="auto"/>
              <w:right w:val="dotted" w:sz="4" w:space="0" w:color="BFBFBF" w:themeColor="background1" w:themeShade="BF"/>
            </w:tcBorders>
            <w:shd w:val="clear" w:color="auto" w:fill="auto"/>
            <w:noWrap/>
            <w:vAlign w:val="bottom"/>
          </w:tcPr>
          <w:p w14:paraId="7001D5A7" w14:textId="77777777" w:rsidR="00730DE4" w:rsidRPr="00730DE4" w:rsidRDefault="00730DE4" w:rsidP="00DE72D1">
            <w:pPr>
              <w:pStyle w:val="NoSpacing"/>
              <w:jc w:val="right"/>
              <w:rPr>
                <w:rStyle w:val="Strong"/>
              </w:rPr>
            </w:pPr>
            <w:r w:rsidRPr="00730DE4">
              <w:rPr>
                <w:rStyle w:val="Strong"/>
              </w:rPr>
              <w:t xml:space="preserve">5,119 </w:t>
            </w:r>
          </w:p>
        </w:tc>
        <w:tc>
          <w:tcPr>
            <w:tcW w:w="608" w:type="pct"/>
            <w:tcBorders>
              <w:left w:val="dotted" w:sz="4" w:space="0" w:color="BFBFBF" w:themeColor="background1" w:themeShade="BF"/>
              <w:bottom w:val="double" w:sz="4" w:space="0" w:color="auto"/>
              <w:right w:val="dotted" w:sz="4" w:space="0" w:color="BFBFBF" w:themeColor="background1" w:themeShade="BF"/>
            </w:tcBorders>
            <w:shd w:val="clear" w:color="auto" w:fill="auto"/>
            <w:noWrap/>
            <w:vAlign w:val="bottom"/>
          </w:tcPr>
          <w:p w14:paraId="116E4F26" w14:textId="77777777" w:rsidR="00730DE4" w:rsidRPr="00730DE4" w:rsidRDefault="00730DE4" w:rsidP="00DE72D1">
            <w:pPr>
              <w:pStyle w:val="NoSpacing"/>
              <w:jc w:val="right"/>
              <w:rPr>
                <w:rStyle w:val="Strong"/>
              </w:rPr>
            </w:pPr>
            <w:r w:rsidRPr="00730DE4">
              <w:rPr>
                <w:rStyle w:val="Strong"/>
              </w:rPr>
              <w:t>(147,803)</w:t>
            </w:r>
          </w:p>
        </w:tc>
        <w:tc>
          <w:tcPr>
            <w:tcW w:w="608" w:type="pct"/>
            <w:tcBorders>
              <w:left w:val="dotted" w:sz="4" w:space="0" w:color="BFBFBF" w:themeColor="background1" w:themeShade="BF"/>
              <w:bottom w:val="double" w:sz="4" w:space="0" w:color="auto"/>
              <w:right w:val="nil"/>
            </w:tcBorders>
            <w:shd w:val="clear" w:color="auto" w:fill="auto"/>
            <w:noWrap/>
            <w:vAlign w:val="bottom"/>
          </w:tcPr>
          <w:p w14:paraId="4FDF126F" w14:textId="77777777" w:rsidR="00730DE4" w:rsidRPr="00730DE4" w:rsidRDefault="00730DE4" w:rsidP="00DE72D1">
            <w:pPr>
              <w:pStyle w:val="NoSpacing"/>
              <w:jc w:val="right"/>
              <w:rPr>
                <w:rStyle w:val="Strong"/>
              </w:rPr>
            </w:pPr>
            <w:r w:rsidRPr="00730DE4">
              <w:rPr>
                <w:rStyle w:val="Strong"/>
              </w:rPr>
              <w:t xml:space="preserve">119,917,902 </w:t>
            </w:r>
          </w:p>
        </w:tc>
      </w:tr>
      <w:tr w:rsidR="00730DE4" w:rsidRPr="00730DE4" w14:paraId="35670DC2" w14:textId="77777777" w:rsidTr="007F423A">
        <w:trPr>
          <w:trHeight w:val="454"/>
        </w:trPr>
        <w:tc>
          <w:tcPr>
            <w:tcW w:w="1352" w:type="pct"/>
            <w:tcBorders>
              <w:top w:val="double" w:sz="4" w:space="0" w:color="auto"/>
              <w:left w:val="nil"/>
              <w:bottom w:val="dotted" w:sz="4" w:space="0" w:color="BFBFBF" w:themeColor="background1" w:themeShade="BF"/>
              <w:right w:val="dotted" w:sz="4" w:space="0" w:color="BFBFBF" w:themeColor="background1" w:themeShade="BF"/>
            </w:tcBorders>
            <w:shd w:val="clear" w:color="auto" w:fill="auto"/>
            <w:vAlign w:val="bottom"/>
          </w:tcPr>
          <w:p w14:paraId="2D2F81EF" w14:textId="77777777" w:rsidR="00730DE4" w:rsidRPr="00730DE4" w:rsidRDefault="00730DE4" w:rsidP="00DE72D1">
            <w:pPr>
              <w:pStyle w:val="NoSpacing"/>
              <w:rPr>
                <w:rStyle w:val="Strong"/>
              </w:rPr>
            </w:pPr>
            <w:r w:rsidRPr="00730DE4">
              <w:rPr>
                <w:rStyle w:val="Strong"/>
              </w:rPr>
              <w:t>Liabilities</w:t>
            </w:r>
          </w:p>
        </w:tc>
        <w:tc>
          <w:tcPr>
            <w:tcW w:w="608"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12988532" w14:textId="77777777" w:rsidR="00730DE4" w:rsidRPr="00730DE4" w:rsidRDefault="00730DE4" w:rsidP="00DE72D1">
            <w:pPr>
              <w:pStyle w:val="NoSpacing"/>
              <w:jc w:val="right"/>
              <w:rPr>
                <w:rStyle w:val="Strong"/>
              </w:rPr>
            </w:pPr>
          </w:p>
        </w:tc>
        <w:tc>
          <w:tcPr>
            <w:tcW w:w="608"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003A7AB4" w14:textId="77777777" w:rsidR="00730DE4" w:rsidRPr="00730DE4" w:rsidRDefault="00730DE4" w:rsidP="00DE72D1">
            <w:pPr>
              <w:pStyle w:val="NoSpacing"/>
              <w:jc w:val="right"/>
              <w:rPr>
                <w:rStyle w:val="Strong"/>
              </w:rPr>
            </w:pPr>
          </w:p>
        </w:tc>
        <w:tc>
          <w:tcPr>
            <w:tcW w:w="608"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5E81ECF5" w14:textId="77777777" w:rsidR="00730DE4" w:rsidRPr="00730DE4" w:rsidRDefault="00730DE4" w:rsidP="00DE72D1">
            <w:pPr>
              <w:pStyle w:val="NoSpacing"/>
              <w:jc w:val="right"/>
              <w:rPr>
                <w:rStyle w:val="Strong"/>
              </w:rPr>
            </w:pPr>
          </w:p>
        </w:tc>
        <w:tc>
          <w:tcPr>
            <w:tcW w:w="608"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396C5B3B" w14:textId="77777777" w:rsidR="00730DE4" w:rsidRPr="00730DE4" w:rsidRDefault="00730DE4" w:rsidP="00DE72D1">
            <w:pPr>
              <w:pStyle w:val="NoSpacing"/>
              <w:jc w:val="right"/>
              <w:rPr>
                <w:rStyle w:val="Strong"/>
              </w:rPr>
            </w:pPr>
          </w:p>
        </w:tc>
        <w:tc>
          <w:tcPr>
            <w:tcW w:w="608"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0CF4C1B3" w14:textId="77777777" w:rsidR="00730DE4" w:rsidRPr="00730DE4" w:rsidRDefault="00730DE4" w:rsidP="00DE72D1">
            <w:pPr>
              <w:pStyle w:val="NoSpacing"/>
              <w:jc w:val="right"/>
              <w:rPr>
                <w:rStyle w:val="Strong"/>
              </w:rPr>
            </w:pPr>
          </w:p>
        </w:tc>
        <w:tc>
          <w:tcPr>
            <w:tcW w:w="608" w:type="pct"/>
            <w:tcBorders>
              <w:top w:val="double" w:sz="4" w:space="0" w:color="auto"/>
              <w:left w:val="dotted" w:sz="4" w:space="0" w:color="BFBFBF" w:themeColor="background1" w:themeShade="BF"/>
              <w:bottom w:val="dotted" w:sz="4" w:space="0" w:color="BFBFBF" w:themeColor="background1" w:themeShade="BF"/>
              <w:right w:val="nil"/>
            </w:tcBorders>
            <w:shd w:val="clear" w:color="auto" w:fill="auto"/>
            <w:noWrap/>
            <w:vAlign w:val="bottom"/>
          </w:tcPr>
          <w:p w14:paraId="24B7ACA5" w14:textId="77777777" w:rsidR="00730DE4" w:rsidRPr="00730DE4" w:rsidRDefault="00730DE4" w:rsidP="00DE72D1">
            <w:pPr>
              <w:pStyle w:val="NoSpacing"/>
              <w:jc w:val="right"/>
              <w:rPr>
                <w:rStyle w:val="Strong"/>
              </w:rPr>
            </w:pPr>
          </w:p>
        </w:tc>
      </w:tr>
      <w:tr w:rsidR="00730DE4" w:rsidRPr="00730DE4" w14:paraId="1BE834AB" w14:textId="77777777" w:rsidTr="007F423A">
        <w:trPr>
          <w:cantSplit/>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4D87A0D2" w14:textId="77777777" w:rsidR="00730DE4" w:rsidRPr="00730DE4" w:rsidRDefault="00730DE4" w:rsidP="00DE72D1">
            <w:pPr>
              <w:pStyle w:val="NoSpacing"/>
              <w:rPr>
                <w:rStyle w:val="Strong"/>
              </w:rPr>
            </w:pPr>
            <w:r w:rsidRPr="00730DE4">
              <w:rPr>
                <w:rStyle w:val="Strong"/>
              </w:rPr>
              <w:t>Current liabilities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67316DDB" w14:textId="77777777" w:rsidR="00730DE4" w:rsidRPr="00730DE4" w:rsidRDefault="00730DE4" w:rsidP="00DE72D1">
            <w:pPr>
              <w:pStyle w:val="NoSpacing"/>
              <w:jc w:val="right"/>
              <w:rPr>
                <w:rStyle w:val="Strong"/>
              </w:rPr>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6E505507" w14:textId="77777777" w:rsidR="00730DE4" w:rsidRPr="00730DE4" w:rsidRDefault="00730DE4" w:rsidP="00DE72D1">
            <w:pPr>
              <w:pStyle w:val="NoSpacing"/>
              <w:jc w:val="right"/>
              <w:rPr>
                <w:rStyle w:val="Strong"/>
              </w:rPr>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1ADAF205" w14:textId="77777777" w:rsidR="00730DE4" w:rsidRPr="00730DE4" w:rsidRDefault="00730DE4" w:rsidP="00DE72D1">
            <w:pPr>
              <w:pStyle w:val="NoSpacing"/>
              <w:jc w:val="right"/>
              <w:rPr>
                <w:rStyle w:val="Strong"/>
              </w:rPr>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5C8362B0" w14:textId="77777777" w:rsidR="00730DE4" w:rsidRPr="00730DE4" w:rsidRDefault="00730DE4" w:rsidP="00DE72D1">
            <w:pPr>
              <w:pStyle w:val="NoSpacing"/>
              <w:jc w:val="right"/>
              <w:rPr>
                <w:rStyle w:val="Strong"/>
              </w:rPr>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376DCE9B" w14:textId="77777777" w:rsidR="00730DE4" w:rsidRPr="00730DE4" w:rsidRDefault="00730DE4" w:rsidP="00DE72D1">
            <w:pPr>
              <w:pStyle w:val="NoSpacing"/>
              <w:jc w:val="right"/>
              <w:rPr>
                <w:rStyle w:val="Strong"/>
              </w:rPr>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tcPr>
          <w:p w14:paraId="0A9BF3E4" w14:textId="77777777" w:rsidR="00730DE4" w:rsidRPr="00730DE4" w:rsidRDefault="00730DE4" w:rsidP="00DE72D1">
            <w:pPr>
              <w:pStyle w:val="NoSpacing"/>
              <w:jc w:val="right"/>
              <w:rPr>
                <w:rStyle w:val="Strong"/>
              </w:rPr>
            </w:pPr>
          </w:p>
        </w:tc>
      </w:tr>
      <w:tr w:rsidR="00730DE4" w:rsidRPr="00730DE4" w14:paraId="47060F09" w14:textId="77777777" w:rsidTr="007F423A">
        <w:trPr>
          <w:trHeight w:val="20"/>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3639387F" w14:textId="77777777" w:rsidR="00730DE4" w:rsidRPr="00730DE4" w:rsidRDefault="00730DE4" w:rsidP="00662028">
            <w:pPr>
              <w:pStyle w:val="NoSpacingIndent"/>
            </w:pPr>
            <w:r w:rsidRPr="00730DE4">
              <w:t>Payables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C3938B4" w14:textId="77777777" w:rsidR="00730DE4" w:rsidRPr="00730DE4" w:rsidRDefault="00730DE4" w:rsidP="00DE72D1">
            <w:pPr>
              <w:pStyle w:val="NoSpacing"/>
              <w:jc w:val="right"/>
            </w:pPr>
            <w:r w:rsidRPr="00730DE4">
              <w:t xml:space="preserve">27,592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A411FB1" w14:textId="77777777" w:rsidR="00730DE4" w:rsidRPr="00730DE4" w:rsidRDefault="00730DE4" w:rsidP="00DE72D1">
            <w:pPr>
              <w:pStyle w:val="NoSpacing"/>
              <w:jc w:val="right"/>
            </w:pPr>
            <w:r w:rsidRPr="00730DE4">
              <w:t xml:space="preserve">8,806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F699C06" w14:textId="77777777" w:rsidR="00730DE4" w:rsidRPr="00730DE4" w:rsidRDefault="00730DE4" w:rsidP="00DE72D1">
            <w:pPr>
              <w:pStyle w:val="NoSpacing"/>
              <w:jc w:val="right"/>
            </w:pPr>
            <w:r w:rsidRPr="00730DE4">
              <w:t xml:space="preserve">2,211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1935A09" w14:textId="77777777" w:rsidR="00730DE4" w:rsidRPr="00730DE4" w:rsidRDefault="00730DE4" w:rsidP="00DE72D1">
            <w:pPr>
              <w:pStyle w:val="NoSpacing"/>
              <w:jc w:val="right"/>
            </w:pPr>
            <w:r w:rsidRPr="00730DE4">
              <w:t xml:space="preserve">198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CF1EC87" w14:textId="77777777" w:rsidR="00730DE4" w:rsidRPr="00730DE4" w:rsidRDefault="00730DE4" w:rsidP="00DE72D1">
            <w:pPr>
              <w:pStyle w:val="NoSpacing"/>
              <w:jc w:val="right"/>
            </w:pPr>
            <w:r w:rsidRPr="00730DE4">
              <w:t>(128,803)</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80BC80B" w14:textId="77777777" w:rsidR="00730DE4" w:rsidRPr="00730DE4" w:rsidRDefault="00730DE4" w:rsidP="00DE72D1">
            <w:pPr>
              <w:pStyle w:val="NoSpacing"/>
              <w:jc w:val="right"/>
              <w:rPr>
                <w:rStyle w:val="Strong"/>
              </w:rPr>
            </w:pPr>
            <w:r w:rsidRPr="00730DE4">
              <w:rPr>
                <w:rStyle w:val="Strong"/>
              </w:rPr>
              <w:t xml:space="preserve">942,274 </w:t>
            </w:r>
          </w:p>
        </w:tc>
      </w:tr>
      <w:tr w:rsidR="00730DE4" w:rsidRPr="00730DE4" w14:paraId="1472FA2C" w14:textId="77777777" w:rsidTr="007F423A">
        <w:trPr>
          <w:trHeight w:val="20"/>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4E7B9938" w14:textId="77777777" w:rsidR="00730DE4" w:rsidRPr="00730DE4" w:rsidRDefault="00730DE4" w:rsidP="00662028">
            <w:pPr>
              <w:pStyle w:val="NoSpacingIndent"/>
            </w:pPr>
            <w:r w:rsidRPr="00730DE4">
              <w:t>Borrowings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6B1E816"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2217FAB"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A2B7758"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08E5BF5"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06AC2E9"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AC436B1" w14:textId="77777777" w:rsidR="00730DE4" w:rsidRPr="00730DE4" w:rsidRDefault="00730DE4" w:rsidP="00DE72D1">
            <w:pPr>
              <w:pStyle w:val="NoSpacing"/>
              <w:jc w:val="right"/>
              <w:rPr>
                <w:rStyle w:val="Strong"/>
              </w:rPr>
            </w:pPr>
            <w:r w:rsidRPr="00730DE4">
              <w:rPr>
                <w:rStyle w:val="Strong"/>
              </w:rPr>
              <w:t xml:space="preserve">44,204 </w:t>
            </w:r>
          </w:p>
        </w:tc>
      </w:tr>
      <w:tr w:rsidR="00730DE4" w:rsidRPr="00730DE4" w14:paraId="6A59CFAB" w14:textId="77777777" w:rsidTr="007F423A">
        <w:trPr>
          <w:trHeight w:val="20"/>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19F4239B" w14:textId="77777777" w:rsidR="00730DE4" w:rsidRPr="00730DE4" w:rsidRDefault="00730DE4" w:rsidP="00662028">
            <w:pPr>
              <w:pStyle w:val="NoSpacingIndent"/>
            </w:pPr>
            <w:r w:rsidRPr="00730DE4">
              <w:t>Provisions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606BEEF" w14:textId="77777777" w:rsidR="00730DE4" w:rsidRPr="00730DE4" w:rsidRDefault="00730DE4" w:rsidP="00DE72D1">
            <w:pPr>
              <w:pStyle w:val="NoSpacing"/>
              <w:jc w:val="right"/>
            </w:pPr>
            <w:r w:rsidRPr="00730DE4">
              <w:t xml:space="preserve">964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BD7B78F"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DA9AF87"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1BFD24B"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6F351A6"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4F90354E" w14:textId="77777777" w:rsidR="00730DE4" w:rsidRPr="00730DE4" w:rsidRDefault="00730DE4" w:rsidP="00DE72D1">
            <w:pPr>
              <w:pStyle w:val="NoSpacing"/>
              <w:jc w:val="right"/>
              <w:rPr>
                <w:rStyle w:val="Strong"/>
              </w:rPr>
            </w:pPr>
            <w:r w:rsidRPr="00730DE4">
              <w:rPr>
                <w:rStyle w:val="Strong"/>
              </w:rPr>
              <w:t xml:space="preserve">317,937 </w:t>
            </w:r>
          </w:p>
        </w:tc>
      </w:tr>
      <w:tr w:rsidR="00730DE4" w:rsidRPr="00730DE4" w14:paraId="5F5C5F98" w14:textId="77777777" w:rsidTr="007F423A">
        <w:trPr>
          <w:trHeight w:val="20"/>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1280C743" w14:textId="77777777" w:rsidR="00730DE4" w:rsidRPr="00730DE4" w:rsidRDefault="00730DE4" w:rsidP="00662028">
            <w:pPr>
              <w:pStyle w:val="NoSpacingIndent"/>
            </w:pPr>
            <w:r w:rsidRPr="00730DE4">
              <w:t>Accrued employee benefits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1691DA5" w14:textId="77777777" w:rsidR="00730DE4" w:rsidRPr="00730DE4" w:rsidRDefault="00730DE4" w:rsidP="00DE72D1">
            <w:pPr>
              <w:pStyle w:val="NoSpacing"/>
              <w:jc w:val="right"/>
            </w:pPr>
            <w:r w:rsidRPr="00730DE4">
              <w:t xml:space="preserve">2,141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8A327A5" w14:textId="77777777" w:rsidR="00730DE4" w:rsidRPr="00730DE4" w:rsidRDefault="00730DE4" w:rsidP="00DE72D1">
            <w:pPr>
              <w:pStyle w:val="NoSpacing"/>
              <w:jc w:val="right"/>
            </w:pPr>
            <w:r w:rsidRPr="00730DE4">
              <w:t xml:space="preserve">1,278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634C393" w14:textId="77777777" w:rsidR="00730DE4" w:rsidRPr="00730DE4" w:rsidRDefault="00730DE4" w:rsidP="00DE72D1">
            <w:pPr>
              <w:pStyle w:val="NoSpacing"/>
              <w:jc w:val="right"/>
            </w:pPr>
            <w:r w:rsidRPr="00730DE4">
              <w:t xml:space="preserve">2,276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13FC80D" w14:textId="77777777" w:rsidR="00730DE4" w:rsidRPr="00730DE4" w:rsidRDefault="00730DE4" w:rsidP="00DE72D1">
            <w:pPr>
              <w:pStyle w:val="NoSpacing"/>
              <w:jc w:val="right"/>
            </w:pPr>
            <w:r w:rsidRPr="00730DE4">
              <w:t xml:space="preserve">239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6EA78E8"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C2D427C" w14:textId="77777777" w:rsidR="00730DE4" w:rsidRPr="00730DE4" w:rsidRDefault="00730DE4" w:rsidP="00DE72D1">
            <w:pPr>
              <w:pStyle w:val="NoSpacing"/>
              <w:jc w:val="right"/>
              <w:rPr>
                <w:rStyle w:val="Strong"/>
              </w:rPr>
            </w:pPr>
            <w:r w:rsidRPr="00730DE4">
              <w:rPr>
                <w:rStyle w:val="Strong"/>
              </w:rPr>
              <w:t xml:space="preserve">40,445 </w:t>
            </w:r>
          </w:p>
        </w:tc>
      </w:tr>
      <w:tr w:rsidR="00730DE4" w:rsidRPr="00730DE4" w14:paraId="4EFA3729" w14:textId="77777777" w:rsidTr="007F423A">
        <w:trPr>
          <w:trHeight w:val="20"/>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75CC2E2C" w14:textId="77777777" w:rsidR="00730DE4" w:rsidRPr="00730DE4" w:rsidRDefault="00730DE4" w:rsidP="00662028">
            <w:pPr>
              <w:pStyle w:val="NoSpacingIndent"/>
            </w:pPr>
            <w:r w:rsidRPr="00730DE4">
              <w:t xml:space="preserve">Unearned revenue – service concession arrangements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51433AA"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30EC6F7"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8F3D323"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CF7C4A6"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83FF376"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86BE9EF" w14:textId="77777777" w:rsidR="00730DE4" w:rsidRPr="00730DE4" w:rsidRDefault="00730DE4" w:rsidP="00DE72D1">
            <w:pPr>
              <w:pStyle w:val="NoSpacing"/>
              <w:jc w:val="right"/>
              <w:rPr>
                <w:rStyle w:val="Strong"/>
              </w:rPr>
            </w:pPr>
            <w:r w:rsidRPr="00730DE4">
              <w:rPr>
                <w:rStyle w:val="Strong"/>
              </w:rPr>
              <w:t xml:space="preserve">232,180 </w:t>
            </w:r>
          </w:p>
        </w:tc>
      </w:tr>
      <w:tr w:rsidR="00730DE4" w:rsidRPr="00730DE4" w14:paraId="06EB4C57" w14:textId="77777777" w:rsidTr="007F423A">
        <w:trPr>
          <w:trHeight w:val="20"/>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702308B7" w14:textId="77777777" w:rsidR="00730DE4" w:rsidRPr="00730DE4" w:rsidRDefault="00730DE4" w:rsidP="00662028">
            <w:pPr>
              <w:pStyle w:val="NoSpacingIndent"/>
            </w:pPr>
            <w:r w:rsidRPr="00730DE4">
              <w:t>Lease liabilities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B12591B" w14:textId="77777777" w:rsidR="00730DE4" w:rsidRPr="00730DE4" w:rsidRDefault="00730DE4" w:rsidP="00DE72D1">
            <w:pPr>
              <w:pStyle w:val="NoSpacing"/>
              <w:jc w:val="right"/>
            </w:pPr>
            <w:r w:rsidRPr="00730DE4">
              <w:t xml:space="preserve">17,142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9F127C4" w14:textId="77777777" w:rsidR="00730DE4" w:rsidRPr="00730DE4" w:rsidRDefault="00730DE4" w:rsidP="00DE72D1">
            <w:pPr>
              <w:pStyle w:val="NoSpacing"/>
              <w:jc w:val="right"/>
            </w:pPr>
            <w:r w:rsidRPr="00730DE4">
              <w:t xml:space="preserve">7,714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38F6492"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F11EAC2"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D681DBE"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4E49F93C" w14:textId="77777777" w:rsidR="00730DE4" w:rsidRPr="00730DE4" w:rsidRDefault="00730DE4" w:rsidP="00DE72D1">
            <w:pPr>
              <w:pStyle w:val="NoSpacing"/>
              <w:jc w:val="right"/>
              <w:rPr>
                <w:rStyle w:val="Strong"/>
              </w:rPr>
            </w:pPr>
            <w:r w:rsidRPr="00730DE4">
              <w:rPr>
                <w:rStyle w:val="Strong"/>
              </w:rPr>
              <w:t xml:space="preserve">24,962 </w:t>
            </w:r>
          </w:p>
        </w:tc>
      </w:tr>
      <w:tr w:rsidR="00730DE4" w:rsidRPr="00730DE4" w14:paraId="50E6E7BE" w14:textId="77777777" w:rsidTr="007F423A">
        <w:trPr>
          <w:trHeight w:val="20"/>
        </w:trPr>
        <w:tc>
          <w:tcPr>
            <w:tcW w:w="1352"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vAlign w:val="bottom"/>
          </w:tcPr>
          <w:p w14:paraId="0BDC5B68" w14:textId="77777777" w:rsidR="00730DE4" w:rsidRPr="00730DE4" w:rsidRDefault="00730DE4" w:rsidP="00662028">
            <w:pPr>
              <w:pStyle w:val="NoSpacingIndent"/>
            </w:pPr>
            <w:r w:rsidRPr="00730DE4">
              <w:t xml:space="preserve">Other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1FAB684B" w14:textId="77777777" w:rsidR="00730DE4" w:rsidRPr="00730DE4" w:rsidRDefault="00730DE4" w:rsidP="00DE72D1">
            <w:pPr>
              <w:pStyle w:val="NoSpacing"/>
              <w:jc w:val="right"/>
            </w:pPr>
            <w:r w:rsidRPr="00730DE4">
              <w:t xml:space="preserve">497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0DCCD1FA" w14:textId="77777777" w:rsidR="00730DE4" w:rsidRPr="00730DE4" w:rsidRDefault="00730DE4" w:rsidP="00DE72D1">
            <w:pPr>
              <w:pStyle w:val="NoSpacing"/>
              <w:jc w:val="right"/>
            </w:pPr>
            <w:r w:rsidRPr="00730DE4">
              <w:t xml:space="preserve">1,204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05A0174D" w14:textId="77777777" w:rsidR="00730DE4" w:rsidRPr="00730DE4" w:rsidRDefault="00730DE4" w:rsidP="00DE72D1">
            <w:pPr>
              <w:pStyle w:val="NoSpacing"/>
              <w:jc w:val="right"/>
            </w:pPr>
            <w:r w:rsidRPr="00730DE4">
              <w:t xml:space="preserve">3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69AA9047" w14:textId="77777777" w:rsidR="00730DE4" w:rsidRPr="00730DE4" w:rsidRDefault="00730DE4" w:rsidP="00DE72D1">
            <w:pPr>
              <w:pStyle w:val="NoSpacing"/>
              <w:jc w:val="right"/>
            </w:pPr>
            <w:r w:rsidRPr="00730DE4">
              <w:t xml:space="preserve">303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4F6DF38C"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48251016" w14:textId="77777777" w:rsidR="00730DE4" w:rsidRPr="00730DE4" w:rsidRDefault="00730DE4" w:rsidP="00DE72D1">
            <w:pPr>
              <w:pStyle w:val="NoSpacing"/>
              <w:jc w:val="right"/>
              <w:rPr>
                <w:rStyle w:val="Strong"/>
              </w:rPr>
            </w:pPr>
            <w:r w:rsidRPr="00730DE4">
              <w:rPr>
                <w:rStyle w:val="Strong"/>
              </w:rPr>
              <w:t xml:space="preserve">241,599 </w:t>
            </w:r>
          </w:p>
        </w:tc>
      </w:tr>
      <w:tr w:rsidR="00730DE4" w:rsidRPr="00730DE4" w14:paraId="0C8B5565" w14:textId="77777777" w:rsidTr="007F423A">
        <w:trPr>
          <w:trHeight w:val="340"/>
        </w:trPr>
        <w:tc>
          <w:tcPr>
            <w:tcW w:w="1352"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tcPr>
          <w:p w14:paraId="4555565D" w14:textId="77777777" w:rsidR="00730DE4" w:rsidRPr="00730DE4" w:rsidRDefault="00730DE4" w:rsidP="00B3301D">
            <w:pPr>
              <w:pStyle w:val="NoSpacingIndent"/>
              <w:rPr>
                <w:rStyle w:val="Strong"/>
              </w:rPr>
            </w:pPr>
            <w:r w:rsidRPr="00730DE4">
              <w:rPr>
                <w:rStyle w:val="Strong"/>
              </w:rPr>
              <w:t>Total current liabilities</w:t>
            </w: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hideMark/>
          </w:tcPr>
          <w:p w14:paraId="75DF0EAA" w14:textId="77777777" w:rsidR="00730DE4" w:rsidRPr="00730DE4" w:rsidRDefault="00730DE4" w:rsidP="00B3301D">
            <w:pPr>
              <w:pStyle w:val="NoSpacing"/>
              <w:jc w:val="right"/>
              <w:rPr>
                <w:b/>
                <w:bCs/>
              </w:rPr>
            </w:pPr>
            <w:r w:rsidRPr="00730DE4">
              <w:rPr>
                <w:rStyle w:val="Strong"/>
              </w:rPr>
              <w:t xml:space="preserve">48,336 </w:t>
            </w: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hideMark/>
          </w:tcPr>
          <w:p w14:paraId="09428AA5" w14:textId="77777777" w:rsidR="00730DE4" w:rsidRPr="00730DE4" w:rsidRDefault="00730DE4" w:rsidP="00B3301D">
            <w:pPr>
              <w:pStyle w:val="NoSpacing"/>
              <w:jc w:val="right"/>
              <w:rPr>
                <w:b/>
                <w:bCs/>
              </w:rPr>
            </w:pPr>
            <w:r w:rsidRPr="00730DE4">
              <w:rPr>
                <w:rStyle w:val="Strong"/>
              </w:rPr>
              <w:t xml:space="preserve">19,002 </w:t>
            </w: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hideMark/>
          </w:tcPr>
          <w:p w14:paraId="58CD8B38" w14:textId="77777777" w:rsidR="00730DE4" w:rsidRPr="00730DE4" w:rsidRDefault="00730DE4" w:rsidP="00B3301D">
            <w:pPr>
              <w:pStyle w:val="NoSpacing"/>
              <w:jc w:val="right"/>
              <w:rPr>
                <w:b/>
                <w:bCs/>
              </w:rPr>
            </w:pPr>
            <w:r w:rsidRPr="00730DE4">
              <w:rPr>
                <w:rStyle w:val="Strong"/>
              </w:rPr>
              <w:t xml:space="preserve">4,490 </w:t>
            </w: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hideMark/>
          </w:tcPr>
          <w:p w14:paraId="6062D4C9" w14:textId="77777777" w:rsidR="00730DE4" w:rsidRPr="00730DE4" w:rsidRDefault="00730DE4" w:rsidP="00B3301D">
            <w:pPr>
              <w:pStyle w:val="NoSpacing"/>
              <w:jc w:val="right"/>
              <w:rPr>
                <w:b/>
                <w:bCs/>
              </w:rPr>
            </w:pPr>
            <w:r w:rsidRPr="00730DE4">
              <w:rPr>
                <w:rStyle w:val="Strong"/>
              </w:rPr>
              <w:t xml:space="preserve">740 </w:t>
            </w:r>
          </w:p>
        </w:tc>
        <w:tc>
          <w:tcPr>
            <w:tcW w:w="60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hideMark/>
          </w:tcPr>
          <w:p w14:paraId="4A89FD02" w14:textId="77777777" w:rsidR="00730DE4" w:rsidRPr="00730DE4" w:rsidRDefault="00730DE4" w:rsidP="00B3301D">
            <w:pPr>
              <w:pStyle w:val="NoSpacing"/>
              <w:jc w:val="right"/>
              <w:rPr>
                <w:b/>
                <w:bCs/>
              </w:rPr>
            </w:pPr>
            <w:r w:rsidRPr="00730DE4">
              <w:rPr>
                <w:rStyle w:val="Strong"/>
              </w:rPr>
              <w:t>(128,803)</w:t>
            </w:r>
          </w:p>
        </w:tc>
        <w:tc>
          <w:tcPr>
            <w:tcW w:w="608"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hideMark/>
          </w:tcPr>
          <w:p w14:paraId="2ABC1556" w14:textId="77777777" w:rsidR="00730DE4" w:rsidRPr="00730DE4" w:rsidRDefault="00730DE4" w:rsidP="00B3301D">
            <w:pPr>
              <w:pStyle w:val="NoSpacing"/>
              <w:jc w:val="right"/>
              <w:rPr>
                <w:rStyle w:val="Strong"/>
              </w:rPr>
            </w:pPr>
            <w:r w:rsidRPr="00730DE4">
              <w:rPr>
                <w:rStyle w:val="Strong"/>
              </w:rPr>
              <w:t xml:space="preserve">1,843,601 </w:t>
            </w:r>
          </w:p>
        </w:tc>
      </w:tr>
      <w:tr w:rsidR="00730DE4" w:rsidRPr="00730DE4" w14:paraId="2293D75D" w14:textId="77777777" w:rsidTr="007F423A">
        <w:trPr>
          <w:trHeight w:val="340"/>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5857AC4D" w14:textId="77777777" w:rsidR="00730DE4" w:rsidRPr="00730DE4" w:rsidRDefault="00730DE4" w:rsidP="00DE72D1">
            <w:pPr>
              <w:pStyle w:val="NoSpacing"/>
              <w:rPr>
                <w:rStyle w:val="Strong"/>
              </w:rPr>
            </w:pPr>
            <w:r w:rsidRPr="00730DE4">
              <w:rPr>
                <w:rStyle w:val="Strong"/>
              </w:rPr>
              <w:t>Non-current liabilities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3679F10C" w14:textId="77777777" w:rsidR="00730DE4" w:rsidRPr="00730DE4" w:rsidRDefault="00730DE4" w:rsidP="00DE72D1">
            <w:pPr>
              <w:pStyle w:val="NoSpacing"/>
              <w:jc w:val="right"/>
              <w:rPr>
                <w:rStyle w:val="Strong"/>
              </w:rPr>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7F21227C" w14:textId="77777777" w:rsidR="00730DE4" w:rsidRPr="00730DE4" w:rsidRDefault="00730DE4" w:rsidP="00DE72D1">
            <w:pPr>
              <w:pStyle w:val="NoSpacing"/>
              <w:jc w:val="right"/>
              <w:rPr>
                <w:rStyle w:val="Strong"/>
              </w:rPr>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3534FA0A" w14:textId="77777777" w:rsidR="00730DE4" w:rsidRPr="00730DE4" w:rsidRDefault="00730DE4" w:rsidP="00DE72D1">
            <w:pPr>
              <w:pStyle w:val="NoSpacing"/>
              <w:jc w:val="right"/>
              <w:rPr>
                <w:rStyle w:val="Strong"/>
              </w:rPr>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4C692960" w14:textId="77777777" w:rsidR="00730DE4" w:rsidRPr="00730DE4" w:rsidRDefault="00730DE4" w:rsidP="00DE72D1">
            <w:pPr>
              <w:pStyle w:val="NoSpacing"/>
              <w:jc w:val="right"/>
              <w:rPr>
                <w:rStyle w:val="Strong"/>
              </w:rPr>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7965163F" w14:textId="77777777" w:rsidR="00730DE4" w:rsidRPr="00730DE4" w:rsidRDefault="00730DE4" w:rsidP="00DE72D1">
            <w:pPr>
              <w:pStyle w:val="NoSpacing"/>
              <w:jc w:val="right"/>
              <w:rPr>
                <w:rStyle w:val="Strong"/>
              </w:rPr>
            </w:pP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tcPr>
          <w:p w14:paraId="36136EF1" w14:textId="77777777" w:rsidR="00730DE4" w:rsidRPr="00730DE4" w:rsidRDefault="00730DE4" w:rsidP="00DE72D1">
            <w:pPr>
              <w:pStyle w:val="NoSpacing"/>
              <w:jc w:val="right"/>
              <w:rPr>
                <w:rStyle w:val="Strong"/>
              </w:rPr>
            </w:pPr>
          </w:p>
        </w:tc>
      </w:tr>
      <w:tr w:rsidR="00730DE4" w:rsidRPr="00730DE4" w14:paraId="282CC3DE" w14:textId="77777777" w:rsidTr="007F423A">
        <w:trPr>
          <w:trHeight w:val="20"/>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1CB9CD06" w14:textId="77777777" w:rsidR="00730DE4" w:rsidRPr="00730DE4" w:rsidRDefault="00730DE4" w:rsidP="00662028">
            <w:pPr>
              <w:pStyle w:val="NoSpacingIndent"/>
            </w:pPr>
            <w:r w:rsidRPr="00730DE4">
              <w:t>Borrowings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EFB2889"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44EE2F1"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16502DC"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B2B5417"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845C99A" w14:textId="77777777" w:rsidR="00730DE4" w:rsidRPr="00730DE4" w:rsidRDefault="00730DE4" w:rsidP="00DE72D1">
            <w:pPr>
              <w:pStyle w:val="NoSpacing"/>
              <w:jc w:val="right"/>
            </w:pPr>
            <w:r w:rsidRPr="00730DE4">
              <w:t>(19,000)</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853F6B8" w14:textId="77777777" w:rsidR="00730DE4" w:rsidRPr="00730DE4" w:rsidRDefault="00730DE4" w:rsidP="00DE72D1">
            <w:pPr>
              <w:pStyle w:val="NoSpacing"/>
              <w:jc w:val="right"/>
              <w:rPr>
                <w:rStyle w:val="Strong"/>
              </w:rPr>
            </w:pPr>
            <w:r w:rsidRPr="00730DE4">
              <w:rPr>
                <w:rStyle w:val="Strong"/>
              </w:rPr>
              <w:t xml:space="preserve">1,137,243 </w:t>
            </w:r>
          </w:p>
        </w:tc>
      </w:tr>
      <w:tr w:rsidR="00730DE4" w:rsidRPr="00730DE4" w14:paraId="7C0B34F4" w14:textId="77777777" w:rsidTr="007F423A">
        <w:trPr>
          <w:trHeight w:val="20"/>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5862D903" w14:textId="77777777" w:rsidR="00730DE4" w:rsidRPr="00730DE4" w:rsidRDefault="00730DE4" w:rsidP="00662028">
            <w:pPr>
              <w:pStyle w:val="NoSpacingIndent"/>
            </w:pPr>
            <w:r w:rsidRPr="00730DE4">
              <w:t>Provisions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32C3F39"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3826691"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CA5A1FE"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9445487"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D6BB547"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81656C3" w14:textId="77777777" w:rsidR="00730DE4" w:rsidRPr="00730DE4" w:rsidRDefault="00730DE4" w:rsidP="00DE72D1">
            <w:pPr>
              <w:pStyle w:val="NoSpacing"/>
              <w:jc w:val="right"/>
              <w:rPr>
                <w:rStyle w:val="Strong"/>
              </w:rPr>
            </w:pPr>
            <w:r w:rsidRPr="00730DE4">
              <w:rPr>
                <w:rStyle w:val="Strong"/>
              </w:rPr>
              <w:t xml:space="preserve">196,130 </w:t>
            </w:r>
          </w:p>
        </w:tc>
      </w:tr>
      <w:tr w:rsidR="00730DE4" w:rsidRPr="00730DE4" w14:paraId="68C180DC" w14:textId="77777777" w:rsidTr="007F423A">
        <w:trPr>
          <w:trHeight w:val="20"/>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54FB64BB" w14:textId="77777777" w:rsidR="00730DE4" w:rsidRPr="00730DE4" w:rsidRDefault="00730DE4" w:rsidP="00662028">
            <w:pPr>
              <w:pStyle w:val="NoSpacingIndent"/>
            </w:pPr>
            <w:r w:rsidRPr="00730DE4">
              <w:t xml:space="preserve">Unearned revenue – service concession arrangements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B544FF2"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C8BD3F9"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B4FE83A"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38CBAC8"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8E66FF6"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B61FA06" w14:textId="77777777" w:rsidR="00730DE4" w:rsidRPr="00730DE4" w:rsidRDefault="00730DE4" w:rsidP="00DE72D1">
            <w:pPr>
              <w:pStyle w:val="NoSpacing"/>
              <w:jc w:val="right"/>
              <w:rPr>
                <w:rStyle w:val="Strong"/>
              </w:rPr>
            </w:pPr>
            <w:r w:rsidRPr="00730DE4">
              <w:rPr>
                <w:rStyle w:val="Strong"/>
              </w:rPr>
              <w:t xml:space="preserve">6,923,134 </w:t>
            </w:r>
          </w:p>
        </w:tc>
      </w:tr>
      <w:tr w:rsidR="00730DE4" w:rsidRPr="00730DE4" w14:paraId="369F41F1" w14:textId="77777777" w:rsidTr="007F423A">
        <w:trPr>
          <w:trHeight w:val="20"/>
        </w:trPr>
        <w:tc>
          <w:tcPr>
            <w:tcW w:w="135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6279591A" w14:textId="77777777" w:rsidR="00730DE4" w:rsidRPr="00730DE4" w:rsidRDefault="00730DE4" w:rsidP="00662028">
            <w:pPr>
              <w:pStyle w:val="NoSpacingIndent"/>
            </w:pPr>
            <w:r w:rsidRPr="00730DE4">
              <w:t>Lease liabilities</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45C2AD6" w14:textId="77777777" w:rsidR="00730DE4" w:rsidRPr="00730DE4" w:rsidRDefault="00730DE4" w:rsidP="00DE72D1">
            <w:pPr>
              <w:pStyle w:val="NoSpacing"/>
              <w:jc w:val="right"/>
            </w:pPr>
            <w:r w:rsidRPr="00730DE4">
              <w:t xml:space="preserve">79,110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EE43F44" w14:textId="77777777" w:rsidR="00730DE4" w:rsidRPr="00730DE4" w:rsidRDefault="00730DE4" w:rsidP="00DE72D1">
            <w:pPr>
              <w:pStyle w:val="NoSpacing"/>
              <w:jc w:val="right"/>
            </w:pPr>
            <w:r w:rsidRPr="00730DE4">
              <w:t xml:space="preserve">3,249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55BE047"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0B7F60F"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C67775C"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85B036D" w14:textId="77777777" w:rsidR="00730DE4" w:rsidRPr="00730DE4" w:rsidRDefault="00730DE4" w:rsidP="00DE72D1">
            <w:pPr>
              <w:pStyle w:val="NoSpacing"/>
              <w:jc w:val="right"/>
              <w:rPr>
                <w:rStyle w:val="Strong"/>
              </w:rPr>
            </w:pPr>
            <w:r w:rsidRPr="00730DE4">
              <w:rPr>
                <w:rStyle w:val="Strong"/>
              </w:rPr>
              <w:t xml:space="preserve">85,780 </w:t>
            </w:r>
          </w:p>
        </w:tc>
      </w:tr>
      <w:tr w:rsidR="00730DE4" w:rsidRPr="00730DE4" w14:paraId="02CEB4FF" w14:textId="77777777" w:rsidTr="007F423A">
        <w:trPr>
          <w:trHeight w:val="20"/>
        </w:trPr>
        <w:tc>
          <w:tcPr>
            <w:tcW w:w="1352"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vAlign w:val="bottom"/>
          </w:tcPr>
          <w:p w14:paraId="16B1901F" w14:textId="77777777" w:rsidR="00730DE4" w:rsidRPr="00730DE4" w:rsidRDefault="00730DE4" w:rsidP="00662028">
            <w:pPr>
              <w:pStyle w:val="NoSpacingIndent"/>
            </w:pPr>
            <w:r w:rsidRPr="00730DE4">
              <w:t>Other</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34F2B95F"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5EBE4F9F" w14:textId="77777777" w:rsidR="00730DE4" w:rsidRPr="00730DE4" w:rsidRDefault="00730DE4" w:rsidP="00DE72D1">
            <w:pPr>
              <w:pStyle w:val="NoSpacing"/>
              <w:jc w:val="right"/>
            </w:pPr>
            <w:r w:rsidRPr="00730DE4">
              <w:t xml:space="preserve">108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460165FF"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3EB2BC4E"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69EEDFEA" w14:textId="77777777" w:rsidR="00730DE4" w:rsidRPr="00730DE4" w:rsidRDefault="00730DE4" w:rsidP="00DE72D1">
            <w:pPr>
              <w:pStyle w:val="NoSpacing"/>
              <w:jc w:val="right"/>
            </w:pPr>
            <w:r w:rsidRPr="00730DE4">
              <w:t xml:space="preserve">- </w:t>
            </w:r>
          </w:p>
        </w:tc>
        <w:tc>
          <w:tcPr>
            <w:tcW w:w="608"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0C10FD36" w14:textId="77777777" w:rsidR="00730DE4" w:rsidRPr="00730DE4" w:rsidRDefault="00730DE4" w:rsidP="00DE72D1">
            <w:pPr>
              <w:pStyle w:val="NoSpacing"/>
              <w:jc w:val="right"/>
              <w:rPr>
                <w:rStyle w:val="Strong"/>
              </w:rPr>
            </w:pPr>
            <w:r w:rsidRPr="00730DE4">
              <w:rPr>
                <w:rStyle w:val="Strong"/>
              </w:rPr>
              <w:t xml:space="preserve">108 </w:t>
            </w:r>
          </w:p>
        </w:tc>
      </w:tr>
      <w:tr w:rsidR="00730DE4" w:rsidRPr="00730DE4" w14:paraId="1553495F" w14:textId="77777777" w:rsidTr="007F423A">
        <w:trPr>
          <w:trHeight w:val="340"/>
        </w:trPr>
        <w:tc>
          <w:tcPr>
            <w:tcW w:w="1352" w:type="pct"/>
            <w:tcBorders>
              <w:top w:val="single" w:sz="4" w:space="0" w:color="auto"/>
              <w:left w:val="nil"/>
              <w:right w:val="dotted" w:sz="4" w:space="0" w:color="BFBFBF" w:themeColor="background1" w:themeShade="BF"/>
            </w:tcBorders>
            <w:shd w:val="clear" w:color="auto" w:fill="auto"/>
          </w:tcPr>
          <w:p w14:paraId="4F024CD7" w14:textId="77777777" w:rsidR="00730DE4" w:rsidRPr="00730DE4" w:rsidRDefault="00730DE4" w:rsidP="00B3301D">
            <w:pPr>
              <w:pStyle w:val="NoSpacingIndent"/>
              <w:rPr>
                <w:rStyle w:val="Strong"/>
              </w:rPr>
            </w:pPr>
            <w:r w:rsidRPr="00730DE4">
              <w:rPr>
                <w:rStyle w:val="Strong"/>
              </w:rPr>
              <w:t>Total non-current liabilities</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264AA269" w14:textId="77777777" w:rsidR="00730DE4" w:rsidRPr="00730DE4" w:rsidRDefault="00730DE4" w:rsidP="00B3301D">
            <w:pPr>
              <w:pStyle w:val="NoSpacing"/>
              <w:jc w:val="right"/>
              <w:rPr>
                <w:b/>
                <w:bCs/>
              </w:rPr>
            </w:pPr>
            <w:r w:rsidRPr="00730DE4">
              <w:rPr>
                <w:rStyle w:val="Strong"/>
              </w:rPr>
              <w:t xml:space="preserve">79,110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18455982" w14:textId="77777777" w:rsidR="00730DE4" w:rsidRPr="00730DE4" w:rsidRDefault="00730DE4" w:rsidP="00B3301D">
            <w:pPr>
              <w:pStyle w:val="NoSpacing"/>
              <w:jc w:val="right"/>
              <w:rPr>
                <w:b/>
                <w:bCs/>
              </w:rPr>
            </w:pPr>
            <w:r w:rsidRPr="00730DE4">
              <w:rPr>
                <w:rStyle w:val="Strong"/>
              </w:rPr>
              <w:t xml:space="preserve">3,357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37878F04" w14:textId="77777777" w:rsidR="00730DE4" w:rsidRPr="00730DE4" w:rsidRDefault="00730DE4" w:rsidP="00B3301D">
            <w:pPr>
              <w:pStyle w:val="NoSpacing"/>
              <w:jc w:val="right"/>
              <w:rPr>
                <w:b/>
                <w:bCs/>
              </w:rPr>
            </w:pPr>
            <w:r w:rsidRPr="00730DE4">
              <w:rPr>
                <w:rStyle w:val="Strong"/>
              </w:rPr>
              <w:t xml:space="preserve">-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66866E88" w14:textId="77777777" w:rsidR="00730DE4" w:rsidRPr="00730DE4" w:rsidRDefault="00730DE4" w:rsidP="00B3301D">
            <w:pPr>
              <w:pStyle w:val="NoSpacing"/>
              <w:jc w:val="right"/>
              <w:rPr>
                <w:b/>
                <w:bCs/>
              </w:rPr>
            </w:pPr>
            <w:r w:rsidRPr="00730DE4">
              <w:rPr>
                <w:rStyle w:val="Strong"/>
              </w:rPr>
              <w:t xml:space="preserve">- </w:t>
            </w:r>
          </w:p>
        </w:tc>
        <w:tc>
          <w:tcPr>
            <w:tcW w:w="608"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4E4B4EB1" w14:textId="77777777" w:rsidR="00730DE4" w:rsidRPr="00730DE4" w:rsidRDefault="00730DE4" w:rsidP="00B3301D">
            <w:pPr>
              <w:pStyle w:val="NoSpacing"/>
              <w:jc w:val="right"/>
              <w:rPr>
                <w:b/>
                <w:bCs/>
              </w:rPr>
            </w:pPr>
            <w:r w:rsidRPr="00730DE4">
              <w:rPr>
                <w:rStyle w:val="Strong"/>
              </w:rPr>
              <w:t>(19,000)</w:t>
            </w:r>
          </w:p>
        </w:tc>
        <w:tc>
          <w:tcPr>
            <w:tcW w:w="608" w:type="pct"/>
            <w:tcBorders>
              <w:top w:val="single" w:sz="4" w:space="0" w:color="auto"/>
              <w:left w:val="dotted" w:sz="4" w:space="0" w:color="BFBFBF" w:themeColor="background1" w:themeShade="BF"/>
              <w:right w:val="nil"/>
            </w:tcBorders>
            <w:shd w:val="clear" w:color="auto" w:fill="auto"/>
            <w:noWrap/>
            <w:hideMark/>
          </w:tcPr>
          <w:p w14:paraId="3A16BCBC" w14:textId="77777777" w:rsidR="00730DE4" w:rsidRPr="00730DE4" w:rsidRDefault="00730DE4" w:rsidP="00B3301D">
            <w:pPr>
              <w:pStyle w:val="NoSpacing"/>
              <w:jc w:val="right"/>
              <w:rPr>
                <w:rStyle w:val="Strong"/>
              </w:rPr>
            </w:pPr>
            <w:r w:rsidRPr="00730DE4">
              <w:rPr>
                <w:rStyle w:val="Strong"/>
              </w:rPr>
              <w:t xml:space="preserve">8,342,395 </w:t>
            </w:r>
          </w:p>
        </w:tc>
      </w:tr>
      <w:tr w:rsidR="00730DE4" w:rsidRPr="00730DE4" w14:paraId="4D74EE17" w14:textId="77777777" w:rsidTr="007F423A">
        <w:trPr>
          <w:trHeight w:val="340"/>
        </w:trPr>
        <w:tc>
          <w:tcPr>
            <w:tcW w:w="1352" w:type="pct"/>
            <w:tcBorders>
              <w:left w:val="nil"/>
              <w:bottom w:val="double" w:sz="4" w:space="0" w:color="auto"/>
              <w:right w:val="dotted" w:sz="4" w:space="0" w:color="BFBFBF" w:themeColor="background1" w:themeShade="BF"/>
            </w:tcBorders>
            <w:shd w:val="clear" w:color="auto" w:fill="auto"/>
            <w:vAlign w:val="bottom"/>
          </w:tcPr>
          <w:p w14:paraId="37328985" w14:textId="77777777" w:rsidR="00730DE4" w:rsidRPr="00730DE4" w:rsidRDefault="00730DE4" w:rsidP="007F423A">
            <w:pPr>
              <w:pStyle w:val="NoSpacing"/>
              <w:rPr>
                <w:rStyle w:val="Strong"/>
              </w:rPr>
            </w:pPr>
            <w:r w:rsidRPr="00730DE4">
              <w:rPr>
                <w:rStyle w:val="Strong"/>
              </w:rPr>
              <w:t>Total liabilities</w:t>
            </w:r>
          </w:p>
        </w:tc>
        <w:tc>
          <w:tcPr>
            <w:tcW w:w="608" w:type="pct"/>
            <w:tcBorders>
              <w:left w:val="dotted" w:sz="4" w:space="0" w:color="BFBFBF" w:themeColor="background1" w:themeShade="BF"/>
              <w:bottom w:val="double" w:sz="4" w:space="0" w:color="auto"/>
              <w:right w:val="dotted" w:sz="4" w:space="0" w:color="BFBFBF" w:themeColor="background1" w:themeShade="BF"/>
            </w:tcBorders>
            <w:shd w:val="clear" w:color="auto" w:fill="auto"/>
            <w:noWrap/>
            <w:vAlign w:val="bottom"/>
          </w:tcPr>
          <w:p w14:paraId="28D27C26" w14:textId="77777777" w:rsidR="00730DE4" w:rsidRPr="00730DE4" w:rsidRDefault="00730DE4" w:rsidP="007F423A">
            <w:pPr>
              <w:pStyle w:val="NoSpacing"/>
              <w:jc w:val="right"/>
              <w:rPr>
                <w:rStyle w:val="Strong"/>
              </w:rPr>
            </w:pPr>
            <w:r w:rsidRPr="00730DE4">
              <w:rPr>
                <w:rStyle w:val="Strong"/>
              </w:rPr>
              <w:t xml:space="preserve">127,446 </w:t>
            </w:r>
          </w:p>
        </w:tc>
        <w:tc>
          <w:tcPr>
            <w:tcW w:w="608" w:type="pct"/>
            <w:tcBorders>
              <w:left w:val="dotted" w:sz="4" w:space="0" w:color="BFBFBF" w:themeColor="background1" w:themeShade="BF"/>
              <w:bottom w:val="double" w:sz="4" w:space="0" w:color="auto"/>
              <w:right w:val="dotted" w:sz="4" w:space="0" w:color="BFBFBF" w:themeColor="background1" w:themeShade="BF"/>
            </w:tcBorders>
            <w:shd w:val="clear" w:color="auto" w:fill="auto"/>
            <w:noWrap/>
            <w:vAlign w:val="bottom"/>
          </w:tcPr>
          <w:p w14:paraId="2DF18690" w14:textId="77777777" w:rsidR="00730DE4" w:rsidRPr="00730DE4" w:rsidRDefault="00730DE4" w:rsidP="007F423A">
            <w:pPr>
              <w:pStyle w:val="NoSpacing"/>
              <w:jc w:val="right"/>
              <w:rPr>
                <w:rStyle w:val="Strong"/>
              </w:rPr>
            </w:pPr>
            <w:r w:rsidRPr="00730DE4">
              <w:rPr>
                <w:rStyle w:val="Strong"/>
              </w:rPr>
              <w:t xml:space="preserve">22,359 </w:t>
            </w:r>
          </w:p>
        </w:tc>
        <w:tc>
          <w:tcPr>
            <w:tcW w:w="608" w:type="pct"/>
            <w:tcBorders>
              <w:left w:val="dotted" w:sz="4" w:space="0" w:color="BFBFBF" w:themeColor="background1" w:themeShade="BF"/>
              <w:bottom w:val="double" w:sz="4" w:space="0" w:color="auto"/>
              <w:right w:val="dotted" w:sz="4" w:space="0" w:color="BFBFBF" w:themeColor="background1" w:themeShade="BF"/>
            </w:tcBorders>
            <w:shd w:val="clear" w:color="auto" w:fill="auto"/>
            <w:noWrap/>
            <w:vAlign w:val="bottom"/>
          </w:tcPr>
          <w:p w14:paraId="25C4041A" w14:textId="77777777" w:rsidR="00730DE4" w:rsidRPr="00730DE4" w:rsidRDefault="00730DE4" w:rsidP="007F423A">
            <w:pPr>
              <w:pStyle w:val="NoSpacing"/>
              <w:jc w:val="right"/>
              <w:rPr>
                <w:rStyle w:val="Strong"/>
              </w:rPr>
            </w:pPr>
            <w:r w:rsidRPr="00730DE4">
              <w:rPr>
                <w:rStyle w:val="Strong"/>
              </w:rPr>
              <w:t xml:space="preserve">4,490 </w:t>
            </w:r>
          </w:p>
        </w:tc>
        <w:tc>
          <w:tcPr>
            <w:tcW w:w="608" w:type="pct"/>
            <w:tcBorders>
              <w:left w:val="dotted" w:sz="4" w:space="0" w:color="BFBFBF" w:themeColor="background1" w:themeShade="BF"/>
              <w:bottom w:val="double" w:sz="4" w:space="0" w:color="auto"/>
              <w:right w:val="dotted" w:sz="4" w:space="0" w:color="BFBFBF" w:themeColor="background1" w:themeShade="BF"/>
            </w:tcBorders>
            <w:shd w:val="clear" w:color="auto" w:fill="auto"/>
            <w:noWrap/>
            <w:vAlign w:val="bottom"/>
          </w:tcPr>
          <w:p w14:paraId="6BDE1F5A" w14:textId="77777777" w:rsidR="00730DE4" w:rsidRPr="00730DE4" w:rsidRDefault="00730DE4" w:rsidP="007F423A">
            <w:pPr>
              <w:pStyle w:val="NoSpacing"/>
              <w:jc w:val="right"/>
              <w:rPr>
                <w:rStyle w:val="Strong"/>
              </w:rPr>
            </w:pPr>
            <w:r w:rsidRPr="00730DE4">
              <w:rPr>
                <w:rStyle w:val="Strong"/>
              </w:rPr>
              <w:t xml:space="preserve">740 </w:t>
            </w:r>
          </w:p>
        </w:tc>
        <w:tc>
          <w:tcPr>
            <w:tcW w:w="608" w:type="pct"/>
            <w:tcBorders>
              <w:left w:val="dotted" w:sz="4" w:space="0" w:color="BFBFBF" w:themeColor="background1" w:themeShade="BF"/>
              <w:bottom w:val="double" w:sz="4" w:space="0" w:color="auto"/>
              <w:right w:val="dotted" w:sz="4" w:space="0" w:color="BFBFBF" w:themeColor="background1" w:themeShade="BF"/>
            </w:tcBorders>
            <w:shd w:val="clear" w:color="auto" w:fill="auto"/>
            <w:noWrap/>
            <w:vAlign w:val="bottom"/>
          </w:tcPr>
          <w:p w14:paraId="4365AB98" w14:textId="77777777" w:rsidR="00730DE4" w:rsidRPr="00730DE4" w:rsidRDefault="00730DE4" w:rsidP="007F423A">
            <w:pPr>
              <w:pStyle w:val="NoSpacing"/>
              <w:jc w:val="right"/>
              <w:rPr>
                <w:rStyle w:val="Strong"/>
              </w:rPr>
            </w:pPr>
            <w:r w:rsidRPr="00730DE4">
              <w:rPr>
                <w:rStyle w:val="Strong"/>
              </w:rPr>
              <w:t>(147,803)</w:t>
            </w:r>
          </w:p>
        </w:tc>
        <w:tc>
          <w:tcPr>
            <w:tcW w:w="608" w:type="pct"/>
            <w:tcBorders>
              <w:left w:val="dotted" w:sz="4" w:space="0" w:color="BFBFBF" w:themeColor="background1" w:themeShade="BF"/>
              <w:bottom w:val="double" w:sz="4" w:space="0" w:color="auto"/>
              <w:right w:val="nil"/>
            </w:tcBorders>
            <w:shd w:val="clear" w:color="auto" w:fill="auto"/>
            <w:noWrap/>
            <w:vAlign w:val="bottom"/>
          </w:tcPr>
          <w:p w14:paraId="2E74AF46" w14:textId="77777777" w:rsidR="00730DE4" w:rsidRPr="00730DE4" w:rsidRDefault="00730DE4" w:rsidP="007F423A">
            <w:pPr>
              <w:pStyle w:val="NoSpacing"/>
              <w:jc w:val="right"/>
              <w:rPr>
                <w:rStyle w:val="Strong"/>
              </w:rPr>
            </w:pPr>
            <w:r w:rsidRPr="00730DE4">
              <w:rPr>
                <w:rStyle w:val="Strong"/>
              </w:rPr>
              <w:t xml:space="preserve">10,185,996 </w:t>
            </w:r>
          </w:p>
        </w:tc>
      </w:tr>
    </w:tbl>
    <w:p w14:paraId="19DEC425" w14:textId="77777777" w:rsidR="00730DE4" w:rsidRPr="00730DE4" w:rsidRDefault="00730DE4" w:rsidP="00721C10">
      <w:pPr>
        <w:sectPr w:rsidR="00730DE4" w:rsidRPr="00730DE4" w:rsidSect="00730DE4">
          <w:pgSz w:w="23811" w:h="16838" w:orient="landscape" w:code="8"/>
          <w:pgMar w:top="1134" w:right="1418" w:bottom="1134" w:left="1418" w:header="227" w:footer="227" w:gutter="0"/>
          <w:cols w:space="708"/>
          <w:docGrid w:linePitch="360"/>
        </w:sectPr>
      </w:pPr>
    </w:p>
    <w:p w14:paraId="1217867A" w14:textId="77777777" w:rsidR="00730DE4" w:rsidRPr="00730DE4" w:rsidRDefault="00730DE4" w:rsidP="006A14A6">
      <w:pPr>
        <w:pStyle w:val="Heading2"/>
      </w:pPr>
      <w:bookmarkStart w:id="1425" w:name="_Toc179365597"/>
      <w:bookmarkStart w:id="1426" w:name="_Toc180490902"/>
      <w:bookmarkStart w:id="1427" w:name="_Toc180491935"/>
      <w:r w:rsidRPr="00730DE4">
        <w:t>Statement of changes in equity</w:t>
      </w:r>
      <w:bookmarkEnd w:id="1425"/>
      <w:bookmarkEnd w:id="1426"/>
      <w:bookmarkEnd w:id="1427"/>
    </w:p>
    <w:p w14:paraId="2B8EB14A" w14:textId="77777777" w:rsidR="00730DE4" w:rsidRPr="00730DE4" w:rsidRDefault="00730DE4" w:rsidP="009D3417">
      <w:pPr>
        <w:pStyle w:val="NoSpacing"/>
        <w:rPr>
          <w:sz w:val="24"/>
          <w:szCs w:val="24"/>
        </w:rPr>
      </w:pPr>
      <w:r w:rsidRPr="00730DE4">
        <w:rPr>
          <w:sz w:val="24"/>
          <w:szCs w:val="24"/>
        </w:rPr>
        <w:t>For the year ended 30 June 2024</w:t>
      </w:r>
    </w:p>
    <w:tbl>
      <w:tblPr>
        <w:tblW w:w="5158" w:type="pct"/>
        <w:tblLayout w:type="fixed"/>
        <w:tblCellMar>
          <w:top w:w="23" w:type="dxa"/>
          <w:left w:w="23" w:type="dxa"/>
          <w:bottom w:w="23" w:type="dxa"/>
          <w:right w:w="23" w:type="dxa"/>
        </w:tblCellMar>
        <w:tblLook w:val="04A0" w:firstRow="1" w:lastRow="0" w:firstColumn="1" w:lastColumn="0" w:noHBand="0" w:noVBand="1"/>
      </w:tblPr>
      <w:tblGrid>
        <w:gridCol w:w="6096"/>
        <w:gridCol w:w="709"/>
        <w:gridCol w:w="1276"/>
        <w:gridCol w:w="1276"/>
      </w:tblGrid>
      <w:tr w:rsidR="00730DE4" w:rsidRPr="00730DE4" w14:paraId="71BB1995" w14:textId="77777777" w:rsidTr="00640FA4">
        <w:trPr>
          <w:trHeight w:val="240"/>
        </w:trPr>
        <w:tc>
          <w:tcPr>
            <w:tcW w:w="3257" w:type="pct"/>
            <w:tcBorders>
              <w:top w:val="nil"/>
              <w:left w:val="nil"/>
              <w:bottom w:val="single" w:sz="4" w:space="0" w:color="auto"/>
              <w:right w:val="nil"/>
            </w:tcBorders>
            <w:shd w:val="clear" w:color="auto" w:fill="auto"/>
            <w:noWrap/>
            <w:vAlign w:val="bottom"/>
          </w:tcPr>
          <w:p w14:paraId="1C343BDA" w14:textId="77777777" w:rsidR="00730DE4" w:rsidRPr="00730DE4" w:rsidRDefault="00730DE4" w:rsidP="00E71A69">
            <w:pPr>
              <w:pStyle w:val="NoSpacing"/>
              <w:rPr>
                <w:rStyle w:val="Strong"/>
              </w:rPr>
            </w:pPr>
          </w:p>
        </w:tc>
        <w:tc>
          <w:tcPr>
            <w:tcW w:w="379" w:type="pct"/>
            <w:tcBorders>
              <w:top w:val="nil"/>
              <w:left w:val="nil"/>
              <w:bottom w:val="single" w:sz="4" w:space="0" w:color="auto"/>
              <w:right w:val="nil"/>
            </w:tcBorders>
            <w:shd w:val="clear" w:color="auto" w:fill="auto"/>
            <w:noWrap/>
            <w:vAlign w:val="bottom"/>
          </w:tcPr>
          <w:p w14:paraId="1AE8D71D" w14:textId="77777777" w:rsidR="00730DE4" w:rsidRPr="00730DE4" w:rsidRDefault="00730DE4" w:rsidP="00E71A69">
            <w:pPr>
              <w:pStyle w:val="NoSpacing"/>
              <w:jc w:val="right"/>
              <w:rPr>
                <w:rStyle w:val="Strong"/>
              </w:rPr>
            </w:pPr>
            <w:r w:rsidRPr="00730DE4">
              <w:rPr>
                <w:rStyle w:val="Strong"/>
              </w:rPr>
              <w:t>Note</w:t>
            </w:r>
          </w:p>
        </w:tc>
        <w:tc>
          <w:tcPr>
            <w:tcW w:w="682" w:type="pct"/>
            <w:tcBorders>
              <w:top w:val="nil"/>
              <w:left w:val="nil"/>
              <w:bottom w:val="single" w:sz="4" w:space="0" w:color="auto"/>
              <w:right w:val="nil"/>
            </w:tcBorders>
            <w:shd w:val="clear" w:color="auto" w:fill="auto"/>
            <w:noWrap/>
            <w:vAlign w:val="bottom"/>
          </w:tcPr>
          <w:p w14:paraId="719140DC" w14:textId="77777777" w:rsidR="00730DE4" w:rsidRPr="00730DE4" w:rsidRDefault="00730DE4" w:rsidP="00E71A69">
            <w:pPr>
              <w:pStyle w:val="NoSpacing"/>
              <w:jc w:val="right"/>
            </w:pPr>
            <w:r w:rsidRPr="00730DE4">
              <w:rPr>
                <w:rStyle w:val="Strong"/>
              </w:rPr>
              <w:t xml:space="preserve">2024 </w:t>
            </w:r>
            <w:r w:rsidRPr="00730DE4">
              <w:rPr>
                <w:rStyle w:val="Strong"/>
              </w:rPr>
              <w:br/>
              <w:t>$'000</w:t>
            </w:r>
          </w:p>
        </w:tc>
        <w:tc>
          <w:tcPr>
            <w:tcW w:w="682" w:type="pct"/>
            <w:tcBorders>
              <w:top w:val="nil"/>
              <w:left w:val="nil"/>
              <w:bottom w:val="single" w:sz="4" w:space="0" w:color="auto"/>
              <w:right w:val="nil"/>
            </w:tcBorders>
            <w:shd w:val="clear" w:color="auto" w:fill="auto"/>
            <w:noWrap/>
            <w:vAlign w:val="bottom"/>
          </w:tcPr>
          <w:p w14:paraId="6C722324" w14:textId="77777777" w:rsidR="00730DE4" w:rsidRPr="00730DE4" w:rsidRDefault="00730DE4" w:rsidP="00E71A69">
            <w:pPr>
              <w:pStyle w:val="NoSpacing"/>
              <w:jc w:val="right"/>
            </w:pPr>
            <w:r w:rsidRPr="00730DE4">
              <w:rPr>
                <w:rStyle w:val="Strong"/>
              </w:rPr>
              <w:t xml:space="preserve">2023 </w:t>
            </w:r>
            <w:r w:rsidRPr="00730DE4">
              <w:rPr>
                <w:rStyle w:val="Strong"/>
              </w:rPr>
              <w:br/>
              <w:t>$'000</w:t>
            </w:r>
          </w:p>
        </w:tc>
      </w:tr>
      <w:tr w:rsidR="00730DE4" w:rsidRPr="00730DE4" w14:paraId="6CD5C299" w14:textId="77777777" w:rsidTr="00640FA4">
        <w:trPr>
          <w:trHeight w:val="454"/>
        </w:trPr>
        <w:tc>
          <w:tcPr>
            <w:tcW w:w="3257" w:type="pct"/>
            <w:tcBorders>
              <w:top w:val="single" w:sz="4" w:space="0" w:color="auto"/>
              <w:left w:val="nil"/>
              <w:bottom w:val="dotted" w:sz="4" w:space="0" w:color="BFBFBF" w:themeColor="background1" w:themeShade="BF"/>
              <w:right w:val="nil"/>
            </w:tcBorders>
            <w:shd w:val="clear" w:color="auto" w:fill="auto"/>
            <w:noWrap/>
            <w:vAlign w:val="bottom"/>
          </w:tcPr>
          <w:p w14:paraId="31D14C8F" w14:textId="77777777" w:rsidR="00730DE4" w:rsidRPr="00730DE4" w:rsidRDefault="00730DE4" w:rsidP="00E71A69">
            <w:pPr>
              <w:pStyle w:val="NoSpacing"/>
              <w:rPr>
                <w:rStyle w:val="Strong"/>
              </w:rPr>
            </w:pPr>
            <w:r w:rsidRPr="00730DE4">
              <w:rPr>
                <w:rStyle w:val="Strong"/>
              </w:rPr>
              <w:t>Contributed equity</w:t>
            </w:r>
          </w:p>
        </w:tc>
        <w:tc>
          <w:tcPr>
            <w:tcW w:w="379" w:type="pct"/>
            <w:tcBorders>
              <w:top w:val="single" w:sz="4" w:space="0" w:color="auto"/>
              <w:left w:val="nil"/>
              <w:bottom w:val="dotted" w:sz="4" w:space="0" w:color="BFBFBF" w:themeColor="background1" w:themeShade="BF"/>
              <w:right w:val="nil"/>
            </w:tcBorders>
            <w:shd w:val="clear" w:color="auto" w:fill="auto"/>
            <w:noWrap/>
            <w:vAlign w:val="bottom"/>
          </w:tcPr>
          <w:p w14:paraId="4572E549" w14:textId="77777777" w:rsidR="00730DE4" w:rsidRPr="00730DE4" w:rsidRDefault="00730DE4" w:rsidP="00E71A69">
            <w:pPr>
              <w:pStyle w:val="NoSpacing"/>
              <w:jc w:val="right"/>
              <w:rPr>
                <w:rStyle w:val="Strong"/>
              </w:rPr>
            </w:pPr>
          </w:p>
        </w:tc>
        <w:tc>
          <w:tcPr>
            <w:tcW w:w="682" w:type="pct"/>
            <w:tcBorders>
              <w:top w:val="single" w:sz="4" w:space="0" w:color="auto"/>
              <w:left w:val="nil"/>
              <w:bottom w:val="dotted" w:sz="4" w:space="0" w:color="BFBFBF" w:themeColor="background1" w:themeShade="BF"/>
              <w:right w:val="nil"/>
            </w:tcBorders>
            <w:shd w:val="clear" w:color="auto" w:fill="F2F2F2" w:themeFill="background1" w:themeFillShade="F2"/>
            <w:noWrap/>
            <w:vAlign w:val="bottom"/>
          </w:tcPr>
          <w:p w14:paraId="63D30B77" w14:textId="77777777" w:rsidR="00730DE4" w:rsidRPr="00730DE4" w:rsidRDefault="00730DE4" w:rsidP="00E71A69">
            <w:pPr>
              <w:pStyle w:val="NoSpacing"/>
              <w:jc w:val="right"/>
              <w:rPr>
                <w:rStyle w:val="Strong"/>
              </w:rPr>
            </w:pPr>
          </w:p>
        </w:tc>
        <w:tc>
          <w:tcPr>
            <w:tcW w:w="682" w:type="pct"/>
            <w:tcBorders>
              <w:top w:val="single" w:sz="4" w:space="0" w:color="auto"/>
              <w:left w:val="nil"/>
              <w:bottom w:val="dotted" w:sz="4" w:space="0" w:color="BFBFBF" w:themeColor="background1" w:themeShade="BF"/>
              <w:right w:val="nil"/>
            </w:tcBorders>
            <w:shd w:val="clear" w:color="auto" w:fill="auto"/>
            <w:noWrap/>
            <w:vAlign w:val="bottom"/>
          </w:tcPr>
          <w:p w14:paraId="326BCE4A" w14:textId="77777777" w:rsidR="00730DE4" w:rsidRPr="00730DE4" w:rsidRDefault="00730DE4" w:rsidP="00E71A69">
            <w:pPr>
              <w:pStyle w:val="NoSpacing"/>
              <w:jc w:val="right"/>
              <w:rPr>
                <w:rStyle w:val="Strong"/>
              </w:rPr>
            </w:pPr>
          </w:p>
        </w:tc>
      </w:tr>
      <w:tr w:rsidR="00730DE4" w:rsidRPr="00730DE4" w14:paraId="1D46BAA0" w14:textId="77777777" w:rsidTr="00640FA4">
        <w:trPr>
          <w:trHeight w:val="240"/>
        </w:trPr>
        <w:tc>
          <w:tcPr>
            <w:tcW w:w="3257"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5F975FFD" w14:textId="77777777" w:rsidR="00730DE4" w:rsidRPr="00730DE4" w:rsidRDefault="00730DE4" w:rsidP="00E71A69">
            <w:pPr>
              <w:pStyle w:val="NoSpacing"/>
            </w:pPr>
            <w:r w:rsidRPr="00730DE4">
              <w:t xml:space="preserve">Opening balance </w:t>
            </w:r>
          </w:p>
        </w:tc>
        <w:tc>
          <w:tcPr>
            <w:tcW w:w="37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D4A6937" w14:textId="77777777" w:rsidR="00730DE4" w:rsidRPr="00730DE4" w:rsidRDefault="00730DE4" w:rsidP="00E71A69">
            <w:pPr>
              <w:pStyle w:val="NoSpacing"/>
              <w:jc w:val="right"/>
            </w:pPr>
          </w:p>
        </w:tc>
        <w:tc>
          <w:tcPr>
            <w:tcW w:w="68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AB349EF" w14:textId="77777777" w:rsidR="00730DE4" w:rsidRPr="00730DE4" w:rsidRDefault="00730DE4" w:rsidP="00E71A69">
            <w:pPr>
              <w:pStyle w:val="NoSpacing"/>
              <w:jc w:val="right"/>
            </w:pPr>
            <w:r w:rsidRPr="00730DE4">
              <w:t xml:space="preserve">70,014,674 </w:t>
            </w:r>
          </w:p>
        </w:tc>
        <w:tc>
          <w:tcPr>
            <w:tcW w:w="682"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B281F55" w14:textId="77777777" w:rsidR="00730DE4" w:rsidRPr="00730DE4" w:rsidRDefault="00730DE4" w:rsidP="00E71A69">
            <w:pPr>
              <w:pStyle w:val="NoSpacing"/>
              <w:jc w:val="right"/>
            </w:pPr>
            <w:r w:rsidRPr="00730DE4">
              <w:t xml:space="preserve">66,098,620 </w:t>
            </w:r>
          </w:p>
        </w:tc>
      </w:tr>
      <w:tr w:rsidR="00730DE4" w:rsidRPr="00730DE4" w14:paraId="55202E2D" w14:textId="77777777" w:rsidTr="00640FA4">
        <w:trPr>
          <w:trHeight w:val="240"/>
        </w:trPr>
        <w:tc>
          <w:tcPr>
            <w:tcW w:w="3257"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3D724F30" w14:textId="77777777" w:rsidR="00730DE4" w:rsidRPr="00730DE4" w:rsidRDefault="00730DE4" w:rsidP="00E71A69">
            <w:pPr>
              <w:pStyle w:val="NoSpacing"/>
            </w:pPr>
            <w:r w:rsidRPr="00730DE4">
              <w:t>Transactions with owners as owners:</w:t>
            </w:r>
          </w:p>
        </w:tc>
        <w:tc>
          <w:tcPr>
            <w:tcW w:w="37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554ADB7" w14:textId="77777777" w:rsidR="00730DE4" w:rsidRPr="00730DE4" w:rsidRDefault="00730DE4" w:rsidP="00E71A69">
            <w:pPr>
              <w:pStyle w:val="NoSpacing"/>
              <w:jc w:val="right"/>
            </w:pPr>
          </w:p>
        </w:tc>
        <w:tc>
          <w:tcPr>
            <w:tcW w:w="68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C99380B" w14:textId="77777777" w:rsidR="00730DE4" w:rsidRPr="00730DE4" w:rsidRDefault="00730DE4" w:rsidP="00E71A69">
            <w:pPr>
              <w:pStyle w:val="NoSpacing"/>
              <w:jc w:val="right"/>
            </w:pPr>
            <w:r w:rsidRPr="00730DE4">
              <w:t> </w:t>
            </w:r>
          </w:p>
        </w:tc>
        <w:tc>
          <w:tcPr>
            <w:tcW w:w="682"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D07F3C9" w14:textId="77777777" w:rsidR="00730DE4" w:rsidRPr="00730DE4" w:rsidRDefault="00730DE4" w:rsidP="00E71A69">
            <w:pPr>
              <w:pStyle w:val="NoSpacing"/>
              <w:jc w:val="right"/>
            </w:pPr>
          </w:p>
        </w:tc>
      </w:tr>
      <w:tr w:rsidR="00730DE4" w:rsidRPr="00730DE4" w14:paraId="605EF5C1" w14:textId="77777777" w:rsidTr="00640FA4">
        <w:trPr>
          <w:trHeight w:val="240"/>
        </w:trPr>
        <w:tc>
          <w:tcPr>
            <w:tcW w:w="3257"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tcPr>
          <w:p w14:paraId="4E984B1D" w14:textId="77777777" w:rsidR="00730DE4" w:rsidRPr="00730DE4" w:rsidRDefault="00730DE4" w:rsidP="00E71A69">
            <w:pPr>
              <w:pStyle w:val="NoSpacingIndent"/>
            </w:pPr>
            <w:r w:rsidRPr="00730DE4">
              <w:t>Net appropriated equity adjustments</w:t>
            </w:r>
          </w:p>
        </w:tc>
        <w:tc>
          <w:tcPr>
            <w:tcW w:w="37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43867E69" w14:textId="77777777" w:rsidR="00730DE4" w:rsidRPr="00730DE4" w:rsidRDefault="00730DE4" w:rsidP="00E71A69">
            <w:pPr>
              <w:pStyle w:val="NoSpacing"/>
              <w:jc w:val="right"/>
            </w:pPr>
            <w:r w:rsidRPr="00730DE4">
              <w:t>2</w:t>
            </w:r>
          </w:p>
        </w:tc>
        <w:tc>
          <w:tcPr>
            <w:tcW w:w="68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19AC6B0C" w14:textId="77777777" w:rsidR="00730DE4" w:rsidRPr="00730DE4" w:rsidRDefault="00730DE4" w:rsidP="00E71A69">
            <w:pPr>
              <w:pStyle w:val="NoSpacing"/>
              <w:jc w:val="right"/>
            </w:pPr>
            <w:r w:rsidRPr="00730DE4">
              <w:t xml:space="preserve">3,635,071 </w:t>
            </w:r>
          </w:p>
        </w:tc>
        <w:tc>
          <w:tcPr>
            <w:tcW w:w="682"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tcPr>
          <w:p w14:paraId="06936A3A" w14:textId="77777777" w:rsidR="00730DE4" w:rsidRPr="00730DE4" w:rsidRDefault="00730DE4" w:rsidP="00E71A69">
            <w:pPr>
              <w:pStyle w:val="NoSpacing"/>
              <w:jc w:val="right"/>
            </w:pPr>
            <w:r w:rsidRPr="00730DE4">
              <w:t xml:space="preserve">3,856,323 </w:t>
            </w:r>
          </w:p>
        </w:tc>
      </w:tr>
      <w:tr w:rsidR="00730DE4" w:rsidRPr="00730DE4" w14:paraId="6EC5429E" w14:textId="77777777" w:rsidTr="00640FA4">
        <w:trPr>
          <w:trHeight w:val="240"/>
        </w:trPr>
        <w:tc>
          <w:tcPr>
            <w:tcW w:w="3257"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tcPr>
          <w:p w14:paraId="3606E047" w14:textId="77777777" w:rsidR="00730DE4" w:rsidRPr="00730DE4" w:rsidRDefault="00730DE4" w:rsidP="00E71A69">
            <w:pPr>
              <w:pStyle w:val="NoSpacingIndent"/>
            </w:pPr>
            <w:r w:rsidRPr="00730DE4">
              <w:t>Non-appropriated equity adjustments</w:t>
            </w:r>
          </w:p>
        </w:tc>
        <w:tc>
          <w:tcPr>
            <w:tcW w:w="37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40D6E49A" w14:textId="77777777" w:rsidR="00730DE4" w:rsidRPr="00730DE4" w:rsidRDefault="00730DE4" w:rsidP="00E71A69">
            <w:pPr>
              <w:pStyle w:val="NoSpacing"/>
              <w:jc w:val="right"/>
            </w:pPr>
          </w:p>
        </w:tc>
        <w:tc>
          <w:tcPr>
            <w:tcW w:w="68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0F0CB580" w14:textId="77777777" w:rsidR="00730DE4" w:rsidRPr="00730DE4" w:rsidRDefault="00730DE4" w:rsidP="00E71A69">
            <w:pPr>
              <w:pStyle w:val="NoSpacing"/>
              <w:jc w:val="right"/>
            </w:pPr>
            <w:r w:rsidRPr="00730DE4">
              <w:t xml:space="preserve">440 </w:t>
            </w:r>
          </w:p>
        </w:tc>
        <w:tc>
          <w:tcPr>
            <w:tcW w:w="682"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tcPr>
          <w:p w14:paraId="759BA2E6" w14:textId="77777777" w:rsidR="00730DE4" w:rsidRPr="00730DE4" w:rsidRDefault="00730DE4" w:rsidP="00E71A69">
            <w:pPr>
              <w:pStyle w:val="NoSpacing"/>
              <w:jc w:val="right"/>
            </w:pPr>
            <w:r w:rsidRPr="00730DE4">
              <w:t xml:space="preserve">54 </w:t>
            </w:r>
          </w:p>
        </w:tc>
      </w:tr>
      <w:tr w:rsidR="00730DE4" w:rsidRPr="00730DE4" w14:paraId="0F2B7A28" w14:textId="77777777" w:rsidTr="00640FA4">
        <w:trPr>
          <w:trHeight w:val="240"/>
        </w:trPr>
        <w:tc>
          <w:tcPr>
            <w:tcW w:w="3257"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tcPr>
          <w:p w14:paraId="2099AB59" w14:textId="77777777" w:rsidR="00730DE4" w:rsidRPr="00730DE4" w:rsidRDefault="00730DE4" w:rsidP="00E71A69">
            <w:pPr>
              <w:pStyle w:val="NoSpacingIndent"/>
            </w:pPr>
            <w:r w:rsidRPr="00730DE4">
              <w:t>Net assets transferred to other Queensland Government entities</w:t>
            </w:r>
          </w:p>
        </w:tc>
        <w:tc>
          <w:tcPr>
            <w:tcW w:w="37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424F4A3A" w14:textId="77777777" w:rsidR="00730DE4" w:rsidRPr="00730DE4" w:rsidRDefault="00730DE4" w:rsidP="00E71A69">
            <w:pPr>
              <w:pStyle w:val="NoSpacing"/>
              <w:jc w:val="right"/>
            </w:pPr>
          </w:p>
        </w:tc>
        <w:tc>
          <w:tcPr>
            <w:tcW w:w="68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76DF6530" w14:textId="77777777" w:rsidR="00730DE4" w:rsidRPr="00730DE4" w:rsidRDefault="00730DE4" w:rsidP="00E71A69">
            <w:pPr>
              <w:pStyle w:val="NoSpacing"/>
              <w:jc w:val="right"/>
            </w:pPr>
            <w:r w:rsidRPr="00730DE4">
              <w:t>(43,715)</w:t>
            </w:r>
          </w:p>
        </w:tc>
        <w:tc>
          <w:tcPr>
            <w:tcW w:w="682"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tcPr>
          <w:p w14:paraId="7339E5A2" w14:textId="77777777" w:rsidR="00730DE4" w:rsidRPr="00730DE4" w:rsidRDefault="00730DE4" w:rsidP="00E71A69">
            <w:pPr>
              <w:pStyle w:val="NoSpacing"/>
              <w:jc w:val="right"/>
            </w:pPr>
            <w:r w:rsidRPr="00730DE4">
              <w:t>(39,176)</w:t>
            </w:r>
          </w:p>
        </w:tc>
      </w:tr>
      <w:tr w:rsidR="00730DE4" w:rsidRPr="00730DE4" w14:paraId="6E188AB6" w14:textId="77777777" w:rsidTr="00640FA4">
        <w:trPr>
          <w:trHeight w:val="240"/>
        </w:trPr>
        <w:tc>
          <w:tcPr>
            <w:tcW w:w="3257"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tcPr>
          <w:p w14:paraId="11F9FF37" w14:textId="77777777" w:rsidR="00730DE4" w:rsidRPr="00730DE4" w:rsidRDefault="00730DE4" w:rsidP="00E71A69">
            <w:pPr>
              <w:pStyle w:val="NoSpacingIndent"/>
            </w:pPr>
            <w:r w:rsidRPr="00730DE4">
              <w:t>Net assets received due to machinery-of-government change *</w:t>
            </w:r>
          </w:p>
        </w:tc>
        <w:tc>
          <w:tcPr>
            <w:tcW w:w="379"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tcPr>
          <w:p w14:paraId="3EC09AAD" w14:textId="77777777" w:rsidR="00730DE4" w:rsidRPr="00730DE4" w:rsidRDefault="00730DE4" w:rsidP="00E71A69">
            <w:pPr>
              <w:pStyle w:val="NoSpacing"/>
              <w:jc w:val="right"/>
            </w:pPr>
            <w:r w:rsidRPr="00730DE4">
              <w:t> </w:t>
            </w:r>
          </w:p>
        </w:tc>
        <w:tc>
          <w:tcPr>
            <w:tcW w:w="682"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tcPr>
          <w:p w14:paraId="7DFAB370" w14:textId="77777777" w:rsidR="00730DE4" w:rsidRPr="00730DE4" w:rsidRDefault="00730DE4" w:rsidP="00E71A69">
            <w:pPr>
              <w:pStyle w:val="NoSpacing"/>
              <w:jc w:val="right"/>
            </w:pPr>
            <w:r w:rsidRPr="00730DE4">
              <w:t xml:space="preserve">290 </w:t>
            </w:r>
          </w:p>
        </w:tc>
        <w:tc>
          <w:tcPr>
            <w:tcW w:w="682"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tcPr>
          <w:p w14:paraId="15C2D2AA" w14:textId="77777777" w:rsidR="00730DE4" w:rsidRPr="00730DE4" w:rsidRDefault="00730DE4" w:rsidP="00E71A69">
            <w:pPr>
              <w:pStyle w:val="NoSpacing"/>
              <w:jc w:val="right"/>
            </w:pPr>
            <w:r w:rsidRPr="00730DE4">
              <w:t xml:space="preserve">98,853 </w:t>
            </w:r>
          </w:p>
        </w:tc>
      </w:tr>
      <w:tr w:rsidR="00730DE4" w:rsidRPr="00730DE4" w14:paraId="16D4BB60" w14:textId="77777777" w:rsidTr="00640FA4">
        <w:tc>
          <w:tcPr>
            <w:tcW w:w="3257" w:type="pct"/>
            <w:tcBorders>
              <w:top w:val="single" w:sz="4" w:space="0" w:color="auto"/>
              <w:left w:val="nil"/>
              <w:right w:val="dotted" w:sz="4" w:space="0" w:color="BFBFBF" w:themeColor="background1" w:themeShade="BF"/>
            </w:tcBorders>
            <w:shd w:val="clear" w:color="auto" w:fill="auto"/>
            <w:noWrap/>
            <w:hideMark/>
          </w:tcPr>
          <w:p w14:paraId="3E8E68D8" w14:textId="77777777" w:rsidR="00730DE4" w:rsidRPr="00730DE4" w:rsidRDefault="00730DE4" w:rsidP="00E71A69">
            <w:pPr>
              <w:pStyle w:val="NoSpacing"/>
              <w:rPr>
                <w:b/>
                <w:bCs/>
              </w:rPr>
            </w:pPr>
            <w:r w:rsidRPr="00730DE4">
              <w:rPr>
                <w:rStyle w:val="Strong"/>
              </w:rPr>
              <w:t>Closing balance</w:t>
            </w:r>
          </w:p>
        </w:tc>
        <w:tc>
          <w:tcPr>
            <w:tcW w:w="379"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785902B4" w14:textId="77777777" w:rsidR="00730DE4" w:rsidRPr="00730DE4" w:rsidRDefault="00730DE4" w:rsidP="00E71A69">
            <w:pPr>
              <w:pStyle w:val="NoSpacing"/>
              <w:jc w:val="right"/>
              <w:rPr>
                <w:b/>
                <w:bCs/>
              </w:rPr>
            </w:pPr>
          </w:p>
        </w:tc>
        <w:tc>
          <w:tcPr>
            <w:tcW w:w="682" w:type="pct"/>
            <w:tcBorders>
              <w:top w:val="single" w:sz="4" w:space="0" w:color="auto"/>
              <w:left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09C9A43C" w14:textId="77777777" w:rsidR="00730DE4" w:rsidRPr="00730DE4" w:rsidRDefault="00730DE4" w:rsidP="00E71A69">
            <w:pPr>
              <w:pStyle w:val="NoSpacing"/>
              <w:jc w:val="right"/>
              <w:rPr>
                <w:b/>
                <w:bCs/>
              </w:rPr>
            </w:pPr>
            <w:r w:rsidRPr="00730DE4">
              <w:rPr>
                <w:rStyle w:val="Strong"/>
              </w:rPr>
              <w:t xml:space="preserve">73,606,760 </w:t>
            </w:r>
          </w:p>
        </w:tc>
        <w:tc>
          <w:tcPr>
            <w:tcW w:w="682" w:type="pct"/>
            <w:tcBorders>
              <w:top w:val="single" w:sz="4" w:space="0" w:color="auto"/>
              <w:left w:val="dotted" w:sz="4" w:space="0" w:color="BFBFBF" w:themeColor="background1" w:themeShade="BF"/>
              <w:right w:val="nil"/>
            </w:tcBorders>
            <w:shd w:val="clear" w:color="auto" w:fill="auto"/>
            <w:noWrap/>
            <w:hideMark/>
          </w:tcPr>
          <w:p w14:paraId="17AE5A8E" w14:textId="77777777" w:rsidR="00730DE4" w:rsidRPr="00730DE4" w:rsidRDefault="00730DE4" w:rsidP="00E71A69">
            <w:pPr>
              <w:pStyle w:val="NoSpacing"/>
              <w:jc w:val="right"/>
              <w:rPr>
                <w:rStyle w:val="Strong"/>
              </w:rPr>
            </w:pPr>
            <w:r w:rsidRPr="00730DE4">
              <w:rPr>
                <w:rStyle w:val="Strong"/>
              </w:rPr>
              <w:t xml:space="preserve">70,014,674 </w:t>
            </w:r>
          </w:p>
        </w:tc>
      </w:tr>
      <w:tr w:rsidR="00730DE4" w:rsidRPr="00730DE4" w14:paraId="6486B7D1" w14:textId="77777777" w:rsidTr="00640FA4">
        <w:trPr>
          <w:trHeight w:val="454"/>
        </w:trPr>
        <w:tc>
          <w:tcPr>
            <w:tcW w:w="3257" w:type="pct"/>
            <w:tcBorders>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A2517C8" w14:textId="77777777" w:rsidR="00730DE4" w:rsidRPr="00730DE4" w:rsidRDefault="00730DE4" w:rsidP="00E71A69">
            <w:pPr>
              <w:pStyle w:val="NoSpacing"/>
              <w:rPr>
                <w:b/>
                <w:bCs/>
              </w:rPr>
            </w:pPr>
            <w:r w:rsidRPr="00730DE4">
              <w:rPr>
                <w:rStyle w:val="Strong"/>
              </w:rPr>
              <w:t>Accumulated surplus</w:t>
            </w:r>
          </w:p>
        </w:tc>
        <w:tc>
          <w:tcPr>
            <w:tcW w:w="379"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C0E3F8D" w14:textId="77777777" w:rsidR="00730DE4" w:rsidRPr="00730DE4" w:rsidRDefault="00730DE4" w:rsidP="00E71A69">
            <w:pPr>
              <w:pStyle w:val="NoSpacing"/>
              <w:jc w:val="right"/>
              <w:rPr>
                <w:rStyle w:val="Strong"/>
              </w:rPr>
            </w:pPr>
          </w:p>
        </w:tc>
        <w:tc>
          <w:tcPr>
            <w:tcW w:w="682"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9A8F3A4" w14:textId="77777777" w:rsidR="00730DE4" w:rsidRPr="00730DE4" w:rsidRDefault="00730DE4" w:rsidP="00E71A69">
            <w:pPr>
              <w:pStyle w:val="NoSpacing"/>
              <w:jc w:val="right"/>
            </w:pPr>
            <w:r w:rsidRPr="00730DE4">
              <w:t> </w:t>
            </w:r>
          </w:p>
        </w:tc>
        <w:tc>
          <w:tcPr>
            <w:tcW w:w="682" w:type="pct"/>
            <w:tcBorders>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197B850" w14:textId="77777777" w:rsidR="00730DE4" w:rsidRPr="00730DE4" w:rsidRDefault="00730DE4" w:rsidP="00E71A69">
            <w:pPr>
              <w:pStyle w:val="NoSpacing"/>
              <w:jc w:val="right"/>
            </w:pPr>
          </w:p>
        </w:tc>
      </w:tr>
      <w:tr w:rsidR="00730DE4" w:rsidRPr="00730DE4" w14:paraId="134D2D57" w14:textId="77777777" w:rsidTr="00640FA4">
        <w:trPr>
          <w:trHeight w:val="240"/>
        </w:trPr>
        <w:tc>
          <w:tcPr>
            <w:tcW w:w="3257"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1F46B65A" w14:textId="77777777" w:rsidR="00730DE4" w:rsidRPr="00730DE4" w:rsidRDefault="00730DE4" w:rsidP="00E71A69">
            <w:pPr>
              <w:pStyle w:val="NoSpacing"/>
            </w:pPr>
            <w:r w:rsidRPr="00730DE4">
              <w:t xml:space="preserve">Opening balance </w:t>
            </w:r>
          </w:p>
        </w:tc>
        <w:tc>
          <w:tcPr>
            <w:tcW w:w="37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6CE63F9" w14:textId="77777777" w:rsidR="00730DE4" w:rsidRPr="00730DE4" w:rsidRDefault="00730DE4" w:rsidP="00E71A69">
            <w:pPr>
              <w:pStyle w:val="NoSpacing"/>
              <w:jc w:val="right"/>
            </w:pPr>
          </w:p>
        </w:tc>
        <w:tc>
          <w:tcPr>
            <w:tcW w:w="68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6DE3A05" w14:textId="77777777" w:rsidR="00730DE4" w:rsidRPr="00730DE4" w:rsidRDefault="00730DE4" w:rsidP="00E71A69">
            <w:pPr>
              <w:pStyle w:val="NoSpacing"/>
              <w:jc w:val="right"/>
            </w:pPr>
            <w:r w:rsidRPr="00730DE4">
              <w:t xml:space="preserve">3,682,603 </w:t>
            </w:r>
          </w:p>
        </w:tc>
        <w:tc>
          <w:tcPr>
            <w:tcW w:w="682"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664C7AD" w14:textId="77777777" w:rsidR="00730DE4" w:rsidRPr="00730DE4" w:rsidRDefault="00730DE4" w:rsidP="00E71A69">
            <w:pPr>
              <w:pStyle w:val="NoSpacing"/>
              <w:jc w:val="right"/>
            </w:pPr>
            <w:r w:rsidRPr="00730DE4">
              <w:t xml:space="preserve">3,677,607 </w:t>
            </w:r>
          </w:p>
        </w:tc>
      </w:tr>
      <w:tr w:rsidR="00730DE4" w:rsidRPr="00730DE4" w14:paraId="65BBE54A" w14:textId="77777777" w:rsidTr="00640FA4">
        <w:trPr>
          <w:trHeight w:val="240"/>
        </w:trPr>
        <w:tc>
          <w:tcPr>
            <w:tcW w:w="3257"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12D10EE4" w14:textId="77777777" w:rsidR="00730DE4" w:rsidRPr="00730DE4" w:rsidRDefault="00730DE4" w:rsidP="00E71A69">
            <w:pPr>
              <w:pStyle w:val="NoSpacing"/>
            </w:pPr>
            <w:r w:rsidRPr="00730DE4">
              <w:t>Operating result for the year</w:t>
            </w:r>
          </w:p>
        </w:tc>
        <w:tc>
          <w:tcPr>
            <w:tcW w:w="379"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793501B6" w14:textId="77777777" w:rsidR="00730DE4" w:rsidRPr="00730DE4" w:rsidRDefault="00730DE4" w:rsidP="00E71A69">
            <w:pPr>
              <w:pStyle w:val="NoSpacing"/>
              <w:jc w:val="right"/>
            </w:pPr>
          </w:p>
        </w:tc>
        <w:tc>
          <w:tcPr>
            <w:tcW w:w="682"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018FAEDD" w14:textId="77777777" w:rsidR="00730DE4" w:rsidRPr="00730DE4" w:rsidRDefault="00730DE4" w:rsidP="00E71A69">
            <w:pPr>
              <w:pStyle w:val="NoSpacing"/>
              <w:jc w:val="right"/>
            </w:pPr>
            <w:r w:rsidRPr="00730DE4">
              <w:t xml:space="preserve">322,610 </w:t>
            </w:r>
          </w:p>
        </w:tc>
        <w:tc>
          <w:tcPr>
            <w:tcW w:w="682"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0033FEA0" w14:textId="77777777" w:rsidR="00730DE4" w:rsidRPr="00730DE4" w:rsidRDefault="00730DE4" w:rsidP="00E71A69">
            <w:pPr>
              <w:pStyle w:val="NoSpacing"/>
              <w:jc w:val="right"/>
            </w:pPr>
            <w:r w:rsidRPr="00730DE4">
              <w:t xml:space="preserve">4,996 </w:t>
            </w:r>
          </w:p>
        </w:tc>
      </w:tr>
      <w:tr w:rsidR="00730DE4" w:rsidRPr="00730DE4" w14:paraId="6DD1F5E7" w14:textId="77777777" w:rsidTr="00640FA4">
        <w:tc>
          <w:tcPr>
            <w:tcW w:w="3257" w:type="pct"/>
            <w:tcBorders>
              <w:top w:val="single" w:sz="4" w:space="0" w:color="auto"/>
              <w:left w:val="nil"/>
              <w:right w:val="dotted" w:sz="4" w:space="0" w:color="BFBFBF" w:themeColor="background1" w:themeShade="BF"/>
            </w:tcBorders>
            <w:shd w:val="clear" w:color="auto" w:fill="auto"/>
            <w:noWrap/>
            <w:hideMark/>
          </w:tcPr>
          <w:p w14:paraId="745830D1" w14:textId="77777777" w:rsidR="00730DE4" w:rsidRPr="00730DE4" w:rsidRDefault="00730DE4" w:rsidP="00E71A69">
            <w:pPr>
              <w:pStyle w:val="NoSpacing"/>
              <w:rPr>
                <w:b/>
                <w:bCs/>
              </w:rPr>
            </w:pPr>
            <w:r w:rsidRPr="00730DE4">
              <w:rPr>
                <w:rStyle w:val="Strong"/>
              </w:rPr>
              <w:t>Closing balance</w:t>
            </w:r>
          </w:p>
        </w:tc>
        <w:tc>
          <w:tcPr>
            <w:tcW w:w="379"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7655A9B3" w14:textId="77777777" w:rsidR="00730DE4" w:rsidRPr="00730DE4" w:rsidRDefault="00730DE4" w:rsidP="00E71A69">
            <w:pPr>
              <w:pStyle w:val="NoSpacing"/>
              <w:jc w:val="right"/>
              <w:rPr>
                <w:b/>
                <w:bCs/>
              </w:rPr>
            </w:pPr>
            <w:r w:rsidRPr="00730DE4">
              <w:rPr>
                <w:rStyle w:val="Strong"/>
              </w:rPr>
              <w:t> </w:t>
            </w:r>
          </w:p>
        </w:tc>
        <w:tc>
          <w:tcPr>
            <w:tcW w:w="682" w:type="pct"/>
            <w:tcBorders>
              <w:top w:val="single" w:sz="4" w:space="0" w:color="auto"/>
              <w:left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4F5C27E5" w14:textId="77777777" w:rsidR="00730DE4" w:rsidRPr="00730DE4" w:rsidRDefault="00730DE4" w:rsidP="00E71A69">
            <w:pPr>
              <w:pStyle w:val="NoSpacing"/>
              <w:jc w:val="right"/>
              <w:rPr>
                <w:b/>
                <w:bCs/>
              </w:rPr>
            </w:pPr>
            <w:r w:rsidRPr="00730DE4">
              <w:rPr>
                <w:rStyle w:val="Strong"/>
              </w:rPr>
              <w:t xml:space="preserve">4,005,213 </w:t>
            </w:r>
          </w:p>
        </w:tc>
        <w:tc>
          <w:tcPr>
            <w:tcW w:w="682" w:type="pct"/>
            <w:tcBorders>
              <w:top w:val="single" w:sz="4" w:space="0" w:color="auto"/>
              <w:left w:val="dotted" w:sz="4" w:space="0" w:color="BFBFBF" w:themeColor="background1" w:themeShade="BF"/>
              <w:right w:val="nil"/>
            </w:tcBorders>
            <w:shd w:val="clear" w:color="auto" w:fill="auto"/>
            <w:noWrap/>
            <w:hideMark/>
          </w:tcPr>
          <w:p w14:paraId="1D735D60" w14:textId="77777777" w:rsidR="00730DE4" w:rsidRPr="00730DE4" w:rsidRDefault="00730DE4" w:rsidP="00E71A69">
            <w:pPr>
              <w:pStyle w:val="NoSpacing"/>
              <w:jc w:val="right"/>
              <w:rPr>
                <w:rStyle w:val="Strong"/>
              </w:rPr>
            </w:pPr>
            <w:r w:rsidRPr="00730DE4">
              <w:rPr>
                <w:rStyle w:val="Strong"/>
              </w:rPr>
              <w:t xml:space="preserve">3,682,603 </w:t>
            </w:r>
          </w:p>
        </w:tc>
      </w:tr>
      <w:tr w:rsidR="00730DE4" w:rsidRPr="00730DE4" w14:paraId="7562CE5D" w14:textId="77777777" w:rsidTr="00640FA4">
        <w:trPr>
          <w:trHeight w:val="454"/>
        </w:trPr>
        <w:tc>
          <w:tcPr>
            <w:tcW w:w="3257" w:type="pct"/>
            <w:tcBorders>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AD38A71" w14:textId="77777777" w:rsidR="00730DE4" w:rsidRPr="00730DE4" w:rsidRDefault="00730DE4" w:rsidP="00E71A69">
            <w:pPr>
              <w:pStyle w:val="NoSpacing"/>
              <w:rPr>
                <w:b/>
                <w:bCs/>
              </w:rPr>
            </w:pPr>
            <w:r w:rsidRPr="00730DE4">
              <w:rPr>
                <w:rStyle w:val="Strong"/>
              </w:rPr>
              <w:t>Asset revaluation surplus</w:t>
            </w:r>
          </w:p>
        </w:tc>
        <w:tc>
          <w:tcPr>
            <w:tcW w:w="379"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072DDB5" w14:textId="77777777" w:rsidR="00730DE4" w:rsidRPr="00730DE4" w:rsidRDefault="00730DE4" w:rsidP="00E71A69">
            <w:pPr>
              <w:pStyle w:val="NoSpacing"/>
              <w:jc w:val="right"/>
              <w:rPr>
                <w:rStyle w:val="Strong"/>
              </w:rPr>
            </w:pPr>
          </w:p>
        </w:tc>
        <w:tc>
          <w:tcPr>
            <w:tcW w:w="682"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1B01543" w14:textId="77777777" w:rsidR="00730DE4" w:rsidRPr="00730DE4" w:rsidRDefault="00730DE4" w:rsidP="00E71A69">
            <w:pPr>
              <w:pStyle w:val="NoSpacing"/>
              <w:jc w:val="right"/>
            </w:pPr>
            <w:r w:rsidRPr="00730DE4">
              <w:t> </w:t>
            </w:r>
          </w:p>
        </w:tc>
        <w:tc>
          <w:tcPr>
            <w:tcW w:w="682" w:type="pct"/>
            <w:tcBorders>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B2C8121" w14:textId="77777777" w:rsidR="00730DE4" w:rsidRPr="00730DE4" w:rsidRDefault="00730DE4" w:rsidP="00E71A69">
            <w:pPr>
              <w:pStyle w:val="NoSpacing"/>
              <w:jc w:val="right"/>
            </w:pPr>
          </w:p>
        </w:tc>
      </w:tr>
      <w:tr w:rsidR="00730DE4" w:rsidRPr="00730DE4" w14:paraId="4533319A" w14:textId="77777777" w:rsidTr="00640FA4">
        <w:trPr>
          <w:trHeight w:val="240"/>
        </w:trPr>
        <w:tc>
          <w:tcPr>
            <w:tcW w:w="3257"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6A93BDE5" w14:textId="77777777" w:rsidR="00730DE4" w:rsidRPr="00730DE4" w:rsidRDefault="00730DE4" w:rsidP="00E71A69">
            <w:pPr>
              <w:pStyle w:val="NoSpacing"/>
            </w:pPr>
            <w:r w:rsidRPr="00730DE4">
              <w:t xml:space="preserve">Opening balance </w:t>
            </w:r>
          </w:p>
        </w:tc>
        <w:tc>
          <w:tcPr>
            <w:tcW w:w="37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0E8DAA0" w14:textId="77777777" w:rsidR="00730DE4" w:rsidRPr="00730DE4" w:rsidRDefault="00730DE4" w:rsidP="00E71A69">
            <w:pPr>
              <w:pStyle w:val="NoSpacing"/>
              <w:jc w:val="right"/>
            </w:pPr>
          </w:p>
        </w:tc>
        <w:tc>
          <w:tcPr>
            <w:tcW w:w="68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017FD33" w14:textId="77777777" w:rsidR="00730DE4" w:rsidRPr="00730DE4" w:rsidRDefault="00730DE4" w:rsidP="00E71A69">
            <w:pPr>
              <w:pStyle w:val="NoSpacing"/>
              <w:jc w:val="right"/>
            </w:pPr>
            <w:r w:rsidRPr="00730DE4">
              <w:t xml:space="preserve">36,034,629 </w:t>
            </w:r>
          </w:p>
        </w:tc>
        <w:tc>
          <w:tcPr>
            <w:tcW w:w="682"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3595588" w14:textId="77777777" w:rsidR="00730DE4" w:rsidRPr="00730DE4" w:rsidRDefault="00730DE4" w:rsidP="00E71A69">
            <w:pPr>
              <w:pStyle w:val="NoSpacing"/>
              <w:jc w:val="right"/>
            </w:pPr>
            <w:r w:rsidRPr="00730DE4">
              <w:t xml:space="preserve">20,931,501 </w:t>
            </w:r>
          </w:p>
        </w:tc>
      </w:tr>
      <w:tr w:rsidR="00730DE4" w:rsidRPr="00730DE4" w14:paraId="4218BB89" w14:textId="77777777" w:rsidTr="00640FA4">
        <w:trPr>
          <w:trHeight w:val="240"/>
        </w:trPr>
        <w:tc>
          <w:tcPr>
            <w:tcW w:w="3257"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5802A9B3" w14:textId="77777777" w:rsidR="00730DE4" w:rsidRPr="00730DE4" w:rsidRDefault="00730DE4" w:rsidP="00E71A69">
            <w:pPr>
              <w:pStyle w:val="NoSpacing"/>
            </w:pPr>
            <w:r w:rsidRPr="00730DE4">
              <w:t>Increase in asset revaluation surplus</w:t>
            </w:r>
          </w:p>
        </w:tc>
        <w:tc>
          <w:tcPr>
            <w:tcW w:w="379"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7935202D" w14:textId="77777777" w:rsidR="00730DE4" w:rsidRPr="00730DE4" w:rsidRDefault="00730DE4" w:rsidP="00E71A69">
            <w:pPr>
              <w:pStyle w:val="NoSpacing"/>
              <w:jc w:val="right"/>
            </w:pPr>
            <w:r w:rsidRPr="00730DE4">
              <w:t>15, 16</w:t>
            </w:r>
          </w:p>
        </w:tc>
        <w:tc>
          <w:tcPr>
            <w:tcW w:w="682"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06204A9F" w14:textId="77777777" w:rsidR="00730DE4" w:rsidRPr="00730DE4" w:rsidRDefault="00730DE4" w:rsidP="00E71A69">
            <w:pPr>
              <w:pStyle w:val="NoSpacing"/>
              <w:jc w:val="right"/>
            </w:pPr>
            <w:r w:rsidRPr="00730DE4">
              <w:t xml:space="preserve">2,650,364 </w:t>
            </w:r>
          </w:p>
        </w:tc>
        <w:tc>
          <w:tcPr>
            <w:tcW w:w="682"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1FDB7B5F" w14:textId="77777777" w:rsidR="00730DE4" w:rsidRPr="00730DE4" w:rsidRDefault="00730DE4" w:rsidP="00E71A69">
            <w:pPr>
              <w:pStyle w:val="NoSpacing"/>
              <w:jc w:val="right"/>
            </w:pPr>
            <w:r w:rsidRPr="00730DE4">
              <w:t xml:space="preserve">15,103,128 </w:t>
            </w:r>
          </w:p>
        </w:tc>
      </w:tr>
      <w:tr w:rsidR="00730DE4" w:rsidRPr="00730DE4" w14:paraId="30108495" w14:textId="77777777" w:rsidTr="00640FA4">
        <w:trPr>
          <w:trHeight w:val="454"/>
        </w:trPr>
        <w:tc>
          <w:tcPr>
            <w:tcW w:w="3257" w:type="pct"/>
            <w:tcBorders>
              <w:top w:val="single" w:sz="4" w:space="0" w:color="auto"/>
              <w:left w:val="nil"/>
              <w:bottom w:val="single" w:sz="4" w:space="0" w:color="auto"/>
              <w:right w:val="dotted" w:sz="4" w:space="0" w:color="BFBFBF" w:themeColor="background1" w:themeShade="BF"/>
            </w:tcBorders>
            <w:shd w:val="clear" w:color="auto" w:fill="auto"/>
            <w:noWrap/>
            <w:hideMark/>
          </w:tcPr>
          <w:p w14:paraId="49DF504F" w14:textId="77777777" w:rsidR="00730DE4" w:rsidRPr="00730DE4" w:rsidRDefault="00730DE4" w:rsidP="00E71A69">
            <w:pPr>
              <w:pStyle w:val="NoSpacing"/>
              <w:rPr>
                <w:b/>
                <w:bCs/>
              </w:rPr>
            </w:pPr>
            <w:r w:rsidRPr="00730DE4">
              <w:rPr>
                <w:rStyle w:val="Strong"/>
              </w:rPr>
              <w:t>Closing balance</w:t>
            </w:r>
          </w:p>
        </w:tc>
        <w:tc>
          <w:tcPr>
            <w:tcW w:w="379"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auto"/>
            <w:noWrap/>
            <w:hideMark/>
          </w:tcPr>
          <w:p w14:paraId="1718C2DD" w14:textId="77777777" w:rsidR="00730DE4" w:rsidRPr="00730DE4" w:rsidRDefault="00730DE4" w:rsidP="00E71A69">
            <w:pPr>
              <w:pStyle w:val="NoSpacing"/>
              <w:jc w:val="right"/>
              <w:rPr>
                <w:b/>
                <w:bCs/>
              </w:rPr>
            </w:pPr>
            <w:r w:rsidRPr="00730DE4">
              <w:rPr>
                <w:rStyle w:val="Strong"/>
              </w:rPr>
              <w:t> </w:t>
            </w:r>
          </w:p>
        </w:tc>
        <w:tc>
          <w:tcPr>
            <w:tcW w:w="682"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hideMark/>
          </w:tcPr>
          <w:p w14:paraId="2BF85BCC" w14:textId="77777777" w:rsidR="00730DE4" w:rsidRPr="00730DE4" w:rsidRDefault="00730DE4" w:rsidP="00E71A69">
            <w:pPr>
              <w:pStyle w:val="NoSpacing"/>
              <w:jc w:val="right"/>
              <w:rPr>
                <w:b/>
                <w:bCs/>
              </w:rPr>
            </w:pPr>
            <w:r w:rsidRPr="00730DE4">
              <w:rPr>
                <w:rStyle w:val="Strong"/>
              </w:rPr>
              <w:t xml:space="preserve">38,684,993 </w:t>
            </w:r>
          </w:p>
        </w:tc>
        <w:tc>
          <w:tcPr>
            <w:tcW w:w="682" w:type="pct"/>
            <w:tcBorders>
              <w:top w:val="single" w:sz="4" w:space="0" w:color="auto"/>
              <w:left w:val="dotted" w:sz="4" w:space="0" w:color="BFBFBF" w:themeColor="background1" w:themeShade="BF"/>
              <w:bottom w:val="single" w:sz="4" w:space="0" w:color="auto"/>
              <w:right w:val="nil"/>
            </w:tcBorders>
            <w:shd w:val="clear" w:color="auto" w:fill="auto"/>
            <w:noWrap/>
            <w:hideMark/>
          </w:tcPr>
          <w:p w14:paraId="71E66DD5" w14:textId="77777777" w:rsidR="00730DE4" w:rsidRPr="00730DE4" w:rsidRDefault="00730DE4" w:rsidP="00E71A69">
            <w:pPr>
              <w:pStyle w:val="NoSpacing"/>
              <w:jc w:val="right"/>
              <w:rPr>
                <w:rStyle w:val="Strong"/>
              </w:rPr>
            </w:pPr>
            <w:r w:rsidRPr="00730DE4">
              <w:rPr>
                <w:rStyle w:val="Strong"/>
              </w:rPr>
              <w:t xml:space="preserve">36,034,629 </w:t>
            </w:r>
          </w:p>
        </w:tc>
      </w:tr>
      <w:tr w:rsidR="00730DE4" w:rsidRPr="00730DE4" w14:paraId="76EAF650" w14:textId="77777777" w:rsidTr="00640FA4">
        <w:tc>
          <w:tcPr>
            <w:tcW w:w="3257"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04BB19E1" w14:textId="77777777" w:rsidR="00730DE4" w:rsidRPr="00730DE4" w:rsidRDefault="00730DE4" w:rsidP="00E71A69">
            <w:pPr>
              <w:pStyle w:val="NoSpacing"/>
              <w:rPr>
                <w:rStyle w:val="Strong"/>
              </w:rPr>
            </w:pPr>
            <w:r w:rsidRPr="00730DE4">
              <w:rPr>
                <w:rStyle w:val="Strong"/>
              </w:rPr>
              <w:t>Total equity</w:t>
            </w:r>
          </w:p>
        </w:tc>
        <w:tc>
          <w:tcPr>
            <w:tcW w:w="379"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18DC86BC" w14:textId="77777777" w:rsidR="00730DE4" w:rsidRPr="00730DE4" w:rsidRDefault="00730DE4" w:rsidP="00E71A69">
            <w:pPr>
              <w:pStyle w:val="NoSpacing"/>
              <w:jc w:val="right"/>
            </w:pPr>
            <w:r w:rsidRPr="00730DE4">
              <w:t> </w:t>
            </w:r>
          </w:p>
        </w:tc>
        <w:tc>
          <w:tcPr>
            <w:tcW w:w="682"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5F29A466" w14:textId="77777777" w:rsidR="00730DE4" w:rsidRPr="00730DE4" w:rsidRDefault="00730DE4" w:rsidP="00E71A69">
            <w:pPr>
              <w:pStyle w:val="NoSpacing"/>
              <w:jc w:val="right"/>
              <w:rPr>
                <w:b/>
                <w:bCs/>
              </w:rPr>
            </w:pPr>
            <w:r w:rsidRPr="00730DE4">
              <w:rPr>
                <w:rStyle w:val="Strong"/>
              </w:rPr>
              <w:t xml:space="preserve">116,296,966 </w:t>
            </w:r>
          </w:p>
        </w:tc>
        <w:tc>
          <w:tcPr>
            <w:tcW w:w="682" w:type="pct"/>
            <w:tcBorders>
              <w:top w:val="single" w:sz="4" w:space="0" w:color="auto"/>
              <w:left w:val="dotted" w:sz="4" w:space="0" w:color="BFBFBF" w:themeColor="background1" w:themeShade="BF"/>
              <w:bottom w:val="double" w:sz="4" w:space="0" w:color="auto"/>
              <w:right w:val="nil"/>
            </w:tcBorders>
            <w:shd w:val="clear" w:color="auto" w:fill="auto"/>
            <w:noWrap/>
            <w:hideMark/>
          </w:tcPr>
          <w:p w14:paraId="5B94CF8B" w14:textId="77777777" w:rsidR="00730DE4" w:rsidRPr="00730DE4" w:rsidRDefault="00730DE4" w:rsidP="00E71A69">
            <w:pPr>
              <w:pStyle w:val="NoSpacing"/>
              <w:jc w:val="right"/>
              <w:rPr>
                <w:rStyle w:val="Strong"/>
              </w:rPr>
            </w:pPr>
            <w:r w:rsidRPr="00730DE4">
              <w:rPr>
                <w:rStyle w:val="Strong"/>
              </w:rPr>
              <w:t xml:space="preserve">109,731,906 </w:t>
            </w:r>
          </w:p>
        </w:tc>
      </w:tr>
      <w:tr w:rsidR="00730DE4" w:rsidRPr="00730DE4" w14:paraId="272F87D5" w14:textId="77777777" w:rsidTr="00640FA4">
        <w:trPr>
          <w:trHeight w:val="454"/>
        </w:trPr>
        <w:tc>
          <w:tcPr>
            <w:tcW w:w="3257" w:type="pct"/>
            <w:tcBorders>
              <w:top w:val="double" w:sz="4" w:space="0" w:color="auto"/>
              <w:left w:val="nil"/>
              <w:bottom w:val="dotted" w:sz="4" w:space="0" w:color="BFBFBF" w:themeColor="background1" w:themeShade="BF"/>
              <w:right w:val="dotted" w:sz="4" w:space="0" w:color="BFBFBF" w:themeColor="background1" w:themeShade="BF"/>
            </w:tcBorders>
            <w:shd w:val="clear" w:color="auto" w:fill="auto"/>
            <w:noWrap/>
            <w:vAlign w:val="bottom"/>
          </w:tcPr>
          <w:p w14:paraId="2EF84DB4" w14:textId="77777777" w:rsidR="00730DE4" w:rsidRPr="00730DE4" w:rsidRDefault="00730DE4" w:rsidP="00E71A69">
            <w:pPr>
              <w:pStyle w:val="NoSpacing"/>
              <w:rPr>
                <w:rStyle w:val="Strong"/>
              </w:rPr>
            </w:pPr>
            <w:r w:rsidRPr="00730DE4">
              <w:t>The closing balance of Asset revaluation surplus comprises:</w:t>
            </w:r>
          </w:p>
        </w:tc>
        <w:tc>
          <w:tcPr>
            <w:tcW w:w="379"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06C9C8F0" w14:textId="77777777" w:rsidR="00730DE4" w:rsidRPr="00730DE4" w:rsidRDefault="00730DE4" w:rsidP="00E71A69">
            <w:pPr>
              <w:pStyle w:val="NoSpacing"/>
              <w:jc w:val="right"/>
            </w:pPr>
          </w:p>
        </w:tc>
        <w:tc>
          <w:tcPr>
            <w:tcW w:w="682"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062E4ACD" w14:textId="77777777" w:rsidR="00730DE4" w:rsidRPr="00730DE4" w:rsidRDefault="00730DE4" w:rsidP="00E71A69">
            <w:pPr>
              <w:pStyle w:val="NoSpacing"/>
              <w:jc w:val="right"/>
              <w:rPr>
                <w:rStyle w:val="Strong"/>
              </w:rPr>
            </w:pPr>
          </w:p>
        </w:tc>
        <w:tc>
          <w:tcPr>
            <w:tcW w:w="682" w:type="pct"/>
            <w:tcBorders>
              <w:top w:val="double" w:sz="4" w:space="0" w:color="auto"/>
              <w:left w:val="dotted" w:sz="4" w:space="0" w:color="BFBFBF" w:themeColor="background1" w:themeShade="BF"/>
              <w:bottom w:val="dotted" w:sz="4" w:space="0" w:color="BFBFBF" w:themeColor="background1" w:themeShade="BF"/>
              <w:right w:val="nil"/>
            </w:tcBorders>
            <w:shd w:val="clear" w:color="auto" w:fill="auto"/>
            <w:noWrap/>
            <w:vAlign w:val="bottom"/>
          </w:tcPr>
          <w:p w14:paraId="38F84302" w14:textId="77777777" w:rsidR="00730DE4" w:rsidRPr="00730DE4" w:rsidRDefault="00730DE4" w:rsidP="00E71A69">
            <w:pPr>
              <w:pStyle w:val="NoSpacing"/>
              <w:jc w:val="right"/>
              <w:rPr>
                <w:rStyle w:val="Strong"/>
              </w:rPr>
            </w:pPr>
          </w:p>
        </w:tc>
      </w:tr>
      <w:tr w:rsidR="00730DE4" w:rsidRPr="00730DE4" w14:paraId="6CD17E6C" w14:textId="77777777" w:rsidTr="00640FA4">
        <w:trPr>
          <w:trHeight w:val="240"/>
        </w:trPr>
        <w:tc>
          <w:tcPr>
            <w:tcW w:w="3257"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657AC3A1" w14:textId="77777777" w:rsidR="00730DE4" w:rsidRPr="00730DE4" w:rsidRDefault="00730DE4" w:rsidP="00E71A69">
            <w:pPr>
              <w:pStyle w:val="NoSpacing"/>
            </w:pPr>
            <w:r w:rsidRPr="00730DE4">
              <w:t>Land</w:t>
            </w:r>
          </w:p>
        </w:tc>
        <w:tc>
          <w:tcPr>
            <w:tcW w:w="37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31AFDBBE" w14:textId="77777777" w:rsidR="00730DE4" w:rsidRPr="00730DE4" w:rsidRDefault="00730DE4" w:rsidP="00E71A69">
            <w:pPr>
              <w:pStyle w:val="NoSpacing"/>
              <w:jc w:val="right"/>
            </w:pPr>
          </w:p>
        </w:tc>
        <w:tc>
          <w:tcPr>
            <w:tcW w:w="68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28DE336" w14:textId="77777777" w:rsidR="00730DE4" w:rsidRPr="00730DE4" w:rsidRDefault="00730DE4" w:rsidP="00E71A69">
            <w:pPr>
              <w:pStyle w:val="NoSpacing"/>
              <w:jc w:val="right"/>
            </w:pPr>
            <w:r w:rsidRPr="00730DE4">
              <w:t xml:space="preserve">3,811,289 </w:t>
            </w:r>
          </w:p>
        </w:tc>
        <w:tc>
          <w:tcPr>
            <w:tcW w:w="682"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8526AA1" w14:textId="77777777" w:rsidR="00730DE4" w:rsidRPr="00730DE4" w:rsidRDefault="00730DE4" w:rsidP="00E71A69">
            <w:pPr>
              <w:pStyle w:val="NoSpacing"/>
              <w:jc w:val="right"/>
            </w:pPr>
            <w:r w:rsidRPr="00730DE4">
              <w:t xml:space="preserve">3,599,935 </w:t>
            </w:r>
          </w:p>
        </w:tc>
      </w:tr>
      <w:tr w:rsidR="00730DE4" w:rsidRPr="00730DE4" w14:paraId="3979B08F" w14:textId="77777777" w:rsidTr="00640FA4">
        <w:trPr>
          <w:trHeight w:val="240"/>
        </w:trPr>
        <w:tc>
          <w:tcPr>
            <w:tcW w:w="3257"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3BEBF091" w14:textId="77777777" w:rsidR="00730DE4" w:rsidRPr="00730DE4" w:rsidRDefault="00730DE4" w:rsidP="00E71A69">
            <w:pPr>
              <w:pStyle w:val="NoSpacing"/>
            </w:pPr>
            <w:r w:rsidRPr="00730DE4">
              <w:t>Buildings</w:t>
            </w:r>
          </w:p>
        </w:tc>
        <w:tc>
          <w:tcPr>
            <w:tcW w:w="37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6578C3EA" w14:textId="77777777" w:rsidR="00730DE4" w:rsidRPr="00730DE4" w:rsidRDefault="00730DE4" w:rsidP="00E71A69">
            <w:pPr>
              <w:pStyle w:val="NoSpacing"/>
              <w:jc w:val="right"/>
            </w:pPr>
          </w:p>
        </w:tc>
        <w:tc>
          <w:tcPr>
            <w:tcW w:w="68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500CEA8" w14:textId="77777777" w:rsidR="00730DE4" w:rsidRPr="00730DE4" w:rsidRDefault="00730DE4" w:rsidP="00E71A69">
            <w:pPr>
              <w:pStyle w:val="NoSpacing"/>
              <w:jc w:val="right"/>
            </w:pPr>
            <w:r w:rsidRPr="00730DE4">
              <w:t xml:space="preserve">312,726 </w:t>
            </w:r>
          </w:p>
        </w:tc>
        <w:tc>
          <w:tcPr>
            <w:tcW w:w="682"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B04FD63" w14:textId="77777777" w:rsidR="00730DE4" w:rsidRPr="00730DE4" w:rsidRDefault="00730DE4" w:rsidP="00E71A69">
            <w:pPr>
              <w:pStyle w:val="NoSpacing"/>
              <w:jc w:val="right"/>
            </w:pPr>
            <w:r w:rsidRPr="00730DE4">
              <w:t xml:space="preserve">249,193 </w:t>
            </w:r>
          </w:p>
        </w:tc>
      </w:tr>
      <w:tr w:rsidR="00730DE4" w:rsidRPr="00730DE4" w14:paraId="2FCA8D0F" w14:textId="77777777" w:rsidTr="00640FA4">
        <w:trPr>
          <w:trHeight w:val="240"/>
        </w:trPr>
        <w:tc>
          <w:tcPr>
            <w:tcW w:w="3257"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0C771F84" w14:textId="77777777" w:rsidR="00730DE4" w:rsidRPr="00730DE4" w:rsidRDefault="00730DE4" w:rsidP="00E71A69">
            <w:pPr>
              <w:pStyle w:val="NoSpacing"/>
            </w:pPr>
            <w:r w:rsidRPr="00730DE4">
              <w:t>Major property, plant and equipment</w:t>
            </w:r>
          </w:p>
        </w:tc>
        <w:tc>
          <w:tcPr>
            <w:tcW w:w="37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5100BBF5" w14:textId="77777777" w:rsidR="00730DE4" w:rsidRPr="00730DE4" w:rsidRDefault="00730DE4" w:rsidP="00E71A69">
            <w:pPr>
              <w:pStyle w:val="NoSpacing"/>
              <w:jc w:val="right"/>
            </w:pPr>
          </w:p>
        </w:tc>
        <w:tc>
          <w:tcPr>
            <w:tcW w:w="68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43777E7" w14:textId="77777777" w:rsidR="00730DE4" w:rsidRPr="00730DE4" w:rsidRDefault="00730DE4" w:rsidP="00E71A69">
            <w:pPr>
              <w:pStyle w:val="NoSpacing"/>
              <w:jc w:val="right"/>
            </w:pPr>
            <w:r w:rsidRPr="00730DE4">
              <w:t xml:space="preserve">155,435 </w:t>
            </w:r>
          </w:p>
        </w:tc>
        <w:tc>
          <w:tcPr>
            <w:tcW w:w="682"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EFFA0D8" w14:textId="77777777" w:rsidR="00730DE4" w:rsidRPr="00730DE4" w:rsidRDefault="00730DE4" w:rsidP="00E71A69">
            <w:pPr>
              <w:pStyle w:val="NoSpacing"/>
              <w:jc w:val="right"/>
            </w:pPr>
            <w:r w:rsidRPr="00730DE4">
              <w:t xml:space="preserve">150,662 </w:t>
            </w:r>
          </w:p>
        </w:tc>
      </w:tr>
      <w:tr w:rsidR="00730DE4" w:rsidRPr="00730DE4" w14:paraId="69176F83" w14:textId="77777777" w:rsidTr="00640FA4">
        <w:trPr>
          <w:trHeight w:val="240"/>
        </w:trPr>
        <w:tc>
          <w:tcPr>
            <w:tcW w:w="3257"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08924567" w14:textId="77777777" w:rsidR="00730DE4" w:rsidRPr="00730DE4" w:rsidRDefault="00730DE4" w:rsidP="00E71A69">
            <w:pPr>
              <w:pStyle w:val="NoSpacing"/>
            </w:pPr>
            <w:r w:rsidRPr="00730DE4">
              <w:t>Infrastructure</w:t>
            </w:r>
          </w:p>
        </w:tc>
        <w:tc>
          <w:tcPr>
            <w:tcW w:w="37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6E7D48CC" w14:textId="77777777" w:rsidR="00730DE4" w:rsidRPr="00730DE4" w:rsidRDefault="00730DE4" w:rsidP="00E71A69">
            <w:pPr>
              <w:pStyle w:val="NoSpacing"/>
              <w:jc w:val="right"/>
            </w:pPr>
          </w:p>
        </w:tc>
        <w:tc>
          <w:tcPr>
            <w:tcW w:w="68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75EA5C8" w14:textId="77777777" w:rsidR="00730DE4" w:rsidRPr="00730DE4" w:rsidRDefault="00730DE4" w:rsidP="00E71A69">
            <w:pPr>
              <w:pStyle w:val="NoSpacing"/>
              <w:jc w:val="right"/>
            </w:pPr>
            <w:r w:rsidRPr="00730DE4">
              <w:t xml:space="preserve">30,544,416 </w:t>
            </w:r>
          </w:p>
        </w:tc>
        <w:tc>
          <w:tcPr>
            <w:tcW w:w="682"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50AC43E" w14:textId="77777777" w:rsidR="00730DE4" w:rsidRPr="00730DE4" w:rsidRDefault="00730DE4" w:rsidP="00E71A69">
            <w:pPr>
              <w:pStyle w:val="NoSpacing"/>
              <w:jc w:val="right"/>
            </w:pPr>
            <w:r w:rsidRPr="00730DE4">
              <w:t xml:space="preserve">29,185,206 </w:t>
            </w:r>
          </w:p>
        </w:tc>
      </w:tr>
      <w:tr w:rsidR="00730DE4" w:rsidRPr="00730DE4" w14:paraId="5C84B110" w14:textId="77777777" w:rsidTr="00640FA4">
        <w:trPr>
          <w:trHeight w:val="240"/>
        </w:trPr>
        <w:tc>
          <w:tcPr>
            <w:tcW w:w="3257" w:type="pct"/>
            <w:tcBorders>
              <w:top w:val="dotted" w:sz="4" w:space="0" w:color="BFBFBF" w:themeColor="background1" w:themeShade="BF"/>
              <w:left w:val="nil"/>
              <w:bottom w:val="double" w:sz="4" w:space="0" w:color="auto"/>
              <w:right w:val="dotted" w:sz="4" w:space="0" w:color="BFBFBF" w:themeColor="background1" w:themeShade="BF"/>
            </w:tcBorders>
            <w:shd w:val="clear" w:color="auto" w:fill="auto"/>
            <w:noWrap/>
            <w:vAlign w:val="bottom"/>
            <w:hideMark/>
          </w:tcPr>
          <w:p w14:paraId="431DF17F" w14:textId="77777777" w:rsidR="00730DE4" w:rsidRPr="00730DE4" w:rsidRDefault="00730DE4" w:rsidP="00E71A69">
            <w:pPr>
              <w:pStyle w:val="NoSpacing"/>
            </w:pPr>
            <w:r w:rsidRPr="00730DE4">
              <w:t>Service concession assets</w:t>
            </w:r>
          </w:p>
        </w:tc>
        <w:tc>
          <w:tcPr>
            <w:tcW w:w="379" w:type="pct"/>
            <w:tcBorders>
              <w:top w:val="dotted" w:sz="4" w:space="0" w:color="BFBFBF" w:themeColor="background1" w:themeShade="BF"/>
              <w:left w:val="dotted" w:sz="4" w:space="0" w:color="BFBFBF" w:themeColor="background1" w:themeShade="BF"/>
              <w:bottom w:val="double" w:sz="4" w:space="0" w:color="auto"/>
              <w:right w:val="dotted" w:sz="4" w:space="0" w:color="BFBFBF" w:themeColor="background1" w:themeShade="BF"/>
            </w:tcBorders>
            <w:shd w:val="clear" w:color="auto" w:fill="auto"/>
            <w:vAlign w:val="bottom"/>
            <w:hideMark/>
          </w:tcPr>
          <w:p w14:paraId="6EC6671B" w14:textId="77777777" w:rsidR="00730DE4" w:rsidRPr="00730DE4" w:rsidRDefault="00730DE4" w:rsidP="00E71A69">
            <w:pPr>
              <w:pStyle w:val="NoSpacing"/>
              <w:jc w:val="right"/>
            </w:pPr>
            <w:r w:rsidRPr="00730DE4">
              <w:t> </w:t>
            </w:r>
          </w:p>
        </w:tc>
        <w:tc>
          <w:tcPr>
            <w:tcW w:w="682" w:type="pct"/>
            <w:tcBorders>
              <w:top w:val="dotted" w:sz="4" w:space="0" w:color="BFBFBF" w:themeColor="background1" w:themeShade="BF"/>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vAlign w:val="bottom"/>
            <w:hideMark/>
          </w:tcPr>
          <w:p w14:paraId="4C6E6C12" w14:textId="77777777" w:rsidR="00730DE4" w:rsidRPr="00730DE4" w:rsidRDefault="00730DE4" w:rsidP="00E71A69">
            <w:pPr>
              <w:pStyle w:val="NoSpacing"/>
              <w:jc w:val="right"/>
            </w:pPr>
            <w:r w:rsidRPr="00730DE4">
              <w:t xml:space="preserve">3,861,127 </w:t>
            </w:r>
          </w:p>
        </w:tc>
        <w:tc>
          <w:tcPr>
            <w:tcW w:w="682" w:type="pct"/>
            <w:tcBorders>
              <w:top w:val="dotted" w:sz="4" w:space="0" w:color="BFBFBF" w:themeColor="background1" w:themeShade="BF"/>
              <w:left w:val="dotted" w:sz="4" w:space="0" w:color="BFBFBF" w:themeColor="background1" w:themeShade="BF"/>
              <w:bottom w:val="double" w:sz="4" w:space="0" w:color="auto"/>
              <w:right w:val="nil"/>
            </w:tcBorders>
            <w:shd w:val="clear" w:color="auto" w:fill="auto"/>
            <w:noWrap/>
            <w:vAlign w:val="bottom"/>
            <w:hideMark/>
          </w:tcPr>
          <w:p w14:paraId="4334D2B8" w14:textId="77777777" w:rsidR="00730DE4" w:rsidRPr="00730DE4" w:rsidRDefault="00730DE4" w:rsidP="00E71A69">
            <w:pPr>
              <w:pStyle w:val="NoSpacing"/>
              <w:jc w:val="right"/>
            </w:pPr>
            <w:r w:rsidRPr="00730DE4">
              <w:t xml:space="preserve">2,849,633 </w:t>
            </w:r>
          </w:p>
        </w:tc>
      </w:tr>
      <w:tr w:rsidR="00730DE4" w:rsidRPr="00730DE4" w14:paraId="5E5DFF08" w14:textId="77777777" w:rsidTr="00640FA4">
        <w:tc>
          <w:tcPr>
            <w:tcW w:w="3257" w:type="pct"/>
            <w:tcBorders>
              <w:top w:val="double" w:sz="4" w:space="0" w:color="auto"/>
              <w:left w:val="nil"/>
              <w:bottom w:val="single" w:sz="4" w:space="0" w:color="auto"/>
              <w:right w:val="dotted" w:sz="4" w:space="0" w:color="BFBFBF" w:themeColor="background1" w:themeShade="BF"/>
            </w:tcBorders>
            <w:shd w:val="clear" w:color="auto" w:fill="auto"/>
            <w:noWrap/>
            <w:hideMark/>
          </w:tcPr>
          <w:p w14:paraId="698992F1" w14:textId="77777777" w:rsidR="00730DE4" w:rsidRPr="00730DE4" w:rsidRDefault="00730DE4" w:rsidP="00E71A69">
            <w:pPr>
              <w:pStyle w:val="NoSpacing"/>
            </w:pPr>
            <w:r w:rsidRPr="00730DE4">
              <w:t>Closing balance</w:t>
            </w:r>
          </w:p>
        </w:tc>
        <w:tc>
          <w:tcPr>
            <w:tcW w:w="379" w:type="pct"/>
            <w:tcBorders>
              <w:top w:val="double" w:sz="4" w:space="0" w:color="auto"/>
              <w:left w:val="dotted" w:sz="4" w:space="0" w:color="BFBFBF" w:themeColor="background1" w:themeShade="BF"/>
              <w:bottom w:val="single" w:sz="4" w:space="0" w:color="auto"/>
              <w:right w:val="dotted" w:sz="4" w:space="0" w:color="BFBFBF" w:themeColor="background1" w:themeShade="BF"/>
            </w:tcBorders>
            <w:shd w:val="clear" w:color="auto" w:fill="auto"/>
            <w:noWrap/>
            <w:hideMark/>
          </w:tcPr>
          <w:p w14:paraId="5DD7297A" w14:textId="77777777" w:rsidR="00730DE4" w:rsidRPr="00730DE4" w:rsidRDefault="00730DE4" w:rsidP="00E71A69">
            <w:pPr>
              <w:pStyle w:val="NoSpacing"/>
              <w:jc w:val="right"/>
            </w:pPr>
            <w:r w:rsidRPr="00730DE4">
              <w:t> </w:t>
            </w:r>
          </w:p>
        </w:tc>
        <w:tc>
          <w:tcPr>
            <w:tcW w:w="682" w:type="pct"/>
            <w:tcBorders>
              <w:top w:val="double" w:sz="4" w:space="0" w:color="auto"/>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hideMark/>
          </w:tcPr>
          <w:p w14:paraId="225F05D0" w14:textId="77777777" w:rsidR="00730DE4" w:rsidRPr="00730DE4" w:rsidRDefault="00730DE4" w:rsidP="00E71A69">
            <w:pPr>
              <w:pStyle w:val="NoSpacing"/>
              <w:jc w:val="right"/>
            </w:pPr>
            <w:r w:rsidRPr="00730DE4">
              <w:t xml:space="preserve">38,684,993 </w:t>
            </w:r>
          </w:p>
        </w:tc>
        <w:tc>
          <w:tcPr>
            <w:tcW w:w="682" w:type="pct"/>
            <w:tcBorders>
              <w:top w:val="double" w:sz="4" w:space="0" w:color="auto"/>
              <w:left w:val="dotted" w:sz="4" w:space="0" w:color="BFBFBF" w:themeColor="background1" w:themeShade="BF"/>
              <w:bottom w:val="single" w:sz="4" w:space="0" w:color="auto"/>
              <w:right w:val="nil"/>
            </w:tcBorders>
            <w:shd w:val="clear" w:color="auto" w:fill="auto"/>
            <w:noWrap/>
            <w:hideMark/>
          </w:tcPr>
          <w:p w14:paraId="326EC3E5" w14:textId="77777777" w:rsidR="00730DE4" w:rsidRPr="00730DE4" w:rsidRDefault="00730DE4" w:rsidP="00E71A69">
            <w:pPr>
              <w:pStyle w:val="NoSpacing"/>
              <w:jc w:val="right"/>
            </w:pPr>
            <w:r w:rsidRPr="00730DE4">
              <w:t xml:space="preserve">36,034,629 </w:t>
            </w:r>
          </w:p>
        </w:tc>
      </w:tr>
    </w:tbl>
    <w:p w14:paraId="570DC3C0" w14:textId="77777777" w:rsidR="00730DE4" w:rsidRPr="00730DE4" w:rsidRDefault="00730DE4" w:rsidP="00912007">
      <w:pPr>
        <w:pStyle w:val="List0"/>
      </w:pPr>
      <w:r w:rsidRPr="00730DE4">
        <w:t>* Relates to the 18 May 2023 machinery-of-government change.</w:t>
      </w:r>
    </w:p>
    <w:p w14:paraId="461B8187" w14:textId="77777777" w:rsidR="00730DE4" w:rsidRPr="00730DE4" w:rsidRDefault="00730DE4" w:rsidP="006D2F0E">
      <w:pPr>
        <w:pStyle w:val="Caption"/>
        <w:rPr>
          <w:rStyle w:val="Emphasis"/>
        </w:rPr>
      </w:pPr>
      <w:r w:rsidRPr="00730DE4">
        <w:rPr>
          <w:rStyle w:val="Emphasis"/>
        </w:rPr>
        <w:t>The accompanying notes form part of these financial statements.</w:t>
      </w:r>
    </w:p>
    <w:p w14:paraId="2844FDA6" w14:textId="77777777" w:rsidR="00730DE4" w:rsidRPr="00730DE4" w:rsidRDefault="00730DE4" w:rsidP="003C13D4">
      <w:pPr>
        <w:rPr>
          <w:rStyle w:val="Strong"/>
        </w:rPr>
      </w:pPr>
      <w:r w:rsidRPr="00730DE4">
        <w:rPr>
          <w:rStyle w:val="Strong"/>
        </w:rPr>
        <w:t>Accounting policy</w:t>
      </w:r>
    </w:p>
    <w:p w14:paraId="79C38877" w14:textId="77777777" w:rsidR="00730DE4" w:rsidRPr="00730DE4" w:rsidRDefault="00730DE4" w:rsidP="003C13D4">
      <w:pPr>
        <w:rPr>
          <w:color w:val="080C0F" w:themeColor="text1"/>
        </w:rPr>
      </w:pPr>
      <w:r w:rsidRPr="00730DE4">
        <w:rPr>
          <w:color w:val="080C0F" w:themeColor="text1"/>
        </w:rPr>
        <w:t xml:space="preserve">Non-reciprocal transfers of assets and liabilities between wholly-owned Queensland State Public Sector entities are adjusted to contributed equity. These adjustments are made in accordance with Interpretation 1038 </w:t>
      </w:r>
      <w:r w:rsidRPr="00730DE4">
        <w:rPr>
          <w:i/>
          <w:iCs/>
          <w:color w:val="080C0F" w:themeColor="text1"/>
        </w:rPr>
        <w:t>Contributions by Owners Made to Wholly-Owned Public Sector Entities</w:t>
      </w:r>
      <w:r w:rsidRPr="00730DE4">
        <w:rPr>
          <w:color w:val="080C0F" w:themeColor="text1"/>
        </w:rPr>
        <w:t>. Appropriations for equity adjustments are similarly designated.</w:t>
      </w:r>
    </w:p>
    <w:p w14:paraId="5D574227" w14:textId="77777777" w:rsidR="00730DE4" w:rsidRPr="00730DE4" w:rsidRDefault="00730DE4" w:rsidP="006A14A6">
      <w:pPr>
        <w:pStyle w:val="Heading2"/>
      </w:pPr>
      <w:bookmarkStart w:id="1428" w:name="_Toc179365598"/>
      <w:bookmarkStart w:id="1429" w:name="_Toc180490903"/>
      <w:bookmarkStart w:id="1430" w:name="_Toc180491936"/>
      <w:r w:rsidRPr="00730DE4">
        <w:t>Statement of cash flows</w:t>
      </w:r>
      <w:bookmarkEnd w:id="1428"/>
      <w:bookmarkEnd w:id="1429"/>
      <w:bookmarkEnd w:id="1430"/>
    </w:p>
    <w:p w14:paraId="7791B4FF" w14:textId="77777777" w:rsidR="00730DE4" w:rsidRPr="00730DE4" w:rsidRDefault="00730DE4" w:rsidP="009D3417">
      <w:pPr>
        <w:pStyle w:val="NoSpacing"/>
        <w:rPr>
          <w:sz w:val="24"/>
          <w:szCs w:val="24"/>
        </w:rPr>
      </w:pPr>
      <w:r w:rsidRPr="00730DE4">
        <w:rPr>
          <w:sz w:val="24"/>
          <w:szCs w:val="24"/>
        </w:rPr>
        <w:t>For the year ended 30 June 2024</w:t>
      </w:r>
    </w:p>
    <w:tbl>
      <w:tblPr>
        <w:tblW w:w="5000" w:type="pct"/>
        <w:tblCellMar>
          <w:top w:w="23" w:type="dxa"/>
          <w:left w:w="23" w:type="dxa"/>
          <w:bottom w:w="23" w:type="dxa"/>
          <w:right w:w="23" w:type="dxa"/>
        </w:tblCellMar>
        <w:tblLook w:val="04A0" w:firstRow="1" w:lastRow="0" w:firstColumn="1" w:lastColumn="0" w:noHBand="0" w:noVBand="1"/>
      </w:tblPr>
      <w:tblGrid>
        <w:gridCol w:w="5804"/>
        <w:gridCol w:w="1633"/>
        <w:gridCol w:w="1633"/>
      </w:tblGrid>
      <w:tr w:rsidR="00730DE4" w:rsidRPr="00730DE4" w14:paraId="03A85265" w14:textId="77777777" w:rsidTr="00253FBD">
        <w:trPr>
          <w:trHeight w:val="240"/>
        </w:trPr>
        <w:tc>
          <w:tcPr>
            <w:tcW w:w="3200" w:type="pct"/>
            <w:tcBorders>
              <w:top w:val="nil"/>
              <w:left w:val="nil"/>
              <w:bottom w:val="single" w:sz="4" w:space="0" w:color="auto"/>
              <w:right w:val="nil"/>
            </w:tcBorders>
            <w:shd w:val="clear" w:color="auto" w:fill="auto"/>
            <w:noWrap/>
            <w:vAlign w:val="bottom"/>
            <w:hideMark/>
          </w:tcPr>
          <w:p w14:paraId="2BD98AE2" w14:textId="77777777" w:rsidR="00730DE4" w:rsidRPr="00730DE4" w:rsidRDefault="00730DE4" w:rsidP="00F46338">
            <w:pPr>
              <w:pStyle w:val="NoSpacing"/>
            </w:pPr>
          </w:p>
        </w:tc>
        <w:tc>
          <w:tcPr>
            <w:tcW w:w="900" w:type="pct"/>
            <w:tcBorders>
              <w:top w:val="nil"/>
              <w:left w:val="nil"/>
              <w:bottom w:val="single" w:sz="4" w:space="0" w:color="auto"/>
              <w:right w:val="nil"/>
            </w:tcBorders>
            <w:shd w:val="clear" w:color="auto" w:fill="auto"/>
            <w:noWrap/>
            <w:vAlign w:val="bottom"/>
            <w:hideMark/>
          </w:tcPr>
          <w:p w14:paraId="53B1B779" w14:textId="77777777" w:rsidR="00730DE4" w:rsidRPr="00730DE4" w:rsidRDefault="00730DE4" w:rsidP="00F46338">
            <w:pPr>
              <w:pStyle w:val="NoSpacing"/>
              <w:jc w:val="right"/>
            </w:pPr>
            <w:r w:rsidRPr="00730DE4">
              <w:rPr>
                <w:rStyle w:val="Strong"/>
              </w:rPr>
              <w:t xml:space="preserve">2024 </w:t>
            </w:r>
            <w:r w:rsidRPr="00730DE4">
              <w:rPr>
                <w:rStyle w:val="Strong"/>
              </w:rPr>
              <w:br/>
              <w:t>$'000</w:t>
            </w:r>
          </w:p>
        </w:tc>
        <w:tc>
          <w:tcPr>
            <w:tcW w:w="900" w:type="pct"/>
            <w:tcBorders>
              <w:top w:val="nil"/>
              <w:left w:val="nil"/>
              <w:bottom w:val="single" w:sz="4" w:space="0" w:color="auto"/>
              <w:right w:val="nil"/>
            </w:tcBorders>
            <w:shd w:val="clear" w:color="auto" w:fill="auto"/>
            <w:noWrap/>
            <w:vAlign w:val="bottom"/>
            <w:hideMark/>
          </w:tcPr>
          <w:p w14:paraId="63D87FB6" w14:textId="77777777" w:rsidR="00730DE4" w:rsidRPr="00730DE4" w:rsidRDefault="00730DE4" w:rsidP="00F46338">
            <w:pPr>
              <w:pStyle w:val="NoSpacing"/>
              <w:jc w:val="right"/>
              <w:rPr>
                <w:rStyle w:val="Strong"/>
              </w:rPr>
            </w:pPr>
            <w:r w:rsidRPr="00730DE4">
              <w:rPr>
                <w:rStyle w:val="Strong"/>
              </w:rPr>
              <w:t xml:space="preserve">2023 </w:t>
            </w:r>
            <w:r w:rsidRPr="00730DE4">
              <w:rPr>
                <w:rStyle w:val="Strong"/>
              </w:rPr>
              <w:br/>
              <w:t>$'000</w:t>
            </w:r>
          </w:p>
        </w:tc>
      </w:tr>
      <w:tr w:rsidR="00730DE4" w:rsidRPr="00730DE4" w14:paraId="7633B999" w14:textId="77777777" w:rsidTr="002F7278">
        <w:trPr>
          <w:trHeight w:val="454"/>
        </w:trPr>
        <w:tc>
          <w:tcPr>
            <w:tcW w:w="3200"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vAlign w:val="bottom"/>
          </w:tcPr>
          <w:p w14:paraId="6B6DA808" w14:textId="77777777" w:rsidR="00730DE4" w:rsidRPr="00730DE4" w:rsidRDefault="00730DE4" w:rsidP="00F46338">
            <w:pPr>
              <w:pStyle w:val="NoSpacing"/>
              <w:rPr>
                <w:rStyle w:val="Strong"/>
              </w:rPr>
            </w:pPr>
            <w:r w:rsidRPr="00730DE4">
              <w:rPr>
                <w:rStyle w:val="Strong"/>
              </w:rPr>
              <w:t>Cash flows from operating activities</w:t>
            </w:r>
          </w:p>
        </w:tc>
        <w:tc>
          <w:tcPr>
            <w:tcW w:w="900"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68D435B6" w14:textId="77777777" w:rsidR="00730DE4" w:rsidRPr="00730DE4" w:rsidRDefault="00730DE4" w:rsidP="00F46338">
            <w:pPr>
              <w:pStyle w:val="NoSpacing"/>
              <w:jc w:val="right"/>
              <w:rPr>
                <w:rStyle w:val="Strong"/>
              </w:rPr>
            </w:pPr>
          </w:p>
        </w:tc>
        <w:tc>
          <w:tcPr>
            <w:tcW w:w="900"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vAlign w:val="bottom"/>
          </w:tcPr>
          <w:p w14:paraId="301D7C3B" w14:textId="77777777" w:rsidR="00730DE4" w:rsidRPr="00730DE4" w:rsidRDefault="00730DE4" w:rsidP="00F46338">
            <w:pPr>
              <w:pStyle w:val="NoSpacing"/>
              <w:jc w:val="right"/>
              <w:rPr>
                <w:rStyle w:val="Strong"/>
              </w:rPr>
            </w:pPr>
          </w:p>
        </w:tc>
      </w:tr>
      <w:tr w:rsidR="00730DE4" w:rsidRPr="00730DE4" w14:paraId="76F62FA7" w14:textId="77777777" w:rsidTr="002F7278">
        <w:trPr>
          <w:trHeight w:val="240"/>
        </w:trPr>
        <w:tc>
          <w:tcPr>
            <w:tcW w:w="320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39641E70" w14:textId="77777777" w:rsidR="00730DE4" w:rsidRPr="00730DE4" w:rsidRDefault="00730DE4" w:rsidP="006D2F0E">
            <w:pPr>
              <w:pStyle w:val="NoSpacingIndent"/>
            </w:pPr>
            <w:r w:rsidRPr="00730DE4">
              <w:rPr>
                <w:rStyle w:val="Emphasis"/>
              </w:rPr>
              <w:t>Inflows</w:t>
            </w:r>
            <w:r w:rsidRPr="00730DE4">
              <w:t>:</w:t>
            </w:r>
          </w:p>
        </w:tc>
        <w:tc>
          <w:tcPr>
            <w:tcW w:w="90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0F09244" w14:textId="77777777" w:rsidR="00730DE4" w:rsidRPr="00730DE4" w:rsidRDefault="00730DE4" w:rsidP="00F46338">
            <w:pPr>
              <w:pStyle w:val="NoSpacing"/>
              <w:jc w:val="right"/>
            </w:pPr>
          </w:p>
        </w:tc>
        <w:tc>
          <w:tcPr>
            <w:tcW w:w="90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82823E7" w14:textId="77777777" w:rsidR="00730DE4" w:rsidRPr="00730DE4" w:rsidRDefault="00730DE4" w:rsidP="00F46338">
            <w:pPr>
              <w:pStyle w:val="NoSpacing"/>
              <w:jc w:val="right"/>
            </w:pPr>
          </w:p>
        </w:tc>
      </w:tr>
      <w:tr w:rsidR="00730DE4" w:rsidRPr="00730DE4" w14:paraId="6177754A" w14:textId="77777777" w:rsidTr="002F7278">
        <w:trPr>
          <w:trHeight w:val="240"/>
        </w:trPr>
        <w:tc>
          <w:tcPr>
            <w:tcW w:w="320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5D8F1898" w14:textId="77777777" w:rsidR="00730DE4" w:rsidRPr="00730DE4" w:rsidRDefault="00730DE4" w:rsidP="006D2F0E">
            <w:pPr>
              <w:pStyle w:val="NoSpacingIndent"/>
            </w:pPr>
            <w:r w:rsidRPr="00730DE4">
              <w:t>Service appropriation receipts</w:t>
            </w:r>
          </w:p>
        </w:tc>
        <w:tc>
          <w:tcPr>
            <w:tcW w:w="90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5AF7408" w14:textId="77777777" w:rsidR="00730DE4" w:rsidRPr="00730DE4" w:rsidRDefault="00730DE4" w:rsidP="00F46338">
            <w:pPr>
              <w:pStyle w:val="NoSpacing"/>
              <w:jc w:val="right"/>
            </w:pPr>
            <w:r w:rsidRPr="00730DE4">
              <w:t xml:space="preserve">7,022,253 </w:t>
            </w:r>
          </w:p>
        </w:tc>
        <w:tc>
          <w:tcPr>
            <w:tcW w:w="90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47033790" w14:textId="77777777" w:rsidR="00730DE4" w:rsidRPr="00730DE4" w:rsidRDefault="00730DE4" w:rsidP="00F46338">
            <w:pPr>
              <w:pStyle w:val="NoSpacing"/>
              <w:jc w:val="right"/>
            </w:pPr>
            <w:r w:rsidRPr="00730DE4">
              <w:t xml:space="preserve">6,361,615 </w:t>
            </w:r>
          </w:p>
        </w:tc>
      </w:tr>
      <w:tr w:rsidR="00730DE4" w:rsidRPr="00730DE4" w14:paraId="50482250" w14:textId="77777777" w:rsidTr="002F7278">
        <w:trPr>
          <w:trHeight w:val="240"/>
        </w:trPr>
        <w:tc>
          <w:tcPr>
            <w:tcW w:w="320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3EDB79E4" w14:textId="77777777" w:rsidR="00730DE4" w:rsidRPr="00730DE4" w:rsidRDefault="00730DE4" w:rsidP="006D2F0E">
            <w:pPr>
              <w:pStyle w:val="NoSpacingIndent"/>
            </w:pPr>
            <w:r w:rsidRPr="00730DE4">
              <w:t>User charges and fees</w:t>
            </w:r>
          </w:p>
        </w:tc>
        <w:tc>
          <w:tcPr>
            <w:tcW w:w="90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4DFE9C9" w14:textId="77777777" w:rsidR="00730DE4" w:rsidRPr="00730DE4" w:rsidRDefault="00730DE4" w:rsidP="00F46338">
            <w:pPr>
              <w:pStyle w:val="NoSpacing"/>
              <w:jc w:val="right"/>
            </w:pPr>
            <w:r w:rsidRPr="00730DE4">
              <w:t xml:space="preserve">963,850 </w:t>
            </w:r>
          </w:p>
        </w:tc>
        <w:tc>
          <w:tcPr>
            <w:tcW w:w="90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D188236" w14:textId="77777777" w:rsidR="00730DE4" w:rsidRPr="00730DE4" w:rsidRDefault="00730DE4" w:rsidP="00F46338">
            <w:pPr>
              <w:pStyle w:val="NoSpacing"/>
              <w:jc w:val="right"/>
            </w:pPr>
            <w:r w:rsidRPr="00730DE4">
              <w:t xml:space="preserve">824,841 </w:t>
            </w:r>
          </w:p>
        </w:tc>
      </w:tr>
      <w:tr w:rsidR="00730DE4" w:rsidRPr="00730DE4" w14:paraId="2D381912" w14:textId="77777777" w:rsidTr="002F7278">
        <w:trPr>
          <w:trHeight w:val="240"/>
        </w:trPr>
        <w:tc>
          <w:tcPr>
            <w:tcW w:w="320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A5948F3" w14:textId="77777777" w:rsidR="00730DE4" w:rsidRPr="00730DE4" w:rsidRDefault="00730DE4" w:rsidP="006D2F0E">
            <w:pPr>
              <w:pStyle w:val="NoSpacingIndent"/>
            </w:pPr>
            <w:r w:rsidRPr="00730DE4">
              <w:t xml:space="preserve">Grants and other contributions </w:t>
            </w:r>
          </w:p>
        </w:tc>
        <w:tc>
          <w:tcPr>
            <w:tcW w:w="90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E509613" w14:textId="77777777" w:rsidR="00730DE4" w:rsidRPr="00730DE4" w:rsidRDefault="00730DE4" w:rsidP="00F46338">
            <w:pPr>
              <w:pStyle w:val="NoSpacing"/>
              <w:jc w:val="right"/>
            </w:pPr>
            <w:r w:rsidRPr="00730DE4">
              <w:t xml:space="preserve">555,035 </w:t>
            </w:r>
          </w:p>
        </w:tc>
        <w:tc>
          <w:tcPr>
            <w:tcW w:w="90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49A443A" w14:textId="77777777" w:rsidR="00730DE4" w:rsidRPr="00730DE4" w:rsidRDefault="00730DE4" w:rsidP="00F46338">
            <w:pPr>
              <w:pStyle w:val="NoSpacing"/>
              <w:jc w:val="right"/>
            </w:pPr>
            <w:r w:rsidRPr="00730DE4">
              <w:t xml:space="preserve">224,708 </w:t>
            </w:r>
          </w:p>
        </w:tc>
      </w:tr>
      <w:tr w:rsidR="00730DE4" w:rsidRPr="00730DE4" w14:paraId="42E69094" w14:textId="77777777" w:rsidTr="002F7278">
        <w:trPr>
          <w:trHeight w:val="240"/>
        </w:trPr>
        <w:tc>
          <w:tcPr>
            <w:tcW w:w="320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5C26A3A0" w14:textId="77777777" w:rsidR="00730DE4" w:rsidRPr="00730DE4" w:rsidRDefault="00730DE4" w:rsidP="006D2F0E">
            <w:pPr>
              <w:pStyle w:val="NoSpacingIndent"/>
            </w:pPr>
            <w:r w:rsidRPr="00730DE4">
              <w:t>GST input tax credits from ATO</w:t>
            </w:r>
          </w:p>
        </w:tc>
        <w:tc>
          <w:tcPr>
            <w:tcW w:w="90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1601408" w14:textId="77777777" w:rsidR="00730DE4" w:rsidRPr="00730DE4" w:rsidRDefault="00730DE4" w:rsidP="00F46338">
            <w:pPr>
              <w:pStyle w:val="NoSpacing"/>
              <w:jc w:val="right"/>
            </w:pPr>
            <w:r w:rsidRPr="00730DE4">
              <w:t xml:space="preserve">1,039,416 </w:t>
            </w:r>
          </w:p>
        </w:tc>
        <w:tc>
          <w:tcPr>
            <w:tcW w:w="90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DED47C0" w14:textId="77777777" w:rsidR="00730DE4" w:rsidRPr="00730DE4" w:rsidRDefault="00730DE4" w:rsidP="00F46338">
            <w:pPr>
              <w:pStyle w:val="NoSpacing"/>
              <w:jc w:val="right"/>
            </w:pPr>
            <w:r w:rsidRPr="00730DE4">
              <w:t xml:space="preserve">1,025,155 </w:t>
            </w:r>
          </w:p>
        </w:tc>
      </w:tr>
      <w:tr w:rsidR="00730DE4" w:rsidRPr="00730DE4" w14:paraId="60D73D76" w14:textId="77777777" w:rsidTr="002F7278">
        <w:trPr>
          <w:trHeight w:val="240"/>
        </w:trPr>
        <w:tc>
          <w:tcPr>
            <w:tcW w:w="320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245531C" w14:textId="77777777" w:rsidR="00730DE4" w:rsidRPr="00730DE4" w:rsidRDefault="00730DE4" w:rsidP="006D2F0E">
            <w:pPr>
              <w:pStyle w:val="NoSpacingIndent"/>
            </w:pPr>
            <w:r w:rsidRPr="00730DE4">
              <w:t>GST collected from customers</w:t>
            </w:r>
          </w:p>
        </w:tc>
        <w:tc>
          <w:tcPr>
            <w:tcW w:w="90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8922EBD" w14:textId="77777777" w:rsidR="00730DE4" w:rsidRPr="00730DE4" w:rsidRDefault="00730DE4" w:rsidP="00F46338">
            <w:pPr>
              <w:pStyle w:val="NoSpacing"/>
              <w:jc w:val="right"/>
            </w:pPr>
            <w:r w:rsidRPr="00730DE4">
              <w:t xml:space="preserve">137,618 </w:t>
            </w:r>
          </w:p>
        </w:tc>
        <w:tc>
          <w:tcPr>
            <w:tcW w:w="90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B17F321" w14:textId="77777777" w:rsidR="00730DE4" w:rsidRPr="00730DE4" w:rsidRDefault="00730DE4" w:rsidP="00F46338">
            <w:pPr>
              <w:pStyle w:val="NoSpacing"/>
              <w:jc w:val="right"/>
            </w:pPr>
            <w:r w:rsidRPr="00730DE4">
              <w:t xml:space="preserve">86,427 </w:t>
            </w:r>
          </w:p>
        </w:tc>
      </w:tr>
      <w:tr w:rsidR="00730DE4" w:rsidRPr="00730DE4" w14:paraId="187CAAD0" w14:textId="77777777" w:rsidTr="002F7278">
        <w:trPr>
          <w:trHeight w:val="240"/>
        </w:trPr>
        <w:tc>
          <w:tcPr>
            <w:tcW w:w="320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3C5DB71A" w14:textId="77777777" w:rsidR="00730DE4" w:rsidRPr="00730DE4" w:rsidRDefault="00730DE4" w:rsidP="006D2F0E">
            <w:pPr>
              <w:pStyle w:val="NoSpacingIndent"/>
            </w:pPr>
            <w:r w:rsidRPr="00730DE4">
              <w:t xml:space="preserve">Other </w:t>
            </w:r>
          </w:p>
        </w:tc>
        <w:tc>
          <w:tcPr>
            <w:tcW w:w="90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246351D" w14:textId="77777777" w:rsidR="00730DE4" w:rsidRPr="00730DE4" w:rsidRDefault="00730DE4" w:rsidP="00F46338">
            <w:pPr>
              <w:pStyle w:val="NoSpacing"/>
              <w:jc w:val="right"/>
            </w:pPr>
            <w:r w:rsidRPr="00730DE4">
              <w:t xml:space="preserve">36,481 </w:t>
            </w:r>
          </w:p>
        </w:tc>
        <w:tc>
          <w:tcPr>
            <w:tcW w:w="90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A707D1E" w14:textId="77777777" w:rsidR="00730DE4" w:rsidRPr="00730DE4" w:rsidRDefault="00730DE4" w:rsidP="00F46338">
            <w:pPr>
              <w:pStyle w:val="NoSpacing"/>
              <w:jc w:val="right"/>
            </w:pPr>
            <w:r w:rsidRPr="00730DE4">
              <w:t xml:space="preserve">32,532 </w:t>
            </w:r>
          </w:p>
        </w:tc>
      </w:tr>
      <w:tr w:rsidR="00730DE4" w:rsidRPr="00730DE4" w14:paraId="32002D17" w14:textId="77777777" w:rsidTr="002F7278">
        <w:trPr>
          <w:trHeight w:val="240"/>
        </w:trPr>
        <w:tc>
          <w:tcPr>
            <w:tcW w:w="320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01B1A8E9" w14:textId="77777777" w:rsidR="00730DE4" w:rsidRPr="00730DE4" w:rsidRDefault="00730DE4" w:rsidP="006D2F0E">
            <w:pPr>
              <w:pStyle w:val="NoSpacingIndent"/>
            </w:pPr>
            <w:r w:rsidRPr="00730DE4">
              <w:rPr>
                <w:rStyle w:val="Emphasis"/>
              </w:rPr>
              <w:t>Outflows</w:t>
            </w:r>
            <w:r w:rsidRPr="00730DE4">
              <w:t>:</w:t>
            </w:r>
          </w:p>
        </w:tc>
        <w:tc>
          <w:tcPr>
            <w:tcW w:w="90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7A9A0BA" w14:textId="77777777" w:rsidR="00730DE4" w:rsidRPr="00730DE4" w:rsidRDefault="00730DE4" w:rsidP="00F46338">
            <w:pPr>
              <w:pStyle w:val="NoSpacing"/>
              <w:jc w:val="right"/>
            </w:pPr>
            <w:r w:rsidRPr="00730DE4">
              <w:t> </w:t>
            </w:r>
          </w:p>
        </w:tc>
        <w:tc>
          <w:tcPr>
            <w:tcW w:w="90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187CE3F" w14:textId="77777777" w:rsidR="00730DE4" w:rsidRPr="00730DE4" w:rsidRDefault="00730DE4" w:rsidP="00F46338">
            <w:pPr>
              <w:pStyle w:val="NoSpacing"/>
              <w:jc w:val="right"/>
            </w:pPr>
          </w:p>
        </w:tc>
      </w:tr>
      <w:tr w:rsidR="00730DE4" w:rsidRPr="00730DE4" w14:paraId="2984AC6F" w14:textId="77777777" w:rsidTr="002F7278">
        <w:trPr>
          <w:trHeight w:val="240"/>
        </w:trPr>
        <w:tc>
          <w:tcPr>
            <w:tcW w:w="320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4BCE9BE7" w14:textId="77777777" w:rsidR="00730DE4" w:rsidRPr="00730DE4" w:rsidRDefault="00730DE4" w:rsidP="006D2F0E">
            <w:pPr>
              <w:pStyle w:val="NoSpacingIndent"/>
            </w:pPr>
            <w:r w:rsidRPr="00730DE4">
              <w:t>Employee expenses</w:t>
            </w:r>
          </w:p>
        </w:tc>
        <w:tc>
          <w:tcPr>
            <w:tcW w:w="90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03FD0DF" w14:textId="77777777" w:rsidR="00730DE4" w:rsidRPr="00730DE4" w:rsidRDefault="00730DE4" w:rsidP="00F46338">
            <w:pPr>
              <w:pStyle w:val="NoSpacing"/>
              <w:jc w:val="right"/>
            </w:pPr>
            <w:r w:rsidRPr="00730DE4">
              <w:t>(1,046,838)</w:t>
            </w:r>
          </w:p>
        </w:tc>
        <w:tc>
          <w:tcPr>
            <w:tcW w:w="90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B3CE0B1" w14:textId="77777777" w:rsidR="00730DE4" w:rsidRPr="00730DE4" w:rsidRDefault="00730DE4" w:rsidP="00F46338">
            <w:pPr>
              <w:pStyle w:val="NoSpacing"/>
              <w:jc w:val="right"/>
            </w:pPr>
            <w:r w:rsidRPr="00730DE4">
              <w:t>(701,220)</w:t>
            </w:r>
          </w:p>
        </w:tc>
      </w:tr>
      <w:tr w:rsidR="00730DE4" w:rsidRPr="00730DE4" w14:paraId="1646660C" w14:textId="77777777" w:rsidTr="002F7278">
        <w:trPr>
          <w:trHeight w:val="240"/>
        </w:trPr>
        <w:tc>
          <w:tcPr>
            <w:tcW w:w="320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61D7F8C3" w14:textId="77777777" w:rsidR="00730DE4" w:rsidRPr="00730DE4" w:rsidRDefault="00730DE4" w:rsidP="006D2F0E">
            <w:pPr>
              <w:pStyle w:val="NoSpacingIndent"/>
            </w:pPr>
            <w:r w:rsidRPr="00730DE4">
              <w:t xml:space="preserve">Supplies and services </w:t>
            </w:r>
          </w:p>
        </w:tc>
        <w:tc>
          <w:tcPr>
            <w:tcW w:w="90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56F33E5" w14:textId="77777777" w:rsidR="00730DE4" w:rsidRPr="00730DE4" w:rsidRDefault="00730DE4" w:rsidP="00F46338">
            <w:pPr>
              <w:pStyle w:val="NoSpacing"/>
              <w:jc w:val="right"/>
            </w:pPr>
            <w:r w:rsidRPr="00730DE4">
              <w:t>(4,972,938)</w:t>
            </w:r>
          </w:p>
        </w:tc>
        <w:tc>
          <w:tcPr>
            <w:tcW w:w="90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626B6FB" w14:textId="77777777" w:rsidR="00730DE4" w:rsidRPr="00730DE4" w:rsidRDefault="00730DE4" w:rsidP="00F46338">
            <w:pPr>
              <w:pStyle w:val="NoSpacing"/>
              <w:jc w:val="right"/>
            </w:pPr>
            <w:r w:rsidRPr="00730DE4">
              <w:t>(4,357,085)</w:t>
            </w:r>
          </w:p>
        </w:tc>
      </w:tr>
      <w:tr w:rsidR="00730DE4" w:rsidRPr="00730DE4" w14:paraId="2DB9E63D" w14:textId="77777777" w:rsidTr="002F7278">
        <w:trPr>
          <w:trHeight w:val="240"/>
        </w:trPr>
        <w:tc>
          <w:tcPr>
            <w:tcW w:w="320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5C589F1" w14:textId="77777777" w:rsidR="00730DE4" w:rsidRPr="00730DE4" w:rsidRDefault="00730DE4" w:rsidP="006D2F0E">
            <w:pPr>
              <w:pStyle w:val="NoSpacingIndent"/>
            </w:pPr>
            <w:r w:rsidRPr="00730DE4">
              <w:t>Grants and subsidies</w:t>
            </w:r>
          </w:p>
        </w:tc>
        <w:tc>
          <w:tcPr>
            <w:tcW w:w="90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649A324" w14:textId="77777777" w:rsidR="00730DE4" w:rsidRPr="00730DE4" w:rsidRDefault="00730DE4" w:rsidP="00F46338">
            <w:pPr>
              <w:pStyle w:val="NoSpacing"/>
              <w:jc w:val="right"/>
            </w:pPr>
            <w:r w:rsidRPr="00730DE4">
              <w:t>(781,195)</w:t>
            </w:r>
          </w:p>
        </w:tc>
        <w:tc>
          <w:tcPr>
            <w:tcW w:w="90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2046594" w14:textId="77777777" w:rsidR="00730DE4" w:rsidRPr="00730DE4" w:rsidRDefault="00730DE4" w:rsidP="00F46338">
            <w:pPr>
              <w:pStyle w:val="NoSpacing"/>
              <w:jc w:val="right"/>
            </w:pPr>
            <w:r w:rsidRPr="00730DE4">
              <w:t>(776,813)</w:t>
            </w:r>
          </w:p>
        </w:tc>
      </w:tr>
      <w:tr w:rsidR="00730DE4" w:rsidRPr="00730DE4" w14:paraId="5BBABA08" w14:textId="77777777" w:rsidTr="002F7278">
        <w:trPr>
          <w:trHeight w:val="240"/>
        </w:trPr>
        <w:tc>
          <w:tcPr>
            <w:tcW w:w="320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4FC27538" w14:textId="77777777" w:rsidR="00730DE4" w:rsidRPr="00730DE4" w:rsidRDefault="00730DE4" w:rsidP="006D2F0E">
            <w:pPr>
              <w:pStyle w:val="NoSpacingIndent"/>
            </w:pPr>
            <w:r w:rsidRPr="00730DE4">
              <w:t>Finance and borrowing costs</w:t>
            </w:r>
          </w:p>
        </w:tc>
        <w:tc>
          <w:tcPr>
            <w:tcW w:w="90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217D4FC" w14:textId="77777777" w:rsidR="00730DE4" w:rsidRPr="00730DE4" w:rsidRDefault="00730DE4" w:rsidP="00F46338">
            <w:pPr>
              <w:pStyle w:val="NoSpacing"/>
              <w:jc w:val="right"/>
            </w:pPr>
            <w:r w:rsidRPr="00730DE4">
              <w:t>(101,018)</w:t>
            </w:r>
          </w:p>
        </w:tc>
        <w:tc>
          <w:tcPr>
            <w:tcW w:w="90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752BA1D" w14:textId="77777777" w:rsidR="00730DE4" w:rsidRPr="00730DE4" w:rsidRDefault="00730DE4" w:rsidP="00F46338">
            <w:pPr>
              <w:pStyle w:val="NoSpacing"/>
              <w:jc w:val="right"/>
            </w:pPr>
            <w:r w:rsidRPr="00730DE4">
              <w:t>(92,208)</w:t>
            </w:r>
          </w:p>
        </w:tc>
      </w:tr>
      <w:tr w:rsidR="00730DE4" w:rsidRPr="00730DE4" w14:paraId="521D2827" w14:textId="77777777" w:rsidTr="002F7278">
        <w:trPr>
          <w:trHeight w:val="240"/>
        </w:trPr>
        <w:tc>
          <w:tcPr>
            <w:tcW w:w="320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57FBA65" w14:textId="77777777" w:rsidR="00730DE4" w:rsidRPr="00730DE4" w:rsidRDefault="00730DE4" w:rsidP="006D2F0E">
            <w:pPr>
              <w:pStyle w:val="NoSpacingIndent"/>
            </w:pPr>
            <w:r w:rsidRPr="00730DE4">
              <w:t>GST paid to suppliers</w:t>
            </w:r>
          </w:p>
        </w:tc>
        <w:tc>
          <w:tcPr>
            <w:tcW w:w="90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01E8757" w14:textId="77777777" w:rsidR="00730DE4" w:rsidRPr="00730DE4" w:rsidRDefault="00730DE4" w:rsidP="00F46338">
            <w:pPr>
              <w:pStyle w:val="NoSpacing"/>
              <w:jc w:val="right"/>
            </w:pPr>
            <w:r w:rsidRPr="00730DE4">
              <w:t>(1,054,762)</w:t>
            </w:r>
          </w:p>
        </w:tc>
        <w:tc>
          <w:tcPr>
            <w:tcW w:w="90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E3AD57F" w14:textId="77777777" w:rsidR="00730DE4" w:rsidRPr="00730DE4" w:rsidRDefault="00730DE4" w:rsidP="00F46338">
            <w:pPr>
              <w:pStyle w:val="NoSpacing"/>
              <w:jc w:val="right"/>
            </w:pPr>
            <w:r w:rsidRPr="00730DE4">
              <w:t>(1,037,371)</w:t>
            </w:r>
          </w:p>
        </w:tc>
      </w:tr>
      <w:tr w:rsidR="00730DE4" w:rsidRPr="00730DE4" w14:paraId="777D64B2" w14:textId="77777777" w:rsidTr="002F7278">
        <w:trPr>
          <w:trHeight w:val="240"/>
        </w:trPr>
        <w:tc>
          <w:tcPr>
            <w:tcW w:w="320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439A30CA" w14:textId="77777777" w:rsidR="00730DE4" w:rsidRPr="00730DE4" w:rsidRDefault="00730DE4" w:rsidP="006D2F0E">
            <w:pPr>
              <w:pStyle w:val="NoSpacingIndent"/>
            </w:pPr>
            <w:r w:rsidRPr="00730DE4">
              <w:t>GST remitted to ATO</w:t>
            </w:r>
          </w:p>
        </w:tc>
        <w:tc>
          <w:tcPr>
            <w:tcW w:w="90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D4EA04F" w14:textId="77777777" w:rsidR="00730DE4" w:rsidRPr="00730DE4" w:rsidRDefault="00730DE4" w:rsidP="00F46338">
            <w:pPr>
              <w:pStyle w:val="NoSpacing"/>
              <w:jc w:val="right"/>
            </w:pPr>
            <w:r w:rsidRPr="00730DE4">
              <w:t>(130,997)</w:t>
            </w:r>
          </w:p>
        </w:tc>
        <w:tc>
          <w:tcPr>
            <w:tcW w:w="90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C68B1E5" w14:textId="77777777" w:rsidR="00730DE4" w:rsidRPr="00730DE4" w:rsidRDefault="00730DE4" w:rsidP="00F46338">
            <w:pPr>
              <w:pStyle w:val="NoSpacing"/>
              <w:jc w:val="right"/>
            </w:pPr>
            <w:r w:rsidRPr="00730DE4">
              <w:t>(84,310)</w:t>
            </w:r>
          </w:p>
        </w:tc>
      </w:tr>
      <w:tr w:rsidR="00730DE4" w:rsidRPr="00730DE4" w14:paraId="3FF57807" w14:textId="77777777" w:rsidTr="002F7278">
        <w:trPr>
          <w:trHeight w:val="240"/>
        </w:trPr>
        <w:tc>
          <w:tcPr>
            <w:tcW w:w="320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08CFDF2" w14:textId="77777777" w:rsidR="00730DE4" w:rsidRPr="00730DE4" w:rsidRDefault="00730DE4" w:rsidP="006D2F0E">
            <w:pPr>
              <w:pStyle w:val="NoSpacingIndent"/>
            </w:pPr>
            <w:r w:rsidRPr="00730DE4">
              <w:t>Income tax equivalent paid</w:t>
            </w:r>
          </w:p>
        </w:tc>
        <w:tc>
          <w:tcPr>
            <w:tcW w:w="90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BF6FB5D" w14:textId="77777777" w:rsidR="00730DE4" w:rsidRPr="00730DE4" w:rsidRDefault="00730DE4" w:rsidP="00F46338">
            <w:pPr>
              <w:pStyle w:val="NoSpacing"/>
              <w:jc w:val="right"/>
            </w:pPr>
            <w:r w:rsidRPr="00730DE4">
              <w:t>(4,697)</w:t>
            </w:r>
          </w:p>
        </w:tc>
        <w:tc>
          <w:tcPr>
            <w:tcW w:w="90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D15FF72" w14:textId="77777777" w:rsidR="00730DE4" w:rsidRPr="00730DE4" w:rsidRDefault="00730DE4" w:rsidP="00F46338">
            <w:pPr>
              <w:pStyle w:val="NoSpacing"/>
              <w:jc w:val="right"/>
            </w:pPr>
            <w:r w:rsidRPr="00730DE4">
              <w:t>(8,937)</w:t>
            </w:r>
          </w:p>
        </w:tc>
      </w:tr>
      <w:tr w:rsidR="00730DE4" w:rsidRPr="00730DE4" w14:paraId="166269C5" w14:textId="77777777" w:rsidTr="002F7278">
        <w:trPr>
          <w:trHeight w:val="240"/>
        </w:trPr>
        <w:tc>
          <w:tcPr>
            <w:tcW w:w="3200"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470A868D" w14:textId="77777777" w:rsidR="00730DE4" w:rsidRPr="00730DE4" w:rsidRDefault="00730DE4" w:rsidP="006D2F0E">
            <w:pPr>
              <w:pStyle w:val="NoSpacingIndent"/>
            </w:pPr>
            <w:r w:rsidRPr="00730DE4">
              <w:t xml:space="preserve">Other </w:t>
            </w:r>
          </w:p>
        </w:tc>
        <w:tc>
          <w:tcPr>
            <w:tcW w:w="900"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79D8992C" w14:textId="77777777" w:rsidR="00730DE4" w:rsidRPr="00730DE4" w:rsidRDefault="00730DE4" w:rsidP="00F46338">
            <w:pPr>
              <w:pStyle w:val="NoSpacing"/>
              <w:jc w:val="right"/>
            </w:pPr>
            <w:r w:rsidRPr="00730DE4">
              <w:t>(21,935)</w:t>
            </w:r>
          </w:p>
        </w:tc>
        <w:tc>
          <w:tcPr>
            <w:tcW w:w="900"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057937E8" w14:textId="77777777" w:rsidR="00730DE4" w:rsidRPr="00730DE4" w:rsidRDefault="00730DE4" w:rsidP="00F46338">
            <w:pPr>
              <w:pStyle w:val="NoSpacing"/>
              <w:jc w:val="right"/>
            </w:pPr>
            <w:r w:rsidRPr="00730DE4">
              <w:t>(17,165)</w:t>
            </w:r>
          </w:p>
        </w:tc>
      </w:tr>
      <w:tr w:rsidR="00730DE4" w:rsidRPr="00730DE4" w14:paraId="50BB18CD" w14:textId="77777777" w:rsidTr="002F7278">
        <w:tc>
          <w:tcPr>
            <w:tcW w:w="3200" w:type="pct"/>
            <w:tcBorders>
              <w:top w:val="single" w:sz="4" w:space="0" w:color="auto"/>
              <w:left w:val="nil"/>
              <w:right w:val="dotted" w:sz="4" w:space="0" w:color="BFBFBF" w:themeColor="background1" w:themeShade="BF"/>
            </w:tcBorders>
            <w:shd w:val="clear" w:color="auto" w:fill="auto"/>
            <w:noWrap/>
          </w:tcPr>
          <w:p w14:paraId="58805DAB" w14:textId="77777777" w:rsidR="00730DE4" w:rsidRPr="00730DE4" w:rsidRDefault="00730DE4" w:rsidP="007977CD">
            <w:pPr>
              <w:pStyle w:val="NoSpacing"/>
            </w:pPr>
            <w:r w:rsidRPr="00730DE4">
              <w:rPr>
                <w:rStyle w:val="Strong"/>
              </w:rPr>
              <w:t>Net cash provided by operating activities</w:t>
            </w:r>
          </w:p>
        </w:tc>
        <w:tc>
          <w:tcPr>
            <w:tcW w:w="900" w:type="pct"/>
            <w:tcBorders>
              <w:top w:val="single" w:sz="4" w:space="0" w:color="auto"/>
              <w:left w:val="dotted" w:sz="4" w:space="0" w:color="BFBFBF" w:themeColor="background1" w:themeShade="BF"/>
              <w:right w:val="dotted" w:sz="4" w:space="0" w:color="BFBFBF" w:themeColor="background1" w:themeShade="BF"/>
            </w:tcBorders>
            <w:shd w:val="clear" w:color="auto" w:fill="F2F2F2" w:themeFill="background1" w:themeFillShade="F2"/>
            <w:noWrap/>
          </w:tcPr>
          <w:p w14:paraId="4F963E50" w14:textId="77777777" w:rsidR="00730DE4" w:rsidRPr="00730DE4" w:rsidRDefault="00730DE4" w:rsidP="007977CD">
            <w:pPr>
              <w:pStyle w:val="NoSpacing"/>
              <w:jc w:val="right"/>
            </w:pPr>
            <w:r w:rsidRPr="00730DE4">
              <w:rPr>
                <w:rStyle w:val="Strong"/>
              </w:rPr>
              <w:t xml:space="preserve">1,640,273 </w:t>
            </w:r>
          </w:p>
        </w:tc>
        <w:tc>
          <w:tcPr>
            <w:tcW w:w="900" w:type="pct"/>
            <w:tcBorders>
              <w:top w:val="single" w:sz="4" w:space="0" w:color="auto"/>
              <w:left w:val="dotted" w:sz="4" w:space="0" w:color="BFBFBF" w:themeColor="background1" w:themeShade="BF"/>
              <w:right w:val="nil"/>
            </w:tcBorders>
            <w:shd w:val="clear" w:color="auto" w:fill="auto"/>
            <w:noWrap/>
          </w:tcPr>
          <w:p w14:paraId="51E1710E" w14:textId="77777777" w:rsidR="00730DE4" w:rsidRPr="00730DE4" w:rsidRDefault="00730DE4" w:rsidP="007977CD">
            <w:pPr>
              <w:pStyle w:val="NoSpacing"/>
              <w:jc w:val="right"/>
            </w:pPr>
            <w:r w:rsidRPr="00730DE4">
              <w:rPr>
                <w:rStyle w:val="Strong"/>
              </w:rPr>
              <w:t xml:space="preserve">1,480,169 </w:t>
            </w:r>
          </w:p>
        </w:tc>
      </w:tr>
      <w:tr w:rsidR="00730DE4" w:rsidRPr="00730DE4" w14:paraId="0AAEE8B2" w14:textId="77777777" w:rsidTr="002F7278">
        <w:trPr>
          <w:trHeight w:val="454"/>
        </w:trPr>
        <w:tc>
          <w:tcPr>
            <w:tcW w:w="3200" w:type="pct"/>
            <w:tcBorders>
              <w:left w:val="nil"/>
              <w:bottom w:val="dotted" w:sz="4" w:space="0" w:color="BFBFBF" w:themeColor="background1" w:themeShade="BF"/>
              <w:right w:val="dotted" w:sz="4" w:space="0" w:color="BFBFBF" w:themeColor="background1" w:themeShade="BF"/>
            </w:tcBorders>
            <w:shd w:val="clear" w:color="auto" w:fill="auto"/>
            <w:noWrap/>
            <w:vAlign w:val="bottom"/>
          </w:tcPr>
          <w:p w14:paraId="34B34DD6" w14:textId="77777777" w:rsidR="00730DE4" w:rsidRPr="00730DE4" w:rsidRDefault="00730DE4" w:rsidP="00F46338">
            <w:pPr>
              <w:pStyle w:val="NoSpacing"/>
            </w:pPr>
            <w:r w:rsidRPr="00730DE4">
              <w:rPr>
                <w:rStyle w:val="Strong"/>
              </w:rPr>
              <w:t>Cash flows from investing activities</w:t>
            </w:r>
          </w:p>
        </w:tc>
        <w:tc>
          <w:tcPr>
            <w:tcW w:w="900"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5DBDCAA8" w14:textId="77777777" w:rsidR="00730DE4" w:rsidRPr="00730DE4" w:rsidRDefault="00730DE4" w:rsidP="00F46338">
            <w:pPr>
              <w:pStyle w:val="NoSpacing"/>
              <w:jc w:val="right"/>
              <w:rPr>
                <w:rStyle w:val="Strong"/>
              </w:rPr>
            </w:pPr>
          </w:p>
        </w:tc>
        <w:tc>
          <w:tcPr>
            <w:tcW w:w="900" w:type="pct"/>
            <w:tcBorders>
              <w:left w:val="dotted" w:sz="4" w:space="0" w:color="BFBFBF" w:themeColor="background1" w:themeShade="BF"/>
              <w:bottom w:val="dotted" w:sz="4" w:space="0" w:color="BFBFBF" w:themeColor="background1" w:themeShade="BF"/>
              <w:right w:val="nil"/>
            </w:tcBorders>
            <w:shd w:val="clear" w:color="auto" w:fill="auto"/>
            <w:noWrap/>
            <w:vAlign w:val="bottom"/>
          </w:tcPr>
          <w:p w14:paraId="5514668C" w14:textId="77777777" w:rsidR="00730DE4" w:rsidRPr="00730DE4" w:rsidRDefault="00730DE4" w:rsidP="00F46338">
            <w:pPr>
              <w:pStyle w:val="NoSpacing"/>
              <w:jc w:val="right"/>
              <w:rPr>
                <w:rStyle w:val="Strong"/>
              </w:rPr>
            </w:pPr>
          </w:p>
        </w:tc>
      </w:tr>
      <w:tr w:rsidR="00730DE4" w:rsidRPr="00730DE4" w14:paraId="4077954D" w14:textId="77777777" w:rsidTr="002F7278">
        <w:trPr>
          <w:trHeight w:val="240"/>
        </w:trPr>
        <w:tc>
          <w:tcPr>
            <w:tcW w:w="320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321B45A" w14:textId="77777777" w:rsidR="00730DE4" w:rsidRPr="00730DE4" w:rsidRDefault="00730DE4" w:rsidP="006D2F0E">
            <w:pPr>
              <w:pStyle w:val="NoSpacingIndent"/>
            </w:pPr>
            <w:r w:rsidRPr="00730DE4">
              <w:rPr>
                <w:rStyle w:val="Emphasis"/>
              </w:rPr>
              <w:t>Inflows</w:t>
            </w:r>
            <w:r w:rsidRPr="00730DE4">
              <w:t>:</w:t>
            </w:r>
          </w:p>
        </w:tc>
        <w:tc>
          <w:tcPr>
            <w:tcW w:w="90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F10C9AB" w14:textId="77777777" w:rsidR="00730DE4" w:rsidRPr="00730DE4" w:rsidRDefault="00730DE4" w:rsidP="00F46338">
            <w:pPr>
              <w:pStyle w:val="NoSpacing"/>
              <w:jc w:val="right"/>
            </w:pPr>
            <w:r w:rsidRPr="00730DE4">
              <w:t> </w:t>
            </w:r>
          </w:p>
        </w:tc>
        <w:tc>
          <w:tcPr>
            <w:tcW w:w="90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2159164" w14:textId="77777777" w:rsidR="00730DE4" w:rsidRPr="00730DE4" w:rsidRDefault="00730DE4" w:rsidP="00F46338">
            <w:pPr>
              <w:pStyle w:val="NoSpacing"/>
              <w:jc w:val="right"/>
            </w:pPr>
          </w:p>
        </w:tc>
      </w:tr>
      <w:tr w:rsidR="00730DE4" w:rsidRPr="00730DE4" w14:paraId="21E4994E" w14:textId="77777777" w:rsidTr="002F7278">
        <w:trPr>
          <w:trHeight w:val="240"/>
        </w:trPr>
        <w:tc>
          <w:tcPr>
            <w:tcW w:w="320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46A77B12" w14:textId="77777777" w:rsidR="00730DE4" w:rsidRPr="00730DE4" w:rsidRDefault="00730DE4" w:rsidP="006D2F0E">
            <w:pPr>
              <w:pStyle w:val="NoSpacingIndent"/>
            </w:pPr>
            <w:r w:rsidRPr="00730DE4">
              <w:t>Sales of property, plant and equipment</w:t>
            </w:r>
          </w:p>
        </w:tc>
        <w:tc>
          <w:tcPr>
            <w:tcW w:w="90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229420D" w14:textId="77777777" w:rsidR="00730DE4" w:rsidRPr="00730DE4" w:rsidRDefault="00730DE4" w:rsidP="00F46338">
            <w:pPr>
              <w:pStyle w:val="NoSpacing"/>
              <w:jc w:val="right"/>
            </w:pPr>
            <w:r w:rsidRPr="00730DE4">
              <w:t xml:space="preserve">28,093 </w:t>
            </w:r>
          </w:p>
        </w:tc>
        <w:tc>
          <w:tcPr>
            <w:tcW w:w="90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3D79E67" w14:textId="77777777" w:rsidR="00730DE4" w:rsidRPr="00730DE4" w:rsidRDefault="00730DE4" w:rsidP="00F46338">
            <w:pPr>
              <w:pStyle w:val="NoSpacing"/>
              <w:jc w:val="right"/>
            </w:pPr>
            <w:r w:rsidRPr="00730DE4">
              <w:t xml:space="preserve">6,286 </w:t>
            </w:r>
          </w:p>
        </w:tc>
      </w:tr>
      <w:tr w:rsidR="00730DE4" w:rsidRPr="00730DE4" w14:paraId="71B47276" w14:textId="77777777" w:rsidTr="002F7278">
        <w:trPr>
          <w:trHeight w:val="240"/>
        </w:trPr>
        <w:tc>
          <w:tcPr>
            <w:tcW w:w="320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59DA0E8A" w14:textId="77777777" w:rsidR="00730DE4" w:rsidRPr="00730DE4" w:rsidRDefault="00730DE4" w:rsidP="006D2F0E">
            <w:pPr>
              <w:pStyle w:val="NoSpacingIndent"/>
            </w:pPr>
            <w:r w:rsidRPr="00730DE4">
              <w:rPr>
                <w:rStyle w:val="Emphasis"/>
              </w:rPr>
              <w:t>Outflows</w:t>
            </w:r>
            <w:r w:rsidRPr="00730DE4">
              <w:t>:</w:t>
            </w:r>
          </w:p>
        </w:tc>
        <w:tc>
          <w:tcPr>
            <w:tcW w:w="90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D6CAFBB" w14:textId="77777777" w:rsidR="00730DE4" w:rsidRPr="00730DE4" w:rsidRDefault="00730DE4" w:rsidP="00F46338">
            <w:pPr>
              <w:pStyle w:val="NoSpacing"/>
              <w:jc w:val="right"/>
            </w:pPr>
            <w:r w:rsidRPr="00730DE4">
              <w:t> </w:t>
            </w:r>
          </w:p>
        </w:tc>
        <w:tc>
          <w:tcPr>
            <w:tcW w:w="90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D9E6C7A" w14:textId="77777777" w:rsidR="00730DE4" w:rsidRPr="00730DE4" w:rsidRDefault="00730DE4" w:rsidP="00F46338">
            <w:pPr>
              <w:pStyle w:val="NoSpacing"/>
              <w:jc w:val="right"/>
            </w:pPr>
          </w:p>
        </w:tc>
      </w:tr>
      <w:tr w:rsidR="00730DE4" w:rsidRPr="00730DE4" w14:paraId="313AB477" w14:textId="77777777" w:rsidTr="002F7278">
        <w:trPr>
          <w:trHeight w:val="240"/>
        </w:trPr>
        <w:tc>
          <w:tcPr>
            <w:tcW w:w="320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329819AC" w14:textId="77777777" w:rsidR="00730DE4" w:rsidRPr="00730DE4" w:rsidRDefault="00730DE4" w:rsidP="006D2F0E">
            <w:pPr>
              <w:pStyle w:val="NoSpacingIndent"/>
            </w:pPr>
            <w:r w:rsidRPr="00730DE4">
              <w:t>Payments for property, plant and equipment</w:t>
            </w:r>
          </w:p>
        </w:tc>
        <w:tc>
          <w:tcPr>
            <w:tcW w:w="90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01D9841" w14:textId="77777777" w:rsidR="00730DE4" w:rsidRPr="00730DE4" w:rsidRDefault="00730DE4" w:rsidP="00F46338">
            <w:pPr>
              <w:pStyle w:val="NoSpacing"/>
              <w:jc w:val="right"/>
            </w:pPr>
            <w:r w:rsidRPr="00730DE4">
              <w:t>(5,315,626)</w:t>
            </w:r>
          </w:p>
        </w:tc>
        <w:tc>
          <w:tcPr>
            <w:tcW w:w="90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A66B500" w14:textId="77777777" w:rsidR="00730DE4" w:rsidRPr="00730DE4" w:rsidRDefault="00730DE4" w:rsidP="00F46338">
            <w:pPr>
              <w:pStyle w:val="NoSpacing"/>
              <w:jc w:val="right"/>
            </w:pPr>
            <w:r w:rsidRPr="00730DE4">
              <w:t xml:space="preserve"> (4,753,026)</w:t>
            </w:r>
          </w:p>
        </w:tc>
      </w:tr>
      <w:tr w:rsidR="00730DE4" w:rsidRPr="00730DE4" w14:paraId="2EB8F16C" w14:textId="77777777" w:rsidTr="002F7278">
        <w:trPr>
          <w:trHeight w:val="240"/>
        </w:trPr>
        <w:tc>
          <w:tcPr>
            <w:tcW w:w="320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342A0F8D" w14:textId="77777777" w:rsidR="00730DE4" w:rsidRPr="00730DE4" w:rsidRDefault="00730DE4" w:rsidP="006D2F0E">
            <w:pPr>
              <w:pStyle w:val="NoSpacingIndent"/>
            </w:pPr>
            <w:r w:rsidRPr="00730DE4">
              <w:t>Payments for intangibles</w:t>
            </w:r>
          </w:p>
        </w:tc>
        <w:tc>
          <w:tcPr>
            <w:tcW w:w="90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CA3514A" w14:textId="77777777" w:rsidR="00730DE4" w:rsidRPr="00730DE4" w:rsidRDefault="00730DE4" w:rsidP="00F46338">
            <w:pPr>
              <w:pStyle w:val="NoSpacing"/>
              <w:jc w:val="right"/>
            </w:pPr>
            <w:r w:rsidRPr="00730DE4">
              <w:t>(3,347)</w:t>
            </w:r>
          </w:p>
        </w:tc>
        <w:tc>
          <w:tcPr>
            <w:tcW w:w="90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0725F26" w14:textId="77777777" w:rsidR="00730DE4" w:rsidRPr="00730DE4" w:rsidRDefault="00730DE4" w:rsidP="00F46338">
            <w:pPr>
              <w:pStyle w:val="NoSpacing"/>
              <w:jc w:val="right"/>
            </w:pPr>
            <w:r w:rsidRPr="00730DE4">
              <w:t xml:space="preserve"> (22,756)</w:t>
            </w:r>
          </w:p>
        </w:tc>
      </w:tr>
      <w:tr w:rsidR="00730DE4" w:rsidRPr="00730DE4" w14:paraId="40658C7F" w14:textId="77777777" w:rsidTr="002F7278">
        <w:trPr>
          <w:trHeight w:val="240"/>
        </w:trPr>
        <w:tc>
          <w:tcPr>
            <w:tcW w:w="3200"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0812940E" w14:textId="77777777" w:rsidR="00730DE4" w:rsidRPr="00730DE4" w:rsidRDefault="00730DE4" w:rsidP="006D2F0E">
            <w:pPr>
              <w:pStyle w:val="NoSpacingIndent"/>
            </w:pPr>
            <w:r w:rsidRPr="00730DE4">
              <w:t>Payment for investment in subsidiary</w:t>
            </w:r>
          </w:p>
        </w:tc>
        <w:tc>
          <w:tcPr>
            <w:tcW w:w="900"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4BC68C11" w14:textId="77777777" w:rsidR="00730DE4" w:rsidRPr="00730DE4" w:rsidRDefault="00730DE4" w:rsidP="00F46338">
            <w:pPr>
              <w:pStyle w:val="NoSpacing"/>
              <w:jc w:val="right"/>
            </w:pPr>
            <w:r w:rsidRPr="00730DE4">
              <w:t>(18,426)</w:t>
            </w:r>
          </w:p>
        </w:tc>
        <w:tc>
          <w:tcPr>
            <w:tcW w:w="900"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1AF83DBF" w14:textId="77777777" w:rsidR="00730DE4" w:rsidRPr="00730DE4" w:rsidRDefault="00730DE4" w:rsidP="00F46338">
            <w:pPr>
              <w:pStyle w:val="NoSpacing"/>
              <w:jc w:val="right"/>
            </w:pPr>
            <w:r w:rsidRPr="00730DE4">
              <w:t>(10,000)</w:t>
            </w:r>
          </w:p>
        </w:tc>
      </w:tr>
      <w:tr w:rsidR="00730DE4" w:rsidRPr="00730DE4" w14:paraId="699F1D0A" w14:textId="77777777" w:rsidTr="002F7278">
        <w:tc>
          <w:tcPr>
            <w:tcW w:w="3200" w:type="pct"/>
            <w:tcBorders>
              <w:top w:val="single" w:sz="4" w:space="0" w:color="auto"/>
              <w:left w:val="nil"/>
              <w:right w:val="dotted" w:sz="4" w:space="0" w:color="BFBFBF" w:themeColor="background1" w:themeShade="BF"/>
            </w:tcBorders>
            <w:shd w:val="clear" w:color="auto" w:fill="auto"/>
            <w:noWrap/>
            <w:hideMark/>
          </w:tcPr>
          <w:p w14:paraId="12CBC240" w14:textId="77777777" w:rsidR="00730DE4" w:rsidRPr="00730DE4" w:rsidRDefault="00730DE4" w:rsidP="007977CD">
            <w:pPr>
              <w:pStyle w:val="NoSpacing"/>
              <w:rPr>
                <w:rStyle w:val="Strong"/>
              </w:rPr>
            </w:pPr>
            <w:r w:rsidRPr="00730DE4">
              <w:rPr>
                <w:rStyle w:val="Strong"/>
              </w:rPr>
              <w:t>Net cash used in investing activities</w:t>
            </w:r>
          </w:p>
        </w:tc>
        <w:tc>
          <w:tcPr>
            <w:tcW w:w="900" w:type="pct"/>
            <w:tcBorders>
              <w:top w:val="single" w:sz="4" w:space="0" w:color="auto"/>
              <w:left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2DE7CA1F" w14:textId="77777777" w:rsidR="00730DE4" w:rsidRPr="00730DE4" w:rsidRDefault="00730DE4" w:rsidP="007977CD">
            <w:pPr>
              <w:pStyle w:val="NoSpacing"/>
              <w:jc w:val="right"/>
            </w:pPr>
            <w:r w:rsidRPr="00730DE4">
              <w:rPr>
                <w:rStyle w:val="Strong"/>
              </w:rPr>
              <w:t>(5,309,306)</w:t>
            </w:r>
          </w:p>
        </w:tc>
        <w:tc>
          <w:tcPr>
            <w:tcW w:w="900" w:type="pct"/>
            <w:tcBorders>
              <w:top w:val="single" w:sz="4" w:space="0" w:color="auto"/>
              <w:left w:val="dotted" w:sz="4" w:space="0" w:color="BFBFBF" w:themeColor="background1" w:themeShade="BF"/>
              <w:right w:val="nil"/>
            </w:tcBorders>
            <w:shd w:val="clear" w:color="auto" w:fill="auto"/>
            <w:noWrap/>
            <w:hideMark/>
          </w:tcPr>
          <w:p w14:paraId="3041DBEF" w14:textId="77777777" w:rsidR="00730DE4" w:rsidRPr="00730DE4" w:rsidRDefault="00730DE4" w:rsidP="007977CD">
            <w:pPr>
              <w:pStyle w:val="NoSpacing"/>
              <w:jc w:val="right"/>
            </w:pPr>
            <w:r w:rsidRPr="00730DE4">
              <w:rPr>
                <w:rStyle w:val="Strong"/>
              </w:rPr>
              <w:t xml:space="preserve"> (4,779,496)</w:t>
            </w:r>
          </w:p>
        </w:tc>
      </w:tr>
      <w:tr w:rsidR="00730DE4" w:rsidRPr="00730DE4" w14:paraId="01C46989" w14:textId="77777777" w:rsidTr="002F7278">
        <w:trPr>
          <w:trHeight w:val="454"/>
        </w:trPr>
        <w:tc>
          <w:tcPr>
            <w:tcW w:w="3200" w:type="pct"/>
            <w:tcBorders>
              <w:left w:val="nil"/>
              <w:bottom w:val="dotted" w:sz="4" w:space="0" w:color="BFBFBF" w:themeColor="background1" w:themeShade="BF"/>
              <w:right w:val="dotted" w:sz="4" w:space="0" w:color="BFBFBF" w:themeColor="background1" w:themeShade="BF"/>
            </w:tcBorders>
            <w:shd w:val="clear" w:color="auto" w:fill="auto"/>
            <w:noWrap/>
            <w:vAlign w:val="bottom"/>
          </w:tcPr>
          <w:p w14:paraId="1829F1D6" w14:textId="77777777" w:rsidR="00730DE4" w:rsidRPr="00730DE4" w:rsidRDefault="00730DE4" w:rsidP="00F46338">
            <w:pPr>
              <w:pStyle w:val="NoSpacing"/>
              <w:rPr>
                <w:rStyle w:val="Strong"/>
              </w:rPr>
            </w:pPr>
            <w:r w:rsidRPr="00730DE4">
              <w:rPr>
                <w:rStyle w:val="Strong"/>
              </w:rPr>
              <w:t>Cash flows from financing activities</w:t>
            </w:r>
          </w:p>
        </w:tc>
        <w:tc>
          <w:tcPr>
            <w:tcW w:w="900"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1C2F531F" w14:textId="77777777" w:rsidR="00730DE4" w:rsidRPr="00730DE4" w:rsidRDefault="00730DE4" w:rsidP="00F46338">
            <w:pPr>
              <w:pStyle w:val="NoSpacing"/>
              <w:jc w:val="right"/>
            </w:pPr>
          </w:p>
        </w:tc>
        <w:tc>
          <w:tcPr>
            <w:tcW w:w="900" w:type="pct"/>
            <w:tcBorders>
              <w:left w:val="dotted" w:sz="4" w:space="0" w:color="BFBFBF" w:themeColor="background1" w:themeShade="BF"/>
              <w:bottom w:val="dotted" w:sz="4" w:space="0" w:color="BFBFBF" w:themeColor="background1" w:themeShade="BF"/>
              <w:right w:val="nil"/>
            </w:tcBorders>
            <w:shd w:val="clear" w:color="auto" w:fill="auto"/>
            <w:noWrap/>
            <w:vAlign w:val="bottom"/>
          </w:tcPr>
          <w:p w14:paraId="5E947E76" w14:textId="77777777" w:rsidR="00730DE4" w:rsidRPr="00730DE4" w:rsidRDefault="00730DE4" w:rsidP="00F46338">
            <w:pPr>
              <w:pStyle w:val="NoSpacing"/>
              <w:jc w:val="right"/>
            </w:pPr>
          </w:p>
        </w:tc>
      </w:tr>
      <w:tr w:rsidR="00730DE4" w:rsidRPr="00730DE4" w14:paraId="7EC309DC" w14:textId="77777777" w:rsidTr="002F7278">
        <w:trPr>
          <w:trHeight w:val="240"/>
        </w:trPr>
        <w:tc>
          <w:tcPr>
            <w:tcW w:w="320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67115920" w14:textId="77777777" w:rsidR="00730DE4" w:rsidRPr="00730DE4" w:rsidRDefault="00730DE4" w:rsidP="006D2F0E">
            <w:pPr>
              <w:pStyle w:val="NoSpacingIndent"/>
            </w:pPr>
            <w:r w:rsidRPr="00730DE4">
              <w:rPr>
                <w:rStyle w:val="Emphasis"/>
              </w:rPr>
              <w:t>Inflows</w:t>
            </w:r>
            <w:r w:rsidRPr="00730DE4">
              <w:t>:</w:t>
            </w:r>
          </w:p>
        </w:tc>
        <w:tc>
          <w:tcPr>
            <w:tcW w:w="90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F950ED9" w14:textId="77777777" w:rsidR="00730DE4" w:rsidRPr="00730DE4" w:rsidRDefault="00730DE4" w:rsidP="00F46338">
            <w:pPr>
              <w:pStyle w:val="NoSpacing"/>
              <w:jc w:val="right"/>
            </w:pPr>
            <w:r w:rsidRPr="00730DE4">
              <w:t> </w:t>
            </w:r>
          </w:p>
        </w:tc>
        <w:tc>
          <w:tcPr>
            <w:tcW w:w="90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4676CBB" w14:textId="77777777" w:rsidR="00730DE4" w:rsidRPr="00730DE4" w:rsidRDefault="00730DE4" w:rsidP="00F46338">
            <w:pPr>
              <w:pStyle w:val="NoSpacing"/>
              <w:jc w:val="right"/>
            </w:pPr>
          </w:p>
        </w:tc>
      </w:tr>
      <w:tr w:rsidR="00730DE4" w:rsidRPr="00730DE4" w14:paraId="47A7FE0C" w14:textId="77777777" w:rsidTr="002F7278">
        <w:trPr>
          <w:trHeight w:val="240"/>
        </w:trPr>
        <w:tc>
          <w:tcPr>
            <w:tcW w:w="320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1B5E4B83" w14:textId="77777777" w:rsidR="00730DE4" w:rsidRPr="00730DE4" w:rsidRDefault="00730DE4" w:rsidP="006D2F0E">
            <w:pPr>
              <w:pStyle w:val="NoSpacingIndent"/>
            </w:pPr>
            <w:r w:rsidRPr="00730DE4">
              <w:t>Equity injections</w:t>
            </w:r>
          </w:p>
        </w:tc>
        <w:tc>
          <w:tcPr>
            <w:tcW w:w="90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B83AD8B" w14:textId="77777777" w:rsidR="00730DE4" w:rsidRPr="00730DE4" w:rsidRDefault="00730DE4" w:rsidP="00F46338">
            <w:pPr>
              <w:pStyle w:val="NoSpacing"/>
              <w:jc w:val="right"/>
            </w:pPr>
            <w:r w:rsidRPr="00730DE4">
              <w:t xml:space="preserve">5,063,171 </w:t>
            </w:r>
          </w:p>
        </w:tc>
        <w:tc>
          <w:tcPr>
            <w:tcW w:w="90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5A575E0" w14:textId="77777777" w:rsidR="00730DE4" w:rsidRPr="00730DE4" w:rsidRDefault="00730DE4" w:rsidP="00F46338">
            <w:pPr>
              <w:pStyle w:val="NoSpacing"/>
              <w:jc w:val="right"/>
            </w:pPr>
            <w:r w:rsidRPr="00730DE4">
              <w:t xml:space="preserve">5,098,665 </w:t>
            </w:r>
          </w:p>
        </w:tc>
      </w:tr>
      <w:tr w:rsidR="00730DE4" w:rsidRPr="00730DE4" w14:paraId="245E826C" w14:textId="77777777" w:rsidTr="002F7278">
        <w:trPr>
          <w:trHeight w:val="240"/>
        </w:trPr>
        <w:tc>
          <w:tcPr>
            <w:tcW w:w="320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12C9ECE0" w14:textId="77777777" w:rsidR="00730DE4" w:rsidRPr="00730DE4" w:rsidRDefault="00730DE4" w:rsidP="006D2F0E">
            <w:pPr>
              <w:pStyle w:val="NoSpacingIndent"/>
            </w:pPr>
            <w:r w:rsidRPr="00730DE4">
              <w:rPr>
                <w:rStyle w:val="Emphasis"/>
              </w:rPr>
              <w:t>Outflows</w:t>
            </w:r>
            <w:r w:rsidRPr="00730DE4">
              <w:t>:</w:t>
            </w:r>
          </w:p>
        </w:tc>
        <w:tc>
          <w:tcPr>
            <w:tcW w:w="90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7911108" w14:textId="77777777" w:rsidR="00730DE4" w:rsidRPr="00730DE4" w:rsidRDefault="00730DE4" w:rsidP="00F46338">
            <w:pPr>
              <w:pStyle w:val="NoSpacing"/>
              <w:jc w:val="right"/>
            </w:pPr>
            <w:r w:rsidRPr="00730DE4">
              <w:t> </w:t>
            </w:r>
          </w:p>
        </w:tc>
        <w:tc>
          <w:tcPr>
            <w:tcW w:w="90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434760EF" w14:textId="77777777" w:rsidR="00730DE4" w:rsidRPr="00730DE4" w:rsidRDefault="00730DE4" w:rsidP="00F46338">
            <w:pPr>
              <w:pStyle w:val="NoSpacing"/>
              <w:jc w:val="right"/>
            </w:pPr>
          </w:p>
        </w:tc>
      </w:tr>
      <w:tr w:rsidR="00730DE4" w:rsidRPr="00730DE4" w14:paraId="1C715EE6" w14:textId="77777777" w:rsidTr="002F7278">
        <w:trPr>
          <w:trHeight w:val="240"/>
        </w:trPr>
        <w:tc>
          <w:tcPr>
            <w:tcW w:w="320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58BE3BA8" w14:textId="77777777" w:rsidR="00730DE4" w:rsidRPr="00730DE4" w:rsidRDefault="00730DE4" w:rsidP="006D2F0E">
            <w:pPr>
              <w:pStyle w:val="NoSpacingIndent"/>
            </w:pPr>
            <w:r w:rsidRPr="00730DE4">
              <w:t xml:space="preserve">Equity withdrawals </w:t>
            </w:r>
          </w:p>
        </w:tc>
        <w:tc>
          <w:tcPr>
            <w:tcW w:w="90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5036E61" w14:textId="77777777" w:rsidR="00730DE4" w:rsidRPr="00730DE4" w:rsidRDefault="00730DE4" w:rsidP="00F46338">
            <w:pPr>
              <w:pStyle w:val="NoSpacing"/>
              <w:jc w:val="right"/>
            </w:pPr>
            <w:r w:rsidRPr="00730DE4">
              <w:t>(1,432,614)</w:t>
            </w:r>
          </w:p>
        </w:tc>
        <w:tc>
          <w:tcPr>
            <w:tcW w:w="90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FAE4A9E" w14:textId="77777777" w:rsidR="00730DE4" w:rsidRPr="00730DE4" w:rsidRDefault="00730DE4" w:rsidP="00F46338">
            <w:pPr>
              <w:pStyle w:val="NoSpacing"/>
              <w:jc w:val="right"/>
            </w:pPr>
            <w:r w:rsidRPr="00730DE4">
              <w:t xml:space="preserve"> (1,238,140)</w:t>
            </w:r>
          </w:p>
        </w:tc>
      </w:tr>
      <w:tr w:rsidR="00730DE4" w:rsidRPr="00730DE4" w14:paraId="65AEAB93" w14:textId="77777777" w:rsidTr="002F7278">
        <w:trPr>
          <w:trHeight w:val="240"/>
        </w:trPr>
        <w:tc>
          <w:tcPr>
            <w:tcW w:w="320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44526CAE" w14:textId="77777777" w:rsidR="00730DE4" w:rsidRPr="00730DE4" w:rsidRDefault="00730DE4" w:rsidP="006D2F0E">
            <w:pPr>
              <w:pStyle w:val="NoSpacingIndent"/>
            </w:pPr>
            <w:r w:rsidRPr="00730DE4">
              <w:t>Borrowing redemptions</w:t>
            </w:r>
          </w:p>
        </w:tc>
        <w:tc>
          <w:tcPr>
            <w:tcW w:w="90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92021DC" w14:textId="77777777" w:rsidR="00730DE4" w:rsidRPr="00730DE4" w:rsidRDefault="00730DE4" w:rsidP="00F46338">
            <w:pPr>
              <w:pStyle w:val="NoSpacing"/>
              <w:jc w:val="right"/>
            </w:pPr>
            <w:r w:rsidRPr="00730DE4">
              <w:t>(224,233)</w:t>
            </w:r>
          </w:p>
        </w:tc>
        <w:tc>
          <w:tcPr>
            <w:tcW w:w="90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0BFB5CF" w14:textId="77777777" w:rsidR="00730DE4" w:rsidRPr="00730DE4" w:rsidRDefault="00730DE4" w:rsidP="00F46338">
            <w:pPr>
              <w:pStyle w:val="NoSpacing"/>
              <w:jc w:val="right"/>
            </w:pPr>
            <w:r w:rsidRPr="00730DE4">
              <w:t>(205,288)</w:t>
            </w:r>
          </w:p>
        </w:tc>
      </w:tr>
      <w:tr w:rsidR="00730DE4" w:rsidRPr="00730DE4" w14:paraId="594D6B8F" w14:textId="77777777" w:rsidTr="002F7278">
        <w:trPr>
          <w:trHeight w:val="240"/>
        </w:trPr>
        <w:tc>
          <w:tcPr>
            <w:tcW w:w="3200"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78F91D63" w14:textId="77777777" w:rsidR="00730DE4" w:rsidRPr="00730DE4" w:rsidRDefault="00730DE4" w:rsidP="006D2F0E">
            <w:pPr>
              <w:pStyle w:val="NoSpacingIndent"/>
            </w:pPr>
            <w:r w:rsidRPr="00730DE4">
              <w:t>Lease payments</w:t>
            </w:r>
          </w:p>
        </w:tc>
        <w:tc>
          <w:tcPr>
            <w:tcW w:w="900"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07E949E4" w14:textId="77777777" w:rsidR="00730DE4" w:rsidRPr="00730DE4" w:rsidRDefault="00730DE4" w:rsidP="00F46338">
            <w:pPr>
              <w:pStyle w:val="NoSpacing"/>
              <w:jc w:val="right"/>
            </w:pPr>
            <w:r w:rsidRPr="00730DE4">
              <w:t>(25,625)</w:t>
            </w:r>
          </w:p>
        </w:tc>
        <w:tc>
          <w:tcPr>
            <w:tcW w:w="900"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1BC46B19" w14:textId="77777777" w:rsidR="00730DE4" w:rsidRPr="00730DE4" w:rsidRDefault="00730DE4" w:rsidP="00F46338">
            <w:pPr>
              <w:pStyle w:val="NoSpacing"/>
              <w:jc w:val="right"/>
            </w:pPr>
            <w:r w:rsidRPr="00730DE4">
              <w:t>(2,710)</w:t>
            </w:r>
          </w:p>
        </w:tc>
      </w:tr>
      <w:tr w:rsidR="00730DE4" w:rsidRPr="00730DE4" w14:paraId="01A85A7D" w14:textId="77777777" w:rsidTr="002F7278">
        <w:trPr>
          <w:trHeight w:val="454"/>
        </w:trPr>
        <w:tc>
          <w:tcPr>
            <w:tcW w:w="3200"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hideMark/>
          </w:tcPr>
          <w:p w14:paraId="0A241FC0" w14:textId="77777777" w:rsidR="00730DE4" w:rsidRPr="00730DE4" w:rsidRDefault="00730DE4" w:rsidP="007977CD">
            <w:pPr>
              <w:pStyle w:val="NoSpacing"/>
              <w:rPr>
                <w:rStyle w:val="Strong"/>
              </w:rPr>
            </w:pPr>
            <w:r w:rsidRPr="00730DE4">
              <w:rPr>
                <w:rStyle w:val="Strong"/>
              </w:rPr>
              <w:t>Net cash provided by financing activities</w:t>
            </w:r>
          </w:p>
        </w:tc>
        <w:tc>
          <w:tcPr>
            <w:tcW w:w="900"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26E2B137" w14:textId="77777777" w:rsidR="00730DE4" w:rsidRPr="00730DE4" w:rsidRDefault="00730DE4" w:rsidP="007977CD">
            <w:pPr>
              <w:pStyle w:val="NoSpacing"/>
              <w:jc w:val="right"/>
            </w:pPr>
            <w:r w:rsidRPr="00730DE4">
              <w:rPr>
                <w:rStyle w:val="Strong"/>
              </w:rPr>
              <w:t xml:space="preserve">3,380,699 </w:t>
            </w:r>
          </w:p>
        </w:tc>
        <w:tc>
          <w:tcPr>
            <w:tcW w:w="900"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hideMark/>
          </w:tcPr>
          <w:p w14:paraId="61B541C0" w14:textId="77777777" w:rsidR="00730DE4" w:rsidRPr="00730DE4" w:rsidRDefault="00730DE4" w:rsidP="007977CD">
            <w:pPr>
              <w:pStyle w:val="NoSpacing"/>
              <w:jc w:val="right"/>
            </w:pPr>
            <w:r w:rsidRPr="00730DE4">
              <w:rPr>
                <w:rStyle w:val="Strong"/>
              </w:rPr>
              <w:t xml:space="preserve">3,652,527 </w:t>
            </w:r>
          </w:p>
        </w:tc>
      </w:tr>
      <w:tr w:rsidR="00730DE4" w:rsidRPr="00730DE4" w14:paraId="07D76F65" w14:textId="77777777" w:rsidTr="002F7278">
        <w:trPr>
          <w:trHeight w:val="240"/>
        </w:trPr>
        <w:tc>
          <w:tcPr>
            <w:tcW w:w="320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32A42AED" w14:textId="77777777" w:rsidR="00730DE4" w:rsidRPr="00730DE4" w:rsidRDefault="00730DE4" w:rsidP="006D2F0E">
            <w:pPr>
              <w:pStyle w:val="NoSpacingIndent"/>
            </w:pPr>
            <w:r w:rsidRPr="00730DE4">
              <w:t xml:space="preserve">Net increase/(decrease) in cash </w:t>
            </w:r>
          </w:p>
        </w:tc>
        <w:tc>
          <w:tcPr>
            <w:tcW w:w="90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F0FA4CE" w14:textId="77777777" w:rsidR="00730DE4" w:rsidRPr="00730DE4" w:rsidRDefault="00730DE4" w:rsidP="00F46338">
            <w:pPr>
              <w:pStyle w:val="NoSpacing"/>
              <w:jc w:val="right"/>
            </w:pPr>
            <w:r w:rsidRPr="00730DE4">
              <w:t>(288,334)</w:t>
            </w:r>
          </w:p>
        </w:tc>
        <w:tc>
          <w:tcPr>
            <w:tcW w:w="90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6326EF4" w14:textId="77777777" w:rsidR="00730DE4" w:rsidRPr="00730DE4" w:rsidRDefault="00730DE4" w:rsidP="00F46338">
            <w:pPr>
              <w:pStyle w:val="NoSpacing"/>
              <w:jc w:val="right"/>
            </w:pPr>
            <w:r w:rsidRPr="00730DE4">
              <w:t xml:space="preserve">353,200 </w:t>
            </w:r>
          </w:p>
        </w:tc>
      </w:tr>
      <w:tr w:rsidR="00730DE4" w:rsidRPr="00730DE4" w14:paraId="31815AB2" w14:textId="77777777" w:rsidTr="002F7278">
        <w:trPr>
          <w:trHeight w:val="240"/>
        </w:trPr>
        <w:tc>
          <w:tcPr>
            <w:tcW w:w="320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6ED926C4" w14:textId="77777777" w:rsidR="00730DE4" w:rsidRPr="00730DE4" w:rsidRDefault="00730DE4" w:rsidP="006D2F0E">
            <w:pPr>
              <w:pStyle w:val="NoSpacingIndent"/>
            </w:pPr>
            <w:r w:rsidRPr="00730DE4">
              <w:t>Increase in cash due to machinery-of-government change</w:t>
            </w:r>
          </w:p>
        </w:tc>
        <w:tc>
          <w:tcPr>
            <w:tcW w:w="90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BB12C6F" w14:textId="77777777" w:rsidR="00730DE4" w:rsidRPr="00730DE4" w:rsidRDefault="00730DE4" w:rsidP="00F46338">
            <w:pPr>
              <w:pStyle w:val="NoSpacing"/>
              <w:jc w:val="right"/>
            </w:pPr>
            <w:r w:rsidRPr="00730DE4">
              <w:t xml:space="preserve">290 </w:t>
            </w:r>
          </w:p>
        </w:tc>
        <w:tc>
          <w:tcPr>
            <w:tcW w:w="90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7026248" w14:textId="77777777" w:rsidR="00730DE4" w:rsidRPr="00730DE4" w:rsidRDefault="00730DE4" w:rsidP="00F46338">
            <w:pPr>
              <w:pStyle w:val="NoSpacing"/>
              <w:jc w:val="right"/>
            </w:pPr>
            <w:r w:rsidRPr="00730DE4">
              <w:t xml:space="preserve">71,472 </w:t>
            </w:r>
          </w:p>
        </w:tc>
      </w:tr>
      <w:tr w:rsidR="00730DE4" w:rsidRPr="00730DE4" w14:paraId="23645B9D" w14:textId="77777777" w:rsidTr="002F7278">
        <w:trPr>
          <w:trHeight w:val="240"/>
        </w:trPr>
        <w:tc>
          <w:tcPr>
            <w:tcW w:w="3200"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4A811FED" w14:textId="77777777" w:rsidR="00730DE4" w:rsidRPr="00730DE4" w:rsidRDefault="00730DE4" w:rsidP="006D2F0E">
            <w:pPr>
              <w:pStyle w:val="NoSpacingIndent"/>
            </w:pPr>
            <w:r w:rsidRPr="00730DE4">
              <w:t>Cash – opening balance</w:t>
            </w:r>
          </w:p>
        </w:tc>
        <w:tc>
          <w:tcPr>
            <w:tcW w:w="900"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56B2A8F4" w14:textId="77777777" w:rsidR="00730DE4" w:rsidRPr="00730DE4" w:rsidRDefault="00730DE4" w:rsidP="00F46338">
            <w:pPr>
              <w:pStyle w:val="NoSpacing"/>
              <w:jc w:val="right"/>
            </w:pPr>
            <w:r w:rsidRPr="00730DE4">
              <w:t xml:space="preserve">670,102 </w:t>
            </w:r>
          </w:p>
        </w:tc>
        <w:tc>
          <w:tcPr>
            <w:tcW w:w="900"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1F087B06" w14:textId="77777777" w:rsidR="00730DE4" w:rsidRPr="00730DE4" w:rsidRDefault="00730DE4" w:rsidP="00F46338">
            <w:pPr>
              <w:pStyle w:val="NoSpacing"/>
              <w:jc w:val="right"/>
            </w:pPr>
            <w:r w:rsidRPr="00730DE4">
              <w:t xml:space="preserve">245,430 </w:t>
            </w:r>
          </w:p>
        </w:tc>
      </w:tr>
      <w:tr w:rsidR="00730DE4" w:rsidRPr="00730DE4" w14:paraId="14641037" w14:textId="77777777" w:rsidTr="002F7278">
        <w:tc>
          <w:tcPr>
            <w:tcW w:w="3200" w:type="pct"/>
            <w:tcBorders>
              <w:top w:val="single" w:sz="4" w:space="0" w:color="auto"/>
              <w:left w:val="nil"/>
              <w:bottom w:val="double" w:sz="4" w:space="0" w:color="auto"/>
              <w:right w:val="dotted" w:sz="4" w:space="0" w:color="BFBFBF" w:themeColor="background1" w:themeShade="BF"/>
            </w:tcBorders>
            <w:shd w:val="clear" w:color="auto" w:fill="auto"/>
            <w:noWrap/>
          </w:tcPr>
          <w:p w14:paraId="5C1B65FB" w14:textId="77777777" w:rsidR="00730DE4" w:rsidRPr="00730DE4" w:rsidRDefault="00730DE4" w:rsidP="007977CD">
            <w:pPr>
              <w:pStyle w:val="NoSpacing"/>
            </w:pPr>
            <w:r w:rsidRPr="00730DE4">
              <w:rPr>
                <w:rStyle w:val="Strong"/>
              </w:rPr>
              <w:t>Cash – closing balance</w:t>
            </w:r>
          </w:p>
        </w:tc>
        <w:tc>
          <w:tcPr>
            <w:tcW w:w="900"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tcPr>
          <w:p w14:paraId="2224471F" w14:textId="77777777" w:rsidR="00730DE4" w:rsidRPr="00730DE4" w:rsidRDefault="00730DE4" w:rsidP="007977CD">
            <w:pPr>
              <w:pStyle w:val="NoSpacing"/>
              <w:jc w:val="right"/>
            </w:pPr>
            <w:r w:rsidRPr="00730DE4">
              <w:rPr>
                <w:rStyle w:val="Strong"/>
              </w:rPr>
              <w:t xml:space="preserve">382,058 </w:t>
            </w:r>
          </w:p>
        </w:tc>
        <w:tc>
          <w:tcPr>
            <w:tcW w:w="900" w:type="pct"/>
            <w:tcBorders>
              <w:top w:val="single" w:sz="4" w:space="0" w:color="auto"/>
              <w:left w:val="dotted" w:sz="4" w:space="0" w:color="BFBFBF" w:themeColor="background1" w:themeShade="BF"/>
              <w:bottom w:val="double" w:sz="4" w:space="0" w:color="auto"/>
              <w:right w:val="nil"/>
            </w:tcBorders>
            <w:shd w:val="clear" w:color="auto" w:fill="auto"/>
            <w:noWrap/>
          </w:tcPr>
          <w:p w14:paraId="64C92A2E" w14:textId="77777777" w:rsidR="00730DE4" w:rsidRPr="00730DE4" w:rsidRDefault="00730DE4" w:rsidP="007977CD">
            <w:pPr>
              <w:pStyle w:val="NoSpacing"/>
              <w:jc w:val="right"/>
            </w:pPr>
            <w:r w:rsidRPr="00730DE4">
              <w:rPr>
                <w:rStyle w:val="Strong"/>
              </w:rPr>
              <w:t xml:space="preserve">670,102 </w:t>
            </w:r>
          </w:p>
        </w:tc>
      </w:tr>
    </w:tbl>
    <w:p w14:paraId="5DCEB7DD" w14:textId="77777777" w:rsidR="00730DE4" w:rsidRPr="00730DE4" w:rsidRDefault="00730DE4" w:rsidP="007977CD">
      <w:pPr>
        <w:pStyle w:val="Caption"/>
        <w:rPr>
          <w:rStyle w:val="Emphasis"/>
        </w:rPr>
      </w:pPr>
      <w:r w:rsidRPr="00730DE4">
        <w:rPr>
          <w:rStyle w:val="Emphasis"/>
        </w:rPr>
        <w:t>The accompanying notes form part of these financial statements.</w:t>
      </w:r>
    </w:p>
    <w:p w14:paraId="5E7087BA" w14:textId="77777777" w:rsidR="00730DE4" w:rsidRPr="00730DE4" w:rsidRDefault="00730DE4" w:rsidP="003C13D4">
      <w:pPr>
        <w:rPr>
          <w:rStyle w:val="Strong"/>
        </w:rPr>
        <w:sectPr w:rsidR="00730DE4" w:rsidRPr="00730DE4" w:rsidSect="00730DE4">
          <w:pgSz w:w="11906" w:h="16838" w:code="9"/>
          <w:pgMar w:top="1134" w:right="1418" w:bottom="1134" w:left="1418" w:header="227" w:footer="227" w:gutter="0"/>
          <w:cols w:space="708"/>
          <w:docGrid w:linePitch="360"/>
        </w:sectPr>
      </w:pPr>
    </w:p>
    <w:p w14:paraId="1E13E0BC" w14:textId="77777777" w:rsidR="00730DE4" w:rsidRPr="00730DE4" w:rsidRDefault="00730DE4" w:rsidP="003C13D4">
      <w:pPr>
        <w:rPr>
          <w:rStyle w:val="Strong"/>
        </w:rPr>
      </w:pPr>
      <w:r w:rsidRPr="00730DE4">
        <w:rPr>
          <w:rStyle w:val="Strong"/>
        </w:rPr>
        <w:t>Cash disclosure</w:t>
      </w:r>
    </w:p>
    <w:p w14:paraId="7BA150EE" w14:textId="77777777" w:rsidR="00730DE4" w:rsidRPr="00730DE4" w:rsidRDefault="00730DE4" w:rsidP="003C13D4">
      <w:pPr>
        <w:rPr>
          <w:color w:val="080C0F" w:themeColor="text1"/>
        </w:rPr>
      </w:pPr>
      <w:r w:rsidRPr="00730DE4">
        <w:rPr>
          <w:color w:val="080C0F" w:themeColor="text1"/>
        </w:rPr>
        <w:t>Cash represents all cash on hand, cash at bank and cheques receipted but not banked at 30 June.</w:t>
      </w:r>
    </w:p>
    <w:p w14:paraId="76AAA2FC" w14:textId="77777777" w:rsidR="00730DE4" w:rsidRPr="00730DE4" w:rsidRDefault="00730DE4" w:rsidP="003C13D4">
      <w:pPr>
        <w:rPr>
          <w:color w:val="080C0F" w:themeColor="text1"/>
        </w:rPr>
      </w:pPr>
      <w:r w:rsidRPr="00730DE4">
        <w:rPr>
          <w:color w:val="080C0F" w:themeColor="text1"/>
        </w:rPr>
        <w:t>The department's bank accounts are grouped within the whole-of-government banking set-off arrangement with Queensland Treasury Corporation and do not earn interest. The department has an overdraft facility with the Commonwealth Bank of Australia with an approved limit of $300m (2023: $215.450m). There is no interest charged on this overdraft facility.</w:t>
      </w:r>
    </w:p>
    <w:p w14:paraId="0B3B8660" w14:textId="77777777" w:rsidR="00730DE4" w:rsidRPr="00730DE4" w:rsidRDefault="00730DE4" w:rsidP="006A14A6">
      <w:pPr>
        <w:pStyle w:val="Heading2"/>
      </w:pPr>
      <w:bookmarkStart w:id="1431" w:name="_Toc179365599"/>
      <w:bookmarkStart w:id="1432" w:name="_Toc180490904"/>
      <w:bookmarkStart w:id="1433" w:name="_Toc180491937"/>
      <w:r w:rsidRPr="00730DE4">
        <w:t>Notes to the Statement of cash flows</w:t>
      </w:r>
      <w:bookmarkEnd w:id="1431"/>
      <w:bookmarkEnd w:id="1432"/>
      <w:bookmarkEnd w:id="1433"/>
    </w:p>
    <w:p w14:paraId="059EC8DA" w14:textId="77777777" w:rsidR="00730DE4" w:rsidRPr="00730DE4" w:rsidRDefault="00730DE4" w:rsidP="009D3417">
      <w:pPr>
        <w:pStyle w:val="NoSpacing"/>
        <w:rPr>
          <w:sz w:val="24"/>
          <w:szCs w:val="24"/>
        </w:rPr>
      </w:pPr>
      <w:r w:rsidRPr="00730DE4">
        <w:rPr>
          <w:sz w:val="24"/>
          <w:szCs w:val="24"/>
        </w:rPr>
        <w:t>For the year ended 30 June 2024</w:t>
      </w:r>
    </w:p>
    <w:tbl>
      <w:tblPr>
        <w:tblW w:w="5000" w:type="pct"/>
        <w:tblLayout w:type="fixed"/>
        <w:tblCellMar>
          <w:top w:w="23" w:type="dxa"/>
          <w:left w:w="23" w:type="dxa"/>
          <w:bottom w:w="23" w:type="dxa"/>
          <w:right w:w="23" w:type="dxa"/>
        </w:tblCellMar>
        <w:tblLook w:val="04A0" w:firstRow="1" w:lastRow="0" w:firstColumn="1" w:lastColumn="0" w:noHBand="0" w:noVBand="1"/>
      </w:tblPr>
      <w:tblGrid>
        <w:gridCol w:w="8754"/>
        <w:gridCol w:w="2624"/>
        <w:gridCol w:w="2624"/>
      </w:tblGrid>
      <w:tr w:rsidR="00730DE4" w:rsidRPr="00730DE4" w14:paraId="4DE54C50" w14:textId="77777777" w:rsidTr="00253FBD">
        <w:trPr>
          <w:trHeight w:val="240"/>
        </w:trPr>
        <w:tc>
          <w:tcPr>
            <w:tcW w:w="3126" w:type="pct"/>
            <w:tcBorders>
              <w:top w:val="nil"/>
              <w:left w:val="nil"/>
              <w:bottom w:val="single" w:sz="4" w:space="0" w:color="auto"/>
              <w:right w:val="nil"/>
            </w:tcBorders>
            <w:shd w:val="clear" w:color="auto" w:fill="auto"/>
            <w:noWrap/>
            <w:vAlign w:val="bottom"/>
            <w:hideMark/>
          </w:tcPr>
          <w:p w14:paraId="378BFA9C" w14:textId="77777777" w:rsidR="00730DE4" w:rsidRPr="00730DE4" w:rsidRDefault="00730DE4" w:rsidP="00C413A0">
            <w:pPr>
              <w:pStyle w:val="NoSpacing"/>
              <w:rPr>
                <w:b/>
                <w:bCs/>
              </w:rPr>
            </w:pPr>
          </w:p>
        </w:tc>
        <w:tc>
          <w:tcPr>
            <w:tcW w:w="937" w:type="pct"/>
            <w:tcBorders>
              <w:top w:val="nil"/>
              <w:left w:val="nil"/>
              <w:bottom w:val="single" w:sz="4" w:space="0" w:color="auto"/>
              <w:right w:val="nil"/>
            </w:tcBorders>
            <w:vAlign w:val="bottom"/>
          </w:tcPr>
          <w:p w14:paraId="1019FAFB" w14:textId="77777777" w:rsidR="00730DE4" w:rsidRPr="00730DE4" w:rsidRDefault="00730DE4" w:rsidP="00C413A0">
            <w:pPr>
              <w:pStyle w:val="NoSpacing"/>
              <w:jc w:val="right"/>
              <w:rPr>
                <w:rStyle w:val="Strong"/>
              </w:rPr>
            </w:pPr>
            <w:r w:rsidRPr="00730DE4">
              <w:rPr>
                <w:rStyle w:val="Strong"/>
              </w:rPr>
              <w:t xml:space="preserve">2024 </w:t>
            </w:r>
            <w:r w:rsidRPr="00730DE4">
              <w:rPr>
                <w:rStyle w:val="Strong"/>
              </w:rPr>
              <w:br/>
              <w:t>$'000</w:t>
            </w:r>
          </w:p>
        </w:tc>
        <w:tc>
          <w:tcPr>
            <w:tcW w:w="937" w:type="pct"/>
            <w:tcBorders>
              <w:top w:val="nil"/>
              <w:left w:val="nil"/>
              <w:bottom w:val="single" w:sz="4" w:space="0" w:color="auto"/>
              <w:right w:val="nil"/>
            </w:tcBorders>
            <w:vAlign w:val="bottom"/>
          </w:tcPr>
          <w:p w14:paraId="4FBE2D86" w14:textId="77777777" w:rsidR="00730DE4" w:rsidRPr="00730DE4" w:rsidRDefault="00730DE4" w:rsidP="00C413A0">
            <w:pPr>
              <w:pStyle w:val="NoSpacing"/>
              <w:jc w:val="right"/>
              <w:rPr>
                <w:rStyle w:val="Strong"/>
              </w:rPr>
            </w:pPr>
            <w:r w:rsidRPr="00730DE4">
              <w:rPr>
                <w:rStyle w:val="Strong"/>
              </w:rPr>
              <w:t xml:space="preserve">2023 </w:t>
            </w:r>
            <w:r w:rsidRPr="00730DE4">
              <w:rPr>
                <w:rStyle w:val="Strong"/>
              </w:rPr>
              <w:br/>
              <w:t>$'000</w:t>
            </w:r>
          </w:p>
        </w:tc>
      </w:tr>
      <w:tr w:rsidR="00730DE4" w:rsidRPr="00730DE4" w14:paraId="4BA2ECC4" w14:textId="77777777" w:rsidTr="00FE7BF1">
        <w:trPr>
          <w:trHeight w:val="454"/>
        </w:trPr>
        <w:tc>
          <w:tcPr>
            <w:tcW w:w="3126"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vAlign w:val="bottom"/>
          </w:tcPr>
          <w:p w14:paraId="70AD82B5" w14:textId="77777777" w:rsidR="00730DE4" w:rsidRPr="00730DE4" w:rsidRDefault="00730DE4" w:rsidP="00C413A0">
            <w:pPr>
              <w:pStyle w:val="NoSpacing"/>
              <w:rPr>
                <w:b/>
                <w:bCs/>
              </w:rPr>
            </w:pPr>
            <w:r w:rsidRPr="00730DE4">
              <w:rPr>
                <w:rStyle w:val="Strong"/>
              </w:rPr>
              <w:t>Reconciliation of operating result to net cash provided by operating activities</w:t>
            </w:r>
          </w:p>
        </w:tc>
        <w:tc>
          <w:tcPr>
            <w:tcW w:w="937"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tcPr>
          <w:p w14:paraId="4B7C5E4D" w14:textId="77777777" w:rsidR="00730DE4" w:rsidRPr="00730DE4" w:rsidRDefault="00730DE4" w:rsidP="00C413A0">
            <w:pPr>
              <w:pStyle w:val="NoSpacing"/>
              <w:jc w:val="right"/>
            </w:pPr>
          </w:p>
        </w:tc>
        <w:tc>
          <w:tcPr>
            <w:tcW w:w="937"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vAlign w:val="bottom"/>
          </w:tcPr>
          <w:p w14:paraId="7D3A963F" w14:textId="77777777" w:rsidR="00730DE4" w:rsidRPr="00730DE4" w:rsidRDefault="00730DE4" w:rsidP="00C413A0">
            <w:pPr>
              <w:pStyle w:val="NoSpacing"/>
              <w:jc w:val="right"/>
            </w:pPr>
          </w:p>
        </w:tc>
      </w:tr>
      <w:tr w:rsidR="00730DE4" w:rsidRPr="00730DE4" w14:paraId="3771AD1D" w14:textId="77777777" w:rsidTr="002F7278">
        <w:trPr>
          <w:trHeight w:val="454"/>
        </w:trPr>
        <w:tc>
          <w:tcPr>
            <w:tcW w:w="3126" w:type="pct"/>
            <w:tcBorders>
              <w:top w:val="dotted" w:sz="4" w:space="0" w:color="BFBFBF" w:themeColor="background1" w:themeShade="BF"/>
              <w:left w:val="nil"/>
              <w:right w:val="dotted" w:sz="4" w:space="0" w:color="BFBFBF" w:themeColor="background1" w:themeShade="BF"/>
            </w:tcBorders>
            <w:shd w:val="clear" w:color="auto" w:fill="auto"/>
            <w:noWrap/>
            <w:vAlign w:val="center"/>
          </w:tcPr>
          <w:p w14:paraId="4461FB09" w14:textId="77777777" w:rsidR="00730DE4" w:rsidRPr="00730DE4" w:rsidRDefault="00730DE4" w:rsidP="00C413A0">
            <w:pPr>
              <w:pStyle w:val="NoSpacing"/>
              <w:rPr>
                <w:b/>
                <w:bCs/>
              </w:rPr>
            </w:pPr>
            <w:r w:rsidRPr="00730DE4">
              <w:rPr>
                <w:rStyle w:val="Strong"/>
              </w:rPr>
              <w:t>Operating result</w:t>
            </w:r>
          </w:p>
        </w:tc>
        <w:tc>
          <w:tcPr>
            <w:tcW w:w="937" w:type="pct"/>
            <w:tcBorders>
              <w:top w:val="dotted" w:sz="4" w:space="0" w:color="BFBFBF" w:themeColor="background1" w:themeShade="BF"/>
              <w:left w:val="dotted" w:sz="4" w:space="0" w:color="BFBFBF" w:themeColor="background1" w:themeShade="BF"/>
              <w:right w:val="dotted" w:sz="4" w:space="0" w:color="BFBFBF" w:themeColor="background1" w:themeShade="BF"/>
            </w:tcBorders>
            <w:shd w:val="clear" w:color="auto" w:fill="F2F2F2" w:themeFill="background1" w:themeFillShade="F2"/>
            <w:vAlign w:val="center"/>
          </w:tcPr>
          <w:p w14:paraId="7DE86E52" w14:textId="77777777" w:rsidR="00730DE4" w:rsidRPr="00730DE4" w:rsidRDefault="00730DE4" w:rsidP="00C413A0">
            <w:pPr>
              <w:pStyle w:val="NoSpacing"/>
              <w:jc w:val="right"/>
            </w:pPr>
            <w:r w:rsidRPr="00730DE4">
              <w:t xml:space="preserve">322,610 </w:t>
            </w:r>
          </w:p>
        </w:tc>
        <w:tc>
          <w:tcPr>
            <w:tcW w:w="937" w:type="pct"/>
            <w:tcBorders>
              <w:top w:val="dotted" w:sz="4" w:space="0" w:color="BFBFBF" w:themeColor="background1" w:themeShade="BF"/>
              <w:left w:val="dotted" w:sz="4" w:space="0" w:color="BFBFBF" w:themeColor="background1" w:themeShade="BF"/>
              <w:right w:val="nil"/>
            </w:tcBorders>
            <w:shd w:val="clear" w:color="auto" w:fill="auto"/>
            <w:vAlign w:val="center"/>
          </w:tcPr>
          <w:p w14:paraId="58DD28C3" w14:textId="77777777" w:rsidR="00730DE4" w:rsidRPr="00730DE4" w:rsidRDefault="00730DE4" w:rsidP="00C413A0">
            <w:pPr>
              <w:pStyle w:val="NoSpacing"/>
              <w:jc w:val="right"/>
            </w:pPr>
            <w:r w:rsidRPr="00730DE4">
              <w:t xml:space="preserve">4,996 </w:t>
            </w:r>
          </w:p>
        </w:tc>
      </w:tr>
      <w:tr w:rsidR="00730DE4" w:rsidRPr="00730DE4" w14:paraId="749E8D86" w14:textId="77777777" w:rsidTr="002F7278">
        <w:trPr>
          <w:trHeight w:val="240"/>
        </w:trPr>
        <w:tc>
          <w:tcPr>
            <w:tcW w:w="3126" w:type="pct"/>
            <w:tcBorders>
              <w:left w:val="nil"/>
              <w:bottom w:val="dotted" w:sz="4" w:space="0" w:color="BFBFBF" w:themeColor="background1" w:themeShade="BF"/>
              <w:right w:val="dotted" w:sz="4" w:space="0" w:color="BFBFBF" w:themeColor="background1" w:themeShade="BF"/>
            </w:tcBorders>
            <w:shd w:val="clear" w:color="auto" w:fill="auto"/>
            <w:noWrap/>
            <w:vAlign w:val="bottom"/>
          </w:tcPr>
          <w:p w14:paraId="1F0AF712" w14:textId="77777777" w:rsidR="00730DE4" w:rsidRPr="00730DE4" w:rsidRDefault="00730DE4" w:rsidP="00C413A0">
            <w:pPr>
              <w:pStyle w:val="NoSpacing"/>
              <w:rPr>
                <w:rStyle w:val="Strong"/>
              </w:rPr>
            </w:pPr>
            <w:r w:rsidRPr="00730DE4">
              <w:rPr>
                <w:rStyle w:val="Strong"/>
              </w:rPr>
              <w:t>Non-cash items included in operating result</w:t>
            </w:r>
          </w:p>
        </w:tc>
        <w:tc>
          <w:tcPr>
            <w:tcW w:w="937"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tcPr>
          <w:p w14:paraId="02B53699" w14:textId="77777777" w:rsidR="00730DE4" w:rsidRPr="00730DE4" w:rsidRDefault="00730DE4" w:rsidP="00C413A0">
            <w:pPr>
              <w:pStyle w:val="NoSpacing"/>
              <w:jc w:val="right"/>
            </w:pPr>
            <w:r w:rsidRPr="00730DE4">
              <w:t> </w:t>
            </w:r>
          </w:p>
        </w:tc>
        <w:tc>
          <w:tcPr>
            <w:tcW w:w="937" w:type="pct"/>
            <w:tcBorders>
              <w:left w:val="dotted" w:sz="4" w:space="0" w:color="BFBFBF" w:themeColor="background1" w:themeShade="BF"/>
              <w:bottom w:val="dotted" w:sz="4" w:space="0" w:color="BFBFBF" w:themeColor="background1" w:themeShade="BF"/>
              <w:right w:val="nil"/>
            </w:tcBorders>
            <w:shd w:val="clear" w:color="auto" w:fill="auto"/>
            <w:vAlign w:val="bottom"/>
          </w:tcPr>
          <w:p w14:paraId="7CFC42E0" w14:textId="77777777" w:rsidR="00730DE4" w:rsidRPr="00730DE4" w:rsidRDefault="00730DE4" w:rsidP="00C413A0">
            <w:pPr>
              <w:pStyle w:val="NoSpacing"/>
              <w:jc w:val="right"/>
            </w:pPr>
          </w:p>
        </w:tc>
      </w:tr>
      <w:tr w:rsidR="00730DE4" w:rsidRPr="00730DE4" w14:paraId="4B8D51C3" w14:textId="77777777" w:rsidTr="002F7278">
        <w:trPr>
          <w:trHeight w:val="240"/>
        </w:trPr>
        <w:tc>
          <w:tcPr>
            <w:tcW w:w="3126"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01A85215" w14:textId="77777777" w:rsidR="00730DE4" w:rsidRPr="00730DE4" w:rsidRDefault="00730DE4" w:rsidP="00C413A0">
            <w:pPr>
              <w:pStyle w:val="NoSpacing"/>
            </w:pPr>
            <w:r w:rsidRPr="00730DE4">
              <w:t>Goods, services and assets received at below fair value</w:t>
            </w:r>
          </w:p>
        </w:tc>
        <w:tc>
          <w:tcPr>
            <w:tcW w:w="93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tcPr>
          <w:p w14:paraId="3161A19B" w14:textId="77777777" w:rsidR="00730DE4" w:rsidRPr="00730DE4" w:rsidRDefault="00730DE4" w:rsidP="00C413A0">
            <w:pPr>
              <w:pStyle w:val="NoSpacing"/>
              <w:jc w:val="right"/>
            </w:pPr>
            <w:r w:rsidRPr="00730DE4">
              <w:t>(71,717)</w:t>
            </w:r>
          </w:p>
        </w:tc>
        <w:tc>
          <w:tcPr>
            <w:tcW w:w="93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vAlign w:val="bottom"/>
          </w:tcPr>
          <w:p w14:paraId="09819712" w14:textId="77777777" w:rsidR="00730DE4" w:rsidRPr="00730DE4" w:rsidRDefault="00730DE4" w:rsidP="00C413A0">
            <w:pPr>
              <w:pStyle w:val="NoSpacing"/>
              <w:jc w:val="right"/>
            </w:pPr>
            <w:r w:rsidRPr="00730DE4">
              <w:t>(51,830)</w:t>
            </w:r>
          </w:p>
        </w:tc>
      </w:tr>
      <w:tr w:rsidR="00730DE4" w:rsidRPr="00730DE4" w14:paraId="3897D0FD" w14:textId="77777777" w:rsidTr="002F7278">
        <w:trPr>
          <w:trHeight w:val="240"/>
        </w:trPr>
        <w:tc>
          <w:tcPr>
            <w:tcW w:w="3126"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07867B39" w14:textId="77777777" w:rsidR="00730DE4" w:rsidRPr="00730DE4" w:rsidRDefault="00730DE4" w:rsidP="00C413A0">
            <w:pPr>
              <w:pStyle w:val="NoSpacing"/>
            </w:pPr>
            <w:r w:rsidRPr="00730DE4">
              <w:t>Gains on disposal of assets</w:t>
            </w:r>
          </w:p>
        </w:tc>
        <w:tc>
          <w:tcPr>
            <w:tcW w:w="93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tcPr>
          <w:p w14:paraId="4D31FF8A" w14:textId="77777777" w:rsidR="00730DE4" w:rsidRPr="00730DE4" w:rsidRDefault="00730DE4" w:rsidP="00C413A0">
            <w:pPr>
              <w:pStyle w:val="NoSpacing"/>
              <w:jc w:val="right"/>
            </w:pPr>
            <w:r w:rsidRPr="00730DE4">
              <w:t>(2,419)</w:t>
            </w:r>
          </w:p>
        </w:tc>
        <w:tc>
          <w:tcPr>
            <w:tcW w:w="93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vAlign w:val="bottom"/>
          </w:tcPr>
          <w:p w14:paraId="12253610" w14:textId="77777777" w:rsidR="00730DE4" w:rsidRPr="00730DE4" w:rsidRDefault="00730DE4" w:rsidP="00C413A0">
            <w:pPr>
              <w:pStyle w:val="NoSpacing"/>
              <w:jc w:val="right"/>
            </w:pPr>
            <w:r w:rsidRPr="00730DE4">
              <w:t>(2,642)</w:t>
            </w:r>
          </w:p>
        </w:tc>
      </w:tr>
      <w:tr w:rsidR="00730DE4" w:rsidRPr="00730DE4" w14:paraId="3EB047AE" w14:textId="77777777" w:rsidTr="002F7278">
        <w:trPr>
          <w:trHeight w:val="240"/>
        </w:trPr>
        <w:tc>
          <w:tcPr>
            <w:tcW w:w="3126"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33395732" w14:textId="77777777" w:rsidR="00730DE4" w:rsidRPr="00730DE4" w:rsidRDefault="00730DE4" w:rsidP="00C413A0">
            <w:pPr>
              <w:pStyle w:val="NoSpacing"/>
            </w:pPr>
            <w:r w:rsidRPr="00730DE4">
              <w:t>Service concession arrangements revenue</w:t>
            </w:r>
          </w:p>
        </w:tc>
        <w:tc>
          <w:tcPr>
            <w:tcW w:w="93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tcPr>
          <w:p w14:paraId="39D2F879" w14:textId="77777777" w:rsidR="00730DE4" w:rsidRPr="00730DE4" w:rsidRDefault="00730DE4" w:rsidP="00C413A0">
            <w:pPr>
              <w:pStyle w:val="NoSpacing"/>
              <w:jc w:val="right"/>
            </w:pPr>
            <w:r w:rsidRPr="00730DE4">
              <w:t>(232,180)</w:t>
            </w:r>
          </w:p>
        </w:tc>
        <w:tc>
          <w:tcPr>
            <w:tcW w:w="93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vAlign w:val="bottom"/>
          </w:tcPr>
          <w:p w14:paraId="6D931598" w14:textId="77777777" w:rsidR="00730DE4" w:rsidRPr="00730DE4" w:rsidRDefault="00730DE4" w:rsidP="00C413A0">
            <w:pPr>
              <w:pStyle w:val="NoSpacing"/>
              <w:jc w:val="right"/>
            </w:pPr>
            <w:r w:rsidRPr="00730DE4">
              <w:t>(232,180)</w:t>
            </w:r>
          </w:p>
        </w:tc>
      </w:tr>
      <w:tr w:rsidR="00730DE4" w:rsidRPr="00730DE4" w14:paraId="61E5FF06" w14:textId="77777777" w:rsidTr="002F7278">
        <w:trPr>
          <w:trHeight w:val="240"/>
        </w:trPr>
        <w:tc>
          <w:tcPr>
            <w:tcW w:w="3126"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0BBAA193" w14:textId="77777777" w:rsidR="00730DE4" w:rsidRPr="00730DE4" w:rsidRDefault="00730DE4" w:rsidP="00C413A0">
            <w:pPr>
              <w:pStyle w:val="NoSpacing"/>
            </w:pPr>
            <w:r w:rsidRPr="00730DE4">
              <w:t>Assets provided at below fair value</w:t>
            </w:r>
          </w:p>
        </w:tc>
        <w:tc>
          <w:tcPr>
            <w:tcW w:w="93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tcPr>
          <w:p w14:paraId="11D54332" w14:textId="77777777" w:rsidR="00730DE4" w:rsidRPr="00730DE4" w:rsidRDefault="00730DE4" w:rsidP="00C413A0">
            <w:pPr>
              <w:pStyle w:val="NoSpacing"/>
              <w:jc w:val="right"/>
            </w:pPr>
            <w:r w:rsidRPr="00730DE4">
              <w:t xml:space="preserve">39,110 </w:t>
            </w:r>
          </w:p>
        </w:tc>
        <w:tc>
          <w:tcPr>
            <w:tcW w:w="93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vAlign w:val="bottom"/>
          </w:tcPr>
          <w:p w14:paraId="3D7F90E2" w14:textId="77777777" w:rsidR="00730DE4" w:rsidRPr="00730DE4" w:rsidRDefault="00730DE4" w:rsidP="00C413A0">
            <w:pPr>
              <w:pStyle w:val="NoSpacing"/>
              <w:jc w:val="right"/>
            </w:pPr>
            <w:r w:rsidRPr="00730DE4">
              <w:t xml:space="preserve">7,289 </w:t>
            </w:r>
          </w:p>
        </w:tc>
      </w:tr>
      <w:tr w:rsidR="00730DE4" w:rsidRPr="00730DE4" w14:paraId="142EA48B" w14:textId="77777777" w:rsidTr="002F7278">
        <w:trPr>
          <w:trHeight w:val="240"/>
        </w:trPr>
        <w:tc>
          <w:tcPr>
            <w:tcW w:w="3126"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4F75699D" w14:textId="77777777" w:rsidR="00730DE4" w:rsidRPr="00730DE4" w:rsidRDefault="00730DE4" w:rsidP="00C413A0">
            <w:pPr>
              <w:pStyle w:val="NoSpacing"/>
            </w:pPr>
            <w:r w:rsidRPr="00730DE4">
              <w:t xml:space="preserve">Depreciation and amortisation </w:t>
            </w:r>
          </w:p>
        </w:tc>
        <w:tc>
          <w:tcPr>
            <w:tcW w:w="93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tcPr>
          <w:p w14:paraId="66617D1B" w14:textId="77777777" w:rsidR="00730DE4" w:rsidRPr="00730DE4" w:rsidRDefault="00730DE4" w:rsidP="00C413A0">
            <w:pPr>
              <w:pStyle w:val="NoSpacing"/>
              <w:jc w:val="right"/>
            </w:pPr>
            <w:r w:rsidRPr="00730DE4">
              <w:t xml:space="preserve">1,646,691 </w:t>
            </w:r>
          </w:p>
        </w:tc>
        <w:tc>
          <w:tcPr>
            <w:tcW w:w="93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vAlign w:val="bottom"/>
          </w:tcPr>
          <w:p w14:paraId="4509632E" w14:textId="77777777" w:rsidR="00730DE4" w:rsidRPr="00730DE4" w:rsidRDefault="00730DE4" w:rsidP="00C413A0">
            <w:pPr>
              <w:pStyle w:val="NoSpacing"/>
              <w:jc w:val="right"/>
            </w:pPr>
            <w:r w:rsidRPr="00730DE4">
              <w:t xml:space="preserve">1,506,324 </w:t>
            </w:r>
          </w:p>
        </w:tc>
      </w:tr>
      <w:tr w:rsidR="00730DE4" w:rsidRPr="00730DE4" w14:paraId="3503490D" w14:textId="77777777" w:rsidTr="002F7278">
        <w:trPr>
          <w:trHeight w:val="454"/>
        </w:trPr>
        <w:tc>
          <w:tcPr>
            <w:tcW w:w="3126" w:type="pct"/>
            <w:tcBorders>
              <w:top w:val="dotted" w:sz="4" w:space="0" w:color="BFBFBF" w:themeColor="background1" w:themeShade="BF"/>
              <w:left w:val="nil"/>
              <w:right w:val="dotted" w:sz="4" w:space="0" w:color="BFBFBF" w:themeColor="background1" w:themeShade="BF"/>
            </w:tcBorders>
            <w:shd w:val="clear" w:color="auto" w:fill="auto"/>
            <w:noWrap/>
            <w:hideMark/>
          </w:tcPr>
          <w:p w14:paraId="5C6B3140" w14:textId="77777777" w:rsidR="00730DE4" w:rsidRPr="00730DE4" w:rsidRDefault="00730DE4" w:rsidP="00C413A0">
            <w:pPr>
              <w:pStyle w:val="NoSpacing"/>
            </w:pPr>
            <w:r w:rsidRPr="00730DE4">
              <w:t>Loss on disposed assets</w:t>
            </w:r>
          </w:p>
        </w:tc>
        <w:tc>
          <w:tcPr>
            <w:tcW w:w="937" w:type="pct"/>
            <w:tcBorders>
              <w:top w:val="dotted" w:sz="4" w:space="0" w:color="BFBFBF" w:themeColor="background1" w:themeShade="BF"/>
              <w:left w:val="dotted" w:sz="4" w:space="0" w:color="BFBFBF" w:themeColor="background1" w:themeShade="BF"/>
              <w:right w:val="dotted" w:sz="4" w:space="0" w:color="BFBFBF" w:themeColor="background1" w:themeShade="BF"/>
            </w:tcBorders>
            <w:shd w:val="clear" w:color="auto" w:fill="F2F2F2" w:themeFill="background1" w:themeFillShade="F2"/>
          </w:tcPr>
          <w:p w14:paraId="174D4C67" w14:textId="77777777" w:rsidR="00730DE4" w:rsidRPr="00730DE4" w:rsidRDefault="00730DE4" w:rsidP="00C413A0">
            <w:pPr>
              <w:pStyle w:val="NoSpacing"/>
              <w:jc w:val="right"/>
            </w:pPr>
            <w:r w:rsidRPr="00730DE4">
              <w:t xml:space="preserve">1,945 </w:t>
            </w:r>
          </w:p>
        </w:tc>
        <w:tc>
          <w:tcPr>
            <w:tcW w:w="937" w:type="pct"/>
            <w:tcBorders>
              <w:top w:val="dotted" w:sz="4" w:space="0" w:color="BFBFBF" w:themeColor="background1" w:themeShade="BF"/>
              <w:left w:val="dotted" w:sz="4" w:space="0" w:color="BFBFBF" w:themeColor="background1" w:themeShade="BF"/>
              <w:right w:val="nil"/>
            </w:tcBorders>
            <w:shd w:val="clear" w:color="auto" w:fill="auto"/>
          </w:tcPr>
          <w:p w14:paraId="0B78D154" w14:textId="77777777" w:rsidR="00730DE4" w:rsidRPr="00730DE4" w:rsidRDefault="00730DE4" w:rsidP="00C413A0">
            <w:pPr>
              <w:pStyle w:val="NoSpacing"/>
              <w:jc w:val="right"/>
            </w:pPr>
            <w:r w:rsidRPr="00730DE4">
              <w:t xml:space="preserve">15,618 </w:t>
            </w:r>
          </w:p>
        </w:tc>
      </w:tr>
      <w:tr w:rsidR="00730DE4" w:rsidRPr="00730DE4" w14:paraId="1F3F25FF" w14:textId="77777777" w:rsidTr="002F7278">
        <w:trPr>
          <w:trHeight w:val="240"/>
        </w:trPr>
        <w:tc>
          <w:tcPr>
            <w:tcW w:w="3126" w:type="pct"/>
            <w:tcBorders>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5A1640C7" w14:textId="77777777" w:rsidR="00730DE4" w:rsidRPr="00730DE4" w:rsidRDefault="00730DE4" w:rsidP="00C413A0">
            <w:pPr>
              <w:pStyle w:val="NoSpacing"/>
              <w:rPr>
                <w:b/>
                <w:bCs/>
              </w:rPr>
            </w:pPr>
            <w:r w:rsidRPr="00730DE4">
              <w:rPr>
                <w:rStyle w:val="Strong"/>
              </w:rPr>
              <w:t>Change in assets and liabilities:</w:t>
            </w:r>
          </w:p>
        </w:tc>
        <w:tc>
          <w:tcPr>
            <w:tcW w:w="937"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tcPr>
          <w:p w14:paraId="22BFEFF5" w14:textId="77777777" w:rsidR="00730DE4" w:rsidRPr="00730DE4" w:rsidRDefault="00730DE4" w:rsidP="00C413A0">
            <w:pPr>
              <w:pStyle w:val="NoSpacing"/>
              <w:jc w:val="right"/>
            </w:pPr>
            <w:r w:rsidRPr="00730DE4">
              <w:t> </w:t>
            </w:r>
          </w:p>
        </w:tc>
        <w:tc>
          <w:tcPr>
            <w:tcW w:w="937" w:type="pct"/>
            <w:tcBorders>
              <w:left w:val="dotted" w:sz="4" w:space="0" w:color="BFBFBF" w:themeColor="background1" w:themeShade="BF"/>
              <w:bottom w:val="dotted" w:sz="4" w:space="0" w:color="BFBFBF" w:themeColor="background1" w:themeShade="BF"/>
              <w:right w:val="nil"/>
            </w:tcBorders>
            <w:shd w:val="clear" w:color="auto" w:fill="auto"/>
            <w:vAlign w:val="bottom"/>
          </w:tcPr>
          <w:p w14:paraId="38653F6E" w14:textId="77777777" w:rsidR="00730DE4" w:rsidRPr="00730DE4" w:rsidRDefault="00730DE4" w:rsidP="00C413A0">
            <w:pPr>
              <w:pStyle w:val="NoSpacing"/>
              <w:jc w:val="right"/>
            </w:pPr>
          </w:p>
        </w:tc>
      </w:tr>
      <w:tr w:rsidR="00730DE4" w:rsidRPr="00730DE4" w14:paraId="4B38FF71" w14:textId="77777777" w:rsidTr="002F7278">
        <w:trPr>
          <w:trHeight w:val="240"/>
        </w:trPr>
        <w:tc>
          <w:tcPr>
            <w:tcW w:w="3126"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54A1629B" w14:textId="77777777" w:rsidR="00730DE4" w:rsidRPr="00730DE4" w:rsidRDefault="00730DE4" w:rsidP="00C413A0">
            <w:pPr>
              <w:pStyle w:val="NoSpacing"/>
            </w:pPr>
            <w:r w:rsidRPr="00730DE4">
              <w:t>(Increase)/decrease in receivables</w:t>
            </w:r>
          </w:p>
        </w:tc>
        <w:tc>
          <w:tcPr>
            <w:tcW w:w="93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tcPr>
          <w:p w14:paraId="4E50AC46" w14:textId="77777777" w:rsidR="00730DE4" w:rsidRPr="00730DE4" w:rsidRDefault="00730DE4" w:rsidP="00C413A0">
            <w:pPr>
              <w:pStyle w:val="NoSpacing"/>
              <w:jc w:val="right"/>
            </w:pPr>
            <w:r w:rsidRPr="00730DE4">
              <w:t>(270,036)</w:t>
            </w:r>
          </w:p>
        </w:tc>
        <w:tc>
          <w:tcPr>
            <w:tcW w:w="93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vAlign w:val="bottom"/>
          </w:tcPr>
          <w:p w14:paraId="07EDDCB7" w14:textId="77777777" w:rsidR="00730DE4" w:rsidRPr="00730DE4" w:rsidRDefault="00730DE4" w:rsidP="00C413A0">
            <w:pPr>
              <w:pStyle w:val="NoSpacing"/>
              <w:jc w:val="right"/>
            </w:pPr>
            <w:r w:rsidRPr="00730DE4">
              <w:t xml:space="preserve">27,696 </w:t>
            </w:r>
          </w:p>
        </w:tc>
      </w:tr>
      <w:tr w:rsidR="00730DE4" w:rsidRPr="00730DE4" w14:paraId="1BEA2619" w14:textId="77777777" w:rsidTr="002F7278">
        <w:trPr>
          <w:trHeight w:val="240"/>
        </w:trPr>
        <w:tc>
          <w:tcPr>
            <w:tcW w:w="3126"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64AC7D45" w14:textId="77777777" w:rsidR="00730DE4" w:rsidRPr="00730DE4" w:rsidRDefault="00730DE4" w:rsidP="00C413A0">
            <w:pPr>
              <w:pStyle w:val="NoSpacing"/>
            </w:pPr>
            <w:r w:rsidRPr="00730DE4">
              <w:t>(Increase)/decrease in inventories</w:t>
            </w:r>
          </w:p>
        </w:tc>
        <w:tc>
          <w:tcPr>
            <w:tcW w:w="93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tcPr>
          <w:p w14:paraId="484EBD7F" w14:textId="77777777" w:rsidR="00730DE4" w:rsidRPr="00730DE4" w:rsidRDefault="00730DE4" w:rsidP="00C413A0">
            <w:pPr>
              <w:pStyle w:val="NoSpacing"/>
              <w:jc w:val="right"/>
            </w:pPr>
            <w:r w:rsidRPr="00730DE4">
              <w:t xml:space="preserve">1,588 </w:t>
            </w:r>
          </w:p>
        </w:tc>
        <w:tc>
          <w:tcPr>
            <w:tcW w:w="93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vAlign w:val="bottom"/>
          </w:tcPr>
          <w:p w14:paraId="0FC88D87" w14:textId="77777777" w:rsidR="00730DE4" w:rsidRPr="00730DE4" w:rsidRDefault="00730DE4" w:rsidP="00C413A0">
            <w:pPr>
              <w:pStyle w:val="NoSpacing"/>
              <w:jc w:val="right"/>
            </w:pPr>
            <w:r w:rsidRPr="00730DE4">
              <w:t>(3,780)</w:t>
            </w:r>
          </w:p>
        </w:tc>
      </w:tr>
      <w:tr w:rsidR="00730DE4" w:rsidRPr="00730DE4" w14:paraId="4D9524C4" w14:textId="77777777" w:rsidTr="002F7278">
        <w:trPr>
          <w:trHeight w:val="240"/>
        </w:trPr>
        <w:tc>
          <w:tcPr>
            <w:tcW w:w="3126"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00C44D73" w14:textId="77777777" w:rsidR="00730DE4" w:rsidRPr="00730DE4" w:rsidRDefault="00730DE4" w:rsidP="00C413A0">
            <w:pPr>
              <w:pStyle w:val="NoSpacing"/>
            </w:pPr>
            <w:r w:rsidRPr="00730DE4">
              <w:t>(Increase)/decrease in prepayments</w:t>
            </w:r>
          </w:p>
        </w:tc>
        <w:tc>
          <w:tcPr>
            <w:tcW w:w="93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tcPr>
          <w:p w14:paraId="05DBE962" w14:textId="77777777" w:rsidR="00730DE4" w:rsidRPr="00730DE4" w:rsidRDefault="00730DE4" w:rsidP="00C413A0">
            <w:pPr>
              <w:pStyle w:val="NoSpacing"/>
              <w:jc w:val="right"/>
            </w:pPr>
            <w:r w:rsidRPr="00730DE4">
              <w:t xml:space="preserve">42,973 </w:t>
            </w:r>
          </w:p>
        </w:tc>
        <w:tc>
          <w:tcPr>
            <w:tcW w:w="93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vAlign w:val="bottom"/>
          </w:tcPr>
          <w:p w14:paraId="6094F558" w14:textId="77777777" w:rsidR="00730DE4" w:rsidRPr="00730DE4" w:rsidRDefault="00730DE4" w:rsidP="00C413A0">
            <w:pPr>
              <w:pStyle w:val="NoSpacing"/>
              <w:jc w:val="right"/>
            </w:pPr>
            <w:r w:rsidRPr="00730DE4">
              <w:t xml:space="preserve">59,649 </w:t>
            </w:r>
          </w:p>
        </w:tc>
      </w:tr>
      <w:tr w:rsidR="00730DE4" w:rsidRPr="00730DE4" w14:paraId="690CB7A7" w14:textId="77777777" w:rsidTr="002F7278">
        <w:trPr>
          <w:trHeight w:val="240"/>
        </w:trPr>
        <w:tc>
          <w:tcPr>
            <w:tcW w:w="3126"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6DB04E17" w14:textId="77777777" w:rsidR="00730DE4" w:rsidRPr="00730DE4" w:rsidRDefault="00730DE4" w:rsidP="00C413A0">
            <w:pPr>
              <w:pStyle w:val="NoSpacing"/>
            </w:pPr>
            <w:r w:rsidRPr="00730DE4">
              <w:t>(Increase)/decrease in deferred tax assets</w:t>
            </w:r>
          </w:p>
        </w:tc>
        <w:tc>
          <w:tcPr>
            <w:tcW w:w="93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tcPr>
          <w:p w14:paraId="1FB0AEDC" w14:textId="77777777" w:rsidR="00730DE4" w:rsidRPr="00730DE4" w:rsidRDefault="00730DE4" w:rsidP="00C413A0">
            <w:pPr>
              <w:pStyle w:val="NoSpacing"/>
              <w:jc w:val="right"/>
            </w:pPr>
            <w:r w:rsidRPr="00730DE4">
              <w:t>(768)</w:t>
            </w:r>
          </w:p>
        </w:tc>
        <w:tc>
          <w:tcPr>
            <w:tcW w:w="93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vAlign w:val="bottom"/>
          </w:tcPr>
          <w:p w14:paraId="5830F3FB" w14:textId="77777777" w:rsidR="00730DE4" w:rsidRPr="00730DE4" w:rsidRDefault="00730DE4" w:rsidP="00C413A0">
            <w:pPr>
              <w:pStyle w:val="NoSpacing"/>
              <w:jc w:val="right"/>
            </w:pPr>
            <w:r w:rsidRPr="00730DE4">
              <w:t xml:space="preserve">295 </w:t>
            </w:r>
          </w:p>
        </w:tc>
      </w:tr>
      <w:tr w:rsidR="00730DE4" w:rsidRPr="00730DE4" w14:paraId="2488593C" w14:textId="77777777" w:rsidTr="002F7278">
        <w:trPr>
          <w:trHeight w:val="240"/>
        </w:trPr>
        <w:tc>
          <w:tcPr>
            <w:tcW w:w="3126"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7EE68D9" w14:textId="77777777" w:rsidR="00730DE4" w:rsidRPr="00730DE4" w:rsidRDefault="00730DE4" w:rsidP="00C413A0">
            <w:pPr>
              <w:pStyle w:val="NoSpacing"/>
            </w:pPr>
            <w:r w:rsidRPr="00730DE4">
              <w:t>Increase/(decrease) in payables</w:t>
            </w:r>
          </w:p>
        </w:tc>
        <w:tc>
          <w:tcPr>
            <w:tcW w:w="93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tcPr>
          <w:p w14:paraId="003904E2" w14:textId="77777777" w:rsidR="00730DE4" w:rsidRPr="00730DE4" w:rsidRDefault="00730DE4" w:rsidP="00C413A0">
            <w:pPr>
              <w:pStyle w:val="NoSpacing"/>
              <w:jc w:val="right"/>
            </w:pPr>
            <w:r w:rsidRPr="00730DE4">
              <w:t xml:space="preserve">60,755 </w:t>
            </w:r>
          </w:p>
        </w:tc>
        <w:tc>
          <w:tcPr>
            <w:tcW w:w="93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vAlign w:val="bottom"/>
          </w:tcPr>
          <w:p w14:paraId="267D007C" w14:textId="77777777" w:rsidR="00730DE4" w:rsidRPr="00730DE4" w:rsidRDefault="00730DE4" w:rsidP="00C413A0">
            <w:pPr>
              <w:pStyle w:val="NoSpacing"/>
              <w:jc w:val="right"/>
            </w:pPr>
            <w:r w:rsidRPr="00730DE4">
              <w:t xml:space="preserve">138,605 </w:t>
            </w:r>
          </w:p>
        </w:tc>
      </w:tr>
      <w:tr w:rsidR="00730DE4" w:rsidRPr="00730DE4" w14:paraId="6BDD3063" w14:textId="77777777" w:rsidTr="002F7278">
        <w:trPr>
          <w:trHeight w:val="240"/>
        </w:trPr>
        <w:tc>
          <w:tcPr>
            <w:tcW w:w="3126"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1DD41FE7" w14:textId="77777777" w:rsidR="00730DE4" w:rsidRPr="00730DE4" w:rsidRDefault="00730DE4" w:rsidP="00C413A0">
            <w:pPr>
              <w:pStyle w:val="NoSpacing"/>
            </w:pPr>
            <w:r w:rsidRPr="00730DE4">
              <w:t xml:space="preserve">Increase/(decrease) in accrued employee benefits </w:t>
            </w:r>
          </w:p>
        </w:tc>
        <w:tc>
          <w:tcPr>
            <w:tcW w:w="93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tcPr>
          <w:p w14:paraId="6DD890DF" w14:textId="77777777" w:rsidR="00730DE4" w:rsidRPr="00730DE4" w:rsidRDefault="00730DE4" w:rsidP="00C413A0">
            <w:pPr>
              <w:pStyle w:val="NoSpacing"/>
              <w:jc w:val="right"/>
            </w:pPr>
            <w:r w:rsidRPr="00730DE4">
              <w:t xml:space="preserve">7,669 </w:t>
            </w:r>
          </w:p>
        </w:tc>
        <w:tc>
          <w:tcPr>
            <w:tcW w:w="93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vAlign w:val="bottom"/>
          </w:tcPr>
          <w:p w14:paraId="283A9E71" w14:textId="77777777" w:rsidR="00730DE4" w:rsidRPr="00730DE4" w:rsidRDefault="00730DE4" w:rsidP="00C413A0">
            <w:pPr>
              <w:pStyle w:val="NoSpacing"/>
              <w:jc w:val="right"/>
            </w:pPr>
            <w:r w:rsidRPr="00730DE4">
              <w:t xml:space="preserve">4,413 </w:t>
            </w:r>
          </w:p>
        </w:tc>
      </w:tr>
      <w:tr w:rsidR="00730DE4" w:rsidRPr="00730DE4" w14:paraId="3D62FA00" w14:textId="77777777" w:rsidTr="002F7278">
        <w:trPr>
          <w:trHeight w:val="240"/>
        </w:trPr>
        <w:tc>
          <w:tcPr>
            <w:tcW w:w="3126"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1F962FEA" w14:textId="77777777" w:rsidR="00730DE4" w:rsidRPr="00730DE4" w:rsidRDefault="00730DE4" w:rsidP="00C413A0">
            <w:pPr>
              <w:pStyle w:val="NoSpacing"/>
            </w:pPr>
            <w:r w:rsidRPr="00730DE4">
              <w:t xml:space="preserve">Increase/(decrease) in current tax liabilities </w:t>
            </w:r>
          </w:p>
        </w:tc>
        <w:tc>
          <w:tcPr>
            <w:tcW w:w="93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tcPr>
          <w:p w14:paraId="5FB8F7DA" w14:textId="77777777" w:rsidR="00730DE4" w:rsidRPr="00730DE4" w:rsidRDefault="00730DE4" w:rsidP="00C413A0">
            <w:pPr>
              <w:pStyle w:val="NoSpacing"/>
              <w:jc w:val="right"/>
            </w:pPr>
            <w:r w:rsidRPr="00730DE4">
              <w:t xml:space="preserve">41 </w:t>
            </w:r>
          </w:p>
        </w:tc>
        <w:tc>
          <w:tcPr>
            <w:tcW w:w="93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vAlign w:val="bottom"/>
          </w:tcPr>
          <w:p w14:paraId="560949D9" w14:textId="77777777" w:rsidR="00730DE4" w:rsidRPr="00730DE4" w:rsidRDefault="00730DE4" w:rsidP="00C413A0">
            <w:pPr>
              <w:pStyle w:val="NoSpacing"/>
              <w:jc w:val="right"/>
            </w:pPr>
            <w:r w:rsidRPr="00730DE4">
              <w:t>-</w:t>
            </w:r>
          </w:p>
        </w:tc>
      </w:tr>
      <w:tr w:rsidR="00730DE4" w:rsidRPr="00730DE4" w14:paraId="2A651615" w14:textId="77777777" w:rsidTr="002F7278">
        <w:trPr>
          <w:trHeight w:val="240"/>
        </w:trPr>
        <w:tc>
          <w:tcPr>
            <w:tcW w:w="3126"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191DA89F" w14:textId="77777777" w:rsidR="00730DE4" w:rsidRPr="00730DE4" w:rsidRDefault="00730DE4" w:rsidP="00C413A0">
            <w:pPr>
              <w:pStyle w:val="NoSpacing"/>
            </w:pPr>
            <w:r w:rsidRPr="00730DE4">
              <w:t>Increase/(decrease) in other liabilities</w:t>
            </w:r>
          </w:p>
        </w:tc>
        <w:tc>
          <w:tcPr>
            <w:tcW w:w="937"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vAlign w:val="bottom"/>
          </w:tcPr>
          <w:p w14:paraId="21DA8E57" w14:textId="77777777" w:rsidR="00730DE4" w:rsidRPr="00730DE4" w:rsidRDefault="00730DE4" w:rsidP="00C413A0">
            <w:pPr>
              <w:pStyle w:val="NoSpacing"/>
              <w:jc w:val="right"/>
            </w:pPr>
            <w:r w:rsidRPr="00730DE4">
              <w:t xml:space="preserve">94,011 </w:t>
            </w:r>
          </w:p>
        </w:tc>
        <w:tc>
          <w:tcPr>
            <w:tcW w:w="937"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vAlign w:val="bottom"/>
          </w:tcPr>
          <w:p w14:paraId="58936A62" w14:textId="77777777" w:rsidR="00730DE4" w:rsidRPr="00730DE4" w:rsidRDefault="00730DE4" w:rsidP="00C413A0">
            <w:pPr>
              <w:pStyle w:val="NoSpacing"/>
              <w:jc w:val="right"/>
            </w:pPr>
            <w:r w:rsidRPr="00730DE4">
              <w:t xml:space="preserve">5,716 </w:t>
            </w:r>
          </w:p>
        </w:tc>
      </w:tr>
      <w:tr w:rsidR="00730DE4" w:rsidRPr="00730DE4" w14:paraId="5044AA5A" w14:textId="77777777" w:rsidTr="002F7278">
        <w:tc>
          <w:tcPr>
            <w:tcW w:w="3126"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030CED5D" w14:textId="77777777" w:rsidR="00730DE4" w:rsidRPr="00730DE4" w:rsidRDefault="00730DE4" w:rsidP="00C413A0">
            <w:pPr>
              <w:pStyle w:val="NoSpacing"/>
              <w:rPr>
                <w:rStyle w:val="Strong"/>
              </w:rPr>
            </w:pPr>
            <w:r w:rsidRPr="00730DE4">
              <w:rPr>
                <w:rStyle w:val="Strong"/>
              </w:rPr>
              <w:t>Net cash provided by operating activities</w:t>
            </w:r>
          </w:p>
        </w:tc>
        <w:tc>
          <w:tcPr>
            <w:tcW w:w="937"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tcPr>
          <w:p w14:paraId="21FAB213" w14:textId="77777777" w:rsidR="00730DE4" w:rsidRPr="00730DE4" w:rsidRDefault="00730DE4" w:rsidP="00C413A0">
            <w:pPr>
              <w:pStyle w:val="NoSpacing"/>
              <w:jc w:val="right"/>
              <w:rPr>
                <w:rStyle w:val="Strong"/>
              </w:rPr>
            </w:pPr>
            <w:r w:rsidRPr="00730DE4">
              <w:rPr>
                <w:rStyle w:val="Strong"/>
              </w:rPr>
              <w:t xml:space="preserve">1,640,273 </w:t>
            </w:r>
          </w:p>
        </w:tc>
        <w:tc>
          <w:tcPr>
            <w:tcW w:w="937" w:type="pct"/>
            <w:tcBorders>
              <w:top w:val="single" w:sz="4" w:space="0" w:color="auto"/>
              <w:left w:val="dotted" w:sz="4" w:space="0" w:color="BFBFBF" w:themeColor="background1" w:themeShade="BF"/>
              <w:bottom w:val="double" w:sz="4" w:space="0" w:color="auto"/>
              <w:right w:val="nil"/>
            </w:tcBorders>
            <w:shd w:val="clear" w:color="auto" w:fill="auto"/>
          </w:tcPr>
          <w:p w14:paraId="298E399B" w14:textId="77777777" w:rsidR="00730DE4" w:rsidRPr="00730DE4" w:rsidRDefault="00730DE4" w:rsidP="00C413A0">
            <w:pPr>
              <w:pStyle w:val="NoSpacing"/>
              <w:jc w:val="right"/>
              <w:rPr>
                <w:rStyle w:val="Strong"/>
              </w:rPr>
            </w:pPr>
            <w:r w:rsidRPr="00730DE4">
              <w:rPr>
                <w:rStyle w:val="Strong"/>
              </w:rPr>
              <w:t xml:space="preserve">1,480,169 </w:t>
            </w:r>
          </w:p>
        </w:tc>
      </w:tr>
      <w:tr w:rsidR="00730DE4" w:rsidRPr="00730DE4" w14:paraId="78F6CBCD" w14:textId="77777777" w:rsidTr="00FE7BF1">
        <w:trPr>
          <w:trHeight w:val="454"/>
        </w:trPr>
        <w:tc>
          <w:tcPr>
            <w:tcW w:w="3126" w:type="pct"/>
            <w:tcBorders>
              <w:top w:val="double" w:sz="4" w:space="0" w:color="auto"/>
              <w:left w:val="nil"/>
              <w:bottom w:val="dotted" w:sz="4" w:space="0" w:color="BFBFBF" w:themeColor="background1" w:themeShade="BF"/>
              <w:right w:val="dotted" w:sz="4" w:space="0" w:color="BFBFBF" w:themeColor="background1" w:themeShade="BF"/>
            </w:tcBorders>
            <w:shd w:val="clear" w:color="auto" w:fill="auto"/>
            <w:vAlign w:val="bottom"/>
          </w:tcPr>
          <w:p w14:paraId="75481DA0" w14:textId="77777777" w:rsidR="00730DE4" w:rsidRPr="00730DE4" w:rsidRDefault="00730DE4" w:rsidP="00C413A0">
            <w:pPr>
              <w:pStyle w:val="NoSpacing"/>
              <w:rPr>
                <w:color w:val="080C0F" w:themeColor="text1"/>
              </w:rPr>
            </w:pPr>
            <w:r w:rsidRPr="00730DE4">
              <w:rPr>
                <w:rStyle w:val="Strong"/>
              </w:rPr>
              <w:t>Changes in liabilities arising from financing activities lease liabilities – note 17</w:t>
            </w:r>
          </w:p>
        </w:tc>
        <w:tc>
          <w:tcPr>
            <w:tcW w:w="937"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tcPr>
          <w:p w14:paraId="6AA588A5" w14:textId="77777777" w:rsidR="00730DE4" w:rsidRPr="00730DE4" w:rsidRDefault="00730DE4" w:rsidP="00C413A0">
            <w:pPr>
              <w:pStyle w:val="NoSpacing"/>
              <w:jc w:val="right"/>
              <w:rPr>
                <w:color w:val="080C0F" w:themeColor="text1"/>
              </w:rPr>
            </w:pPr>
          </w:p>
        </w:tc>
        <w:tc>
          <w:tcPr>
            <w:tcW w:w="937" w:type="pct"/>
            <w:tcBorders>
              <w:top w:val="double" w:sz="4" w:space="0" w:color="auto"/>
              <w:left w:val="dotted" w:sz="4" w:space="0" w:color="BFBFBF" w:themeColor="background1" w:themeShade="BF"/>
              <w:bottom w:val="dotted" w:sz="4" w:space="0" w:color="BFBFBF" w:themeColor="background1" w:themeShade="BF"/>
              <w:right w:val="nil"/>
            </w:tcBorders>
            <w:shd w:val="clear" w:color="auto" w:fill="auto"/>
            <w:vAlign w:val="bottom"/>
          </w:tcPr>
          <w:p w14:paraId="6B781627" w14:textId="77777777" w:rsidR="00730DE4" w:rsidRPr="00730DE4" w:rsidRDefault="00730DE4" w:rsidP="00C413A0">
            <w:pPr>
              <w:pStyle w:val="NoSpacing"/>
              <w:jc w:val="right"/>
              <w:rPr>
                <w:color w:val="080C0F" w:themeColor="text1"/>
              </w:rPr>
            </w:pPr>
          </w:p>
        </w:tc>
      </w:tr>
      <w:tr w:rsidR="00730DE4" w:rsidRPr="00730DE4" w14:paraId="63C1F686" w14:textId="77777777" w:rsidTr="002F7278">
        <w:tc>
          <w:tcPr>
            <w:tcW w:w="3126"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center"/>
          </w:tcPr>
          <w:p w14:paraId="2EF57E92" w14:textId="77777777" w:rsidR="00730DE4" w:rsidRPr="00730DE4" w:rsidRDefault="00730DE4" w:rsidP="00C413A0">
            <w:pPr>
              <w:pStyle w:val="NoSpacing"/>
              <w:rPr>
                <w:color w:val="080C0F" w:themeColor="text1"/>
              </w:rPr>
            </w:pPr>
            <w:r w:rsidRPr="00730DE4">
              <w:rPr>
                <w:color w:val="080C0F" w:themeColor="text1"/>
              </w:rPr>
              <w:t xml:space="preserve">Opening balance </w:t>
            </w:r>
          </w:p>
        </w:tc>
        <w:tc>
          <w:tcPr>
            <w:tcW w:w="93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center"/>
          </w:tcPr>
          <w:p w14:paraId="1B056DB3" w14:textId="77777777" w:rsidR="00730DE4" w:rsidRPr="00730DE4" w:rsidRDefault="00730DE4" w:rsidP="00C413A0">
            <w:pPr>
              <w:pStyle w:val="NoSpacing"/>
              <w:jc w:val="right"/>
              <w:rPr>
                <w:color w:val="080C0F" w:themeColor="text1"/>
              </w:rPr>
            </w:pPr>
            <w:r w:rsidRPr="00730DE4">
              <w:rPr>
                <w:color w:val="080C0F" w:themeColor="text1"/>
              </w:rPr>
              <w:t xml:space="preserve">110,742 </w:t>
            </w:r>
          </w:p>
        </w:tc>
        <w:tc>
          <w:tcPr>
            <w:tcW w:w="93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vAlign w:val="center"/>
          </w:tcPr>
          <w:p w14:paraId="3A4E2A85" w14:textId="77777777" w:rsidR="00730DE4" w:rsidRPr="00730DE4" w:rsidRDefault="00730DE4" w:rsidP="00C413A0">
            <w:pPr>
              <w:pStyle w:val="NoSpacing"/>
              <w:jc w:val="right"/>
              <w:rPr>
                <w:color w:val="080C0F" w:themeColor="text1"/>
              </w:rPr>
            </w:pPr>
            <w:r w:rsidRPr="00730DE4">
              <w:rPr>
                <w:color w:val="080C0F" w:themeColor="text1"/>
              </w:rPr>
              <w:t xml:space="preserve">3,370 </w:t>
            </w:r>
          </w:p>
        </w:tc>
      </w:tr>
      <w:tr w:rsidR="00730DE4" w:rsidRPr="00730DE4" w14:paraId="743846AD" w14:textId="77777777" w:rsidTr="002F7278">
        <w:trPr>
          <w:trHeight w:val="198"/>
        </w:trPr>
        <w:tc>
          <w:tcPr>
            <w:tcW w:w="3126"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31B5417" w14:textId="77777777" w:rsidR="00730DE4" w:rsidRPr="00730DE4" w:rsidRDefault="00730DE4" w:rsidP="00C413A0">
            <w:pPr>
              <w:pStyle w:val="NoSpacing"/>
              <w:rPr>
                <w:color w:val="080C0F" w:themeColor="text1"/>
              </w:rPr>
            </w:pPr>
            <w:r w:rsidRPr="00730DE4">
              <w:rPr>
                <w:color w:val="080C0F" w:themeColor="text1"/>
              </w:rPr>
              <w:t>New leases</w:t>
            </w:r>
          </w:p>
        </w:tc>
        <w:tc>
          <w:tcPr>
            <w:tcW w:w="93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tcPr>
          <w:p w14:paraId="6A75AEED" w14:textId="77777777" w:rsidR="00730DE4" w:rsidRPr="00730DE4" w:rsidRDefault="00730DE4" w:rsidP="00C413A0">
            <w:pPr>
              <w:pStyle w:val="NoSpacing"/>
              <w:jc w:val="right"/>
              <w:rPr>
                <w:color w:val="080C0F" w:themeColor="text1"/>
              </w:rPr>
            </w:pPr>
            <w:r w:rsidRPr="00730DE4">
              <w:rPr>
                <w:color w:val="080C0F" w:themeColor="text1"/>
              </w:rPr>
              <w:t xml:space="preserve">9,439 </w:t>
            </w:r>
          </w:p>
        </w:tc>
        <w:tc>
          <w:tcPr>
            <w:tcW w:w="93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vAlign w:val="bottom"/>
          </w:tcPr>
          <w:p w14:paraId="3FC49942" w14:textId="77777777" w:rsidR="00730DE4" w:rsidRPr="00730DE4" w:rsidRDefault="00730DE4" w:rsidP="00C413A0">
            <w:pPr>
              <w:pStyle w:val="NoSpacing"/>
              <w:jc w:val="right"/>
              <w:rPr>
                <w:color w:val="080C0F" w:themeColor="text1"/>
              </w:rPr>
            </w:pPr>
            <w:r w:rsidRPr="00730DE4">
              <w:rPr>
                <w:color w:val="080C0F" w:themeColor="text1"/>
              </w:rPr>
              <w:t xml:space="preserve">502 </w:t>
            </w:r>
          </w:p>
        </w:tc>
      </w:tr>
      <w:tr w:rsidR="00730DE4" w:rsidRPr="00730DE4" w14:paraId="5479B88C" w14:textId="77777777" w:rsidTr="002F7278">
        <w:trPr>
          <w:trHeight w:val="198"/>
        </w:trPr>
        <w:tc>
          <w:tcPr>
            <w:tcW w:w="3126"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DFC428D" w14:textId="77777777" w:rsidR="00730DE4" w:rsidRPr="00730DE4" w:rsidRDefault="00730DE4" w:rsidP="00C413A0">
            <w:pPr>
              <w:pStyle w:val="NoSpacing"/>
              <w:rPr>
                <w:color w:val="080C0F" w:themeColor="text1"/>
              </w:rPr>
            </w:pPr>
            <w:r w:rsidRPr="00730DE4">
              <w:rPr>
                <w:color w:val="080C0F" w:themeColor="text1"/>
              </w:rPr>
              <w:t>Annual cost escalation</w:t>
            </w:r>
          </w:p>
        </w:tc>
        <w:tc>
          <w:tcPr>
            <w:tcW w:w="93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tcPr>
          <w:p w14:paraId="4191DDAF" w14:textId="77777777" w:rsidR="00730DE4" w:rsidRPr="00730DE4" w:rsidRDefault="00730DE4" w:rsidP="00C413A0">
            <w:pPr>
              <w:pStyle w:val="NoSpacing"/>
              <w:jc w:val="right"/>
              <w:rPr>
                <w:color w:val="080C0F" w:themeColor="text1"/>
              </w:rPr>
            </w:pPr>
            <w:r w:rsidRPr="00730DE4">
              <w:rPr>
                <w:color w:val="080C0F" w:themeColor="text1"/>
              </w:rPr>
              <w:t xml:space="preserve">859 </w:t>
            </w:r>
          </w:p>
        </w:tc>
        <w:tc>
          <w:tcPr>
            <w:tcW w:w="93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vAlign w:val="bottom"/>
          </w:tcPr>
          <w:p w14:paraId="13F260D6" w14:textId="77777777" w:rsidR="00730DE4" w:rsidRPr="00730DE4" w:rsidRDefault="00730DE4" w:rsidP="00C413A0">
            <w:pPr>
              <w:pStyle w:val="NoSpacing"/>
              <w:jc w:val="right"/>
              <w:rPr>
                <w:color w:val="080C0F" w:themeColor="text1"/>
              </w:rPr>
            </w:pPr>
            <w:r w:rsidRPr="00730DE4">
              <w:rPr>
                <w:color w:val="080C0F" w:themeColor="text1"/>
              </w:rPr>
              <w:t xml:space="preserve">350 </w:t>
            </w:r>
          </w:p>
        </w:tc>
      </w:tr>
      <w:tr w:rsidR="00730DE4" w:rsidRPr="00730DE4" w14:paraId="3A36C6C5" w14:textId="77777777" w:rsidTr="002F7278">
        <w:trPr>
          <w:trHeight w:val="198"/>
        </w:trPr>
        <w:tc>
          <w:tcPr>
            <w:tcW w:w="3126"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5CA9C5A6" w14:textId="77777777" w:rsidR="00730DE4" w:rsidRPr="00730DE4" w:rsidRDefault="00730DE4" w:rsidP="00C413A0">
            <w:pPr>
              <w:pStyle w:val="NoSpacing"/>
              <w:rPr>
                <w:color w:val="080C0F" w:themeColor="text1"/>
              </w:rPr>
            </w:pPr>
            <w:r w:rsidRPr="00730DE4">
              <w:rPr>
                <w:color w:val="080C0F" w:themeColor="text1"/>
              </w:rPr>
              <w:t>Accrued repayments</w:t>
            </w:r>
          </w:p>
        </w:tc>
        <w:tc>
          <w:tcPr>
            <w:tcW w:w="93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tcPr>
          <w:p w14:paraId="781055A1" w14:textId="77777777" w:rsidR="00730DE4" w:rsidRPr="00730DE4" w:rsidRDefault="00730DE4" w:rsidP="00C413A0">
            <w:pPr>
              <w:pStyle w:val="NoSpacing"/>
              <w:jc w:val="right"/>
              <w:rPr>
                <w:color w:val="080C0F" w:themeColor="text1"/>
              </w:rPr>
            </w:pPr>
            <w:r w:rsidRPr="00730DE4">
              <w:rPr>
                <w:color w:val="080C0F" w:themeColor="text1"/>
              </w:rPr>
              <w:t xml:space="preserve">96 </w:t>
            </w:r>
          </w:p>
        </w:tc>
        <w:tc>
          <w:tcPr>
            <w:tcW w:w="93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vAlign w:val="bottom"/>
          </w:tcPr>
          <w:p w14:paraId="25B20A02" w14:textId="77777777" w:rsidR="00730DE4" w:rsidRPr="00730DE4" w:rsidRDefault="00730DE4" w:rsidP="00C413A0">
            <w:pPr>
              <w:pStyle w:val="NoSpacing"/>
              <w:jc w:val="right"/>
              <w:rPr>
                <w:color w:val="080C0F" w:themeColor="text1"/>
              </w:rPr>
            </w:pPr>
            <w:r w:rsidRPr="00730DE4">
              <w:rPr>
                <w:color w:val="080C0F" w:themeColor="text1"/>
              </w:rPr>
              <w:t xml:space="preserve">92 </w:t>
            </w:r>
          </w:p>
        </w:tc>
      </w:tr>
      <w:tr w:rsidR="00730DE4" w:rsidRPr="00730DE4" w14:paraId="054C333A" w14:textId="77777777" w:rsidTr="002F7278">
        <w:trPr>
          <w:trHeight w:val="198"/>
        </w:trPr>
        <w:tc>
          <w:tcPr>
            <w:tcW w:w="3126"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62743773" w14:textId="77777777" w:rsidR="00730DE4" w:rsidRPr="00730DE4" w:rsidRDefault="00730DE4" w:rsidP="00C413A0">
            <w:pPr>
              <w:pStyle w:val="NoSpacing"/>
              <w:rPr>
                <w:color w:val="080C0F" w:themeColor="text1"/>
              </w:rPr>
            </w:pPr>
            <w:r w:rsidRPr="00730DE4">
              <w:rPr>
                <w:color w:val="080C0F" w:themeColor="text1"/>
              </w:rPr>
              <w:t>Net transfers from machinery-of-government change</w:t>
            </w:r>
          </w:p>
        </w:tc>
        <w:tc>
          <w:tcPr>
            <w:tcW w:w="937"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vAlign w:val="bottom"/>
          </w:tcPr>
          <w:p w14:paraId="1F802659" w14:textId="77777777" w:rsidR="00730DE4" w:rsidRPr="00730DE4" w:rsidRDefault="00730DE4" w:rsidP="00C413A0">
            <w:pPr>
              <w:pStyle w:val="NoSpacing"/>
              <w:jc w:val="right"/>
              <w:rPr>
                <w:color w:val="080C0F" w:themeColor="text1"/>
              </w:rPr>
            </w:pPr>
            <w:r w:rsidRPr="00730DE4">
              <w:rPr>
                <w:color w:val="080C0F" w:themeColor="text1"/>
              </w:rPr>
              <w:t xml:space="preserve">- </w:t>
            </w:r>
          </w:p>
        </w:tc>
        <w:tc>
          <w:tcPr>
            <w:tcW w:w="937"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vAlign w:val="bottom"/>
          </w:tcPr>
          <w:p w14:paraId="124BE992" w14:textId="77777777" w:rsidR="00730DE4" w:rsidRPr="00730DE4" w:rsidRDefault="00730DE4" w:rsidP="00C413A0">
            <w:pPr>
              <w:pStyle w:val="NoSpacing"/>
              <w:jc w:val="right"/>
              <w:rPr>
                <w:color w:val="080C0F" w:themeColor="text1"/>
              </w:rPr>
            </w:pPr>
            <w:r w:rsidRPr="00730DE4">
              <w:rPr>
                <w:color w:val="080C0F" w:themeColor="text1"/>
              </w:rPr>
              <w:t xml:space="preserve">109,138 </w:t>
            </w:r>
          </w:p>
        </w:tc>
      </w:tr>
      <w:tr w:rsidR="00730DE4" w:rsidRPr="00730DE4" w14:paraId="446CB478" w14:textId="77777777" w:rsidTr="002F7278">
        <w:trPr>
          <w:trHeight w:val="198"/>
        </w:trPr>
        <w:tc>
          <w:tcPr>
            <w:tcW w:w="3126"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5755D97D" w14:textId="77777777" w:rsidR="00730DE4" w:rsidRPr="00730DE4" w:rsidRDefault="00730DE4" w:rsidP="00C413A0">
            <w:pPr>
              <w:pStyle w:val="NoSpacing"/>
              <w:rPr>
                <w:color w:val="080C0F" w:themeColor="text1"/>
              </w:rPr>
            </w:pPr>
            <w:r w:rsidRPr="00730DE4">
              <w:rPr>
                <w:color w:val="080C0F" w:themeColor="text1"/>
              </w:rPr>
              <w:t>Non-cash changes</w:t>
            </w:r>
          </w:p>
        </w:tc>
        <w:tc>
          <w:tcPr>
            <w:tcW w:w="937"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tcPr>
          <w:p w14:paraId="13856AB4" w14:textId="77777777" w:rsidR="00730DE4" w:rsidRPr="00730DE4" w:rsidRDefault="00730DE4" w:rsidP="00C413A0">
            <w:pPr>
              <w:pStyle w:val="NoSpacing"/>
              <w:jc w:val="right"/>
              <w:rPr>
                <w:color w:val="080C0F" w:themeColor="text1"/>
              </w:rPr>
            </w:pPr>
            <w:r w:rsidRPr="00730DE4">
              <w:rPr>
                <w:color w:val="080C0F" w:themeColor="text1"/>
              </w:rPr>
              <w:t xml:space="preserve">10,394 </w:t>
            </w:r>
          </w:p>
        </w:tc>
        <w:tc>
          <w:tcPr>
            <w:tcW w:w="937"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vAlign w:val="bottom"/>
          </w:tcPr>
          <w:p w14:paraId="005B2A26" w14:textId="77777777" w:rsidR="00730DE4" w:rsidRPr="00730DE4" w:rsidRDefault="00730DE4" w:rsidP="00C413A0">
            <w:pPr>
              <w:pStyle w:val="NoSpacing"/>
              <w:jc w:val="right"/>
              <w:rPr>
                <w:color w:val="080C0F" w:themeColor="text1"/>
              </w:rPr>
            </w:pPr>
            <w:r w:rsidRPr="00730DE4">
              <w:rPr>
                <w:color w:val="080C0F" w:themeColor="text1"/>
              </w:rPr>
              <w:t xml:space="preserve">110,082 </w:t>
            </w:r>
          </w:p>
        </w:tc>
      </w:tr>
      <w:tr w:rsidR="00730DE4" w:rsidRPr="00730DE4" w14:paraId="44BA546E" w14:textId="77777777" w:rsidTr="002F7278">
        <w:trPr>
          <w:trHeight w:val="454"/>
        </w:trPr>
        <w:tc>
          <w:tcPr>
            <w:tcW w:w="3126"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19543012" w14:textId="77777777" w:rsidR="00730DE4" w:rsidRPr="00730DE4" w:rsidRDefault="00730DE4" w:rsidP="00C413A0">
            <w:pPr>
              <w:pStyle w:val="NoSpacing"/>
              <w:rPr>
                <w:color w:val="080C0F" w:themeColor="text1"/>
              </w:rPr>
            </w:pPr>
            <w:r w:rsidRPr="00730DE4">
              <w:rPr>
                <w:color w:val="080C0F" w:themeColor="text1"/>
              </w:rPr>
              <w:t>Cash repayments</w:t>
            </w:r>
          </w:p>
        </w:tc>
        <w:tc>
          <w:tcPr>
            <w:tcW w:w="937"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vAlign w:val="bottom"/>
          </w:tcPr>
          <w:p w14:paraId="4DC4E78C" w14:textId="77777777" w:rsidR="00730DE4" w:rsidRPr="00730DE4" w:rsidRDefault="00730DE4" w:rsidP="00C413A0">
            <w:pPr>
              <w:pStyle w:val="NoSpacing"/>
              <w:jc w:val="right"/>
              <w:rPr>
                <w:color w:val="080C0F" w:themeColor="text1"/>
              </w:rPr>
            </w:pPr>
            <w:r w:rsidRPr="00730DE4">
              <w:rPr>
                <w:color w:val="080C0F" w:themeColor="text1"/>
              </w:rPr>
              <w:t>(25,625)</w:t>
            </w:r>
          </w:p>
        </w:tc>
        <w:tc>
          <w:tcPr>
            <w:tcW w:w="937"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vAlign w:val="bottom"/>
          </w:tcPr>
          <w:p w14:paraId="15F3CADE" w14:textId="77777777" w:rsidR="00730DE4" w:rsidRPr="00730DE4" w:rsidRDefault="00730DE4" w:rsidP="00C413A0">
            <w:pPr>
              <w:pStyle w:val="NoSpacing"/>
              <w:jc w:val="right"/>
              <w:rPr>
                <w:color w:val="080C0F" w:themeColor="text1"/>
              </w:rPr>
            </w:pPr>
            <w:r w:rsidRPr="00730DE4">
              <w:rPr>
                <w:color w:val="080C0F" w:themeColor="text1"/>
              </w:rPr>
              <w:t>(2,710)</w:t>
            </w:r>
          </w:p>
        </w:tc>
      </w:tr>
      <w:tr w:rsidR="00730DE4" w:rsidRPr="00730DE4" w14:paraId="12FAD2C9" w14:textId="77777777" w:rsidTr="002F7278">
        <w:tc>
          <w:tcPr>
            <w:tcW w:w="3126"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3B45D920" w14:textId="77777777" w:rsidR="00730DE4" w:rsidRPr="00730DE4" w:rsidRDefault="00730DE4" w:rsidP="00C413A0">
            <w:pPr>
              <w:pStyle w:val="NoSpacing"/>
              <w:rPr>
                <w:rStyle w:val="Strong"/>
              </w:rPr>
            </w:pPr>
            <w:r w:rsidRPr="00730DE4">
              <w:rPr>
                <w:rStyle w:val="Strong"/>
              </w:rPr>
              <w:t>Closing balance</w:t>
            </w:r>
          </w:p>
        </w:tc>
        <w:tc>
          <w:tcPr>
            <w:tcW w:w="937"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tcPr>
          <w:p w14:paraId="01A78050" w14:textId="77777777" w:rsidR="00730DE4" w:rsidRPr="00730DE4" w:rsidRDefault="00730DE4" w:rsidP="00C413A0">
            <w:pPr>
              <w:pStyle w:val="NoSpacing"/>
              <w:jc w:val="right"/>
              <w:rPr>
                <w:rStyle w:val="Strong"/>
              </w:rPr>
            </w:pPr>
            <w:r w:rsidRPr="00730DE4">
              <w:rPr>
                <w:rStyle w:val="Strong"/>
              </w:rPr>
              <w:t xml:space="preserve">95,511 </w:t>
            </w:r>
          </w:p>
        </w:tc>
        <w:tc>
          <w:tcPr>
            <w:tcW w:w="937" w:type="pct"/>
            <w:tcBorders>
              <w:top w:val="single" w:sz="4" w:space="0" w:color="auto"/>
              <w:left w:val="dotted" w:sz="4" w:space="0" w:color="BFBFBF" w:themeColor="background1" w:themeShade="BF"/>
              <w:bottom w:val="double" w:sz="4" w:space="0" w:color="auto"/>
              <w:right w:val="nil"/>
            </w:tcBorders>
            <w:shd w:val="clear" w:color="auto" w:fill="auto"/>
          </w:tcPr>
          <w:p w14:paraId="11F22ED1" w14:textId="77777777" w:rsidR="00730DE4" w:rsidRPr="00730DE4" w:rsidRDefault="00730DE4" w:rsidP="00C413A0">
            <w:pPr>
              <w:pStyle w:val="NoSpacing"/>
              <w:jc w:val="right"/>
              <w:rPr>
                <w:rStyle w:val="Strong"/>
              </w:rPr>
            </w:pPr>
            <w:r w:rsidRPr="00730DE4">
              <w:rPr>
                <w:rStyle w:val="Strong"/>
              </w:rPr>
              <w:t xml:space="preserve">110,742 </w:t>
            </w:r>
          </w:p>
        </w:tc>
      </w:tr>
      <w:tr w:rsidR="00730DE4" w:rsidRPr="00730DE4" w14:paraId="1717C0FA" w14:textId="77777777" w:rsidTr="002F7278">
        <w:trPr>
          <w:trHeight w:val="454"/>
        </w:trPr>
        <w:tc>
          <w:tcPr>
            <w:tcW w:w="3126" w:type="pct"/>
            <w:tcBorders>
              <w:top w:val="double" w:sz="4" w:space="0" w:color="auto"/>
              <w:left w:val="nil"/>
              <w:bottom w:val="dotted" w:sz="4" w:space="0" w:color="BFBFBF" w:themeColor="background1" w:themeShade="BF"/>
              <w:right w:val="dotted" w:sz="4" w:space="0" w:color="BFBFBF" w:themeColor="background1" w:themeShade="BF"/>
            </w:tcBorders>
            <w:shd w:val="clear" w:color="auto" w:fill="auto"/>
            <w:vAlign w:val="bottom"/>
          </w:tcPr>
          <w:p w14:paraId="3B75133E" w14:textId="77777777" w:rsidR="00730DE4" w:rsidRPr="00730DE4" w:rsidRDefault="00730DE4" w:rsidP="00C413A0">
            <w:pPr>
              <w:pStyle w:val="NoSpacing"/>
              <w:rPr>
                <w:color w:val="080C0F" w:themeColor="text1"/>
              </w:rPr>
            </w:pPr>
            <w:r w:rsidRPr="00730DE4">
              <w:rPr>
                <w:rStyle w:val="Strong"/>
              </w:rPr>
              <w:t>Borrowings – note 19</w:t>
            </w:r>
          </w:p>
        </w:tc>
        <w:tc>
          <w:tcPr>
            <w:tcW w:w="937"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tcPr>
          <w:p w14:paraId="157005C9" w14:textId="77777777" w:rsidR="00730DE4" w:rsidRPr="00730DE4" w:rsidRDefault="00730DE4" w:rsidP="00C413A0">
            <w:pPr>
              <w:pStyle w:val="NoSpacing"/>
              <w:jc w:val="right"/>
              <w:rPr>
                <w:color w:val="080C0F" w:themeColor="text1"/>
              </w:rPr>
            </w:pPr>
          </w:p>
        </w:tc>
        <w:tc>
          <w:tcPr>
            <w:tcW w:w="937" w:type="pct"/>
            <w:tcBorders>
              <w:top w:val="double" w:sz="4" w:space="0" w:color="auto"/>
              <w:left w:val="dotted" w:sz="4" w:space="0" w:color="BFBFBF" w:themeColor="background1" w:themeShade="BF"/>
              <w:bottom w:val="dotted" w:sz="4" w:space="0" w:color="BFBFBF" w:themeColor="background1" w:themeShade="BF"/>
              <w:right w:val="nil"/>
            </w:tcBorders>
            <w:shd w:val="clear" w:color="auto" w:fill="auto"/>
            <w:vAlign w:val="bottom"/>
          </w:tcPr>
          <w:p w14:paraId="059A9A22" w14:textId="77777777" w:rsidR="00730DE4" w:rsidRPr="00730DE4" w:rsidRDefault="00730DE4" w:rsidP="00C413A0">
            <w:pPr>
              <w:pStyle w:val="NoSpacing"/>
              <w:jc w:val="right"/>
              <w:rPr>
                <w:color w:val="080C0F" w:themeColor="text1"/>
              </w:rPr>
            </w:pPr>
          </w:p>
        </w:tc>
      </w:tr>
      <w:tr w:rsidR="00730DE4" w:rsidRPr="00730DE4" w14:paraId="22F9EA47" w14:textId="77777777" w:rsidTr="002F7278">
        <w:trPr>
          <w:cantSplit/>
        </w:trPr>
        <w:tc>
          <w:tcPr>
            <w:tcW w:w="3126"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tcPr>
          <w:p w14:paraId="0552FA42" w14:textId="77777777" w:rsidR="00730DE4" w:rsidRPr="00730DE4" w:rsidRDefault="00730DE4" w:rsidP="00C413A0">
            <w:pPr>
              <w:pStyle w:val="NoSpacing"/>
              <w:rPr>
                <w:color w:val="080C0F" w:themeColor="text1"/>
              </w:rPr>
            </w:pPr>
            <w:r w:rsidRPr="00730DE4">
              <w:rPr>
                <w:color w:val="080C0F" w:themeColor="text1"/>
              </w:rPr>
              <w:t xml:space="preserve">Opening balance </w:t>
            </w:r>
          </w:p>
        </w:tc>
        <w:tc>
          <w:tcPr>
            <w:tcW w:w="93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tcPr>
          <w:p w14:paraId="5B577BBC" w14:textId="77777777" w:rsidR="00730DE4" w:rsidRPr="00730DE4" w:rsidRDefault="00730DE4" w:rsidP="00C413A0">
            <w:pPr>
              <w:pStyle w:val="NoSpacing"/>
              <w:jc w:val="right"/>
              <w:rPr>
                <w:color w:val="080C0F" w:themeColor="text1"/>
              </w:rPr>
            </w:pPr>
            <w:r w:rsidRPr="00730DE4">
              <w:rPr>
                <w:color w:val="080C0F" w:themeColor="text1"/>
              </w:rPr>
              <w:t xml:space="preserve">1,181,447 </w:t>
            </w:r>
          </w:p>
        </w:tc>
        <w:tc>
          <w:tcPr>
            <w:tcW w:w="93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vAlign w:val="bottom"/>
          </w:tcPr>
          <w:p w14:paraId="4632B942" w14:textId="77777777" w:rsidR="00730DE4" w:rsidRPr="00730DE4" w:rsidRDefault="00730DE4" w:rsidP="00C413A0">
            <w:pPr>
              <w:pStyle w:val="NoSpacing"/>
              <w:jc w:val="right"/>
              <w:rPr>
                <w:color w:val="080C0F" w:themeColor="text1"/>
              </w:rPr>
            </w:pPr>
            <w:r w:rsidRPr="00730DE4">
              <w:rPr>
                <w:color w:val="080C0F" w:themeColor="text1"/>
              </w:rPr>
              <w:t xml:space="preserve">1,292,231 </w:t>
            </w:r>
          </w:p>
        </w:tc>
      </w:tr>
      <w:tr w:rsidR="00730DE4" w:rsidRPr="00730DE4" w14:paraId="2615BA6A" w14:textId="77777777" w:rsidTr="002F7278">
        <w:trPr>
          <w:trHeight w:val="198"/>
        </w:trPr>
        <w:tc>
          <w:tcPr>
            <w:tcW w:w="3126"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689D5C57" w14:textId="77777777" w:rsidR="00730DE4" w:rsidRPr="00730DE4" w:rsidRDefault="00730DE4" w:rsidP="00C413A0">
            <w:pPr>
              <w:pStyle w:val="NoSpacing"/>
              <w:rPr>
                <w:color w:val="080C0F" w:themeColor="text1"/>
              </w:rPr>
            </w:pPr>
            <w:r w:rsidRPr="00730DE4">
              <w:rPr>
                <w:color w:val="080C0F" w:themeColor="text1"/>
              </w:rPr>
              <w:t xml:space="preserve">New borrowings – service concession arrangements </w:t>
            </w:r>
          </w:p>
        </w:tc>
        <w:tc>
          <w:tcPr>
            <w:tcW w:w="93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tcPr>
          <w:p w14:paraId="77EC586F" w14:textId="77777777" w:rsidR="00730DE4" w:rsidRPr="00730DE4" w:rsidRDefault="00730DE4" w:rsidP="00C413A0">
            <w:pPr>
              <w:pStyle w:val="NoSpacing"/>
              <w:jc w:val="right"/>
              <w:rPr>
                <w:color w:val="080C0F" w:themeColor="text1"/>
              </w:rPr>
            </w:pPr>
            <w:r w:rsidRPr="00730DE4">
              <w:rPr>
                <w:color w:val="080C0F" w:themeColor="text1"/>
              </w:rPr>
              <w:t xml:space="preserve">173,011 </w:t>
            </w:r>
          </w:p>
        </w:tc>
        <w:tc>
          <w:tcPr>
            <w:tcW w:w="93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vAlign w:val="bottom"/>
          </w:tcPr>
          <w:p w14:paraId="41098A91" w14:textId="77777777" w:rsidR="00730DE4" w:rsidRPr="00730DE4" w:rsidRDefault="00730DE4" w:rsidP="00C413A0">
            <w:pPr>
              <w:pStyle w:val="NoSpacing"/>
              <w:jc w:val="right"/>
              <w:rPr>
                <w:color w:val="080C0F" w:themeColor="text1"/>
              </w:rPr>
            </w:pPr>
            <w:r w:rsidRPr="00730DE4">
              <w:rPr>
                <w:color w:val="080C0F" w:themeColor="text1"/>
              </w:rPr>
              <w:t xml:space="preserve">91,288 </w:t>
            </w:r>
          </w:p>
        </w:tc>
      </w:tr>
      <w:tr w:rsidR="00730DE4" w:rsidRPr="00730DE4" w14:paraId="3FA92BA7" w14:textId="77777777" w:rsidTr="002F7278">
        <w:trPr>
          <w:trHeight w:val="198"/>
        </w:trPr>
        <w:tc>
          <w:tcPr>
            <w:tcW w:w="3126"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A9D30E7" w14:textId="77777777" w:rsidR="00730DE4" w:rsidRPr="00730DE4" w:rsidRDefault="00730DE4" w:rsidP="00C413A0">
            <w:pPr>
              <w:pStyle w:val="NoSpacing"/>
              <w:rPr>
                <w:color w:val="080C0F" w:themeColor="text1"/>
              </w:rPr>
            </w:pPr>
            <w:r w:rsidRPr="00730DE4">
              <w:rPr>
                <w:color w:val="080C0F" w:themeColor="text1"/>
              </w:rPr>
              <w:t>Accrued repayments</w:t>
            </w:r>
          </w:p>
        </w:tc>
        <w:tc>
          <w:tcPr>
            <w:tcW w:w="93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tcPr>
          <w:p w14:paraId="6B69D0D4" w14:textId="77777777" w:rsidR="00730DE4" w:rsidRPr="00730DE4" w:rsidRDefault="00730DE4" w:rsidP="00C413A0">
            <w:pPr>
              <w:pStyle w:val="NoSpacing"/>
              <w:jc w:val="right"/>
              <w:rPr>
                <w:color w:val="080C0F" w:themeColor="text1"/>
              </w:rPr>
            </w:pPr>
            <w:r w:rsidRPr="00730DE4">
              <w:rPr>
                <w:color w:val="080C0F" w:themeColor="text1"/>
              </w:rPr>
              <w:t>(289)</w:t>
            </w:r>
          </w:p>
        </w:tc>
        <w:tc>
          <w:tcPr>
            <w:tcW w:w="93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vAlign w:val="bottom"/>
          </w:tcPr>
          <w:p w14:paraId="557D36B9" w14:textId="77777777" w:rsidR="00730DE4" w:rsidRPr="00730DE4" w:rsidRDefault="00730DE4" w:rsidP="00C413A0">
            <w:pPr>
              <w:pStyle w:val="NoSpacing"/>
              <w:jc w:val="right"/>
              <w:rPr>
                <w:color w:val="080C0F" w:themeColor="text1"/>
              </w:rPr>
            </w:pPr>
            <w:r w:rsidRPr="00730DE4">
              <w:rPr>
                <w:color w:val="080C0F" w:themeColor="text1"/>
              </w:rPr>
              <w:t>(274)</w:t>
            </w:r>
          </w:p>
        </w:tc>
      </w:tr>
      <w:tr w:rsidR="00730DE4" w:rsidRPr="00730DE4" w14:paraId="16749AEE" w14:textId="77777777" w:rsidTr="002F7278">
        <w:trPr>
          <w:trHeight w:val="198"/>
        </w:trPr>
        <w:tc>
          <w:tcPr>
            <w:tcW w:w="3126"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57FC7457" w14:textId="77777777" w:rsidR="00730DE4" w:rsidRPr="00730DE4" w:rsidRDefault="00730DE4" w:rsidP="00C413A0">
            <w:pPr>
              <w:pStyle w:val="NoSpacing"/>
              <w:rPr>
                <w:color w:val="080C0F" w:themeColor="text1"/>
              </w:rPr>
            </w:pPr>
            <w:r w:rsidRPr="00730DE4">
              <w:rPr>
                <w:color w:val="080C0F" w:themeColor="text1"/>
              </w:rPr>
              <w:t>Remeasurement of liability</w:t>
            </w:r>
          </w:p>
        </w:tc>
        <w:tc>
          <w:tcPr>
            <w:tcW w:w="937"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vAlign w:val="bottom"/>
          </w:tcPr>
          <w:p w14:paraId="0B08232C" w14:textId="77777777" w:rsidR="00730DE4" w:rsidRPr="00730DE4" w:rsidRDefault="00730DE4" w:rsidP="00C413A0">
            <w:pPr>
              <w:pStyle w:val="NoSpacing"/>
              <w:jc w:val="right"/>
              <w:rPr>
                <w:color w:val="080C0F" w:themeColor="text1"/>
              </w:rPr>
            </w:pPr>
            <w:r w:rsidRPr="00730DE4">
              <w:rPr>
                <w:color w:val="080C0F" w:themeColor="text1"/>
              </w:rPr>
              <w:t xml:space="preserve">1,501 </w:t>
            </w:r>
          </w:p>
        </w:tc>
        <w:tc>
          <w:tcPr>
            <w:tcW w:w="937"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vAlign w:val="bottom"/>
          </w:tcPr>
          <w:p w14:paraId="523A023C" w14:textId="77777777" w:rsidR="00730DE4" w:rsidRPr="00730DE4" w:rsidRDefault="00730DE4" w:rsidP="00C413A0">
            <w:pPr>
              <w:pStyle w:val="NoSpacing"/>
              <w:jc w:val="right"/>
              <w:rPr>
                <w:color w:val="080C0F" w:themeColor="text1"/>
              </w:rPr>
            </w:pPr>
            <w:r w:rsidRPr="00730DE4">
              <w:rPr>
                <w:color w:val="080C0F" w:themeColor="text1"/>
              </w:rPr>
              <w:t xml:space="preserve">3,490 </w:t>
            </w:r>
          </w:p>
        </w:tc>
      </w:tr>
      <w:tr w:rsidR="00730DE4" w:rsidRPr="00730DE4" w14:paraId="5FE01B87" w14:textId="77777777" w:rsidTr="002F7278">
        <w:trPr>
          <w:trHeight w:val="454"/>
        </w:trPr>
        <w:tc>
          <w:tcPr>
            <w:tcW w:w="3126"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hideMark/>
          </w:tcPr>
          <w:p w14:paraId="12685BDA" w14:textId="77777777" w:rsidR="00730DE4" w:rsidRPr="00730DE4" w:rsidRDefault="00730DE4" w:rsidP="00C413A0">
            <w:pPr>
              <w:pStyle w:val="NoSpacing"/>
              <w:rPr>
                <w:color w:val="080C0F" w:themeColor="text1"/>
              </w:rPr>
            </w:pPr>
            <w:r w:rsidRPr="00730DE4">
              <w:rPr>
                <w:color w:val="080C0F" w:themeColor="text1"/>
              </w:rPr>
              <w:t>Non-cash changes</w:t>
            </w:r>
          </w:p>
        </w:tc>
        <w:tc>
          <w:tcPr>
            <w:tcW w:w="937"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tcPr>
          <w:p w14:paraId="4898874C" w14:textId="77777777" w:rsidR="00730DE4" w:rsidRPr="00730DE4" w:rsidRDefault="00730DE4" w:rsidP="00C413A0">
            <w:pPr>
              <w:pStyle w:val="NoSpacing"/>
              <w:jc w:val="right"/>
              <w:rPr>
                <w:color w:val="080C0F" w:themeColor="text1"/>
              </w:rPr>
            </w:pPr>
            <w:r w:rsidRPr="00730DE4">
              <w:rPr>
                <w:color w:val="080C0F" w:themeColor="text1"/>
              </w:rPr>
              <w:t xml:space="preserve">174,223 </w:t>
            </w:r>
          </w:p>
        </w:tc>
        <w:tc>
          <w:tcPr>
            <w:tcW w:w="937"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tcPr>
          <w:p w14:paraId="1E8B44EE" w14:textId="77777777" w:rsidR="00730DE4" w:rsidRPr="00730DE4" w:rsidRDefault="00730DE4" w:rsidP="00C413A0">
            <w:pPr>
              <w:pStyle w:val="NoSpacing"/>
              <w:jc w:val="right"/>
              <w:rPr>
                <w:color w:val="080C0F" w:themeColor="text1"/>
              </w:rPr>
            </w:pPr>
            <w:r w:rsidRPr="00730DE4">
              <w:rPr>
                <w:color w:val="080C0F" w:themeColor="text1"/>
              </w:rPr>
              <w:t xml:space="preserve">94,504 </w:t>
            </w:r>
          </w:p>
        </w:tc>
      </w:tr>
      <w:tr w:rsidR="00730DE4" w:rsidRPr="00730DE4" w14:paraId="13E632DF" w14:textId="77777777" w:rsidTr="002F7278">
        <w:trPr>
          <w:trHeight w:val="198"/>
        </w:trPr>
        <w:tc>
          <w:tcPr>
            <w:tcW w:w="3126"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338CE54F" w14:textId="77777777" w:rsidR="00730DE4" w:rsidRPr="00730DE4" w:rsidRDefault="00730DE4" w:rsidP="00C413A0">
            <w:pPr>
              <w:pStyle w:val="NoSpacing"/>
              <w:rPr>
                <w:color w:val="080C0F" w:themeColor="text1"/>
              </w:rPr>
            </w:pPr>
            <w:r w:rsidRPr="00730DE4">
              <w:rPr>
                <w:color w:val="080C0F" w:themeColor="text1"/>
              </w:rPr>
              <w:t>Cash repayments</w:t>
            </w:r>
          </w:p>
        </w:tc>
        <w:tc>
          <w:tcPr>
            <w:tcW w:w="937"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vAlign w:val="bottom"/>
          </w:tcPr>
          <w:p w14:paraId="3F45C451" w14:textId="77777777" w:rsidR="00730DE4" w:rsidRPr="00730DE4" w:rsidRDefault="00730DE4" w:rsidP="00C413A0">
            <w:pPr>
              <w:pStyle w:val="NoSpacing"/>
              <w:jc w:val="right"/>
              <w:rPr>
                <w:color w:val="080C0F" w:themeColor="text1"/>
              </w:rPr>
            </w:pPr>
            <w:r w:rsidRPr="00730DE4">
              <w:rPr>
                <w:color w:val="080C0F" w:themeColor="text1"/>
              </w:rPr>
              <w:t>(224,233)</w:t>
            </w:r>
          </w:p>
        </w:tc>
        <w:tc>
          <w:tcPr>
            <w:tcW w:w="937"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vAlign w:val="bottom"/>
          </w:tcPr>
          <w:p w14:paraId="72892F3D" w14:textId="77777777" w:rsidR="00730DE4" w:rsidRPr="00730DE4" w:rsidRDefault="00730DE4" w:rsidP="00C413A0">
            <w:pPr>
              <w:pStyle w:val="NoSpacing"/>
              <w:jc w:val="right"/>
              <w:rPr>
                <w:color w:val="080C0F" w:themeColor="text1"/>
              </w:rPr>
            </w:pPr>
            <w:r w:rsidRPr="00730DE4">
              <w:rPr>
                <w:color w:val="080C0F" w:themeColor="text1"/>
              </w:rPr>
              <w:t>(205,288)</w:t>
            </w:r>
          </w:p>
        </w:tc>
      </w:tr>
      <w:tr w:rsidR="00730DE4" w:rsidRPr="00730DE4" w14:paraId="4747CE30" w14:textId="77777777" w:rsidTr="002F7278">
        <w:tc>
          <w:tcPr>
            <w:tcW w:w="3126"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013A444C" w14:textId="77777777" w:rsidR="00730DE4" w:rsidRPr="00730DE4" w:rsidRDefault="00730DE4" w:rsidP="00C413A0">
            <w:pPr>
              <w:pStyle w:val="NoSpacing"/>
              <w:rPr>
                <w:color w:val="080C0F" w:themeColor="text1"/>
              </w:rPr>
            </w:pPr>
            <w:r w:rsidRPr="00730DE4">
              <w:rPr>
                <w:rStyle w:val="Strong"/>
              </w:rPr>
              <w:t>Closing balance</w:t>
            </w:r>
          </w:p>
        </w:tc>
        <w:tc>
          <w:tcPr>
            <w:tcW w:w="937"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tcPr>
          <w:p w14:paraId="335ABC53" w14:textId="77777777" w:rsidR="00730DE4" w:rsidRPr="00730DE4" w:rsidRDefault="00730DE4" w:rsidP="00C413A0">
            <w:pPr>
              <w:pStyle w:val="NoSpacing"/>
              <w:jc w:val="right"/>
              <w:rPr>
                <w:rStyle w:val="Strong"/>
              </w:rPr>
            </w:pPr>
            <w:r w:rsidRPr="00730DE4">
              <w:rPr>
                <w:rStyle w:val="Strong"/>
              </w:rPr>
              <w:t xml:space="preserve">1,131,437 </w:t>
            </w:r>
          </w:p>
        </w:tc>
        <w:tc>
          <w:tcPr>
            <w:tcW w:w="937" w:type="pct"/>
            <w:tcBorders>
              <w:top w:val="single" w:sz="4" w:space="0" w:color="auto"/>
              <w:left w:val="dotted" w:sz="4" w:space="0" w:color="BFBFBF" w:themeColor="background1" w:themeShade="BF"/>
              <w:bottom w:val="double" w:sz="4" w:space="0" w:color="auto"/>
              <w:right w:val="nil"/>
            </w:tcBorders>
          </w:tcPr>
          <w:p w14:paraId="3AF79625" w14:textId="77777777" w:rsidR="00730DE4" w:rsidRPr="00730DE4" w:rsidRDefault="00730DE4" w:rsidP="00C413A0">
            <w:pPr>
              <w:pStyle w:val="NoSpacing"/>
              <w:jc w:val="right"/>
              <w:rPr>
                <w:rStyle w:val="Strong"/>
              </w:rPr>
            </w:pPr>
            <w:r w:rsidRPr="00730DE4">
              <w:rPr>
                <w:rStyle w:val="Strong"/>
              </w:rPr>
              <w:t xml:space="preserve">1,181,447 </w:t>
            </w:r>
          </w:p>
        </w:tc>
      </w:tr>
    </w:tbl>
    <w:p w14:paraId="28BDE733" w14:textId="77777777" w:rsidR="00730DE4" w:rsidRPr="00730DE4" w:rsidRDefault="00730DE4" w:rsidP="009E0946">
      <w:pPr>
        <w:pStyle w:val="Heading2"/>
        <w:sectPr w:rsidR="00730DE4" w:rsidRPr="00730DE4" w:rsidSect="00730DE4">
          <w:pgSz w:w="16838" w:h="23811" w:code="8"/>
          <w:pgMar w:top="1134" w:right="1418" w:bottom="1134" w:left="1418" w:header="227" w:footer="227" w:gutter="0"/>
          <w:cols w:space="708"/>
          <w:docGrid w:linePitch="360"/>
        </w:sectPr>
      </w:pPr>
    </w:p>
    <w:p w14:paraId="185B4840" w14:textId="77777777" w:rsidR="00730DE4" w:rsidRPr="00730DE4" w:rsidRDefault="00730DE4" w:rsidP="009E0946">
      <w:pPr>
        <w:pStyle w:val="Heading2"/>
      </w:pPr>
      <w:bookmarkStart w:id="1434" w:name="_Toc179365600"/>
      <w:bookmarkStart w:id="1435" w:name="_Toc180490905"/>
      <w:bookmarkStart w:id="1436" w:name="_Toc180491938"/>
      <w:r w:rsidRPr="00730DE4">
        <w:t>Notes to the financial statements</w:t>
      </w:r>
      <w:bookmarkEnd w:id="1434"/>
      <w:bookmarkEnd w:id="1435"/>
      <w:bookmarkEnd w:id="1436"/>
    </w:p>
    <w:p w14:paraId="00EF85FD" w14:textId="77777777" w:rsidR="00730DE4" w:rsidRPr="00730DE4" w:rsidRDefault="00730DE4" w:rsidP="009E0946">
      <w:pPr>
        <w:pStyle w:val="Heading3"/>
      </w:pPr>
      <w:bookmarkStart w:id="1437" w:name="_Toc179365601"/>
      <w:bookmarkStart w:id="1438" w:name="_Toc180490906"/>
      <w:bookmarkStart w:id="1439" w:name="_Toc180491939"/>
      <w:r w:rsidRPr="00730DE4">
        <w:rPr>
          <w:rFonts w:eastAsia="Times New Roman"/>
          <w:lang w:eastAsia="en-AU"/>
        </w:rPr>
        <w:t>How we Operate - Our Departmental Objectives and Activities</w:t>
      </w:r>
      <w:bookmarkEnd w:id="1437"/>
      <w:bookmarkEnd w:id="1438"/>
      <w:bookmarkEnd w:id="1439"/>
    </w:p>
    <w:p w14:paraId="7FF3DA00" w14:textId="77777777" w:rsidR="00730DE4" w:rsidRPr="00730DE4" w:rsidRDefault="00730DE4" w:rsidP="00D16D4F">
      <w:pPr>
        <w:pStyle w:val="Heading4"/>
      </w:pPr>
      <w:bookmarkStart w:id="1440" w:name="_Toc179365602"/>
      <w:bookmarkStart w:id="1441" w:name="_Toc180490907"/>
      <w:bookmarkStart w:id="1442" w:name="_Toc180491940"/>
      <w:r w:rsidRPr="00730DE4">
        <w:t>1 Accounting policies and basis for financial statements preparation</w:t>
      </w:r>
      <w:bookmarkEnd w:id="1440"/>
      <w:bookmarkEnd w:id="1441"/>
      <w:bookmarkEnd w:id="1442"/>
    </w:p>
    <w:p w14:paraId="48FF40D0" w14:textId="77777777" w:rsidR="00730DE4" w:rsidRPr="00730DE4" w:rsidRDefault="00730DE4" w:rsidP="003C13D4">
      <w:pPr>
        <w:rPr>
          <w:color w:val="080C0F" w:themeColor="text1"/>
        </w:rPr>
      </w:pPr>
      <w:r w:rsidRPr="00730DE4">
        <w:rPr>
          <w:color w:val="080C0F" w:themeColor="text1"/>
        </w:rPr>
        <w:t>Refer to individual notes for specific accounting policies.</w:t>
      </w:r>
    </w:p>
    <w:p w14:paraId="036658E3" w14:textId="77777777" w:rsidR="00730DE4" w:rsidRPr="00730DE4" w:rsidRDefault="00730DE4" w:rsidP="004A5032">
      <w:pPr>
        <w:pStyle w:val="Heading5"/>
      </w:pPr>
      <w:bookmarkStart w:id="1443" w:name="_Toc180487703"/>
      <w:bookmarkStart w:id="1444" w:name="_Toc180490908"/>
      <w:bookmarkStart w:id="1445" w:name="_Toc180491941"/>
      <w:r w:rsidRPr="00730DE4">
        <w:t>Statement of compliance</w:t>
      </w:r>
      <w:bookmarkEnd w:id="1443"/>
      <w:bookmarkEnd w:id="1444"/>
      <w:bookmarkEnd w:id="1445"/>
    </w:p>
    <w:p w14:paraId="086CB078" w14:textId="77777777" w:rsidR="00730DE4" w:rsidRPr="00730DE4" w:rsidRDefault="00730DE4" w:rsidP="003C13D4">
      <w:pPr>
        <w:rPr>
          <w:color w:val="080C0F" w:themeColor="text1"/>
        </w:rPr>
      </w:pPr>
      <w:r w:rsidRPr="00730DE4">
        <w:rPr>
          <w:color w:val="080C0F" w:themeColor="text1"/>
        </w:rPr>
        <w:t xml:space="preserve">The department has prepared these financial statements in compliance with section 38 of the </w:t>
      </w:r>
      <w:r w:rsidRPr="00730DE4">
        <w:rPr>
          <w:i/>
          <w:iCs/>
          <w:color w:val="080C0F" w:themeColor="text1"/>
        </w:rPr>
        <w:t>Financial and Performance Management Standard 2019</w:t>
      </w:r>
      <w:r w:rsidRPr="00730DE4">
        <w:rPr>
          <w:color w:val="080C0F" w:themeColor="text1"/>
        </w:rPr>
        <w:t>.</w:t>
      </w:r>
      <w:r w:rsidRPr="00730DE4">
        <w:rPr>
          <w:color w:val="080C0F" w:themeColor="text1"/>
        </w:rPr>
        <w:tab/>
      </w:r>
      <w:r w:rsidRPr="00730DE4">
        <w:rPr>
          <w:color w:val="080C0F" w:themeColor="text1"/>
        </w:rPr>
        <w:tab/>
      </w:r>
    </w:p>
    <w:p w14:paraId="4CBAA151" w14:textId="77777777" w:rsidR="00730DE4" w:rsidRPr="00730DE4" w:rsidRDefault="00730DE4" w:rsidP="003C13D4">
      <w:pPr>
        <w:rPr>
          <w:color w:val="080C0F" w:themeColor="text1"/>
        </w:rPr>
      </w:pPr>
      <w:r w:rsidRPr="00730DE4">
        <w:rPr>
          <w:color w:val="080C0F" w:themeColor="text1"/>
        </w:rPr>
        <w:t>These financial statements are general purpose financial statements and have been prepared on an accrual basis in accordance with Australian Accounting Standards and Interpretations and requirements applicable to not-for-profit entities. Except where stated, historical cost is used as the measurement basis in the financial statements.</w:t>
      </w:r>
    </w:p>
    <w:p w14:paraId="2ECB8355" w14:textId="77777777" w:rsidR="00730DE4" w:rsidRPr="00730DE4" w:rsidRDefault="00730DE4" w:rsidP="003C13D4">
      <w:pPr>
        <w:rPr>
          <w:color w:val="080C0F" w:themeColor="text1"/>
        </w:rPr>
      </w:pPr>
      <w:r w:rsidRPr="00730DE4">
        <w:rPr>
          <w:color w:val="080C0F" w:themeColor="text1"/>
        </w:rPr>
        <w:t>The financial statements are authorised for issue by the Director-General and Chief Finance Officer at the date of signing of the management certificate.</w:t>
      </w:r>
      <w:r w:rsidRPr="00730DE4">
        <w:rPr>
          <w:color w:val="080C0F" w:themeColor="text1"/>
        </w:rPr>
        <w:tab/>
      </w:r>
    </w:p>
    <w:p w14:paraId="507A24BA" w14:textId="77777777" w:rsidR="00730DE4" w:rsidRPr="00730DE4" w:rsidRDefault="00730DE4" w:rsidP="004A5032">
      <w:pPr>
        <w:pStyle w:val="Heading5"/>
      </w:pPr>
      <w:bookmarkStart w:id="1446" w:name="_Toc180487704"/>
      <w:bookmarkStart w:id="1447" w:name="_Toc180490909"/>
      <w:bookmarkStart w:id="1448" w:name="_Toc180491942"/>
      <w:r w:rsidRPr="00730DE4">
        <w:t>The reporting entity</w:t>
      </w:r>
      <w:bookmarkEnd w:id="1446"/>
      <w:bookmarkEnd w:id="1447"/>
      <w:bookmarkEnd w:id="1448"/>
    </w:p>
    <w:p w14:paraId="78DFCD08" w14:textId="77777777" w:rsidR="00730DE4" w:rsidRPr="00730DE4" w:rsidRDefault="00730DE4" w:rsidP="003C13D4">
      <w:pPr>
        <w:rPr>
          <w:color w:val="080C0F" w:themeColor="text1"/>
        </w:rPr>
      </w:pPr>
      <w:r w:rsidRPr="00730DE4">
        <w:rPr>
          <w:color w:val="080C0F" w:themeColor="text1"/>
        </w:rPr>
        <w:t xml:space="preserve">The Department of Transport and Main Roads is a Queensland Government department established under the </w:t>
      </w:r>
      <w:r w:rsidRPr="00730DE4">
        <w:rPr>
          <w:i/>
          <w:iCs/>
          <w:color w:val="080C0F" w:themeColor="text1"/>
        </w:rPr>
        <w:t>Public Sector Act 2022</w:t>
      </w:r>
      <w:r w:rsidRPr="00730DE4">
        <w:rPr>
          <w:color w:val="080C0F" w:themeColor="text1"/>
        </w:rPr>
        <w:t>. The department is controlled by the State of Queensland which is the ultimate parent. The principal address of the department is:</w:t>
      </w:r>
    </w:p>
    <w:p w14:paraId="3CC9A777" w14:textId="77777777" w:rsidR="00730DE4" w:rsidRPr="00730DE4" w:rsidRDefault="00730DE4" w:rsidP="003C13D4">
      <w:pPr>
        <w:rPr>
          <w:color w:val="080C0F" w:themeColor="text1"/>
        </w:rPr>
      </w:pPr>
      <w:r w:rsidRPr="00730DE4">
        <w:rPr>
          <w:color w:val="080C0F" w:themeColor="text1"/>
        </w:rPr>
        <w:t>61 Mary Street</w:t>
      </w:r>
      <w:r w:rsidRPr="00730DE4">
        <w:rPr>
          <w:color w:val="080C0F" w:themeColor="text1"/>
        </w:rPr>
        <w:br/>
        <w:t>Brisbane, Queensland 4000</w:t>
      </w:r>
    </w:p>
    <w:p w14:paraId="1F2A47F0" w14:textId="77777777" w:rsidR="00730DE4" w:rsidRPr="00730DE4" w:rsidRDefault="00730DE4" w:rsidP="003C13D4">
      <w:pPr>
        <w:rPr>
          <w:color w:val="080C0F" w:themeColor="text1"/>
        </w:rPr>
      </w:pPr>
      <w:r w:rsidRPr="00730DE4">
        <w:rPr>
          <w:color w:val="080C0F" w:themeColor="text1"/>
        </w:rPr>
        <w:t>The objectives of the department are:</w:t>
      </w:r>
    </w:p>
    <w:p w14:paraId="34169582" w14:textId="77777777" w:rsidR="00730DE4" w:rsidRPr="00730DE4" w:rsidRDefault="00730DE4" w:rsidP="009E0946">
      <w:pPr>
        <w:pStyle w:val="ListBullet"/>
      </w:pPr>
      <w:r w:rsidRPr="00730DE4">
        <w:t>Accessible and integrated – A transport system that is accessible and connects customers and communities</w:t>
      </w:r>
    </w:p>
    <w:p w14:paraId="61727577" w14:textId="77777777" w:rsidR="00730DE4" w:rsidRPr="00730DE4" w:rsidRDefault="00730DE4" w:rsidP="009E0946">
      <w:pPr>
        <w:pStyle w:val="ListBullet"/>
      </w:pPr>
      <w:r w:rsidRPr="00730DE4">
        <w:t>Safe and secure – A transport system that is safe and secure for customers and goods</w:t>
      </w:r>
    </w:p>
    <w:p w14:paraId="7F113CE1" w14:textId="77777777" w:rsidR="00730DE4" w:rsidRPr="00730DE4" w:rsidRDefault="00730DE4" w:rsidP="006846D2">
      <w:pPr>
        <w:pStyle w:val="ListBullet"/>
      </w:pPr>
      <w:r w:rsidRPr="00730DE4">
        <w:t xml:space="preserve">Responsive – A transport system that is responsive and resilient to the changing environment </w:t>
      </w:r>
    </w:p>
    <w:p w14:paraId="53597E18" w14:textId="77777777" w:rsidR="00730DE4" w:rsidRPr="00730DE4" w:rsidRDefault="00730DE4" w:rsidP="009E0946">
      <w:pPr>
        <w:pStyle w:val="ListBullet"/>
      </w:pPr>
      <w:r w:rsidRPr="00730DE4">
        <w:t xml:space="preserve">Efficient and productive – A transport system that is a key enabler of economic activity </w:t>
      </w:r>
    </w:p>
    <w:p w14:paraId="2B475063" w14:textId="77777777" w:rsidR="00730DE4" w:rsidRPr="00730DE4" w:rsidRDefault="00730DE4" w:rsidP="006846D2">
      <w:pPr>
        <w:pStyle w:val="ListBullet"/>
        <w:rPr>
          <w:rStyle w:val="Strong"/>
        </w:rPr>
      </w:pPr>
      <w:r w:rsidRPr="00730DE4">
        <w:t>Sustainable – A transport system that contributes to environmental, economic and social sustainability</w:t>
      </w:r>
      <w:r w:rsidRPr="00730DE4">
        <w:rPr>
          <w:rStyle w:val="Strong"/>
        </w:rPr>
        <w:t xml:space="preserve"> </w:t>
      </w:r>
    </w:p>
    <w:p w14:paraId="69E3AE7E" w14:textId="77777777" w:rsidR="00730DE4" w:rsidRPr="00730DE4" w:rsidRDefault="00730DE4" w:rsidP="006846D2">
      <w:pPr>
        <w:pStyle w:val="ListBullet"/>
      </w:pPr>
      <w:r w:rsidRPr="00730DE4">
        <w:t>Digital economic contribution</w:t>
      </w:r>
      <w:r w:rsidRPr="00730DE4">
        <w:rPr>
          <w:rStyle w:val="Strong"/>
        </w:rPr>
        <w:t xml:space="preserve"> </w:t>
      </w:r>
      <w:r w:rsidRPr="00730DE4">
        <w:t xml:space="preserve">– A thriving digital economy to benefit Queenslanders </w:t>
      </w:r>
    </w:p>
    <w:p w14:paraId="5EAA1161" w14:textId="77777777" w:rsidR="00730DE4" w:rsidRPr="00730DE4" w:rsidRDefault="00730DE4" w:rsidP="006846D2">
      <w:pPr>
        <w:pStyle w:val="ListBullet"/>
      </w:pPr>
      <w:r w:rsidRPr="00730DE4">
        <w:t>Capable, adaptable and aligned</w:t>
      </w:r>
      <w:r w:rsidRPr="00730DE4">
        <w:rPr>
          <w:rStyle w:val="Strong"/>
        </w:rPr>
        <w:t xml:space="preserve"> </w:t>
      </w:r>
      <w:r w:rsidRPr="00730DE4">
        <w:t>– A workforce that is positive, purpose-driven, capable and mobile.</w:t>
      </w:r>
    </w:p>
    <w:p w14:paraId="3D69AEE0" w14:textId="77777777" w:rsidR="00730DE4" w:rsidRPr="00730DE4" w:rsidRDefault="00730DE4" w:rsidP="003C13D4">
      <w:pPr>
        <w:rPr>
          <w:color w:val="080C0F" w:themeColor="text1"/>
        </w:rPr>
      </w:pPr>
      <w:r w:rsidRPr="00730DE4">
        <w:rPr>
          <w:color w:val="080C0F" w:themeColor="text1"/>
        </w:rPr>
        <w:t>The financial statements include the value of all income, expenses, assets, liabilities and equity of the Department of Transport and Main Roads.</w:t>
      </w:r>
    </w:p>
    <w:p w14:paraId="1A668BCA" w14:textId="77777777" w:rsidR="00730DE4" w:rsidRPr="00730DE4" w:rsidRDefault="00730DE4" w:rsidP="003C13D4">
      <w:pPr>
        <w:rPr>
          <w:color w:val="080C0F" w:themeColor="text1"/>
        </w:rPr>
      </w:pPr>
      <w:r w:rsidRPr="00730DE4">
        <w:rPr>
          <w:color w:val="080C0F" w:themeColor="text1"/>
        </w:rPr>
        <w:t xml:space="preserve">The department has elected not to consolidate its investment in the controlled entity Transmax Pty Ltd in accordance with AASB 127 </w:t>
      </w:r>
      <w:r w:rsidRPr="00730DE4">
        <w:rPr>
          <w:i/>
          <w:iCs/>
          <w:color w:val="080C0F" w:themeColor="text1"/>
        </w:rPr>
        <w:t>Separate Financial Statements</w:t>
      </w:r>
      <w:r w:rsidRPr="00730DE4">
        <w:rPr>
          <w:color w:val="080C0F" w:themeColor="text1"/>
        </w:rPr>
        <w:t xml:space="preserve"> and AASB 10 </w:t>
      </w:r>
      <w:r w:rsidRPr="00730DE4">
        <w:rPr>
          <w:i/>
          <w:iCs/>
          <w:color w:val="080C0F" w:themeColor="text1"/>
        </w:rPr>
        <w:t>Consolidated Financial Statements</w:t>
      </w:r>
      <w:r w:rsidRPr="00730DE4">
        <w:rPr>
          <w:color w:val="080C0F" w:themeColor="text1"/>
        </w:rPr>
        <w:t>. Refer to Note 26.</w:t>
      </w:r>
    </w:p>
    <w:p w14:paraId="6B0D71A3" w14:textId="77777777" w:rsidR="00730DE4" w:rsidRPr="00730DE4" w:rsidRDefault="00730DE4" w:rsidP="004A5032">
      <w:pPr>
        <w:pStyle w:val="Heading5"/>
      </w:pPr>
      <w:bookmarkStart w:id="1449" w:name="_Toc180487705"/>
      <w:bookmarkStart w:id="1450" w:name="_Toc180490910"/>
      <w:bookmarkStart w:id="1451" w:name="_Toc180491943"/>
      <w:r w:rsidRPr="00730DE4">
        <w:t>Departmental services and principal activities</w:t>
      </w:r>
      <w:bookmarkEnd w:id="1449"/>
      <w:bookmarkEnd w:id="1450"/>
      <w:bookmarkEnd w:id="1451"/>
    </w:p>
    <w:p w14:paraId="7DCD6F53" w14:textId="77777777" w:rsidR="00730DE4" w:rsidRPr="00730DE4" w:rsidRDefault="00730DE4" w:rsidP="003C13D4">
      <w:pPr>
        <w:rPr>
          <w:color w:val="080C0F" w:themeColor="text1"/>
        </w:rPr>
      </w:pPr>
      <w:r w:rsidRPr="00730DE4">
        <w:rPr>
          <w:color w:val="080C0F" w:themeColor="text1"/>
        </w:rPr>
        <w:t>The identity and purpose of the services and principal activities undertaken by the Department of Transport and Main Roads during the reporting period are as follows:</w:t>
      </w:r>
    </w:p>
    <w:p w14:paraId="4D34BFC2" w14:textId="77777777" w:rsidR="00730DE4" w:rsidRPr="00730DE4" w:rsidRDefault="00730DE4" w:rsidP="00423CB1">
      <w:pPr>
        <w:pStyle w:val="Heading6"/>
      </w:pPr>
      <w:r w:rsidRPr="00730DE4">
        <w:t>Transport system investment planning and programming</w:t>
      </w:r>
    </w:p>
    <w:p w14:paraId="7BAD5202" w14:textId="77777777" w:rsidR="00730DE4" w:rsidRPr="00730DE4" w:rsidRDefault="00730DE4" w:rsidP="003C13D4">
      <w:pPr>
        <w:rPr>
          <w:color w:val="080C0F" w:themeColor="text1"/>
        </w:rPr>
      </w:pPr>
      <w:r w:rsidRPr="00730DE4">
        <w:rPr>
          <w:color w:val="080C0F" w:themeColor="text1"/>
        </w:rPr>
        <w:t>The objective of this service area is to develop and prioritise transport policy and investment to support economic and regional development and meet Queensland’s long-term transport needs.</w:t>
      </w:r>
    </w:p>
    <w:p w14:paraId="43302371" w14:textId="77777777" w:rsidR="00730DE4" w:rsidRPr="00730DE4" w:rsidRDefault="00730DE4" w:rsidP="00423CB1">
      <w:pPr>
        <w:pStyle w:val="Heading6"/>
      </w:pPr>
      <w:r w:rsidRPr="00730DE4">
        <w:t>Transport infrastructure management and delivery</w:t>
      </w:r>
    </w:p>
    <w:p w14:paraId="28CC84B0" w14:textId="77777777" w:rsidR="00730DE4" w:rsidRPr="00730DE4" w:rsidRDefault="00730DE4" w:rsidP="003C13D4">
      <w:pPr>
        <w:rPr>
          <w:color w:val="080C0F" w:themeColor="text1"/>
        </w:rPr>
      </w:pPr>
      <w:r w:rsidRPr="00730DE4">
        <w:rPr>
          <w:color w:val="080C0F" w:themeColor="text1"/>
        </w:rPr>
        <w:t>The objective of this service area is to maintain and operate an integrated transport network accessible to all.</w:t>
      </w:r>
    </w:p>
    <w:p w14:paraId="490B1739" w14:textId="77777777" w:rsidR="00730DE4" w:rsidRPr="00730DE4" w:rsidRDefault="00730DE4" w:rsidP="00423CB1">
      <w:pPr>
        <w:pStyle w:val="Heading6"/>
      </w:pPr>
      <w:r w:rsidRPr="00730DE4">
        <w:t xml:space="preserve">Transport safety and regulation </w:t>
      </w:r>
    </w:p>
    <w:p w14:paraId="4986C3E4" w14:textId="77777777" w:rsidR="00730DE4" w:rsidRPr="00730DE4" w:rsidRDefault="00730DE4" w:rsidP="003C13D4">
      <w:pPr>
        <w:rPr>
          <w:color w:val="080C0F" w:themeColor="text1"/>
        </w:rPr>
      </w:pPr>
      <w:r w:rsidRPr="00730DE4">
        <w:rPr>
          <w:color w:val="080C0F" w:themeColor="text1"/>
        </w:rPr>
        <w:t>The objective of this service area is to enhance the safety of the transport system through quality regulation, road and maritime safety programs.</w:t>
      </w:r>
    </w:p>
    <w:p w14:paraId="5215E808" w14:textId="77777777" w:rsidR="00730DE4" w:rsidRPr="00730DE4" w:rsidRDefault="00730DE4" w:rsidP="00423CB1">
      <w:pPr>
        <w:pStyle w:val="Heading6"/>
      </w:pPr>
      <w:r w:rsidRPr="00730DE4">
        <w:t>Customer experience</w:t>
      </w:r>
    </w:p>
    <w:p w14:paraId="2D734B75" w14:textId="77777777" w:rsidR="00730DE4" w:rsidRPr="00730DE4" w:rsidRDefault="00730DE4" w:rsidP="003C13D4">
      <w:pPr>
        <w:rPr>
          <w:color w:val="080C0F" w:themeColor="text1"/>
        </w:rPr>
      </w:pPr>
      <w:r w:rsidRPr="00730DE4">
        <w:rPr>
          <w:color w:val="080C0F" w:themeColor="text1"/>
        </w:rPr>
        <w:t>The objective of this service area is to understand evolving customer needs and expectations, to improve customer experiences and reduce complaints.</w:t>
      </w:r>
    </w:p>
    <w:p w14:paraId="3B228518" w14:textId="77777777" w:rsidR="00730DE4" w:rsidRPr="00730DE4" w:rsidRDefault="00730DE4" w:rsidP="00423CB1">
      <w:pPr>
        <w:pStyle w:val="Heading6"/>
      </w:pPr>
      <w:r w:rsidRPr="00730DE4">
        <w:t>Passenger transport services</w:t>
      </w:r>
    </w:p>
    <w:p w14:paraId="3658CF66" w14:textId="77777777" w:rsidR="00730DE4" w:rsidRPr="00730DE4" w:rsidRDefault="00730DE4" w:rsidP="003C13D4">
      <w:pPr>
        <w:rPr>
          <w:color w:val="080C0F" w:themeColor="text1"/>
        </w:rPr>
      </w:pPr>
      <w:r w:rsidRPr="00730DE4">
        <w:rPr>
          <w:color w:val="080C0F" w:themeColor="text1"/>
        </w:rPr>
        <w:t>The objective of this service area is to connect Queensland through reliable and accessible passenger transport services.</w:t>
      </w:r>
    </w:p>
    <w:p w14:paraId="08194231" w14:textId="77777777" w:rsidR="00730DE4" w:rsidRPr="00730DE4" w:rsidRDefault="00730DE4" w:rsidP="00423CB1">
      <w:pPr>
        <w:pStyle w:val="Heading6"/>
      </w:pPr>
      <w:r w:rsidRPr="00730DE4">
        <w:t>Customer and digital services</w:t>
      </w:r>
    </w:p>
    <w:p w14:paraId="4C0D05E0" w14:textId="77777777" w:rsidR="00730DE4" w:rsidRPr="00730DE4" w:rsidRDefault="00730DE4" w:rsidP="003C13D4">
      <w:pPr>
        <w:rPr>
          <w:color w:val="080C0F" w:themeColor="text1"/>
        </w:rPr>
      </w:pPr>
      <w:r w:rsidRPr="00730DE4">
        <w:rPr>
          <w:color w:val="080C0F" w:themeColor="text1"/>
        </w:rPr>
        <w:t>The objective of this service area is to benefit Queenslanders and their businesses by delivering and improving government services and investing in a digitally enabled economy.</w:t>
      </w:r>
    </w:p>
    <w:p w14:paraId="2AA7456F" w14:textId="77777777" w:rsidR="00730DE4" w:rsidRPr="00730DE4" w:rsidRDefault="00730DE4" w:rsidP="00423CB1">
      <w:pPr>
        <w:pStyle w:val="Heading6"/>
      </w:pPr>
      <w:r w:rsidRPr="00730DE4">
        <w:t>Queensland Shared Services</w:t>
      </w:r>
    </w:p>
    <w:p w14:paraId="6E1F6BBE" w14:textId="77777777" w:rsidR="00730DE4" w:rsidRPr="00730DE4" w:rsidRDefault="00730DE4" w:rsidP="003C13D4">
      <w:pPr>
        <w:rPr>
          <w:rStyle w:val="Strong"/>
        </w:rPr>
      </w:pPr>
      <w:r w:rsidRPr="00730DE4">
        <w:rPr>
          <w:color w:val="080C0F" w:themeColor="text1"/>
        </w:rPr>
        <w:t>The objective of this service area is to provide effective corporate services that support Queensland Government entities.</w:t>
      </w:r>
    </w:p>
    <w:p w14:paraId="46754F9C" w14:textId="77777777" w:rsidR="00730DE4" w:rsidRPr="00730DE4" w:rsidRDefault="00730DE4" w:rsidP="00423CB1">
      <w:pPr>
        <w:pStyle w:val="Heading6"/>
      </w:pPr>
      <w:r w:rsidRPr="00730DE4">
        <w:t>Corporate Administration Agency</w:t>
      </w:r>
    </w:p>
    <w:p w14:paraId="1D7BE99E" w14:textId="77777777" w:rsidR="00730DE4" w:rsidRPr="00730DE4" w:rsidRDefault="00730DE4" w:rsidP="003C13D4">
      <w:pPr>
        <w:rPr>
          <w:rStyle w:val="Strong"/>
        </w:rPr>
      </w:pPr>
      <w:r w:rsidRPr="00730DE4">
        <w:rPr>
          <w:color w:val="080C0F" w:themeColor="text1"/>
        </w:rPr>
        <w:t xml:space="preserve">The objective of this service area is to provide effective corporate services that support Queensland Government entities primarily statutory bodies.  </w:t>
      </w:r>
    </w:p>
    <w:p w14:paraId="35BE12FD" w14:textId="77777777" w:rsidR="00730DE4" w:rsidRPr="00730DE4" w:rsidRDefault="00730DE4" w:rsidP="00423CB1">
      <w:pPr>
        <w:pStyle w:val="Heading6"/>
      </w:pPr>
      <w:r w:rsidRPr="00730DE4">
        <w:t>Transport infrastructure construction and maintenance (RoadTek)</w:t>
      </w:r>
    </w:p>
    <w:p w14:paraId="57EB3D6A" w14:textId="77777777" w:rsidR="00730DE4" w:rsidRPr="00730DE4" w:rsidRDefault="00730DE4" w:rsidP="003C13D4">
      <w:pPr>
        <w:rPr>
          <w:color w:val="080C0F" w:themeColor="text1"/>
        </w:rPr>
      </w:pPr>
      <w:r w:rsidRPr="00730DE4">
        <w:rPr>
          <w:color w:val="080C0F" w:themeColor="text1"/>
        </w:rPr>
        <w:t>RoadTek provides transport infrastructure solutions, including construction and maintenance services to enable the department to deliver on Queensland Government priorities, with a focus on best value outcomes for our customers, stakeholders and the community.</w:t>
      </w:r>
    </w:p>
    <w:p w14:paraId="769FEC9D" w14:textId="77777777" w:rsidR="00730DE4" w:rsidRPr="00730DE4" w:rsidRDefault="00730DE4" w:rsidP="00423CB1">
      <w:pPr>
        <w:pStyle w:val="Heading6"/>
      </w:pPr>
      <w:r w:rsidRPr="00730DE4">
        <w:t>Centre for Information Technology and Communications (CITEC)</w:t>
      </w:r>
    </w:p>
    <w:p w14:paraId="70452C75" w14:textId="77777777" w:rsidR="00730DE4" w:rsidRPr="00730DE4" w:rsidRDefault="00730DE4" w:rsidP="003C13D4">
      <w:pPr>
        <w:rPr>
          <w:rStyle w:val="Strong"/>
        </w:rPr>
      </w:pPr>
      <w:r w:rsidRPr="00730DE4">
        <w:rPr>
          <w:color w:val="080C0F" w:themeColor="text1"/>
        </w:rPr>
        <w:t>CITEC provides whole-of-government and commercial information and technology solutions that support the delivery of frontline services to Queensland communities and businesses.</w:t>
      </w:r>
    </w:p>
    <w:p w14:paraId="28C77439" w14:textId="77777777" w:rsidR="00730DE4" w:rsidRPr="00730DE4" w:rsidRDefault="00730DE4" w:rsidP="004A5032">
      <w:pPr>
        <w:pStyle w:val="Heading5"/>
      </w:pPr>
      <w:bookmarkStart w:id="1452" w:name="_Toc180487706"/>
      <w:bookmarkStart w:id="1453" w:name="_Toc180490911"/>
      <w:bookmarkStart w:id="1454" w:name="_Toc180491944"/>
      <w:r w:rsidRPr="00730DE4">
        <w:t>Agency arrangements</w:t>
      </w:r>
      <w:bookmarkEnd w:id="1452"/>
      <w:bookmarkEnd w:id="1453"/>
      <w:bookmarkEnd w:id="1454"/>
    </w:p>
    <w:p w14:paraId="06C281F5" w14:textId="77777777" w:rsidR="00730DE4" w:rsidRPr="00730DE4" w:rsidRDefault="00730DE4" w:rsidP="003C13D4">
      <w:pPr>
        <w:rPr>
          <w:color w:val="080C0F" w:themeColor="text1"/>
        </w:rPr>
      </w:pPr>
      <w:r w:rsidRPr="00730DE4">
        <w:rPr>
          <w:color w:val="080C0F" w:themeColor="text1"/>
        </w:rPr>
        <w:t>The department performs certain transactions in an agent capacity, and the receipts of such funds are not considered to be revenue for the department, nor are payments of these amounts considered to be expenses of the department. These transactions are not recognised in the financial statements but are disclosed in these notes for the information of users. Significant agency transactions are disclosed in Note 28.</w:t>
      </w:r>
    </w:p>
    <w:p w14:paraId="6F003FE9" w14:textId="77777777" w:rsidR="00730DE4" w:rsidRPr="00730DE4" w:rsidRDefault="00730DE4" w:rsidP="004A5032">
      <w:pPr>
        <w:pStyle w:val="Heading5"/>
      </w:pPr>
      <w:bookmarkStart w:id="1455" w:name="_Toc180487707"/>
      <w:bookmarkStart w:id="1456" w:name="_Toc180490912"/>
      <w:bookmarkStart w:id="1457" w:name="_Toc180491945"/>
      <w:r w:rsidRPr="00730DE4">
        <w:t>Accounting estimates and judgements</w:t>
      </w:r>
      <w:bookmarkEnd w:id="1455"/>
      <w:bookmarkEnd w:id="1456"/>
      <w:bookmarkEnd w:id="1457"/>
    </w:p>
    <w:p w14:paraId="77A0B86A" w14:textId="77777777" w:rsidR="00730DE4" w:rsidRPr="00730DE4" w:rsidRDefault="00730DE4" w:rsidP="003C13D4">
      <w:pPr>
        <w:rPr>
          <w:rStyle w:val="Strong"/>
        </w:rPr>
      </w:pPr>
      <w:r w:rsidRPr="00730DE4">
        <w:rPr>
          <w:color w:val="080C0F" w:themeColor="text1"/>
        </w:rPr>
        <w:t>The preparation of financial statements necessarily requires the determination and use of certain critical accounting estimates, assumptions, and management judgements that have potential to cause a material adjustment to the carrying amounts of assets and liabilities within the next reporting period. Such estimates, judgements and underlying assumptions are reviewed on an ongoing basis. Revisions to accounting estimates are recognised in the period in which the estimate is revised and in future periods as relevant.</w:t>
      </w:r>
    </w:p>
    <w:p w14:paraId="6BCFB490" w14:textId="77777777" w:rsidR="00730DE4" w:rsidRPr="00730DE4" w:rsidRDefault="00730DE4" w:rsidP="003C13D4">
      <w:pPr>
        <w:rPr>
          <w:color w:val="080C0F" w:themeColor="text1"/>
        </w:rPr>
      </w:pPr>
      <w:r w:rsidRPr="00730DE4">
        <w:rPr>
          <w:color w:val="080C0F" w:themeColor="text1"/>
        </w:rPr>
        <w:t>Estimates and assumptions that have a potential significant effect are outlined in the following financial statement notes:</w:t>
      </w:r>
    </w:p>
    <w:p w14:paraId="1A4EF479" w14:textId="77777777" w:rsidR="00730DE4" w:rsidRPr="00730DE4" w:rsidRDefault="00730DE4" w:rsidP="009E0946">
      <w:pPr>
        <w:pStyle w:val="ListBullet"/>
      </w:pPr>
      <w:r w:rsidRPr="00730DE4">
        <w:t>Note 12 Receivables</w:t>
      </w:r>
    </w:p>
    <w:p w14:paraId="620578AF" w14:textId="77777777" w:rsidR="00730DE4" w:rsidRPr="00730DE4" w:rsidRDefault="00730DE4" w:rsidP="009E0946">
      <w:pPr>
        <w:pStyle w:val="ListBullet"/>
      </w:pPr>
      <w:r w:rsidRPr="00730DE4">
        <w:t>Note 14 Intangible assets</w:t>
      </w:r>
    </w:p>
    <w:p w14:paraId="06F3AA4B" w14:textId="77777777" w:rsidR="00730DE4" w:rsidRPr="00730DE4" w:rsidRDefault="00730DE4" w:rsidP="009E0946">
      <w:pPr>
        <w:pStyle w:val="ListBullet"/>
      </w:pPr>
      <w:r w:rsidRPr="00730DE4">
        <w:t>Note 15 Property, plant and equipment</w:t>
      </w:r>
    </w:p>
    <w:p w14:paraId="4CD8B51E" w14:textId="77777777" w:rsidR="00730DE4" w:rsidRPr="00730DE4" w:rsidRDefault="00730DE4" w:rsidP="009E0946">
      <w:pPr>
        <w:pStyle w:val="ListBullet"/>
      </w:pPr>
      <w:r w:rsidRPr="00730DE4">
        <w:t>Note 16 Public private partnerships</w:t>
      </w:r>
    </w:p>
    <w:p w14:paraId="30A930BE" w14:textId="77777777" w:rsidR="00730DE4" w:rsidRPr="00730DE4" w:rsidRDefault="00730DE4" w:rsidP="009E0946">
      <w:pPr>
        <w:pStyle w:val="ListBullet"/>
      </w:pPr>
      <w:r w:rsidRPr="00730DE4">
        <w:t>Note 20 Provisions.</w:t>
      </w:r>
    </w:p>
    <w:p w14:paraId="65BFB1A1" w14:textId="77777777" w:rsidR="00730DE4" w:rsidRPr="00730DE4" w:rsidRDefault="00730DE4" w:rsidP="004A5032">
      <w:pPr>
        <w:pStyle w:val="Heading5"/>
      </w:pPr>
      <w:bookmarkStart w:id="1458" w:name="_Toc180487708"/>
      <w:bookmarkStart w:id="1459" w:name="_Toc180490913"/>
      <w:bookmarkStart w:id="1460" w:name="_Toc180491946"/>
      <w:r w:rsidRPr="00730DE4">
        <w:t>Currency, rounding and comparatives</w:t>
      </w:r>
      <w:bookmarkEnd w:id="1458"/>
      <w:bookmarkEnd w:id="1459"/>
      <w:bookmarkEnd w:id="1460"/>
    </w:p>
    <w:p w14:paraId="060E47B5" w14:textId="77777777" w:rsidR="00730DE4" w:rsidRPr="00730DE4" w:rsidRDefault="00730DE4" w:rsidP="003C13D4">
      <w:pPr>
        <w:rPr>
          <w:rStyle w:val="Strong"/>
        </w:rPr>
      </w:pPr>
      <w:r w:rsidRPr="00730DE4">
        <w:rPr>
          <w:color w:val="080C0F" w:themeColor="text1"/>
        </w:rPr>
        <w:t>Amounts included in the financial statements are in Australian dollars and have been rounded to the nearest $1000, or where that amount is $500 or less, to zero, unless disclosure of the full amount is specifically required.</w:t>
      </w:r>
    </w:p>
    <w:p w14:paraId="6CE1928A" w14:textId="77777777" w:rsidR="00730DE4" w:rsidRPr="00730DE4" w:rsidRDefault="00730DE4" w:rsidP="003C13D4">
      <w:pPr>
        <w:rPr>
          <w:color w:val="080C0F" w:themeColor="text1"/>
        </w:rPr>
      </w:pPr>
      <w:r w:rsidRPr="00730DE4">
        <w:rPr>
          <w:color w:val="080C0F" w:themeColor="text1"/>
        </w:rPr>
        <w:t>Comparative information is restated where necessary to be consistent with disclosures in the current reporting period.</w:t>
      </w:r>
    </w:p>
    <w:p w14:paraId="24BFA348" w14:textId="77777777" w:rsidR="00730DE4" w:rsidRPr="00730DE4" w:rsidRDefault="00730DE4" w:rsidP="004A5032">
      <w:pPr>
        <w:pStyle w:val="Heading5"/>
      </w:pPr>
      <w:bookmarkStart w:id="1461" w:name="_Toc180487709"/>
      <w:bookmarkStart w:id="1462" w:name="_Toc180490914"/>
      <w:bookmarkStart w:id="1463" w:name="_Toc180491947"/>
      <w:r w:rsidRPr="00730DE4">
        <w:t>Current and non-current classification</w:t>
      </w:r>
      <w:bookmarkEnd w:id="1461"/>
      <w:bookmarkEnd w:id="1462"/>
      <w:bookmarkEnd w:id="1463"/>
    </w:p>
    <w:p w14:paraId="66E7D167" w14:textId="77777777" w:rsidR="00730DE4" w:rsidRPr="00730DE4" w:rsidRDefault="00730DE4" w:rsidP="003C13D4">
      <w:pPr>
        <w:rPr>
          <w:color w:val="080C0F" w:themeColor="text1"/>
        </w:rPr>
      </w:pPr>
      <w:r w:rsidRPr="00730DE4">
        <w:rPr>
          <w:color w:val="080C0F" w:themeColor="text1"/>
        </w:rPr>
        <w:t>Assets are classified as current where their carrying amount is expected to be realised within 12 months after the reporting date. Liabilities are classified as current when they are due to be settled within 12 months after the reporting date, or the department does not have an unconditional right to defer settlement to beyond 12 months after the reporting date. All other assets and liabilities are classified as non-current.</w:t>
      </w:r>
    </w:p>
    <w:p w14:paraId="66594ADC" w14:textId="77777777" w:rsidR="00730DE4" w:rsidRPr="00730DE4" w:rsidRDefault="00730DE4" w:rsidP="004A5032">
      <w:pPr>
        <w:pStyle w:val="Heading5"/>
      </w:pPr>
      <w:bookmarkStart w:id="1464" w:name="_Toc180487710"/>
      <w:bookmarkStart w:id="1465" w:name="_Toc180490915"/>
      <w:bookmarkStart w:id="1466" w:name="_Toc180491948"/>
      <w:r w:rsidRPr="00730DE4">
        <w:t>Climate risk disclosure</w:t>
      </w:r>
      <w:bookmarkEnd w:id="1464"/>
      <w:bookmarkEnd w:id="1465"/>
      <w:bookmarkEnd w:id="1466"/>
    </w:p>
    <w:p w14:paraId="0A99D016" w14:textId="77777777" w:rsidR="00730DE4" w:rsidRPr="00730DE4" w:rsidRDefault="00730DE4" w:rsidP="003C13D4">
      <w:pPr>
        <w:rPr>
          <w:color w:val="080C0F" w:themeColor="text1"/>
        </w:rPr>
      </w:pPr>
      <w:r w:rsidRPr="00730DE4">
        <w:rPr>
          <w:color w:val="080C0F" w:themeColor="text1"/>
        </w:rPr>
        <w:t>The State of Queensland, as the ultimate parent of the Department of Transport and Main Roads, has published a wide range of information and resources on climate change risks, strategies and actions.</w:t>
      </w:r>
    </w:p>
    <w:p w14:paraId="49D0A0A0" w14:textId="77777777" w:rsidR="00730DE4" w:rsidRPr="00730DE4" w:rsidRDefault="00730DE4" w:rsidP="003C13D4">
      <w:pPr>
        <w:rPr>
          <w:color w:val="080C0F" w:themeColor="text1"/>
        </w:rPr>
      </w:pPr>
      <w:r w:rsidRPr="00730DE4">
        <w:rPr>
          <w:color w:val="080C0F" w:themeColor="text1"/>
        </w:rPr>
        <w:t xml:space="preserve">The </w:t>
      </w:r>
      <w:r w:rsidRPr="00730DE4">
        <w:rPr>
          <w:i/>
          <w:iCs/>
          <w:color w:val="080C0F" w:themeColor="text1"/>
        </w:rPr>
        <w:t>Queensland Sustainability Report</w:t>
      </w:r>
      <w:r w:rsidRPr="00730DE4">
        <w:rPr>
          <w:color w:val="080C0F" w:themeColor="text1"/>
        </w:rPr>
        <w:t xml:space="preserve"> (QSR) outlines how the Queensland Government measures, monitors and manages sustainability risks and opportunities, including governance structures supporting policy oversight and implementation. To demonstrate progress, the QSR also provides time series data on key sustainability policy responses. </w:t>
      </w:r>
    </w:p>
    <w:p w14:paraId="63AF02A6" w14:textId="77777777" w:rsidR="00730DE4" w:rsidRPr="00730DE4" w:rsidRDefault="00730DE4" w:rsidP="003C13D4">
      <w:pPr>
        <w:rPr>
          <w:color w:val="080C0F" w:themeColor="text1"/>
        </w:rPr>
      </w:pPr>
      <w:r w:rsidRPr="00730DE4">
        <w:rPr>
          <w:color w:val="080C0F" w:themeColor="text1"/>
        </w:rPr>
        <w:t xml:space="preserve">The department continues to monitor the emergence of material climate-related risks that may impact the financial statements, including those arising under the Queensland Government’s </w:t>
      </w:r>
      <w:r w:rsidRPr="00730DE4">
        <w:rPr>
          <w:i/>
          <w:iCs/>
          <w:color w:val="080C0F" w:themeColor="text1"/>
        </w:rPr>
        <w:t>Queensland’s 2035 Clean Economy Pathway</w:t>
      </w:r>
      <w:r w:rsidRPr="00730DE4">
        <w:rPr>
          <w:color w:val="080C0F" w:themeColor="text1"/>
        </w:rPr>
        <w:t>, and other Queensland Government climate-related policies or directives.</w:t>
      </w:r>
    </w:p>
    <w:p w14:paraId="4C05830E" w14:textId="77777777" w:rsidR="00730DE4" w:rsidRPr="00730DE4" w:rsidRDefault="00730DE4" w:rsidP="003C13D4">
      <w:pPr>
        <w:rPr>
          <w:color w:val="080C0F" w:themeColor="text1"/>
        </w:rPr>
      </w:pPr>
      <w:r w:rsidRPr="00730DE4">
        <w:rPr>
          <w:color w:val="080C0F" w:themeColor="text1"/>
        </w:rPr>
        <w:t>The department considers specific financial impacts relating to climate related risks by identifying and monitoring material accounting judgements and estimates used in preparing the financial report. This includes the potential for changes in asset useful lives, changes in the fair value of assets, provisions or contingent liabilities and changes in expenses and revenue.</w:t>
      </w:r>
    </w:p>
    <w:p w14:paraId="0A818762" w14:textId="77777777" w:rsidR="00730DE4" w:rsidRPr="00730DE4" w:rsidRDefault="00730DE4" w:rsidP="003C13D4">
      <w:pPr>
        <w:rPr>
          <w:color w:val="080C0F" w:themeColor="text1"/>
        </w:rPr>
      </w:pPr>
      <w:r w:rsidRPr="00730DE4">
        <w:rPr>
          <w:color w:val="080C0F" w:themeColor="text1"/>
        </w:rPr>
        <w:t>The department has not identified any material climate related risks relevant to the financial statements at the reporting date, and no climate risk related adjustments have been recognised against the carrying value of recorded assets or other balances in the financial statements.</w:t>
      </w:r>
    </w:p>
    <w:p w14:paraId="26335F2B" w14:textId="77777777" w:rsidR="00730DE4" w:rsidRPr="00730DE4" w:rsidRDefault="00730DE4" w:rsidP="004A5032">
      <w:pPr>
        <w:pStyle w:val="Heading5"/>
      </w:pPr>
      <w:bookmarkStart w:id="1467" w:name="_Toc180487711"/>
      <w:bookmarkStart w:id="1468" w:name="_Toc180490916"/>
      <w:bookmarkStart w:id="1469" w:name="_Toc180491949"/>
      <w:r w:rsidRPr="00730DE4">
        <w:t>New and revised accounting standards</w:t>
      </w:r>
      <w:bookmarkEnd w:id="1467"/>
      <w:bookmarkEnd w:id="1468"/>
      <w:bookmarkEnd w:id="1469"/>
    </w:p>
    <w:p w14:paraId="1BD6C0AD" w14:textId="77777777" w:rsidR="00730DE4" w:rsidRPr="00730DE4" w:rsidRDefault="00730DE4" w:rsidP="003C13D4">
      <w:pPr>
        <w:rPr>
          <w:color w:val="080C0F" w:themeColor="text1"/>
        </w:rPr>
      </w:pPr>
      <w:r w:rsidRPr="00730DE4">
        <w:rPr>
          <w:color w:val="080C0F" w:themeColor="text1"/>
        </w:rPr>
        <w:t>No new Australian Accounting Standards or interpretations that apply to the department for the first time in 2023–24 had any material impact on the financial statements, and no new Australian Accounting Standards have been early adopted in 2023–24.</w:t>
      </w:r>
    </w:p>
    <w:p w14:paraId="18AA6E56" w14:textId="77777777" w:rsidR="00730DE4" w:rsidRPr="00730DE4" w:rsidRDefault="00730DE4" w:rsidP="003C13D4">
      <w:pPr>
        <w:rPr>
          <w:color w:val="080C0F" w:themeColor="text1"/>
        </w:rPr>
      </w:pPr>
      <w:r w:rsidRPr="00730DE4">
        <w:rPr>
          <w:color w:val="080C0F" w:themeColor="text1"/>
        </w:rPr>
        <w:t xml:space="preserve">At the date of authorisation of the financial report, the expected impact of the new Australian Accounting Standard AASB 2022-10 </w:t>
      </w:r>
      <w:r w:rsidRPr="00730DE4">
        <w:rPr>
          <w:i/>
          <w:iCs/>
          <w:color w:val="080C0F" w:themeColor="text1"/>
        </w:rPr>
        <w:t>Fair Value Measurement of Non-Financial Assets of Not-for-Profit Public Sector Entities</w:t>
      </w:r>
      <w:r w:rsidRPr="00730DE4">
        <w:rPr>
          <w:color w:val="080C0F" w:themeColor="text1"/>
        </w:rPr>
        <w:t>, which is effective from 2024–25, is still being determined. Initial assessment indicates there is unlikely to be a material impact on the department.</w:t>
      </w:r>
    </w:p>
    <w:p w14:paraId="5D57A9A4" w14:textId="77777777" w:rsidR="00730DE4" w:rsidRPr="00730DE4" w:rsidRDefault="00730DE4" w:rsidP="003C13D4">
      <w:pPr>
        <w:rPr>
          <w:color w:val="080C0F" w:themeColor="text1"/>
        </w:rPr>
      </w:pPr>
      <w:r w:rsidRPr="00730DE4">
        <w:rPr>
          <w:color w:val="080C0F" w:themeColor="text1"/>
        </w:rPr>
        <w:t>All other Australian Accounting Standards and interpretations with future effective dates are either not applicable to the department’s activities or have no material impact on the department.</w:t>
      </w:r>
    </w:p>
    <w:p w14:paraId="0713CE99" w14:textId="77777777" w:rsidR="00730DE4" w:rsidRPr="00730DE4" w:rsidRDefault="00730DE4" w:rsidP="00477185">
      <w:pPr>
        <w:pStyle w:val="Heading3"/>
      </w:pPr>
      <w:r w:rsidRPr="00730DE4">
        <w:br w:type="page"/>
      </w:r>
    </w:p>
    <w:p w14:paraId="1DE98B24" w14:textId="77777777" w:rsidR="00730DE4" w:rsidRPr="00730DE4" w:rsidRDefault="00730DE4" w:rsidP="00477185">
      <w:pPr>
        <w:pStyle w:val="Heading3"/>
      </w:pPr>
      <w:bookmarkStart w:id="1470" w:name="_Toc179365603"/>
      <w:bookmarkStart w:id="1471" w:name="_Toc180490917"/>
      <w:bookmarkStart w:id="1472" w:name="_Toc180491950"/>
      <w:r w:rsidRPr="00730DE4">
        <w:t>Notes about our Financial Performance</w:t>
      </w:r>
      <w:bookmarkEnd w:id="1470"/>
      <w:bookmarkEnd w:id="1471"/>
      <w:bookmarkEnd w:id="1472"/>
    </w:p>
    <w:p w14:paraId="238BA977" w14:textId="77777777" w:rsidR="00730DE4" w:rsidRPr="00730DE4" w:rsidRDefault="00730DE4" w:rsidP="00D16D4F">
      <w:pPr>
        <w:pStyle w:val="Heading4"/>
      </w:pPr>
      <w:bookmarkStart w:id="1473" w:name="_Toc179365604"/>
      <w:bookmarkStart w:id="1474" w:name="_Toc180490918"/>
      <w:bookmarkStart w:id="1475" w:name="_Toc180491951"/>
      <w:r w:rsidRPr="00730DE4">
        <w:t>Income</w:t>
      </w:r>
      <w:bookmarkEnd w:id="1473"/>
      <w:bookmarkEnd w:id="1474"/>
      <w:bookmarkEnd w:id="1475"/>
    </w:p>
    <w:p w14:paraId="3FF0F559" w14:textId="77777777" w:rsidR="00730DE4" w:rsidRPr="00730DE4" w:rsidRDefault="00730DE4" w:rsidP="00437D80">
      <w:pPr>
        <w:pStyle w:val="Heading5"/>
      </w:pPr>
      <w:bookmarkStart w:id="1476" w:name="_Toc180490919"/>
      <w:bookmarkStart w:id="1477" w:name="_Toc180491952"/>
      <w:r w:rsidRPr="00730DE4">
        <w:t>2 Appropriations</w:t>
      </w:r>
      <w:bookmarkEnd w:id="1476"/>
      <w:bookmarkEnd w:id="1477"/>
    </w:p>
    <w:tbl>
      <w:tblPr>
        <w:tblW w:w="5000" w:type="pct"/>
        <w:tblLayout w:type="fixed"/>
        <w:tblCellMar>
          <w:top w:w="23" w:type="dxa"/>
          <w:left w:w="23" w:type="dxa"/>
          <w:bottom w:w="23" w:type="dxa"/>
          <w:right w:w="23" w:type="dxa"/>
        </w:tblCellMar>
        <w:tblLook w:val="04A0" w:firstRow="1" w:lastRow="0" w:firstColumn="1" w:lastColumn="0" w:noHBand="0" w:noVBand="1"/>
      </w:tblPr>
      <w:tblGrid>
        <w:gridCol w:w="5954"/>
        <w:gridCol w:w="1558"/>
        <w:gridCol w:w="1558"/>
      </w:tblGrid>
      <w:tr w:rsidR="00730DE4" w:rsidRPr="00730DE4" w14:paraId="70E0021A" w14:textId="77777777" w:rsidTr="00253FBD">
        <w:trPr>
          <w:trHeight w:val="198"/>
        </w:trPr>
        <w:tc>
          <w:tcPr>
            <w:tcW w:w="3282" w:type="pct"/>
            <w:tcBorders>
              <w:top w:val="nil"/>
              <w:left w:val="nil"/>
              <w:bottom w:val="single" w:sz="4" w:space="0" w:color="auto"/>
              <w:right w:val="nil"/>
            </w:tcBorders>
            <w:shd w:val="clear" w:color="auto" w:fill="auto"/>
            <w:noWrap/>
            <w:vAlign w:val="bottom"/>
          </w:tcPr>
          <w:p w14:paraId="1A013D3D" w14:textId="77777777" w:rsidR="00730DE4" w:rsidRPr="00730DE4" w:rsidRDefault="00730DE4" w:rsidP="0067481E">
            <w:pPr>
              <w:pStyle w:val="NoSpacing"/>
              <w:rPr>
                <w:b/>
                <w:bCs/>
              </w:rPr>
            </w:pPr>
          </w:p>
        </w:tc>
        <w:tc>
          <w:tcPr>
            <w:tcW w:w="859" w:type="pct"/>
            <w:tcBorders>
              <w:top w:val="nil"/>
              <w:left w:val="nil"/>
              <w:bottom w:val="single" w:sz="4" w:space="0" w:color="auto"/>
              <w:right w:val="nil"/>
            </w:tcBorders>
            <w:shd w:val="clear" w:color="auto" w:fill="auto"/>
            <w:noWrap/>
            <w:vAlign w:val="bottom"/>
            <w:hideMark/>
          </w:tcPr>
          <w:p w14:paraId="3C9701D6" w14:textId="77777777" w:rsidR="00730DE4" w:rsidRPr="00730DE4" w:rsidRDefault="00730DE4" w:rsidP="0067481E">
            <w:pPr>
              <w:pStyle w:val="NoSpacing"/>
              <w:jc w:val="right"/>
              <w:rPr>
                <w:b/>
                <w:bCs/>
              </w:rPr>
            </w:pPr>
            <w:bookmarkStart w:id="1478" w:name="RANGE!B4"/>
            <w:r w:rsidRPr="00730DE4">
              <w:rPr>
                <w:rStyle w:val="Strong"/>
              </w:rPr>
              <w:t>2024</w:t>
            </w:r>
            <w:bookmarkEnd w:id="1478"/>
            <w:r w:rsidRPr="00730DE4">
              <w:rPr>
                <w:rStyle w:val="Strong"/>
              </w:rPr>
              <w:t xml:space="preserve"> </w:t>
            </w:r>
            <w:r w:rsidRPr="00730DE4">
              <w:rPr>
                <w:rStyle w:val="Strong"/>
              </w:rPr>
              <w:br/>
              <w:t>$'000</w:t>
            </w:r>
          </w:p>
        </w:tc>
        <w:tc>
          <w:tcPr>
            <w:tcW w:w="859" w:type="pct"/>
            <w:tcBorders>
              <w:top w:val="nil"/>
              <w:left w:val="nil"/>
              <w:bottom w:val="single" w:sz="4" w:space="0" w:color="auto"/>
              <w:right w:val="nil"/>
            </w:tcBorders>
            <w:shd w:val="clear" w:color="auto" w:fill="auto"/>
            <w:noWrap/>
            <w:vAlign w:val="bottom"/>
            <w:hideMark/>
          </w:tcPr>
          <w:p w14:paraId="082E3CD2" w14:textId="77777777" w:rsidR="00730DE4" w:rsidRPr="00730DE4" w:rsidRDefault="00730DE4" w:rsidP="0067481E">
            <w:pPr>
              <w:pStyle w:val="NoSpacing"/>
              <w:jc w:val="right"/>
              <w:rPr>
                <w:rStyle w:val="Strong"/>
              </w:rPr>
            </w:pPr>
            <w:bookmarkStart w:id="1479" w:name="RANGE!D4"/>
            <w:r w:rsidRPr="00730DE4">
              <w:rPr>
                <w:rStyle w:val="Strong"/>
              </w:rPr>
              <w:t>2023</w:t>
            </w:r>
            <w:bookmarkEnd w:id="1479"/>
            <w:r w:rsidRPr="00730DE4">
              <w:rPr>
                <w:rStyle w:val="Strong"/>
              </w:rPr>
              <w:t xml:space="preserve"> </w:t>
            </w:r>
            <w:r w:rsidRPr="00730DE4">
              <w:rPr>
                <w:rStyle w:val="Strong"/>
              </w:rPr>
              <w:br/>
              <w:t>$'000</w:t>
            </w:r>
          </w:p>
        </w:tc>
      </w:tr>
      <w:tr w:rsidR="00730DE4" w:rsidRPr="00730DE4" w14:paraId="31118AC9" w14:textId="77777777" w:rsidTr="00EB0585">
        <w:trPr>
          <w:trHeight w:val="680"/>
        </w:trPr>
        <w:tc>
          <w:tcPr>
            <w:tcW w:w="3282"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5CBD9A07" w14:textId="77777777" w:rsidR="00730DE4" w:rsidRPr="00730DE4" w:rsidRDefault="00730DE4" w:rsidP="0067481E">
            <w:pPr>
              <w:pStyle w:val="NoSpacing"/>
              <w:rPr>
                <w:b/>
                <w:bCs/>
              </w:rPr>
            </w:pPr>
            <w:r w:rsidRPr="00730DE4">
              <w:rPr>
                <w:rStyle w:val="Strong"/>
              </w:rPr>
              <w:t>Reconciliation of payments from Consolidated Fund to appropriated revenue recognised in operating result</w:t>
            </w:r>
          </w:p>
        </w:tc>
        <w:tc>
          <w:tcPr>
            <w:tcW w:w="859"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0CADEAC" w14:textId="77777777" w:rsidR="00730DE4" w:rsidRPr="00730DE4" w:rsidRDefault="00730DE4" w:rsidP="0067481E">
            <w:pPr>
              <w:pStyle w:val="NoSpacing"/>
              <w:jc w:val="right"/>
              <w:rPr>
                <w:rStyle w:val="Strong"/>
              </w:rPr>
            </w:pPr>
          </w:p>
        </w:tc>
        <w:tc>
          <w:tcPr>
            <w:tcW w:w="859"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1CD6E69" w14:textId="77777777" w:rsidR="00730DE4" w:rsidRPr="00730DE4" w:rsidRDefault="00730DE4" w:rsidP="0067481E">
            <w:pPr>
              <w:pStyle w:val="NoSpacing"/>
              <w:jc w:val="right"/>
            </w:pPr>
          </w:p>
        </w:tc>
      </w:tr>
      <w:tr w:rsidR="00730DE4" w:rsidRPr="00730DE4" w14:paraId="726C8587" w14:textId="77777777" w:rsidTr="00EB0585">
        <w:trPr>
          <w:trHeight w:val="198"/>
        </w:trPr>
        <w:tc>
          <w:tcPr>
            <w:tcW w:w="328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0906164B" w14:textId="77777777" w:rsidR="00730DE4" w:rsidRPr="00730DE4" w:rsidRDefault="00730DE4" w:rsidP="0067481E">
            <w:pPr>
              <w:pStyle w:val="NoSpacing"/>
            </w:pPr>
            <w:r w:rsidRPr="00730DE4">
              <w:t>Original budgeted appropriation revenue</w:t>
            </w:r>
          </w:p>
        </w:tc>
        <w:tc>
          <w:tcPr>
            <w:tcW w:w="85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991E37B" w14:textId="77777777" w:rsidR="00730DE4" w:rsidRPr="00730DE4" w:rsidRDefault="00730DE4" w:rsidP="0067481E">
            <w:pPr>
              <w:pStyle w:val="NoSpacing"/>
              <w:jc w:val="right"/>
            </w:pPr>
            <w:r w:rsidRPr="00730DE4">
              <w:t xml:space="preserve">6,945,131 </w:t>
            </w:r>
          </w:p>
        </w:tc>
        <w:tc>
          <w:tcPr>
            <w:tcW w:w="859"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CD0D446" w14:textId="77777777" w:rsidR="00730DE4" w:rsidRPr="00730DE4" w:rsidRDefault="00730DE4" w:rsidP="0067481E">
            <w:pPr>
              <w:pStyle w:val="NoSpacing"/>
              <w:jc w:val="right"/>
            </w:pPr>
            <w:r w:rsidRPr="00730DE4">
              <w:t xml:space="preserve">6,232,769 </w:t>
            </w:r>
          </w:p>
        </w:tc>
      </w:tr>
      <w:tr w:rsidR="00730DE4" w:rsidRPr="00730DE4" w14:paraId="3290CB3D" w14:textId="77777777" w:rsidTr="00EB0585">
        <w:trPr>
          <w:trHeight w:val="198"/>
        </w:trPr>
        <w:tc>
          <w:tcPr>
            <w:tcW w:w="328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484B6EE0" w14:textId="77777777" w:rsidR="00730DE4" w:rsidRPr="00730DE4" w:rsidRDefault="00730DE4" w:rsidP="0067481E">
            <w:pPr>
              <w:pStyle w:val="NoSpacing"/>
            </w:pPr>
            <w:r w:rsidRPr="00730DE4">
              <w:t>Transfers to other departments</w:t>
            </w:r>
          </w:p>
        </w:tc>
        <w:tc>
          <w:tcPr>
            <w:tcW w:w="85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0E95155" w14:textId="77777777" w:rsidR="00730DE4" w:rsidRPr="00730DE4" w:rsidRDefault="00730DE4" w:rsidP="0067481E">
            <w:pPr>
              <w:pStyle w:val="NoSpacing"/>
              <w:jc w:val="right"/>
            </w:pPr>
            <w:r w:rsidRPr="00730DE4">
              <w:t xml:space="preserve">- </w:t>
            </w:r>
          </w:p>
        </w:tc>
        <w:tc>
          <w:tcPr>
            <w:tcW w:w="859"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1E1E811" w14:textId="77777777" w:rsidR="00730DE4" w:rsidRPr="00730DE4" w:rsidRDefault="00730DE4" w:rsidP="0067481E">
            <w:pPr>
              <w:pStyle w:val="NoSpacing"/>
              <w:jc w:val="right"/>
            </w:pPr>
            <w:r w:rsidRPr="00730DE4">
              <w:t>(4,267)</w:t>
            </w:r>
          </w:p>
        </w:tc>
      </w:tr>
      <w:tr w:rsidR="00730DE4" w:rsidRPr="00730DE4" w14:paraId="5A00F5BE" w14:textId="77777777" w:rsidTr="00EB0585">
        <w:trPr>
          <w:trHeight w:val="198"/>
        </w:trPr>
        <w:tc>
          <w:tcPr>
            <w:tcW w:w="328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7D1AEAF" w14:textId="77777777" w:rsidR="00730DE4" w:rsidRPr="00730DE4" w:rsidRDefault="00730DE4" w:rsidP="0067481E">
            <w:pPr>
              <w:pStyle w:val="NoSpacing"/>
            </w:pPr>
            <w:r w:rsidRPr="00730DE4">
              <w:t>Transfers from other headings</w:t>
            </w:r>
          </w:p>
        </w:tc>
        <w:tc>
          <w:tcPr>
            <w:tcW w:w="85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2277360" w14:textId="77777777" w:rsidR="00730DE4" w:rsidRPr="00730DE4" w:rsidRDefault="00730DE4" w:rsidP="0067481E">
            <w:pPr>
              <w:pStyle w:val="NoSpacing"/>
              <w:jc w:val="right"/>
            </w:pPr>
            <w:r w:rsidRPr="00730DE4">
              <w:t xml:space="preserve">- </w:t>
            </w:r>
          </w:p>
        </w:tc>
        <w:tc>
          <w:tcPr>
            <w:tcW w:w="859"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E81F0D4" w14:textId="77777777" w:rsidR="00730DE4" w:rsidRPr="00730DE4" w:rsidRDefault="00730DE4" w:rsidP="0067481E">
            <w:pPr>
              <w:pStyle w:val="NoSpacing"/>
              <w:jc w:val="right"/>
            </w:pPr>
            <w:r w:rsidRPr="00730DE4">
              <w:t xml:space="preserve">133,113 </w:t>
            </w:r>
          </w:p>
        </w:tc>
      </w:tr>
      <w:tr w:rsidR="00730DE4" w:rsidRPr="00730DE4" w14:paraId="35CA4D26" w14:textId="77777777" w:rsidTr="00EB0585">
        <w:trPr>
          <w:trHeight w:val="198"/>
        </w:trPr>
        <w:tc>
          <w:tcPr>
            <w:tcW w:w="3282"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71E05642" w14:textId="77777777" w:rsidR="00730DE4" w:rsidRPr="00730DE4" w:rsidRDefault="00730DE4" w:rsidP="0067481E">
            <w:pPr>
              <w:pStyle w:val="NoSpacing"/>
            </w:pPr>
            <w:r w:rsidRPr="00730DE4">
              <w:t>Unforeseen expenditure *</w:t>
            </w:r>
          </w:p>
        </w:tc>
        <w:tc>
          <w:tcPr>
            <w:tcW w:w="859"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465A12D2" w14:textId="77777777" w:rsidR="00730DE4" w:rsidRPr="00730DE4" w:rsidRDefault="00730DE4" w:rsidP="0067481E">
            <w:pPr>
              <w:pStyle w:val="NoSpacing"/>
              <w:jc w:val="right"/>
            </w:pPr>
            <w:r w:rsidRPr="00730DE4">
              <w:t xml:space="preserve">77,122 </w:t>
            </w:r>
          </w:p>
        </w:tc>
        <w:tc>
          <w:tcPr>
            <w:tcW w:w="859"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0890CB0C" w14:textId="77777777" w:rsidR="00730DE4" w:rsidRPr="00730DE4" w:rsidRDefault="00730DE4" w:rsidP="0067481E">
            <w:pPr>
              <w:pStyle w:val="NoSpacing"/>
              <w:jc w:val="right"/>
            </w:pPr>
            <w:r w:rsidRPr="00730DE4">
              <w:t xml:space="preserve">- </w:t>
            </w:r>
          </w:p>
        </w:tc>
      </w:tr>
      <w:tr w:rsidR="00730DE4" w:rsidRPr="00730DE4" w14:paraId="317A64E3" w14:textId="77777777" w:rsidTr="00EB0585">
        <w:trPr>
          <w:trHeight w:val="198"/>
        </w:trPr>
        <w:tc>
          <w:tcPr>
            <w:tcW w:w="3282"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CFE70B7" w14:textId="77777777" w:rsidR="00730DE4" w:rsidRPr="00730DE4" w:rsidRDefault="00730DE4" w:rsidP="0067481E">
            <w:pPr>
              <w:pStyle w:val="NoSpacing"/>
            </w:pPr>
            <w:r w:rsidRPr="00730DE4">
              <w:t xml:space="preserve">Total appropriation received </w:t>
            </w:r>
          </w:p>
        </w:tc>
        <w:tc>
          <w:tcPr>
            <w:tcW w:w="859"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836E204" w14:textId="77777777" w:rsidR="00730DE4" w:rsidRPr="00730DE4" w:rsidRDefault="00730DE4" w:rsidP="0067481E">
            <w:pPr>
              <w:pStyle w:val="NoSpacing"/>
              <w:jc w:val="right"/>
            </w:pPr>
            <w:r w:rsidRPr="00730DE4">
              <w:t xml:space="preserve">7,022,253 </w:t>
            </w:r>
          </w:p>
        </w:tc>
        <w:tc>
          <w:tcPr>
            <w:tcW w:w="859"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C897C82" w14:textId="77777777" w:rsidR="00730DE4" w:rsidRPr="00730DE4" w:rsidRDefault="00730DE4" w:rsidP="0067481E">
            <w:pPr>
              <w:pStyle w:val="NoSpacing"/>
              <w:jc w:val="right"/>
            </w:pPr>
            <w:r w:rsidRPr="00730DE4">
              <w:t xml:space="preserve">6,361,615 </w:t>
            </w:r>
          </w:p>
        </w:tc>
      </w:tr>
      <w:tr w:rsidR="00730DE4" w:rsidRPr="00730DE4" w14:paraId="56F64C65" w14:textId="77777777" w:rsidTr="00EB0585">
        <w:trPr>
          <w:trHeight w:val="198"/>
        </w:trPr>
        <w:tc>
          <w:tcPr>
            <w:tcW w:w="328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3F7D3441" w14:textId="77777777" w:rsidR="00730DE4" w:rsidRPr="00730DE4" w:rsidRDefault="00730DE4" w:rsidP="0067481E">
            <w:pPr>
              <w:pStyle w:val="NoSpacing"/>
            </w:pPr>
            <w:r w:rsidRPr="00730DE4">
              <w:t>Less: Opening balance of appropriation revenue receivable</w:t>
            </w:r>
          </w:p>
        </w:tc>
        <w:tc>
          <w:tcPr>
            <w:tcW w:w="85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14A68A5" w14:textId="77777777" w:rsidR="00730DE4" w:rsidRPr="00730DE4" w:rsidRDefault="00730DE4" w:rsidP="0067481E">
            <w:pPr>
              <w:pStyle w:val="NoSpacing"/>
              <w:jc w:val="right"/>
            </w:pPr>
            <w:r w:rsidRPr="00730DE4">
              <w:t>(7,483)</w:t>
            </w:r>
          </w:p>
        </w:tc>
        <w:tc>
          <w:tcPr>
            <w:tcW w:w="859"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E9D6346" w14:textId="77777777" w:rsidR="00730DE4" w:rsidRPr="00730DE4" w:rsidRDefault="00730DE4" w:rsidP="0067481E">
            <w:pPr>
              <w:pStyle w:val="NoSpacing"/>
              <w:jc w:val="right"/>
            </w:pPr>
            <w:r w:rsidRPr="00730DE4">
              <w:t>(1,993)</w:t>
            </w:r>
          </w:p>
        </w:tc>
      </w:tr>
      <w:tr w:rsidR="00730DE4" w:rsidRPr="00730DE4" w14:paraId="7652EFE0" w14:textId="77777777" w:rsidTr="00EB0585">
        <w:trPr>
          <w:trHeight w:val="198"/>
        </w:trPr>
        <w:tc>
          <w:tcPr>
            <w:tcW w:w="328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41DDA1F9" w14:textId="77777777" w:rsidR="00730DE4" w:rsidRPr="00730DE4" w:rsidRDefault="00730DE4" w:rsidP="0067481E">
            <w:pPr>
              <w:pStyle w:val="NoSpacing"/>
            </w:pPr>
            <w:r w:rsidRPr="00730DE4">
              <w:t>Plus: Closing balance of appropriation revenue receivable</w:t>
            </w:r>
          </w:p>
        </w:tc>
        <w:tc>
          <w:tcPr>
            <w:tcW w:w="85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E9B9AC8" w14:textId="77777777" w:rsidR="00730DE4" w:rsidRPr="00730DE4" w:rsidRDefault="00730DE4" w:rsidP="0067481E">
            <w:pPr>
              <w:pStyle w:val="NoSpacing"/>
              <w:jc w:val="right"/>
            </w:pPr>
            <w:r w:rsidRPr="00730DE4">
              <w:t xml:space="preserve">- </w:t>
            </w:r>
          </w:p>
        </w:tc>
        <w:tc>
          <w:tcPr>
            <w:tcW w:w="859"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28DD5E0" w14:textId="77777777" w:rsidR="00730DE4" w:rsidRPr="00730DE4" w:rsidRDefault="00730DE4" w:rsidP="0067481E">
            <w:pPr>
              <w:pStyle w:val="NoSpacing"/>
              <w:jc w:val="right"/>
            </w:pPr>
            <w:r w:rsidRPr="00730DE4">
              <w:t xml:space="preserve">7,483 </w:t>
            </w:r>
          </w:p>
        </w:tc>
      </w:tr>
      <w:tr w:rsidR="00730DE4" w:rsidRPr="00730DE4" w14:paraId="04147007" w14:textId="77777777" w:rsidTr="00EB0585">
        <w:trPr>
          <w:trHeight w:val="198"/>
        </w:trPr>
        <w:tc>
          <w:tcPr>
            <w:tcW w:w="328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66C96E17" w14:textId="77777777" w:rsidR="00730DE4" w:rsidRPr="00730DE4" w:rsidRDefault="00730DE4" w:rsidP="0067481E">
            <w:pPr>
              <w:pStyle w:val="NoSpacing"/>
            </w:pPr>
            <w:r w:rsidRPr="00730DE4">
              <w:t>Plus: Transfer of deferred appropriation payable due to machinery-of-government change</w:t>
            </w:r>
          </w:p>
        </w:tc>
        <w:tc>
          <w:tcPr>
            <w:tcW w:w="85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8916329" w14:textId="77777777" w:rsidR="00730DE4" w:rsidRPr="00730DE4" w:rsidRDefault="00730DE4" w:rsidP="0067481E">
            <w:pPr>
              <w:pStyle w:val="NoSpacing"/>
              <w:jc w:val="right"/>
            </w:pPr>
            <w:r w:rsidRPr="00730DE4">
              <w:t xml:space="preserve">- </w:t>
            </w:r>
          </w:p>
        </w:tc>
        <w:tc>
          <w:tcPr>
            <w:tcW w:w="859"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C9610EE" w14:textId="77777777" w:rsidR="00730DE4" w:rsidRPr="00730DE4" w:rsidRDefault="00730DE4" w:rsidP="0067481E">
            <w:pPr>
              <w:pStyle w:val="NoSpacing"/>
              <w:jc w:val="right"/>
            </w:pPr>
            <w:r w:rsidRPr="00730DE4">
              <w:t xml:space="preserve">6,229 </w:t>
            </w:r>
          </w:p>
        </w:tc>
      </w:tr>
      <w:tr w:rsidR="00730DE4" w:rsidRPr="00730DE4" w14:paraId="1F6F6318" w14:textId="77777777" w:rsidTr="00EB0585">
        <w:trPr>
          <w:trHeight w:val="198"/>
        </w:trPr>
        <w:tc>
          <w:tcPr>
            <w:tcW w:w="328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1F1A6FCC" w14:textId="77777777" w:rsidR="00730DE4" w:rsidRPr="00730DE4" w:rsidRDefault="00730DE4" w:rsidP="0067481E">
            <w:pPr>
              <w:pStyle w:val="NoSpacing"/>
            </w:pPr>
            <w:r w:rsidRPr="00730DE4">
              <w:t>Plus: Opening balance of deferred appropriation payable to Consolidated Fund</w:t>
            </w:r>
          </w:p>
        </w:tc>
        <w:tc>
          <w:tcPr>
            <w:tcW w:w="85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43FA1E0" w14:textId="77777777" w:rsidR="00730DE4" w:rsidRPr="00730DE4" w:rsidRDefault="00730DE4" w:rsidP="0067481E">
            <w:pPr>
              <w:pStyle w:val="NoSpacing"/>
              <w:jc w:val="right"/>
            </w:pPr>
            <w:r w:rsidRPr="00730DE4">
              <w:t xml:space="preserve">1,720 </w:t>
            </w:r>
          </w:p>
        </w:tc>
        <w:tc>
          <w:tcPr>
            <w:tcW w:w="859"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831F421" w14:textId="77777777" w:rsidR="00730DE4" w:rsidRPr="00730DE4" w:rsidRDefault="00730DE4" w:rsidP="0067481E">
            <w:pPr>
              <w:pStyle w:val="NoSpacing"/>
              <w:jc w:val="right"/>
            </w:pPr>
            <w:r w:rsidRPr="00730DE4">
              <w:t xml:space="preserve">- </w:t>
            </w:r>
          </w:p>
        </w:tc>
      </w:tr>
      <w:tr w:rsidR="00730DE4" w:rsidRPr="00730DE4" w14:paraId="7DFDE20B" w14:textId="77777777" w:rsidTr="00EB0585">
        <w:trPr>
          <w:trHeight w:val="198"/>
        </w:trPr>
        <w:tc>
          <w:tcPr>
            <w:tcW w:w="3282"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0F393FAD" w14:textId="77777777" w:rsidR="00730DE4" w:rsidRPr="00730DE4" w:rsidRDefault="00730DE4" w:rsidP="0067481E">
            <w:pPr>
              <w:pStyle w:val="NoSpacing"/>
            </w:pPr>
            <w:r w:rsidRPr="00730DE4">
              <w:t>Less: Closing balance of deferred appropriation payable to Consolidated Fund</w:t>
            </w:r>
          </w:p>
        </w:tc>
        <w:tc>
          <w:tcPr>
            <w:tcW w:w="859"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224C8CEB" w14:textId="77777777" w:rsidR="00730DE4" w:rsidRPr="00730DE4" w:rsidRDefault="00730DE4" w:rsidP="0067481E">
            <w:pPr>
              <w:pStyle w:val="NoSpacing"/>
              <w:jc w:val="right"/>
            </w:pPr>
            <w:r w:rsidRPr="00730DE4">
              <w:t>(59,439)</w:t>
            </w:r>
          </w:p>
        </w:tc>
        <w:tc>
          <w:tcPr>
            <w:tcW w:w="859"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6DC6C845" w14:textId="77777777" w:rsidR="00730DE4" w:rsidRPr="00730DE4" w:rsidRDefault="00730DE4" w:rsidP="0067481E">
            <w:pPr>
              <w:pStyle w:val="NoSpacing"/>
              <w:jc w:val="right"/>
            </w:pPr>
            <w:r w:rsidRPr="00730DE4">
              <w:t>(1,720)</w:t>
            </w:r>
          </w:p>
        </w:tc>
      </w:tr>
      <w:tr w:rsidR="00730DE4" w:rsidRPr="00730DE4" w14:paraId="0A111938" w14:textId="77777777" w:rsidTr="00EB0585">
        <w:trPr>
          <w:trHeight w:val="198"/>
        </w:trPr>
        <w:tc>
          <w:tcPr>
            <w:tcW w:w="3282" w:type="pct"/>
            <w:tcBorders>
              <w:top w:val="single" w:sz="4" w:space="0" w:color="auto"/>
              <w:left w:val="nil"/>
              <w:bottom w:val="single" w:sz="4" w:space="0" w:color="auto"/>
              <w:right w:val="dotted" w:sz="4" w:space="0" w:color="BFBFBF" w:themeColor="background1" w:themeShade="BF"/>
            </w:tcBorders>
            <w:shd w:val="clear" w:color="auto" w:fill="auto"/>
            <w:noWrap/>
            <w:vAlign w:val="bottom"/>
            <w:hideMark/>
          </w:tcPr>
          <w:p w14:paraId="0FD5BE41" w14:textId="77777777" w:rsidR="00730DE4" w:rsidRPr="00730DE4" w:rsidRDefault="00730DE4" w:rsidP="0067481E">
            <w:pPr>
              <w:pStyle w:val="NoSpacing"/>
            </w:pPr>
            <w:r w:rsidRPr="00730DE4">
              <w:t>Net appropriation revenue</w:t>
            </w:r>
          </w:p>
        </w:tc>
        <w:tc>
          <w:tcPr>
            <w:tcW w:w="859"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15F079A4" w14:textId="77777777" w:rsidR="00730DE4" w:rsidRPr="00730DE4" w:rsidRDefault="00730DE4" w:rsidP="0067481E">
            <w:pPr>
              <w:pStyle w:val="NoSpacing"/>
              <w:jc w:val="right"/>
            </w:pPr>
            <w:r w:rsidRPr="00730DE4">
              <w:t xml:space="preserve">6,957,051 </w:t>
            </w:r>
          </w:p>
        </w:tc>
        <w:tc>
          <w:tcPr>
            <w:tcW w:w="859" w:type="pct"/>
            <w:tcBorders>
              <w:top w:val="single" w:sz="4" w:space="0" w:color="auto"/>
              <w:left w:val="dotted" w:sz="4" w:space="0" w:color="BFBFBF" w:themeColor="background1" w:themeShade="BF"/>
              <w:bottom w:val="single" w:sz="4" w:space="0" w:color="auto"/>
              <w:right w:val="nil"/>
            </w:tcBorders>
            <w:shd w:val="clear" w:color="auto" w:fill="auto"/>
            <w:noWrap/>
            <w:vAlign w:val="bottom"/>
            <w:hideMark/>
          </w:tcPr>
          <w:p w14:paraId="45773AA1" w14:textId="77777777" w:rsidR="00730DE4" w:rsidRPr="00730DE4" w:rsidRDefault="00730DE4" w:rsidP="0067481E">
            <w:pPr>
              <w:pStyle w:val="NoSpacing"/>
              <w:jc w:val="right"/>
            </w:pPr>
            <w:r w:rsidRPr="00730DE4">
              <w:t xml:space="preserve">6,371,614 </w:t>
            </w:r>
          </w:p>
        </w:tc>
      </w:tr>
      <w:tr w:rsidR="00730DE4" w:rsidRPr="00730DE4" w14:paraId="3CC5DEBE" w14:textId="77777777" w:rsidTr="00EB0585">
        <w:tc>
          <w:tcPr>
            <w:tcW w:w="3282"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4D012DF1" w14:textId="77777777" w:rsidR="00730DE4" w:rsidRPr="00730DE4" w:rsidRDefault="00730DE4" w:rsidP="0067481E">
            <w:pPr>
              <w:pStyle w:val="NoSpacing"/>
              <w:rPr>
                <w:b/>
                <w:bCs/>
              </w:rPr>
            </w:pPr>
            <w:r w:rsidRPr="00730DE4">
              <w:rPr>
                <w:rStyle w:val="Strong"/>
              </w:rPr>
              <w:t>Appropriation revenue recognised in Statement of comprehensive income</w:t>
            </w:r>
          </w:p>
        </w:tc>
        <w:tc>
          <w:tcPr>
            <w:tcW w:w="859"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414C6405" w14:textId="77777777" w:rsidR="00730DE4" w:rsidRPr="00730DE4" w:rsidRDefault="00730DE4" w:rsidP="0067481E">
            <w:pPr>
              <w:pStyle w:val="NoSpacing"/>
              <w:jc w:val="right"/>
              <w:rPr>
                <w:b/>
                <w:bCs/>
              </w:rPr>
            </w:pPr>
            <w:r w:rsidRPr="00730DE4">
              <w:rPr>
                <w:rStyle w:val="Strong"/>
              </w:rPr>
              <w:t xml:space="preserve">6,957,051 </w:t>
            </w:r>
          </w:p>
        </w:tc>
        <w:tc>
          <w:tcPr>
            <w:tcW w:w="859" w:type="pct"/>
            <w:tcBorders>
              <w:top w:val="single" w:sz="4" w:space="0" w:color="auto"/>
              <w:left w:val="dotted" w:sz="4" w:space="0" w:color="BFBFBF" w:themeColor="background1" w:themeShade="BF"/>
              <w:bottom w:val="double" w:sz="4" w:space="0" w:color="auto"/>
              <w:right w:val="nil"/>
            </w:tcBorders>
            <w:shd w:val="clear" w:color="auto" w:fill="auto"/>
            <w:noWrap/>
            <w:hideMark/>
          </w:tcPr>
          <w:p w14:paraId="2AA5FC1E" w14:textId="77777777" w:rsidR="00730DE4" w:rsidRPr="00730DE4" w:rsidRDefault="00730DE4" w:rsidP="0067481E">
            <w:pPr>
              <w:pStyle w:val="NoSpacing"/>
              <w:jc w:val="right"/>
              <w:rPr>
                <w:rStyle w:val="Strong"/>
              </w:rPr>
            </w:pPr>
            <w:r w:rsidRPr="00730DE4">
              <w:rPr>
                <w:rStyle w:val="Strong"/>
              </w:rPr>
              <w:t xml:space="preserve">6,371,614 </w:t>
            </w:r>
          </w:p>
        </w:tc>
      </w:tr>
      <w:tr w:rsidR="00730DE4" w:rsidRPr="00730DE4" w14:paraId="78C8CA7A" w14:textId="77777777" w:rsidTr="00EB0585">
        <w:trPr>
          <w:trHeight w:val="680"/>
        </w:trPr>
        <w:tc>
          <w:tcPr>
            <w:tcW w:w="3282" w:type="pct"/>
            <w:tcBorders>
              <w:top w:val="double" w:sz="4" w:space="0" w:color="auto"/>
              <w:left w:val="nil"/>
              <w:bottom w:val="dotted" w:sz="4" w:space="0" w:color="BFBFBF" w:themeColor="background1" w:themeShade="BF"/>
              <w:right w:val="dotted" w:sz="4" w:space="0" w:color="BFBFBF" w:themeColor="background1" w:themeShade="BF"/>
            </w:tcBorders>
            <w:shd w:val="clear" w:color="auto" w:fill="auto"/>
            <w:noWrap/>
            <w:vAlign w:val="bottom"/>
          </w:tcPr>
          <w:p w14:paraId="0DFF02AE" w14:textId="77777777" w:rsidR="00730DE4" w:rsidRPr="00730DE4" w:rsidRDefault="00730DE4" w:rsidP="0067481E">
            <w:pPr>
              <w:pStyle w:val="NoSpacing"/>
              <w:rPr>
                <w:rStyle w:val="Strong"/>
              </w:rPr>
            </w:pPr>
            <w:r w:rsidRPr="00730DE4">
              <w:rPr>
                <w:rStyle w:val="Strong"/>
              </w:rPr>
              <w:t>Reconciliation of payments from Consolidated Fund to equity adjustment recognised in contributed equity</w:t>
            </w:r>
          </w:p>
        </w:tc>
        <w:tc>
          <w:tcPr>
            <w:tcW w:w="859"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0B169705" w14:textId="77777777" w:rsidR="00730DE4" w:rsidRPr="00730DE4" w:rsidRDefault="00730DE4" w:rsidP="0067481E">
            <w:pPr>
              <w:pStyle w:val="NoSpacing"/>
              <w:jc w:val="right"/>
              <w:rPr>
                <w:rStyle w:val="Strong"/>
              </w:rPr>
            </w:pPr>
          </w:p>
        </w:tc>
        <w:tc>
          <w:tcPr>
            <w:tcW w:w="859" w:type="pct"/>
            <w:tcBorders>
              <w:top w:val="double" w:sz="4" w:space="0" w:color="auto"/>
              <w:left w:val="dotted" w:sz="4" w:space="0" w:color="BFBFBF" w:themeColor="background1" w:themeShade="BF"/>
              <w:bottom w:val="dotted" w:sz="4" w:space="0" w:color="BFBFBF" w:themeColor="background1" w:themeShade="BF"/>
              <w:right w:val="nil"/>
            </w:tcBorders>
            <w:shd w:val="clear" w:color="auto" w:fill="auto"/>
            <w:noWrap/>
            <w:vAlign w:val="bottom"/>
          </w:tcPr>
          <w:p w14:paraId="7CAC4B11" w14:textId="77777777" w:rsidR="00730DE4" w:rsidRPr="00730DE4" w:rsidRDefault="00730DE4" w:rsidP="0067481E">
            <w:pPr>
              <w:pStyle w:val="NoSpacing"/>
              <w:jc w:val="right"/>
              <w:rPr>
                <w:rStyle w:val="Strong"/>
              </w:rPr>
            </w:pPr>
          </w:p>
        </w:tc>
      </w:tr>
      <w:tr w:rsidR="00730DE4" w:rsidRPr="00730DE4" w14:paraId="5CBF018E" w14:textId="77777777" w:rsidTr="00EB0585">
        <w:trPr>
          <w:trHeight w:val="198"/>
        </w:trPr>
        <w:tc>
          <w:tcPr>
            <w:tcW w:w="328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tcPr>
          <w:p w14:paraId="4A0C9B89" w14:textId="77777777" w:rsidR="00730DE4" w:rsidRPr="00730DE4" w:rsidRDefault="00730DE4" w:rsidP="0067481E">
            <w:pPr>
              <w:pStyle w:val="NoSpacing"/>
              <w:rPr>
                <w:rStyle w:val="Strong"/>
              </w:rPr>
            </w:pPr>
            <w:r w:rsidRPr="00730DE4">
              <w:rPr>
                <w:color w:val="080C0F" w:themeColor="text1"/>
              </w:rPr>
              <w:t>Original budgeted equity adjustment appropriation</w:t>
            </w:r>
          </w:p>
        </w:tc>
        <w:tc>
          <w:tcPr>
            <w:tcW w:w="85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60B7C24A" w14:textId="77777777" w:rsidR="00730DE4" w:rsidRPr="00730DE4" w:rsidRDefault="00730DE4" w:rsidP="0067481E">
            <w:pPr>
              <w:pStyle w:val="NoSpacing"/>
              <w:jc w:val="right"/>
              <w:rPr>
                <w:rStyle w:val="Strong"/>
              </w:rPr>
            </w:pPr>
            <w:r w:rsidRPr="00730DE4">
              <w:rPr>
                <w:color w:val="080C0F" w:themeColor="text1"/>
              </w:rPr>
              <w:t xml:space="preserve">2,472,236 </w:t>
            </w:r>
          </w:p>
        </w:tc>
        <w:tc>
          <w:tcPr>
            <w:tcW w:w="859"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tcPr>
          <w:p w14:paraId="04A583D4" w14:textId="77777777" w:rsidR="00730DE4" w:rsidRPr="00730DE4" w:rsidRDefault="00730DE4" w:rsidP="0067481E">
            <w:pPr>
              <w:pStyle w:val="NoSpacing"/>
              <w:jc w:val="right"/>
              <w:rPr>
                <w:rStyle w:val="Strong"/>
              </w:rPr>
            </w:pPr>
            <w:r w:rsidRPr="00730DE4">
              <w:rPr>
                <w:color w:val="080C0F" w:themeColor="text1"/>
              </w:rPr>
              <w:t xml:space="preserve">3,081,243 </w:t>
            </w:r>
          </w:p>
        </w:tc>
      </w:tr>
      <w:tr w:rsidR="00730DE4" w:rsidRPr="00730DE4" w14:paraId="656F2BEE" w14:textId="77777777" w:rsidTr="00EB0585">
        <w:trPr>
          <w:trHeight w:val="198"/>
        </w:trPr>
        <w:tc>
          <w:tcPr>
            <w:tcW w:w="328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tcPr>
          <w:p w14:paraId="26AB7E80" w14:textId="77777777" w:rsidR="00730DE4" w:rsidRPr="00730DE4" w:rsidRDefault="00730DE4" w:rsidP="0067481E">
            <w:pPr>
              <w:pStyle w:val="NoSpacing"/>
              <w:rPr>
                <w:rStyle w:val="Strong"/>
              </w:rPr>
            </w:pPr>
            <w:r w:rsidRPr="00730DE4">
              <w:rPr>
                <w:color w:val="080C0F" w:themeColor="text1"/>
              </w:rPr>
              <w:t>Transfers from other headings</w:t>
            </w:r>
          </w:p>
        </w:tc>
        <w:tc>
          <w:tcPr>
            <w:tcW w:w="85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1C20CD25" w14:textId="77777777" w:rsidR="00730DE4" w:rsidRPr="00730DE4" w:rsidRDefault="00730DE4" w:rsidP="0067481E">
            <w:pPr>
              <w:pStyle w:val="NoSpacing"/>
              <w:jc w:val="right"/>
              <w:rPr>
                <w:rStyle w:val="Strong"/>
              </w:rPr>
            </w:pPr>
            <w:r w:rsidRPr="00730DE4">
              <w:rPr>
                <w:color w:val="080C0F" w:themeColor="text1"/>
              </w:rPr>
              <w:t xml:space="preserve">- </w:t>
            </w:r>
          </w:p>
        </w:tc>
        <w:tc>
          <w:tcPr>
            <w:tcW w:w="859"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tcPr>
          <w:p w14:paraId="316AB359" w14:textId="77777777" w:rsidR="00730DE4" w:rsidRPr="00730DE4" w:rsidRDefault="00730DE4" w:rsidP="0067481E">
            <w:pPr>
              <w:pStyle w:val="NoSpacing"/>
              <w:jc w:val="right"/>
              <w:rPr>
                <w:rStyle w:val="Strong"/>
              </w:rPr>
            </w:pPr>
            <w:r w:rsidRPr="00730DE4">
              <w:rPr>
                <w:color w:val="080C0F" w:themeColor="text1"/>
              </w:rPr>
              <w:t xml:space="preserve">212,731 </w:t>
            </w:r>
          </w:p>
        </w:tc>
      </w:tr>
      <w:tr w:rsidR="00730DE4" w:rsidRPr="00730DE4" w14:paraId="6897BC37" w14:textId="77777777" w:rsidTr="00EB0585">
        <w:trPr>
          <w:trHeight w:val="198"/>
        </w:trPr>
        <w:tc>
          <w:tcPr>
            <w:tcW w:w="3282"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tcPr>
          <w:p w14:paraId="74F5380D" w14:textId="77777777" w:rsidR="00730DE4" w:rsidRPr="00730DE4" w:rsidRDefault="00730DE4" w:rsidP="0067481E">
            <w:pPr>
              <w:pStyle w:val="NoSpacing"/>
              <w:rPr>
                <w:rStyle w:val="Strong"/>
              </w:rPr>
            </w:pPr>
            <w:r w:rsidRPr="00730DE4">
              <w:rPr>
                <w:color w:val="080C0F" w:themeColor="text1"/>
              </w:rPr>
              <w:t>Unforeseen expenditure *</w:t>
            </w:r>
          </w:p>
        </w:tc>
        <w:tc>
          <w:tcPr>
            <w:tcW w:w="859"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tcPr>
          <w:p w14:paraId="7E744ED1" w14:textId="77777777" w:rsidR="00730DE4" w:rsidRPr="00730DE4" w:rsidRDefault="00730DE4" w:rsidP="0067481E">
            <w:pPr>
              <w:pStyle w:val="NoSpacing"/>
              <w:jc w:val="right"/>
              <w:rPr>
                <w:rStyle w:val="Strong"/>
              </w:rPr>
            </w:pPr>
            <w:r w:rsidRPr="00730DE4">
              <w:rPr>
                <w:color w:val="080C0F" w:themeColor="text1"/>
              </w:rPr>
              <w:t xml:space="preserve">1,158,321 </w:t>
            </w:r>
          </w:p>
        </w:tc>
        <w:tc>
          <w:tcPr>
            <w:tcW w:w="859"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tcPr>
          <w:p w14:paraId="4F00B11E" w14:textId="77777777" w:rsidR="00730DE4" w:rsidRPr="00730DE4" w:rsidRDefault="00730DE4" w:rsidP="0067481E">
            <w:pPr>
              <w:pStyle w:val="NoSpacing"/>
              <w:jc w:val="right"/>
              <w:rPr>
                <w:rStyle w:val="Strong"/>
              </w:rPr>
            </w:pPr>
            <w:r w:rsidRPr="00730DE4">
              <w:rPr>
                <w:color w:val="080C0F" w:themeColor="text1"/>
              </w:rPr>
              <w:t xml:space="preserve">566,551 </w:t>
            </w:r>
          </w:p>
        </w:tc>
      </w:tr>
      <w:tr w:rsidR="00730DE4" w:rsidRPr="00730DE4" w14:paraId="1A6E0BB3" w14:textId="77777777" w:rsidTr="00EB0585">
        <w:trPr>
          <w:trHeight w:val="198"/>
        </w:trPr>
        <w:tc>
          <w:tcPr>
            <w:tcW w:w="3282"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vAlign w:val="bottom"/>
          </w:tcPr>
          <w:p w14:paraId="201C6E89" w14:textId="77777777" w:rsidR="00730DE4" w:rsidRPr="00730DE4" w:rsidRDefault="00730DE4" w:rsidP="0067481E">
            <w:pPr>
              <w:pStyle w:val="NoSpacing"/>
              <w:rPr>
                <w:rStyle w:val="Strong"/>
              </w:rPr>
            </w:pPr>
            <w:r w:rsidRPr="00730DE4">
              <w:rPr>
                <w:color w:val="080C0F" w:themeColor="text1"/>
              </w:rPr>
              <w:t xml:space="preserve">Equity adjustment receipts </w:t>
            </w:r>
          </w:p>
        </w:tc>
        <w:tc>
          <w:tcPr>
            <w:tcW w:w="859"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7DC94E77" w14:textId="77777777" w:rsidR="00730DE4" w:rsidRPr="00730DE4" w:rsidRDefault="00730DE4" w:rsidP="0067481E">
            <w:pPr>
              <w:pStyle w:val="NoSpacing"/>
              <w:jc w:val="right"/>
              <w:rPr>
                <w:rStyle w:val="Strong"/>
              </w:rPr>
            </w:pPr>
            <w:r w:rsidRPr="00730DE4">
              <w:rPr>
                <w:color w:val="080C0F" w:themeColor="text1"/>
              </w:rPr>
              <w:t xml:space="preserve">3,630,557 </w:t>
            </w:r>
          </w:p>
        </w:tc>
        <w:tc>
          <w:tcPr>
            <w:tcW w:w="859"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vAlign w:val="bottom"/>
          </w:tcPr>
          <w:p w14:paraId="2ED41D1F" w14:textId="77777777" w:rsidR="00730DE4" w:rsidRPr="00730DE4" w:rsidRDefault="00730DE4" w:rsidP="0067481E">
            <w:pPr>
              <w:pStyle w:val="NoSpacing"/>
              <w:jc w:val="right"/>
              <w:rPr>
                <w:rStyle w:val="Strong"/>
              </w:rPr>
            </w:pPr>
            <w:r w:rsidRPr="00730DE4">
              <w:rPr>
                <w:color w:val="080C0F" w:themeColor="text1"/>
              </w:rPr>
              <w:t xml:space="preserve">3,860,525 </w:t>
            </w:r>
          </w:p>
        </w:tc>
      </w:tr>
      <w:tr w:rsidR="00730DE4" w:rsidRPr="00730DE4" w14:paraId="37D3C3A3" w14:textId="77777777" w:rsidTr="00EB0585">
        <w:trPr>
          <w:trHeight w:val="198"/>
        </w:trPr>
        <w:tc>
          <w:tcPr>
            <w:tcW w:w="328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tcPr>
          <w:p w14:paraId="0AC398EA" w14:textId="77777777" w:rsidR="00730DE4" w:rsidRPr="00730DE4" w:rsidRDefault="00730DE4" w:rsidP="0067481E">
            <w:pPr>
              <w:pStyle w:val="NoSpacing"/>
              <w:rPr>
                <w:rStyle w:val="Strong"/>
              </w:rPr>
            </w:pPr>
            <w:r w:rsidRPr="00730DE4">
              <w:rPr>
                <w:color w:val="080C0F" w:themeColor="text1"/>
              </w:rPr>
              <w:t>Less: Opening balance of equity adjustment receivable</w:t>
            </w:r>
          </w:p>
        </w:tc>
        <w:tc>
          <w:tcPr>
            <w:tcW w:w="85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0CCDF60B" w14:textId="77777777" w:rsidR="00730DE4" w:rsidRPr="00730DE4" w:rsidRDefault="00730DE4" w:rsidP="0067481E">
            <w:pPr>
              <w:pStyle w:val="NoSpacing"/>
              <w:jc w:val="right"/>
              <w:rPr>
                <w:rStyle w:val="Strong"/>
              </w:rPr>
            </w:pPr>
            <w:r w:rsidRPr="00730DE4">
              <w:rPr>
                <w:color w:val="080C0F" w:themeColor="text1"/>
              </w:rPr>
              <w:t>(2,032)</w:t>
            </w:r>
          </w:p>
        </w:tc>
        <w:tc>
          <w:tcPr>
            <w:tcW w:w="859"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tcPr>
          <w:p w14:paraId="5464BDD7" w14:textId="77777777" w:rsidR="00730DE4" w:rsidRPr="00730DE4" w:rsidRDefault="00730DE4" w:rsidP="0067481E">
            <w:pPr>
              <w:pStyle w:val="NoSpacing"/>
              <w:jc w:val="right"/>
              <w:rPr>
                <w:rStyle w:val="Strong"/>
              </w:rPr>
            </w:pPr>
            <w:r w:rsidRPr="00730DE4">
              <w:rPr>
                <w:color w:val="080C0F" w:themeColor="text1"/>
              </w:rPr>
              <w:t xml:space="preserve">- </w:t>
            </w:r>
          </w:p>
        </w:tc>
      </w:tr>
      <w:tr w:rsidR="00730DE4" w:rsidRPr="00730DE4" w14:paraId="6C88E312" w14:textId="77777777" w:rsidTr="00EB0585">
        <w:trPr>
          <w:trHeight w:val="198"/>
        </w:trPr>
        <w:tc>
          <w:tcPr>
            <w:tcW w:w="328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tcPr>
          <w:p w14:paraId="52051895" w14:textId="77777777" w:rsidR="00730DE4" w:rsidRPr="00730DE4" w:rsidRDefault="00730DE4" w:rsidP="0067481E">
            <w:pPr>
              <w:pStyle w:val="NoSpacing"/>
              <w:rPr>
                <w:rStyle w:val="Strong"/>
              </w:rPr>
            </w:pPr>
            <w:r w:rsidRPr="00730DE4">
              <w:rPr>
                <w:color w:val="080C0F" w:themeColor="text1"/>
              </w:rPr>
              <w:t>Plus: Closing balance of equity adjustment receivable</w:t>
            </w:r>
          </w:p>
        </w:tc>
        <w:tc>
          <w:tcPr>
            <w:tcW w:w="85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288CFA33" w14:textId="77777777" w:rsidR="00730DE4" w:rsidRPr="00730DE4" w:rsidRDefault="00730DE4" w:rsidP="0067481E">
            <w:pPr>
              <w:pStyle w:val="NoSpacing"/>
              <w:jc w:val="right"/>
              <w:rPr>
                <w:rStyle w:val="Strong"/>
              </w:rPr>
            </w:pPr>
            <w:r w:rsidRPr="00730DE4">
              <w:rPr>
                <w:color w:val="080C0F" w:themeColor="text1"/>
              </w:rPr>
              <w:t xml:space="preserve">23 </w:t>
            </w:r>
          </w:p>
        </w:tc>
        <w:tc>
          <w:tcPr>
            <w:tcW w:w="859"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tcPr>
          <w:p w14:paraId="436749D9" w14:textId="77777777" w:rsidR="00730DE4" w:rsidRPr="00730DE4" w:rsidRDefault="00730DE4" w:rsidP="0067481E">
            <w:pPr>
              <w:pStyle w:val="NoSpacing"/>
              <w:jc w:val="right"/>
              <w:rPr>
                <w:rStyle w:val="Strong"/>
              </w:rPr>
            </w:pPr>
            <w:r w:rsidRPr="00730DE4">
              <w:rPr>
                <w:color w:val="080C0F" w:themeColor="text1"/>
              </w:rPr>
              <w:t xml:space="preserve">2,032 </w:t>
            </w:r>
          </w:p>
        </w:tc>
      </w:tr>
      <w:tr w:rsidR="00730DE4" w:rsidRPr="00730DE4" w14:paraId="62B67AF2" w14:textId="77777777" w:rsidTr="00EB0585">
        <w:trPr>
          <w:trHeight w:val="198"/>
        </w:trPr>
        <w:tc>
          <w:tcPr>
            <w:tcW w:w="328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tcPr>
          <w:p w14:paraId="5A7C1031" w14:textId="77777777" w:rsidR="00730DE4" w:rsidRPr="00730DE4" w:rsidRDefault="00730DE4" w:rsidP="0067481E">
            <w:pPr>
              <w:pStyle w:val="NoSpacing"/>
              <w:rPr>
                <w:rStyle w:val="Strong"/>
              </w:rPr>
            </w:pPr>
            <w:r w:rsidRPr="00730DE4">
              <w:rPr>
                <w:color w:val="080C0F" w:themeColor="text1"/>
              </w:rPr>
              <w:t>Plus: Opening balance of equity adjustment payable</w:t>
            </w:r>
          </w:p>
        </w:tc>
        <w:tc>
          <w:tcPr>
            <w:tcW w:w="85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6485FBF1" w14:textId="77777777" w:rsidR="00730DE4" w:rsidRPr="00730DE4" w:rsidRDefault="00730DE4" w:rsidP="0067481E">
            <w:pPr>
              <w:pStyle w:val="NoSpacing"/>
              <w:jc w:val="right"/>
              <w:rPr>
                <w:rStyle w:val="Strong"/>
              </w:rPr>
            </w:pPr>
            <w:r w:rsidRPr="00730DE4">
              <w:rPr>
                <w:color w:val="080C0F" w:themeColor="text1"/>
              </w:rPr>
              <w:t xml:space="preserve">6,523 </w:t>
            </w:r>
          </w:p>
        </w:tc>
        <w:tc>
          <w:tcPr>
            <w:tcW w:w="859"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tcPr>
          <w:p w14:paraId="031F4C15" w14:textId="77777777" w:rsidR="00730DE4" w:rsidRPr="00730DE4" w:rsidRDefault="00730DE4" w:rsidP="0067481E">
            <w:pPr>
              <w:pStyle w:val="NoSpacing"/>
              <w:jc w:val="right"/>
              <w:rPr>
                <w:rStyle w:val="Strong"/>
              </w:rPr>
            </w:pPr>
            <w:r w:rsidRPr="00730DE4">
              <w:rPr>
                <w:color w:val="080C0F" w:themeColor="text1"/>
              </w:rPr>
              <w:t xml:space="preserve">- </w:t>
            </w:r>
          </w:p>
        </w:tc>
      </w:tr>
      <w:tr w:rsidR="00730DE4" w:rsidRPr="00730DE4" w14:paraId="1CBA61F5" w14:textId="77777777" w:rsidTr="00EB0585">
        <w:trPr>
          <w:trHeight w:val="198"/>
        </w:trPr>
        <w:tc>
          <w:tcPr>
            <w:tcW w:w="328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tcPr>
          <w:p w14:paraId="0D979466" w14:textId="77777777" w:rsidR="00730DE4" w:rsidRPr="00730DE4" w:rsidRDefault="00730DE4" w:rsidP="0067481E">
            <w:pPr>
              <w:pStyle w:val="NoSpacing"/>
              <w:rPr>
                <w:rStyle w:val="Strong"/>
              </w:rPr>
            </w:pPr>
            <w:r w:rsidRPr="00730DE4">
              <w:rPr>
                <w:color w:val="080C0F" w:themeColor="text1"/>
              </w:rPr>
              <w:t>Plus: Transfer of equity adjustment payable due to machinery-of-government change</w:t>
            </w:r>
          </w:p>
        </w:tc>
        <w:tc>
          <w:tcPr>
            <w:tcW w:w="85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0B24C88D" w14:textId="77777777" w:rsidR="00730DE4" w:rsidRPr="00730DE4" w:rsidRDefault="00730DE4" w:rsidP="0067481E">
            <w:pPr>
              <w:pStyle w:val="NoSpacing"/>
              <w:jc w:val="right"/>
              <w:rPr>
                <w:rStyle w:val="Strong"/>
              </w:rPr>
            </w:pPr>
            <w:r w:rsidRPr="00730DE4">
              <w:rPr>
                <w:color w:val="080C0F" w:themeColor="text1"/>
              </w:rPr>
              <w:t xml:space="preserve">- </w:t>
            </w:r>
          </w:p>
        </w:tc>
        <w:tc>
          <w:tcPr>
            <w:tcW w:w="859"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tcPr>
          <w:p w14:paraId="1D2E853E" w14:textId="77777777" w:rsidR="00730DE4" w:rsidRPr="00730DE4" w:rsidRDefault="00730DE4" w:rsidP="0067481E">
            <w:pPr>
              <w:pStyle w:val="NoSpacing"/>
              <w:jc w:val="right"/>
              <w:rPr>
                <w:rStyle w:val="Strong"/>
              </w:rPr>
            </w:pPr>
            <w:r w:rsidRPr="00730DE4">
              <w:rPr>
                <w:color w:val="080C0F" w:themeColor="text1"/>
              </w:rPr>
              <w:t xml:space="preserve">289 </w:t>
            </w:r>
          </w:p>
        </w:tc>
      </w:tr>
      <w:tr w:rsidR="00730DE4" w:rsidRPr="00730DE4" w14:paraId="772CA60D" w14:textId="77777777" w:rsidTr="00EB0585">
        <w:trPr>
          <w:trHeight w:val="198"/>
        </w:trPr>
        <w:tc>
          <w:tcPr>
            <w:tcW w:w="3282"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tcPr>
          <w:p w14:paraId="354CC3F4" w14:textId="77777777" w:rsidR="00730DE4" w:rsidRPr="00730DE4" w:rsidRDefault="00730DE4" w:rsidP="0067481E">
            <w:pPr>
              <w:pStyle w:val="NoSpacing"/>
              <w:rPr>
                <w:rStyle w:val="Strong"/>
              </w:rPr>
            </w:pPr>
            <w:r w:rsidRPr="00730DE4">
              <w:rPr>
                <w:color w:val="080C0F" w:themeColor="text1"/>
              </w:rPr>
              <w:t>Less: Closing balance of equity adjustment payable</w:t>
            </w:r>
          </w:p>
        </w:tc>
        <w:tc>
          <w:tcPr>
            <w:tcW w:w="859"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tcPr>
          <w:p w14:paraId="5D063A36" w14:textId="77777777" w:rsidR="00730DE4" w:rsidRPr="00730DE4" w:rsidRDefault="00730DE4" w:rsidP="0067481E">
            <w:pPr>
              <w:pStyle w:val="NoSpacing"/>
              <w:jc w:val="right"/>
              <w:rPr>
                <w:rStyle w:val="Strong"/>
              </w:rPr>
            </w:pPr>
            <w:r w:rsidRPr="00730DE4">
              <w:rPr>
                <w:color w:val="080C0F" w:themeColor="text1"/>
              </w:rPr>
              <w:t xml:space="preserve">- </w:t>
            </w:r>
          </w:p>
        </w:tc>
        <w:tc>
          <w:tcPr>
            <w:tcW w:w="859"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tcPr>
          <w:p w14:paraId="52F409E6" w14:textId="77777777" w:rsidR="00730DE4" w:rsidRPr="00730DE4" w:rsidRDefault="00730DE4" w:rsidP="0067481E">
            <w:pPr>
              <w:pStyle w:val="NoSpacing"/>
              <w:jc w:val="right"/>
              <w:rPr>
                <w:rStyle w:val="Strong"/>
              </w:rPr>
            </w:pPr>
            <w:r w:rsidRPr="00730DE4">
              <w:rPr>
                <w:color w:val="080C0F" w:themeColor="text1"/>
              </w:rPr>
              <w:t>(6,523)</w:t>
            </w:r>
          </w:p>
        </w:tc>
      </w:tr>
      <w:tr w:rsidR="00730DE4" w:rsidRPr="00730DE4" w14:paraId="2AF3F82B" w14:textId="77777777" w:rsidTr="00EB0585">
        <w:tc>
          <w:tcPr>
            <w:tcW w:w="3282" w:type="pct"/>
            <w:tcBorders>
              <w:top w:val="single" w:sz="4" w:space="0" w:color="auto"/>
              <w:left w:val="nil"/>
              <w:bottom w:val="double" w:sz="4" w:space="0" w:color="auto"/>
              <w:right w:val="dotted" w:sz="4" w:space="0" w:color="BFBFBF" w:themeColor="background1" w:themeShade="BF"/>
            </w:tcBorders>
            <w:shd w:val="clear" w:color="auto" w:fill="auto"/>
            <w:noWrap/>
          </w:tcPr>
          <w:p w14:paraId="06EB3757" w14:textId="77777777" w:rsidR="00730DE4" w:rsidRPr="00730DE4" w:rsidRDefault="00730DE4" w:rsidP="0067481E">
            <w:pPr>
              <w:pStyle w:val="NoSpacing"/>
              <w:rPr>
                <w:rStyle w:val="Strong"/>
              </w:rPr>
            </w:pPr>
            <w:r w:rsidRPr="00730DE4">
              <w:rPr>
                <w:rStyle w:val="Strong"/>
              </w:rPr>
              <w:t>Equity adjustment recognised in contributed equity</w:t>
            </w:r>
          </w:p>
        </w:tc>
        <w:tc>
          <w:tcPr>
            <w:tcW w:w="859"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tcPr>
          <w:p w14:paraId="08B6A667" w14:textId="77777777" w:rsidR="00730DE4" w:rsidRPr="00730DE4" w:rsidRDefault="00730DE4" w:rsidP="0067481E">
            <w:pPr>
              <w:pStyle w:val="NoSpacing"/>
              <w:jc w:val="right"/>
              <w:rPr>
                <w:rStyle w:val="Strong"/>
              </w:rPr>
            </w:pPr>
            <w:r w:rsidRPr="00730DE4">
              <w:rPr>
                <w:rStyle w:val="Strong"/>
              </w:rPr>
              <w:t xml:space="preserve">3,635,071 </w:t>
            </w:r>
          </w:p>
        </w:tc>
        <w:tc>
          <w:tcPr>
            <w:tcW w:w="859" w:type="pct"/>
            <w:tcBorders>
              <w:top w:val="single" w:sz="4" w:space="0" w:color="auto"/>
              <w:left w:val="dotted" w:sz="4" w:space="0" w:color="BFBFBF" w:themeColor="background1" w:themeShade="BF"/>
              <w:bottom w:val="double" w:sz="4" w:space="0" w:color="auto"/>
              <w:right w:val="nil"/>
            </w:tcBorders>
            <w:shd w:val="clear" w:color="auto" w:fill="auto"/>
            <w:noWrap/>
          </w:tcPr>
          <w:p w14:paraId="621A6DD2" w14:textId="77777777" w:rsidR="00730DE4" w:rsidRPr="00730DE4" w:rsidRDefault="00730DE4" w:rsidP="0067481E">
            <w:pPr>
              <w:pStyle w:val="NoSpacing"/>
              <w:jc w:val="right"/>
              <w:rPr>
                <w:rStyle w:val="Strong"/>
              </w:rPr>
            </w:pPr>
            <w:r w:rsidRPr="00730DE4">
              <w:rPr>
                <w:rStyle w:val="Strong"/>
              </w:rPr>
              <w:t xml:space="preserve">3,856,323 </w:t>
            </w:r>
          </w:p>
        </w:tc>
      </w:tr>
    </w:tbl>
    <w:p w14:paraId="6C844C28" w14:textId="77777777" w:rsidR="00730DE4" w:rsidRPr="00730DE4" w:rsidRDefault="00730DE4" w:rsidP="005710A8">
      <w:pPr>
        <w:pStyle w:val="List0"/>
      </w:pPr>
      <w:r w:rsidRPr="00730DE4">
        <w:t>* Unforeseen expenditure in 2023 and 2024 is primarily due to accelerated expenditure on various capital programs.</w:t>
      </w:r>
    </w:p>
    <w:p w14:paraId="2A6A7FC3" w14:textId="77777777" w:rsidR="00730DE4" w:rsidRPr="00730DE4" w:rsidRDefault="00730DE4" w:rsidP="003C13D4">
      <w:pPr>
        <w:rPr>
          <w:rStyle w:val="Strong"/>
        </w:rPr>
      </w:pPr>
      <w:r w:rsidRPr="00730DE4">
        <w:rPr>
          <w:rStyle w:val="Strong"/>
        </w:rPr>
        <w:br w:type="page"/>
      </w:r>
    </w:p>
    <w:p w14:paraId="52B41E9A" w14:textId="77777777" w:rsidR="00730DE4" w:rsidRPr="00730DE4" w:rsidRDefault="00730DE4" w:rsidP="003C13D4">
      <w:pPr>
        <w:rPr>
          <w:rStyle w:val="Strong"/>
        </w:rPr>
      </w:pPr>
      <w:r w:rsidRPr="00730DE4">
        <w:rPr>
          <w:rStyle w:val="Strong"/>
        </w:rPr>
        <w:t>Accounting policy</w:t>
      </w:r>
    </w:p>
    <w:p w14:paraId="6306CDB7" w14:textId="77777777" w:rsidR="00730DE4" w:rsidRPr="00730DE4" w:rsidRDefault="00730DE4" w:rsidP="003C13D4">
      <w:pPr>
        <w:rPr>
          <w:i/>
          <w:iCs/>
          <w:color w:val="080C0F" w:themeColor="text1"/>
        </w:rPr>
      </w:pPr>
      <w:r w:rsidRPr="00730DE4">
        <w:rPr>
          <w:color w:val="080C0F" w:themeColor="text1"/>
        </w:rPr>
        <w:t xml:space="preserve">Appropriations provided under the </w:t>
      </w:r>
      <w:r w:rsidRPr="00730DE4">
        <w:rPr>
          <w:i/>
          <w:iCs/>
          <w:color w:val="080C0F" w:themeColor="text1"/>
        </w:rPr>
        <w:t>Appropriation Act 2023</w:t>
      </w:r>
      <w:r w:rsidRPr="00730DE4">
        <w:rPr>
          <w:color w:val="080C0F" w:themeColor="text1"/>
        </w:rPr>
        <w:t xml:space="preserve"> are recognised as revenue when received. Where the department has an obligation to return unspent or unapplied appropriation receipts to the Consolidated Fund at year end, a deferred appropriation liability to the Consolidated Fund is recognised with a corresponding reduction to appropriation revenue, reflecting the net appropriation revenue position with the Consolidated Fund for the reporting period. Capital appropriations are recognised as adjustments to equity.</w:t>
      </w:r>
    </w:p>
    <w:p w14:paraId="170EC22B" w14:textId="77777777" w:rsidR="00730DE4" w:rsidRPr="00730DE4" w:rsidRDefault="00730DE4" w:rsidP="00437D80">
      <w:pPr>
        <w:pStyle w:val="Heading5"/>
      </w:pPr>
      <w:bookmarkStart w:id="1480" w:name="_Toc180490920"/>
      <w:bookmarkStart w:id="1481" w:name="_Toc180491953"/>
      <w:r w:rsidRPr="00730DE4">
        <w:t>3 User charges and fees</w:t>
      </w:r>
      <w:bookmarkEnd w:id="1480"/>
      <w:bookmarkEnd w:id="1481"/>
    </w:p>
    <w:tbl>
      <w:tblPr>
        <w:tblW w:w="5000" w:type="pct"/>
        <w:tblCellMar>
          <w:top w:w="23" w:type="dxa"/>
          <w:left w:w="23" w:type="dxa"/>
          <w:bottom w:w="23" w:type="dxa"/>
          <w:right w:w="23" w:type="dxa"/>
        </w:tblCellMar>
        <w:tblLook w:val="04A0" w:firstRow="1" w:lastRow="0" w:firstColumn="1" w:lastColumn="0" w:noHBand="0" w:noVBand="1"/>
      </w:tblPr>
      <w:tblGrid>
        <w:gridCol w:w="6236"/>
        <w:gridCol w:w="1417"/>
        <w:gridCol w:w="1417"/>
      </w:tblGrid>
      <w:tr w:rsidR="00730DE4" w:rsidRPr="00730DE4" w14:paraId="217876AB" w14:textId="77777777" w:rsidTr="00253FBD">
        <w:trPr>
          <w:trHeight w:val="240"/>
        </w:trPr>
        <w:tc>
          <w:tcPr>
            <w:tcW w:w="3438" w:type="pct"/>
            <w:tcBorders>
              <w:top w:val="nil"/>
              <w:left w:val="nil"/>
              <w:bottom w:val="single" w:sz="4" w:space="0" w:color="auto"/>
              <w:right w:val="nil"/>
            </w:tcBorders>
            <w:shd w:val="clear" w:color="auto" w:fill="auto"/>
            <w:noWrap/>
            <w:vAlign w:val="bottom"/>
          </w:tcPr>
          <w:p w14:paraId="2C3BB98C" w14:textId="77777777" w:rsidR="00730DE4" w:rsidRPr="00730DE4" w:rsidRDefault="00730DE4" w:rsidP="00912B03">
            <w:pPr>
              <w:pStyle w:val="NoSpacing"/>
              <w:rPr>
                <w:rStyle w:val="Strong"/>
              </w:rPr>
            </w:pPr>
          </w:p>
        </w:tc>
        <w:tc>
          <w:tcPr>
            <w:tcW w:w="781" w:type="pct"/>
            <w:tcBorders>
              <w:top w:val="nil"/>
              <w:left w:val="nil"/>
              <w:bottom w:val="single" w:sz="4" w:space="0" w:color="auto"/>
              <w:right w:val="nil"/>
            </w:tcBorders>
            <w:shd w:val="clear" w:color="auto" w:fill="auto"/>
            <w:noWrap/>
            <w:vAlign w:val="bottom"/>
            <w:hideMark/>
          </w:tcPr>
          <w:p w14:paraId="0A4A061B" w14:textId="77777777" w:rsidR="00730DE4" w:rsidRPr="00730DE4" w:rsidRDefault="00730DE4" w:rsidP="00912B03">
            <w:pPr>
              <w:pStyle w:val="NoSpacing"/>
              <w:jc w:val="right"/>
              <w:rPr>
                <w:b/>
                <w:bCs/>
              </w:rPr>
            </w:pPr>
            <w:r w:rsidRPr="00730DE4">
              <w:rPr>
                <w:rStyle w:val="Strong"/>
              </w:rPr>
              <w:t xml:space="preserve">2024 </w:t>
            </w:r>
            <w:r w:rsidRPr="00730DE4">
              <w:rPr>
                <w:rStyle w:val="Strong"/>
              </w:rPr>
              <w:br/>
              <w:t>$'000</w:t>
            </w:r>
          </w:p>
        </w:tc>
        <w:tc>
          <w:tcPr>
            <w:tcW w:w="781" w:type="pct"/>
            <w:tcBorders>
              <w:top w:val="nil"/>
              <w:left w:val="nil"/>
              <w:bottom w:val="single" w:sz="4" w:space="0" w:color="auto"/>
              <w:right w:val="nil"/>
            </w:tcBorders>
            <w:shd w:val="clear" w:color="auto" w:fill="auto"/>
            <w:noWrap/>
            <w:vAlign w:val="bottom"/>
            <w:hideMark/>
          </w:tcPr>
          <w:p w14:paraId="54D8EFE8" w14:textId="77777777" w:rsidR="00730DE4" w:rsidRPr="00730DE4" w:rsidRDefault="00730DE4" w:rsidP="00912B03">
            <w:pPr>
              <w:pStyle w:val="NoSpacing"/>
              <w:jc w:val="right"/>
              <w:rPr>
                <w:rStyle w:val="Strong"/>
              </w:rPr>
            </w:pPr>
            <w:r w:rsidRPr="00730DE4">
              <w:rPr>
                <w:rStyle w:val="Strong"/>
              </w:rPr>
              <w:t xml:space="preserve">2023 </w:t>
            </w:r>
            <w:r w:rsidRPr="00730DE4">
              <w:rPr>
                <w:rStyle w:val="Strong"/>
              </w:rPr>
              <w:br/>
              <w:t>$'000</w:t>
            </w:r>
          </w:p>
        </w:tc>
      </w:tr>
      <w:tr w:rsidR="00730DE4" w:rsidRPr="00730DE4" w14:paraId="6F0A634F" w14:textId="77777777" w:rsidTr="00253FBD">
        <w:trPr>
          <w:trHeight w:val="240"/>
        </w:trPr>
        <w:tc>
          <w:tcPr>
            <w:tcW w:w="3438"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56D3A5E" w14:textId="77777777" w:rsidR="00730DE4" w:rsidRPr="00730DE4" w:rsidRDefault="00730DE4" w:rsidP="00912B03">
            <w:pPr>
              <w:pStyle w:val="NoSpacing"/>
            </w:pPr>
            <w:r w:rsidRPr="00730DE4">
              <w:t>Compulsory third party administration fees</w:t>
            </w:r>
          </w:p>
        </w:tc>
        <w:tc>
          <w:tcPr>
            <w:tcW w:w="781"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A64DD1F" w14:textId="77777777" w:rsidR="00730DE4" w:rsidRPr="00730DE4" w:rsidRDefault="00730DE4" w:rsidP="00912B03">
            <w:pPr>
              <w:pStyle w:val="NoSpacing"/>
              <w:jc w:val="right"/>
            </w:pPr>
            <w:r w:rsidRPr="00730DE4">
              <w:t xml:space="preserve">42,735 </w:t>
            </w:r>
          </w:p>
        </w:tc>
        <w:tc>
          <w:tcPr>
            <w:tcW w:w="781"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A83D836" w14:textId="77777777" w:rsidR="00730DE4" w:rsidRPr="00730DE4" w:rsidRDefault="00730DE4" w:rsidP="00912B03">
            <w:pPr>
              <w:pStyle w:val="NoSpacing"/>
              <w:jc w:val="right"/>
            </w:pPr>
            <w:r w:rsidRPr="00730DE4">
              <w:t xml:space="preserve">38,920 </w:t>
            </w:r>
          </w:p>
        </w:tc>
      </w:tr>
      <w:tr w:rsidR="00730DE4" w:rsidRPr="00730DE4" w14:paraId="39E05DD5" w14:textId="77777777" w:rsidTr="00253FBD">
        <w:trPr>
          <w:trHeight w:val="240"/>
        </w:trPr>
        <w:tc>
          <w:tcPr>
            <w:tcW w:w="343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C90C9C7" w14:textId="77777777" w:rsidR="00730DE4" w:rsidRPr="00730DE4" w:rsidRDefault="00730DE4" w:rsidP="00912B03">
            <w:pPr>
              <w:pStyle w:val="NoSpacing"/>
            </w:pPr>
            <w:r w:rsidRPr="00730DE4">
              <w:t>Fare revenue</w:t>
            </w:r>
          </w:p>
        </w:tc>
        <w:tc>
          <w:tcPr>
            <w:tcW w:w="78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999CFB4" w14:textId="77777777" w:rsidR="00730DE4" w:rsidRPr="00730DE4" w:rsidRDefault="00730DE4" w:rsidP="00912B03">
            <w:pPr>
              <w:pStyle w:val="NoSpacing"/>
              <w:jc w:val="right"/>
            </w:pPr>
            <w:r w:rsidRPr="00730DE4">
              <w:t xml:space="preserve">324,704 </w:t>
            </w:r>
          </w:p>
        </w:tc>
        <w:tc>
          <w:tcPr>
            <w:tcW w:w="781"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CC20254" w14:textId="77777777" w:rsidR="00730DE4" w:rsidRPr="00730DE4" w:rsidRDefault="00730DE4" w:rsidP="00912B03">
            <w:pPr>
              <w:pStyle w:val="NoSpacing"/>
              <w:jc w:val="right"/>
            </w:pPr>
            <w:r w:rsidRPr="00730DE4">
              <w:t xml:space="preserve">294,667 </w:t>
            </w:r>
          </w:p>
        </w:tc>
      </w:tr>
      <w:tr w:rsidR="00730DE4" w:rsidRPr="00730DE4" w14:paraId="6281D6A3" w14:textId="77777777" w:rsidTr="00253FBD">
        <w:trPr>
          <w:trHeight w:val="240"/>
        </w:trPr>
        <w:tc>
          <w:tcPr>
            <w:tcW w:w="343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6F7C7E08" w14:textId="77777777" w:rsidR="00730DE4" w:rsidRPr="00730DE4" w:rsidRDefault="00730DE4" w:rsidP="00912B03">
            <w:pPr>
              <w:pStyle w:val="NoSpacing"/>
            </w:pPr>
            <w:r w:rsidRPr="00730DE4">
              <w:t>Information, communication and technology services *</w:t>
            </w:r>
          </w:p>
        </w:tc>
        <w:tc>
          <w:tcPr>
            <w:tcW w:w="78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5FBE7F4" w14:textId="77777777" w:rsidR="00730DE4" w:rsidRPr="00730DE4" w:rsidRDefault="00730DE4" w:rsidP="00912B03">
            <w:pPr>
              <w:pStyle w:val="NoSpacing"/>
              <w:jc w:val="right"/>
            </w:pPr>
            <w:r w:rsidRPr="00730DE4">
              <w:t xml:space="preserve">136,895 </w:t>
            </w:r>
          </w:p>
        </w:tc>
        <w:tc>
          <w:tcPr>
            <w:tcW w:w="781"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BFE369B" w14:textId="77777777" w:rsidR="00730DE4" w:rsidRPr="00730DE4" w:rsidRDefault="00730DE4" w:rsidP="00912B03">
            <w:pPr>
              <w:pStyle w:val="NoSpacing"/>
              <w:jc w:val="right"/>
            </w:pPr>
            <w:r w:rsidRPr="00730DE4">
              <w:t xml:space="preserve">18,474 </w:t>
            </w:r>
          </w:p>
        </w:tc>
      </w:tr>
      <w:tr w:rsidR="00730DE4" w:rsidRPr="00730DE4" w14:paraId="45365ED4" w14:textId="77777777" w:rsidTr="00253FBD">
        <w:trPr>
          <w:trHeight w:val="240"/>
        </w:trPr>
        <w:tc>
          <w:tcPr>
            <w:tcW w:w="343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A140EA5" w14:textId="77777777" w:rsidR="00730DE4" w:rsidRPr="00730DE4" w:rsidRDefault="00730DE4" w:rsidP="00912B03">
            <w:pPr>
              <w:pStyle w:val="NoSpacing"/>
            </w:pPr>
            <w:r w:rsidRPr="00730DE4">
              <w:t xml:space="preserve">Merchant fees collected </w:t>
            </w:r>
          </w:p>
        </w:tc>
        <w:tc>
          <w:tcPr>
            <w:tcW w:w="78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E82AB34" w14:textId="77777777" w:rsidR="00730DE4" w:rsidRPr="00730DE4" w:rsidRDefault="00730DE4" w:rsidP="00912B03">
            <w:pPr>
              <w:pStyle w:val="NoSpacing"/>
              <w:jc w:val="right"/>
            </w:pPr>
            <w:r w:rsidRPr="00730DE4">
              <w:t xml:space="preserve">14,032 </w:t>
            </w:r>
          </w:p>
        </w:tc>
        <w:tc>
          <w:tcPr>
            <w:tcW w:w="781"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5EECCDF" w14:textId="77777777" w:rsidR="00730DE4" w:rsidRPr="00730DE4" w:rsidRDefault="00730DE4" w:rsidP="00912B03">
            <w:pPr>
              <w:pStyle w:val="NoSpacing"/>
              <w:jc w:val="right"/>
            </w:pPr>
            <w:r w:rsidRPr="00730DE4">
              <w:t xml:space="preserve">12,562 </w:t>
            </w:r>
          </w:p>
        </w:tc>
      </w:tr>
      <w:tr w:rsidR="00730DE4" w:rsidRPr="00730DE4" w14:paraId="47FA5FB6" w14:textId="77777777" w:rsidTr="00253FBD">
        <w:trPr>
          <w:trHeight w:val="240"/>
        </w:trPr>
        <w:tc>
          <w:tcPr>
            <w:tcW w:w="343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51E0C05C" w14:textId="77777777" w:rsidR="00730DE4" w:rsidRPr="00730DE4" w:rsidRDefault="00730DE4" w:rsidP="00912B03">
            <w:pPr>
              <w:pStyle w:val="NoSpacing"/>
            </w:pPr>
            <w:r w:rsidRPr="00730DE4">
              <w:t>National Heavy Vehicle Regulator</w:t>
            </w:r>
          </w:p>
        </w:tc>
        <w:tc>
          <w:tcPr>
            <w:tcW w:w="78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6405EFE" w14:textId="77777777" w:rsidR="00730DE4" w:rsidRPr="00730DE4" w:rsidRDefault="00730DE4" w:rsidP="00912B03">
            <w:pPr>
              <w:pStyle w:val="NoSpacing"/>
              <w:jc w:val="right"/>
            </w:pPr>
            <w:r w:rsidRPr="00730DE4">
              <w:t xml:space="preserve">7,145 </w:t>
            </w:r>
          </w:p>
        </w:tc>
        <w:tc>
          <w:tcPr>
            <w:tcW w:w="781"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E88FA62" w14:textId="77777777" w:rsidR="00730DE4" w:rsidRPr="00730DE4" w:rsidRDefault="00730DE4" w:rsidP="00912B03">
            <w:pPr>
              <w:pStyle w:val="NoSpacing"/>
              <w:jc w:val="right"/>
            </w:pPr>
            <w:r w:rsidRPr="00730DE4">
              <w:t xml:space="preserve">19,995 </w:t>
            </w:r>
          </w:p>
        </w:tc>
      </w:tr>
      <w:tr w:rsidR="00730DE4" w:rsidRPr="00730DE4" w14:paraId="56F920BA" w14:textId="77777777" w:rsidTr="00253FBD">
        <w:trPr>
          <w:trHeight w:val="240"/>
        </w:trPr>
        <w:tc>
          <w:tcPr>
            <w:tcW w:w="343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6B36A859" w14:textId="77777777" w:rsidR="00730DE4" w:rsidRPr="00730DE4" w:rsidRDefault="00730DE4" w:rsidP="00912B03">
            <w:pPr>
              <w:pStyle w:val="NoSpacing"/>
            </w:pPr>
            <w:r w:rsidRPr="00730DE4">
              <w:t>Personalised plates sales</w:t>
            </w:r>
          </w:p>
        </w:tc>
        <w:tc>
          <w:tcPr>
            <w:tcW w:w="78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AE5595E" w14:textId="77777777" w:rsidR="00730DE4" w:rsidRPr="00730DE4" w:rsidRDefault="00730DE4" w:rsidP="00912B03">
            <w:pPr>
              <w:pStyle w:val="NoSpacing"/>
              <w:jc w:val="right"/>
            </w:pPr>
            <w:r w:rsidRPr="00730DE4">
              <w:t xml:space="preserve">76,749 </w:t>
            </w:r>
          </w:p>
        </w:tc>
        <w:tc>
          <w:tcPr>
            <w:tcW w:w="781"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BA22884" w14:textId="77777777" w:rsidR="00730DE4" w:rsidRPr="00730DE4" w:rsidRDefault="00730DE4" w:rsidP="00912B03">
            <w:pPr>
              <w:pStyle w:val="NoSpacing"/>
              <w:jc w:val="right"/>
            </w:pPr>
            <w:r w:rsidRPr="00730DE4">
              <w:t xml:space="preserve">81,599 </w:t>
            </w:r>
          </w:p>
        </w:tc>
      </w:tr>
      <w:tr w:rsidR="00730DE4" w:rsidRPr="00730DE4" w14:paraId="666A4EC7" w14:textId="77777777" w:rsidTr="00253FBD">
        <w:trPr>
          <w:trHeight w:val="240"/>
        </w:trPr>
        <w:tc>
          <w:tcPr>
            <w:tcW w:w="343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E695211" w14:textId="77777777" w:rsidR="00730DE4" w:rsidRPr="00730DE4" w:rsidRDefault="00730DE4" w:rsidP="00912B03">
            <w:pPr>
              <w:pStyle w:val="NoSpacing"/>
            </w:pPr>
            <w:r w:rsidRPr="00730DE4">
              <w:t>Pilotage</w:t>
            </w:r>
          </w:p>
        </w:tc>
        <w:tc>
          <w:tcPr>
            <w:tcW w:w="78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97E2F7E" w14:textId="77777777" w:rsidR="00730DE4" w:rsidRPr="00730DE4" w:rsidRDefault="00730DE4" w:rsidP="00912B03">
            <w:pPr>
              <w:pStyle w:val="NoSpacing"/>
              <w:jc w:val="right"/>
            </w:pPr>
            <w:r w:rsidRPr="00730DE4">
              <w:t xml:space="preserve">108,970 </w:t>
            </w:r>
          </w:p>
        </w:tc>
        <w:tc>
          <w:tcPr>
            <w:tcW w:w="781"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8F0BC08" w14:textId="77777777" w:rsidR="00730DE4" w:rsidRPr="00730DE4" w:rsidRDefault="00730DE4" w:rsidP="00912B03">
            <w:pPr>
              <w:pStyle w:val="NoSpacing"/>
              <w:jc w:val="right"/>
            </w:pPr>
            <w:r w:rsidRPr="00730DE4">
              <w:t xml:space="preserve">105,934 </w:t>
            </w:r>
          </w:p>
        </w:tc>
      </w:tr>
      <w:tr w:rsidR="00730DE4" w:rsidRPr="00730DE4" w14:paraId="74ABB78D" w14:textId="77777777" w:rsidTr="00253FBD">
        <w:trPr>
          <w:trHeight w:val="240"/>
        </w:trPr>
        <w:tc>
          <w:tcPr>
            <w:tcW w:w="343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175D1A43" w14:textId="77777777" w:rsidR="00730DE4" w:rsidRPr="00730DE4" w:rsidRDefault="00730DE4" w:rsidP="00912B03">
            <w:pPr>
              <w:pStyle w:val="NoSpacing"/>
            </w:pPr>
            <w:r w:rsidRPr="00730DE4">
              <w:t>Property rental</w:t>
            </w:r>
          </w:p>
        </w:tc>
        <w:tc>
          <w:tcPr>
            <w:tcW w:w="78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9C53A61" w14:textId="77777777" w:rsidR="00730DE4" w:rsidRPr="00730DE4" w:rsidRDefault="00730DE4" w:rsidP="00912B03">
            <w:pPr>
              <w:pStyle w:val="NoSpacing"/>
              <w:jc w:val="right"/>
            </w:pPr>
            <w:r w:rsidRPr="00730DE4">
              <w:t xml:space="preserve">44,478 </w:t>
            </w:r>
          </w:p>
        </w:tc>
        <w:tc>
          <w:tcPr>
            <w:tcW w:w="781"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4E5D845D" w14:textId="77777777" w:rsidR="00730DE4" w:rsidRPr="00730DE4" w:rsidRDefault="00730DE4" w:rsidP="00912B03">
            <w:pPr>
              <w:pStyle w:val="NoSpacing"/>
              <w:jc w:val="right"/>
            </w:pPr>
            <w:r w:rsidRPr="00730DE4">
              <w:t xml:space="preserve">38,677 </w:t>
            </w:r>
          </w:p>
        </w:tc>
      </w:tr>
      <w:tr w:rsidR="00730DE4" w:rsidRPr="00730DE4" w14:paraId="533AA345" w14:textId="77777777" w:rsidTr="00253FBD">
        <w:trPr>
          <w:trHeight w:val="240"/>
        </w:trPr>
        <w:tc>
          <w:tcPr>
            <w:tcW w:w="343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AAD9F45" w14:textId="77777777" w:rsidR="00730DE4" w:rsidRPr="00730DE4" w:rsidRDefault="00730DE4" w:rsidP="00912B03">
            <w:pPr>
              <w:pStyle w:val="NoSpacing"/>
            </w:pPr>
            <w:r w:rsidRPr="00730DE4">
              <w:t xml:space="preserve">Recoverable works </w:t>
            </w:r>
          </w:p>
        </w:tc>
        <w:tc>
          <w:tcPr>
            <w:tcW w:w="78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1C40E6D" w14:textId="77777777" w:rsidR="00730DE4" w:rsidRPr="00730DE4" w:rsidRDefault="00730DE4" w:rsidP="00912B03">
            <w:pPr>
              <w:pStyle w:val="NoSpacing"/>
              <w:jc w:val="right"/>
            </w:pPr>
            <w:r w:rsidRPr="00730DE4">
              <w:t xml:space="preserve">36,171 </w:t>
            </w:r>
          </w:p>
        </w:tc>
        <w:tc>
          <w:tcPr>
            <w:tcW w:w="781"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96A6F40" w14:textId="77777777" w:rsidR="00730DE4" w:rsidRPr="00730DE4" w:rsidRDefault="00730DE4" w:rsidP="00912B03">
            <w:pPr>
              <w:pStyle w:val="NoSpacing"/>
              <w:jc w:val="right"/>
            </w:pPr>
            <w:r w:rsidRPr="00730DE4">
              <w:t xml:space="preserve">26,913 </w:t>
            </w:r>
          </w:p>
        </w:tc>
      </w:tr>
      <w:tr w:rsidR="00730DE4" w:rsidRPr="00730DE4" w14:paraId="17632ADC" w14:textId="77777777" w:rsidTr="00253FBD">
        <w:trPr>
          <w:trHeight w:val="240"/>
        </w:trPr>
        <w:tc>
          <w:tcPr>
            <w:tcW w:w="343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0B9670AD" w14:textId="77777777" w:rsidR="00730DE4" w:rsidRPr="00730DE4" w:rsidRDefault="00730DE4" w:rsidP="00912B03">
            <w:pPr>
              <w:pStyle w:val="NoSpacing"/>
            </w:pPr>
            <w:r w:rsidRPr="00730DE4">
              <w:t>Registration fee surcharge</w:t>
            </w:r>
          </w:p>
        </w:tc>
        <w:tc>
          <w:tcPr>
            <w:tcW w:w="78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56D51D3" w14:textId="77777777" w:rsidR="00730DE4" w:rsidRPr="00730DE4" w:rsidRDefault="00730DE4" w:rsidP="00912B03">
            <w:pPr>
              <w:pStyle w:val="NoSpacing"/>
              <w:jc w:val="right"/>
            </w:pPr>
            <w:r w:rsidRPr="00730DE4">
              <w:t xml:space="preserve">24,249 </w:t>
            </w:r>
          </w:p>
        </w:tc>
        <w:tc>
          <w:tcPr>
            <w:tcW w:w="781"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DE8CF3C" w14:textId="77777777" w:rsidR="00730DE4" w:rsidRPr="00730DE4" w:rsidRDefault="00730DE4" w:rsidP="00912B03">
            <w:pPr>
              <w:pStyle w:val="NoSpacing"/>
              <w:jc w:val="right"/>
            </w:pPr>
            <w:r w:rsidRPr="00730DE4">
              <w:t xml:space="preserve">23,266 </w:t>
            </w:r>
          </w:p>
        </w:tc>
      </w:tr>
      <w:tr w:rsidR="00730DE4" w:rsidRPr="00730DE4" w14:paraId="24CDA3A5" w14:textId="77777777" w:rsidTr="00253FBD">
        <w:trPr>
          <w:trHeight w:val="240"/>
        </w:trPr>
        <w:tc>
          <w:tcPr>
            <w:tcW w:w="343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526FE95A" w14:textId="77777777" w:rsidR="00730DE4" w:rsidRPr="00730DE4" w:rsidRDefault="00730DE4" w:rsidP="00912B03">
            <w:pPr>
              <w:pStyle w:val="NoSpacing"/>
            </w:pPr>
            <w:r w:rsidRPr="00730DE4">
              <w:t>Services provided by shared service providers *</w:t>
            </w:r>
          </w:p>
        </w:tc>
        <w:tc>
          <w:tcPr>
            <w:tcW w:w="78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A57FAB6" w14:textId="77777777" w:rsidR="00730DE4" w:rsidRPr="00730DE4" w:rsidRDefault="00730DE4" w:rsidP="00912B03">
            <w:pPr>
              <w:pStyle w:val="NoSpacing"/>
              <w:jc w:val="right"/>
            </w:pPr>
            <w:r w:rsidRPr="00730DE4">
              <w:t xml:space="preserve">142,077 </w:t>
            </w:r>
          </w:p>
        </w:tc>
        <w:tc>
          <w:tcPr>
            <w:tcW w:w="781"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C39E9DE" w14:textId="77777777" w:rsidR="00730DE4" w:rsidRPr="00730DE4" w:rsidRDefault="00730DE4" w:rsidP="00912B03">
            <w:pPr>
              <w:pStyle w:val="NoSpacing"/>
              <w:jc w:val="right"/>
            </w:pPr>
            <w:r w:rsidRPr="00730DE4">
              <w:t xml:space="preserve">13,699 </w:t>
            </w:r>
          </w:p>
        </w:tc>
      </w:tr>
      <w:tr w:rsidR="00730DE4" w:rsidRPr="00730DE4" w14:paraId="5B12B490" w14:textId="77777777" w:rsidTr="00253FBD">
        <w:trPr>
          <w:trHeight w:val="240"/>
        </w:trPr>
        <w:tc>
          <w:tcPr>
            <w:tcW w:w="343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000BBB0D" w14:textId="77777777" w:rsidR="00730DE4" w:rsidRPr="00730DE4" w:rsidRDefault="00730DE4" w:rsidP="00912B03">
            <w:pPr>
              <w:pStyle w:val="NoSpacing"/>
            </w:pPr>
            <w:r w:rsidRPr="00730DE4">
              <w:t>Services rendered</w:t>
            </w:r>
          </w:p>
        </w:tc>
        <w:tc>
          <w:tcPr>
            <w:tcW w:w="78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D13877C" w14:textId="77777777" w:rsidR="00730DE4" w:rsidRPr="00730DE4" w:rsidRDefault="00730DE4" w:rsidP="00912B03">
            <w:pPr>
              <w:pStyle w:val="NoSpacing"/>
              <w:jc w:val="right"/>
            </w:pPr>
            <w:r w:rsidRPr="00730DE4">
              <w:t xml:space="preserve">51,549 </w:t>
            </w:r>
          </w:p>
        </w:tc>
        <w:tc>
          <w:tcPr>
            <w:tcW w:w="781"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1418EDE" w14:textId="77777777" w:rsidR="00730DE4" w:rsidRPr="00730DE4" w:rsidRDefault="00730DE4" w:rsidP="00912B03">
            <w:pPr>
              <w:pStyle w:val="NoSpacing"/>
              <w:jc w:val="right"/>
            </w:pPr>
            <w:r w:rsidRPr="00730DE4">
              <w:t xml:space="preserve">33,458 </w:t>
            </w:r>
          </w:p>
        </w:tc>
      </w:tr>
      <w:tr w:rsidR="00730DE4" w:rsidRPr="00730DE4" w14:paraId="0DFE8ADD" w14:textId="77777777" w:rsidTr="00703E9F">
        <w:trPr>
          <w:trHeight w:val="240"/>
        </w:trPr>
        <w:tc>
          <w:tcPr>
            <w:tcW w:w="343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7A5D0F3" w14:textId="77777777" w:rsidR="00730DE4" w:rsidRPr="00730DE4" w:rsidRDefault="00730DE4" w:rsidP="00912B03">
            <w:pPr>
              <w:pStyle w:val="NoSpacing"/>
            </w:pPr>
            <w:r w:rsidRPr="00730DE4">
              <w:t>Toll revenue</w:t>
            </w:r>
          </w:p>
        </w:tc>
        <w:tc>
          <w:tcPr>
            <w:tcW w:w="78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F4DF5E9" w14:textId="77777777" w:rsidR="00730DE4" w:rsidRPr="00730DE4" w:rsidRDefault="00730DE4" w:rsidP="00912B03">
            <w:pPr>
              <w:pStyle w:val="NoSpacing"/>
              <w:jc w:val="right"/>
            </w:pPr>
            <w:r w:rsidRPr="00730DE4">
              <w:t xml:space="preserve">22,998 </w:t>
            </w:r>
          </w:p>
        </w:tc>
        <w:tc>
          <w:tcPr>
            <w:tcW w:w="781"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CDFBA65" w14:textId="77777777" w:rsidR="00730DE4" w:rsidRPr="00730DE4" w:rsidRDefault="00730DE4" w:rsidP="00912B03">
            <w:pPr>
              <w:pStyle w:val="NoSpacing"/>
              <w:jc w:val="right"/>
            </w:pPr>
            <w:r w:rsidRPr="00730DE4">
              <w:t xml:space="preserve">19,958 </w:t>
            </w:r>
          </w:p>
        </w:tc>
      </w:tr>
      <w:tr w:rsidR="00730DE4" w:rsidRPr="00730DE4" w14:paraId="08B62AA7" w14:textId="77777777" w:rsidTr="00703E9F">
        <w:trPr>
          <w:trHeight w:val="240"/>
        </w:trPr>
        <w:tc>
          <w:tcPr>
            <w:tcW w:w="3438"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7921EF69" w14:textId="77777777" w:rsidR="00730DE4" w:rsidRPr="00730DE4" w:rsidRDefault="00730DE4" w:rsidP="00912B03">
            <w:pPr>
              <w:pStyle w:val="NoSpacing"/>
            </w:pPr>
            <w:r w:rsidRPr="00730DE4">
              <w:t>Other</w:t>
            </w:r>
          </w:p>
        </w:tc>
        <w:tc>
          <w:tcPr>
            <w:tcW w:w="781"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25EA9904" w14:textId="77777777" w:rsidR="00730DE4" w:rsidRPr="00730DE4" w:rsidRDefault="00730DE4" w:rsidP="00912B03">
            <w:pPr>
              <w:pStyle w:val="NoSpacing"/>
              <w:jc w:val="right"/>
            </w:pPr>
            <w:r w:rsidRPr="00730DE4">
              <w:t xml:space="preserve">71,585 </w:t>
            </w:r>
          </w:p>
        </w:tc>
        <w:tc>
          <w:tcPr>
            <w:tcW w:w="781"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33FCEA52" w14:textId="77777777" w:rsidR="00730DE4" w:rsidRPr="00730DE4" w:rsidRDefault="00730DE4" w:rsidP="00912B03">
            <w:pPr>
              <w:pStyle w:val="NoSpacing"/>
              <w:jc w:val="right"/>
            </w:pPr>
            <w:r w:rsidRPr="00730DE4">
              <w:t xml:space="preserve">50,721 </w:t>
            </w:r>
          </w:p>
        </w:tc>
      </w:tr>
      <w:tr w:rsidR="00730DE4" w:rsidRPr="00730DE4" w14:paraId="5EE52BDC" w14:textId="77777777" w:rsidTr="00703E9F">
        <w:tc>
          <w:tcPr>
            <w:tcW w:w="3438"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4F8EFA7F" w14:textId="77777777" w:rsidR="00730DE4" w:rsidRPr="00730DE4" w:rsidRDefault="00730DE4" w:rsidP="00912B03">
            <w:pPr>
              <w:pStyle w:val="NoSpacing"/>
              <w:rPr>
                <w:b/>
                <w:bCs/>
              </w:rPr>
            </w:pPr>
            <w:r w:rsidRPr="00730DE4">
              <w:rPr>
                <w:rStyle w:val="Strong"/>
              </w:rPr>
              <w:t>Total</w:t>
            </w:r>
          </w:p>
        </w:tc>
        <w:tc>
          <w:tcPr>
            <w:tcW w:w="781"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3B2CABF6" w14:textId="77777777" w:rsidR="00730DE4" w:rsidRPr="00730DE4" w:rsidRDefault="00730DE4" w:rsidP="00912B03">
            <w:pPr>
              <w:pStyle w:val="NoSpacing"/>
              <w:jc w:val="right"/>
              <w:rPr>
                <w:b/>
                <w:bCs/>
              </w:rPr>
            </w:pPr>
            <w:r w:rsidRPr="00730DE4">
              <w:rPr>
                <w:rStyle w:val="Strong"/>
              </w:rPr>
              <w:t xml:space="preserve">1,104,337 </w:t>
            </w:r>
          </w:p>
        </w:tc>
        <w:tc>
          <w:tcPr>
            <w:tcW w:w="781" w:type="pct"/>
            <w:tcBorders>
              <w:top w:val="single" w:sz="4" w:space="0" w:color="auto"/>
              <w:left w:val="dotted" w:sz="4" w:space="0" w:color="BFBFBF" w:themeColor="background1" w:themeShade="BF"/>
              <w:bottom w:val="double" w:sz="4" w:space="0" w:color="auto"/>
              <w:right w:val="nil"/>
            </w:tcBorders>
            <w:shd w:val="clear" w:color="auto" w:fill="auto"/>
            <w:noWrap/>
            <w:hideMark/>
          </w:tcPr>
          <w:p w14:paraId="3BCDBD55" w14:textId="77777777" w:rsidR="00730DE4" w:rsidRPr="00730DE4" w:rsidRDefault="00730DE4" w:rsidP="00912B03">
            <w:pPr>
              <w:pStyle w:val="NoSpacing"/>
              <w:jc w:val="right"/>
              <w:rPr>
                <w:rStyle w:val="Strong"/>
              </w:rPr>
            </w:pPr>
            <w:r w:rsidRPr="00730DE4">
              <w:rPr>
                <w:rStyle w:val="Strong"/>
              </w:rPr>
              <w:t xml:space="preserve">778,843 </w:t>
            </w:r>
          </w:p>
        </w:tc>
      </w:tr>
    </w:tbl>
    <w:p w14:paraId="18D089CA" w14:textId="77777777" w:rsidR="00730DE4" w:rsidRPr="00730DE4" w:rsidRDefault="00730DE4" w:rsidP="005710A8">
      <w:pPr>
        <w:pStyle w:val="List0"/>
      </w:pPr>
      <w:r w:rsidRPr="00730DE4">
        <w:t>* Relates to functions provided by the Queensland Government Customer and Digital Group following the May 2023 machinery-of-government change. Transactions in 2024 represent the full financial year and 2023 represents one month.</w:t>
      </w:r>
    </w:p>
    <w:p w14:paraId="1342CF52" w14:textId="77777777" w:rsidR="00730DE4" w:rsidRPr="00730DE4" w:rsidRDefault="00730DE4" w:rsidP="003C13D4">
      <w:pPr>
        <w:rPr>
          <w:rStyle w:val="Strong"/>
        </w:rPr>
      </w:pPr>
      <w:r w:rsidRPr="00730DE4">
        <w:rPr>
          <w:rStyle w:val="Strong"/>
        </w:rPr>
        <w:t>Accounting policy</w:t>
      </w:r>
    </w:p>
    <w:p w14:paraId="05183477" w14:textId="77777777" w:rsidR="00730DE4" w:rsidRPr="00730DE4" w:rsidRDefault="00730DE4" w:rsidP="003C13D4">
      <w:pPr>
        <w:rPr>
          <w:color w:val="080C0F" w:themeColor="text1"/>
        </w:rPr>
      </w:pPr>
      <w:r w:rsidRPr="00730DE4">
        <w:rPr>
          <w:color w:val="080C0F" w:themeColor="text1"/>
        </w:rPr>
        <w:t>User charges and fees are recognised as performance obligations are met and as goods or services are provided to the customer.</w:t>
      </w:r>
    </w:p>
    <w:p w14:paraId="0CA16B23" w14:textId="77777777" w:rsidR="00730DE4" w:rsidRPr="00730DE4" w:rsidRDefault="00730DE4" w:rsidP="004A5032">
      <w:pPr>
        <w:pStyle w:val="Heading5"/>
      </w:pPr>
      <w:r w:rsidRPr="00730DE4">
        <w:br w:type="page"/>
      </w:r>
    </w:p>
    <w:p w14:paraId="2797D025" w14:textId="77777777" w:rsidR="00730DE4" w:rsidRPr="00730DE4" w:rsidRDefault="00730DE4" w:rsidP="00F517FD">
      <w:pPr>
        <w:pStyle w:val="Heading5"/>
      </w:pPr>
      <w:bookmarkStart w:id="1482" w:name="_Toc180490921"/>
      <w:bookmarkStart w:id="1483" w:name="_Toc180491954"/>
      <w:r w:rsidRPr="00730DE4">
        <w:t>4 Grants and other contributions</w:t>
      </w:r>
      <w:bookmarkEnd w:id="1482"/>
      <w:bookmarkEnd w:id="1483"/>
    </w:p>
    <w:tbl>
      <w:tblPr>
        <w:tblW w:w="5000" w:type="pct"/>
        <w:tblCellMar>
          <w:top w:w="23" w:type="dxa"/>
          <w:left w:w="23" w:type="dxa"/>
          <w:bottom w:w="23" w:type="dxa"/>
          <w:right w:w="23" w:type="dxa"/>
        </w:tblCellMar>
        <w:tblLook w:val="04A0" w:firstRow="1" w:lastRow="0" w:firstColumn="1" w:lastColumn="0" w:noHBand="0" w:noVBand="1"/>
      </w:tblPr>
      <w:tblGrid>
        <w:gridCol w:w="6236"/>
        <w:gridCol w:w="1417"/>
        <w:gridCol w:w="1417"/>
      </w:tblGrid>
      <w:tr w:rsidR="00730DE4" w:rsidRPr="00730DE4" w14:paraId="0245078B" w14:textId="77777777" w:rsidTr="00253FBD">
        <w:trPr>
          <w:trHeight w:val="240"/>
        </w:trPr>
        <w:tc>
          <w:tcPr>
            <w:tcW w:w="3438" w:type="pct"/>
            <w:tcBorders>
              <w:top w:val="nil"/>
              <w:left w:val="nil"/>
              <w:bottom w:val="single" w:sz="4" w:space="0" w:color="auto"/>
              <w:right w:val="nil"/>
            </w:tcBorders>
            <w:shd w:val="clear" w:color="auto" w:fill="auto"/>
            <w:noWrap/>
            <w:vAlign w:val="bottom"/>
          </w:tcPr>
          <w:p w14:paraId="0618D849" w14:textId="77777777" w:rsidR="00730DE4" w:rsidRPr="00730DE4" w:rsidRDefault="00730DE4" w:rsidP="00912B03">
            <w:pPr>
              <w:pStyle w:val="NoSpacing"/>
              <w:rPr>
                <w:rStyle w:val="Strong"/>
              </w:rPr>
            </w:pPr>
          </w:p>
        </w:tc>
        <w:tc>
          <w:tcPr>
            <w:tcW w:w="781" w:type="pct"/>
            <w:tcBorders>
              <w:top w:val="nil"/>
              <w:left w:val="nil"/>
              <w:bottom w:val="single" w:sz="4" w:space="0" w:color="auto"/>
              <w:right w:val="nil"/>
            </w:tcBorders>
            <w:shd w:val="clear" w:color="auto" w:fill="auto"/>
            <w:noWrap/>
            <w:vAlign w:val="bottom"/>
            <w:hideMark/>
          </w:tcPr>
          <w:p w14:paraId="022E2EE2" w14:textId="77777777" w:rsidR="00730DE4" w:rsidRPr="00730DE4" w:rsidRDefault="00730DE4" w:rsidP="00912B03">
            <w:pPr>
              <w:pStyle w:val="NoSpacing"/>
              <w:jc w:val="right"/>
              <w:rPr>
                <w:rStyle w:val="Strong"/>
              </w:rPr>
            </w:pPr>
            <w:r w:rsidRPr="00730DE4">
              <w:rPr>
                <w:rStyle w:val="Strong"/>
              </w:rPr>
              <w:t xml:space="preserve">2024 </w:t>
            </w:r>
            <w:r w:rsidRPr="00730DE4">
              <w:rPr>
                <w:rStyle w:val="Strong"/>
              </w:rPr>
              <w:br/>
              <w:t>$'000</w:t>
            </w:r>
          </w:p>
        </w:tc>
        <w:tc>
          <w:tcPr>
            <w:tcW w:w="781" w:type="pct"/>
            <w:tcBorders>
              <w:top w:val="nil"/>
              <w:left w:val="nil"/>
              <w:bottom w:val="single" w:sz="4" w:space="0" w:color="auto"/>
              <w:right w:val="nil"/>
            </w:tcBorders>
            <w:shd w:val="clear" w:color="auto" w:fill="auto"/>
            <w:noWrap/>
            <w:vAlign w:val="bottom"/>
            <w:hideMark/>
          </w:tcPr>
          <w:p w14:paraId="40C936B8" w14:textId="77777777" w:rsidR="00730DE4" w:rsidRPr="00730DE4" w:rsidRDefault="00730DE4" w:rsidP="00912B03">
            <w:pPr>
              <w:pStyle w:val="NoSpacing"/>
              <w:jc w:val="right"/>
              <w:rPr>
                <w:color w:val="080C0F" w:themeColor="text1"/>
              </w:rPr>
            </w:pPr>
            <w:r w:rsidRPr="00730DE4">
              <w:rPr>
                <w:rStyle w:val="Strong"/>
              </w:rPr>
              <w:t xml:space="preserve">2023 </w:t>
            </w:r>
            <w:r w:rsidRPr="00730DE4">
              <w:rPr>
                <w:rStyle w:val="Strong"/>
              </w:rPr>
              <w:br/>
              <w:t>$'000</w:t>
            </w:r>
          </w:p>
        </w:tc>
      </w:tr>
      <w:tr w:rsidR="00730DE4" w:rsidRPr="00730DE4" w14:paraId="38F1C19E" w14:textId="77777777" w:rsidTr="00253FBD">
        <w:trPr>
          <w:trHeight w:val="240"/>
        </w:trPr>
        <w:tc>
          <w:tcPr>
            <w:tcW w:w="3438"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D3F09AF" w14:textId="77777777" w:rsidR="00730DE4" w:rsidRPr="00730DE4" w:rsidRDefault="00730DE4" w:rsidP="00912B03">
            <w:pPr>
              <w:pStyle w:val="NoSpacing"/>
              <w:rPr>
                <w:color w:val="080C0F" w:themeColor="text1"/>
              </w:rPr>
            </w:pPr>
            <w:r w:rsidRPr="00730DE4">
              <w:rPr>
                <w:color w:val="080C0F" w:themeColor="text1"/>
              </w:rPr>
              <w:t>Goods, services and assets received at below fair value</w:t>
            </w:r>
          </w:p>
        </w:tc>
        <w:tc>
          <w:tcPr>
            <w:tcW w:w="781"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6633C2A" w14:textId="77777777" w:rsidR="00730DE4" w:rsidRPr="00730DE4" w:rsidRDefault="00730DE4" w:rsidP="00912B03">
            <w:pPr>
              <w:pStyle w:val="NoSpacing"/>
              <w:jc w:val="right"/>
              <w:rPr>
                <w:color w:val="080C0F" w:themeColor="text1"/>
              </w:rPr>
            </w:pPr>
            <w:r w:rsidRPr="00730DE4">
              <w:rPr>
                <w:color w:val="080C0F" w:themeColor="text1"/>
              </w:rPr>
              <w:t xml:space="preserve">41,978 </w:t>
            </w:r>
          </w:p>
        </w:tc>
        <w:tc>
          <w:tcPr>
            <w:tcW w:w="781"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80813F1" w14:textId="77777777" w:rsidR="00730DE4" w:rsidRPr="00730DE4" w:rsidRDefault="00730DE4" w:rsidP="00912B03">
            <w:pPr>
              <w:pStyle w:val="NoSpacing"/>
              <w:jc w:val="right"/>
              <w:rPr>
                <w:color w:val="080C0F" w:themeColor="text1"/>
              </w:rPr>
            </w:pPr>
            <w:r w:rsidRPr="00730DE4">
              <w:rPr>
                <w:color w:val="080C0F" w:themeColor="text1"/>
              </w:rPr>
              <w:t xml:space="preserve">51,830 </w:t>
            </w:r>
          </w:p>
        </w:tc>
      </w:tr>
      <w:tr w:rsidR="00730DE4" w:rsidRPr="00730DE4" w14:paraId="5B820CA5" w14:textId="77777777" w:rsidTr="00253FBD">
        <w:trPr>
          <w:trHeight w:val="240"/>
        </w:trPr>
        <w:tc>
          <w:tcPr>
            <w:tcW w:w="343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D9DA5AA" w14:textId="77777777" w:rsidR="00730DE4" w:rsidRPr="00730DE4" w:rsidRDefault="00730DE4" w:rsidP="00912B03">
            <w:pPr>
              <w:pStyle w:val="NoSpacing"/>
              <w:rPr>
                <w:color w:val="080C0F" w:themeColor="text1"/>
              </w:rPr>
            </w:pPr>
            <w:r w:rsidRPr="00730DE4">
              <w:rPr>
                <w:color w:val="080C0F" w:themeColor="text1"/>
              </w:rPr>
              <w:t>Grants from City of Gold Coast *</w:t>
            </w:r>
          </w:p>
        </w:tc>
        <w:tc>
          <w:tcPr>
            <w:tcW w:w="78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3E92761" w14:textId="77777777" w:rsidR="00730DE4" w:rsidRPr="00730DE4" w:rsidRDefault="00730DE4" w:rsidP="00912B03">
            <w:pPr>
              <w:pStyle w:val="NoSpacing"/>
              <w:jc w:val="right"/>
              <w:rPr>
                <w:color w:val="080C0F" w:themeColor="text1"/>
              </w:rPr>
            </w:pPr>
            <w:r w:rsidRPr="00730DE4">
              <w:rPr>
                <w:color w:val="080C0F" w:themeColor="text1"/>
              </w:rPr>
              <w:t xml:space="preserve">20,000 </w:t>
            </w:r>
          </w:p>
        </w:tc>
        <w:tc>
          <w:tcPr>
            <w:tcW w:w="781"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29865B0" w14:textId="77777777" w:rsidR="00730DE4" w:rsidRPr="00730DE4" w:rsidRDefault="00730DE4" w:rsidP="00912B03">
            <w:pPr>
              <w:pStyle w:val="NoSpacing"/>
              <w:jc w:val="right"/>
              <w:rPr>
                <w:color w:val="080C0F" w:themeColor="text1"/>
              </w:rPr>
            </w:pPr>
            <w:r w:rsidRPr="00730DE4">
              <w:rPr>
                <w:color w:val="080C0F" w:themeColor="text1"/>
              </w:rPr>
              <w:t xml:space="preserve">10,230 </w:t>
            </w:r>
          </w:p>
        </w:tc>
      </w:tr>
      <w:tr w:rsidR="00730DE4" w:rsidRPr="00730DE4" w14:paraId="36839F27" w14:textId="77777777" w:rsidTr="00253FBD">
        <w:trPr>
          <w:trHeight w:val="240"/>
        </w:trPr>
        <w:tc>
          <w:tcPr>
            <w:tcW w:w="343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72BEB96" w14:textId="77777777" w:rsidR="00730DE4" w:rsidRPr="00730DE4" w:rsidRDefault="00730DE4" w:rsidP="00912B03">
            <w:pPr>
              <w:pStyle w:val="NoSpacing"/>
              <w:rPr>
                <w:color w:val="080C0F" w:themeColor="text1"/>
              </w:rPr>
            </w:pPr>
            <w:r w:rsidRPr="00730DE4">
              <w:rPr>
                <w:color w:val="080C0F" w:themeColor="text1"/>
              </w:rPr>
              <w:t xml:space="preserve">Grants from Queensland Health </w:t>
            </w:r>
          </w:p>
        </w:tc>
        <w:tc>
          <w:tcPr>
            <w:tcW w:w="78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AF9A492" w14:textId="77777777" w:rsidR="00730DE4" w:rsidRPr="00730DE4" w:rsidRDefault="00730DE4" w:rsidP="00912B03">
            <w:pPr>
              <w:pStyle w:val="NoSpacing"/>
              <w:jc w:val="right"/>
              <w:rPr>
                <w:color w:val="080C0F" w:themeColor="text1"/>
              </w:rPr>
            </w:pPr>
            <w:r w:rsidRPr="00730DE4">
              <w:rPr>
                <w:color w:val="080C0F" w:themeColor="text1"/>
              </w:rPr>
              <w:t xml:space="preserve">- </w:t>
            </w:r>
          </w:p>
        </w:tc>
        <w:tc>
          <w:tcPr>
            <w:tcW w:w="781"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62B4F07" w14:textId="77777777" w:rsidR="00730DE4" w:rsidRPr="00730DE4" w:rsidRDefault="00730DE4" w:rsidP="00912B03">
            <w:pPr>
              <w:pStyle w:val="NoSpacing"/>
              <w:jc w:val="right"/>
              <w:rPr>
                <w:color w:val="080C0F" w:themeColor="text1"/>
              </w:rPr>
            </w:pPr>
            <w:r w:rsidRPr="00730DE4">
              <w:rPr>
                <w:color w:val="080C0F" w:themeColor="text1"/>
              </w:rPr>
              <w:t xml:space="preserve">6,688 </w:t>
            </w:r>
          </w:p>
        </w:tc>
      </w:tr>
      <w:tr w:rsidR="00730DE4" w:rsidRPr="00730DE4" w14:paraId="20217CDD" w14:textId="77777777" w:rsidTr="00253FBD">
        <w:trPr>
          <w:trHeight w:val="240"/>
        </w:trPr>
        <w:tc>
          <w:tcPr>
            <w:tcW w:w="343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27D6C50" w14:textId="77777777" w:rsidR="00730DE4" w:rsidRPr="00730DE4" w:rsidRDefault="00730DE4" w:rsidP="00912B03">
            <w:pPr>
              <w:pStyle w:val="NoSpacing"/>
              <w:rPr>
                <w:color w:val="080C0F" w:themeColor="text1"/>
              </w:rPr>
            </w:pPr>
            <w:r w:rsidRPr="00730DE4">
              <w:rPr>
                <w:color w:val="080C0F" w:themeColor="text1"/>
              </w:rPr>
              <w:t>Grants from Queensland Reconstruction Authority **</w:t>
            </w:r>
          </w:p>
        </w:tc>
        <w:tc>
          <w:tcPr>
            <w:tcW w:w="78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0B12E66" w14:textId="77777777" w:rsidR="00730DE4" w:rsidRPr="00730DE4" w:rsidRDefault="00730DE4" w:rsidP="00912B03">
            <w:pPr>
              <w:pStyle w:val="NoSpacing"/>
              <w:jc w:val="right"/>
              <w:rPr>
                <w:color w:val="080C0F" w:themeColor="text1"/>
              </w:rPr>
            </w:pPr>
            <w:r w:rsidRPr="00730DE4">
              <w:rPr>
                <w:color w:val="080C0F" w:themeColor="text1"/>
              </w:rPr>
              <w:t xml:space="preserve">476,160 </w:t>
            </w:r>
          </w:p>
        </w:tc>
        <w:tc>
          <w:tcPr>
            <w:tcW w:w="781"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84DEA47" w14:textId="77777777" w:rsidR="00730DE4" w:rsidRPr="00730DE4" w:rsidRDefault="00730DE4" w:rsidP="00912B03">
            <w:pPr>
              <w:pStyle w:val="NoSpacing"/>
              <w:jc w:val="right"/>
              <w:rPr>
                <w:color w:val="080C0F" w:themeColor="text1"/>
              </w:rPr>
            </w:pPr>
            <w:r w:rsidRPr="00730DE4">
              <w:rPr>
                <w:color w:val="080C0F" w:themeColor="text1"/>
              </w:rPr>
              <w:t xml:space="preserve">152,462 </w:t>
            </w:r>
          </w:p>
        </w:tc>
      </w:tr>
      <w:tr w:rsidR="00730DE4" w:rsidRPr="00730DE4" w14:paraId="56088F4D" w14:textId="77777777" w:rsidTr="00703E9F">
        <w:trPr>
          <w:trHeight w:val="240"/>
        </w:trPr>
        <w:tc>
          <w:tcPr>
            <w:tcW w:w="343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3FBFE04F" w14:textId="77777777" w:rsidR="00730DE4" w:rsidRPr="00730DE4" w:rsidRDefault="00730DE4" w:rsidP="00912B03">
            <w:pPr>
              <w:pStyle w:val="NoSpacing"/>
              <w:rPr>
                <w:color w:val="080C0F" w:themeColor="text1"/>
              </w:rPr>
            </w:pPr>
            <w:r w:rsidRPr="00730DE4">
              <w:rPr>
                <w:color w:val="080C0F" w:themeColor="text1"/>
              </w:rPr>
              <w:t>Subsidies from Department of Education for students with disabilities</w:t>
            </w:r>
          </w:p>
        </w:tc>
        <w:tc>
          <w:tcPr>
            <w:tcW w:w="78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F0D0F1D" w14:textId="77777777" w:rsidR="00730DE4" w:rsidRPr="00730DE4" w:rsidRDefault="00730DE4" w:rsidP="00912B03">
            <w:pPr>
              <w:pStyle w:val="NoSpacing"/>
              <w:jc w:val="right"/>
              <w:rPr>
                <w:color w:val="080C0F" w:themeColor="text1"/>
              </w:rPr>
            </w:pPr>
            <w:r w:rsidRPr="00730DE4">
              <w:rPr>
                <w:color w:val="080C0F" w:themeColor="text1"/>
              </w:rPr>
              <w:t xml:space="preserve">54,662 </w:t>
            </w:r>
          </w:p>
        </w:tc>
        <w:tc>
          <w:tcPr>
            <w:tcW w:w="781"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309B242" w14:textId="77777777" w:rsidR="00730DE4" w:rsidRPr="00730DE4" w:rsidRDefault="00730DE4" w:rsidP="00912B03">
            <w:pPr>
              <w:pStyle w:val="NoSpacing"/>
              <w:jc w:val="right"/>
              <w:rPr>
                <w:color w:val="080C0F" w:themeColor="text1"/>
              </w:rPr>
            </w:pPr>
            <w:r w:rsidRPr="00730DE4">
              <w:rPr>
                <w:color w:val="080C0F" w:themeColor="text1"/>
              </w:rPr>
              <w:t xml:space="preserve">49,640 </w:t>
            </w:r>
          </w:p>
        </w:tc>
      </w:tr>
      <w:tr w:rsidR="00730DE4" w:rsidRPr="00730DE4" w14:paraId="654A2331" w14:textId="77777777" w:rsidTr="00703E9F">
        <w:trPr>
          <w:trHeight w:val="240"/>
        </w:trPr>
        <w:tc>
          <w:tcPr>
            <w:tcW w:w="3438"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216E6A98" w14:textId="77777777" w:rsidR="00730DE4" w:rsidRPr="00730DE4" w:rsidRDefault="00730DE4" w:rsidP="00912B03">
            <w:pPr>
              <w:pStyle w:val="NoSpacing"/>
              <w:rPr>
                <w:color w:val="080C0F" w:themeColor="text1"/>
              </w:rPr>
            </w:pPr>
            <w:r w:rsidRPr="00730DE4">
              <w:rPr>
                <w:color w:val="080C0F" w:themeColor="text1"/>
              </w:rPr>
              <w:t>Other</w:t>
            </w:r>
          </w:p>
        </w:tc>
        <w:tc>
          <w:tcPr>
            <w:tcW w:w="781"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23FC1918" w14:textId="77777777" w:rsidR="00730DE4" w:rsidRPr="00730DE4" w:rsidRDefault="00730DE4" w:rsidP="00912B03">
            <w:pPr>
              <w:pStyle w:val="NoSpacing"/>
              <w:jc w:val="right"/>
              <w:rPr>
                <w:color w:val="080C0F" w:themeColor="text1"/>
              </w:rPr>
            </w:pPr>
            <w:r w:rsidRPr="00730DE4">
              <w:rPr>
                <w:color w:val="080C0F" w:themeColor="text1"/>
              </w:rPr>
              <w:t xml:space="preserve">4,213 </w:t>
            </w:r>
          </w:p>
        </w:tc>
        <w:tc>
          <w:tcPr>
            <w:tcW w:w="781"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195B7953" w14:textId="77777777" w:rsidR="00730DE4" w:rsidRPr="00730DE4" w:rsidRDefault="00730DE4" w:rsidP="00912B03">
            <w:pPr>
              <w:pStyle w:val="NoSpacing"/>
              <w:jc w:val="right"/>
              <w:rPr>
                <w:color w:val="080C0F" w:themeColor="text1"/>
              </w:rPr>
            </w:pPr>
            <w:r w:rsidRPr="00730DE4">
              <w:rPr>
                <w:color w:val="080C0F" w:themeColor="text1"/>
              </w:rPr>
              <w:t xml:space="preserve">5,238 </w:t>
            </w:r>
          </w:p>
        </w:tc>
      </w:tr>
      <w:tr w:rsidR="00730DE4" w:rsidRPr="00730DE4" w14:paraId="44F1D02B" w14:textId="77777777" w:rsidTr="00703E9F">
        <w:tc>
          <w:tcPr>
            <w:tcW w:w="3438"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6834F7EC" w14:textId="77777777" w:rsidR="00730DE4" w:rsidRPr="00730DE4" w:rsidRDefault="00730DE4" w:rsidP="00912B03">
            <w:pPr>
              <w:pStyle w:val="NoSpacing"/>
              <w:rPr>
                <w:color w:val="080C0F" w:themeColor="text1"/>
              </w:rPr>
            </w:pPr>
            <w:r w:rsidRPr="00730DE4">
              <w:rPr>
                <w:rStyle w:val="Strong"/>
              </w:rPr>
              <w:t>Total</w:t>
            </w:r>
          </w:p>
        </w:tc>
        <w:tc>
          <w:tcPr>
            <w:tcW w:w="781"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531812DE" w14:textId="77777777" w:rsidR="00730DE4" w:rsidRPr="00730DE4" w:rsidRDefault="00730DE4" w:rsidP="00912B03">
            <w:pPr>
              <w:pStyle w:val="NoSpacing"/>
              <w:jc w:val="right"/>
              <w:rPr>
                <w:color w:val="080C0F" w:themeColor="text1"/>
              </w:rPr>
            </w:pPr>
            <w:r w:rsidRPr="00730DE4">
              <w:rPr>
                <w:rStyle w:val="Strong"/>
              </w:rPr>
              <w:t xml:space="preserve">597,013 </w:t>
            </w:r>
          </w:p>
        </w:tc>
        <w:tc>
          <w:tcPr>
            <w:tcW w:w="781" w:type="pct"/>
            <w:tcBorders>
              <w:top w:val="single" w:sz="4" w:space="0" w:color="auto"/>
              <w:left w:val="dotted" w:sz="4" w:space="0" w:color="BFBFBF" w:themeColor="background1" w:themeShade="BF"/>
              <w:bottom w:val="double" w:sz="4" w:space="0" w:color="auto"/>
              <w:right w:val="nil"/>
            </w:tcBorders>
            <w:shd w:val="clear" w:color="auto" w:fill="auto"/>
            <w:noWrap/>
            <w:hideMark/>
          </w:tcPr>
          <w:p w14:paraId="5D98AB55" w14:textId="77777777" w:rsidR="00730DE4" w:rsidRPr="00730DE4" w:rsidRDefault="00730DE4" w:rsidP="00912B03">
            <w:pPr>
              <w:pStyle w:val="NoSpacing"/>
              <w:jc w:val="right"/>
              <w:rPr>
                <w:rStyle w:val="Strong"/>
              </w:rPr>
            </w:pPr>
            <w:r w:rsidRPr="00730DE4">
              <w:rPr>
                <w:rStyle w:val="Strong"/>
              </w:rPr>
              <w:t xml:space="preserve">276,088 </w:t>
            </w:r>
          </w:p>
        </w:tc>
      </w:tr>
    </w:tbl>
    <w:p w14:paraId="0BCBD7DE" w14:textId="77777777" w:rsidR="00730DE4" w:rsidRPr="00730DE4" w:rsidRDefault="00730DE4" w:rsidP="005710A8">
      <w:pPr>
        <w:pStyle w:val="List0"/>
      </w:pPr>
      <w:r w:rsidRPr="00730DE4">
        <w:t>* Grants related to the Gold Coast Light Rail system Stage 3.</w:t>
      </w:r>
    </w:p>
    <w:p w14:paraId="262515C0" w14:textId="77777777" w:rsidR="00730DE4" w:rsidRPr="00730DE4" w:rsidRDefault="00730DE4" w:rsidP="005710A8">
      <w:pPr>
        <w:pStyle w:val="List1"/>
      </w:pPr>
      <w:r w:rsidRPr="00730DE4">
        <w:t>** Grants received for the rebuilding of transport infrastructure following natural disasters under the Disaster Recovery Funding Arrangements.</w:t>
      </w:r>
    </w:p>
    <w:p w14:paraId="77C01FC4" w14:textId="77777777" w:rsidR="00730DE4" w:rsidRPr="00730DE4" w:rsidRDefault="00730DE4" w:rsidP="003C13D4">
      <w:pPr>
        <w:rPr>
          <w:rStyle w:val="Strong"/>
        </w:rPr>
      </w:pPr>
      <w:r w:rsidRPr="00730DE4">
        <w:rPr>
          <w:rStyle w:val="Strong"/>
        </w:rPr>
        <w:t xml:space="preserve">Accounting policy </w:t>
      </w:r>
    </w:p>
    <w:p w14:paraId="208FAB2D" w14:textId="77777777" w:rsidR="00730DE4" w:rsidRPr="00730DE4" w:rsidRDefault="00730DE4" w:rsidP="003C13D4">
      <w:pPr>
        <w:rPr>
          <w:color w:val="080C0F" w:themeColor="text1"/>
        </w:rPr>
      </w:pPr>
      <w:r w:rsidRPr="00730DE4">
        <w:rPr>
          <w:color w:val="080C0F" w:themeColor="text1"/>
        </w:rPr>
        <w:t xml:space="preserve">Grants, contributions and donations are non-reciprocal transactions where the department does not directly give approximately equal value to the grantor. </w:t>
      </w:r>
    </w:p>
    <w:p w14:paraId="42A69252" w14:textId="77777777" w:rsidR="00730DE4" w:rsidRPr="00730DE4" w:rsidRDefault="00730DE4" w:rsidP="003C13D4">
      <w:pPr>
        <w:rPr>
          <w:color w:val="080C0F" w:themeColor="text1"/>
        </w:rPr>
      </w:pPr>
      <w:r w:rsidRPr="00730DE4">
        <w:rPr>
          <w:color w:val="080C0F" w:themeColor="text1"/>
        </w:rPr>
        <w:t xml:space="preserve">Where the grant agreement is enforceable and contains sufficiently specific performance obligations for the department to transfer goods or services to a third-party on the grantor’s behalf, the transaction is accounted for under AASB 15 </w:t>
      </w:r>
      <w:r w:rsidRPr="00730DE4">
        <w:rPr>
          <w:i/>
          <w:iCs/>
          <w:color w:val="080C0F" w:themeColor="text1"/>
        </w:rPr>
        <w:t>Revenue from Contracts with Customers</w:t>
      </w:r>
      <w:r w:rsidRPr="00730DE4">
        <w:rPr>
          <w:color w:val="080C0F" w:themeColor="text1"/>
        </w:rPr>
        <w:t>. In this case revenue is initially deferred as a contract liability and recognised as or when the performance obligations are satisfied.</w:t>
      </w:r>
    </w:p>
    <w:p w14:paraId="0B483DBE" w14:textId="77777777" w:rsidR="00730DE4" w:rsidRPr="00730DE4" w:rsidRDefault="00730DE4" w:rsidP="003C13D4">
      <w:pPr>
        <w:rPr>
          <w:color w:val="080C0F" w:themeColor="text1"/>
        </w:rPr>
      </w:pPr>
      <w:r w:rsidRPr="00730DE4">
        <w:rPr>
          <w:color w:val="080C0F" w:themeColor="text1"/>
        </w:rPr>
        <w:t xml:space="preserve">Otherwise, the grant is accounted for under AASB 1058 </w:t>
      </w:r>
      <w:r w:rsidRPr="00730DE4">
        <w:rPr>
          <w:i/>
          <w:iCs/>
          <w:color w:val="080C0F" w:themeColor="text1"/>
        </w:rPr>
        <w:t>Income of Not-for-Profit Entities</w:t>
      </w:r>
      <w:r w:rsidRPr="00730DE4">
        <w:rPr>
          <w:color w:val="080C0F" w:themeColor="text1"/>
        </w:rPr>
        <w:t>, whereby revenue is recognised upon receipt of the grant funding, except for special purpose capital grants received to construct non-financial assets controlled by the department. Special purpose capital grants are recognised as unearned revenue when received, and subsequently recognised progressively as revenue as the department satisfies its obligations under the grant through construction of the asset.</w:t>
      </w:r>
    </w:p>
    <w:p w14:paraId="6D754F5A" w14:textId="77777777" w:rsidR="00730DE4" w:rsidRPr="00730DE4" w:rsidRDefault="00730DE4" w:rsidP="003C13D4">
      <w:pPr>
        <w:rPr>
          <w:color w:val="080C0F" w:themeColor="text1"/>
        </w:rPr>
      </w:pPr>
      <w:r w:rsidRPr="00730DE4">
        <w:rPr>
          <w:color w:val="080C0F" w:themeColor="text1"/>
        </w:rPr>
        <w:t>Contributions of services are recognised only if the services would have been purchased if they had not been donated and their fair value can be measured reliably. Where this is the case, the amount representing the fair value is recognised as revenue with a corresponding expense for the same amount.</w:t>
      </w:r>
    </w:p>
    <w:p w14:paraId="48722BC7" w14:textId="77777777" w:rsidR="00730DE4" w:rsidRPr="00730DE4" w:rsidRDefault="00730DE4" w:rsidP="003C13D4">
      <w:pPr>
        <w:rPr>
          <w:color w:val="080C0F" w:themeColor="text1"/>
        </w:rPr>
      </w:pPr>
      <w:r w:rsidRPr="00730DE4">
        <w:rPr>
          <w:color w:val="080C0F" w:themeColor="text1"/>
        </w:rPr>
        <w:t>Contributed physical assets are recognised at their fair value.</w:t>
      </w:r>
    </w:p>
    <w:p w14:paraId="5F064356" w14:textId="77777777" w:rsidR="00730DE4" w:rsidRPr="00730DE4" w:rsidRDefault="00730DE4" w:rsidP="00D16D4F">
      <w:pPr>
        <w:pStyle w:val="Heading4"/>
      </w:pPr>
      <w:r w:rsidRPr="00730DE4">
        <w:br w:type="page"/>
      </w:r>
    </w:p>
    <w:p w14:paraId="0E52367A" w14:textId="77777777" w:rsidR="00730DE4" w:rsidRPr="00730DE4" w:rsidRDefault="00730DE4" w:rsidP="00D16D4F">
      <w:pPr>
        <w:pStyle w:val="Heading4"/>
      </w:pPr>
      <w:bookmarkStart w:id="1484" w:name="_Toc179365605"/>
      <w:bookmarkStart w:id="1485" w:name="_Toc180490922"/>
      <w:bookmarkStart w:id="1486" w:name="_Toc180491955"/>
      <w:r w:rsidRPr="00730DE4">
        <w:t>Expenses</w:t>
      </w:r>
      <w:bookmarkEnd w:id="1484"/>
      <w:bookmarkEnd w:id="1485"/>
      <w:bookmarkEnd w:id="1486"/>
    </w:p>
    <w:p w14:paraId="03009FF2" w14:textId="77777777" w:rsidR="00730DE4" w:rsidRPr="00730DE4" w:rsidRDefault="00730DE4" w:rsidP="00F517FD">
      <w:pPr>
        <w:pStyle w:val="Heading5"/>
      </w:pPr>
      <w:bookmarkStart w:id="1487" w:name="_Toc180490923"/>
      <w:bookmarkStart w:id="1488" w:name="_Toc180491956"/>
      <w:r w:rsidRPr="00730DE4">
        <w:t>5 Employee expenses</w:t>
      </w:r>
      <w:bookmarkEnd w:id="1487"/>
      <w:bookmarkEnd w:id="1488"/>
    </w:p>
    <w:tbl>
      <w:tblPr>
        <w:tblW w:w="5000" w:type="pct"/>
        <w:tblCellMar>
          <w:top w:w="23" w:type="dxa"/>
          <w:left w:w="23" w:type="dxa"/>
          <w:bottom w:w="23" w:type="dxa"/>
          <w:right w:w="23" w:type="dxa"/>
        </w:tblCellMar>
        <w:tblLook w:val="04A0" w:firstRow="1" w:lastRow="0" w:firstColumn="1" w:lastColumn="0" w:noHBand="0" w:noVBand="1"/>
      </w:tblPr>
      <w:tblGrid>
        <w:gridCol w:w="6236"/>
        <w:gridCol w:w="1417"/>
        <w:gridCol w:w="1417"/>
      </w:tblGrid>
      <w:tr w:rsidR="00730DE4" w:rsidRPr="00730DE4" w14:paraId="342A66CD" w14:textId="77777777" w:rsidTr="00207297">
        <w:trPr>
          <w:trHeight w:val="240"/>
        </w:trPr>
        <w:tc>
          <w:tcPr>
            <w:tcW w:w="3438" w:type="pct"/>
            <w:tcBorders>
              <w:top w:val="nil"/>
              <w:left w:val="nil"/>
              <w:bottom w:val="single" w:sz="4" w:space="0" w:color="auto"/>
              <w:right w:val="nil"/>
            </w:tcBorders>
            <w:shd w:val="clear" w:color="auto" w:fill="auto"/>
            <w:noWrap/>
            <w:vAlign w:val="bottom"/>
          </w:tcPr>
          <w:p w14:paraId="4A04AE2D" w14:textId="77777777" w:rsidR="00730DE4" w:rsidRPr="00730DE4" w:rsidRDefault="00730DE4" w:rsidP="00912B03">
            <w:pPr>
              <w:pStyle w:val="NoSpacing"/>
              <w:rPr>
                <w:rStyle w:val="Strong"/>
              </w:rPr>
            </w:pPr>
          </w:p>
        </w:tc>
        <w:tc>
          <w:tcPr>
            <w:tcW w:w="781" w:type="pct"/>
            <w:tcBorders>
              <w:top w:val="nil"/>
              <w:left w:val="nil"/>
              <w:bottom w:val="single" w:sz="4" w:space="0" w:color="auto"/>
              <w:right w:val="nil"/>
            </w:tcBorders>
            <w:shd w:val="clear" w:color="auto" w:fill="auto"/>
            <w:noWrap/>
            <w:vAlign w:val="bottom"/>
            <w:hideMark/>
          </w:tcPr>
          <w:p w14:paraId="309AD515" w14:textId="77777777" w:rsidR="00730DE4" w:rsidRPr="00730DE4" w:rsidRDefault="00730DE4" w:rsidP="00912B03">
            <w:pPr>
              <w:pStyle w:val="NoSpacing"/>
              <w:jc w:val="right"/>
              <w:rPr>
                <w:b/>
                <w:bCs/>
              </w:rPr>
            </w:pPr>
            <w:r w:rsidRPr="00730DE4">
              <w:rPr>
                <w:rStyle w:val="Strong"/>
              </w:rPr>
              <w:t xml:space="preserve">2024 </w:t>
            </w:r>
            <w:r w:rsidRPr="00730DE4">
              <w:rPr>
                <w:rStyle w:val="Strong"/>
              </w:rPr>
              <w:br/>
              <w:t>$'000</w:t>
            </w:r>
          </w:p>
        </w:tc>
        <w:tc>
          <w:tcPr>
            <w:tcW w:w="781" w:type="pct"/>
            <w:tcBorders>
              <w:top w:val="nil"/>
              <w:left w:val="nil"/>
              <w:bottom w:val="single" w:sz="4" w:space="0" w:color="auto"/>
              <w:right w:val="nil"/>
            </w:tcBorders>
            <w:shd w:val="clear" w:color="auto" w:fill="auto"/>
            <w:noWrap/>
            <w:vAlign w:val="bottom"/>
            <w:hideMark/>
          </w:tcPr>
          <w:p w14:paraId="3EED6437" w14:textId="77777777" w:rsidR="00730DE4" w:rsidRPr="00730DE4" w:rsidRDefault="00730DE4" w:rsidP="00912B03">
            <w:pPr>
              <w:pStyle w:val="NoSpacing"/>
              <w:jc w:val="right"/>
              <w:rPr>
                <w:rStyle w:val="Strong"/>
              </w:rPr>
            </w:pPr>
            <w:r w:rsidRPr="00730DE4">
              <w:rPr>
                <w:rStyle w:val="Strong"/>
              </w:rPr>
              <w:t xml:space="preserve">2023 </w:t>
            </w:r>
            <w:r w:rsidRPr="00730DE4">
              <w:rPr>
                <w:rStyle w:val="Strong"/>
              </w:rPr>
              <w:br/>
              <w:t>$'000</w:t>
            </w:r>
          </w:p>
        </w:tc>
      </w:tr>
      <w:tr w:rsidR="00730DE4" w:rsidRPr="00730DE4" w14:paraId="1F7F756C" w14:textId="77777777" w:rsidTr="00207297">
        <w:trPr>
          <w:trHeight w:val="454"/>
        </w:trPr>
        <w:tc>
          <w:tcPr>
            <w:tcW w:w="3438"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59B691A0" w14:textId="77777777" w:rsidR="00730DE4" w:rsidRPr="00730DE4" w:rsidRDefault="00730DE4" w:rsidP="00912B03">
            <w:pPr>
              <w:pStyle w:val="NoSpacing"/>
              <w:rPr>
                <w:b/>
                <w:bCs/>
              </w:rPr>
            </w:pPr>
            <w:r w:rsidRPr="00730DE4">
              <w:rPr>
                <w:rStyle w:val="Strong"/>
              </w:rPr>
              <w:t>Employee benefits *</w:t>
            </w:r>
          </w:p>
        </w:tc>
        <w:tc>
          <w:tcPr>
            <w:tcW w:w="781"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BFD8815" w14:textId="77777777" w:rsidR="00730DE4" w:rsidRPr="00730DE4" w:rsidRDefault="00730DE4" w:rsidP="00912B03">
            <w:pPr>
              <w:pStyle w:val="NoSpacing"/>
              <w:jc w:val="right"/>
              <w:rPr>
                <w:rStyle w:val="Strong"/>
              </w:rPr>
            </w:pPr>
          </w:p>
        </w:tc>
        <w:tc>
          <w:tcPr>
            <w:tcW w:w="781"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85A691D" w14:textId="77777777" w:rsidR="00730DE4" w:rsidRPr="00730DE4" w:rsidRDefault="00730DE4" w:rsidP="00912B03">
            <w:pPr>
              <w:pStyle w:val="NoSpacing"/>
              <w:jc w:val="right"/>
            </w:pPr>
          </w:p>
        </w:tc>
      </w:tr>
      <w:tr w:rsidR="00730DE4" w:rsidRPr="00730DE4" w14:paraId="11695EC9" w14:textId="77777777" w:rsidTr="00207297">
        <w:trPr>
          <w:trHeight w:val="240"/>
        </w:trPr>
        <w:tc>
          <w:tcPr>
            <w:tcW w:w="343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7C87BAF" w14:textId="77777777" w:rsidR="00730DE4" w:rsidRPr="00730DE4" w:rsidRDefault="00730DE4" w:rsidP="00912B03">
            <w:pPr>
              <w:pStyle w:val="NoSpacing"/>
            </w:pPr>
            <w:r w:rsidRPr="00730DE4">
              <w:t>Annual leave levy</w:t>
            </w:r>
          </w:p>
        </w:tc>
        <w:tc>
          <w:tcPr>
            <w:tcW w:w="78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13DE567" w14:textId="77777777" w:rsidR="00730DE4" w:rsidRPr="00730DE4" w:rsidRDefault="00730DE4" w:rsidP="00912B03">
            <w:pPr>
              <w:pStyle w:val="NoSpacing"/>
              <w:jc w:val="right"/>
            </w:pPr>
            <w:r w:rsidRPr="00730DE4">
              <w:t xml:space="preserve">83,802 </w:t>
            </w:r>
          </w:p>
        </w:tc>
        <w:tc>
          <w:tcPr>
            <w:tcW w:w="781"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E9691F0" w14:textId="77777777" w:rsidR="00730DE4" w:rsidRPr="00730DE4" w:rsidRDefault="00730DE4" w:rsidP="00912B03">
            <w:pPr>
              <w:pStyle w:val="NoSpacing"/>
              <w:jc w:val="right"/>
            </w:pPr>
            <w:r w:rsidRPr="00730DE4">
              <w:t xml:space="preserve">52,718 </w:t>
            </w:r>
          </w:p>
        </w:tc>
      </w:tr>
      <w:tr w:rsidR="00730DE4" w:rsidRPr="00730DE4" w14:paraId="698A329D" w14:textId="77777777" w:rsidTr="00207297">
        <w:trPr>
          <w:trHeight w:val="240"/>
        </w:trPr>
        <w:tc>
          <w:tcPr>
            <w:tcW w:w="343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1265FA26" w14:textId="77777777" w:rsidR="00730DE4" w:rsidRPr="00730DE4" w:rsidRDefault="00730DE4" w:rsidP="00912B03">
            <w:pPr>
              <w:pStyle w:val="NoSpacing"/>
            </w:pPr>
            <w:r w:rsidRPr="00730DE4">
              <w:t>Employer superannuation contributions</w:t>
            </w:r>
          </w:p>
        </w:tc>
        <w:tc>
          <w:tcPr>
            <w:tcW w:w="78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D3A2EF6" w14:textId="77777777" w:rsidR="00730DE4" w:rsidRPr="00730DE4" w:rsidRDefault="00730DE4" w:rsidP="00912B03">
            <w:pPr>
              <w:pStyle w:val="NoSpacing"/>
              <w:jc w:val="right"/>
            </w:pPr>
            <w:r w:rsidRPr="00730DE4">
              <w:t xml:space="preserve">115,481 </w:t>
            </w:r>
          </w:p>
        </w:tc>
        <w:tc>
          <w:tcPr>
            <w:tcW w:w="781"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C28852E" w14:textId="77777777" w:rsidR="00730DE4" w:rsidRPr="00730DE4" w:rsidRDefault="00730DE4" w:rsidP="00912B03">
            <w:pPr>
              <w:pStyle w:val="NoSpacing"/>
              <w:jc w:val="right"/>
            </w:pPr>
            <w:r w:rsidRPr="00730DE4">
              <w:t xml:space="preserve">70,054 </w:t>
            </w:r>
          </w:p>
        </w:tc>
      </w:tr>
      <w:tr w:rsidR="00730DE4" w:rsidRPr="00730DE4" w14:paraId="67C88471" w14:textId="77777777" w:rsidTr="00207297">
        <w:trPr>
          <w:trHeight w:val="240"/>
        </w:trPr>
        <w:tc>
          <w:tcPr>
            <w:tcW w:w="343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5C4A971" w14:textId="77777777" w:rsidR="00730DE4" w:rsidRPr="00730DE4" w:rsidRDefault="00730DE4" w:rsidP="00912B03">
            <w:pPr>
              <w:pStyle w:val="NoSpacing"/>
            </w:pPr>
            <w:r w:rsidRPr="00730DE4">
              <w:t>Long service leave levy</w:t>
            </w:r>
          </w:p>
        </w:tc>
        <w:tc>
          <w:tcPr>
            <w:tcW w:w="78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4A55049" w14:textId="77777777" w:rsidR="00730DE4" w:rsidRPr="00730DE4" w:rsidRDefault="00730DE4" w:rsidP="00912B03">
            <w:pPr>
              <w:pStyle w:val="NoSpacing"/>
              <w:jc w:val="right"/>
            </w:pPr>
            <w:r w:rsidRPr="00730DE4">
              <w:t xml:space="preserve">22,851 </w:t>
            </w:r>
          </w:p>
        </w:tc>
        <w:tc>
          <w:tcPr>
            <w:tcW w:w="781"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505BA4B" w14:textId="77777777" w:rsidR="00730DE4" w:rsidRPr="00730DE4" w:rsidRDefault="00730DE4" w:rsidP="00912B03">
            <w:pPr>
              <w:pStyle w:val="NoSpacing"/>
              <w:jc w:val="right"/>
            </w:pPr>
            <w:r w:rsidRPr="00730DE4">
              <w:t xml:space="preserve">15,726 </w:t>
            </w:r>
          </w:p>
        </w:tc>
      </w:tr>
      <w:tr w:rsidR="00730DE4" w:rsidRPr="00730DE4" w14:paraId="2BB2D039" w14:textId="77777777" w:rsidTr="00207297">
        <w:trPr>
          <w:trHeight w:val="240"/>
        </w:trPr>
        <w:tc>
          <w:tcPr>
            <w:tcW w:w="343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128DE1E8" w14:textId="77777777" w:rsidR="00730DE4" w:rsidRPr="00730DE4" w:rsidRDefault="00730DE4" w:rsidP="00912B03">
            <w:pPr>
              <w:pStyle w:val="NoSpacing"/>
            </w:pPr>
            <w:r w:rsidRPr="00730DE4">
              <w:t>Wages and salaries</w:t>
            </w:r>
          </w:p>
        </w:tc>
        <w:tc>
          <w:tcPr>
            <w:tcW w:w="78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820489C" w14:textId="77777777" w:rsidR="00730DE4" w:rsidRPr="00730DE4" w:rsidRDefault="00730DE4" w:rsidP="00912B03">
            <w:pPr>
              <w:pStyle w:val="NoSpacing"/>
              <w:jc w:val="right"/>
            </w:pPr>
            <w:r w:rsidRPr="00730DE4">
              <w:t xml:space="preserve">828,039 </w:t>
            </w:r>
          </w:p>
        </w:tc>
        <w:tc>
          <w:tcPr>
            <w:tcW w:w="781"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98E85E1" w14:textId="77777777" w:rsidR="00730DE4" w:rsidRPr="00730DE4" w:rsidRDefault="00730DE4" w:rsidP="00912B03">
            <w:pPr>
              <w:pStyle w:val="NoSpacing"/>
              <w:jc w:val="right"/>
            </w:pPr>
            <w:r w:rsidRPr="00730DE4">
              <w:t xml:space="preserve">548,064 </w:t>
            </w:r>
          </w:p>
        </w:tc>
      </w:tr>
      <w:tr w:rsidR="00730DE4" w:rsidRPr="00730DE4" w14:paraId="6B1AB81F" w14:textId="77777777" w:rsidTr="00207297">
        <w:trPr>
          <w:trHeight w:val="454"/>
        </w:trPr>
        <w:tc>
          <w:tcPr>
            <w:tcW w:w="3438" w:type="pct"/>
            <w:tcBorders>
              <w:top w:val="dotted" w:sz="4" w:space="0" w:color="BFBFBF" w:themeColor="background1" w:themeShade="BF"/>
              <w:left w:val="nil"/>
              <w:right w:val="dotted" w:sz="4" w:space="0" w:color="BFBFBF" w:themeColor="background1" w:themeShade="BF"/>
            </w:tcBorders>
            <w:shd w:val="clear" w:color="auto" w:fill="auto"/>
            <w:noWrap/>
            <w:hideMark/>
          </w:tcPr>
          <w:p w14:paraId="05EAD920" w14:textId="77777777" w:rsidR="00730DE4" w:rsidRPr="00730DE4" w:rsidRDefault="00730DE4" w:rsidP="00135932">
            <w:pPr>
              <w:pStyle w:val="NoSpacing"/>
            </w:pPr>
            <w:r w:rsidRPr="00730DE4">
              <w:t>Other employee benefits</w:t>
            </w:r>
          </w:p>
        </w:tc>
        <w:tc>
          <w:tcPr>
            <w:tcW w:w="781" w:type="pct"/>
            <w:tcBorders>
              <w:top w:val="dotted" w:sz="4" w:space="0" w:color="BFBFBF" w:themeColor="background1" w:themeShade="BF"/>
              <w:left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1D985FDE" w14:textId="77777777" w:rsidR="00730DE4" w:rsidRPr="00730DE4" w:rsidRDefault="00730DE4" w:rsidP="00135932">
            <w:pPr>
              <w:pStyle w:val="NoSpacing"/>
              <w:jc w:val="right"/>
            </w:pPr>
            <w:r w:rsidRPr="00730DE4">
              <w:t xml:space="preserve">8,857 </w:t>
            </w:r>
          </w:p>
        </w:tc>
        <w:tc>
          <w:tcPr>
            <w:tcW w:w="781" w:type="pct"/>
            <w:tcBorders>
              <w:top w:val="dotted" w:sz="4" w:space="0" w:color="BFBFBF" w:themeColor="background1" w:themeShade="BF"/>
              <w:left w:val="dotted" w:sz="4" w:space="0" w:color="BFBFBF" w:themeColor="background1" w:themeShade="BF"/>
              <w:right w:val="nil"/>
            </w:tcBorders>
            <w:shd w:val="clear" w:color="auto" w:fill="auto"/>
            <w:noWrap/>
            <w:hideMark/>
          </w:tcPr>
          <w:p w14:paraId="79A286CF" w14:textId="77777777" w:rsidR="00730DE4" w:rsidRPr="00730DE4" w:rsidRDefault="00730DE4" w:rsidP="00135932">
            <w:pPr>
              <w:pStyle w:val="NoSpacing"/>
              <w:jc w:val="right"/>
            </w:pPr>
            <w:r w:rsidRPr="00730DE4">
              <w:t xml:space="preserve">5,297 </w:t>
            </w:r>
          </w:p>
        </w:tc>
      </w:tr>
      <w:tr w:rsidR="00730DE4" w:rsidRPr="00730DE4" w14:paraId="2E262134" w14:textId="77777777" w:rsidTr="00207297">
        <w:trPr>
          <w:trHeight w:val="454"/>
        </w:trPr>
        <w:tc>
          <w:tcPr>
            <w:tcW w:w="3438" w:type="pct"/>
            <w:tcBorders>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B166017" w14:textId="77777777" w:rsidR="00730DE4" w:rsidRPr="00730DE4" w:rsidRDefault="00730DE4" w:rsidP="00912B03">
            <w:pPr>
              <w:pStyle w:val="NoSpacing"/>
              <w:rPr>
                <w:rStyle w:val="Strong"/>
              </w:rPr>
            </w:pPr>
            <w:r w:rsidRPr="00730DE4">
              <w:rPr>
                <w:rStyle w:val="Strong"/>
              </w:rPr>
              <w:t>Employee related expenses *</w:t>
            </w:r>
          </w:p>
        </w:tc>
        <w:tc>
          <w:tcPr>
            <w:tcW w:w="781"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47142AD" w14:textId="77777777" w:rsidR="00730DE4" w:rsidRPr="00730DE4" w:rsidRDefault="00730DE4" w:rsidP="00912B03">
            <w:pPr>
              <w:pStyle w:val="NoSpacing"/>
              <w:jc w:val="right"/>
            </w:pPr>
            <w:r w:rsidRPr="00730DE4">
              <w:t> </w:t>
            </w:r>
          </w:p>
        </w:tc>
        <w:tc>
          <w:tcPr>
            <w:tcW w:w="781" w:type="pct"/>
            <w:tcBorders>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817A51D" w14:textId="77777777" w:rsidR="00730DE4" w:rsidRPr="00730DE4" w:rsidRDefault="00730DE4" w:rsidP="00912B03">
            <w:pPr>
              <w:pStyle w:val="NoSpacing"/>
              <w:jc w:val="right"/>
            </w:pPr>
          </w:p>
        </w:tc>
      </w:tr>
      <w:tr w:rsidR="00730DE4" w:rsidRPr="00730DE4" w14:paraId="017A6A61" w14:textId="77777777" w:rsidTr="00207297">
        <w:trPr>
          <w:trHeight w:val="240"/>
        </w:trPr>
        <w:tc>
          <w:tcPr>
            <w:tcW w:w="343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07D48F4D" w14:textId="77777777" w:rsidR="00730DE4" w:rsidRPr="00730DE4" w:rsidRDefault="00730DE4" w:rsidP="00912B03">
            <w:pPr>
              <w:pStyle w:val="NoSpacing"/>
            </w:pPr>
            <w:r w:rsidRPr="00730DE4">
              <w:t>Workers' compensation premium</w:t>
            </w:r>
          </w:p>
        </w:tc>
        <w:tc>
          <w:tcPr>
            <w:tcW w:w="78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08A346C" w14:textId="77777777" w:rsidR="00730DE4" w:rsidRPr="00730DE4" w:rsidRDefault="00730DE4" w:rsidP="00912B03">
            <w:pPr>
              <w:pStyle w:val="NoSpacing"/>
              <w:jc w:val="right"/>
            </w:pPr>
            <w:r w:rsidRPr="00730DE4">
              <w:t xml:space="preserve">4,516 </w:t>
            </w:r>
          </w:p>
        </w:tc>
        <w:tc>
          <w:tcPr>
            <w:tcW w:w="781"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109D698" w14:textId="77777777" w:rsidR="00730DE4" w:rsidRPr="00730DE4" w:rsidRDefault="00730DE4" w:rsidP="00912B03">
            <w:pPr>
              <w:pStyle w:val="NoSpacing"/>
              <w:jc w:val="right"/>
            </w:pPr>
            <w:r w:rsidRPr="00730DE4">
              <w:t xml:space="preserve">3,275 </w:t>
            </w:r>
          </w:p>
        </w:tc>
      </w:tr>
      <w:tr w:rsidR="00730DE4" w:rsidRPr="00730DE4" w14:paraId="460DB6E6" w14:textId="77777777" w:rsidTr="00207297">
        <w:trPr>
          <w:trHeight w:val="240"/>
        </w:trPr>
        <w:tc>
          <w:tcPr>
            <w:tcW w:w="3438"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504FAC0E" w14:textId="77777777" w:rsidR="00730DE4" w:rsidRPr="00730DE4" w:rsidRDefault="00730DE4" w:rsidP="00912B03">
            <w:pPr>
              <w:pStyle w:val="NoSpacing"/>
            </w:pPr>
            <w:r w:rsidRPr="00730DE4">
              <w:t>Other employee related expenses</w:t>
            </w:r>
          </w:p>
        </w:tc>
        <w:tc>
          <w:tcPr>
            <w:tcW w:w="781"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1B88845C" w14:textId="77777777" w:rsidR="00730DE4" w:rsidRPr="00730DE4" w:rsidRDefault="00730DE4" w:rsidP="00912B03">
            <w:pPr>
              <w:pStyle w:val="NoSpacing"/>
              <w:jc w:val="right"/>
            </w:pPr>
            <w:r w:rsidRPr="00730DE4">
              <w:t xml:space="preserve">20,278 </w:t>
            </w:r>
          </w:p>
        </w:tc>
        <w:tc>
          <w:tcPr>
            <w:tcW w:w="781"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5F4A723F" w14:textId="77777777" w:rsidR="00730DE4" w:rsidRPr="00730DE4" w:rsidRDefault="00730DE4" w:rsidP="00912B03">
            <w:pPr>
              <w:pStyle w:val="NoSpacing"/>
              <w:jc w:val="right"/>
            </w:pPr>
            <w:r w:rsidRPr="00730DE4">
              <w:t xml:space="preserve">14,613 </w:t>
            </w:r>
          </w:p>
        </w:tc>
      </w:tr>
      <w:tr w:rsidR="00730DE4" w:rsidRPr="00730DE4" w14:paraId="79B41652" w14:textId="77777777" w:rsidTr="00207297">
        <w:tc>
          <w:tcPr>
            <w:tcW w:w="3438"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172E717F" w14:textId="77777777" w:rsidR="00730DE4" w:rsidRPr="00730DE4" w:rsidRDefault="00730DE4" w:rsidP="00912B03">
            <w:pPr>
              <w:pStyle w:val="NoSpacing"/>
              <w:rPr>
                <w:b/>
                <w:bCs/>
              </w:rPr>
            </w:pPr>
            <w:r w:rsidRPr="00730DE4">
              <w:rPr>
                <w:rStyle w:val="Strong"/>
              </w:rPr>
              <w:t>Total</w:t>
            </w:r>
          </w:p>
        </w:tc>
        <w:tc>
          <w:tcPr>
            <w:tcW w:w="781"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6BC4C3BD" w14:textId="77777777" w:rsidR="00730DE4" w:rsidRPr="00730DE4" w:rsidRDefault="00730DE4" w:rsidP="00912B03">
            <w:pPr>
              <w:pStyle w:val="NoSpacing"/>
              <w:jc w:val="right"/>
              <w:rPr>
                <w:b/>
                <w:bCs/>
              </w:rPr>
            </w:pPr>
            <w:r w:rsidRPr="00730DE4">
              <w:rPr>
                <w:rStyle w:val="Strong"/>
              </w:rPr>
              <w:t xml:space="preserve">1,083,824 </w:t>
            </w:r>
          </w:p>
        </w:tc>
        <w:tc>
          <w:tcPr>
            <w:tcW w:w="781" w:type="pct"/>
            <w:tcBorders>
              <w:top w:val="single" w:sz="4" w:space="0" w:color="auto"/>
              <w:left w:val="dotted" w:sz="4" w:space="0" w:color="BFBFBF" w:themeColor="background1" w:themeShade="BF"/>
              <w:bottom w:val="double" w:sz="4" w:space="0" w:color="auto"/>
              <w:right w:val="nil"/>
            </w:tcBorders>
            <w:shd w:val="clear" w:color="auto" w:fill="auto"/>
            <w:noWrap/>
            <w:hideMark/>
          </w:tcPr>
          <w:p w14:paraId="7696291C" w14:textId="77777777" w:rsidR="00730DE4" w:rsidRPr="00730DE4" w:rsidRDefault="00730DE4" w:rsidP="00912B03">
            <w:pPr>
              <w:pStyle w:val="NoSpacing"/>
              <w:jc w:val="right"/>
              <w:rPr>
                <w:rStyle w:val="Strong"/>
              </w:rPr>
            </w:pPr>
            <w:r w:rsidRPr="00730DE4">
              <w:rPr>
                <w:rStyle w:val="Strong"/>
              </w:rPr>
              <w:t xml:space="preserve">709,747 </w:t>
            </w:r>
          </w:p>
        </w:tc>
      </w:tr>
    </w:tbl>
    <w:p w14:paraId="0CC95170" w14:textId="77777777" w:rsidR="00730DE4" w:rsidRPr="00730DE4" w:rsidRDefault="00730DE4" w:rsidP="00477185">
      <w:pPr>
        <w:pStyle w:val="Caption"/>
      </w:pPr>
      <w:r w:rsidRPr="00730DE4">
        <w:t>* Higher employee expenses in 2024 are due to transactions for the Queensland Government Customer and Digital Group representing the full financial year, and 2023 representing one month, and also includes Enterprise Bargaining Agreement related payments to TMR employees.</w:t>
      </w:r>
    </w:p>
    <w:p w14:paraId="2245DCBA" w14:textId="77777777" w:rsidR="00730DE4" w:rsidRPr="00730DE4" w:rsidRDefault="00730DE4" w:rsidP="00412C33">
      <w:pPr>
        <w:pStyle w:val="Caption"/>
      </w:pPr>
      <w:r w:rsidRPr="00730DE4">
        <w:t>The department's total employee expenditure was $1,350.995m in 2024 (2023: $953.868m). Of this $267.171m (2023: $244.121m) was capitalised to construction work in progress leaving $1,083.824m (2023: $709.747m) reported as employee expenses.</w:t>
      </w:r>
    </w:p>
    <w:p w14:paraId="6D319765" w14:textId="77777777" w:rsidR="00730DE4" w:rsidRPr="00730DE4" w:rsidRDefault="00730DE4" w:rsidP="006C190D">
      <w:pPr>
        <w:pStyle w:val="NoSpacing"/>
      </w:pPr>
    </w:p>
    <w:tbl>
      <w:tblPr>
        <w:tblW w:w="4885" w:type="pct"/>
        <w:tblBorders>
          <w:bottom w:val="single" w:sz="4" w:space="0" w:color="auto"/>
          <w:insideH w:val="dotted" w:sz="4" w:space="0" w:color="BFBFBF" w:themeColor="background1" w:themeShade="BF"/>
          <w:insideV w:val="dotted" w:sz="4" w:space="0" w:color="BFBFBF" w:themeColor="background1" w:themeShade="BF"/>
        </w:tblBorders>
        <w:tblCellMar>
          <w:top w:w="23" w:type="dxa"/>
          <w:left w:w="23" w:type="dxa"/>
          <w:bottom w:w="23" w:type="dxa"/>
          <w:right w:w="23" w:type="dxa"/>
        </w:tblCellMar>
        <w:tblLook w:val="04A0" w:firstRow="1" w:lastRow="0" w:firstColumn="1" w:lastColumn="0" w:noHBand="0" w:noVBand="1"/>
      </w:tblPr>
      <w:tblGrid>
        <w:gridCol w:w="6194"/>
        <w:gridCol w:w="1496"/>
        <w:gridCol w:w="1171"/>
      </w:tblGrid>
      <w:tr w:rsidR="00730DE4" w:rsidRPr="00730DE4" w14:paraId="0FD2B050" w14:textId="77777777" w:rsidTr="00942991">
        <w:trPr>
          <w:trHeight w:val="270"/>
        </w:trPr>
        <w:tc>
          <w:tcPr>
            <w:tcW w:w="3495" w:type="pct"/>
            <w:tcBorders>
              <w:top w:val="nil"/>
              <w:bottom w:val="single" w:sz="4" w:space="0" w:color="auto"/>
              <w:right w:val="nil"/>
            </w:tcBorders>
            <w:shd w:val="clear" w:color="auto" w:fill="auto"/>
            <w:noWrap/>
            <w:vAlign w:val="center"/>
          </w:tcPr>
          <w:p w14:paraId="2289F701" w14:textId="77777777" w:rsidR="00730DE4" w:rsidRPr="00730DE4" w:rsidRDefault="00730DE4" w:rsidP="005710A8">
            <w:pPr>
              <w:pStyle w:val="NoSpacing"/>
              <w:rPr>
                <w:color w:val="080C0F" w:themeColor="text1"/>
              </w:rPr>
            </w:pPr>
          </w:p>
        </w:tc>
        <w:tc>
          <w:tcPr>
            <w:tcW w:w="844" w:type="pct"/>
            <w:tcBorders>
              <w:top w:val="nil"/>
              <w:left w:val="nil"/>
              <w:bottom w:val="single" w:sz="4" w:space="0" w:color="auto"/>
              <w:right w:val="nil"/>
            </w:tcBorders>
            <w:shd w:val="clear" w:color="auto" w:fill="auto"/>
            <w:noWrap/>
            <w:vAlign w:val="bottom"/>
          </w:tcPr>
          <w:p w14:paraId="21D597D7" w14:textId="77777777" w:rsidR="00730DE4" w:rsidRPr="00730DE4" w:rsidRDefault="00730DE4" w:rsidP="005710A8">
            <w:pPr>
              <w:pStyle w:val="NoSpacing"/>
              <w:jc w:val="right"/>
              <w:rPr>
                <w:color w:val="080C0F" w:themeColor="text1"/>
              </w:rPr>
            </w:pPr>
            <w:r w:rsidRPr="00730DE4">
              <w:rPr>
                <w:rStyle w:val="Strong"/>
              </w:rPr>
              <w:t xml:space="preserve">2024 </w:t>
            </w:r>
            <w:r w:rsidRPr="00730DE4">
              <w:rPr>
                <w:rStyle w:val="Strong"/>
              </w:rPr>
              <w:br/>
              <w:t>$'000</w:t>
            </w:r>
          </w:p>
        </w:tc>
        <w:tc>
          <w:tcPr>
            <w:tcW w:w="661" w:type="pct"/>
            <w:tcBorders>
              <w:top w:val="nil"/>
              <w:left w:val="nil"/>
              <w:bottom w:val="single" w:sz="4" w:space="0" w:color="auto"/>
            </w:tcBorders>
            <w:shd w:val="clear" w:color="auto" w:fill="auto"/>
            <w:noWrap/>
            <w:vAlign w:val="bottom"/>
          </w:tcPr>
          <w:p w14:paraId="1A2EC89B" w14:textId="77777777" w:rsidR="00730DE4" w:rsidRPr="00730DE4" w:rsidRDefault="00730DE4" w:rsidP="005710A8">
            <w:pPr>
              <w:pStyle w:val="NoSpacing"/>
              <w:jc w:val="right"/>
              <w:rPr>
                <w:rStyle w:val="Strong"/>
              </w:rPr>
            </w:pPr>
            <w:r w:rsidRPr="00730DE4">
              <w:rPr>
                <w:rStyle w:val="Strong"/>
              </w:rPr>
              <w:t xml:space="preserve">2023 </w:t>
            </w:r>
            <w:r w:rsidRPr="00730DE4">
              <w:rPr>
                <w:rStyle w:val="Strong"/>
              </w:rPr>
              <w:br/>
              <w:t>$'000</w:t>
            </w:r>
          </w:p>
        </w:tc>
      </w:tr>
      <w:tr w:rsidR="00730DE4" w:rsidRPr="00730DE4" w14:paraId="658E476B" w14:textId="77777777" w:rsidTr="00942991">
        <w:trPr>
          <w:trHeight w:val="270"/>
        </w:trPr>
        <w:tc>
          <w:tcPr>
            <w:tcW w:w="3495" w:type="pct"/>
            <w:tcBorders>
              <w:top w:val="single" w:sz="4" w:space="0" w:color="auto"/>
            </w:tcBorders>
            <w:shd w:val="clear" w:color="auto" w:fill="auto"/>
            <w:noWrap/>
            <w:vAlign w:val="center"/>
          </w:tcPr>
          <w:p w14:paraId="20C2A3EA" w14:textId="77777777" w:rsidR="00730DE4" w:rsidRPr="00730DE4" w:rsidRDefault="00730DE4" w:rsidP="005710A8">
            <w:pPr>
              <w:pStyle w:val="NoSpacing"/>
              <w:rPr>
                <w:rStyle w:val="Strong"/>
              </w:rPr>
            </w:pPr>
            <w:r w:rsidRPr="00730DE4">
              <w:rPr>
                <w:rStyle w:val="Strong"/>
              </w:rPr>
              <w:t>Number of full-time equivalent employees</w:t>
            </w:r>
          </w:p>
        </w:tc>
        <w:tc>
          <w:tcPr>
            <w:tcW w:w="844" w:type="pct"/>
            <w:tcBorders>
              <w:top w:val="single" w:sz="4" w:space="0" w:color="auto"/>
            </w:tcBorders>
            <w:shd w:val="clear" w:color="auto" w:fill="F2F2F2" w:themeFill="background1" w:themeFillShade="F2"/>
            <w:noWrap/>
            <w:vAlign w:val="bottom"/>
          </w:tcPr>
          <w:p w14:paraId="6616F9FC" w14:textId="77777777" w:rsidR="00730DE4" w:rsidRPr="00730DE4" w:rsidRDefault="00730DE4" w:rsidP="005710A8">
            <w:pPr>
              <w:pStyle w:val="NoSpacing"/>
              <w:jc w:val="right"/>
              <w:rPr>
                <w:rStyle w:val="Strong"/>
              </w:rPr>
            </w:pPr>
            <w:r w:rsidRPr="00730DE4">
              <w:rPr>
                <w:rStyle w:val="Strong"/>
              </w:rPr>
              <w:t xml:space="preserve">9,539 </w:t>
            </w:r>
          </w:p>
        </w:tc>
        <w:tc>
          <w:tcPr>
            <w:tcW w:w="661" w:type="pct"/>
            <w:tcBorders>
              <w:top w:val="single" w:sz="4" w:space="0" w:color="auto"/>
            </w:tcBorders>
            <w:shd w:val="clear" w:color="auto" w:fill="auto"/>
            <w:noWrap/>
            <w:vAlign w:val="bottom"/>
          </w:tcPr>
          <w:p w14:paraId="1A81184F" w14:textId="77777777" w:rsidR="00730DE4" w:rsidRPr="00730DE4" w:rsidRDefault="00730DE4" w:rsidP="005710A8">
            <w:pPr>
              <w:pStyle w:val="NoSpacing"/>
              <w:jc w:val="right"/>
              <w:rPr>
                <w:rStyle w:val="Strong"/>
              </w:rPr>
            </w:pPr>
            <w:r w:rsidRPr="00730DE4">
              <w:rPr>
                <w:rStyle w:val="Strong"/>
              </w:rPr>
              <w:t xml:space="preserve">9,354 </w:t>
            </w:r>
          </w:p>
        </w:tc>
      </w:tr>
    </w:tbl>
    <w:p w14:paraId="1E56C0F8" w14:textId="77777777" w:rsidR="00730DE4" w:rsidRPr="00730DE4" w:rsidRDefault="00730DE4" w:rsidP="00E8611B">
      <w:pPr>
        <w:pStyle w:val="Caption"/>
      </w:pPr>
      <w:r w:rsidRPr="00730DE4">
        <w:t>Refer to Note 21 for the policies related to employee entitlements.</w:t>
      </w:r>
    </w:p>
    <w:p w14:paraId="0135AF8E" w14:textId="77777777" w:rsidR="00730DE4" w:rsidRPr="00730DE4" w:rsidRDefault="00730DE4" w:rsidP="004A5032">
      <w:pPr>
        <w:pStyle w:val="Heading5"/>
      </w:pPr>
      <w:bookmarkStart w:id="1489" w:name="_Toc180490924"/>
      <w:bookmarkStart w:id="1490" w:name="_Toc180491957"/>
      <w:r w:rsidRPr="00730DE4">
        <w:t>6 Key management personnel and remuneration expenses</w:t>
      </w:r>
      <w:bookmarkEnd w:id="1489"/>
      <w:bookmarkEnd w:id="1490"/>
    </w:p>
    <w:p w14:paraId="039C9CAD" w14:textId="77777777" w:rsidR="00730DE4" w:rsidRPr="00730DE4" w:rsidRDefault="00730DE4" w:rsidP="003C13D4">
      <w:pPr>
        <w:rPr>
          <w:rStyle w:val="Strong"/>
        </w:rPr>
      </w:pPr>
      <w:r w:rsidRPr="00730DE4">
        <w:rPr>
          <w:rStyle w:val="Strong"/>
        </w:rPr>
        <w:t>Key management personnel</w:t>
      </w:r>
    </w:p>
    <w:p w14:paraId="2A335445" w14:textId="77777777" w:rsidR="00730DE4" w:rsidRPr="00730DE4" w:rsidRDefault="00730DE4" w:rsidP="003C13D4">
      <w:pPr>
        <w:rPr>
          <w:color w:val="080C0F" w:themeColor="text1"/>
        </w:rPr>
      </w:pPr>
      <w:r w:rsidRPr="00730DE4">
        <w:rPr>
          <w:color w:val="080C0F" w:themeColor="text1"/>
        </w:rPr>
        <w:t xml:space="preserve">The department’s responsible Minister, the Minister for Transport and Main Roads and Minister for Digital Services, is identified as part of the department’s key management personnel, consistent with guidance included in AASB 124 </w:t>
      </w:r>
      <w:r w:rsidRPr="00730DE4">
        <w:rPr>
          <w:i/>
          <w:iCs/>
          <w:color w:val="080C0F" w:themeColor="text1"/>
        </w:rPr>
        <w:t>Related Party Disclosures</w:t>
      </w:r>
      <w:r w:rsidRPr="00730DE4">
        <w:rPr>
          <w:color w:val="080C0F" w:themeColor="text1"/>
        </w:rPr>
        <w:t>.</w:t>
      </w:r>
    </w:p>
    <w:p w14:paraId="0E349B9E" w14:textId="77777777" w:rsidR="00730DE4" w:rsidRPr="00730DE4" w:rsidRDefault="00730DE4" w:rsidP="003C13D4">
      <w:pPr>
        <w:rPr>
          <w:color w:val="080C0F" w:themeColor="text1"/>
        </w:rPr>
      </w:pPr>
      <w:r w:rsidRPr="00730DE4">
        <w:rPr>
          <w:color w:val="080C0F" w:themeColor="text1"/>
        </w:rPr>
        <w:t>The following details for non-Ministerial key management personnel include those positions that form the department's Executive Leadership Team (ELT) that had authority and responsibility for planning, directing and controlling the activities of the department during the financial year. Further information on these positions can be found in the Annual Report under the section titled Our Organisation.</w:t>
      </w:r>
    </w:p>
    <w:p w14:paraId="1342A799" w14:textId="77777777" w:rsidR="00730DE4" w:rsidRPr="00730DE4" w:rsidRDefault="00730DE4" w:rsidP="003C13D4">
      <w:pPr>
        <w:rPr>
          <w:rStyle w:val="Strong"/>
        </w:rPr>
      </w:pPr>
      <w:r w:rsidRPr="00730DE4">
        <w:rPr>
          <w:rStyle w:val="Strong"/>
        </w:rPr>
        <w:br w:type="page"/>
      </w:r>
    </w:p>
    <w:p w14:paraId="7F245455" w14:textId="77777777" w:rsidR="00730DE4" w:rsidRPr="00730DE4" w:rsidRDefault="00730DE4" w:rsidP="003C13D4">
      <w:pPr>
        <w:rPr>
          <w:rStyle w:val="Strong"/>
        </w:rPr>
      </w:pPr>
      <w:r w:rsidRPr="00730DE4">
        <w:rPr>
          <w:rStyle w:val="Strong"/>
        </w:rPr>
        <w:t xml:space="preserve">Remuneration expenses </w:t>
      </w:r>
    </w:p>
    <w:p w14:paraId="2FC44ED5" w14:textId="77777777" w:rsidR="00730DE4" w:rsidRPr="00730DE4" w:rsidRDefault="00730DE4" w:rsidP="003C13D4">
      <w:pPr>
        <w:rPr>
          <w:color w:val="080C0F" w:themeColor="text1"/>
        </w:rPr>
      </w:pPr>
      <w:r w:rsidRPr="00730DE4">
        <w:rPr>
          <w:color w:val="080C0F" w:themeColor="text1"/>
        </w:rPr>
        <w:t xml:space="preserve">Ministerial remuneration entitlements are outlined in the Legislative Assembly of Queensland’s Members’ Remuneration Handbook. The department does not bear any cost of remuneration for the Minister. The majority of Ministerial entitlements are paid by the Legislative Assembly, with the remaining entitlements being provided by Ministerial Services Branch within the Department of the Premier and Cabinet. </w:t>
      </w:r>
    </w:p>
    <w:p w14:paraId="19110CAF" w14:textId="77777777" w:rsidR="00730DE4" w:rsidRPr="00730DE4" w:rsidRDefault="00730DE4" w:rsidP="003C13D4">
      <w:pPr>
        <w:rPr>
          <w:color w:val="080C0F" w:themeColor="text1"/>
        </w:rPr>
      </w:pPr>
      <w:r w:rsidRPr="00730DE4">
        <w:rPr>
          <w:color w:val="080C0F" w:themeColor="text1"/>
        </w:rPr>
        <w:t>As all Ministers are reported as key management personnel of the Queensland Government, aggregate remuneration expenses for all Ministers is disclosed in the Queensland General Government and Whole of Government Consolidated Financial Statements, which are published as part of Queensland Treasury’s Report on State Finances.</w:t>
      </w:r>
    </w:p>
    <w:p w14:paraId="3E205E1B" w14:textId="77777777" w:rsidR="00730DE4" w:rsidRPr="00730DE4" w:rsidRDefault="00730DE4" w:rsidP="003C13D4">
      <w:pPr>
        <w:rPr>
          <w:color w:val="080C0F" w:themeColor="text1"/>
        </w:rPr>
      </w:pPr>
      <w:r w:rsidRPr="00730DE4">
        <w:rPr>
          <w:color w:val="080C0F" w:themeColor="text1"/>
        </w:rPr>
        <w:t xml:space="preserve">Remuneration policy for the department's key management personnel is set by the Queensland Public Service Commission as provided for under the </w:t>
      </w:r>
      <w:r w:rsidRPr="00730DE4">
        <w:rPr>
          <w:i/>
          <w:iCs/>
          <w:color w:val="080C0F" w:themeColor="text1"/>
        </w:rPr>
        <w:t>Public Sector Act 2022</w:t>
      </w:r>
      <w:r w:rsidRPr="00730DE4">
        <w:rPr>
          <w:color w:val="080C0F" w:themeColor="text1"/>
        </w:rPr>
        <w:t>.</w:t>
      </w:r>
    </w:p>
    <w:p w14:paraId="7AC7050D" w14:textId="77777777" w:rsidR="00730DE4" w:rsidRPr="00730DE4" w:rsidRDefault="00730DE4" w:rsidP="003C13D4">
      <w:pPr>
        <w:rPr>
          <w:color w:val="080C0F" w:themeColor="text1"/>
        </w:rPr>
      </w:pPr>
      <w:r w:rsidRPr="00730DE4">
        <w:rPr>
          <w:color w:val="080C0F" w:themeColor="text1"/>
        </w:rPr>
        <w:t>The remuneration and other terms of employment for the key management personnel are specified in employment contracts. The contracts may provide for other benefits including a motor vehicle allowance, however they do not provide for the provision of performance payments.</w:t>
      </w:r>
    </w:p>
    <w:p w14:paraId="4019BC5C" w14:textId="77777777" w:rsidR="00730DE4" w:rsidRPr="00730DE4" w:rsidRDefault="00730DE4" w:rsidP="003C13D4">
      <w:pPr>
        <w:rPr>
          <w:color w:val="080C0F" w:themeColor="text1"/>
        </w:rPr>
      </w:pPr>
      <w:r w:rsidRPr="00730DE4">
        <w:rPr>
          <w:color w:val="080C0F" w:themeColor="text1"/>
        </w:rPr>
        <w:t>The following disclosures focus on the expenses incurred by the department for non-Ministerial personnel during the reporting period attributable to the key management positions.</w:t>
      </w:r>
    </w:p>
    <w:p w14:paraId="365BD9FB" w14:textId="77777777" w:rsidR="00730DE4" w:rsidRPr="00730DE4" w:rsidRDefault="00730DE4" w:rsidP="003C13D4">
      <w:pPr>
        <w:rPr>
          <w:color w:val="080C0F" w:themeColor="text1"/>
        </w:rPr>
      </w:pPr>
      <w:r w:rsidRPr="00730DE4">
        <w:rPr>
          <w:color w:val="080C0F" w:themeColor="text1"/>
        </w:rPr>
        <w:t>Remuneration expenses for key management personnel comprise the following components:</w:t>
      </w:r>
    </w:p>
    <w:p w14:paraId="7CC653BD" w14:textId="77777777" w:rsidR="00730DE4" w:rsidRPr="00730DE4" w:rsidRDefault="00730DE4" w:rsidP="00477185">
      <w:pPr>
        <w:pStyle w:val="ListBullet"/>
      </w:pPr>
      <w:r w:rsidRPr="00730DE4">
        <w:t>Short term employee expenses including:</w:t>
      </w:r>
    </w:p>
    <w:p w14:paraId="5F876688" w14:textId="77777777" w:rsidR="00730DE4" w:rsidRPr="00730DE4" w:rsidRDefault="00730DE4" w:rsidP="00730DE4">
      <w:pPr>
        <w:pStyle w:val="ListBullet2"/>
        <w:spacing w:before="0"/>
        <w:ind w:left="714" w:hanging="357"/>
      </w:pPr>
      <w:r w:rsidRPr="00730DE4">
        <w:t>salaries, allowances and leave entitlements earned and expensed for the entire year or for that part of the year during which the employee occupied the specified position</w:t>
      </w:r>
    </w:p>
    <w:p w14:paraId="68754665" w14:textId="77777777" w:rsidR="00730DE4" w:rsidRPr="00730DE4" w:rsidRDefault="00730DE4" w:rsidP="00730DE4">
      <w:pPr>
        <w:pStyle w:val="ListBullet2"/>
        <w:spacing w:before="0"/>
        <w:ind w:left="714" w:hanging="357"/>
      </w:pPr>
      <w:r w:rsidRPr="00730DE4">
        <w:t>non-monetary benefits and any applicable fringe benefits tax.</w:t>
      </w:r>
    </w:p>
    <w:p w14:paraId="761A8C78" w14:textId="77777777" w:rsidR="00730DE4" w:rsidRPr="00730DE4" w:rsidRDefault="00730DE4" w:rsidP="00477185">
      <w:pPr>
        <w:pStyle w:val="ListBullet"/>
      </w:pPr>
      <w:r w:rsidRPr="00730DE4">
        <w:t>Long term and post employment expenses including:</w:t>
      </w:r>
    </w:p>
    <w:p w14:paraId="738BDA7E" w14:textId="77777777" w:rsidR="00730DE4" w:rsidRPr="00730DE4" w:rsidRDefault="00730DE4" w:rsidP="00730DE4">
      <w:pPr>
        <w:pStyle w:val="ListBullet2"/>
        <w:spacing w:before="0"/>
        <w:ind w:left="714" w:hanging="357"/>
      </w:pPr>
      <w:r w:rsidRPr="00730DE4">
        <w:t>amounts expensed in respect of long service leave entitlements earned</w:t>
      </w:r>
    </w:p>
    <w:p w14:paraId="5749FA33" w14:textId="77777777" w:rsidR="00730DE4" w:rsidRPr="00730DE4" w:rsidRDefault="00730DE4" w:rsidP="00730DE4">
      <w:pPr>
        <w:pStyle w:val="ListBullet2"/>
        <w:spacing w:before="0"/>
        <w:ind w:left="714" w:hanging="357"/>
      </w:pPr>
      <w:r w:rsidRPr="00730DE4">
        <w:t>amounts expensed in respect of employer superannuation obligations.</w:t>
      </w:r>
    </w:p>
    <w:p w14:paraId="4C105C0E" w14:textId="77777777" w:rsidR="00730DE4" w:rsidRPr="00730DE4" w:rsidRDefault="00730DE4" w:rsidP="003C13D4">
      <w:pPr>
        <w:pStyle w:val="ListBullet"/>
        <w:rPr>
          <w:rStyle w:val="Strong"/>
          <w:b w:val="0"/>
          <w:bCs w:val="0"/>
        </w:rPr>
      </w:pPr>
      <w:r w:rsidRPr="00730DE4">
        <w:t>Termination benefits include payments in lieu of notice on termination and other lump sum separation entitlements payable on termination of employment.</w:t>
      </w:r>
    </w:p>
    <w:p w14:paraId="2AA863A6" w14:textId="77777777" w:rsidR="00730DE4" w:rsidRPr="00730DE4" w:rsidRDefault="00730DE4" w:rsidP="003C13D4">
      <w:pPr>
        <w:rPr>
          <w:rStyle w:val="Strong"/>
        </w:rPr>
      </w:pPr>
      <w:r w:rsidRPr="00730DE4">
        <w:rPr>
          <w:rStyle w:val="Strong"/>
        </w:rPr>
        <w:br w:type="page"/>
      </w:r>
    </w:p>
    <w:p w14:paraId="190393A0" w14:textId="77777777" w:rsidR="00730DE4" w:rsidRPr="00730DE4" w:rsidRDefault="00730DE4" w:rsidP="00F517FD">
      <w:pPr>
        <w:rPr>
          <w:b/>
          <w:bCs/>
        </w:rPr>
      </w:pPr>
      <w:r w:rsidRPr="00730DE4">
        <w:rPr>
          <w:rStyle w:val="Strong"/>
        </w:rPr>
        <w:t xml:space="preserve">1 July 2023 – 30 June 2024 </w:t>
      </w:r>
    </w:p>
    <w:tbl>
      <w:tblPr>
        <w:tblW w:w="5000" w:type="pct"/>
        <w:tblCellMar>
          <w:top w:w="23" w:type="dxa"/>
          <w:left w:w="23" w:type="dxa"/>
          <w:bottom w:w="23" w:type="dxa"/>
          <w:right w:w="23" w:type="dxa"/>
        </w:tblCellMar>
        <w:tblLook w:val="04A0" w:firstRow="1" w:lastRow="0" w:firstColumn="1" w:lastColumn="0" w:noHBand="0" w:noVBand="1"/>
      </w:tblPr>
      <w:tblGrid>
        <w:gridCol w:w="3794"/>
        <w:gridCol w:w="1319"/>
        <w:gridCol w:w="1319"/>
        <w:gridCol w:w="1319"/>
        <w:gridCol w:w="1319"/>
      </w:tblGrid>
      <w:tr w:rsidR="00730DE4" w:rsidRPr="00730DE4" w14:paraId="3366A801" w14:textId="77777777" w:rsidTr="000E22DE">
        <w:tc>
          <w:tcPr>
            <w:tcW w:w="2092" w:type="pct"/>
            <w:tcBorders>
              <w:bottom w:val="single" w:sz="4" w:space="0" w:color="auto"/>
            </w:tcBorders>
            <w:shd w:val="clear" w:color="auto" w:fill="auto"/>
            <w:vAlign w:val="bottom"/>
            <w:hideMark/>
          </w:tcPr>
          <w:p w14:paraId="39431D12" w14:textId="77777777" w:rsidR="00730DE4" w:rsidRPr="00730DE4" w:rsidRDefault="00730DE4" w:rsidP="005F7B67">
            <w:pPr>
              <w:pStyle w:val="NoSpacing"/>
              <w:rPr>
                <w:color w:val="080C0F" w:themeColor="text1"/>
              </w:rPr>
            </w:pPr>
            <w:r w:rsidRPr="00730DE4">
              <w:rPr>
                <w:rStyle w:val="Strong"/>
              </w:rPr>
              <w:t>Position</w:t>
            </w:r>
          </w:p>
        </w:tc>
        <w:tc>
          <w:tcPr>
            <w:tcW w:w="727" w:type="pct"/>
            <w:tcBorders>
              <w:bottom w:val="single" w:sz="4" w:space="0" w:color="auto"/>
            </w:tcBorders>
            <w:shd w:val="clear" w:color="auto" w:fill="auto"/>
            <w:vAlign w:val="bottom"/>
            <w:hideMark/>
          </w:tcPr>
          <w:p w14:paraId="5EBEFB00" w14:textId="77777777" w:rsidR="00730DE4" w:rsidRPr="00730DE4" w:rsidRDefault="00730DE4" w:rsidP="005F7B67">
            <w:pPr>
              <w:pStyle w:val="NoSpacing"/>
              <w:jc w:val="right"/>
              <w:rPr>
                <w:color w:val="080C0F" w:themeColor="text1"/>
              </w:rPr>
            </w:pPr>
            <w:r w:rsidRPr="00730DE4">
              <w:rPr>
                <w:rStyle w:val="Strong"/>
              </w:rPr>
              <w:t>Short term employee expenses</w:t>
            </w:r>
            <w:r w:rsidRPr="00730DE4">
              <w:rPr>
                <w:rStyle w:val="Strong"/>
              </w:rPr>
              <w:br/>
              <w:t xml:space="preserve"> </w:t>
            </w:r>
            <w:r w:rsidRPr="00730DE4">
              <w:rPr>
                <w:rStyle w:val="Strong"/>
              </w:rPr>
              <w:br/>
            </w:r>
            <w:r w:rsidRPr="00730DE4">
              <w:rPr>
                <w:rStyle w:val="Strong"/>
              </w:rPr>
              <w:br/>
              <w:t>$'000</w:t>
            </w:r>
          </w:p>
        </w:tc>
        <w:tc>
          <w:tcPr>
            <w:tcW w:w="727" w:type="pct"/>
            <w:tcBorders>
              <w:bottom w:val="single" w:sz="4" w:space="0" w:color="auto"/>
            </w:tcBorders>
            <w:shd w:val="clear" w:color="auto" w:fill="auto"/>
            <w:vAlign w:val="bottom"/>
            <w:hideMark/>
          </w:tcPr>
          <w:p w14:paraId="5FB0296E" w14:textId="77777777" w:rsidR="00730DE4" w:rsidRPr="00730DE4" w:rsidRDefault="00730DE4" w:rsidP="005F7B67">
            <w:pPr>
              <w:pStyle w:val="NoSpacing"/>
              <w:jc w:val="right"/>
              <w:rPr>
                <w:color w:val="080C0F" w:themeColor="text1"/>
              </w:rPr>
            </w:pPr>
            <w:r w:rsidRPr="00730DE4">
              <w:rPr>
                <w:rStyle w:val="Strong"/>
              </w:rPr>
              <w:t xml:space="preserve">Long term and post employment expenses </w:t>
            </w:r>
            <w:r w:rsidRPr="00730DE4">
              <w:rPr>
                <w:rStyle w:val="Strong"/>
              </w:rPr>
              <w:br/>
            </w:r>
            <w:r w:rsidRPr="00730DE4">
              <w:rPr>
                <w:rStyle w:val="Strong"/>
              </w:rPr>
              <w:br/>
              <w:t>$'000</w:t>
            </w:r>
          </w:p>
        </w:tc>
        <w:tc>
          <w:tcPr>
            <w:tcW w:w="727" w:type="pct"/>
            <w:tcBorders>
              <w:bottom w:val="single" w:sz="4" w:space="0" w:color="auto"/>
            </w:tcBorders>
            <w:shd w:val="clear" w:color="auto" w:fill="auto"/>
            <w:vAlign w:val="bottom"/>
            <w:hideMark/>
          </w:tcPr>
          <w:p w14:paraId="04325986" w14:textId="77777777" w:rsidR="00730DE4" w:rsidRPr="00730DE4" w:rsidRDefault="00730DE4" w:rsidP="005F7B67">
            <w:pPr>
              <w:pStyle w:val="NoSpacing"/>
              <w:jc w:val="right"/>
              <w:rPr>
                <w:color w:val="080C0F" w:themeColor="text1"/>
              </w:rPr>
            </w:pPr>
            <w:r w:rsidRPr="00730DE4">
              <w:rPr>
                <w:rStyle w:val="Strong"/>
              </w:rPr>
              <w:t>Termination benefits</w:t>
            </w:r>
            <w:r w:rsidRPr="00730DE4">
              <w:rPr>
                <w:rStyle w:val="Strong"/>
              </w:rPr>
              <w:br/>
            </w:r>
            <w:r w:rsidRPr="00730DE4">
              <w:rPr>
                <w:rStyle w:val="Strong"/>
              </w:rPr>
              <w:br/>
              <w:t xml:space="preserve"> </w:t>
            </w:r>
            <w:r w:rsidRPr="00730DE4">
              <w:rPr>
                <w:rStyle w:val="Strong"/>
              </w:rPr>
              <w:br/>
            </w:r>
            <w:r w:rsidRPr="00730DE4">
              <w:rPr>
                <w:rStyle w:val="Strong"/>
              </w:rPr>
              <w:br/>
              <w:t>$'000</w:t>
            </w:r>
          </w:p>
        </w:tc>
        <w:tc>
          <w:tcPr>
            <w:tcW w:w="727" w:type="pct"/>
            <w:tcBorders>
              <w:bottom w:val="single" w:sz="4" w:space="0" w:color="auto"/>
            </w:tcBorders>
            <w:shd w:val="clear" w:color="auto" w:fill="auto"/>
            <w:vAlign w:val="bottom"/>
            <w:hideMark/>
          </w:tcPr>
          <w:p w14:paraId="1AA12720" w14:textId="77777777" w:rsidR="00730DE4" w:rsidRPr="00730DE4" w:rsidRDefault="00730DE4" w:rsidP="005F7B67">
            <w:pPr>
              <w:pStyle w:val="NoSpacing"/>
              <w:jc w:val="right"/>
              <w:rPr>
                <w:rStyle w:val="Strong"/>
              </w:rPr>
            </w:pPr>
            <w:r w:rsidRPr="00730DE4">
              <w:rPr>
                <w:rStyle w:val="Strong"/>
              </w:rPr>
              <w:t>Total</w:t>
            </w:r>
            <w:r w:rsidRPr="00730DE4">
              <w:rPr>
                <w:rStyle w:val="Strong"/>
              </w:rPr>
              <w:br/>
            </w:r>
            <w:r w:rsidRPr="00730DE4">
              <w:rPr>
                <w:rStyle w:val="Strong"/>
              </w:rPr>
              <w:br/>
            </w:r>
            <w:r w:rsidRPr="00730DE4">
              <w:rPr>
                <w:rStyle w:val="Strong"/>
              </w:rPr>
              <w:br/>
              <w:t xml:space="preserve"> </w:t>
            </w:r>
            <w:r w:rsidRPr="00730DE4">
              <w:rPr>
                <w:rStyle w:val="Strong"/>
              </w:rPr>
              <w:br/>
            </w:r>
            <w:r w:rsidRPr="00730DE4">
              <w:rPr>
                <w:rStyle w:val="Strong"/>
              </w:rPr>
              <w:br/>
              <w:t>$'000</w:t>
            </w:r>
          </w:p>
        </w:tc>
      </w:tr>
      <w:tr w:rsidR="00730DE4" w:rsidRPr="00730DE4" w14:paraId="3C4BC09C" w14:textId="77777777" w:rsidTr="000E22DE">
        <w:tc>
          <w:tcPr>
            <w:tcW w:w="2092" w:type="pct"/>
            <w:tcBorders>
              <w:top w:val="single" w:sz="4" w:space="0" w:color="auto"/>
              <w:bottom w:val="dotted" w:sz="4" w:space="0" w:color="BFBFBF" w:themeColor="background1" w:themeShade="BF"/>
              <w:right w:val="dotted" w:sz="4" w:space="0" w:color="BFBFBF" w:themeColor="background1" w:themeShade="BF"/>
            </w:tcBorders>
            <w:shd w:val="clear" w:color="auto" w:fill="auto"/>
            <w:vAlign w:val="bottom"/>
            <w:hideMark/>
          </w:tcPr>
          <w:p w14:paraId="0447FCBE" w14:textId="77777777" w:rsidR="00730DE4" w:rsidRPr="00730DE4" w:rsidRDefault="00730DE4" w:rsidP="005F7B67">
            <w:pPr>
              <w:pStyle w:val="NoSpacing"/>
              <w:rPr>
                <w:color w:val="080C0F" w:themeColor="text1"/>
              </w:rPr>
            </w:pPr>
            <w:r w:rsidRPr="00730DE4">
              <w:rPr>
                <w:color w:val="080C0F" w:themeColor="text1"/>
              </w:rPr>
              <w:t>Director-General *</w:t>
            </w:r>
          </w:p>
        </w:tc>
        <w:tc>
          <w:tcPr>
            <w:tcW w:w="727"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hideMark/>
          </w:tcPr>
          <w:p w14:paraId="58B7B859" w14:textId="77777777" w:rsidR="00730DE4" w:rsidRPr="00730DE4" w:rsidRDefault="00730DE4" w:rsidP="005F7B67">
            <w:pPr>
              <w:pStyle w:val="NoSpacing"/>
              <w:jc w:val="right"/>
              <w:rPr>
                <w:color w:val="080C0F" w:themeColor="text1"/>
              </w:rPr>
            </w:pPr>
            <w:r w:rsidRPr="00730DE4">
              <w:rPr>
                <w:color w:val="080C0F" w:themeColor="text1"/>
              </w:rPr>
              <w:t xml:space="preserve">585 </w:t>
            </w:r>
          </w:p>
        </w:tc>
        <w:tc>
          <w:tcPr>
            <w:tcW w:w="727"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hideMark/>
          </w:tcPr>
          <w:p w14:paraId="1B28186F" w14:textId="77777777" w:rsidR="00730DE4" w:rsidRPr="00730DE4" w:rsidRDefault="00730DE4" w:rsidP="005F7B67">
            <w:pPr>
              <w:pStyle w:val="NoSpacing"/>
              <w:jc w:val="right"/>
              <w:rPr>
                <w:color w:val="080C0F" w:themeColor="text1"/>
              </w:rPr>
            </w:pPr>
            <w:r w:rsidRPr="00730DE4">
              <w:rPr>
                <w:color w:val="080C0F" w:themeColor="text1"/>
              </w:rPr>
              <w:t xml:space="preserve">86 </w:t>
            </w:r>
          </w:p>
        </w:tc>
        <w:tc>
          <w:tcPr>
            <w:tcW w:w="727"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hideMark/>
          </w:tcPr>
          <w:p w14:paraId="6C3E1597" w14:textId="77777777" w:rsidR="00730DE4" w:rsidRPr="00730DE4" w:rsidRDefault="00730DE4" w:rsidP="005F7B67">
            <w:pPr>
              <w:pStyle w:val="NoSpacing"/>
              <w:jc w:val="right"/>
              <w:rPr>
                <w:color w:val="080C0F" w:themeColor="text1"/>
              </w:rPr>
            </w:pPr>
            <w:r w:rsidRPr="00730DE4">
              <w:rPr>
                <w:color w:val="080C0F" w:themeColor="text1"/>
              </w:rPr>
              <w:t xml:space="preserve">- </w:t>
            </w:r>
          </w:p>
        </w:tc>
        <w:tc>
          <w:tcPr>
            <w:tcW w:w="727" w:type="pct"/>
            <w:tcBorders>
              <w:top w:val="single" w:sz="4" w:space="0" w:color="auto"/>
              <w:left w:val="dotted" w:sz="4" w:space="0" w:color="BFBFBF" w:themeColor="background1" w:themeShade="BF"/>
              <w:bottom w:val="dotted" w:sz="4" w:space="0" w:color="BFBFBF" w:themeColor="background1" w:themeShade="BF"/>
            </w:tcBorders>
            <w:shd w:val="clear" w:color="auto" w:fill="F2F2F2" w:themeFill="background1" w:themeFillShade="F2"/>
            <w:noWrap/>
            <w:vAlign w:val="bottom"/>
            <w:hideMark/>
          </w:tcPr>
          <w:p w14:paraId="24CF35B2" w14:textId="77777777" w:rsidR="00730DE4" w:rsidRPr="00730DE4" w:rsidRDefault="00730DE4" w:rsidP="005F7B67">
            <w:pPr>
              <w:pStyle w:val="NoSpacing"/>
              <w:jc w:val="right"/>
              <w:rPr>
                <w:rStyle w:val="Strong"/>
              </w:rPr>
            </w:pPr>
            <w:r w:rsidRPr="00730DE4">
              <w:rPr>
                <w:rStyle w:val="Strong"/>
              </w:rPr>
              <w:t xml:space="preserve">671 </w:t>
            </w:r>
          </w:p>
        </w:tc>
      </w:tr>
      <w:tr w:rsidR="00730DE4" w:rsidRPr="00730DE4" w14:paraId="57E245A2" w14:textId="77777777" w:rsidTr="000E22DE">
        <w:tc>
          <w:tcPr>
            <w:tcW w:w="2092" w:type="pct"/>
            <w:tcBorders>
              <w:top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4128FD6F" w14:textId="77777777" w:rsidR="00730DE4" w:rsidRPr="00730DE4" w:rsidRDefault="00730DE4" w:rsidP="005F7B67">
            <w:pPr>
              <w:pStyle w:val="NoSpacing"/>
              <w:rPr>
                <w:color w:val="080C0F" w:themeColor="text1"/>
              </w:rPr>
            </w:pPr>
            <w:r w:rsidRPr="00730DE4">
              <w:rPr>
                <w:color w:val="080C0F" w:themeColor="text1"/>
              </w:rPr>
              <w:t>Deputy Director-General (Customer Services, Safety and Regulation)</w:t>
            </w:r>
          </w:p>
        </w:tc>
        <w:tc>
          <w:tcPr>
            <w:tcW w:w="72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hideMark/>
          </w:tcPr>
          <w:p w14:paraId="5C8F6037" w14:textId="77777777" w:rsidR="00730DE4" w:rsidRPr="00730DE4" w:rsidRDefault="00730DE4" w:rsidP="005F7B67">
            <w:pPr>
              <w:pStyle w:val="NoSpacing"/>
              <w:jc w:val="right"/>
              <w:rPr>
                <w:color w:val="080C0F" w:themeColor="text1"/>
              </w:rPr>
            </w:pPr>
            <w:r w:rsidRPr="00730DE4">
              <w:rPr>
                <w:color w:val="080C0F" w:themeColor="text1"/>
              </w:rPr>
              <w:t xml:space="preserve">286 </w:t>
            </w:r>
          </w:p>
        </w:tc>
        <w:tc>
          <w:tcPr>
            <w:tcW w:w="72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hideMark/>
          </w:tcPr>
          <w:p w14:paraId="036B1678" w14:textId="77777777" w:rsidR="00730DE4" w:rsidRPr="00730DE4" w:rsidRDefault="00730DE4" w:rsidP="005F7B67">
            <w:pPr>
              <w:pStyle w:val="NoSpacing"/>
              <w:jc w:val="right"/>
              <w:rPr>
                <w:color w:val="080C0F" w:themeColor="text1"/>
              </w:rPr>
            </w:pPr>
            <w:r w:rsidRPr="00730DE4">
              <w:rPr>
                <w:color w:val="080C0F" w:themeColor="text1"/>
              </w:rPr>
              <w:t xml:space="preserve">50 </w:t>
            </w:r>
          </w:p>
        </w:tc>
        <w:tc>
          <w:tcPr>
            <w:tcW w:w="72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hideMark/>
          </w:tcPr>
          <w:p w14:paraId="3E49B011" w14:textId="77777777" w:rsidR="00730DE4" w:rsidRPr="00730DE4" w:rsidRDefault="00730DE4" w:rsidP="005F7B67">
            <w:pPr>
              <w:pStyle w:val="NoSpacing"/>
              <w:jc w:val="right"/>
              <w:rPr>
                <w:color w:val="080C0F" w:themeColor="text1"/>
              </w:rPr>
            </w:pPr>
            <w:r w:rsidRPr="00730DE4">
              <w:rPr>
                <w:color w:val="080C0F" w:themeColor="text1"/>
              </w:rPr>
              <w:t xml:space="preserve">- </w:t>
            </w:r>
          </w:p>
        </w:tc>
        <w:tc>
          <w:tcPr>
            <w:tcW w:w="727" w:type="pct"/>
            <w:tcBorders>
              <w:top w:val="dotted" w:sz="4" w:space="0" w:color="BFBFBF" w:themeColor="background1" w:themeShade="BF"/>
              <w:left w:val="dotted" w:sz="4" w:space="0" w:color="BFBFBF" w:themeColor="background1" w:themeShade="BF"/>
              <w:bottom w:val="dotted" w:sz="4" w:space="0" w:color="BFBFBF" w:themeColor="background1" w:themeShade="BF"/>
            </w:tcBorders>
            <w:shd w:val="clear" w:color="auto" w:fill="F2F2F2" w:themeFill="background1" w:themeFillShade="F2"/>
            <w:noWrap/>
            <w:vAlign w:val="bottom"/>
            <w:hideMark/>
          </w:tcPr>
          <w:p w14:paraId="2BF4580A" w14:textId="77777777" w:rsidR="00730DE4" w:rsidRPr="00730DE4" w:rsidRDefault="00730DE4" w:rsidP="005F7B67">
            <w:pPr>
              <w:pStyle w:val="NoSpacing"/>
              <w:jc w:val="right"/>
              <w:rPr>
                <w:rStyle w:val="Strong"/>
              </w:rPr>
            </w:pPr>
            <w:r w:rsidRPr="00730DE4">
              <w:rPr>
                <w:rStyle w:val="Strong"/>
              </w:rPr>
              <w:t xml:space="preserve">336 </w:t>
            </w:r>
          </w:p>
        </w:tc>
      </w:tr>
      <w:tr w:rsidR="00730DE4" w:rsidRPr="00730DE4" w14:paraId="6C2DB4A8" w14:textId="77777777" w:rsidTr="000E22DE">
        <w:tc>
          <w:tcPr>
            <w:tcW w:w="2092" w:type="pct"/>
            <w:tcBorders>
              <w:top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1E963511" w14:textId="77777777" w:rsidR="00730DE4" w:rsidRPr="00730DE4" w:rsidRDefault="00730DE4" w:rsidP="005F7B67">
            <w:pPr>
              <w:pStyle w:val="NoSpacing"/>
              <w:rPr>
                <w:color w:val="080C0F" w:themeColor="text1"/>
              </w:rPr>
            </w:pPr>
            <w:r w:rsidRPr="00730DE4">
              <w:rPr>
                <w:color w:val="080C0F" w:themeColor="text1"/>
              </w:rPr>
              <w:t>Deputy Director-General (Infrastructure Management and Delivery)</w:t>
            </w:r>
          </w:p>
        </w:tc>
        <w:tc>
          <w:tcPr>
            <w:tcW w:w="72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hideMark/>
          </w:tcPr>
          <w:p w14:paraId="037E7F28" w14:textId="77777777" w:rsidR="00730DE4" w:rsidRPr="00730DE4" w:rsidRDefault="00730DE4" w:rsidP="005F7B67">
            <w:pPr>
              <w:pStyle w:val="NoSpacing"/>
              <w:jc w:val="right"/>
              <w:rPr>
                <w:color w:val="080C0F" w:themeColor="text1"/>
              </w:rPr>
            </w:pPr>
            <w:r w:rsidRPr="00730DE4">
              <w:rPr>
                <w:color w:val="080C0F" w:themeColor="text1"/>
              </w:rPr>
              <w:t xml:space="preserve">311 </w:t>
            </w:r>
          </w:p>
        </w:tc>
        <w:tc>
          <w:tcPr>
            <w:tcW w:w="72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hideMark/>
          </w:tcPr>
          <w:p w14:paraId="26E0DAEE" w14:textId="77777777" w:rsidR="00730DE4" w:rsidRPr="00730DE4" w:rsidRDefault="00730DE4" w:rsidP="005F7B67">
            <w:pPr>
              <w:pStyle w:val="NoSpacing"/>
              <w:jc w:val="right"/>
              <w:rPr>
                <w:color w:val="080C0F" w:themeColor="text1"/>
              </w:rPr>
            </w:pPr>
            <w:r w:rsidRPr="00730DE4">
              <w:rPr>
                <w:color w:val="080C0F" w:themeColor="text1"/>
              </w:rPr>
              <w:t xml:space="preserve">66 </w:t>
            </w:r>
          </w:p>
        </w:tc>
        <w:tc>
          <w:tcPr>
            <w:tcW w:w="72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hideMark/>
          </w:tcPr>
          <w:p w14:paraId="1B3B952F" w14:textId="77777777" w:rsidR="00730DE4" w:rsidRPr="00730DE4" w:rsidRDefault="00730DE4" w:rsidP="005F7B67">
            <w:pPr>
              <w:pStyle w:val="NoSpacing"/>
              <w:jc w:val="right"/>
              <w:rPr>
                <w:color w:val="080C0F" w:themeColor="text1"/>
              </w:rPr>
            </w:pPr>
            <w:r w:rsidRPr="00730DE4">
              <w:rPr>
                <w:color w:val="080C0F" w:themeColor="text1"/>
              </w:rPr>
              <w:t xml:space="preserve">- </w:t>
            </w:r>
          </w:p>
        </w:tc>
        <w:tc>
          <w:tcPr>
            <w:tcW w:w="727" w:type="pct"/>
            <w:tcBorders>
              <w:top w:val="dotted" w:sz="4" w:space="0" w:color="BFBFBF" w:themeColor="background1" w:themeShade="BF"/>
              <w:left w:val="dotted" w:sz="4" w:space="0" w:color="BFBFBF" w:themeColor="background1" w:themeShade="BF"/>
              <w:bottom w:val="dotted" w:sz="4" w:space="0" w:color="BFBFBF" w:themeColor="background1" w:themeShade="BF"/>
            </w:tcBorders>
            <w:shd w:val="clear" w:color="auto" w:fill="F2F2F2" w:themeFill="background1" w:themeFillShade="F2"/>
            <w:noWrap/>
            <w:vAlign w:val="bottom"/>
            <w:hideMark/>
          </w:tcPr>
          <w:p w14:paraId="57D6F2CE" w14:textId="77777777" w:rsidR="00730DE4" w:rsidRPr="00730DE4" w:rsidRDefault="00730DE4" w:rsidP="005F7B67">
            <w:pPr>
              <w:pStyle w:val="NoSpacing"/>
              <w:jc w:val="right"/>
              <w:rPr>
                <w:rStyle w:val="Strong"/>
              </w:rPr>
            </w:pPr>
            <w:r w:rsidRPr="00730DE4">
              <w:rPr>
                <w:rStyle w:val="Strong"/>
              </w:rPr>
              <w:t xml:space="preserve">377 </w:t>
            </w:r>
          </w:p>
        </w:tc>
      </w:tr>
      <w:tr w:rsidR="00730DE4" w:rsidRPr="00730DE4" w14:paraId="210B4EF3" w14:textId="77777777" w:rsidTr="000E22DE">
        <w:tc>
          <w:tcPr>
            <w:tcW w:w="2092" w:type="pct"/>
            <w:tcBorders>
              <w:top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3078797C" w14:textId="77777777" w:rsidR="00730DE4" w:rsidRPr="00730DE4" w:rsidRDefault="00730DE4" w:rsidP="005F7B67">
            <w:pPr>
              <w:pStyle w:val="NoSpacing"/>
              <w:rPr>
                <w:color w:val="080C0F" w:themeColor="text1"/>
              </w:rPr>
            </w:pPr>
            <w:r w:rsidRPr="00730DE4">
              <w:rPr>
                <w:color w:val="080C0F" w:themeColor="text1"/>
              </w:rPr>
              <w:t>Deputy Director-General  (Policy, Planning and Investment)</w:t>
            </w:r>
          </w:p>
        </w:tc>
        <w:tc>
          <w:tcPr>
            <w:tcW w:w="72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hideMark/>
          </w:tcPr>
          <w:p w14:paraId="18D9459E" w14:textId="77777777" w:rsidR="00730DE4" w:rsidRPr="00730DE4" w:rsidRDefault="00730DE4" w:rsidP="005F7B67">
            <w:pPr>
              <w:pStyle w:val="NoSpacing"/>
              <w:jc w:val="right"/>
              <w:rPr>
                <w:color w:val="080C0F" w:themeColor="text1"/>
              </w:rPr>
            </w:pPr>
            <w:r w:rsidRPr="00730DE4">
              <w:rPr>
                <w:color w:val="080C0F" w:themeColor="text1"/>
              </w:rPr>
              <w:t xml:space="preserve">290 </w:t>
            </w:r>
          </w:p>
        </w:tc>
        <w:tc>
          <w:tcPr>
            <w:tcW w:w="72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hideMark/>
          </w:tcPr>
          <w:p w14:paraId="62508162" w14:textId="77777777" w:rsidR="00730DE4" w:rsidRPr="00730DE4" w:rsidRDefault="00730DE4" w:rsidP="005F7B67">
            <w:pPr>
              <w:pStyle w:val="NoSpacing"/>
              <w:jc w:val="right"/>
              <w:rPr>
                <w:color w:val="080C0F" w:themeColor="text1"/>
              </w:rPr>
            </w:pPr>
            <w:r w:rsidRPr="00730DE4">
              <w:rPr>
                <w:color w:val="080C0F" w:themeColor="text1"/>
              </w:rPr>
              <w:t xml:space="preserve">50 </w:t>
            </w:r>
          </w:p>
        </w:tc>
        <w:tc>
          <w:tcPr>
            <w:tcW w:w="72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hideMark/>
          </w:tcPr>
          <w:p w14:paraId="45807547" w14:textId="77777777" w:rsidR="00730DE4" w:rsidRPr="00730DE4" w:rsidRDefault="00730DE4" w:rsidP="005F7B67">
            <w:pPr>
              <w:pStyle w:val="NoSpacing"/>
              <w:jc w:val="right"/>
              <w:rPr>
                <w:color w:val="080C0F" w:themeColor="text1"/>
              </w:rPr>
            </w:pPr>
            <w:r w:rsidRPr="00730DE4">
              <w:rPr>
                <w:color w:val="080C0F" w:themeColor="text1"/>
              </w:rPr>
              <w:t xml:space="preserve">- </w:t>
            </w:r>
          </w:p>
        </w:tc>
        <w:tc>
          <w:tcPr>
            <w:tcW w:w="727" w:type="pct"/>
            <w:tcBorders>
              <w:top w:val="dotted" w:sz="4" w:space="0" w:color="BFBFBF" w:themeColor="background1" w:themeShade="BF"/>
              <w:left w:val="dotted" w:sz="4" w:space="0" w:color="BFBFBF" w:themeColor="background1" w:themeShade="BF"/>
              <w:bottom w:val="dotted" w:sz="4" w:space="0" w:color="BFBFBF" w:themeColor="background1" w:themeShade="BF"/>
            </w:tcBorders>
            <w:shd w:val="clear" w:color="auto" w:fill="F2F2F2" w:themeFill="background1" w:themeFillShade="F2"/>
            <w:noWrap/>
            <w:vAlign w:val="bottom"/>
            <w:hideMark/>
          </w:tcPr>
          <w:p w14:paraId="6C1FF51D" w14:textId="77777777" w:rsidR="00730DE4" w:rsidRPr="00730DE4" w:rsidRDefault="00730DE4" w:rsidP="005F7B67">
            <w:pPr>
              <w:pStyle w:val="NoSpacing"/>
              <w:jc w:val="right"/>
              <w:rPr>
                <w:rStyle w:val="Strong"/>
              </w:rPr>
            </w:pPr>
            <w:r w:rsidRPr="00730DE4">
              <w:rPr>
                <w:rStyle w:val="Strong"/>
              </w:rPr>
              <w:t xml:space="preserve">340 </w:t>
            </w:r>
          </w:p>
        </w:tc>
      </w:tr>
      <w:tr w:rsidR="00730DE4" w:rsidRPr="00730DE4" w14:paraId="66C3885D" w14:textId="77777777" w:rsidTr="000E22DE">
        <w:tc>
          <w:tcPr>
            <w:tcW w:w="2092" w:type="pct"/>
            <w:tcBorders>
              <w:top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49E08C08" w14:textId="77777777" w:rsidR="00730DE4" w:rsidRPr="00730DE4" w:rsidRDefault="00730DE4" w:rsidP="005F7B67">
            <w:pPr>
              <w:pStyle w:val="NoSpacing"/>
              <w:rPr>
                <w:color w:val="080C0F" w:themeColor="text1"/>
              </w:rPr>
            </w:pPr>
            <w:r w:rsidRPr="00730DE4">
              <w:rPr>
                <w:color w:val="080C0F" w:themeColor="text1"/>
              </w:rPr>
              <w:t>Deputy Director-General (TransLink) (Acting 01.07.2023–30.06.2024)</w:t>
            </w:r>
          </w:p>
        </w:tc>
        <w:tc>
          <w:tcPr>
            <w:tcW w:w="72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hideMark/>
          </w:tcPr>
          <w:p w14:paraId="4668DAE2" w14:textId="77777777" w:rsidR="00730DE4" w:rsidRPr="00730DE4" w:rsidRDefault="00730DE4" w:rsidP="005F7B67">
            <w:pPr>
              <w:pStyle w:val="NoSpacing"/>
              <w:jc w:val="right"/>
              <w:rPr>
                <w:color w:val="080C0F" w:themeColor="text1"/>
              </w:rPr>
            </w:pPr>
            <w:r w:rsidRPr="00730DE4">
              <w:rPr>
                <w:color w:val="080C0F" w:themeColor="text1"/>
              </w:rPr>
              <w:t xml:space="preserve">289 </w:t>
            </w:r>
          </w:p>
        </w:tc>
        <w:tc>
          <w:tcPr>
            <w:tcW w:w="72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hideMark/>
          </w:tcPr>
          <w:p w14:paraId="3FA1F0FC" w14:textId="77777777" w:rsidR="00730DE4" w:rsidRPr="00730DE4" w:rsidRDefault="00730DE4" w:rsidP="005F7B67">
            <w:pPr>
              <w:pStyle w:val="NoSpacing"/>
              <w:jc w:val="right"/>
              <w:rPr>
                <w:color w:val="080C0F" w:themeColor="text1"/>
              </w:rPr>
            </w:pPr>
            <w:r w:rsidRPr="00730DE4">
              <w:rPr>
                <w:color w:val="080C0F" w:themeColor="text1"/>
              </w:rPr>
              <w:t xml:space="preserve">48 </w:t>
            </w:r>
          </w:p>
        </w:tc>
        <w:tc>
          <w:tcPr>
            <w:tcW w:w="72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hideMark/>
          </w:tcPr>
          <w:p w14:paraId="42A6C811" w14:textId="77777777" w:rsidR="00730DE4" w:rsidRPr="00730DE4" w:rsidRDefault="00730DE4" w:rsidP="005F7B67">
            <w:pPr>
              <w:pStyle w:val="NoSpacing"/>
              <w:jc w:val="right"/>
              <w:rPr>
                <w:color w:val="080C0F" w:themeColor="text1"/>
              </w:rPr>
            </w:pPr>
            <w:r w:rsidRPr="00730DE4">
              <w:rPr>
                <w:color w:val="080C0F" w:themeColor="text1"/>
              </w:rPr>
              <w:t xml:space="preserve">- </w:t>
            </w:r>
          </w:p>
        </w:tc>
        <w:tc>
          <w:tcPr>
            <w:tcW w:w="727" w:type="pct"/>
            <w:tcBorders>
              <w:top w:val="dotted" w:sz="4" w:space="0" w:color="BFBFBF" w:themeColor="background1" w:themeShade="BF"/>
              <w:left w:val="dotted" w:sz="4" w:space="0" w:color="BFBFBF" w:themeColor="background1" w:themeShade="BF"/>
              <w:bottom w:val="dotted" w:sz="4" w:space="0" w:color="BFBFBF" w:themeColor="background1" w:themeShade="BF"/>
            </w:tcBorders>
            <w:shd w:val="clear" w:color="auto" w:fill="F2F2F2" w:themeFill="background1" w:themeFillShade="F2"/>
            <w:noWrap/>
            <w:vAlign w:val="bottom"/>
            <w:hideMark/>
          </w:tcPr>
          <w:p w14:paraId="135609D2" w14:textId="77777777" w:rsidR="00730DE4" w:rsidRPr="00730DE4" w:rsidRDefault="00730DE4" w:rsidP="005F7B67">
            <w:pPr>
              <w:pStyle w:val="NoSpacing"/>
              <w:jc w:val="right"/>
              <w:rPr>
                <w:rStyle w:val="Strong"/>
              </w:rPr>
            </w:pPr>
            <w:r w:rsidRPr="00730DE4">
              <w:rPr>
                <w:rStyle w:val="Strong"/>
              </w:rPr>
              <w:t xml:space="preserve">337 </w:t>
            </w:r>
          </w:p>
        </w:tc>
      </w:tr>
      <w:tr w:rsidR="00730DE4" w:rsidRPr="00730DE4" w14:paraId="272B25EF" w14:textId="77777777" w:rsidTr="000E22DE">
        <w:tc>
          <w:tcPr>
            <w:tcW w:w="2092" w:type="pct"/>
            <w:tcBorders>
              <w:top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76535822" w14:textId="77777777" w:rsidR="00730DE4" w:rsidRPr="00730DE4" w:rsidRDefault="00730DE4" w:rsidP="005F7B67">
            <w:pPr>
              <w:pStyle w:val="NoSpacing"/>
              <w:rPr>
                <w:color w:val="080C0F" w:themeColor="text1"/>
              </w:rPr>
            </w:pPr>
            <w:r w:rsidRPr="00730DE4">
              <w:rPr>
                <w:color w:val="080C0F" w:themeColor="text1"/>
              </w:rPr>
              <w:t>Deputy Director-General  (Corporate)</w:t>
            </w:r>
          </w:p>
        </w:tc>
        <w:tc>
          <w:tcPr>
            <w:tcW w:w="72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hideMark/>
          </w:tcPr>
          <w:p w14:paraId="76691652" w14:textId="77777777" w:rsidR="00730DE4" w:rsidRPr="00730DE4" w:rsidRDefault="00730DE4" w:rsidP="005F7B67">
            <w:pPr>
              <w:pStyle w:val="NoSpacing"/>
              <w:jc w:val="right"/>
              <w:rPr>
                <w:color w:val="080C0F" w:themeColor="text1"/>
              </w:rPr>
            </w:pPr>
            <w:r w:rsidRPr="00730DE4">
              <w:rPr>
                <w:color w:val="080C0F" w:themeColor="text1"/>
              </w:rPr>
              <w:t xml:space="preserve">273 </w:t>
            </w:r>
          </w:p>
        </w:tc>
        <w:tc>
          <w:tcPr>
            <w:tcW w:w="72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hideMark/>
          </w:tcPr>
          <w:p w14:paraId="388A3F4D" w14:textId="77777777" w:rsidR="00730DE4" w:rsidRPr="00730DE4" w:rsidRDefault="00730DE4" w:rsidP="005F7B67">
            <w:pPr>
              <w:pStyle w:val="NoSpacing"/>
              <w:jc w:val="right"/>
              <w:rPr>
                <w:color w:val="080C0F" w:themeColor="text1"/>
              </w:rPr>
            </w:pPr>
            <w:r w:rsidRPr="00730DE4">
              <w:rPr>
                <w:color w:val="080C0F" w:themeColor="text1"/>
              </w:rPr>
              <w:t xml:space="preserve">46 </w:t>
            </w:r>
          </w:p>
        </w:tc>
        <w:tc>
          <w:tcPr>
            <w:tcW w:w="72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hideMark/>
          </w:tcPr>
          <w:p w14:paraId="2AAB3C06" w14:textId="77777777" w:rsidR="00730DE4" w:rsidRPr="00730DE4" w:rsidRDefault="00730DE4" w:rsidP="005F7B67">
            <w:pPr>
              <w:pStyle w:val="NoSpacing"/>
              <w:jc w:val="right"/>
              <w:rPr>
                <w:color w:val="080C0F" w:themeColor="text1"/>
              </w:rPr>
            </w:pPr>
            <w:r w:rsidRPr="00730DE4">
              <w:rPr>
                <w:color w:val="080C0F" w:themeColor="text1"/>
              </w:rPr>
              <w:t xml:space="preserve">- </w:t>
            </w:r>
          </w:p>
        </w:tc>
        <w:tc>
          <w:tcPr>
            <w:tcW w:w="727" w:type="pct"/>
            <w:tcBorders>
              <w:top w:val="dotted" w:sz="4" w:space="0" w:color="BFBFBF" w:themeColor="background1" w:themeShade="BF"/>
              <w:left w:val="dotted" w:sz="4" w:space="0" w:color="BFBFBF" w:themeColor="background1" w:themeShade="BF"/>
              <w:bottom w:val="dotted" w:sz="4" w:space="0" w:color="BFBFBF" w:themeColor="background1" w:themeShade="BF"/>
            </w:tcBorders>
            <w:shd w:val="clear" w:color="auto" w:fill="F2F2F2" w:themeFill="background1" w:themeFillShade="F2"/>
            <w:noWrap/>
            <w:vAlign w:val="bottom"/>
            <w:hideMark/>
          </w:tcPr>
          <w:p w14:paraId="062A7DDC" w14:textId="77777777" w:rsidR="00730DE4" w:rsidRPr="00730DE4" w:rsidRDefault="00730DE4" w:rsidP="005F7B67">
            <w:pPr>
              <w:pStyle w:val="NoSpacing"/>
              <w:jc w:val="right"/>
              <w:rPr>
                <w:rStyle w:val="Strong"/>
              </w:rPr>
            </w:pPr>
            <w:r w:rsidRPr="00730DE4">
              <w:rPr>
                <w:rStyle w:val="Strong"/>
              </w:rPr>
              <w:t xml:space="preserve">319 </w:t>
            </w:r>
          </w:p>
        </w:tc>
      </w:tr>
      <w:tr w:rsidR="00730DE4" w:rsidRPr="00730DE4" w14:paraId="61908A59" w14:textId="77777777" w:rsidTr="000E22DE">
        <w:tc>
          <w:tcPr>
            <w:tcW w:w="2092" w:type="pct"/>
            <w:tcBorders>
              <w:top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3D5B0077" w14:textId="77777777" w:rsidR="00730DE4" w:rsidRPr="00730DE4" w:rsidRDefault="00730DE4" w:rsidP="005F7B67">
            <w:pPr>
              <w:pStyle w:val="NoSpacing"/>
              <w:rPr>
                <w:color w:val="080C0F" w:themeColor="text1"/>
              </w:rPr>
            </w:pPr>
            <w:r w:rsidRPr="00730DE4">
              <w:rPr>
                <w:color w:val="080C0F" w:themeColor="text1"/>
              </w:rPr>
              <w:t>Chief Operations Officer</w:t>
            </w:r>
          </w:p>
        </w:tc>
        <w:tc>
          <w:tcPr>
            <w:tcW w:w="72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hideMark/>
          </w:tcPr>
          <w:p w14:paraId="672DA95F" w14:textId="77777777" w:rsidR="00730DE4" w:rsidRPr="00730DE4" w:rsidRDefault="00730DE4" w:rsidP="005F7B67">
            <w:pPr>
              <w:pStyle w:val="NoSpacing"/>
              <w:jc w:val="right"/>
              <w:rPr>
                <w:color w:val="080C0F" w:themeColor="text1"/>
              </w:rPr>
            </w:pPr>
            <w:r w:rsidRPr="00730DE4">
              <w:rPr>
                <w:color w:val="080C0F" w:themeColor="text1"/>
              </w:rPr>
              <w:t xml:space="preserve">264 </w:t>
            </w:r>
          </w:p>
        </w:tc>
        <w:tc>
          <w:tcPr>
            <w:tcW w:w="72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hideMark/>
          </w:tcPr>
          <w:p w14:paraId="5DC7A10A" w14:textId="77777777" w:rsidR="00730DE4" w:rsidRPr="00730DE4" w:rsidRDefault="00730DE4" w:rsidP="005F7B67">
            <w:pPr>
              <w:pStyle w:val="NoSpacing"/>
              <w:jc w:val="right"/>
              <w:rPr>
                <w:color w:val="080C0F" w:themeColor="text1"/>
              </w:rPr>
            </w:pPr>
            <w:r w:rsidRPr="00730DE4">
              <w:rPr>
                <w:color w:val="080C0F" w:themeColor="text1"/>
              </w:rPr>
              <w:t xml:space="preserve">42 </w:t>
            </w:r>
          </w:p>
        </w:tc>
        <w:tc>
          <w:tcPr>
            <w:tcW w:w="72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hideMark/>
          </w:tcPr>
          <w:p w14:paraId="4E79DC51" w14:textId="77777777" w:rsidR="00730DE4" w:rsidRPr="00730DE4" w:rsidRDefault="00730DE4" w:rsidP="005F7B67">
            <w:pPr>
              <w:pStyle w:val="NoSpacing"/>
              <w:jc w:val="right"/>
              <w:rPr>
                <w:color w:val="080C0F" w:themeColor="text1"/>
              </w:rPr>
            </w:pPr>
            <w:r w:rsidRPr="00730DE4">
              <w:rPr>
                <w:color w:val="080C0F" w:themeColor="text1"/>
              </w:rPr>
              <w:t xml:space="preserve">- </w:t>
            </w:r>
          </w:p>
        </w:tc>
        <w:tc>
          <w:tcPr>
            <w:tcW w:w="727" w:type="pct"/>
            <w:tcBorders>
              <w:top w:val="dotted" w:sz="4" w:space="0" w:color="BFBFBF" w:themeColor="background1" w:themeShade="BF"/>
              <w:left w:val="dotted" w:sz="4" w:space="0" w:color="BFBFBF" w:themeColor="background1" w:themeShade="BF"/>
              <w:bottom w:val="dotted" w:sz="4" w:space="0" w:color="BFBFBF" w:themeColor="background1" w:themeShade="BF"/>
            </w:tcBorders>
            <w:shd w:val="clear" w:color="auto" w:fill="F2F2F2" w:themeFill="background1" w:themeFillShade="F2"/>
            <w:noWrap/>
            <w:vAlign w:val="bottom"/>
            <w:hideMark/>
          </w:tcPr>
          <w:p w14:paraId="3405E78B" w14:textId="77777777" w:rsidR="00730DE4" w:rsidRPr="00730DE4" w:rsidRDefault="00730DE4" w:rsidP="005F7B67">
            <w:pPr>
              <w:pStyle w:val="NoSpacing"/>
              <w:jc w:val="right"/>
              <w:rPr>
                <w:rStyle w:val="Strong"/>
              </w:rPr>
            </w:pPr>
            <w:r w:rsidRPr="00730DE4">
              <w:rPr>
                <w:rStyle w:val="Strong"/>
              </w:rPr>
              <w:t xml:space="preserve">306 </w:t>
            </w:r>
          </w:p>
        </w:tc>
      </w:tr>
      <w:tr w:rsidR="00730DE4" w:rsidRPr="00730DE4" w14:paraId="583840F8" w14:textId="77777777" w:rsidTr="000E22DE">
        <w:tc>
          <w:tcPr>
            <w:tcW w:w="2092" w:type="pct"/>
            <w:tcBorders>
              <w:top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011863C9" w14:textId="77777777" w:rsidR="00730DE4" w:rsidRPr="00730DE4" w:rsidRDefault="00730DE4" w:rsidP="005F7B67">
            <w:pPr>
              <w:pStyle w:val="NoSpacing"/>
              <w:rPr>
                <w:color w:val="080C0F" w:themeColor="text1"/>
              </w:rPr>
            </w:pPr>
            <w:r w:rsidRPr="00730DE4">
              <w:rPr>
                <w:color w:val="080C0F" w:themeColor="text1"/>
              </w:rPr>
              <w:t>Chief Finance Officer</w:t>
            </w:r>
          </w:p>
        </w:tc>
        <w:tc>
          <w:tcPr>
            <w:tcW w:w="72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hideMark/>
          </w:tcPr>
          <w:p w14:paraId="1FB8B544" w14:textId="77777777" w:rsidR="00730DE4" w:rsidRPr="00730DE4" w:rsidRDefault="00730DE4" w:rsidP="005F7B67">
            <w:pPr>
              <w:pStyle w:val="NoSpacing"/>
              <w:jc w:val="right"/>
              <w:rPr>
                <w:color w:val="080C0F" w:themeColor="text1"/>
              </w:rPr>
            </w:pPr>
            <w:r w:rsidRPr="00730DE4">
              <w:rPr>
                <w:color w:val="080C0F" w:themeColor="text1"/>
              </w:rPr>
              <w:t xml:space="preserve">205 </w:t>
            </w:r>
          </w:p>
        </w:tc>
        <w:tc>
          <w:tcPr>
            <w:tcW w:w="72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hideMark/>
          </w:tcPr>
          <w:p w14:paraId="0C0EC1BB" w14:textId="77777777" w:rsidR="00730DE4" w:rsidRPr="00730DE4" w:rsidRDefault="00730DE4" w:rsidP="005F7B67">
            <w:pPr>
              <w:pStyle w:val="NoSpacing"/>
              <w:jc w:val="right"/>
              <w:rPr>
                <w:color w:val="080C0F" w:themeColor="text1"/>
              </w:rPr>
            </w:pPr>
            <w:r w:rsidRPr="00730DE4">
              <w:rPr>
                <w:color w:val="080C0F" w:themeColor="text1"/>
              </w:rPr>
              <w:t xml:space="preserve">34 </w:t>
            </w:r>
          </w:p>
        </w:tc>
        <w:tc>
          <w:tcPr>
            <w:tcW w:w="72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hideMark/>
          </w:tcPr>
          <w:p w14:paraId="2D2AE19D" w14:textId="77777777" w:rsidR="00730DE4" w:rsidRPr="00730DE4" w:rsidRDefault="00730DE4" w:rsidP="005F7B67">
            <w:pPr>
              <w:pStyle w:val="NoSpacing"/>
              <w:jc w:val="right"/>
              <w:rPr>
                <w:color w:val="080C0F" w:themeColor="text1"/>
              </w:rPr>
            </w:pPr>
            <w:r w:rsidRPr="00730DE4">
              <w:rPr>
                <w:color w:val="080C0F" w:themeColor="text1"/>
              </w:rPr>
              <w:t xml:space="preserve">- </w:t>
            </w:r>
          </w:p>
        </w:tc>
        <w:tc>
          <w:tcPr>
            <w:tcW w:w="727" w:type="pct"/>
            <w:tcBorders>
              <w:top w:val="dotted" w:sz="4" w:space="0" w:color="BFBFBF" w:themeColor="background1" w:themeShade="BF"/>
              <w:left w:val="dotted" w:sz="4" w:space="0" w:color="BFBFBF" w:themeColor="background1" w:themeShade="BF"/>
              <w:bottom w:val="dotted" w:sz="4" w:space="0" w:color="BFBFBF" w:themeColor="background1" w:themeShade="BF"/>
            </w:tcBorders>
            <w:shd w:val="clear" w:color="auto" w:fill="F2F2F2" w:themeFill="background1" w:themeFillShade="F2"/>
            <w:noWrap/>
            <w:vAlign w:val="bottom"/>
            <w:hideMark/>
          </w:tcPr>
          <w:p w14:paraId="611E087B" w14:textId="77777777" w:rsidR="00730DE4" w:rsidRPr="00730DE4" w:rsidRDefault="00730DE4" w:rsidP="005F7B67">
            <w:pPr>
              <w:pStyle w:val="NoSpacing"/>
              <w:jc w:val="right"/>
              <w:rPr>
                <w:rStyle w:val="Strong"/>
              </w:rPr>
            </w:pPr>
            <w:r w:rsidRPr="00730DE4">
              <w:rPr>
                <w:rStyle w:val="Strong"/>
              </w:rPr>
              <w:t xml:space="preserve">239 </w:t>
            </w:r>
          </w:p>
        </w:tc>
      </w:tr>
      <w:tr w:rsidR="00730DE4" w:rsidRPr="00730DE4" w14:paraId="71343BD9" w14:textId="77777777" w:rsidTr="000E22DE">
        <w:tc>
          <w:tcPr>
            <w:tcW w:w="2092" w:type="pct"/>
            <w:tcBorders>
              <w:top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01214A02" w14:textId="77777777" w:rsidR="00730DE4" w:rsidRPr="00730DE4" w:rsidRDefault="00730DE4" w:rsidP="005F7B67">
            <w:pPr>
              <w:pStyle w:val="NoSpacing"/>
              <w:rPr>
                <w:color w:val="080C0F" w:themeColor="text1"/>
              </w:rPr>
            </w:pPr>
            <w:r w:rsidRPr="00730DE4">
              <w:rPr>
                <w:color w:val="080C0F" w:themeColor="text1"/>
              </w:rPr>
              <w:t>Acting Chief Finance Officer (01.07.2023–02.08.2023)</w:t>
            </w:r>
            <w:r w:rsidRPr="00730DE4">
              <w:rPr>
                <w:color w:val="080C0F" w:themeColor="text1"/>
              </w:rPr>
              <w:br/>
              <w:t>(11.12.2023–09.01.2024)</w:t>
            </w:r>
            <w:r w:rsidRPr="00730DE4">
              <w:rPr>
                <w:color w:val="080C0F" w:themeColor="text1"/>
              </w:rPr>
              <w:br/>
              <w:t>(29.04.2024–10.05.2024)</w:t>
            </w:r>
            <w:r w:rsidRPr="00730DE4">
              <w:rPr>
                <w:color w:val="080C0F" w:themeColor="text1"/>
              </w:rPr>
              <w:br/>
              <w:t>(07.06.2024–30.06.2024)</w:t>
            </w:r>
          </w:p>
        </w:tc>
        <w:tc>
          <w:tcPr>
            <w:tcW w:w="72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hideMark/>
          </w:tcPr>
          <w:p w14:paraId="7520CF05" w14:textId="77777777" w:rsidR="00730DE4" w:rsidRPr="00730DE4" w:rsidRDefault="00730DE4" w:rsidP="005F7B67">
            <w:pPr>
              <w:pStyle w:val="NoSpacing"/>
              <w:jc w:val="right"/>
              <w:rPr>
                <w:color w:val="080C0F" w:themeColor="text1"/>
              </w:rPr>
            </w:pPr>
            <w:r w:rsidRPr="00730DE4">
              <w:rPr>
                <w:color w:val="080C0F" w:themeColor="text1"/>
              </w:rPr>
              <w:t xml:space="preserve">71 </w:t>
            </w:r>
          </w:p>
        </w:tc>
        <w:tc>
          <w:tcPr>
            <w:tcW w:w="72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hideMark/>
          </w:tcPr>
          <w:p w14:paraId="06B2D7AD" w14:textId="77777777" w:rsidR="00730DE4" w:rsidRPr="00730DE4" w:rsidRDefault="00730DE4" w:rsidP="005F7B67">
            <w:pPr>
              <w:pStyle w:val="NoSpacing"/>
              <w:jc w:val="right"/>
              <w:rPr>
                <w:color w:val="080C0F" w:themeColor="text1"/>
              </w:rPr>
            </w:pPr>
            <w:r w:rsidRPr="00730DE4">
              <w:rPr>
                <w:color w:val="080C0F" w:themeColor="text1"/>
              </w:rPr>
              <w:t xml:space="preserve">10 </w:t>
            </w:r>
          </w:p>
        </w:tc>
        <w:tc>
          <w:tcPr>
            <w:tcW w:w="72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hideMark/>
          </w:tcPr>
          <w:p w14:paraId="1608B33C" w14:textId="77777777" w:rsidR="00730DE4" w:rsidRPr="00730DE4" w:rsidRDefault="00730DE4" w:rsidP="005F7B67">
            <w:pPr>
              <w:pStyle w:val="NoSpacing"/>
              <w:jc w:val="right"/>
              <w:rPr>
                <w:color w:val="080C0F" w:themeColor="text1"/>
              </w:rPr>
            </w:pPr>
            <w:r w:rsidRPr="00730DE4">
              <w:rPr>
                <w:color w:val="080C0F" w:themeColor="text1"/>
              </w:rPr>
              <w:t xml:space="preserve">- </w:t>
            </w:r>
          </w:p>
        </w:tc>
        <w:tc>
          <w:tcPr>
            <w:tcW w:w="727" w:type="pct"/>
            <w:tcBorders>
              <w:top w:val="dotted" w:sz="4" w:space="0" w:color="BFBFBF" w:themeColor="background1" w:themeShade="BF"/>
              <w:left w:val="dotted" w:sz="4" w:space="0" w:color="BFBFBF" w:themeColor="background1" w:themeShade="BF"/>
              <w:bottom w:val="dotted" w:sz="4" w:space="0" w:color="BFBFBF" w:themeColor="background1" w:themeShade="BF"/>
            </w:tcBorders>
            <w:shd w:val="clear" w:color="auto" w:fill="F2F2F2" w:themeFill="background1" w:themeFillShade="F2"/>
            <w:noWrap/>
            <w:vAlign w:val="bottom"/>
            <w:hideMark/>
          </w:tcPr>
          <w:p w14:paraId="66D0BECA" w14:textId="77777777" w:rsidR="00730DE4" w:rsidRPr="00730DE4" w:rsidRDefault="00730DE4" w:rsidP="005F7B67">
            <w:pPr>
              <w:pStyle w:val="NoSpacing"/>
              <w:jc w:val="right"/>
              <w:rPr>
                <w:rStyle w:val="Strong"/>
              </w:rPr>
            </w:pPr>
            <w:r w:rsidRPr="00730DE4">
              <w:rPr>
                <w:rStyle w:val="Strong"/>
              </w:rPr>
              <w:t xml:space="preserve">81 </w:t>
            </w:r>
          </w:p>
        </w:tc>
      </w:tr>
      <w:tr w:rsidR="00730DE4" w:rsidRPr="00730DE4" w14:paraId="108CF9BD" w14:textId="77777777" w:rsidTr="000E22DE">
        <w:tc>
          <w:tcPr>
            <w:tcW w:w="2092" w:type="pct"/>
            <w:tcBorders>
              <w:top w:val="dotted" w:sz="4" w:space="0" w:color="BFBFBF" w:themeColor="background1" w:themeShade="BF"/>
              <w:bottom w:val="single" w:sz="4" w:space="0" w:color="auto"/>
              <w:right w:val="dotted" w:sz="4" w:space="0" w:color="BFBFBF" w:themeColor="background1" w:themeShade="BF"/>
            </w:tcBorders>
            <w:shd w:val="clear" w:color="auto" w:fill="auto"/>
            <w:vAlign w:val="bottom"/>
            <w:hideMark/>
          </w:tcPr>
          <w:p w14:paraId="7BE8E652" w14:textId="77777777" w:rsidR="00730DE4" w:rsidRPr="00730DE4" w:rsidRDefault="00730DE4" w:rsidP="005F7B67">
            <w:pPr>
              <w:pStyle w:val="NoSpacing"/>
              <w:rPr>
                <w:color w:val="080C0F" w:themeColor="text1"/>
              </w:rPr>
            </w:pPr>
            <w:r w:rsidRPr="00730DE4">
              <w:rPr>
                <w:color w:val="080C0F" w:themeColor="text1"/>
              </w:rPr>
              <w:t>Chief Customer and Digital Officer</w:t>
            </w:r>
          </w:p>
        </w:tc>
        <w:tc>
          <w:tcPr>
            <w:tcW w:w="727"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vAlign w:val="bottom"/>
            <w:hideMark/>
          </w:tcPr>
          <w:p w14:paraId="30D8C69C" w14:textId="77777777" w:rsidR="00730DE4" w:rsidRPr="00730DE4" w:rsidRDefault="00730DE4" w:rsidP="005F7B67">
            <w:pPr>
              <w:pStyle w:val="NoSpacing"/>
              <w:jc w:val="right"/>
              <w:rPr>
                <w:color w:val="080C0F" w:themeColor="text1"/>
              </w:rPr>
            </w:pPr>
            <w:r w:rsidRPr="00730DE4">
              <w:rPr>
                <w:color w:val="080C0F" w:themeColor="text1"/>
              </w:rPr>
              <w:t xml:space="preserve">389 </w:t>
            </w:r>
          </w:p>
        </w:tc>
        <w:tc>
          <w:tcPr>
            <w:tcW w:w="727"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vAlign w:val="bottom"/>
            <w:hideMark/>
          </w:tcPr>
          <w:p w14:paraId="07481B07" w14:textId="77777777" w:rsidR="00730DE4" w:rsidRPr="00730DE4" w:rsidRDefault="00730DE4" w:rsidP="005F7B67">
            <w:pPr>
              <w:pStyle w:val="NoSpacing"/>
              <w:jc w:val="right"/>
              <w:rPr>
                <w:color w:val="080C0F" w:themeColor="text1"/>
              </w:rPr>
            </w:pPr>
            <w:r w:rsidRPr="00730DE4">
              <w:rPr>
                <w:color w:val="080C0F" w:themeColor="text1"/>
              </w:rPr>
              <w:t xml:space="preserve">59 </w:t>
            </w:r>
          </w:p>
        </w:tc>
        <w:tc>
          <w:tcPr>
            <w:tcW w:w="727"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vAlign w:val="bottom"/>
            <w:hideMark/>
          </w:tcPr>
          <w:p w14:paraId="7441928A" w14:textId="77777777" w:rsidR="00730DE4" w:rsidRPr="00730DE4" w:rsidRDefault="00730DE4" w:rsidP="005F7B67">
            <w:pPr>
              <w:pStyle w:val="NoSpacing"/>
              <w:jc w:val="right"/>
              <w:rPr>
                <w:color w:val="080C0F" w:themeColor="text1"/>
              </w:rPr>
            </w:pPr>
            <w:r w:rsidRPr="00730DE4">
              <w:rPr>
                <w:color w:val="080C0F" w:themeColor="text1"/>
              </w:rPr>
              <w:t xml:space="preserve">- </w:t>
            </w:r>
          </w:p>
        </w:tc>
        <w:tc>
          <w:tcPr>
            <w:tcW w:w="727" w:type="pct"/>
            <w:tcBorders>
              <w:top w:val="dotted" w:sz="4" w:space="0" w:color="BFBFBF" w:themeColor="background1" w:themeShade="BF"/>
              <w:left w:val="dotted" w:sz="4" w:space="0" w:color="BFBFBF" w:themeColor="background1" w:themeShade="BF"/>
              <w:bottom w:val="single" w:sz="4" w:space="0" w:color="auto"/>
            </w:tcBorders>
            <w:shd w:val="clear" w:color="auto" w:fill="F2F2F2" w:themeFill="background1" w:themeFillShade="F2"/>
            <w:noWrap/>
            <w:vAlign w:val="bottom"/>
            <w:hideMark/>
          </w:tcPr>
          <w:p w14:paraId="129F9E6A" w14:textId="77777777" w:rsidR="00730DE4" w:rsidRPr="00730DE4" w:rsidRDefault="00730DE4" w:rsidP="005F7B67">
            <w:pPr>
              <w:pStyle w:val="NoSpacing"/>
              <w:jc w:val="right"/>
              <w:rPr>
                <w:rStyle w:val="Strong"/>
              </w:rPr>
            </w:pPr>
            <w:r w:rsidRPr="00730DE4">
              <w:rPr>
                <w:rStyle w:val="Strong"/>
              </w:rPr>
              <w:t xml:space="preserve">448 </w:t>
            </w:r>
          </w:p>
        </w:tc>
      </w:tr>
    </w:tbl>
    <w:p w14:paraId="0B55881A" w14:textId="77777777" w:rsidR="00730DE4" w:rsidRPr="00730DE4" w:rsidRDefault="00730DE4" w:rsidP="00412C33">
      <w:pPr>
        <w:pStyle w:val="Caption"/>
      </w:pPr>
      <w:r w:rsidRPr="00730DE4">
        <w:t>* The Director-General undertook duties of the role in an acting capacity from 1 July 2023 until their appointment to the role on 1 December 2023.</w:t>
      </w:r>
    </w:p>
    <w:p w14:paraId="6B530903" w14:textId="77777777" w:rsidR="00730DE4" w:rsidRPr="00730DE4" w:rsidRDefault="00730DE4" w:rsidP="003C13D4">
      <w:pPr>
        <w:rPr>
          <w:rStyle w:val="Strong"/>
        </w:rPr>
      </w:pPr>
      <w:bookmarkStart w:id="1491" w:name="_Hlk55481906"/>
      <w:r w:rsidRPr="00730DE4">
        <w:rPr>
          <w:rStyle w:val="Strong"/>
        </w:rPr>
        <w:br w:type="page"/>
      </w:r>
    </w:p>
    <w:p w14:paraId="6B8DA170" w14:textId="77777777" w:rsidR="00730DE4" w:rsidRPr="00730DE4" w:rsidRDefault="00730DE4" w:rsidP="00F517FD">
      <w:pPr>
        <w:rPr>
          <w:b/>
          <w:bCs/>
        </w:rPr>
      </w:pPr>
      <w:r w:rsidRPr="00730DE4">
        <w:rPr>
          <w:rStyle w:val="Strong"/>
        </w:rPr>
        <w:t>1 July 2022 – 30 June 2023</w:t>
      </w:r>
    </w:p>
    <w:tbl>
      <w:tblPr>
        <w:tblW w:w="5000" w:type="pct"/>
        <w:tblCellMar>
          <w:top w:w="23" w:type="dxa"/>
          <w:left w:w="23" w:type="dxa"/>
          <w:bottom w:w="23" w:type="dxa"/>
          <w:right w:w="23" w:type="dxa"/>
        </w:tblCellMar>
        <w:tblLook w:val="04A0" w:firstRow="1" w:lastRow="0" w:firstColumn="1" w:lastColumn="0" w:noHBand="0" w:noVBand="1"/>
      </w:tblPr>
      <w:tblGrid>
        <w:gridCol w:w="3827"/>
        <w:gridCol w:w="1309"/>
        <w:gridCol w:w="1312"/>
        <w:gridCol w:w="1310"/>
        <w:gridCol w:w="1312"/>
      </w:tblGrid>
      <w:tr w:rsidR="00730DE4" w:rsidRPr="00730DE4" w14:paraId="259F47D0" w14:textId="77777777" w:rsidTr="000E22DE">
        <w:tc>
          <w:tcPr>
            <w:tcW w:w="2110" w:type="pct"/>
            <w:tcBorders>
              <w:bottom w:val="single" w:sz="4" w:space="0" w:color="auto"/>
            </w:tcBorders>
            <w:shd w:val="clear" w:color="auto" w:fill="auto"/>
            <w:vAlign w:val="bottom"/>
            <w:hideMark/>
          </w:tcPr>
          <w:p w14:paraId="33772E83" w14:textId="77777777" w:rsidR="00730DE4" w:rsidRPr="00730DE4" w:rsidRDefault="00730DE4" w:rsidP="00912B03">
            <w:pPr>
              <w:pStyle w:val="NoSpacing"/>
              <w:rPr>
                <w:color w:val="080C0F" w:themeColor="text1"/>
              </w:rPr>
            </w:pPr>
            <w:r w:rsidRPr="00730DE4">
              <w:rPr>
                <w:rStyle w:val="Strong"/>
              </w:rPr>
              <w:t>Position</w:t>
            </w:r>
          </w:p>
        </w:tc>
        <w:tc>
          <w:tcPr>
            <w:tcW w:w="722" w:type="pct"/>
            <w:tcBorders>
              <w:bottom w:val="single" w:sz="4" w:space="0" w:color="auto"/>
            </w:tcBorders>
            <w:shd w:val="clear" w:color="auto" w:fill="auto"/>
            <w:vAlign w:val="bottom"/>
            <w:hideMark/>
          </w:tcPr>
          <w:p w14:paraId="7E4035EC" w14:textId="77777777" w:rsidR="00730DE4" w:rsidRPr="00730DE4" w:rsidRDefault="00730DE4" w:rsidP="00912B03">
            <w:pPr>
              <w:pStyle w:val="NoSpacing"/>
              <w:jc w:val="right"/>
              <w:rPr>
                <w:color w:val="080C0F" w:themeColor="text1"/>
              </w:rPr>
            </w:pPr>
            <w:r w:rsidRPr="00730DE4">
              <w:rPr>
                <w:rStyle w:val="Strong"/>
              </w:rPr>
              <w:t>Short term employee expenses</w:t>
            </w:r>
            <w:r w:rsidRPr="00730DE4">
              <w:rPr>
                <w:rStyle w:val="Strong"/>
              </w:rPr>
              <w:br/>
              <w:t xml:space="preserve"> </w:t>
            </w:r>
            <w:r w:rsidRPr="00730DE4">
              <w:rPr>
                <w:rStyle w:val="Strong"/>
              </w:rPr>
              <w:br/>
            </w:r>
            <w:r w:rsidRPr="00730DE4">
              <w:rPr>
                <w:rStyle w:val="Strong"/>
              </w:rPr>
              <w:br/>
              <w:t>$'000</w:t>
            </w:r>
          </w:p>
        </w:tc>
        <w:tc>
          <w:tcPr>
            <w:tcW w:w="723" w:type="pct"/>
            <w:tcBorders>
              <w:bottom w:val="single" w:sz="4" w:space="0" w:color="auto"/>
            </w:tcBorders>
            <w:shd w:val="clear" w:color="auto" w:fill="auto"/>
            <w:vAlign w:val="bottom"/>
            <w:hideMark/>
          </w:tcPr>
          <w:p w14:paraId="006192E1" w14:textId="77777777" w:rsidR="00730DE4" w:rsidRPr="00730DE4" w:rsidRDefault="00730DE4" w:rsidP="00912B03">
            <w:pPr>
              <w:pStyle w:val="NoSpacing"/>
              <w:jc w:val="right"/>
              <w:rPr>
                <w:color w:val="080C0F" w:themeColor="text1"/>
              </w:rPr>
            </w:pPr>
            <w:r w:rsidRPr="00730DE4">
              <w:rPr>
                <w:rStyle w:val="Strong"/>
              </w:rPr>
              <w:t xml:space="preserve">Long term and post employment expenses </w:t>
            </w:r>
            <w:r w:rsidRPr="00730DE4">
              <w:rPr>
                <w:rStyle w:val="Strong"/>
              </w:rPr>
              <w:br/>
            </w:r>
            <w:r w:rsidRPr="00730DE4">
              <w:rPr>
                <w:rStyle w:val="Strong"/>
              </w:rPr>
              <w:br/>
              <w:t>$'000</w:t>
            </w:r>
          </w:p>
        </w:tc>
        <w:tc>
          <w:tcPr>
            <w:tcW w:w="722" w:type="pct"/>
            <w:tcBorders>
              <w:bottom w:val="single" w:sz="4" w:space="0" w:color="auto"/>
            </w:tcBorders>
            <w:shd w:val="clear" w:color="auto" w:fill="auto"/>
            <w:vAlign w:val="bottom"/>
            <w:hideMark/>
          </w:tcPr>
          <w:p w14:paraId="3A4C63D5" w14:textId="77777777" w:rsidR="00730DE4" w:rsidRPr="00730DE4" w:rsidRDefault="00730DE4" w:rsidP="00912B03">
            <w:pPr>
              <w:pStyle w:val="NoSpacing"/>
              <w:jc w:val="right"/>
              <w:rPr>
                <w:color w:val="080C0F" w:themeColor="text1"/>
              </w:rPr>
            </w:pPr>
            <w:r w:rsidRPr="00730DE4">
              <w:rPr>
                <w:rStyle w:val="Strong"/>
              </w:rPr>
              <w:t>Termination benefits</w:t>
            </w:r>
            <w:r w:rsidRPr="00730DE4">
              <w:rPr>
                <w:rStyle w:val="Strong"/>
              </w:rPr>
              <w:br/>
            </w:r>
            <w:r w:rsidRPr="00730DE4">
              <w:rPr>
                <w:rStyle w:val="Strong"/>
              </w:rPr>
              <w:br/>
              <w:t xml:space="preserve"> </w:t>
            </w:r>
            <w:r w:rsidRPr="00730DE4">
              <w:rPr>
                <w:rStyle w:val="Strong"/>
              </w:rPr>
              <w:br/>
            </w:r>
            <w:r w:rsidRPr="00730DE4">
              <w:rPr>
                <w:rStyle w:val="Strong"/>
              </w:rPr>
              <w:br/>
              <w:t>$'000</w:t>
            </w:r>
          </w:p>
        </w:tc>
        <w:tc>
          <w:tcPr>
            <w:tcW w:w="723" w:type="pct"/>
            <w:tcBorders>
              <w:bottom w:val="single" w:sz="4" w:space="0" w:color="auto"/>
            </w:tcBorders>
            <w:shd w:val="clear" w:color="auto" w:fill="auto"/>
            <w:vAlign w:val="bottom"/>
            <w:hideMark/>
          </w:tcPr>
          <w:p w14:paraId="1F9EAEA9" w14:textId="77777777" w:rsidR="00730DE4" w:rsidRPr="00730DE4" w:rsidRDefault="00730DE4" w:rsidP="00912B03">
            <w:pPr>
              <w:pStyle w:val="NoSpacing"/>
              <w:jc w:val="right"/>
              <w:rPr>
                <w:rStyle w:val="Strong"/>
              </w:rPr>
            </w:pPr>
            <w:r w:rsidRPr="00730DE4">
              <w:rPr>
                <w:rStyle w:val="Strong"/>
              </w:rPr>
              <w:t>Total</w:t>
            </w:r>
            <w:r w:rsidRPr="00730DE4">
              <w:rPr>
                <w:rStyle w:val="Strong"/>
              </w:rPr>
              <w:br/>
            </w:r>
            <w:r w:rsidRPr="00730DE4">
              <w:rPr>
                <w:rStyle w:val="Strong"/>
              </w:rPr>
              <w:br/>
            </w:r>
            <w:r w:rsidRPr="00730DE4">
              <w:rPr>
                <w:rStyle w:val="Strong"/>
              </w:rPr>
              <w:br/>
              <w:t xml:space="preserve"> </w:t>
            </w:r>
            <w:r w:rsidRPr="00730DE4">
              <w:rPr>
                <w:rStyle w:val="Strong"/>
              </w:rPr>
              <w:br/>
            </w:r>
            <w:r w:rsidRPr="00730DE4">
              <w:rPr>
                <w:rStyle w:val="Strong"/>
              </w:rPr>
              <w:br/>
              <w:t>$'000</w:t>
            </w:r>
          </w:p>
        </w:tc>
      </w:tr>
      <w:tr w:rsidR="00730DE4" w:rsidRPr="00730DE4" w14:paraId="3F88A072" w14:textId="77777777" w:rsidTr="000E22DE">
        <w:tc>
          <w:tcPr>
            <w:tcW w:w="2110" w:type="pct"/>
            <w:tcBorders>
              <w:top w:val="single" w:sz="4" w:space="0" w:color="auto"/>
              <w:bottom w:val="dotted" w:sz="4" w:space="0" w:color="BFBFBF" w:themeColor="background1" w:themeShade="BF"/>
              <w:right w:val="dotted" w:sz="4" w:space="0" w:color="BFBFBF" w:themeColor="background1" w:themeShade="BF"/>
            </w:tcBorders>
            <w:shd w:val="clear" w:color="auto" w:fill="auto"/>
            <w:vAlign w:val="bottom"/>
            <w:hideMark/>
          </w:tcPr>
          <w:p w14:paraId="6A92B5CD" w14:textId="77777777" w:rsidR="00730DE4" w:rsidRPr="00730DE4" w:rsidRDefault="00730DE4" w:rsidP="00912B03">
            <w:pPr>
              <w:pStyle w:val="NoSpacing"/>
              <w:rPr>
                <w:color w:val="080C0F" w:themeColor="text1"/>
              </w:rPr>
            </w:pPr>
            <w:r w:rsidRPr="00730DE4">
              <w:rPr>
                <w:color w:val="080C0F" w:themeColor="text1"/>
              </w:rPr>
              <w:t>Director-General (Exited 03.06.2023)</w:t>
            </w:r>
          </w:p>
        </w:tc>
        <w:tc>
          <w:tcPr>
            <w:tcW w:w="722"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19555F01" w14:textId="77777777" w:rsidR="00730DE4" w:rsidRPr="00730DE4" w:rsidRDefault="00730DE4" w:rsidP="00912B03">
            <w:pPr>
              <w:pStyle w:val="NoSpacing"/>
              <w:jc w:val="right"/>
              <w:rPr>
                <w:color w:val="080C0F" w:themeColor="text1"/>
              </w:rPr>
            </w:pPr>
            <w:r w:rsidRPr="00730DE4">
              <w:rPr>
                <w:color w:val="080C0F" w:themeColor="text1"/>
              </w:rPr>
              <w:t xml:space="preserve">506 </w:t>
            </w:r>
          </w:p>
        </w:tc>
        <w:tc>
          <w:tcPr>
            <w:tcW w:w="723"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7B2A618E" w14:textId="77777777" w:rsidR="00730DE4" w:rsidRPr="00730DE4" w:rsidRDefault="00730DE4" w:rsidP="00912B03">
            <w:pPr>
              <w:pStyle w:val="NoSpacing"/>
              <w:jc w:val="right"/>
              <w:rPr>
                <w:color w:val="080C0F" w:themeColor="text1"/>
              </w:rPr>
            </w:pPr>
            <w:r w:rsidRPr="00730DE4">
              <w:rPr>
                <w:color w:val="080C0F" w:themeColor="text1"/>
              </w:rPr>
              <w:t xml:space="preserve">76 </w:t>
            </w:r>
          </w:p>
        </w:tc>
        <w:tc>
          <w:tcPr>
            <w:tcW w:w="722"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23ED8DA2" w14:textId="77777777" w:rsidR="00730DE4" w:rsidRPr="00730DE4" w:rsidRDefault="00730DE4" w:rsidP="00912B03">
            <w:pPr>
              <w:pStyle w:val="NoSpacing"/>
              <w:jc w:val="right"/>
              <w:rPr>
                <w:color w:val="080C0F" w:themeColor="text1"/>
              </w:rPr>
            </w:pPr>
            <w:r w:rsidRPr="00730DE4">
              <w:rPr>
                <w:color w:val="080C0F" w:themeColor="text1"/>
              </w:rPr>
              <w:t xml:space="preserve">- </w:t>
            </w:r>
          </w:p>
        </w:tc>
        <w:tc>
          <w:tcPr>
            <w:tcW w:w="723" w:type="pct"/>
            <w:tcBorders>
              <w:top w:val="single" w:sz="4" w:space="0" w:color="auto"/>
              <w:left w:val="dotted" w:sz="4" w:space="0" w:color="BFBFBF" w:themeColor="background1" w:themeShade="BF"/>
              <w:bottom w:val="dotted" w:sz="4" w:space="0" w:color="BFBFBF" w:themeColor="background1" w:themeShade="BF"/>
            </w:tcBorders>
            <w:shd w:val="clear" w:color="auto" w:fill="auto"/>
            <w:vAlign w:val="bottom"/>
            <w:hideMark/>
          </w:tcPr>
          <w:p w14:paraId="6B5F3BDE" w14:textId="77777777" w:rsidR="00730DE4" w:rsidRPr="00730DE4" w:rsidRDefault="00730DE4" w:rsidP="00912B03">
            <w:pPr>
              <w:pStyle w:val="NoSpacing"/>
              <w:jc w:val="right"/>
              <w:rPr>
                <w:rStyle w:val="Strong"/>
              </w:rPr>
            </w:pPr>
            <w:r w:rsidRPr="00730DE4">
              <w:rPr>
                <w:rStyle w:val="Strong"/>
              </w:rPr>
              <w:t xml:space="preserve">582 </w:t>
            </w:r>
          </w:p>
        </w:tc>
      </w:tr>
      <w:tr w:rsidR="00730DE4" w:rsidRPr="00730DE4" w14:paraId="1B2FB0AE" w14:textId="77777777" w:rsidTr="000E22DE">
        <w:tc>
          <w:tcPr>
            <w:tcW w:w="2110" w:type="pct"/>
            <w:tcBorders>
              <w:top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7780055C" w14:textId="77777777" w:rsidR="00730DE4" w:rsidRPr="00730DE4" w:rsidRDefault="00730DE4" w:rsidP="00912B03">
            <w:pPr>
              <w:pStyle w:val="NoSpacing"/>
              <w:rPr>
                <w:color w:val="080C0F" w:themeColor="text1"/>
              </w:rPr>
            </w:pPr>
            <w:r w:rsidRPr="00730DE4">
              <w:rPr>
                <w:color w:val="080C0F" w:themeColor="text1"/>
              </w:rPr>
              <w:t xml:space="preserve">Acting Director-General </w:t>
            </w:r>
            <w:r w:rsidRPr="00730DE4">
              <w:rPr>
                <w:color w:val="080C0F" w:themeColor="text1"/>
              </w:rPr>
              <w:br/>
              <w:t>(04.06.2023–30.06.2023)</w:t>
            </w:r>
          </w:p>
        </w:tc>
        <w:tc>
          <w:tcPr>
            <w:tcW w:w="72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055A935C" w14:textId="77777777" w:rsidR="00730DE4" w:rsidRPr="00730DE4" w:rsidRDefault="00730DE4" w:rsidP="00912B03">
            <w:pPr>
              <w:pStyle w:val="NoSpacing"/>
              <w:jc w:val="right"/>
              <w:rPr>
                <w:color w:val="080C0F" w:themeColor="text1"/>
              </w:rPr>
            </w:pPr>
            <w:r w:rsidRPr="00730DE4">
              <w:rPr>
                <w:color w:val="080C0F" w:themeColor="text1"/>
              </w:rPr>
              <w:t xml:space="preserve">45 </w:t>
            </w:r>
          </w:p>
        </w:tc>
        <w:tc>
          <w:tcPr>
            <w:tcW w:w="72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7ED3EA7D" w14:textId="77777777" w:rsidR="00730DE4" w:rsidRPr="00730DE4" w:rsidRDefault="00730DE4" w:rsidP="00912B03">
            <w:pPr>
              <w:pStyle w:val="NoSpacing"/>
              <w:jc w:val="right"/>
              <w:rPr>
                <w:color w:val="080C0F" w:themeColor="text1"/>
              </w:rPr>
            </w:pPr>
            <w:r w:rsidRPr="00730DE4">
              <w:rPr>
                <w:color w:val="080C0F" w:themeColor="text1"/>
              </w:rPr>
              <w:t xml:space="preserve">6 </w:t>
            </w:r>
          </w:p>
        </w:tc>
        <w:tc>
          <w:tcPr>
            <w:tcW w:w="72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22D7B4D9" w14:textId="77777777" w:rsidR="00730DE4" w:rsidRPr="00730DE4" w:rsidRDefault="00730DE4" w:rsidP="00912B03">
            <w:pPr>
              <w:pStyle w:val="NoSpacing"/>
              <w:jc w:val="right"/>
              <w:rPr>
                <w:color w:val="080C0F" w:themeColor="text1"/>
              </w:rPr>
            </w:pPr>
            <w:r w:rsidRPr="00730DE4">
              <w:rPr>
                <w:color w:val="080C0F" w:themeColor="text1"/>
              </w:rPr>
              <w:t xml:space="preserve">- </w:t>
            </w:r>
          </w:p>
        </w:tc>
        <w:tc>
          <w:tcPr>
            <w:tcW w:w="723" w:type="pct"/>
            <w:tcBorders>
              <w:top w:val="dotted" w:sz="4" w:space="0" w:color="BFBFBF" w:themeColor="background1" w:themeShade="BF"/>
              <w:left w:val="dotted" w:sz="4" w:space="0" w:color="BFBFBF" w:themeColor="background1" w:themeShade="BF"/>
              <w:bottom w:val="dotted" w:sz="4" w:space="0" w:color="BFBFBF" w:themeColor="background1" w:themeShade="BF"/>
            </w:tcBorders>
            <w:shd w:val="clear" w:color="auto" w:fill="auto"/>
            <w:vAlign w:val="bottom"/>
            <w:hideMark/>
          </w:tcPr>
          <w:p w14:paraId="4841B0FD" w14:textId="77777777" w:rsidR="00730DE4" w:rsidRPr="00730DE4" w:rsidRDefault="00730DE4" w:rsidP="00912B03">
            <w:pPr>
              <w:pStyle w:val="NoSpacing"/>
              <w:jc w:val="right"/>
              <w:rPr>
                <w:rStyle w:val="Strong"/>
              </w:rPr>
            </w:pPr>
            <w:r w:rsidRPr="00730DE4">
              <w:rPr>
                <w:rStyle w:val="Strong"/>
              </w:rPr>
              <w:t xml:space="preserve">51 </w:t>
            </w:r>
          </w:p>
        </w:tc>
      </w:tr>
      <w:tr w:rsidR="00730DE4" w:rsidRPr="00730DE4" w14:paraId="41F4CFAA" w14:textId="77777777" w:rsidTr="000E22DE">
        <w:tc>
          <w:tcPr>
            <w:tcW w:w="2110" w:type="pct"/>
            <w:tcBorders>
              <w:top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0F99C3BA" w14:textId="77777777" w:rsidR="00730DE4" w:rsidRPr="00730DE4" w:rsidRDefault="00730DE4" w:rsidP="00912B03">
            <w:pPr>
              <w:pStyle w:val="NoSpacing"/>
              <w:rPr>
                <w:color w:val="080C0F" w:themeColor="text1"/>
              </w:rPr>
            </w:pPr>
            <w:r w:rsidRPr="00730DE4">
              <w:rPr>
                <w:color w:val="080C0F" w:themeColor="text1"/>
              </w:rPr>
              <w:t>Deputy Director-General (Customer Services, Safety and Regulation)</w:t>
            </w:r>
            <w:r w:rsidRPr="00730DE4">
              <w:rPr>
                <w:color w:val="080C0F" w:themeColor="text1"/>
              </w:rPr>
              <w:br/>
              <w:t>(Acting 01.07.2022–28.10.2022)</w:t>
            </w:r>
            <w:r w:rsidRPr="00730DE4">
              <w:rPr>
                <w:color w:val="080C0F" w:themeColor="text1"/>
              </w:rPr>
              <w:br/>
              <w:t>(Appointed 31.10.2022)</w:t>
            </w:r>
          </w:p>
        </w:tc>
        <w:tc>
          <w:tcPr>
            <w:tcW w:w="72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18F6791C" w14:textId="77777777" w:rsidR="00730DE4" w:rsidRPr="00730DE4" w:rsidRDefault="00730DE4" w:rsidP="00912B03">
            <w:pPr>
              <w:pStyle w:val="NoSpacing"/>
              <w:jc w:val="right"/>
              <w:rPr>
                <w:color w:val="080C0F" w:themeColor="text1"/>
              </w:rPr>
            </w:pPr>
            <w:r w:rsidRPr="00730DE4">
              <w:rPr>
                <w:color w:val="080C0F" w:themeColor="text1"/>
              </w:rPr>
              <w:t xml:space="preserve">282 </w:t>
            </w:r>
          </w:p>
        </w:tc>
        <w:tc>
          <w:tcPr>
            <w:tcW w:w="72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4290E609" w14:textId="77777777" w:rsidR="00730DE4" w:rsidRPr="00730DE4" w:rsidRDefault="00730DE4" w:rsidP="00912B03">
            <w:pPr>
              <w:pStyle w:val="NoSpacing"/>
              <w:jc w:val="right"/>
              <w:rPr>
                <w:color w:val="080C0F" w:themeColor="text1"/>
              </w:rPr>
            </w:pPr>
            <w:r w:rsidRPr="00730DE4">
              <w:rPr>
                <w:color w:val="080C0F" w:themeColor="text1"/>
              </w:rPr>
              <w:t xml:space="preserve">39 </w:t>
            </w:r>
          </w:p>
        </w:tc>
        <w:tc>
          <w:tcPr>
            <w:tcW w:w="72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4BD5D052" w14:textId="77777777" w:rsidR="00730DE4" w:rsidRPr="00730DE4" w:rsidRDefault="00730DE4" w:rsidP="00912B03">
            <w:pPr>
              <w:pStyle w:val="NoSpacing"/>
              <w:jc w:val="right"/>
              <w:rPr>
                <w:color w:val="080C0F" w:themeColor="text1"/>
              </w:rPr>
            </w:pPr>
            <w:r w:rsidRPr="00730DE4">
              <w:rPr>
                <w:color w:val="080C0F" w:themeColor="text1"/>
              </w:rPr>
              <w:t xml:space="preserve">- </w:t>
            </w:r>
          </w:p>
        </w:tc>
        <w:tc>
          <w:tcPr>
            <w:tcW w:w="723" w:type="pct"/>
            <w:tcBorders>
              <w:top w:val="dotted" w:sz="4" w:space="0" w:color="BFBFBF" w:themeColor="background1" w:themeShade="BF"/>
              <w:left w:val="dotted" w:sz="4" w:space="0" w:color="BFBFBF" w:themeColor="background1" w:themeShade="BF"/>
              <w:bottom w:val="dotted" w:sz="4" w:space="0" w:color="BFBFBF" w:themeColor="background1" w:themeShade="BF"/>
            </w:tcBorders>
            <w:shd w:val="clear" w:color="auto" w:fill="auto"/>
            <w:vAlign w:val="bottom"/>
            <w:hideMark/>
          </w:tcPr>
          <w:p w14:paraId="64A5A697" w14:textId="77777777" w:rsidR="00730DE4" w:rsidRPr="00730DE4" w:rsidRDefault="00730DE4" w:rsidP="00912B03">
            <w:pPr>
              <w:pStyle w:val="NoSpacing"/>
              <w:jc w:val="right"/>
              <w:rPr>
                <w:rStyle w:val="Strong"/>
              </w:rPr>
            </w:pPr>
            <w:r w:rsidRPr="00730DE4">
              <w:rPr>
                <w:rStyle w:val="Strong"/>
              </w:rPr>
              <w:t xml:space="preserve">321 </w:t>
            </w:r>
          </w:p>
        </w:tc>
      </w:tr>
      <w:tr w:rsidR="00730DE4" w:rsidRPr="00730DE4" w14:paraId="52CF1011" w14:textId="77777777" w:rsidTr="000E22DE">
        <w:tc>
          <w:tcPr>
            <w:tcW w:w="2110" w:type="pct"/>
            <w:tcBorders>
              <w:top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67CF7A4E" w14:textId="77777777" w:rsidR="00730DE4" w:rsidRPr="00730DE4" w:rsidRDefault="00730DE4" w:rsidP="00912B03">
            <w:pPr>
              <w:pStyle w:val="NoSpacing"/>
              <w:rPr>
                <w:color w:val="080C0F" w:themeColor="text1"/>
              </w:rPr>
            </w:pPr>
            <w:r w:rsidRPr="00730DE4">
              <w:rPr>
                <w:color w:val="080C0F" w:themeColor="text1"/>
              </w:rPr>
              <w:t xml:space="preserve">Acting Deputy Director-General </w:t>
            </w:r>
            <w:r w:rsidRPr="00730DE4">
              <w:rPr>
                <w:color w:val="080C0F" w:themeColor="text1"/>
              </w:rPr>
              <w:br/>
              <w:t>(Infrastructure Management and Delivery)</w:t>
            </w:r>
            <w:r w:rsidRPr="00730DE4">
              <w:rPr>
                <w:color w:val="080C0F" w:themeColor="text1"/>
              </w:rPr>
              <w:br/>
              <w:t>(01.07.2022–01.11.2022)</w:t>
            </w:r>
            <w:r w:rsidRPr="00730DE4">
              <w:rPr>
                <w:color w:val="080C0F" w:themeColor="text1"/>
              </w:rPr>
              <w:br/>
              <w:t xml:space="preserve">(19.11.2022–26.11.2022) </w:t>
            </w:r>
            <w:r w:rsidRPr="00730DE4">
              <w:rPr>
                <w:color w:val="080C0F" w:themeColor="text1"/>
              </w:rPr>
              <w:br/>
              <w:t>(12.12.2022–28.12.2022)</w:t>
            </w:r>
          </w:p>
        </w:tc>
        <w:tc>
          <w:tcPr>
            <w:tcW w:w="72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1D940277" w14:textId="77777777" w:rsidR="00730DE4" w:rsidRPr="00730DE4" w:rsidRDefault="00730DE4" w:rsidP="00912B03">
            <w:pPr>
              <w:pStyle w:val="NoSpacing"/>
              <w:jc w:val="right"/>
              <w:rPr>
                <w:color w:val="080C0F" w:themeColor="text1"/>
              </w:rPr>
            </w:pPr>
            <w:r w:rsidRPr="00730DE4">
              <w:rPr>
                <w:color w:val="080C0F" w:themeColor="text1"/>
              </w:rPr>
              <w:t xml:space="preserve">111 </w:t>
            </w:r>
          </w:p>
        </w:tc>
        <w:tc>
          <w:tcPr>
            <w:tcW w:w="72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522F59EF" w14:textId="77777777" w:rsidR="00730DE4" w:rsidRPr="00730DE4" w:rsidRDefault="00730DE4" w:rsidP="00912B03">
            <w:pPr>
              <w:pStyle w:val="NoSpacing"/>
              <w:jc w:val="right"/>
              <w:rPr>
                <w:color w:val="080C0F" w:themeColor="text1"/>
              </w:rPr>
            </w:pPr>
            <w:r w:rsidRPr="00730DE4">
              <w:rPr>
                <w:color w:val="080C0F" w:themeColor="text1"/>
              </w:rPr>
              <w:t xml:space="preserve">15 </w:t>
            </w:r>
          </w:p>
        </w:tc>
        <w:tc>
          <w:tcPr>
            <w:tcW w:w="72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7D9A0355" w14:textId="77777777" w:rsidR="00730DE4" w:rsidRPr="00730DE4" w:rsidRDefault="00730DE4" w:rsidP="00912B03">
            <w:pPr>
              <w:pStyle w:val="NoSpacing"/>
              <w:jc w:val="right"/>
              <w:rPr>
                <w:color w:val="080C0F" w:themeColor="text1"/>
              </w:rPr>
            </w:pPr>
            <w:r w:rsidRPr="00730DE4">
              <w:rPr>
                <w:color w:val="080C0F" w:themeColor="text1"/>
              </w:rPr>
              <w:t xml:space="preserve">- </w:t>
            </w:r>
          </w:p>
        </w:tc>
        <w:tc>
          <w:tcPr>
            <w:tcW w:w="723" w:type="pct"/>
            <w:tcBorders>
              <w:top w:val="dotted" w:sz="4" w:space="0" w:color="BFBFBF" w:themeColor="background1" w:themeShade="BF"/>
              <w:left w:val="dotted" w:sz="4" w:space="0" w:color="BFBFBF" w:themeColor="background1" w:themeShade="BF"/>
              <w:bottom w:val="dotted" w:sz="4" w:space="0" w:color="BFBFBF" w:themeColor="background1" w:themeShade="BF"/>
            </w:tcBorders>
            <w:shd w:val="clear" w:color="auto" w:fill="auto"/>
            <w:vAlign w:val="bottom"/>
            <w:hideMark/>
          </w:tcPr>
          <w:p w14:paraId="187EC818" w14:textId="77777777" w:rsidR="00730DE4" w:rsidRPr="00730DE4" w:rsidRDefault="00730DE4" w:rsidP="00912B03">
            <w:pPr>
              <w:pStyle w:val="NoSpacing"/>
              <w:jc w:val="right"/>
              <w:rPr>
                <w:rStyle w:val="Strong"/>
              </w:rPr>
            </w:pPr>
            <w:r w:rsidRPr="00730DE4">
              <w:rPr>
                <w:rStyle w:val="Strong"/>
              </w:rPr>
              <w:t xml:space="preserve">126 </w:t>
            </w:r>
          </w:p>
        </w:tc>
      </w:tr>
      <w:tr w:rsidR="00730DE4" w:rsidRPr="00730DE4" w14:paraId="7BDF0ADC" w14:textId="77777777" w:rsidTr="000E22DE">
        <w:tc>
          <w:tcPr>
            <w:tcW w:w="2110" w:type="pct"/>
            <w:tcBorders>
              <w:top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6CA843B9" w14:textId="77777777" w:rsidR="00730DE4" w:rsidRPr="00730DE4" w:rsidRDefault="00730DE4" w:rsidP="00912B03">
            <w:pPr>
              <w:pStyle w:val="NoSpacing"/>
              <w:rPr>
                <w:color w:val="080C0F" w:themeColor="text1"/>
              </w:rPr>
            </w:pPr>
            <w:r w:rsidRPr="00730DE4">
              <w:rPr>
                <w:color w:val="080C0F" w:themeColor="text1"/>
              </w:rPr>
              <w:t xml:space="preserve">Deputy Director-General </w:t>
            </w:r>
            <w:r w:rsidRPr="00730DE4">
              <w:rPr>
                <w:color w:val="080C0F" w:themeColor="text1"/>
              </w:rPr>
              <w:br/>
              <w:t>(Infrastructure Management and Delivery)</w:t>
            </w:r>
            <w:r w:rsidRPr="00730DE4">
              <w:rPr>
                <w:color w:val="080C0F" w:themeColor="text1"/>
              </w:rPr>
              <w:br/>
              <w:t>(Appointed 31.10.2022)</w:t>
            </w:r>
          </w:p>
        </w:tc>
        <w:tc>
          <w:tcPr>
            <w:tcW w:w="72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0E3B1176" w14:textId="77777777" w:rsidR="00730DE4" w:rsidRPr="00730DE4" w:rsidRDefault="00730DE4" w:rsidP="00912B03">
            <w:pPr>
              <w:pStyle w:val="NoSpacing"/>
              <w:jc w:val="right"/>
              <w:rPr>
                <w:color w:val="080C0F" w:themeColor="text1"/>
              </w:rPr>
            </w:pPr>
            <w:r w:rsidRPr="00730DE4">
              <w:rPr>
                <w:color w:val="080C0F" w:themeColor="text1"/>
              </w:rPr>
              <w:t xml:space="preserve">205 </w:t>
            </w:r>
          </w:p>
        </w:tc>
        <w:tc>
          <w:tcPr>
            <w:tcW w:w="72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0B199C16" w14:textId="77777777" w:rsidR="00730DE4" w:rsidRPr="00730DE4" w:rsidRDefault="00730DE4" w:rsidP="00912B03">
            <w:pPr>
              <w:pStyle w:val="NoSpacing"/>
              <w:jc w:val="right"/>
              <w:rPr>
                <w:color w:val="080C0F" w:themeColor="text1"/>
              </w:rPr>
            </w:pPr>
            <w:r w:rsidRPr="00730DE4">
              <w:rPr>
                <w:color w:val="080C0F" w:themeColor="text1"/>
              </w:rPr>
              <w:t xml:space="preserve">27 </w:t>
            </w:r>
          </w:p>
        </w:tc>
        <w:tc>
          <w:tcPr>
            <w:tcW w:w="72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70859EA7" w14:textId="77777777" w:rsidR="00730DE4" w:rsidRPr="00730DE4" w:rsidRDefault="00730DE4" w:rsidP="00912B03">
            <w:pPr>
              <w:pStyle w:val="NoSpacing"/>
              <w:jc w:val="right"/>
              <w:rPr>
                <w:color w:val="080C0F" w:themeColor="text1"/>
              </w:rPr>
            </w:pPr>
            <w:r w:rsidRPr="00730DE4">
              <w:rPr>
                <w:color w:val="080C0F" w:themeColor="text1"/>
              </w:rPr>
              <w:t xml:space="preserve">- </w:t>
            </w:r>
          </w:p>
        </w:tc>
        <w:tc>
          <w:tcPr>
            <w:tcW w:w="723" w:type="pct"/>
            <w:tcBorders>
              <w:top w:val="dotted" w:sz="4" w:space="0" w:color="BFBFBF" w:themeColor="background1" w:themeShade="BF"/>
              <w:left w:val="dotted" w:sz="4" w:space="0" w:color="BFBFBF" w:themeColor="background1" w:themeShade="BF"/>
              <w:bottom w:val="dotted" w:sz="4" w:space="0" w:color="BFBFBF" w:themeColor="background1" w:themeShade="BF"/>
            </w:tcBorders>
            <w:shd w:val="clear" w:color="auto" w:fill="auto"/>
            <w:vAlign w:val="bottom"/>
            <w:hideMark/>
          </w:tcPr>
          <w:p w14:paraId="51246261" w14:textId="77777777" w:rsidR="00730DE4" w:rsidRPr="00730DE4" w:rsidRDefault="00730DE4" w:rsidP="00912B03">
            <w:pPr>
              <w:pStyle w:val="NoSpacing"/>
              <w:jc w:val="right"/>
              <w:rPr>
                <w:rStyle w:val="Strong"/>
              </w:rPr>
            </w:pPr>
            <w:r w:rsidRPr="00730DE4">
              <w:rPr>
                <w:rStyle w:val="Strong"/>
              </w:rPr>
              <w:t xml:space="preserve">232 </w:t>
            </w:r>
          </w:p>
        </w:tc>
      </w:tr>
      <w:tr w:rsidR="00730DE4" w:rsidRPr="00730DE4" w14:paraId="61C9CA5B" w14:textId="77777777" w:rsidTr="000E22DE">
        <w:tc>
          <w:tcPr>
            <w:tcW w:w="2110" w:type="pct"/>
            <w:tcBorders>
              <w:top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36B0A224" w14:textId="77777777" w:rsidR="00730DE4" w:rsidRPr="00730DE4" w:rsidRDefault="00730DE4" w:rsidP="00912B03">
            <w:pPr>
              <w:pStyle w:val="NoSpacing"/>
              <w:rPr>
                <w:color w:val="080C0F" w:themeColor="text1"/>
              </w:rPr>
            </w:pPr>
            <w:r w:rsidRPr="00730DE4">
              <w:rPr>
                <w:color w:val="080C0F" w:themeColor="text1"/>
              </w:rPr>
              <w:t xml:space="preserve">Deputy Director-General </w:t>
            </w:r>
            <w:r w:rsidRPr="00730DE4">
              <w:rPr>
                <w:color w:val="080C0F" w:themeColor="text1"/>
              </w:rPr>
              <w:br/>
              <w:t>(Policy, Planning and Investment)</w:t>
            </w:r>
            <w:r w:rsidRPr="00730DE4">
              <w:rPr>
                <w:color w:val="080C0F" w:themeColor="text1"/>
              </w:rPr>
              <w:br/>
              <w:t>(01.07.2022–01.11.2022)</w:t>
            </w:r>
          </w:p>
        </w:tc>
        <w:tc>
          <w:tcPr>
            <w:tcW w:w="72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3149219C" w14:textId="77777777" w:rsidR="00730DE4" w:rsidRPr="00730DE4" w:rsidRDefault="00730DE4" w:rsidP="00912B03">
            <w:pPr>
              <w:pStyle w:val="NoSpacing"/>
              <w:jc w:val="right"/>
              <w:rPr>
                <w:color w:val="080C0F" w:themeColor="text1"/>
              </w:rPr>
            </w:pPr>
            <w:r w:rsidRPr="00730DE4">
              <w:rPr>
                <w:color w:val="080C0F" w:themeColor="text1"/>
              </w:rPr>
              <w:t xml:space="preserve">110 </w:t>
            </w:r>
          </w:p>
        </w:tc>
        <w:tc>
          <w:tcPr>
            <w:tcW w:w="72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5D9B320A" w14:textId="77777777" w:rsidR="00730DE4" w:rsidRPr="00730DE4" w:rsidRDefault="00730DE4" w:rsidP="00912B03">
            <w:pPr>
              <w:pStyle w:val="NoSpacing"/>
              <w:jc w:val="right"/>
              <w:rPr>
                <w:color w:val="080C0F" w:themeColor="text1"/>
              </w:rPr>
            </w:pPr>
            <w:r w:rsidRPr="00730DE4">
              <w:rPr>
                <w:color w:val="080C0F" w:themeColor="text1"/>
              </w:rPr>
              <w:t xml:space="preserve">14 </w:t>
            </w:r>
          </w:p>
        </w:tc>
        <w:tc>
          <w:tcPr>
            <w:tcW w:w="72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25DB97B4" w14:textId="77777777" w:rsidR="00730DE4" w:rsidRPr="00730DE4" w:rsidRDefault="00730DE4" w:rsidP="00912B03">
            <w:pPr>
              <w:pStyle w:val="NoSpacing"/>
              <w:jc w:val="right"/>
              <w:rPr>
                <w:color w:val="080C0F" w:themeColor="text1"/>
              </w:rPr>
            </w:pPr>
            <w:r w:rsidRPr="00730DE4">
              <w:rPr>
                <w:color w:val="080C0F" w:themeColor="text1"/>
              </w:rPr>
              <w:t xml:space="preserve">- </w:t>
            </w:r>
          </w:p>
        </w:tc>
        <w:tc>
          <w:tcPr>
            <w:tcW w:w="723" w:type="pct"/>
            <w:tcBorders>
              <w:top w:val="dotted" w:sz="4" w:space="0" w:color="BFBFBF" w:themeColor="background1" w:themeShade="BF"/>
              <w:left w:val="dotted" w:sz="4" w:space="0" w:color="BFBFBF" w:themeColor="background1" w:themeShade="BF"/>
              <w:bottom w:val="dotted" w:sz="4" w:space="0" w:color="BFBFBF" w:themeColor="background1" w:themeShade="BF"/>
            </w:tcBorders>
            <w:shd w:val="clear" w:color="auto" w:fill="auto"/>
            <w:vAlign w:val="bottom"/>
            <w:hideMark/>
          </w:tcPr>
          <w:p w14:paraId="7457A7B5" w14:textId="77777777" w:rsidR="00730DE4" w:rsidRPr="00730DE4" w:rsidRDefault="00730DE4" w:rsidP="00912B03">
            <w:pPr>
              <w:pStyle w:val="NoSpacing"/>
              <w:jc w:val="right"/>
              <w:rPr>
                <w:rStyle w:val="Strong"/>
              </w:rPr>
            </w:pPr>
            <w:r w:rsidRPr="00730DE4">
              <w:rPr>
                <w:rStyle w:val="Strong"/>
              </w:rPr>
              <w:t xml:space="preserve">124 </w:t>
            </w:r>
          </w:p>
        </w:tc>
      </w:tr>
      <w:tr w:rsidR="00730DE4" w:rsidRPr="00730DE4" w14:paraId="4A782BD8" w14:textId="77777777" w:rsidTr="000E22DE">
        <w:tc>
          <w:tcPr>
            <w:tcW w:w="2110" w:type="pct"/>
            <w:tcBorders>
              <w:top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1564EBCA" w14:textId="77777777" w:rsidR="00730DE4" w:rsidRPr="00730DE4" w:rsidRDefault="00730DE4" w:rsidP="00912B03">
            <w:pPr>
              <w:pStyle w:val="NoSpacing"/>
              <w:rPr>
                <w:color w:val="080C0F" w:themeColor="text1"/>
              </w:rPr>
            </w:pPr>
            <w:r w:rsidRPr="00730DE4">
              <w:rPr>
                <w:color w:val="080C0F" w:themeColor="text1"/>
              </w:rPr>
              <w:t xml:space="preserve">Deputy Director-General </w:t>
            </w:r>
            <w:r w:rsidRPr="00730DE4">
              <w:rPr>
                <w:color w:val="080C0F" w:themeColor="text1"/>
              </w:rPr>
              <w:br/>
              <w:t>(Policy, Planning and Investment)</w:t>
            </w:r>
            <w:r w:rsidRPr="00730DE4">
              <w:rPr>
                <w:color w:val="080C0F" w:themeColor="text1"/>
              </w:rPr>
              <w:br/>
              <w:t>(Acting 02.11.2022–15.03.2023)</w:t>
            </w:r>
            <w:r w:rsidRPr="00730DE4">
              <w:rPr>
                <w:color w:val="080C0F" w:themeColor="text1"/>
              </w:rPr>
              <w:br/>
              <w:t>(Appointed 16.03.2023)</w:t>
            </w:r>
          </w:p>
        </w:tc>
        <w:tc>
          <w:tcPr>
            <w:tcW w:w="72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5BB658FB" w14:textId="77777777" w:rsidR="00730DE4" w:rsidRPr="00730DE4" w:rsidRDefault="00730DE4" w:rsidP="00912B03">
            <w:pPr>
              <w:pStyle w:val="NoSpacing"/>
              <w:jc w:val="right"/>
              <w:rPr>
                <w:color w:val="080C0F" w:themeColor="text1"/>
              </w:rPr>
            </w:pPr>
            <w:r w:rsidRPr="00730DE4">
              <w:rPr>
                <w:color w:val="080C0F" w:themeColor="text1"/>
              </w:rPr>
              <w:t xml:space="preserve">184 </w:t>
            </w:r>
          </w:p>
        </w:tc>
        <w:tc>
          <w:tcPr>
            <w:tcW w:w="72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7D8082A7" w14:textId="77777777" w:rsidR="00730DE4" w:rsidRPr="00730DE4" w:rsidRDefault="00730DE4" w:rsidP="00912B03">
            <w:pPr>
              <w:pStyle w:val="NoSpacing"/>
              <w:jc w:val="right"/>
              <w:rPr>
                <w:color w:val="080C0F" w:themeColor="text1"/>
              </w:rPr>
            </w:pPr>
            <w:r w:rsidRPr="00730DE4">
              <w:rPr>
                <w:color w:val="080C0F" w:themeColor="text1"/>
              </w:rPr>
              <w:t xml:space="preserve">24 </w:t>
            </w:r>
          </w:p>
        </w:tc>
        <w:tc>
          <w:tcPr>
            <w:tcW w:w="72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462128F8" w14:textId="77777777" w:rsidR="00730DE4" w:rsidRPr="00730DE4" w:rsidRDefault="00730DE4" w:rsidP="00912B03">
            <w:pPr>
              <w:pStyle w:val="NoSpacing"/>
              <w:jc w:val="right"/>
              <w:rPr>
                <w:color w:val="080C0F" w:themeColor="text1"/>
              </w:rPr>
            </w:pPr>
            <w:r w:rsidRPr="00730DE4">
              <w:rPr>
                <w:color w:val="080C0F" w:themeColor="text1"/>
              </w:rPr>
              <w:t xml:space="preserve">- </w:t>
            </w:r>
          </w:p>
        </w:tc>
        <w:tc>
          <w:tcPr>
            <w:tcW w:w="723" w:type="pct"/>
            <w:tcBorders>
              <w:top w:val="dotted" w:sz="4" w:space="0" w:color="BFBFBF" w:themeColor="background1" w:themeShade="BF"/>
              <w:left w:val="dotted" w:sz="4" w:space="0" w:color="BFBFBF" w:themeColor="background1" w:themeShade="BF"/>
              <w:bottom w:val="dotted" w:sz="4" w:space="0" w:color="BFBFBF" w:themeColor="background1" w:themeShade="BF"/>
            </w:tcBorders>
            <w:shd w:val="clear" w:color="auto" w:fill="auto"/>
            <w:vAlign w:val="bottom"/>
            <w:hideMark/>
          </w:tcPr>
          <w:p w14:paraId="012D85F1" w14:textId="77777777" w:rsidR="00730DE4" w:rsidRPr="00730DE4" w:rsidRDefault="00730DE4" w:rsidP="00912B03">
            <w:pPr>
              <w:pStyle w:val="NoSpacing"/>
              <w:jc w:val="right"/>
              <w:rPr>
                <w:rStyle w:val="Strong"/>
              </w:rPr>
            </w:pPr>
            <w:r w:rsidRPr="00730DE4">
              <w:rPr>
                <w:rStyle w:val="Strong"/>
              </w:rPr>
              <w:t xml:space="preserve">208 </w:t>
            </w:r>
          </w:p>
        </w:tc>
      </w:tr>
      <w:tr w:rsidR="00730DE4" w:rsidRPr="00730DE4" w14:paraId="3228D0B7" w14:textId="77777777" w:rsidTr="000E22DE">
        <w:tc>
          <w:tcPr>
            <w:tcW w:w="2110" w:type="pct"/>
            <w:tcBorders>
              <w:top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7F36C745" w14:textId="77777777" w:rsidR="00730DE4" w:rsidRPr="00730DE4" w:rsidRDefault="00730DE4" w:rsidP="00912B03">
            <w:pPr>
              <w:pStyle w:val="NoSpacing"/>
              <w:rPr>
                <w:color w:val="080C0F" w:themeColor="text1"/>
              </w:rPr>
            </w:pPr>
            <w:r w:rsidRPr="00730DE4">
              <w:rPr>
                <w:color w:val="080C0F" w:themeColor="text1"/>
              </w:rPr>
              <w:t>Deputy Director-General (Translink)</w:t>
            </w:r>
          </w:p>
        </w:tc>
        <w:tc>
          <w:tcPr>
            <w:tcW w:w="72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7387AA82" w14:textId="77777777" w:rsidR="00730DE4" w:rsidRPr="00730DE4" w:rsidRDefault="00730DE4" w:rsidP="00912B03">
            <w:pPr>
              <w:pStyle w:val="NoSpacing"/>
              <w:jc w:val="right"/>
              <w:rPr>
                <w:color w:val="080C0F" w:themeColor="text1"/>
              </w:rPr>
            </w:pPr>
            <w:r w:rsidRPr="00730DE4">
              <w:rPr>
                <w:color w:val="080C0F" w:themeColor="text1"/>
              </w:rPr>
              <w:t xml:space="preserve">289 </w:t>
            </w:r>
          </w:p>
        </w:tc>
        <w:tc>
          <w:tcPr>
            <w:tcW w:w="72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36A53497" w14:textId="77777777" w:rsidR="00730DE4" w:rsidRPr="00730DE4" w:rsidRDefault="00730DE4" w:rsidP="00912B03">
            <w:pPr>
              <w:pStyle w:val="NoSpacing"/>
              <w:jc w:val="right"/>
              <w:rPr>
                <w:color w:val="080C0F" w:themeColor="text1"/>
              </w:rPr>
            </w:pPr>
            <w:r w:rsidRPr="00730DE4">
              <w:rPr>
                <w:color w:val="080C0F" w:themeColor="text1"/>
              </w:rPr>
              <w:t xml:space="preserve">39 </w:t>
            </w:r>
          </w:p>
        </w:tc>
        <w:tc>
          <w:tcPr>
            <w:tcW w:w="72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7ADF45F7" w14:textId="77777777" w:rsidR="00730DE4" w:rsidRPr="00730DE4" w:rsidRDefault="00730DE4" w:rsidP="00912B03">
            <w:pPr>
              <w:pStyle w:val="NoSpacing"/>
              <w:jc w:val="right"/>
              <w:rPr>
                <w:color w:val="080C0F" w:themeColor="text1"/>
              </w:rPr>
            </w:pPr>
            <w:r w:rsidRPr="00730DE4">
              <w:rPr>
                <w:color w:val="080C0F" w:themeColor="text1"/>
              </w:rPr>
              <w:t xml:space="preserve">- </w:t>
            </w:r>
          </w:p>
        </w:tc>
        <w:tc>
          <w:tcPr>
            <w:tcW w:w="723" w:type="pct"/>
            <w:tcBorders>
              <w:top w:val="dotted" w:sz="4" w:space="0" w:color="BFBFBF" w:themeColor="background1" w:themeShade="BF"/>
              <w:left w:val="dotted" w:sz="4" w:space="0" w:color="BFBFBF" w:themeColor="background1" w:themeShade="BF"/>
              <w:bottom w:val="dotted" w:sz="4" w:space="0" w:color="BFBFBF" w:themeColor="background1" w:themeShade="BF"/>
            </w:tcBorders>
            <w:shd w:val="clear" w:color="auto" w:fill="auto"/>
            <w:noWrap/>
            <w:vAlign w:val="bottom"/>
            <w:hideMark/>
          </w:tcPr>
          <w:p w14:paraId="628C0F03" w14:textId="77777777" w:rsidR="00730DE4" w:rsidRPr="00730DE4" w:rsidRDefault="00730DE4" w:rsidP="00912B03">
            <w:pPr>
              <w:pStyle w:val="NoSpacing"/>
              <w:jc w:val="right"/>
              <w:rPr>
                <w:rStyle w:val="Strong"/>
              </w:rPr>
            </w:pPr>
            <w:r w:rsidRPr="00730DE4">
              <w:rPr>
                <w:rStyle w:val="Strong"/>
              </w:rPr>
              <w:t xml:space="preserve">328 </w:t>
            </w:r>
          </w:p>
        </w:tc>
      </w:tr>
      <w:tr w:rsidR="00730DE4" w:rsidRPr="00730DE4" w14:paraId="3E8D4916" w14:textId="77777777" w:rsidTr="000E22DE">
        <w:tc>
          <w:tcPr>
            <w:tcW w:w="2110" w:type="pct"/>
            <w:tcBorders>
              <w:top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62DBC229" w14:textId="77777777" w:rsidR="00730DE4" w:rsidRPr="00730DE4" w:rsidRDefault="00730DE4" w:rsidP="00912B03">
            <w:pPr>
              <w:pStyle w:val="NoSpacing"/>
              <w:rPr>
                <w:color w:val="080C0F" w:themeColor="text1"/>
              </w:rPr>
            </w:pPr>
            <w:r w:rsidRPr="00730DE4">
              <w:rPr>
                <w:color w:val="080C0F" w:themeColor="text1"/>
              </w:rPr>
              <w:t>Deputy Director-General (Corporate)</w:t>
            </w:r>
          </w:p>
        </w:tc>
        <w:tc>
          <w:tcPr>
            <w:tcW w:w="72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23B49C40" w14:textId="77777777" w:rsidR="00730DE4" w:rsidRPr="00730DE4" w:rsidRDefault="00730DE4" w:rsidP="00912B03">
            <w:pPr>
              <w:pStyle w:val="NoSpacing"/>
              <w:jc w:val="right"/>
              <w:rPr>
                <w:color w:val="080C0F" w:themeColor="text1"/>
              </w:rPr>
            </w:pPr>
            <w:r w:rsidRPr="00730DE4">
              <w:rPr>
                <w:color w:val="080C0F" w:themeColor="text1"/>
              </w:rPr>
              <w:t xml:space="preserve">270 </w:t>
            </w:r>
          </w:p>
        </w:tc>
        <w:tc>
          <w:tcPr>
            <w:tcW w:w="72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62DB18AB" w14:textId="77777777" w:rsidR="00730DE4" w:rsidRPr="00730DE4" w:rsidRDefault="00730DE4" w:rsidP="00912B03">
            <w:pPr>
              <w:pStyle w:val="NoSpacing"/>
              <w:jc w:val="right"/>
              <w:rPr>
                <w:color w:val="080C0F" w:themeColor="text1"/>
              </w:rPr>
            </w:pPr>
            <w:r w:rsidRPr="00730DE4">
              <w:rPr>
                <w:color w:val="080C0F" w:themeColor="text1"/>
              </w:rPr>
              <w:t xml:space="preserve">36 </w:t>
            </w:r>
          </w:p>
        </w:tc>
        <w:tc>
          <w:tcPr>
            <w:tcW w:w="72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0A4E34A9" w14:textId="77777777" w:rsidR="00730DE4" w:rsidRPr="00730DE4" w:rsidRDefault="00730DE4" w:rsidP="00912B03">
            <w:pPr>
              <w:pStyle w:val="NoSpacing"/>
              <w:jc w:val="right"/>
              <w:rPr>
                <w:color w:val="080C0F" w:themeColor="text1"/>
              </w:rPr>
            </w:pPr>
            <w:r w:rsidRPr="00730DE4">
              <w:rPr>
                <w:color w:val="080C0F" w:themeColor="text1"/>
              </w:rPr>
              <w:t xml:space="preserve">- </w:t>
            </w:r>
          </w:p>
        </w:tc>
        <w:tc>
          <w:tcPr>
            <w:tcW w:w="723" w:type="pct"/>
            <w:tcBorders>
              <w:top w:val="dotted" w:sz="4" w:space="0" w:color="BFBFBF" w:themeColor="background1" w:themeShade="BF"/>
              <w:left w:val="dotted" w:sz="4" w:space="0" w:color="BFBFBF" w:themeColor="background1" w:themeShade="BF"/>
              <w:bottom w:val="dotted" w:sz="4" w:space="0" w:color="BFBFBF" w:themeColor="background1" w:themeShade="BF"/>
            </w:tcBorders>
            <w:shd w:val="clear" w:color="auto" w:fill="auto"/>
            <w:noWrap/>
            <w:vAlign w:val="bottom"/>
            <w:hideMark/>
          </w:tcPr>
          <w:p w14:paraId="7546F761" w14:textId="77777777" w:rsidR="00730DE4" w:rsidRPr="00730DE4" w:rsidRDefault="00730DE4" w:rsidP="00912B03">
            <w:pPr>
              <w:pStyle w:val="NoSpacing"/>
              <w:jc w:val="right"/>
              <w:rPr>
                <w:rStyle w:val="Strong"/>
              </w:rPr>
            </w:pPr>
            <w:r w:rsidRPr="00730DE4">
              <w:rPr>
                <w:rStyle w:val="Strong"/>
              </w:rPr>
              <w:t xml:space="preserve">306 </w:t>
            </w:r>
          </w:p>
        </w:tc>
      </w:tr>
      <w:tr w:rsidR="00730DE4" w:rsidRPr="00730DE4" w14:paraId="415C53C4" w14:textId="77777777" w:rsidTr="000E22DE">
        <w:tc>
          <w:tcPr>
            <w:tcW w:w="2110" w:type="pct"/>
            <w:tcBorders>
              <w:top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4D39ACC7" w14:textId="77777777" w:rsidR="00730DE4" w:rsidRPr="00730DE4" w:rsidRDefault="00730DE4" w:rsidP="00912B03">
            <w:pPr>
              <w:pStyle w:val="NoSpacing"/>
              <w:rPr>
                <w:color w:val="080C0F" w:themeColor="text1"/>
              </w:rPr>
            </w:pPr>
            <w:r w:rsidRPr="00730DE4">
              <w:rPr>
                <w:color w:val="080C0F" w:themeColor="text1"/>
              </w:rPr>
              <w:t>Chief Operations Officer</w:t>
            </w:r>
          </w:p>
        </w:tc>
        <w:tc>
          <w:tcPr>
            <w:tcW w:w="72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38A63BB0" w14:textId="77777777" w:rsidR="00730DE4" w:rsidRPr="00730DE4" w:rsidRDefault="00730DE4" w:rsidP="00912B03">
            <w:pPr>
              <w:pStyle w:val="NoSpacing"/>
              <w:jc w:val="right"/>
              <w:rPr>
                <w:color w:val="080C0F" w:themeColor="text1"/>
              </w:rPr>
            </w:pPr>
            <w:r w:rsidRPr="00730DE4">
              <w:rPr>
                <w:color w:val="080C0F" w:themeColor="text1"/>
              </w:rPr>
              <w:t xml:space="preserve">252 </w:t>
            </w:r>
          </w:p>
        </w:tc>
        <w:tc>
          <w:tcPr>
            <w:tcW w:w="72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5C4CB045" w14:textId="77777777" w:rsidR="00730DE4" w:rsidRPr="00730DE4" w:rsidRDefault="00730DE4" w:rsidP="00912B03">
            <w:pPr>
              <w:pStyle w:val="NoSpacing"/>
              <w:jc w:val="right"/>
              <w:rPr>
                <w:color w:val="080C0F" w:themeColor="text1"/>
              </w:rPr>
            </w:pPr>
            <w:r w:rsidRPr="00730DE4">
              <w:rPr>
                <w:color w:val="080C0F" w:themeColor="text1"/>
              </w:rPr>
              <w:t xml:space="preserve">33 </w:t>
            </w:r>
          </w:p>
        </w:tc>
        <w:tc>
          <w:tcPr>
            <w:tcW w:w="72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05131F09" w14:textId="77777777" w:rsidR="00730DE4" w:rsidRPr="00730DE4" w:rsidRDefault="00730DE4" w:rsidP="00912B03">
            <w:pPr>
              <w:pStyle w:val="NoSpacing"/>
              <w:jc w:val="right"/>
              <w:rPr>
                <w:color w:val="080C0F" w:themeColor="text1"/>
              </w:rPr>
            </w:pPr>
            <w:r w:rsidRPr="00730DE4">
              <w:rPr>
                <w:color w:val="080C0F" w:themeColor="text1"/>
              </w:rPr>
              <w:t xml:space="preserve">- </w:t>
            </w:r>
          </w:p>
        </w:tc>
        <w:tc>
          <w:tcPr>
            <w:tcW w:w="723" w:type="pct"/>
            <w:tcBorders>
              <w:top w:val="dotted" w:sz="4" w:space="0" w:color="BFBFBF" w:themeColor="background1" w:themeShade="BF"/>
              <w:left w:val="dotted" w:sz="4" w:space="0" w:color="BFBFBF" w:themeColor="background1" w:themeShade="BF"/>
              <w:bottom w:val="dotted" w:sz="4" w:space="0" w:color="BFBFBF" w:themeColor="background1" w:themeShade="BF"/>
            </w:tcBorders>
            <w:shd w:val="clear" w:color="auto" w:fill="auto"/>
            <w:noWrap/>
            <w:vAlign w:val="bottom"/>
            <w:hideMark/>
          </w:tcPr>
          <w:p w14:paraId="499A5930" w14:textId="77777777" w:rsidR="00730DE4" w:rsidRPr="00730DE4" w:rsidRDefault="00730DE4" w:rsidP="00912B03">
            <w:pPr>
              <w:pStyle w:val="NoSpacing"/>
              <w:jc w:val="right"/>
              <w:rPr>
                <w:rStyle w:val="Strong"/>
              </w:rPr>
            </w:pPr>
            <w:r w:rsidRPr="00730DE4">
              <w:rPr>
                <w:rStyle w:val="Strong"/>
              </w:rPr>
              <w:t xml:space="preserve">285 </w:t>
            </w:r>
          </w:p>
        </w:tc>
      </w:tr>
      <w:tr w:rsidR="00730DE4" w:rsidRPr="00730DE4" w14:paraId="6A6BC562" w14:textId="77777777" w:rsidTr="000E22DE">
        <w:tc>
          <w:tcPr>
            <w:tcW w:w="2110" w:type="pct"/>
            <w:tcBorders>
              <w:top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0E064B11" w14:textId="77777777" w:rsidR="00730DE4" w:rsidRPr="00730DE4" w:rsidRDefault="00730DE4" w:rsidP="00912B03">
            <w:pPr>
              <w:pStyle w:val="NoSpacing"/>
              <w:rPr>
                <w:color w:val="080C0F" w:themeColor="text1"/>
              </w:rPr>
            </w:pPr>
            <w:r w:rsidRPr="00730DE4">
              <w:rPr>
                <w:color w:val="080C0F" w:themeColor="text1"/>
              </w:rPr>
              <w:t xml:space="preserve">Chief Finance Officer </w:t>
            </w:r>
            <w:r w:rsidRPr="00730DE4">
              <w:rPr>
                <w:color w:val="080C0F" w:themeColor="text1"/>
              </w:rPr>
              <w:br/>
              <w:t>(Joined ELT 19.10.2022)</w:t>
            </w:r>
          </w:p>
        </w:tc>
        <w:tc>
          <w:tcPr>
            <w:tcW w:w="72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227A7BE2" w14:textId="77777777" w:rsidR="00730DE4" w:rsidRPr="00730DE4" w:rsidRDefault="00730DE4" w:rsidP="00912B03">
            <w:pPr>
              <w:pStyle w:val="NoSpacing"/>
              <w:jc w:val="right"/>
              <w:rPr>
                <w:color w:val="080C0F" w:themeColor="text1"/>
              </w:rPr>
            </w:pPr>
            <w:r w:rsidRPr="00730DE4">
              <w:rPr>
                <w:color w:val="080C0F" w:themeColor="text1"/>
              </w:rPr>
              <w:t xml:space="preserve">188 </w:t>
            </w:r>
          </w:p>
        </w:tc>
        <w:tc>
          <w:tcPr>
            <w:tcW w:w="72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4FEF4320" w14:textId="77777777" w:rsidR="00730DE4" w:rsidRPr="00730DE4" w:rsidRDefault="00730DE4" w:rsidP="00912B03">
            <w:pPr>
              <w:pStyle w:val="NoSpacing"/>
              <w:jc w:val="right"/>
              <w:rPr>
                <w:color w:val="080C0F" w:themeColor="text1"/>
              </w:rPr>
            </w:pPr>
            <w:r w:rsidRPr="00730DE4">
              <w:rPr>
                <w:color w:val="080C0F" w:themeColor="text1"/>
              </w:rPr>
              <w:t xml:space="preserve">26 </w:t>
            </w:r>
          </w:p>
        </w:tc>
        <w:tc>
          <w:tcPr>
            <w:tcW w:w="72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28EEFB0B" w14:textId="77777777" w:rsidR="00730DE4" w:rsidRPr="00730DE4" w:rsidRDefault="00730DE4" w:rsidP="00912B03">
            <w:pPr>
              <w:pStyle w:val="NoSpacing"/>
              <w:jc w:val="right"/>
              <w:rPr>
                <w:color w:val="080C0F" w:themeColor="text1"/>
              </w:rPr>
            </w:pPr>
            <w:r w:rsidRPr="00730DE4">
              <w:rPr>
                <w:color w:val="080C0F" w:themeColor="text1"/>
              </w:rPr>
              <w:t xml:space="preserve">- </w:t>
            </w:r>
          </w:p>
        </w:tc>
        <w:tc>
          <w:tcPr>
            <w:tcW w:w="723" w:type="pct"/>
            <w:tcBorders>
              <w:top w:val="dotted" w:sz="4" w:space="0" w:color="BFBFBF" w:themeColor="background1" w:themeShade="BF"/>
              <w:left w:val="dotted" w:sz="4" w:space="0" w:color="BFBFBF" w:themeColor="background1" w:themeShade="BF"/>
              <w:bottom w:val="dotted" w:sz="4" w:space="0" w:color="BFBFBF" w:themeColor="background1" w:themeShade="BF"/>
            </w:tcBorders>
            <w:shd w:val="clear" w:color="auto" w:fill="auto"/>
            <w:noWrap/>
            <w:vAlign w:val="bottom"/>
            <w:hideMark/>
          </w:tcPr>
          <w:p w14:paraId="7321955B" w14:textId="77777777" w:rsidR="00730DE4" w:rsidRPr="00730DE4" w:rsidRDefault="00730DE4" w:rsidP="00912B03">
            <w:pPr>
              <w:pStyle w:val="NoSpacing"/>
              <w:jc w:val="right"/>
              <w:rPr>
                <w:rStyle w:val="Strong"/>
              </w:rPr>
            </w:pPr>
            <w:r w:rsidRPr="00730DE4">
              <w:rPr>
                <w:rStyle w:val="Strong"/>
              </w:rPr>
              <w:t xml:space="preserve">214 </w:t>
            </w:r>
          </w:p>
        </w:tc>
      </w:tr>
      <w:tr w:rsidR="00730DE4" w:rsidRPr="00730DE4" w14:paraId="41A26AEB" w14:textId="77777777" w:rsidTr="000E22DE">
        <w:tc>
          <w:tcPr>
            <w:tcW w:w="2110" w:type="pct"/>
            <w:tcBorders>
              <w:top w:val="dotted" w:sz="4" w:space="0" w:color="BFBFBF" w:themeColor="background1" w:themeShade="BF"/>
              <w:bottom w:val="single" w:sz="4" w:space="0" w:color="auto"/>
              <w:right w:val="dotted" w:sz="4" w:space="0" w:color="BFBFBF" w:themeColor="background1" w:themeShade="BF"/>
            </w:tcBorders>
            <w:shd w:val="clear" w:color="auto" w:fill="auto"/>
            <w:vAlign w:val="bottom"/>
            <w:hideMark/>
          </w:tcPr>
          <w:p w14:paraId="43802E39" w14:textId="77777777" w:rsidR="00730DE4" w:rsidRPr="00730DE4" w:rsidRDefault="00730DE4" w:rsidP="00912B03">
            <w:pPr>
              <w:pStyle w:val="NoSpacing"/>
              <w:rPr>
                <w:color w:val="080C0F" w:themeColor="text1"/>
              </w:rPr>
            </w:pPr>
            <w:r w:rsidRPr="00730DE4">
              <w:rPr>
                <w:color w:val="080C0F" w:themeColor="text1"/>
              </w:rPr>
              <w:t>Chief Customer and Digital Officer *</w:t>
            </w:r>
          </w:p>
        </w:tc>
        <w:tc>
          <w:tcPr>
            <w:tcW w:w="722"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vAlign w:val="bottom"/>
            <w:hideMark/>
          </w:tcPr>
          <w:p w14:paraId="277A1095" w14:textId="77777777" w:rsidR="00730DE4" w:rsidRPr="00730DE4" w:rsidRDefault="00730DE4" w:rsidP="00912B03">
            <w:pPr>
              <w:pStyle w:val="NoSpacing"/>
              <w:jc w:val="right"/>
              <w:rPr>
                <w:color w:val="080C0F" w:themeColor="text1"/>
              </w:rPr>
            </w:pPr>
            <w:r w:rsidRPr="00730DE4">
              <w:rPr>
                <w:color w:val="080C0F" w:themeColor="text1"/>
              </w:rPr>
              <w:t xml:space="preserve">30 </w:t>
            </w:r>
          </w:p>
        </w:tc>
        <w:tc>
          <w:tcPr>
            <w:tcW w:w="723"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vAlign w:val="bottom"/>
            <w:hideMark/>
          </w:tcPr>
          <w:p w14:paraId="10DAEFBC" w14:textId="77777777" w:rsidR="00730DE4" w:rsidRPr="00730DE4" w:rsidRDefault="00730DE4" w:rsidP="00912B03">
            <w:pPr>
              <w:pStyle w:val="NoSpacing"/>
              <w:jc w:val="right"/>
              <w:rPr>
                <w:color w:val="080C0F" w:themeColor="text1"/>
              </w:rPr>
            </w:pPr>
            <w:r w:rsidRPr="00730DE4">
              <w:rPr>
                <w:color w:val="080C0F" w:themeColor="text1"/>
              </w:rPr>
              <w:t xml:space="preserve">4 </w:t>
            </w:r>
          </w:p>
        </w:tc>
        <w:tc>
          <w:tcPr>
            <w:tcW w:w="722"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vAlign w:val="bottom"/>
            <w:hideMark/>
          </w:tcPr>
          <w:p w14:paraId="3A2BBD57" w14:textId="77777777" w:rsidR="00730DE4" w:rsidRPr="00730DE4" w:rsidRDefault="00730DE4" w:rsidP="00912B03">
            <w:pPr>
              <w:pStyle w:val="NoSpacing"/>
              <w:jc w:val="right"/>
              <w:rPr>
                <w:color w:val="080C0F" w:themeColor="text1"/>
              </w:rPr>
            </w:pPr>
            <w:r w:rsidRPr="00730DE4">
              <w:rPr>
                <w:color w:val="080C0F" w:themeColor="text1"/>
              </w:rPr>
              <w:t xml:space="preserve">- </w:t>
            </w:r>
          </w:p>
        </w:tc>
        <w:tc>
          <w:tcPr>
            <w:tcW w:w="723" w:type="pct"/>
            <w:tcBorders>
              <w:top w:val="dotted" w:sz="4" w:space="0" w:color="BFBFBF" w:themeColor="background1" w:themeShade="BF"/>
              <w:left w:val="dotted" w:sz="4" w:space="0" w:color="BFBFBF" w:themeColor="background1" w:themeShade="BF"/>
              <w:bottom w:val="single" w:sz="4" w:space="0" w:color="auto"/>
            </w:tcBorders>
            <w:shd w:val="clear" w:color="auto" w:fill="auto"/>
            <w:noWrap/>
            <w:vAlign w:val="bottom"/>
            <w:hideMark/>
          </w:tcPr>
          <w:p w14:paraId="3B0B755E" w14:textId="77777777" w:rsidR="00730DE4" w:rsidRPr="00730DE4" w:rsidRDefault="00730DE4" w:rsidP="00912B03">
            <w:pPr>
              <w:pStyle w:val="NoSpacing"/>
              <w:jc w:val="right"/>
              <w:rPr>
                <w:rStyle w:val="Strong"/>
              </w:rPr>
            </w:pPr>
            <w:r w:rsidRPr="00730DE4">
              <w:rPr>
                <w:rStyle w:val="Strong"/>
              </w:rPr>
              <w:t xml:space="preserve">34 </w:t>
            </w:r>
          </w:p>
        </w:tc>
      </w:tr>
    </w:tbl>
    <w:p w14:paraId="0EEC9610" w14:textId="77777777" w:rsidR="00730DE4" w:rsidRPr="00730DE4" w:rsidRDefault="00730DE4" w:rsidP="00942991">
      <w:pPr>
        <w:pStyle w:val="List0"/>
      </w:pPr>
      <w:r w:rsidRPr="00730DE4">
        <w:t>* Joined ELT following the 18 May 2023 machinery-of-government change. Remuneration expenses that are reported relate to the period 1 June 2023 to 30 June 2023.</w:t>
      </w:r>
    </w:p>
    <w:p w14:paraId="25458B60" w14:textId="77777777" w:rsidR="00730DE4" w:rsidRPr="00730DE4" w:rsidRDefault="00730DE4" w:rsidP="003C13D4">
      <w:pPr>
        <w:rPr>
          <w:rStyle w:val="Strong"/>
        </w:rPr>
      </w:pPr>
      <w:r w:rsidRPr="00730DE4">
        <w:rPr>
          <w:rStyle w:val="Strong"/>
        </w:rPr>
        <w:t>Performance payments</w:t>
      </w:r>
    </w:p>
    <w:p w14:paraId="7800B81D" w14:textId="77777777" w:rsidR="00730DE4" w:rsidRPr="00730DE4" w:rsidRDefault="00730DE4" w:rsidP="003C13D4">
      <w:pPr>
        <w:rPr>
          <w:color w:val="080C0F" w:themeColor="text1"/>
        </w:rPr>
      </w:pPr>
      <w:r w:rsidRPr="00730DE4">
        <w:rPr>
          <w:color w:val="080C0F" w:themeColor="text1"/>
        </w:rPr>
        <w:t>None of the non-Ministerial key management personnel remuneration packages provide for performance or bonus payments.</w:t>
      </w:r>
    </w:p>
    <w:p w14:paraId="4EA4335C" w14:textId="77777777" w:rsidR="00730DE4" w:rsidRPr="00730DE4" w:rsidRDefault="00730DE4" w:rsidP="003C13D4">
      <w:pPr>
        <w:rPr>
          <w:rStyle w:val="Strong"/>
        </w:rPr>
      </w:pPr>
      <w:r w:rsidRPr="00730DE4">
        <w:rPr>
          <w:rStyle w:val="Strong"/>
        </w:rPr>
        <w:t>Transactions with related parties of key management personnel</w:t>
      </w:r>
    </w:p>
    <w:p w14:paraId="0C532FF5" w14:textId="77777777" w:rsidR="00730DE4" w:rsidRPr="00730DE4" w:rsidRDefault="00730DE4" w:rsidP="003C13D4">
      <w:pPr>
        <w:rPr>
          <w:color w:val="080C0F" w:themeColor="text1"/>
        </w:rPr>
      </w:pPr>
      <w:r w:rsidRPr="00730DE4">
        <w:rPr>
          <w:color w:val="080C0F" w:themeColor="text1"/>
        </w:rPr>
        <w:t>There are no material related party transactions for non-Ministerial key management personnel during the period, other than domestic transactions that form part of the usual course of business, which are not required to be reported as related party disclosures.</w:t>
      </w:r>
    </w:p>
    <w:p w14:paraId="6E63942E" w14:textId="77777777" w:rsidR="00730DE4" w:rsidRPr="00730DE4" w:rsidRDefault="00730DE4" w:rsidP="004A5032">
      <w:pPr>
        <w:pStyle w:val="Heading5"/>
      </w:pPr>
      <w:r w:rsidRPr="00730DE4">
        <w:br w:type="page"/>
      </w:r>
    </w:p>
    <w:p w14:paraId="7D38A22B" w14:textId="77777777" w:rsidR="00730DE4" w:rsidRPr="00730DE4" w:rsidRDefault="00730DE4" w:rsidP="00F517FD">
      <w:pPr>
        <w:pStyle w:val="Heading5"/>
      </w:pPr>
      <w:bookmarkStart w:id="1492" w:name="_Toc180490925"/>
      <w:bookmarkStart w:id="1493" w:name="_Toc180491958"/>
      <w:r w:rsidRPr="00730DE4">
        <w:t>7 Supplies and services</w:t>
      </w:r>
      <w:bookmarkEnd w:id="1491"/>
      <w:bookmarkEnd w:id="1492"/>
      <w:bookmarkEnd w:id="1493"/>
    </w:p>
    <w:tbl>
      <w:tblPr>
        <w:tblW w:w="5000" w:type="pct"/>
        <w:tblCellMar>
          <w:top w:w="23" w:type="dxa"/>
          <w:left w:w="23" w:type="dxa"/>
          <w:bottom w:w="23" w:type="dxa"/>
          <w:right w:w="23" w:type="dxa"/>
        </w:tblCellMar>
        <w:tblLook w:val="04A0" w:firstRow="1" w:lastRow="0" w:firstColumn="1" w:lastColumn="0" w:noHBand="0" w:noVBand="1"/>
      </w:tblPr>
      <w:tblGrid>
        <w:gridCol w:w="6034"/>
        <w:gridCol w:w="1518"/>
        <w:gridCol w:w="1518"/>
      </w:tblGrid>
      <w:tr w:rsidR="00730DE4" w:rsidRPr="00730DE4" w14:paraId="46D36A16" w14:textId="77777777" w:rsidTr="00253FBD">
        <w:trPr>
          <w:trHeight w:val="240"/>
        </w:trPr>
        <w:tc>
          <w:tcPr>
            <w:tcW w:w="3326" w:type="pct"/>
            <w:tcBorders>
              <w:top w:val="nil"/>
              <w:left w:val="nil"/>
              <w:bottom w:val="single" w:sz="4" w:space="0" w:color="auto"/>
              <w:right w:val="nil"/>
            </w:tcBorders>
            <w:shd w:val="clear" w:color="auto" w:fill="auto"/>
            <w:noWrap/>
            <w:vAlign w:val="bottom"/>
          </w:tcPr>
          <w:p w14:paraId="00B23666" w14:textId="77777777" w:rsidR="00730DE4" w:rsidRPr="00730DE4" w:rsidRDefault="00730DE4" w:rsidP="00E8611B">
            <w:pPr>
              <w:pStyle w:val="NoSpacing"/>
              <w:rPr>
                <w:rStyle w:val="Strong"/>
              </w:rPr>
            </w:pPr>
          </w:p>
        </w:tc>
        <w:tc>
          <w:tcPr>
            <w:tcW w:w="837" w:type="pct"/>
            <w:tcBorders>
              <w:top w:val="nil"/>
              <w:left w:val="nil"/>
              <w:bottom w:val="single" w:sz="4" w:space="0" w:color="auto"/>
              <w:right w:val="nil"/>
            </w:tcBorders>
            <w:shd w:val="clear" w:color="auto" w:fill="auto"/>
            <w:noWrap/>
            <w:vAlign w:val="bottom"/>
            <w:hideMark/>
          </w:tcPr>
          <w:p w14:paraId="4FDD9463" w14:textId="77777777" w:rsidR="00730DE4" w:rsidRPr="00730DE4" w:rsidRDefault="00730DE4" w:rsidP="00E8611B">
            <w:pPr>
              <w:pStyle w:val="NoSpacing"/>
              <w:jc w:val="right"/>
              <w:rPr>
                <w:b/>
                <w:bCs/>
              </w:rPr>
            </w:pPr>
            <w:r w:rsidRPr="00730DE4">
              <w:rPr>
                <w:rStyle w:val="Strong"/>
              </w:rPr>
              <w:t xml:space="preserve">2024 </w:t>
            </w:r>
            <w:r w:rsidRPr="00730DE4">
              <w:rPr>
                <w:rStyle w:val="Strong"/>
              </w:rPr>
              <w:br/>
              <w:t>$'000</w:t>
            </w:r>
          </w:p>
        </w:tc>
        <w:tc>
          <w:tcPr>
            <w:tcW w:w="837" w:type="pct"/>
            <w:tcBorders>
              <w:top w:val="nil"/>
              <w:left w:val="nil"/>
              <w:bottom w:val="single" w:sz="4" w:space="0" w:color="auto"/>
              <w:right w:val="nil"/>
            </w:tcBorders>
            <w:shd w:val="clear" w:color="auto" w:fill="auto"/>
            <w:noWrap/>
            <w:vAlign w:val="bottom"/>
            <w:hideMark/>
          </w:tcPr>
          <w:p w14:paraId="02926FB0" w14:textId="77777777" w:rsidR="00730DE4" w:rsidRPr="00730DE4" w:rsidRDefault="00730DE4" w:rsidP="00E8611B">
            <w:pPr>
              <w:pStyle w:val="NoSpacing"/>
              <w:jc w:val="right"/>
              <w:rPr>
                <w:rStyle w:val="Strong"/>
              </w:rPr>
            </w:pPr>
            <w:r w:rsidRPr="00730DE4">
              <w:rPr>
                <w:rStyle w:val="Strong"/>
              </w:rPr>
              <w:t xml:space="preserve">2023 </w:t>
            </w:r>
            <w:r w:rsidRPr="00730DE4">
              <w:rPr>
                <w:rStyle w:val="Strong"/>
              </w:rPr>
              <w:br/>
              <w:t>$'000</w:t>
            </w:r>
          </w:p>
        </w:tc>
      </w:tr>
      <w:tr w:rsidR="00730DE4" w:rsidRPr="00730DE4" w14:paraId="7699C6C0" w14:textId="77777777" w:rsidTr="00253FBD">
        <w:trPr>
          <w:trHeight w:val="240"/>
        </w:trPr>
        <w:tc>
          <w:tcPr>
            <w:tcW w:w="3326"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37999BD9" w14:textId="77777777" w:rsidR="00730DE4" w:rsidRPr="00730DE4" w:rsidRDefault="00730DE4" w:rsidP="00E8611B">
            <w:pPr>
              <w:pStyle w:val="NoSpacing"/>
            </w:pPr>
            <w:r w:rsidRPr="00730DE4">
              <w:t>Administration</w:t>
            </w:r>
          </w:p>
        </w:tc>
        <w:tc>
          <w:tcPr>
            <w:tcW w:w="837"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AFC93C0" w14:textId="77777777" w:rsidR="00730DE4" w:rsidRPr="00730DE4" w:rsidRDefault="00730DE4" w:rsidP="00E8611B">
            <w:pPr>
              <w:pStyle w:val="NoSpacing"/>
              <w:jc w:val="right"/>
            </w:pPr>
            <w:r w:rsidRPr="00730DE4">
              <w:t xml:space="preserve">87,525 </w:t>
            </w:r>
          </w:p>
        </w:tc>
        <w:tc>
          <w:tcPr>
            <w:tcW w:w="837"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6BCDDE7" w14:textId="77777777" w:rsidR="00730DE4" w:rsidRPr="00730DE4" w:rsidRDefault="00730DE4" w:rsidP="00E8611B">
            <w:pPr>
              <w:pStyle w:val="NoSpacing"/>
              <w:jc w:val="right"/>
            </w:pPr>
            <w:r w:rsidRPr="00730DE4">
              <w:t xml:space="preserve">69,317 </w:t>
            </w:r>
          </w:p>
        </w:tc>
      </w:tr>
      <w:tr w:rsidR="00730DE4" w:rsidRPr="00730DE4" w14:paraId="6878DC61" w14:textId="77777777" w:rsidTr="00253FBD">
        <w:trPr>
          <w:trHeight w:val="240"/>
        </w:trPr>
        <w:tc>
          <w:tcPr>
            <w:tcW w:w="3326"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046A99CE" w14:textId="77777777" w:rsidR="00730DE4" w:rsidRPr="00730DE4" w:rsidRDefault="00730DE4" w:rsidP="00E8611B">
            <w:pPr>
              <w:pStyle w:val="NoSpacing"/>
            </w:pPr>
            <w:r w:rsidRPr="00730DE4">
              <w:t>Contractors – including service contracts:</w:t>
            </w:r>
          </w:p>
        </w:tc>
        <w:tc>
          <w:tcPr>
            <w:tcW w:w="83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89B369A" w14:textId="77777777" w:rsidR="00730DE4" w:rsidRPr="00730DE4" w:rsidRDefault="00730DE4" w:rsidP="00E8611B">
            <w:pPr>
              <w:pStyle w:val="NoSpacing"/>
              <w:jc w:val="right"/>
            </w:pPr>
            <w:r w:rsidRPr="00730DE4">
              <w:t> </w:t>
            </w:r>
          </w:p>
        </w:tc>
        <w:tc>
          <w:tcPr>
            <w:tcW w:w="83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458A5F5A" w14:textId="77777777" w:rsidR="00730DE4" w:rsidRPr="00730DE4" w:rsidRDefault="00730DE4" w:rsidP="00E8611B">
            <w:pPr>
              <w:pStyle w:val="NoSpacing"/>
              <w:jc w:val="right"/>
            </w:pPr>
          </w:p>
        </w:tc>
      </w:tr>
      <w:tr w:rsidR="00730DE4" w:rsidRPr="00730DE4" w14:paraId="5406DE83" w14:textId="77777777" w:rsidTr="00253FBD">
        <w:trPr>
          <w:trHeight w:val="240"/>
        </w:trPr>
        <w:tc>
          <w:tcPr>
            <w:tcW w:w="3326"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FAB6986" w14:textId="77777777" w:rsidR="00730DE4" w:rsidRPr="00730DE4" w:rsidRDefault="00730DE4" w:rsidP="00E8611B">
            <w:pPr>
              <w:pStyle w:val="NoSpacingIndent"/>
            </w:pPr>
            <w:r w:rsidRPr="00730DE4">
              <w:t xml:space="preserve">Administrative and professional </w:t>
            </w:r>
          </w:p>
        </w:tc>
        <w:tc>
          <w:tcPr>
            <w:tcW w:w="83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DFC3648" w14:textId="77777777" w:rsidR="00730DE4" w:rsidRPr="00730DE4" w:rsidRDefault="00730DE4" w:rsidP="00E8611B">
            <w:pPr>
              <w:pStyle w:val="NoSpacing"/>
              <w:jc w:val="right"/>
            </w:pPr>
            <w:r w:rsidRPr="00730DE4">
              <w:t xml:space="preserve">68,617 </w:t>
            </w:r>
          </w:p>
        </w:tc>
        <w:tc>
          <w:tcPr>
            <w:tcW w:w="83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FBB6B0D" w14:textId="77777777" w:rsidR="00730DE4" w:rsidRPr="00730DE4" w:rsidRDefault="00730DE4" w:rsidP="00E8611B">
            <w:pPr>
              <w:pStyle w:val="NoSpacing"/>
              <w:jc w:val="right"/>
            </w:pPr>
            <w:r w:rsidRPr="00730DE4">
              <w:t xml:space="preserve">75,406 </w:t>
            </w:r>
          </w:p>
        </w:tc>
      </w:tr>
      <w:tr w:rsidR="00730DE4" w:rsidRPr="00730DE4" w14:paraId="4155B275" w14:textId="77777777" w:rsidTr="00253FBD">
        <w:trPr>
          <w:trHeight w:val="240"/>
        </w:trPr>
        <w:tc>
          <w:tcPr>
            <w:tcW w:w="3326"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6932D1F" w14:textId="77777777" w:rsidR="00730DE4" w:rsidRPr="00730DE4" w:rsidRDefault="00730DE4" w:rsidP="00E8611B">
            <w:pPr>
              <w:pStyle w:val="NoSpacingIndent"/>
            </w:pPr>
            <w:r w:rsidRPr="00730DE4">
              <w:t>Information technology</w:t>
            </w:r>
          </w:p>
        </w:tc>
        <w:tc>
          <w:tcPr>
            <w:tcW w:w="83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736B674" w14:textId="77777777" w:rsidR="00730DE4" w:rsidRPr="00730DE4" w:rsidRDefault="00730DE4" w:rsidP="00E8611B">
            <w:pPr>
              <w:pStyle w:val="NoSpacing"/>
              <w:jc w:val="right"/>
            </w:pPr>
            <w:r w:rsidRPr="00730DE4">
              <w:t xml:space="preserve">100,946 </w:t>
            </w:r>
          </w:p>
        </w:tc>
        <w:tc>
          <w:tcPr>
            <w:tcW w:w="83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9028930" w14:textId="77777777" w:rsidR="00730DE4" w:rsidRPr="00730DE4" w:rsidRDefault="00730DE4" w:rsidP="00E8611B">
            <w:pPr>
              <w:pStyle w:val="NoSpacing"/>
              <w:jc w:val="right"/>
            </w:pPr>
            <w:r w:rsidRPr="00730DE4">
              <w:t xml:space="preserve">121,929 </w:t>
            </w:r>
          </w:p>
        </w:tc>
      </w:tr>
      <w:tr w:rsidR="00730DE4" w:rsidRPr="00730DE4" w14:paraId="048114CE" w14:textId="77777777" w:rsidTr="00253FBD">
        <w:trPr>
          <w:trHeight w:val="240"/>
        </w:trPr>
        <w:tc>
          <w:tcPr>
            <w:tcW w:w="3326"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0FABF8F1" w14:textId="77777777" w:rsidR="00730DE4" w:rsidRPr="00730DE4" w:rsidRDefault="00730DE4" w:rsidP="00E8611B">
            <w:pPr>
              <w:pStyle w:val="NoSpacingIndent"/>
            </w:pPr>
            <w:r w:rsidRPr="00730DE4">
              <w:t>Queensland Transport and Roads Investment Program (QTRIP)</w:t>
            </w:r>
          </w:p>
        </w:tc>
        <w:tc>
          <w:tcPr>
            <w:tcW w:w="83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379DF23" w14:textId="77777777" w:rsidR="00730DE4" w:rsidRPr="00730DE4" w:rsidRDefault="00730DE4" w:rsidP="00E8611B">
            <w:pPr>
              <w:pStyle w:val="NoSpacing"/>
              <w:jc w:val="right"/>
            </w:pPr>
            <w:r w:rsidRPr="00730DE4">
              <w:t xml:space="preserve">471,653 </w:t>
            </w:r>
          </w:p>
        </w:tc>
        <w:tc>
          <w:tcPr>
            <w:tcW w:w="83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572144A" w14:textId="77777777" w:rsidR="00730DE4" w:rsidRPr="00730DE4" w:rsidRDefault="00730DE4" w:rsidP="00E8611B">
            <w:pPr>
              <w:pStyle w:val="NoSpacing"/>
              <w:jc w:val="right"/>
            </w:pPr>
            <w:r w:rsidRPr="00730DE4">
              <w:t xml:space="preserve">500,632 </w:t>
            </w:r>
          </w:p>
        </w:tc>
      </w:tr>
      <w:tr w:rsidR="00730DE4" w:rsidRPr="00730DE4" w14:paraId="0E00658B" w14:textId="77777777" w:rsidTr="00253FBD">
        <w:trPr>
          <w:trHeight w:val="240"/>
        </w:trPr>
        <w:tc>
          <w:tcPr>
            <w:tcW w:w="3326"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6707E5F8" w14:textId="77777777" w:rsidR="00730DE4" w:rsidRPr="00730DE4" w:rsidRDefault="00730DE4" w:rsidP="00E8611B">
            <w:pPr>
              <w:pStyle w:val="NoSpacingIndent"/>
            </w:pPr>
            <w:r w:rsidRPr="00730DE4">
              <w:t>Repairs and maintenance</w:t>
            </w:r>
          </w:p>
        </w:tc>
        <w:tc>
          <w:tcPr>
            <w:tcW w:w="83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50E51B5" w14:textId="77777777" w:rsidR="00730DE4" w:rsidRPr="00730DE4" w:rsidRDefault="00730DE4" w:rsidP="00E8611B">
            <w:pPr>
              <w:pStyle w:val="NoSpacing"/>
              <w:jc w:val="right"/>
            </w:pPr>
            <w:r w:rsidRPr="00730DE4">
              <w:t xml:space="preserve">105,232 </w:t>
            </w:r>
          </w:p>
        </w:tc>
        <w:tc>
          <w:tcPr>
            <w:tcW w:w="83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16154D7" w14:textId="77777777" w:rsidR="00730DE4" w:rsidRPr="00730DE4" w:rsidRDefault="00730DE4" w:rsidP="00E8611B">
            <w:pPr>
              <w:pStyle w:val="NoSpacing"/>
              <w:jc w:val="right"/>
            </w:pPr>
            <w:r w:rsidRPr="00730DE4">
              <w:t xml:space="preserve">78,747 </w:t>
            </w:r>
          </w:p>
        </w:tc>
      </w:tr>
      <w:tr w:rsidR="00730DE4" w:rsidRPr="00730DE4" w14:paraId="17BD8D0D" w14:textId="77777777" w:rsidTr="00253FBD">
        <w:trPr>
          <w:trHeight w:val="240"/>
        </w:trPr>
        <w:tc>
          <w:tcPr>
            <w:tcW w:w="3326"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40444A22" w14:textId="77777777" w:rsidR="00730DE4" w:rsidRPr="00730DE4" w:rsidRDefault="00730DE4" w:rsidP="00E8611B">
            <w:pPr>
              <w:pStyle w:val="NoSpacingIndent"/>
            </w:pPr>
            <w:r w:rsidRPr="00730DE4">
              <w:t>Transport services – Queensland Rail *</w:t>
            </w:r>
          </w:p>
        </w:tc>
        <w:tc>
          <w:tcPr>
            <w:tcW w:w="83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6DCC805" w14:textId="77777777" w:rsidR="00730DE4" w:rsidRPr="00730DE4" w:rsidRDefault="00730DE4" w:rsidP="00E8611B">
            <w:pPr>
              <w:pStyle w:val="NoSpacing"/>
              <w:jc w:val="right"/>
            </w:pPr>
            <w:r w:rsidRPr="00730DE4">
              <w:t xml:space="preserve">2,281,859 </w:t>
            </w:r>
          </w:p>
        </w:tc>
        <w:tc>
          <w:tcPr>
            <w:tcW w:w="83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EF21287" w14:textId="77777777" w:rsidR="00730DE4" w:rsidRPr="00730DE4" w:rsidRDefault="00730DE4" w:rsidP="00E8611B">
            <w:pPr>
              <w:pStyle w:val="NoSpacing"/>
              <w:jc w:val="right"/>
            </w:pPr>
            <w:r w:rsidRPr="00730DE4">
              <w:t xml:space="preserve">2,087,635 </w:t>
            </w:r>
          </w:p>
        </w:tc>
      </w:tr>
      <w:tr w:rsidR="00730DE4" w:rsidRPr="00730DE4" w14:paraId="20C7B963" w14:textId="77777777" w:rsidTr="00253FBD">
        <w:trPr>
          <w:trHeight w:val="240"/>
        </w:trPr>
        <w:tc>
          <w:tcPr>
            <w:tcW w:w="3326"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5DD8F48D" w14:textId="77777777" w:rsidR="00730DE4" w:rsidRPr="00730DE4" w:rsidRDefault="00730DE4" w:rsidP="00E8611B">
            <w:pPr>
              <w:pStyle w:val="NoSpacingIndent"/>
            </w:pPr>
            <w:r w:rsidRPr="00730DE4">
              <w:t>Transport services – other</w:t>
            </w:r>
          </w:p>
        </w:tc>
        <w:tc>
          <w:tcPr>
            <w:tcW w:w="83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72AB457" w14:textId="77777777" w:rsidR="00730DE4" w:rsidRPr="00730DE4" w:rsidRDefault="00730DE4" w:rsidP="00E8611B">
            <w:pPr>
              <w:pStyle w:val="NoSpacing"/>
              <w:jc w:val="right"/>
            </w:pPr>
            <w:r w:rsidRPr="00730DE4">
              <w:t xml:space="preserve">1,242,117 </w:t>
            </w:r>
          </w:p>
        </w:tc>
        <w:tc>
          <w:tcPr>
            <w:tcW w:w="83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C5555C1" w14:textId="77777777" w:rsidR="00730DE4" w:rsidRPr="00730DE4" w:rsidRDefault="00730DE4" w:rsidP="00E8611B">
            <w:pPr>
              <w:pStyle w:val="NoSpacing"/>
              <w:jc w:val="right"/>
            </w:pPr>
            <w:r w:rsidRPr="00730DE4">
              <w:t xml:space="preserve">1,157,923 </w:t>
            </w:r>
          </w:p>
        </w:tc>
      </w:tr>
      <w:tr w:rsidR="00730DE4" w:rsidRPr="00730DE4" w14:paraId="51DB0CE0" w14:textId="77777777" w:rsidTr="00253FBD">
        <w:trPr>
          <w:trHeight w:val="240"/>
        </w:trPr>
        <w:tc>
          <w:tcPr>
            <w:tcW w:w="3326"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91FD093" w14:textId="77777777" w:rsidR="00730DE4" w:rsidRPr="00730DE4" w:rsidRDefault="00730DE4" w:rsidP="00E8611B">
            <w:pPr>
              <w:pStyle w:val="NoSpacingIndent"/>
            </w:pPr>
            <w:r w:rsidRPr="00730DE4">
              <w:t>Other</w:t>
            </w:r>
          </w:p>
        </w:tc>
        <w:tc>
          <w:tcPr>
            <w:tcW w:w="83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491676D" w14:textId="77777777" w:rsidR="00730DE4" w:rsidRPr="00730DE4" w:rsidRDefault="00730DE4" w:rsidP="00E8611B">
            <w:pPr>
              <w:pStyle w:val="NoSpacing"/>
              <w:jc w:val="right"/>
            </w:pPr>
            <w:r w:rsidRPr="00730DE4">
              <w:t xml:space="preserve">85,978 </w:t>
            </w:r>
          </w:p>
        </w:tc>
        <w:tc>
          <w:tcPr>
            <w:tcW w:w="83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9399A24" w14:textId="77777777" w:rsidR="00730DE4" w:rsidRPr="00730DE4" w:rsidRDefault="00730DE4" w:rsidP="00E8611B">
            <w:pPr>
              <w:pStyle w:val="NoSpacing"/>
              <w:jc w:val="right"/>
            </w:pPr>
            <w:r w:rsidRPr="00730DE4">
              <w:t xml:space="preserve">41,010 </w:t>
            </w:r>
          </w:p>
        </w:tc>
      </w:tr>
      <w:tr w:rsidR="00730DE4" w:rsidRPr="00730DE4" w14:paraId="4BA12311" w14:textId="77777777" w:rsidTr="00253FBD">
        <w:trPr>
          <w:trHeight w:val="240"/>
        </w:trPr>
        <w:tc>
          <w:tcPr>
            <w:tcW w:w="3326"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5B89D73F" w14:textId="77777777" w:rsidR="00730DE4" w:rsidRPr="00730DE4" w:rsidRDefault="00730DE4" w:rsidP="00E8611B">
            <w:pPr>
              <w:pStyle w:val="NoSpacing"/>
            </w:pPr>
            <w:r w:rsidRPr="00730DE4">
              <w:t>Information, communication and technology service charges **</w:t>
            </w:r>
          </w:p>
        </w:tc>
        <w:tc>
          <w:tcPr>
            <w:tcW w:w="83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2137EFA" w14:textId="77777777" w:rsidR="00730DE4" w:rsidRPr="00730DE4" w:rsidRDefault="00730DE4" w:rsidP="00E8611B">
            <w:pPr>
              <w:pStyle w:val="NoSpacing"/>
              <w:jc w:val="right"/>
            </w:pPr>
            <w:r w:rsidRPr="00730DE4">
              <w:t xml:space="preserve">190,455 </w:t>
            </w:r>
          </w:p>
        </w:tc>
        <w:tc>
          <w:tcPr>
            <w:tcW w:w="83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0FB16A9" w14:textId="77777777" w:rsidR="00730DE4" w:rsidRPr="00730DE4" w:rsidRDefault="00730DE4" w:rsidP="00E8611B">
            <w:pPr>
              <w:pStyle w:val="NoSpacing"/>
              <w:jc w:val="right"/>
            </w:pPr>
            <w:r w:rsidRPr="00730DE4">
              <w:t xml:space="preserve">68,293 </w:t>
            </w:r>
          </w:p>
        </w:tc>
      </w:tr>
      <w:tr w:rsidR="00730DE4" w:rsidRPr="00730DE4" w14:paraId="0A520B77" w14:textId="77777777" w:rsidTr="00253FBD">
        <w:trPr>
          <w:trHeight w:val="240"/>
        </w:trPr>
        <w:tc>
          <w:tcPr>
            <w:tcW w:w="3326"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FCB1C90" w14:textId="77777777" w:rsidR="00730DE4" w:rsidRPr="00730DE4" w:rsidRDefault="00730DE4" w:rsidP="00E8611B">
            <w:pPr>
              <w:pStyle w:val="NoSpacing"/>
            </w:pPr>
            <w:r w:rsidRPr="00730DE4">
              <w:t>Motor vehicles – Qfleet</w:t>
            </w:r>
          </w:p>
        </w:tc>
        <w:tc>
          <w:tcPr>
            <w:tcW w:w="83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E13B4E7" w14:textId="77777777" w:rsidR="00730DE4" w:rsidRPr="00730DE4" w:rsidRDefault="00730DE4" w:rsidP="00E8611B">
            <w:pPr>
              <w:pStyle w:val="NoSpacing"/>
              <w:jc w:val="right"/>
            </w:pPr>
            <w:r w:rsidRPr="00730DE4">
              <w:t xml:space="preserve">12,595 </w:t>
            </w:r>
          </w:p>
        </w:tc>
        <w:tc>
          <w:tcPr>
            <w:tcW w:w="83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450FCDAC" w14:textId="77777777" w:rsidR="00730DE4" w:rsidRPr="00730DE4" w:rsidRDefault="00730DE4" w:rsidP="00E8611B">
            <w:pPr>
              <w:pStyle w:val="NoSpacing"/>
              <w:jc w:val="right"/>
            </w:pPr>
            <w:r w:rsidRPr="00730DE4">
              <w:t xml:space="preserve">10,801 </w:t>
            </w:r>
          </w:p>
        </w:tc>
      </w:tr>
      <w:tr w:rsidR="00730DE4" w:rsidRPr="00730DE4" w14:paraId="672FBD31" w14:textId="77777777" w:rsidTr="00253FBD">
        <w:trPr>
          <w:trHeight w:val="240"/>
        </w:trPr>
        <w:tc>
          <w:tcPr>
            <w:tcW w:w="3326"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088E8EC1" w14:textId="77777777" w:rsidR="00730DE4" w:rsidRPr="00730DE4" w:rsidRDefault="00730DE4" w:rsidP="00E8611B">
            <w:pPr>
              <w:pStyle w:val="NoSpacing"/>
            </w:pPr>
            <w:r w:rsidRPr="00730DE4">
              <w:t>Office accommodation</w:t>
            </w:r>
          </w:p>
        </w:tc>
        <w:tc>
          <w:tcPr>
            <w:tcW w:w="83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0073044" w14:textId="77777777" w:rsidR="00730DE4" w:rsidRPr="00730DE4" w:rsidRDefault="00730DE4" w:rsidP="00E8611B">
            <w:pPr>
              <w:pStyle w:val="NoSpacing"/>
              <w:jc w:val="right"/>
            </w:pPr>
            <w:r w:rsidRPr="00730DE4">
              <w:t xml:space="preserve">75,690 </w:t>
            </w:r>
          </w:p>
        </w:tc>
        <w:tc>
          <w:tcPr>
            <w:tcW w:w="83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ED39CB6" w14:textId="77777777" w:rsidR="00730DE4" w:rsidRPr="00730DE4" w:rsidRDefault="00730DE4" w:rsidP="00E8611B">
            <w:pPr>
              <w:pStyle w:val="NoSpacing"/>
              <w:jc w:val="right"/>
            </w:pPr>
            <w:r w:rsidRPr="00730DE4">
              <w:t xml:space="preserve">56,219 </w:t>
            </w:r>
          </w:p>
        </w:tc>
      </w:tr>
      <w:tr w:rsidR="00730DE4" w:rsidRPr="00730DE4" w14:paraId="70C3A906" w14:textId="77777777" w:rsidTr="00253FBD">
        <w:trPr>
          <w:trHeight w:val="240"/>
        </w:trPr>
        <w:tc>
          <w:tcPr>
            <w:tcW w:w="3326"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D7A0128" w14:textId="77777777" w:rsidR="00730DE4" w:rsidRPr="00730DE4" w:rsidRDefault="00730DE4" w:rsidP="00E8611B">
            <w:pPr>
              <w:pStyle w:val="NoSpacing"/>
            </w:pPr>
            <w:r w:rsidRPr="00730DE4">
              <w:t>Payments to other government agencies</w:t>
            </w:r>
          </w:p>
        </w:tc>
        <w:tc>
          <w:tcPr>
            <w:tcW w:w="83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C8B14C7" w14:textId="77777777" w:rsidR="00730DE4" w:rsidRPr="00730DE4" w:rsidRDefault="00730DE4" w:rsidP="00E8611B">
            <w:pPr>
              <w:pStyle w:val="NoSpacing"/>
              <w:jc w:val="right"/>
            </w:pPr>
            <w:r w:rsidRPr="00730DE4">
              <w:t xml:space="preserve">34,949 </w:t>
            </w:r>
          </w:p>
        </w:tc>
        <w:tc>
          <w:tcPr>
            <w:tcW w:w="83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EA8E771" w14:textId="77777777" w:rsidR="00730DE4" w:rsidRPr="00730DE4" w:rsidRDefault="00730DE4" w:rsidP="00E8611B">
            <w:pPr>
              <w:pStyle w:val="NoSpacing"/>
              <w:jc w:val="right"/>
            </w:pPr>
            <w:r w:rsidRPr="00730DE4">
              <w:t xml:space="preserve">57,888 </w:t>
            </w:r>
          </w:p>
        </w:tc>
      </w:tr>
      <w:tr w:rsidR="00730DE4" w:rsidRPr="00730DE4" w14:paraId="69275539" w14:textId="77777777" w:rsidTr="00253FBD">
        <w:trPr>
          <w:trHeight w:val="240"/>
        </w:trPr>
        <w:tc>
          <w:tcPr>
            <w:tcW w:w="3326"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1D383641" w14:textId="77777777" w:rsidR="00730DE4" w:rsidRPr="00730DE4" w:rsidRDefault="00730DE4" w:rsidP="00E8611B">
            <w:pPr>
              <w:pStyle w:val="NoSpacing"/>
            </w:pPr>
            <w:r w:rsidRPr="00730DE4">
              <w:t>Raw materials</w:t>
            </w:r>
          </w:p>
        </w:tc>
        <w:tc>
          <w:tcPr>
            <w:tcW w:w="83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08624D2" w14:textId="77777777" w:rsidR="00730DE4" w:rsidRPr="00730DE4" w:rsidRDefault="00730DE4" w:rsidP="00E8611B">
            <w:pPr>
              <w:pStyle w:val="NoSpacing"/>
              <w:jc w:val="right"/>
            </w:pPr>
            <w:r w:rsidRPr="00730DE4">
              <w:t xml:space="preserve">45,092 </w:t>
            </w:r>
          </w:p>
        </w:tc>
        <w:tc>
          <w:tcPr>
            <w:tcW w:w="83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53F5187" w14:textId="77777777" w:rsidR="00730DE4" w:rsidRPr="00730DE4" w:rsidRDefault="00730DE4" w:rsidP="00E8611B">
            <w:pPr>
              <w:pStyle w:val="NoSpacing"/>
              <w:jc w:val="right"/>
            </w:pPr>
            <w:r w:rsidRPr="00730DE4">
              <w:t xml:space="preserve">41,621 </w:t>
            </w:r>
          </w:p>
        </w:tc>
      </w:tr>
      <w:tr w:rsidR="00730DE4" w:rsidRPr="00730DE4" w14:paraId="4DA1DE49" w14:textId="77777777" w:rsidTr="000E22DE">
        <w:trPr>
          <w:trHeight w:val="240"/>
        </w:trPr>
        <w:tc>
          <w:tcPr>
            <w:tcW w:w="3326"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4FD59DB" w14:textId="77777777" w:rsidR="00730DE4" w:rsidRPr="00730DE4" w:rsidRDefault="00730DE4" w:rsidP="00E8611B">
            <w:pPr>
              <w:pStyle w:val="NoSpacing"/>
            </w:pPr>
            <w:r w:rsidRPr="00730DE4">
              <w:t xml:space="preserve">Utilities </w:t>
            </w:r>
          </w:p>
        </w:tc>
        <w:tc>
          <w:tcPr>
            <w:tcW w:w="83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66CDA7C" w14:textId="77777777" w:rsidR="00730DE4" w:rsidRPr="00730DE4" w:rsidRDefault="00730DE4" w:rsidP="00E8611B">
            <w:pPr>
              <w:pStyle w:val="NoSpacing"/>
              <w:jc w:val="right"/>
            </w:pPr>
            <w:r w:rsidRPr="00730DE4">
              <w:t xml:space="preserve">72,159 </w:t>
            </w:r>
          </w:p>
        </w:tc>
        <w:tc>
          <w:tcPr>
            <w:tcW w:w="83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9069C2B" w14:textId="77777777" w:rsidR="00730DE4" w:rsidRPr="00730DE4" w:rsidRDefault="00730DE4" w:rsidP="00E8611B">
            <w:pPr>
              <w:pStyle w:val="NoSpacing"/>
              <w:jc w:val="right"/>
            </w:pPr>
            <w:r w:rsidRPr="00730DE4">
              <w:t xml:space="preserve">61,592 </w:t>
            </w:r>
          </w:p>
        </w:tc>
      </w:tr>
      <w:tr w:rsidR="00730DE4" w:rsidRPr="00730DE4" w14:paraId="32C5240D" w14:textId="77777777" w:rsidTr="000E22DE">
        <w:trPr>
          <w:trHeight w:val="240"/>
        </w:trPr>
        <w:tc>
          <w:tcPr>
            <w:tcW w:w="3326"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55D966FE" w14:textId="77777777" w:rsidR="00730DE4" w:rsidRPr="00730DE4" w:rsidRDefault="00730DE4" w:rsidP="00E8611B">
            <w:pPr>
              <w:pStyle w:val="NoSpacing"/>
            </w:pPr>
            <w:r w:rsidRPr="00730DE4">
              <w:t>Other</w:t>
            </w:r>
          </w:p>
        </w:tc>
        <w:tc>
          <w:tcPr>
            <w:tcW w:w="837"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1050FB43" w14:textId="77777777" w:rsidR="00730DE4" w:rsidRPr="00730DE4" w:rsidRDefault="00730DE4" w:rsidP="00E8611B">
            <w:pPr>
              <w:pStyle w:val="NoSpacing"/>
              <w:jc w:val="right"/>
            </w:pPr>
            <w:r w:rsidRPr="00730DE4">
              <w:t xml:space="preserve">102,137 </w:t>
            </w:r>
          </w:p>
        </w:tc>
        <w:tc>
          <w:tcPr>
            <w:tcW w:w="837"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0DC3FCC7" w14:textId="77777777" w:rsidR="00730DE4" w:rsidRPr="00730DE4" w:rsidRDefault="00730DE4" w:rsidP="00E8611B">
            <w:pPr>
              <w:pStyle w:val="NoSpacing"/>
              <w:jc w:val="right"/>
            </w:pPr>
            <w:r w:rsidRPr="00730DE4">
              <w:t xml:space="preserve">107,129 </w:t>
            </w:r>
          </w:p>
        </w:tc>
      </w:tr>
      <w:tr w:rsidR="00730DE4" w:rsidRPr="00730DE4" w14:paraId="41CB5991" w14:textId="77777777" w:rsidTr="000E22DE">
        <w:tc>
          <w:tcPr>
            <w:tcW w:w="3326"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5004E4AF" w14:textId="77777777" w:rsidR="00730DE4" w:rsidRPr="00730DE4" w:rsidRDefault="00730DE4" w:rsidP="00E8611B">
            <w:pPr>
              <w:pStyle w:val="NoSpacing"/>
              <w:rPr>
                <w:b/>
                <w:bCs/>
              </w:rPr>
            </w:pPr>
            <w:r w:rsidRPr="00730DE4">
              <w:rPr>
                <w:rStyle w:val="Strong"/>
              </w:rPr>
              <w:t>Total</w:t>
            </w:r>
          </w:p>
        </w:tc>
        <w:tc>
          <w:tcPr>
            <w:tcW w:w="837"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66C5DEDF" w14:textId="77777777" w:rsidR="00730DE4" w:rsidRPr="00730DE4" w:rsidRDefault="00730DE4" w:rsidP="00E8611B">
            <w:pPr>
              <w:pStyle w:val="NoSpacing"/>
              <w:jc w:val="right"/>
              <w:rPr>
                <w:b/>
                <w:bCs/>
              </w:rPr>
            </w:pPr>
            <w:r w:rsidRPr="00730DE4">
              <w:rPr>
                <w:rStyle w:val="Strong"/>
              </w:rPr>
              <w:t xml:space="preserve">4,977,004 </w:t>
            </w:r>
          </w:p>
        </w:tc>
        <w:tc>
          <w:tcPr>
            <w:tcW w:w="837" w:type="pct"/>
            <w:tcBorders>
              <w:top w:val="single" w:sz="4" w:space="0" w:color="auto"/>
              <w:left w:val="dotted" w:sz="4" w:space="0" w:color="BFBFBF" w:themeColor="background1" w:themeShade="BF"/>
              <w:bottom w:val="double" w:sz="4" w:space="0" w:color="auto"/>
              <w:right w:val="nil"/>
            </w:tcBorders>
            <w:shd w:val="clear" w:color="auto" w:fill="auto"/>
            <w:noWrap/>
            <w:hideMark/>
          </w:tcPr>
          <w:p w14:paraId="5003EDEC" w14:textId="77777777" w:rsidR="00730DE4" w:rsidRPr="00730DE4" w:rsidRDefault="00730DE4" w:rsidP="00E8611B">
            <w:pPr>
              <w:pStyle w:val="NoSpacing"/>
              <w:jc w:val="right"/>
              <w:rPr>
                <w:rStyle w:val="Strong"/>
              </w:rPr>
            </w:pPr>
            <w:r w:rsidRPr="00730DE4">
              <w:rPr>
                <w:rStyle w:val="Strong"/>
              </w:rPr>
              <w:t xml:space="preserve">4,536,142 </w:t>
            </w:r>
          </w:p>
        </w:tc>
      </w:tr>
    </w:tbl>
    <w:p w14:paraId="3137D98E" w14:textId="77777777" w:rsidR="00730DE4" w:rsidRPr="00730DE4" w:rsidRDefault="00730DE4" w:rsidP="00942991">
      <w:pPr>
        <w:pStyle w:val="List0"/>
      </w:pPr>
      <w:r w:rsidRPr="00730DE4">
        <w:t>* The department has a contract with Queensland Rail to provide rail passenger services in suburban and regional Queensland, and to ensure the Queensland Rail network can support safe and reliable passenger and freight services.</w:t>
      </w:r>
    </w:p>
    <w:p w14:paraId="46A1FA2C" w14:textId="77777777" w:rsidR="00730DE4" w:rsidRPr="00730DE4" w:rsidRDefault="00730DE4" w:rsidP="00942991">
      <w:pPr>
        <w:pStyle w:val="List1"/>
      </w:pPr>
      <w:r w:rsidRPr="00730DE4">
        <w:t>** Relates to functions mainly provided by the Queensland Government Customer and Digital Group following the May 2023 machinery-of-government change. Transactions in 2024 represent the full financial year and 2023 represents one month.</w:t>
      </w:r>
    </w:p>
    <w:p w14:paraId="4F073ECD" w14:textId="77777777" w:rsidR="00730DE4" w:rsidRPr="00730DE4" w:rsidRDefault="00730DE4" w:rsidP="00412C33">
      <w:pPr>
        <w:pStyle w:val="Caption"/>
      </w:pPr>
      <w:r w:rsidRPr="00730DE4">
        <w:t>The department's total supplies and services expenditure was $10,043m in 2024 (2023: $9,256m). Of this $5,066m (2023: $4,720m) was capitalised to construction work in progress leaving $4,977m (2023: $4,536m) reported as supplies and services.</w:t>
      </w:r>
    </w:p>
    <w:p w14:paraId="64012FFD" w14:textId="77777777" w:rsidR="00730DE4" w:rsidRPr="00730DE4" w:rsidRDefault="00730DE4" w:rsidP="00F517FD">
      <w:pPr>
        <w:pStyle w:val="Heading5"/>
      </w:pPr>
      <w:bookmarkStart w:id="1494" w:name="_Toc180490926"/>
      <w:bookmarkStart w:id="1495" w:name="_Toc180491959"/>
      <w:r w:rsidRPr="00730DE4">
        <w:t>8 Grants and subsidies</w:t>
      </w:r>
      <w:bookmarkEnd w:id="1494"/>
      <w:bookmarkEnd w:id="1495"/>
    </w:p>
    <w:tbl>
      <w:tblPr>
        <w:tblW w:w="5000" w:type="pct"/>
        <w:tblCellMar>
          <w:top w:w="23" w:type="dxa"/>
          <w:left w:w="23" w:type="dxa"/>
          <w:bottom w:w="23" w:type="dxa"/>
          <w:right w:w="23" w:type="dxa"/>
        </w:tblCellMar>
        <w:tblLook w:val="04A0" w:firstRow="1" w:lastRow="0" w:firstColumn="1" w:lastColumn="0" w:noHBand="0" w:noVBand="1"/>
      </w:tblPr>
      <w:tblGrid>
        <w:gridCol w:w="6246"/>
        <w:gridCol w:w="1411"/>
        <w:gridCol w:w="1413"/>
      </w:tblGrid>
      <w:tr w:rsidR="00730DE4" w:rsidRPr="00730DE4" w14:paraId="168B309E" w14:textId="77777777" w:rsidTr="008A2F83">
        <w:trPr>
          <w:trHeight w:val="90"/>
        </w:trPr>
        <w:tc>
          <w:tcPr>
            <w:tcW w:w="3443" w:type="pct"/>
            <w:tcBorders>
              <w:top w:val="nil"/>
              <w:left w:val="nil"/>
              <w:bottom w:val="single" w:sz="4" w:space="0" w:color="auto"/>
              <w:right w:val="nil"/>
            </w:tcBorders>
            <w:shd w:val="clear" w:color="auto" w:fill="auto"/>
            <w:noWrap/>
            <w:vAlign w:val="bottom"/>
          </w:tcPr>
          <w:p w14:paraId="1C9ADDDF" w14:textId="77777777" w:rsidR="00730DE4" w:rsidRPr="00730DE4" w:rsidRDefault="00730DE4" w:rsidP="00412C33">
            <w:pPr>
              <w:pStyle w:val="NoSpacing"/>
              <w:rPr>
                <w:rStyle w:val="Strong"/>
              </w:rPr>
            </w:pPr>
          </w:p>
        </w:tc>
        <w:tc>
          <w:tcPr>
            <w:tcW w:w="778" w:type="pct"/>
            <w:tcBorders>
              <w:top w:val="nil"/>
              <w:left w:val="nil"/>
              <w:bottom w:val="single" w:sz="4" w:space="0" w:color="auto"/>
              <w:right w:val="nil"/>
            </w:tcBorders>
            <w:shd w:val="clear" w:color="auto" w:fill="auto"/>
            <w:noWrap/>
            <w:vAlign w:val="bottom"/>
            <w:hideMark/>
          </w:tcPr>
          <w:p w14:paraId="7C3E6922" w14:textId="77777777" w:rsidR="00730DE4" w:rsidRPr="00730DE4" w:rsidRDefault="00730DE4" w:rsidP="008E4B6C">
            <w:pPr>
              <w:pStyle w:val="NoSpacing"/>
              <w:jc w:val="right"/>
              <w:rPr>
                <w:color w:val="080C0F" w:themeColor="text1"/>
              </w:rPr>
            </w:pPr>
            <w:r w:rsidRPr="00730DE4">
              <w:rPr>
                <w:rStyle w:val="Strong"/>
              </w:rPr>
              <w:t xml:space="preserve">2024 </w:t>
            </w:r>
            <w:r w:rsidRPr="00730DE4">
              <w:rPr>
                <w:rStyle w:val="Strong"/>
              </w:rPr>
              <w:br/>
              <w:t>$'000</w:t>
            </w:r>
          </w:p>
        </w:tc>
        <w:tc>
          <w:tcPr>
            <w:tcW w:w="779" w:type="pct"/>
            <w:tcBorders>
              <w:top w:val="nil"/>
              <w:left w:val="nil"/>
              <w:bottom w:val="single" w:sz="4" w:space="0" w:color="auto"/>
              <w:right w:val="nil"/>
            </w:tcBorders>
            <w:shd w:val="clear" w:color="auto" w:fill="auto"/>
            <w:noWrap/>
            <w:vAlign w:val="bottom"/>
            <w:hideMark/>
          </w:tcPr>
          <w:p w14:paraId="0154353E" w14:textId="77777777" w:rsidR="00730DE4" w:rsidRPr="00730DE4" w:rsidRDefault="00730DE4" w:rsidP="008E4B6C">
            <w:pPr>
              <w:pStyle w:val="NoSpacing"/>
              <w:jc w:val="right"/>
              <w:rPr>
                <w:color w:val="080C0F" w:themeColor="text1"/>
              </w:rPr>
            </w:pPr>
            <w:r w:rsidRPr="00730DE4">
              <w:rPr>
                <w:rStyle w:val="Strong"/>
              </w:rPr>
              <w:t xml:space="preserve">2023 </w:t>
            </w:r>
            <w:r w:rsidRPr="00730DE4">
              <w:rPr>
                <w:rStyle w:val="Strong"/>
              </w:rPr>
              <w:br/>
              <w:t>$'000</w:t>
            </w:r>
          </w:p>
        </w:tc>
      </w:tr>
      <w:tr w:rsidR="00730DE4" w:rsidRPr="00730DE4" w14:paraId="14F704E0" w14:textId="77777777" w:rsidTr="008A2F83">
        <w:trPr>
          <w:trHeight w:val="240"/>
        </w:trPr>
        <w:tc>
          <w:tcPr>
            <w:tcW w:w="3443"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vAlign w:val="center"/>
            <w:hideMark/>
          </w:tcPr>
          <w:p w14:paraId="74D4CD80" w14:textId="77777777" w:rsidR="00730DE4" w:rsidRPr="00730DE4" w:rsidRDefault="00730DE4" w:rsidP="00477185">
            <w:pPr>
              <w:pStyle w:val="NoSpacing"/>
              <w:rPr>
                <w:color w:val="080C0F" w:themeColor="text1"/>
              </w:rPr>
            </w:pPr>
            <w:r w:rsidRPr="00730DE4">
              <w:rPr>
                <w:color w:val="080C0F" w:themeColor="text1"/>
              </w:rPr>
              <w:t>Assets provided to third parties at below fair value *</w:t>
            </w:r>
          </w:p>
        </w:tc>
        <w:tc>
          <w:tcPr>
            <w:tcW w:w="77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2DCA45F" w14:textId="77777777" w:rsidR="00730DE4" w:rsidRPr="00730DE4" w:rsidRDefault="00730DE4" w:rsidP="008E4B6C">
            <w:pPr>
              <w:pStyle w:val="NoSpacing"/>
              <w:jc w:val="right"/>
              <w:rPr>
                <w:color w:val="080C0F" w:themeColor="text1"/>
              </w:rPr>
            </w:pPr>
            <w:r w:rsidRPr="00730DE4">
              <w:rPr>
                <w:color w:val="080C0F" w:themeColor="text1"/>
              </w:rPr>
              <w:t xml:space="preserve">39,110 </w:t>
            </w:r>
          </w:p>
        </w:tc>
        <w:tc>
          <w:tcPr>
            <w:tcW w:w="779"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59A8BEF" w14:textId="77777777" w:rsidR="00730DE4" w:rsidRPr="00730DE4" w:rsidRDefault="00730DE4" w:rsidP="008E4B6C">
            <w:pPr>
              <w:pStyle w:val="NoSpacing"/>
              <w:jc w:val="right"/>
              <w:rPr>
                <w:color w:val="080C0F" w:themeColor="text1"/>
              </w:rPr>
            </w:pPr>
            <w:r w:rsidRPr="00730DE4">
              <w:rPr>
                <w:color w:val="080C0F" w:themeColor="text1"/>
              </w:rPr>
              <w:t xml:space="preserve">7,289 </w:t>
            </w:r>
          </w:p>
        </w:tc>
      </w:tr>
      <w:tr w:rsidR="00730DE4" w:rsidRPr="00730DE4" w14:paraId="73A3A64F" w14:textId="77777777" w:rsidTr="008A2F83">
        <w:trPr>
          <w:trHeight w:val="240"/>
        </w:trPr>
        <w:tc>
          <w:tcPr>
            <w:tcW w:w="3443"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center"/>
            <w:hideMark/>
          </w:tcPr>
          <w:p w14:paraId="6382CFED" w14:textId="77777777" w:rsidR="00730DE4" w:rsidRPr="00730DE4" w:rsidRDefault="00730DE4" w:rsidP="00477185">
            <w:pPr>
              <w:pStyle w:val="NoSpacing"/>
              <w:rPr>
                <w:color w:val="080C0F" w:themeColor="text1"/>
              </w:rPr>
            </w:pPr>
            <w:r w:rsidRPr="00730DE4">
              <w:rPr>
                <w:color w:val="080C0F" w:themeColor="text1"/>
              </w:rPr>
              <w:t>Public transport</w:t>
            </w:r>
          </w:p>
        </w:tc>
        <w:tc>
          <w:tcPr>
            <w:tcW w:w="77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C6FAD09" w14:textId="77777777" w:rsidR="00730DE4" w:rsidRPr="00730DE4" w:rsidRDefault="00730DE4" w:rsidP="008E4B6C">
            <w:pPr>
              <w:pStyle w:val="NoSpacing"/>
              <w:jc w:val="right"/>
              <w:rPr>
                <w:color w:val="080C0F" w:themeColor="text1"/>
              </w:rPr>
            </w:pPr>
            <w:r w:rsidRPr="00730DE4">
              <w:rPr>
                <w:color w:val="080C0F" w:themeColor="text1"/>
              </w:rPr>
              <w:t xml:space="preserve">43,255 </w:t>
            </w:r>
          </w:p>
        </w:tc>
        <w:tc>
          <w:tcPr>
            <w:tcW w:w="779"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34E085C" w14:textId="77777777" w:rsidR="00730DE4" w:rsidRPr="00730DE4" w:rsidRDefault="00730DE4" w:rsidP="008E4B6C">
            <w:pPr>
              <w:pStyle w:val="NoSpacing"/>
              <w:jc w:val="right"/>
              <w:rPr>
                <w:color w:val="080C0F" w:themeColor="text1"/>
              </w:rPr>
            </w:pPr>
            <w:r w:rsidRPr="00730DE4">
              <w:rPr>
                <w:color w:val="080C0F" w:themeColor="text1"/>
              </w:rPr>
              <w:t xml:space="preserve">63,303 </w:t>
            </w:r>
          </w:p>
        </w:tc>
      </w:tr>
      <w:tr w:rsidR="00730DE4" w:rsidRPr="00730DE4" w14:paraId="6ED7137E" w14:textId="77777777" w:rsidTr="008A2F83">
        <w:trPr>
          <w:trHeight w:val="240"/>
        </w:trPr>
        <w:tc>
          <w:tcPr>
            <w:tcW w:w="3443"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center"/>
            <w:hideMark/>
          </w:tcPr>
          <w:p w14:paraId="68300C53" w14:textId="77777777" w:rsidR="00730DE4" w:rsidRPr="00730DE4" w:rsidRDefault="00730DE4" w:rsidP="00477185">
            <w:pPr>
              <w:pStyle w:val="NoSpacing"/>
              <w:rPr>
                <w:color w:val="080C0F" w:themeColor="text1"/>
              </w:rPr>
            </w:pPr>
            <w:r w:rsidRPr="00730DE4">
              <w:rPr>
                <w:color w:val="080C0F" w:themeColor="text1"/>
              </w:rPr>
              <w:t>School transport</w:t>
            </w:r>
          </w:p>
        </w:tc>
        <w:tc>
          <w:tcPr>
            <w:tcW w:w="77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655AE16" w14:textId="77777777" w:rsidR="00730DE4" w:rsidRPr="00730DE4" w:rsidRDefault="00730DE4" w:rsidP="008E4B6C">
            <w:pPr>
              <w:pStyle w:val="NoSpacing"/>
              <w:jc w:val="right"/>
              <w:rPr>
                <w:color w:val="080C0F" w:themeColor="text1"/>
              </w:rPr>
            </w:pPr>
            <w:r w:rsidRPr="00730DE4">
              <w:rPr>
                <w:color w:val="080C0F" w:themeColor="text1"/>
              </w:rPr>
              <w:t xml:space="preserve">199,312 </w:t>
            </w:r>
          </w:p>
        </w:tc>
        <w:tc>
          <w:tcPr>
            <w:tcW w:w="779"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00444FA" w14:textId="77777777" w:rsidR="00730DE4" w:rsidRPr="00730DE4" w:rsidRDefault="00730DE4" w:rsidP="008E4B6C">
            <w:pPr>
              <w:pStyle w:val="NoSpacing"/>
              <w:jc w:val="right"/>
              <w:rPr>
                <w:color w:val="080C0F" w:themeColor="text1"/>
              </w:rPr>
            </w:pPr>
            <w:r w:rsidRPr="00730DE4">
              <w:rPr>
                <w:color w:val="080C0F" w:themeColor="text1"/>
              </w:rPr>
              <w:t xml:space="preserve">190,609 </w:t>
            </w:r>
          </w:p>
        </w:tc>
      </w:tr>
      <w:tr w:rsidR="00730DE4" w:rsidRPr="00730DE4" w14:paraId="745868D2" w14:textId="77777777" w:rsidTr="008A2F83">
        <w:trPr>
          <w:trHeight w:val="240"/>
        </w:trPr>
        <w:tc>
          <w:tcPr>
            <w:tcW w:w="3443"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center"/>
            <w:hideMark/>
          </w:tcPr>
          <w:p w14:paraId="4C13BF89" w14:textId="77777777" w:rsidR="00730DE4" w:rsidRPr="00730DE4" w:rsidRDefault="00730DE4" w:rsidP="00477185">
            <w:pPr>
              <w:pStyle w:val="NoSpacing"/>
              <w:rPr>
                <w:color w:val="080C0F" w:themeColor="text1"/>
              </w:rPr>
            </w:pPr>
            <w:r w:rsidRPr="00730DE4">
              <w:rPr>
                <w:color w:val="080C0F" w:themeColor="text1"/>
              </w:rPr>
              <w:t>Transport infrastructure</w:t>
            </w:r>
          </w:p>
        </w:tc>
        <w:tc>
          <w:tcPr>
            <w:tcW w:w="77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CA7C0DD" w14:textId="77777777" w:rsidR="00730DE4" w:rsidRPr="00730DE4" w:rsidRDefault="00730DE4" w:rsidP="008E4B6C">
            <w:pPr>
              <w:pStyle w:val="NoSpacing"/>
              <w:jc w:val="right"/>
              <w:rPr>
                <w:color w:val="080C0F" w:themeColor="text1"/>
              </w:rPr>
            </w:pPr>
            <w:r w:rsidRPr="00730DE4">
              <w:rPr>
                <w:color w:val="080C0F" w:themeColor="text1"/>
              </w:rPr>
              <w:t xml:space="preserve">423,542 </w:t>
            </w:r>
          </w:p>
        </w:tc>
        <w:tc>
          <w:tcPr>
            <w:tcW w:w="779"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A9EACD0" w14:textId="77777777" w:rsidR="00730DE4" w:rsidRPr="00730DE4" w:rsidRDefault="00730DE4" w:rsidP="008E4B6C">
            <w:pPr>
              <w:pStyle w:val="NoSpacing"/>
              <w:jc w:val="right"/>
              <w:rPr>
                <w:color w:val="080C0F" w:themeColor="text1"/>
              </w:rPr>
            </w:pPr>
            <w:r w:rsidRPr="00730DE4">
              <w:rPr>
                <w:color w:val="080C0F" w:themeColor="text1"/>
              </w:rPr>
              <w:t xml:space="preserve">426,887 </w:t>
            </w:r>
          </w:p>
        </w:tc>
      </w:tr>
      <w:tr w:rsidR="00730DE4" w:rsidRPr="00730DE4" w14:paraId="1F822769" w14:textId="77777777" w:rsidTr="000E22DE">
        <w:trPr>
          <w:trHeight w:val="240"/>
        </w:trPr>
        <w:tc>
          <w:tcPr>
            <w:tcW w:w="3443"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center"/>
            <w:hideMark/>
          </w:tcPr>
          <w:p w14:paraId="7EBA4881" w14:textId="77777777" w:rsidR="00730DE4" w:rsidRPr="00730DE4" w:rsidRDefault="00730DE4" w:rsidP="00477185">
            <w:pPr>
              <w:pStyle w:val="NoSpacing"/>
              <w:rPr>
                <w:color w:val="080C0F" w:themeColor="text1"/>
              </w:rPr>
            </w:pPr>
            <w:r w:rsidRPr="00730DE4">
              <w:rPr>
                <w:color w:val="080C0F" w:themeColor="text1"/>
              </w:rPr>
              <w:t xml:space="preserve">Transport Infrastructure Development Scheme (TIDS) </w:t>
            </w:r>
          </w:p>
        </w:tc>
        <w:tc>
          <w:tcPr>
            <w:tcW w:w="77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B7C85C2" w14:textId="77777777" w:rsidR="00730DE4" w:rsidRPr="00730DE4" w:rsidRDefault="00730DE4" w:rsidP="008E4B6C">
            <w:pPr>
              <w:pStyle w:val="NoSpacing"/>
              <w:jc w:val="right"/>
              <w:rPr>
                <w:color w:val="080C0F" w:themeColor="text1"/>
              </w:rPr>
            </w:pPr>
            <w:r w:rsidRPr="00730DE4">
              <w:rPr>
                <w:color w:val="080C0F" w:themeColor="text1"/>
              </w:rPr>
              <w:t xml:space="preserve">57,599 </w:t>
            </w:r>
          </w:p>
        </w:tc>
        <w:tc>
          <w:tcPr>
            <w:tcW w:w="779"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32437ED" w14:textId="77777777" w:rsidR="00730DE4" w:rsidRPr="00730DE4" w:rsidRDefault="00730DE4" w:rsidP="008E4B6C">
            <w:pPr>
              <w:pStyle w:val="NoSpacing"/>
              <w:jc w:val="right"/>
              <w:rPr>
                <w:color w:val="080C0F" w:themeColor="text1"/>
              </w:rPr>
            </w:pPr>
            <w:r w:rsidRPr="00730DE4">
              <w:rPr>
                <w:color w:val="080C0F" w:themeColor="text1"/>
              </w:rPr>
              <w:t xml:space="preserve">83,778 </w:t>
            </w:r>
          </w:p>
        </w:tc>
      </w:tr>
      <w:tr w:rsidR="00730DE4" w:rsidRPr="00730DE4" w14:paraId="02AC602B" w14:textId="77777777" w:rsidTr="000E22DE">
        <w:trPr>
          <w:trHeight w:val="240"/>
        </w:trPr>
        <w:tc>
          <w:tcPr>
            <w:tcW w:w="3443"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center"/>
            <w:hideMark/>
          </w:tcPr>
          <w:p w14:paraId="5F2EB658" w14:textId="77777777" w:rsidR="00730DE4" w:rsidRPr="00730DE4" w:rsidRDefault="00730DE4" w:rsidP="00477185">
            <w:pPr>
              <w:pStyle w:val="NoSpacing"/>
              <w:rPr>
                <w:color w:val="080C0F" w:themeColor="text1"/>
              </w:rPr>
            </w:pPr>
            <w:r w:rsidRPr="00730DE4">
              <w:rPr>
                <w:color w:val="080C0F" w:themeColor="text1"/>
              </w:rPr>
              <w:t>Other</w:t>
            </w:r>
          </w:p>
        </w:tc>
        <w:tc>
          <w:tcPr>
            <w:tcW w:w="77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1E163E97" w14:textId="77777777" w:rsidR="00730DE4" w:rsidRPr="00730DE4" w:rsidRDefault="00730DE4" w:rsidP="008E4B6C">
            <w:pPr>
              <w:pStyle w:val="NoSpacing"/>
              <w:jc w:val="right"/>
              <w:rPr>
                <w:color w:val="080C0F" w:themeColor="text1"/>
              </w:rPr>
            </w:pPr>
            <w:r w:rsidRPr="00730DE4">
              <w:rPr>
                <w:color w:val="080C0F" w:themeColor="text1"/>
              </w:rPr>
              <w:t xml:space="preserve">27,415 </w:t>
            </w:r>
          </w:p>
        </w:tc>
        <w:tc>
          <w:tcPr>
            <w:tcW w:w="779"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566BDA8E" w14:textId="77777777" w:rsidR="00730DE4" w:rsidRPr="00730DE4" w:rsidRDefault="00730DE4" w:rsidP="008E4B6C">
            <w:pPr>
              <w:pStyle w:val="NoSpacing"/>
              <w:jc w:val="right"/>
              <w:rPr>
                <w:color w:val="080C0F" w:themeColor="text1"/>
              </w:rPr>
            </w:pPr>
            <w:r w:rsidRPr="00730DE4">
              <w:rPr>
                <w:color w:val="080C0F" w:themeColor="text1"/>
              </w:rPr>
              <w:t xml:space="preserve">24,822 </w:t>
            </w:r>
          </w:p>
        </w:tc>
      </w:tr>
      <w:tr w:rsidR="00730DE4" w:rsidRPr="00730DE4" w14:paraId="6AF6C2B6" w14:textId="77777777" w:rsidTr="000E22DE">
        <w:tc>
          <w:tcPr>
            <w:tcW w:w="3443"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29F1F849" w14:textId="77777777" w:rsidR="00730DE4" w:rsidRPr="00730DE4" w:rsidRDefault="00730DE4" w:rsidP="008E4B6C">
            <w:pPr>
              <w:pStyle w:val="NoSpacing"/>
              <w:rPr>
                <w:color w:val="080C0F" w:themeColor="text1"/>
              </w:rPr>
            </w:pPr>
            <w:r w:rsidRPr="00730DE4">
              <w:rPr>
                <w:rStyle w:val="Strong"/>
              </w:rPr>
              <w:t>Total</w:t>
            </w:r>
          </w:p>
        </w:tc>
        <w:tc>
          <w:tcPr>
            <w:tcW w:w="778"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42CED7DF" w14:textId="77777777" w:rsidR="00730DE4" w:rsidRPr="00730DE4" w:rsidRDefault="00730DE4" w:rsidP="008E4B6C">
            <w:pPr>
              <w:pStyle w:val="NoSpacing"/>
              <w:jc w:val="right"/>
              <w:rPr>
                <w:color w:val="080C0F" w:themeColor="text1"/>
              </w:rPr>
            </w:pPr>
            <w:r w:rsidRPr="00730DE4">
              <w:rPr>
                <w:rStyle w:val="Strong"/>
              </w:rPr>
              <w:t xml:space="preserve">790,233 </w:t>
            </w:r>
          </w:p>
        </w:tc>
        <w:tc>
          <w:tcPr>
            <w:tcW w:w="779" w:type="pct"/>
            <w:tcBorders>
              <w:top w:val="single" w:sz="4" w:space="0" w:color="auto"/>
              <w:left w:val="dotted" w:sz="4" w:space="0" w:color="BFBFBF" w:themeColor="background1" w:themeShade="BF"/>
              <w:bottom w:val="double" w:sz="4" w:space="0" w:color="auto"/>
              <w:right w:val="nil"/>
            </w:tcBorders>
            <w:shd w:val="clear" w:color="auto" w:fill="auto"/>
            <w:noWrap/>
            <w:hideMark/>
          </w:tcPr>
          <w:p w14:paraId="143C5E35" w14:textId="77777777" w:rsidR="00730DE4" w:rsidRPr="00730DE4" w:rsidRDefault="00730DE4" w:rsidP="008E4B6C">
            <w:pPr>
              <w:pStyle w:val="NoSpacing"/>
              <w:jc w:val="right"/>
              <w:rPr>
                <w:rStyle w:val="Strong"/>
              </w:rPr>
            </w:pPr>
            <w:r w:rsidRPr="00730DE4">
              <w:rPr>
                <w:rStyle w:val="Strong"/>
              </w:rPr>
              <w:t xml:space="preserve">796,688 </w:t>
            </w:r>
          </w:p>
        </w:tc>
      </w:tr>
    </w:tbl>
    <w:p w14:paraId="1798A772" w14:textId="77777777" w:rsidR="00730DE4" w:rsidRPr="00730DE4" w:rsidRDefault="00730DE4" w:rsidP="00942991">
      <w:pPr>
        <w:pStyle w:val="List0"/>
      </w:pPr>
      <w:r w:rsidRPr="00730DE4">
        <w:t>* Includes $20.990m in 2024 for relocation of third party assets as part of the Gold Coast Light Rail system Stage 3 project.</w:t>
      </w:r>
    </w:p>
    <w:p w14:paraId="565C8679" w14:textId="77777777" w:rsidR="00730DE4" w:rsidRPr="00730DE4" w:rsidRDefault="00730DE4" w:rsidP="004A5032">
      <w:pPr>
        <w:pStyle w:val="Heading5"/>
      </w:pPr>
      <w:r w:rsidRPr="00730DE4">
        <w:br w:type="page"/>
      </w:r>
    </w:p>
    <w:p w14:paraId="369FA36E" w14:textId="77777777" w:rsidR="00730DE4" w:rsidRPr="00730DE4" w:rsidRDefault="00730DE4" w:rsidP="00F517FD">
      <w:pPr>
        <w:pStyle w:val="Heading5"/>
      </w:pPr>
      <w:bookmarkStart w:id="1496" w:name="_Toc180490927"/>
      <w:bookmarkStart w:id="1497" w:name="_Toc180491960"/>
      <w:r w:rsidRPr="00730DE4">
        <w:t>9 Finance and borrowing costs</w:t>
      </w:r>
      <w:bookmarkEnd w:id="1496"/>
      <w:bookmarkEnd w:id="1497"/>
    </w:p>
    <w:tbl>
      <w:tblPr>
        <w:tblW w:w="5000" w:type="pct"/>
        <w:tblCellMar>
          <w:top w:w="23" w:type="dxa"/>
          <w:left w:w="23" w:type="dxa"/>
          <w:bottom w:w="23" w:type="dxa"/>
          <w:right w:w="23" w:type="dxa"/>
        </w:tblCellMar>
        <w:tblLook w:val="04A0" w:firstRow="1" w:lastRow="0" w:firstColumn="1" w:lastColumn="0" w:noHBand="0" w:noVBand="1"/>
      </w:tblPr>
      <w:tblGrid>
        <w:gridCol w:w="6246"/>
        <w:gridCol w:w="1413"/>
        <w:gridCol w:w="1411"/>
      </w:tblGrid>
      <w:tr w:rsidR="00730DE4" w:rsidRPr="00730DE4" w14:paraId="02177FE2" w14:textId="77777777" w:rsidTr="008A2F83">
        <w:trPr>
          <w:trHeight w:val="90"/>
        </w:trPr>
        <w:tc>
          <w:tcPr>
            <w:tcW w:w="3443" w:type="pct"/>
            <w:tcBorders>
              <w:top w:val="nil"/>
              <w:left w:val="nil"/>
              <w:bottom w:val="single" w:sz="4" w:space="0" w:color="auto"/>
              <w:right w:val="nil"/>
            </w:tcBorders>
            <w:shd w:val="clear" w:color="auto" w:fill="auto"/>
            <w:noWrap/>
            <w:vAlign w:val="bottom"/>
          </w:tcPr>
          <w:p w14:paraId="254D73C7" w14:textId="77777777" w:rsidR="00730DE4" w:rsidRPr="00730DE4" w:rsidRDefault="00730DE4" w:rsidP="00412C33">
            <w:pPr>
              <w:pStyle w:val="NoSpacing"/>
              <w:rPr>
                <w:rStyle w:val="Strong"/>
              </w:rPr>
            </w:pPr>
          </w:p>
        </w:tc>
        <w:tc>
          <w:tcPr>
            <w:tcW w:w="779" w:type="pct"/>
            <w:tcBorders>
              <w:top w:val="nil"/>
              <w:left w:val="nil"/>
              <w:bottom w:val="single" w:sz="4" w:space="0" w:color="auto"/>
              <w:right w:val="nil"/>
            </w:tcBorders>
            <w:shd w:val="clear" w:color="auto" w:fill="auto"/>
            <w:noWrap/>
            <w:vAlign w:val="bottom"/>
            <w:hideMark/>
          </w:tcPr>
          <w:p w14:paraId="275F5157" w14:textId="77777777" w:rsidR="00730DE4" w:rsidRPr="00730DE4" w:rsidRDefault="00730DE4" w:rsidP="008E4B6C">
            <w:pPr>
              <w:pStyle w:val="NoSpacing"/>
              <w:jc w:val="right"/>
              <w:rPr>
                <w:color w:val="080C0F" w:themeColor="text1"/>
              </w:rPr>
            </w:pPr>
            <w:r w:rsidRPr="00730DE4">
              <w:rPr>
                <w:rStyle w:val="Strong"/>
              </w:rPr>
              <w:t xml:space="preserve">2024 </w:t>
            </w:r>
            <w:r w:rsidRPr="00730DE4">
              <w:rPr>
                <w:rStyle w:val="Strong"/>
              </w:rPr>
              <w:br/>
              <w:t>$'000</w:t>
            </w:r>
          </w:p>
        </w:tc>
        <w:tc>
          <w:tcPr>
            <w:tcW w:w="778" w:type="pct"/>
            <w:tcBorders>
              <w:top w:val="nil"/>
              <w:left w:val="nil"/>
              <w:bottom w:val="single" w:sz="4" w:space="0" w:color="auto"/>
              <w:right w:val="nil"/>
            </w:tcBorders>
            <w:shd w:val="clear" w:color="auto" w:fill="auto"/>
            <w:noWrap/>
            <w:vAlign w:val="bottom"/>
            <w:hideMark/>
          </w:tcPr>
          <w:p w14:paraId="0EC04B5A" w14:textId="77777777" w:rsidR="00730DE4" w:rsidRPr="00730DE4" w:rsidRDefault="00730DE4" w:rsidP="008E4B6C">
            <w:pPr>
              <w:pStyle w:val="NoSpacing"/>
              <w:jc w:val="right"/>
              <w:rPr>
                <w:color w:val="080C0F" w:themeColor="text1"/>
              </w:rPr>
            </w:pPr>
            <w:r w:rsidRPr="00730DE4">
              <w:rPr>
                <w:rStyle w:val="Strong"/>
              </w:rPr>
              <w:t xml:space="preserve">2023 </w:t>
            </w:r>
            <w:r w:rsidRPr="00730DE4">
              <w:rPr>
                <w:rStyle w:val="Strong"/>
              </w:rPr>
              <w:br/>
              <w:t>$'000</w:t>
            </w:r>
          </w:p>
        </w:tc>
      </w:tr>
      <w:tr w:rsidR="00730DE4" w:rsidRPr="00730DE4" w14:paraId="283ED934" w14:textId="77777777" w:rsidTr="008A2F83">
        <w:trPr>
          <w:trHeight w:val="240"/>
        </w:trPr>
        <w:tc>
          <w:tcPr>
            <w:tcW w:w="3443"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vAlign w:val="center"/>
            <w:hideMark/>
          </w:tcPr>
          <w:p w14:paraId="5A91BFD1" w14:textId="77777777" w:rsidR="00730DE4" w:rsidRPr="00730DE4" w:rsidRDefault="00730DE4" w:rsidP="00477185">
            <w:pPr>
              <w:pStyle w:val="NoSpacing"/>
              <w:rPr>
                <w:color w:val="080C0F" w:themeColor="text1"/>
              </w:rPr>
            </w:pPr>
            <w:r w:rsidRPr="00730DE4">
              <w:rPr>
                <w:color w:val="080C0F" w:themeColor="text1"/>
              </w:rPr>
              <w:t>Interest on lease liabilities</w:t>
            </w:r>
          </w:p>
        </w:tc>
        <w:tc>
          <w:tcPr>
            <w:tcW w:w="779"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478900B" w14:textId="77777777" w:rsidR="00730DE4" w:rsidRPr="00730DE4" w:rsidRDefault="00730DE4" w:rsidP="008E4B6C">
            <w:pPr>
              <w:pStyle w:val="NoSpacing"/>
              <w:jc w:val="right"/>
              <w:rPr>
                <w:color w:val="080C0F" w:themeColor="text1"/>
              </w:rPr>
            </w:pPr>
            <w:r w:rsidRPr="00730DE4">
              <w:rPr>
                <w:color w:val="080C0F" w:themeColor="text1"/>
              </w:rPr>
              <w:t xml:space="preserve">3,283 </w:t>
            </w:r>
          </w:p>
        </w:tc>
        <w:tc>
          <w:tcPr>
            <w:tcW w:w="778"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403ABBAE" w14:textId="77777777" w:rsidR="00730DE4" w:rsidRPr="00730DE4" w:rsidRDefault="00730DE4" w:rsidP="008E4B6C">
            <w:pPr>
              <w:pStyle w:val="NoSpacing"/>
              <w:jc w:val="right"/>
              <w:rPr>
                <w:color w:val="080C0F" w:themeColor="text1"/>
              </w:rPr>
            </w:pPr>
            <w:r w:rsidRPr="00730DE4">
              <w:rPr>
                <w:color w:val="080C0F" w:themeColor="text1"/>
              </w:rPr>
              <w:t xml:space="preserve">376 </w:t>
            </w:r>
          </w:p>
        </w:tc>
      </w:tr>
      <w:tr w:rsidR="00730DE4" w:rsidRPr="00730DE4" w14:paraId="0A6F384B" w14:textId="77777777" w:rsidTr="008A2F83">
        <w:trPr>
          <w:trHeight w:val="240"/>
        </w:trPr>
        <w:tc>
          <w:tcPr>
            <w:tcW w:w="3443"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center"/>
            <w:hideMark/>
          </w:tcPr>
          <w:p w14:paraId="0E1F7550" w14:textId="77777777" w:rsidR="00730DE4" w:rsidRPr="00730DE4" w:rsidRDefault="00730DE4" w:rsidP="00477185">
            <w:pPr>
              <w:pStyle w:val="NoSpacing"/>
              <w:rPr>
                <w:color w:val="080C0F" w:themeColor="text1"/>
              </w:rPr>
            </w:pPr>
            <w:r w:rsidRPr="00730DE4">
              <w:rPr>
                <w:color w:val="080C0F" w:themeColor="text1"/>
              </w:rPr>
              <w:t>Interest on service concession arrangements</w:t>
            </w:r>
          </w:p>
        </w:tc>
        <w:tc>
          <w:tcPr>
            <w:tcW w:w="77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7E4343C" w14:textId="77777777" w:rsidR="00730DE4" w:rsidRPr="00730DE4" w:rsidRDefault="00730DE4" w:rsidP="008E4B6C">
            <w:pPr>
              <w:pStyle w:val="NoSpacing"/>
              <w:jc w:val="right"/>
              <w:rPr>
                <w:color w:val="080C0F" w:themeColor="text1"/>
              </w:rPr>
            </w:pPr>
            <w:r w:rsidRPr="00730DE4">
              <w:rPr>
                <w:color w:val="080C0F" w:themeColor="text1"/>
              </w:rPr>
              <w:t xml:space="preserve">41,552 </w:t>
            </w:r>
          </w:p>
        </w:tc>
        <w:tc>
          <w:tcPr>
            <w:tcW w:w="77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8B4C826" w14:textId="77777777" w:rsidR="00730DE4" w:rsidRPr="00730DE4" w:rsidRDefault="00730DE4" w:rsidP="008E4B6C">
            <w:pPr>
              <w:pStyle w:val="NoSpacing"/>
              <w:jc w:val="right"/>
              <w:rPr>
                <w:color w:val="080C0F" w:themeColor="text1"/>
              </w:rPr>
            </w:pPr>
            <w:r w:rsidRPr="00730DE4">
              <w:rPr>
                <w:color w:val="080C0F" w:themeColor="text1"/>
              </w:rPr>
              <w:t xml:space="preserve">46,604 </w:t>
            </w:r>
          </w:p>
        </w:tc>
      </w:tr>
      <w:tr w:rsidR="00730DE4" w:rsidRPr="00730DE4" w14:paraId="3CF90448" w14:textId="77777777" w:rsidTr="000E22DE">
        <w:trPr>
          <w:trHeight w:val="240"/>
        </w:trPr>
        <w:tc>
          <w:tcPr>
            <w:tcW w:w="3443"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center"/>
            <w:hideMark/>
          </w:tcPr>
          <w:p w14:paraId="67CF4A98" w14:textId="77777777" w:rsidR="00730DE4" w:rsidRPr="00730DE4" w:rsidRDefault="00730DE4" w:rsidP="00477185">
            <w:pPr>
              <w:pStyle w:val="NoSpacing"/>
              <w:rPr>
                <w:color w:val="080C0F" w:themeColor="text1"/>
              </w:rPr>
            </w:pPr>
            <w:r w:rsidRPr="00730DE4">
              <w:rPr>
                <w:color w:val="080C0F" w:themeColor="text1"/>
              </w:rPr>
              <w:t>Interest on New Generation Rollingstock arrangement</w:t>
            </w:r>
          </w:p>
        </w:tc>
        <w:tc>
          <w:tcPr>
            <w:tcW w:w="77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66D8FA6" w14:textId="77777777" w:rsidR="00730DE4" w:rsidRPr="00730DE4" w:rsidRDefault="00730DE4" w:rsidP="008E4B6C">
            <w:pPr>
              <w:pStyle w:val="NoSpacing"/>
              <w:jc w:val="right"/>
              <w:rPr>
                <w:color w:val="080C0F" w:themeColor="text1"/>
              </w:rPr>
            </w:pPr>
            <w:r w:rsidRPr="00730DE4">
              <w:rPr>
                <w:color w:val="080C0F" w:themeColor="text1"/>
              </w:rPr>
              <w:t xml:space="preserve">57,790 </w:t>
            </w:r>
          </w:p>
        </w:tc>
        <w:tc>
          <w:tcPr>
            <w:tcW w:w="77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42C9266" w14:textId="77777777" w:rsidR="00730DE4" w:rsidRPr="00730DE4" w:rsidRDefault="00730DE4" w:rsidP="008E4B6C">
            <w:pPr>
              <w:pStyle w:val="NoSpacing"/>
              <w:jc w:val="right"/>
              <w:rPr>
                <w:color w:val="080C0F" w:themeColor="text1"/>
              </w:rPr>
            </w:pPr>
            <w:r w:rsidRPr="00730DE4">
              <w:rPr>
                <w:color w:val="080C0F" w:themeColor="text1"/>
              </w:rPr>
              <w:t xml:space="preserve">50,297 </w:t>
            </w:r>
          </w:p>
        </w:tc>
      </w:tr>
      <w:tr w:rsidR="00730DE4" w:rsidRPr="00730DE4" w14:paraId="276A1EA9" w14:textId="77777777" w:rsidTr="000E22DE">
        <w:trPr>
          <w:trHeight w:val="240"/>
        </w:trPr>
        <w:tc>
          <w:tcPr>
            <w:tcW w:w="3443"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center"/>
            <w:hideMark/>
          </w:tcPr>
          <w:p w14:paraId="382624F5" w14:textId="77777777" w:rsidR="00730DE4" w:rsidRPr="00730DE4" w:rsidRDefault="00730DE4" w:rsidP="00477185">
            <w:pPr>
              <w:pStyle w:val="NoSpacing"/>
              <w:rPr>
                <w:color w:val="080C0F" w:themeColor="text1"/>
              </w:rPr>
            </w:pPr>
            <w:r w:rsidRPr="00730DE4">
              <w:rPr>
                <w:color w:val="080C0F" w:themeColor="text1"/>
              </w:rPr>
              <w:t>Other</w:t>
            </w:r>
          </w:p>
        </w:tc>
        <w:tc>
          <w:tcPr>
            <w:tcW w:w="779"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2A64ACF0" w14:textId="77777777" w:rsidR="00730DE4" w:rsidRPr="00730DE4" w:rsidRDefault="00730DE4" w:rsidP="008E4B6C">
            <w:pPr>
              <w:pStyle w:val="NoSpacing"/>
              <w:jc w:val="right"/>
              <w:rPr>
                <w:color w:val="080C0F" w:themeColor="text1"/>
              </w:rPr>
            </w:pPr>
            <w:r w:rsidRPr="00730DE4">
              <w:rPr>
                <w:color w:val="080C0F" w:themeColor="text1"/>
              </w:rPr>
              <w:t xml:space="preserve">20 </w:t>
            </w:r>
          </w:p>
        </w:tc>
        <w:tc>
          <w:tcPr>
            <w:tcW w:w="778"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734B362C" w14:textId="77777777" w:rsidR="00730DE4" w:rsidRPr="00730DE4" w:rsidRDefault="00730DE4" w:rsidP="008E4B6C">
            <w:pPr>
              <w:pStyle w:val="NoSpacing"/>
              <w:jc w:val="right"/>
              <w:rPr>
                <w:color w:val="080C0F" w:themeColor="text1"/>
              </w:rPr>
            </w:pPr>
            <w:r w:rsidRPr="00730DE4">
              <w:rPr>
                <w:color w:val="080C0F" w:themeColor="text1"/>
              </w:rPr>
              <w:t xml:space="preserve">- </w:t>
            </w:r>
          </w:p>
        </w:tc>
      </w:tr>
      <w:tr w:rsidR="00730DE4" w:rsidRPr="00730DE4" w14:paraId="49DC0239" w14:textId="77777777" w:rsidTr="000E22DE">
        <w:tc>
          <w:tcPr>
            <w:tcW w:w="3443"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2D2709CB" w14:textId="77777777" w:rsidR="00730DE4" w:rsidRPr="00730DE4" w:rsidRDefault="00730DE4" w:rsidP="008E4B6C">
            <w:pPr>
              <w:pStyle w:val="NoSpacing"/>
              <w:rPr>
                <w:color w:val="080C0F" w:themeColor="text1"/>
              </w:rPr>
            </w:pPr>
            <w:r w:rsidRPr="00730DE4">
              <w:rPr>
                <w:rStyle w:val="Strong"/>
              </w:rPr>
              <w:t>Total</w:t>
            </w:r>
          </w:p>
        </w:tc>
        <w:tc>
          <w:tcPr>
            <w:tcW w:w="779"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4DAF86C3" w14:textId="77777777" w:rsidR="00730DE4" w:rsidRPr="00730DE4" w:rsidRDefault="00730DE4" w:rsidP="008E4B6C">
            <w:pPr>
              <w:pStyle w:val="NoSpacing"/>
              <w:jc w:val="right"/>
              <w:rPr>
                <w:color w:val="080C0F" w:themeColor="text1"/>
              </w:rPr>
            </w:pPr>
            <w:r w:rsidRPr="00730DE4">
              <w:rPr>
                <w:rStyle w:val="Strong"/>
              </w:rPr>
              <w:t xml:space="preserve">102,645 </w:t>
            </w:r>
          </w:p>
        </w:tc>
        <w:tc>
          <w:tcPr>
            <w:tcW w:w="778" w:type="pct"/>
            <w:tcBorders>
              <w:top w:val="single" w:sz="4" w:space="0" w:color="auto"/>
              <w:left w:val="dotted" w:sz="4" w:space="0" w:color="BFBFBF" w:themeColor="background1" w:themeShade="BF"/>
              <w:bottom w:val="double" w:sz="4" w:space="0" w:color="auto"/>
              <w:right w:val="nil"/>
            </w:tcBorders>
            <w:shd w:val="clear" w:color="auto" w:fill="auto"/>
            <w:noWrap/>
            <w:hideMark/>
          </w:tcPr>
          <w:p w14:paraId="61D1D4C2" w14:textId="77777777" w:rsidR="00730DE4" w:rsidRPr="00730DE4" w:rsidRDefault="00730DE4" w:rsidP="008E4B6C">
            <w:pPr>
              <w:pStyle w:val="NoSpacing"/>
              <w:jc w:val="right"/>
              <w:rPr>
                <w:rStyle w:val="Strong"/>
              </w:rPr>
            </w:pPr>
            <w:r w:rsidRPr="00730DE4">
              <w:rPr>
                <w:rStyle w:val="Strong"/>
              </w:rPr>
              <w:t xml:space="preserve">97,277 </w:t>
            </w:r>
          </w:p>
        </w:tc>
      </w:tr>
    </w:tbl>
    <w:p w14:paraId="184E2631" w14:textId="77777777" w:rsidR="00730DE4" w:rsidRPr="00730DE4" w:rsidRDefault="00730DE4" w:rsidP="003C13D4">
      <w:pPr>
        <w:rPr>
          <w:rStyle w:val="Strong"/>
        </w:rPr>
      </w:pPr>
      <w:r w:rsidRPr="00730DE4">
        <w:rPr>
          <w:rStyle w:val="Strong"/>
        </w:rPr>
        <w:t>Accounting policy</w:t>
      </w:r>
    </w:p>
    <w:p w14:paraId="091BE558" w14:textId="77777777" w:rsidR="00730DE4" w:rsidRPr="00730DE4" w:rsidRDefault="00730DE4" w:rsidP="00E8611B">
      <w:pPr>
        <w:rPr>
          <w:color w:val="080C0F" w:themeColor="text1"/>
        </w:rPr>
      </w:pPr>
      <w:r w:rsidRPr="00730DE4">
        <w:rPr>
          <w:color w:val="080C0F" w:themeColor="text1"/>
        </w:rPr>
        <w:t>Finance costs are recognised as an expense in the period in which they are incurred. No borrowing costs are capitalised into qualifying assets.</w:t>
      </w:r>
    </w:p>
    <w:p w14:paraId="0E3A15A6" w14:textId="77777777" w:rsidR="00730DE4" w:rsidRPr="00730DE4" w:rsidRDefault="00730DE4" w:rsidP="00F517FD">
      <w:pPr>
        <w:pStyle w:val="Heading5"/>
      </w:pPr>
      <w:bookmarkStart w:id="1498" w:name="_Toc180490928"/>
      <w:bookmarkStart w:id="1499" w:name="_Toc180491961"/>
      <w:r w:rsidRPr="00730DE4">
        <w:t>10 Depreciation and amortisation</w:t>
      </w:r>
      <w:bookmarkEnd w:id="1498"/>
      <w:bookmarkEnd w:id="1499"/>
    </w:p>
    <w:tbl>
      <w:tblPr>
        <w:tblW w:w="5000" w:type="pct"/>
        <w:tblCellMar>
          <w:top w:w="23" w:type="dxa"/>
          <w:left w:w="23" w:type="dxa"/>
          <w:bottom w:w="23" w:type="dxa"/>
          <w:right w:w="23" w:type="dxa"/>
        </w:tblCellMar>
        <w:tblLook w:val="04A0" w:firstRow="1" w:lastRow="0" w:firstColumn="1" w:lastColumn="0" w:noHBand="0" w:noVBand="1"/>
      </w:tblPr>
      <w:tblGrid>
        <w:gridCol w:w="6244"/>
        <w:gridCol w:w="1413"/>
        <w:gridCol w:w="1413"/>
      </w:tblGrid>
      <w:tr w:rsidR="00730DE4" w:rsidRPr="00730DE4" w14:paraId="7D4653AB" w14:textId="77777777" w:rsidTr="008A2F83">
        <w:trPr>
          <w:trHeight w:val="227"/>
        </w:trPr>
        <w:tc>
          <w:tcPr>
            <w:tcW w:w="3442" w:type="pct"/>
            <w:tcBorders>
              <w:top w:val="nil"/>
              <w:left w:val="nil"/>
              <w:bottom w:val="single" w:sz="4" w:space="0" w:color="auto"/>
              <w:right w:val="nil"/>
            </w:tcBorders>
            <w:shd w:val="clear" w:color="auto" w:fill="auto"/>
            <w:noWrap/>
            <w:vAlign w:val="bottom"/>
          </w:tcPr>
          <w:p w14:paraId="655D2904" w14:textId="77777777" w:rsidR="00730DE4" w:rsidRPr="00730DE4" w:rsidRDefault="00730DE4" w:rsidP="008E4B6C">
            <w:pPr>
              <w:pStyle w:val="NoSpacing"/>
              <w:rPr>
                <w:rStyle w:val="Strong"/>
              </w:rPr>
            </w:pPr>
          </w:p>
        </w:tc>
        <w:tc>
          <w:tcPr>
            <w:tcW w:w="779" w:type="pct"/>
            <w:tcBorders>
              <w:top w:val="nil"/>
              <w:left w:val="nil"/>
              <w:bottom w:val="single" w:sz="4" w:space="0" w:color="auto"/>
              <w:right w:val="nil"/>
            </w:tcBorders>
            <w:shd w:val="clear" w:color="auto" w:fill="auto"/>
            <w:noWrap/>
            <w:vAlign w:val="bottom"/>
            <w:hideMark/>
          </w:tcPr>
          <w:p w14:paraId="41FB62A2" w14:textId="77777777" w:rsidR="00730DE4" w:rsidRPr="00730DE4" w:rsidRDefault="00730DE4" w:rsidP="008E4B6C">
            <w:pPr>
              <w:pStyle w:val="NoSpacing"/>
              <w:jc w:val="right"/>
              <w:rPr>
                <w:color w:val="080C0F" w:themeColor="text1"/>
              </w:rPr>
            </w:pPr>
            <w:r w:rsidRPr="00730DE4">
              <w:rPr>
                <w:rStyle w:val="Strong"/>
              </w:rPr>
              <w:t xml:space="preserve">2024 </w:t>
            </w:r>
            <w:r w:rsidRPr="00730DE4">
              <w:rPr>
                <w:rStyle w:val="Strong"/>
              </w:rPr>
              <w:br/>
              <w:t>$'000</w:t>
            </w:r>
          </w:p>
        </w:tc>
        <w:tc>
          <w:tcPr>
            <w:tcW w:w="779" w:type="pct"/>
            <w:tcBorders>
              <w:top w:val="nil"/>
              <w:left w:val="nil"/>
              <w:bottom w:val="single" w:sz="4" w:space="0" w:color="auto"/>
              <w:right w:val="nil"/>
            </w:tcBorders>
            <w:shd w:val="clear" w:color="auto" w:fill="auto"/>
            <w:noWrap/>
            <w:vAlign w:val="bottom"/>
            <w:hideMark/>
          </w:tcPr>
          <w:p w14:paraId="6403B512" w14:textId="77777777" w:rsidR="00730DE4" w:rsidRPr="00730DE4" w:rsidRDefault="00730DE4" w:rsidP="008E4B6C">
            <w:pPr>
              <w:pStyle w:val="NoSpacing"/>
              <w:jc w:val="right"/>
              <w:rPr>
                <w:color w:val="080C0F" w:themeColor="text1"/>
              </w:rPr>
            </w:pPr>
            <w:r w:rsidRPr="00730DE4">
              <w:rPr>
                <w:rStyle w:val="Strong"/>
              </w:rPr>
              <w:t xml:space="preserve">2023 </w:t>
            </w:r>
            <w:r w:rsidRPr="00730DE4">
              <w:rPr>
                <w:rStyle w:val="Strong"/>
              </w:rPr>
              <w:br/>
              <w:t>$'000</w:t>
            </w:r>
          </w:p>
        </w:tc>
      </w:tr>
      <w:tr w:rsidR="00730DE4" w:rsidRPr="00730DE4" w14:paraId="2DCF00AB" w14:textId="77777777" w:rsidTr="000E22DE">
        <w:trPr>
          <w:trHeight w:val="454"/>
        </w:trPr>
        <w:tc>
          <w:tcPr>
            <w:tcW w:w="3442"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0E04C90D" w14:textId="77777777" w:rsidR="00730DE4" w:rsidRPr="00730DE4" w:rsidRDefault="00730DE4" w:rsidP="008E4B6C">
            <w:pPr>
              <w:pStyle w:val="NoSpacing"/>
              <w:rPr>
                <w:color w:val="080C0F" w:themeColor="text1"/>
              </w:rPr>
            </w:pPr>
            <w:r w:rsidRPr="00730DE4">
              <w:rPr>
                <w:rStyle w:val="Strong"/>
              </w:rPr>
              <w:t>Depreciation incurred for property, plant and equipment</w:t>
            </w:r>
          </w:p>
        </w:tc>
        <w:tc>
          <w:tcPr>
            <w:tcW w:w="779"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8A1A9FF" w14:textId="77777777" w:rsidR="00730DE4" w:rsidRPr="00730DE4" w:rsidRDefault="00730DE4" w:rsidP="008E4B6C">
            <w:pPr>
              <w:pStyle w:val="NoSpacing"/>
              <w:jc w:val="right"/>
              <w:rPr>
                <w:rStyle w:val="Strong"/>
              </w:rPr>
            </w:pPr>
          </w:p>
        </w:tc>
        <w:tc>
          <w:tcPr>
            <w:tcW w:w="779"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D039745" w14:textId="77777777" w:rsidR="00730DE4" w:rsidRPr="00730DE4" w:rsidRDefault="00730DE4" w:rsidP="008E4B6C">
            <w:pPr>
              <w:pStyle w:val="NoSpacing"/>
              <w:jc w:val="right"/>
              <w:rPr>
                <w:color w:val="080C0F" w:themeColor="text1"/>
              </w:rPr>
            </w:pPr>
          </w:p>
        </w:tc>
      </w:tr>
      <w:tr w:rsidR="00730DE4" w:rsidRPr="00730DE4" w14:paraId="22EC0DB4" w14:textId="77777777" w:rsidTr="008A2F83">
        <w:trPr>
          <w:trHeight w:val="227"/>
        </w:trPr>
        <w:tc>
          <w:tcPr>
            <w:tcW w:w="344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9596859" w14:textId="77777777" w:rsidR="00730DE4" w:rsidRPr="00730DE4" w:rsidRDefault="00730DE4" w:rsidP="008E4B6C">
            <w:pPr>
              <w:pStyle w:val="NoSpacing"/>
              <w:rPr>
                <w:color w:val="080C0F" w:themeColor="text1"/>
              </w:rPr>
            </w:pPr>
            <w:r w:rsidRPr="00730DE4">
              <w:rPr>
                <w:color w:val="080C0F" w:themeColor="text1"/>
              </w:rPr>
              <w:t xml:space="preserve">Buildings </w:t>
            </w:r>
          </w:p>
        </w:tc>
        <w:tc>
          <w:tcPr>
            <w:tcW w:w="77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605226D" w14:textId="77777777" w:rsidR="00730DE4" w:rsidRPr="00730DE4" w:rsidRDefault="00730DE4" w:rsidP="008E4B6C">
            <w:pPr>
              <w:pStyle w:val="NoSpacing"/>
              <w:jc w:val="right"/>
              <w:rPr>
                <w:color w:val="080C0F" w:themeColor="text1"/>
              </w:rPr>
            </w:pPr>
            <w:r w:rsidRPr="00730DE4">
              <w:rPr>
                <w:color w:val="080C0F" w:themeColor="text1"/>
              </w:rPr>
              <w:t xml:space="preserve">81,987 </w:t>
            </w:r>
          </w:p>
        </w:tc>
        <w:tc>
          <w:tcPr>
            <w:tcW w:w="779"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E06B8CB" w14:textId="77777777" w:rsidR="00730DE4" w:rsidRPr="00730DE4" w:rsidRDefault="00730DE4" w:rsidP="008E4B6C">
            <w:pPr>
              <w:pStyle w:val="NoSpacing"/>
              <w:jc w:val="right"/>
              <w:rPr>
                <w:color w:val="080C0F" w:themeColor="text1"/>
              </w:rPr>
            </w:pPr>
            <w:r w:rsidRPr="00730DE4">
              <w:rPr>
                <w:color w:val="080C0F" w:themeColor="text1"/>
              </w:rPr>
              <w:t xml:space="preserve">59,991 </w:t>
            </w:r>
          </w:p>
        </w:tc>
      </w:tr>
      <w:tr w:rsidR="00730DE4" w:rsidRPr="00730DE4" w14:paraId="338D75EF" w14:textId="77777777" w:rsidTr="008A2F83">
        <w:trPr>
          <w:trHeight w:val="227"/>
        </w:trPr>
        <w:tc>
          <w:tcPr>
            <w:tcW w:w="344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54D67095" w14:textId="77777777" w:rsidR="00730DE4" w:rsidRPr="00730DE4" w:rsidRDefault="00730DE4" w:rsidP="008E4B6C">
            <w:pPr>
              <w:pStyle w:val="NoSpacing"/>
              <w:rPr>
                <w:color w:val="080C0F" w:themeColor="text1"/>
              </w:rPr>
            </w:pPr>
            <w:r w:rsidRPr="00730DE4">
              <w:rPr>
                <w:color w:val="080C0F" w:themeColor="text1"/>
              </w:rPr>
              <w:t>Plant and equipment</w:t>
            </w:r>
          </w:p>
        </w:tc>
        <w:tc>
          <w:tcPr>
            <w:tcW w:w="77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1A9D4D4" w14:textId="77777777" w:rsidR="00730DE4" w:rsidRPr="00730DE4" w:rsidRDefault="00730DE4" w:rsidP="008E4B6C">
            <w:pPr>
              <w:pStyle w:val="NoSpacing"/>
              <w:jc w:val="right"/>
              <w:rPr>
                <w:color w:val="080C0F" w:themeColor="text1"/>
              </w:rPr>
            </w:pPr>
            <w:r w:rsidRPr="00730DE4">
              <w:rPr>
                <w:color w:val="080C0F" w:themeColor="text1"/>
              </w:rPr>
              <w:t xml:space="preserve">43,453 </w:t>
            </w:r>
          </w:p>
        </w:tc>
        <w:tc>
          <w:tcPr>
            <w:tcW w:w="779"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B56948C" w14:textId="77777777" w:rsidR="00730DE4" w:rsidRPr="00730DE4" w:rsidRDefault="00730DE4" w:rsidP="008E4B6C">
            <w:pPr>
              <w:pStyle w:val="NoSpacing"/>
              <w:jc w:val="right"/>
              <w:rPr>
                <w:color w:val="080C0F" w:themeColor="text1"/>
              </w:rPr>
            </w:pPr>
            <w:r w:rsidRPr="00730DE4">
              <w:rPr>
                <w:color w:val="080C0F" w:themeColor="text1"/>
              </w:rPr>
              <w:t xml:space="preserve">40,406 </w:t>
            </w:r>
          </w:p>
        </w:tc>
      </w:tr>
      <w:tr w:rsidR="00730DE4" w:rsidRPr="00730DE4" w14:paraId="63B7A29E" w14:textId="77777777" w:rsidTr="008A2F83">
        <w:trPr>
          <w:trHeight w:val="227"/>
        </w:trPr>
        <w:tc>
          <w:tcPr>
            <w:tcW w:w="344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54F218B5" w14:textId="77777777" w:rsidR="00730DE4" w:rsidRPr="00730DE4" w:rsidRDefault="00730DE4" w:rsidP="008E4B6C">
            <w:pPr>
              <w:pStyle w:val="NoSpacing"/>
              <w:rPr>
                <w:color w:val="080C0F" w:themeColor="text1"/>
              </w:rPr>
            </w:pPr>
            <w:r w:rsidRPr="00730DE4">
              <w:rPr>
                <w:color w:val="080C0F" w:themeColor="text1"/>
              </w:rPr>
              <w:t>Major plant and equipment</w:t>
            </w:r>
          </w:p>
        </w:tc>
        <w:tc>
          <w:tcPr>
            <w:tcW w:w="77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6AAAB26" w14:textId="77777777" w:rsidR="00730DE4" w:rsidRPr="00730DE4" w:rsidRDefault="00730DE4" w:rsidP="008E4B6C">
            <w:pPr>
              <w:pStyle w:val="NoSpacing"/>
              <w:jc w:val="right"/>
              <w:rPr>
                <w:color w:val="080C0F" w:themeColor="text1"/>
              </w:rPr>
            </w:pPr>
            <w:r w:rsidRPr="00730DE4">
              <w:rPr>
                <w:color w:val="080C0F" w:themeColor="text1"/>
              </w:rPr>
              <w:t xml:space="preserve">53,928 </w:t>
            </w:r>
          </w:p>
        </w:tc>
        <w:tc>
          <w:tcPr>
            <w:tcW w:w="779"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C74B103" w14:textId="77777777" w:rsidR="00730DE4" w:rsidRPr="00730DE4" w:rsidRDefault="00730DE4" w:rsidP="008E4B6C">
            <w:pPr>
              <w:pStyle w:val="NoSpacing"/>
              <w:jc w:val="right"/>
              <w:rPr>
                <w:color w:val="080C0F" w:themeColor="text1"/>
              </w:rPr>
            </w:pPr>
            <w:r w:rsidRPr="00730DE4">
              <w:rPr>
                <w:color w:val="080C0F" w:themeColor="text1"/>
              </w:rPr>
              <w:t xml:space="preserve">46,951 </w:t>
            </w:r>
          </w:p>
        </w:tc>
      </w:tr>
      <w:tr w:rsidR="00730DE4" w:rsidRPr="00730DE4" w14:paraId="6DC952CE" w14:textId="77777777" w:rsidTr="008A2F83">
        <w:trPr>
          <w:trHeight w:val="227"/>
        </w:trPr>
        <w:tc>
          <w:tcPr>
            <w:tcW w:w="344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16E68222" w14:textId="77777777" w:rsidR="00730DE4" w:rsidRPr="00730DE4" w:rsidRDefault="00730DE4" w:rsidP="008E4B6C">
            <w:pPr>
              <w:pStyle w:val="NoSpacing"/>
              <w:rPr>
                <w:color w:val="080C0F" w:themeColor="text1"/>
              </w:rPr>
            </w:pPr>
            <w:r w:rsidRPr="00730DE4">
              <w:rPr>
                <w:color w:val="080C0F" w:themeColor="text1"/>
              </w:rPr>
              <w:t>Infrastructure</w:t>
            </w:r>
          </w:p>
        </w:tc>
        <w:tc>
          <w:tcPr>
            <w:tcW w:w="77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41B1A0F" w14:textId="77777777" w:rsidR="00730DE4" w:rsidRPr="00730DE4" w:rsidRDefault="00730DE4" w:rsidP="008E4B6C">
            <w:pPr>
              <w:pStyle w:val="NoSpacing"/>
              <w:jc w:val="right"/>
              <w:rPr>
                <w:color w:val="080C0F" w:themeColor="text1"/>
              </w:rPr>
            </w:pPr>
            <w:r w:rsidRPr="00730DE4">
              <w:rPr>
                <w:color w:val="080C0F" w:themeColor="text1"/>
              </w:rPr>
              <w:t xml:space="preserve">1,222,130 </w:t>
            </w:r>
          </w:p>
        </w:tc>
        <w:tc>
          <w:tcPr>
            <w:tcW w:w="779"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EC384C5" w14:textId="77777777" w:rsidR="00730DE4" w:rsidRPr="00730DE4" w:rsidRDefault="00730DE4" w:rsidP="008E4B6C">
            <w:pPr>
              <w:pStyle w:val="NoSpacing"/>
              <w:jc w:val="right"/>
              <w:rPr>
                <w:color w:val="080C0F" w:themeColor="text1"/>
              </w:rPr>
            </w:pPr>
            <w:r w:rsidRPr="00730DE4">
              <w:rPr>
                <w:color w:val="080C0F" w:themeColor="text1"/>
              </w:rPr>
              <w:t xml:space="preserve">1,157,193 </w:t>
            </w:r>
          </w:p>
        </w:tc>
      </w:tr>
      <w:tr w:rsidR="00730DE4" w:rsidRPr="00730DE4" w14:paraId="4AC65795" w14:textId="77777777" w:rsidTr="000E22DE">
        <w:trPr>
          <w:trHeight w:val="227"/>
        </w:trPr>
        <w:tc>
          <w:tcPr>
            <w:tcW w:w="344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5F7A8F7C" w14:textId="77777777" w:rsidR="00730DE4" w:rsidRPr="00730DE4" w:rsidRDefault="00730DE4" w:rsidP="008E4B6C">
            <w:pPr>
              <w:pStyle w:val="NoSpacing"/>
              <w:rPr>
                <w:color w:val="080C0F" w:themeColor="text1"/>
              </w:rPr>
            </w:pPr>
            <w:r w:rsidRPr="00730DE4">
              <w:rPr>
                <w:color w:val="080C0F" w:themeColor="text1"/>
              </w:rPr>
              <w:t>Service concession assets</w:t>
            </w:r>
          </w:p>
        </w:tc>
        <w:tc>
          <w:tcPr>
            <w:tcW w:w="77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BDF828D" w14:textId="77777777" w:rsidR="00730DE4" w:rsidRPr="00730DE4" w:rsidRDefault="00730DE4" w:rsidP="008E4B6C">
            <w:pPr>
              <w:pStyle w:val="NoSpacing"/>
              <w:jc w:val="right"/>
              <w:rPr>
                <w:color w:val="080C0F" w:themeColor="text1"/>
              </w:rPr>
            </w:pPr>
            <w:r w:rsidRPr="00730DE4">
              <w:rPr>
                <w:color w:val="080C0F" w:themeColor="text1"/>
              </w:rPr>
              <w:t xml:space="preserve">205,028 </w:t>
            </w:r>
          </w:p>
        </w:tc>
        <w:tc>
          <w:tcPr>
            <w:tcW w:w="779"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48A05AC0" w14:textId="77777777" w:rsidR="00730DE4" w:rsidRPr="00730DE4" w:rsidRDefault="00730DE4" w:rsidP="008E4B6C">
            <w:pPr>
              <w:pStyle w:val="NoSpacing"/>
              <w:jc w:val="right"/>
              <w:rPr>
                <w:color w:val="080C0F" w:themeColor="text1"/>
              </w:rPr>
            </w:pPr>
            <w:r w:rsidRPr="00730DE4">
              <w:rPr>
                <w:color w:val="080C0F" w:themeColor="text1"/>
              </w:rPr>
              <w:t xml:space="preserve">188,033 </w:t>
            </w:r>
          </w:p>
        </w:tc>
      </w:tr>
      <w:tr w:rsidR="00730DE4" w:rsidRPr="00730DE4" w14:paraId="2FB3F97F" w14:textId="77777777" w:rsidTr="000E22DE">
        <w:trPr>
          <w:trHeight w:val="227"/>
        </w:trPr>
        <w:tc>
          <w:tcPr>
            <w:tcW w:w="3442"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361AD52F" w14:textId="77777777" w:rsidR="00730DE4" w:rsidRPr="00730DE4" w:rsidRDefault="00730DE4" w:rsidP="008E4B6C">
            <w:pPr>
              <w:pStyle w:val="NoSpacing"/>
              <w:rPr>
                <w:color w:val="080C0F" w:themeColor="text1"/>
              </w:rPr>
            </w:pPr>
            <w:r w:rsidRPr="00730DE4">
              <w:rPr>
                <w:color w:val="080C0F" w:themeColor="text1"/>
              </w:rPr>
              <w:t>Right-of-use assets</w:t>
            </w:r>
          </w:p>
        </w:tc>
        <w:tc>
          <w:tcPr>
            <w:tcW w:w="779"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3E712EB0" w14:textId="77777777" w:rsidR="00730DE4" w:rsidRPr="00730DE4" w:rsidRDefault="00730DE4" w:rsidP="008E4B6C">
            <w:pPr>
              <w:pStyle w:val="NoSpacing"/>
              <w:jc w:val="right"/>
              <w:rPr>
                <w:color w:val="080C0F" w:themeColor="text1"/>
              </w:rPr>
            </w:pPr>
            <w:r w:rsidRPr="00730DE4">
              <w:rPr>
                <w:color w:val="080C0F" w:themeColor="text1"/>
              </w:rPr>
              <w:t xml:space="preserve">25,583 </w:t>
            </w:r>
          </w:p>
        </w:tc>
        <w:tc>
          <w:tcPr>
            <w:tcW w:w="779"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1718DBC6" w14:textId="77777777" w:rsidR="00730DE4" w:rsidRPr="00730DE4" w:rsidRDefault="00730DE4" w:rsidP="008E4B6C">
            <w:pPr>
              <w:pStyle w:val="NoSpacing"/>
              <w:jc w:val="right"/>
              <w:rPr>
                <w:color w:val="080C0F" w:themeColor="text1"/>
              </w:rPr>
            </w:pPr>
            <w:r w:rsidRPr="00730DE4">
              <w:rPr>
                <w:color w:val="080C0F" w:themeColor="text1"/>
              </w:rPr>
              <w:t xml:space="preserve">2,304 </w:t>
            </w:r>
          </w:p>
        </w:tc>
      </w:tr>
      <w:tr w:rsidR="00730DE4" w:rsidRPr="00730DE4" w14:paraId="0D224C38" w14:textId="77777777" w:rsidTr="000E22DE">
        <w:tc>
          <w:tcPr>
            <w:tcW w:w="3442"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26774A51" w14:textId="77777777" w:rsidR="00730DE4" w:rsidRPr="00730DE4" w:rsidRDefault="00730DE4" w:rsidP="008E4B6C">
            <w:pPr>
              <w:pStyle w:val="NoSpacing"/>
              <w:rPr>
                <w:color w:val="080C0F" w:themeColor="text1"/>
              </w:rPr>
            </w:pPr>
            <w:r w:rsidRPr="00730DE4">
              <w:rPr>
                <w:rStyle w:val="Strong"/>
              </w:rPr>
              <w:t>Total</w:t>
            </w:r>
          </w:p>
        </w:tc>
        <w:tc>
          <w:tcPr>
            <w:tcW w:w="779"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496ABC59" w14:textId="77777777" w:rsidR="00730DE4" w:rsidRPr="00730DE4" w:rsidRDefault="00730DE4" w:rsidP="008E4B6C">
            <w:pPr>
              <w:pStyle w:val="NoSpacing"/>
              <w:jc w:val="right"/>
              <w:rPr>
                <w:color w:val="080C0F" w:themeColor="text1"/>
              </w:rPr>
            </w:pPr>
            <w:r w:rsidRPr="00730DE4">
              <w:rPr>
                <w:rStyle w:val="Strong"/>
              </w:rPr>
              <w:t xml:space="preserve">1,632,109 </w:t>
            </w:r>
          </w:p>
        </w:tc>
        <w:tc>
          <w:tcPr>
            <w:tcW w:w="779" w:type="pct"/>
            <w:tcBorders>
              <w:top w:val="single" w:sz="4" w:space="0" w:color="auto"/>
              <w:left w:val="dotted" w:sz="4" w:space="0" w:color="BFBFBF" w:themeColor="background1" w:themeShade="BF"/>
              <w:bottom w:val="double" w:sz="4" w:space="0" w:color="auto"/>
              <w:right w:val="nil"/>
            </w:tcBorders>
            <w:shd w:val="clear" w:color="auto" w:fill="auto"/>
            <w:noWrap/>
            <w:hideMark/>
          </w:tcPr>
          <w:p w14:paraId="1EC881A5" w14:textId="77777777" w:rsidR="00730DE4" w:rsidRPr="00730DE4" w:rsidRDefault="00730DE4" w:rsidP="008E4B6C">
            <w:pPr>
              <w:pStyle w:val="NoSpacing"/>
              <w:jc w:val="right"/>
              <w:rPr>
                <w:rStyle w:val="Strong"/>
              </w:rPr>
            </w:pPr>
            <w:r w:rsidRPr="00730DE4">
              <w:rPr>
                <w:rStyle w:val="Strong"/>
              </w:rPr>
              <w:t xml:space="preserve">1,494,878 </w:t>
            </w:r>
          </w:p>
        </w:tc>
      </w:tr>
      <w:tr w:rsidR="00730DE4" w:rsidRPr="00730DE4" w14:paraId="4F3B2DC7" w14:textId="77777777" w:rsidTr="000E22DE">
        <w:trPr>
          <w:trHeight w:val="454"/>
        </w:trPr>
        <w:tc>
          <w:tcPr>
            <w:tcW w:w="3442" w:type="pct"/>
            <w:tcBorders>
              <w:top w:val="doub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7D2B970" w14:textId="77777777" w:rsidR="00730DE4" w:rsidRPr="00730DE4" w:rsidRDefault="00730DE4" w:rsidP="008E4B6C">
            <w:pPr>
              <w:pStyle w:val="NoSpacing"/>
              <w:rPr>
                <w:color w:val="080C0F" w:themeColor="text1"/>
              </w:rPr>
            </w:pPr>
            <w:r w:rsidRPr="00730DE4">
              <w:rPr>
                <w:rStyle w:val="Strong"/>
              </w:rPr>
              <w:t>Amortisation incurred</w:t>
            </w:r>
          </w:p>
        </w:tc>
        <w:tc>
          <w:tcPr>
            <w:tcW w:w="779"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A20E742" w14:textId="77777777" w:rsidR="00730DE4" w:rsidRPr="00730DE4" w:rsidRDefault="00730DE4" w:rsidP="008E4B6C">
            <w:pPr>
              <w:pStyle w:val="NoSpacing"/>
              <w:jc w:val="right"/>
              <w:rPr>
                <w:rStyle w:val="Strong"/>
              </w:rPr>
            </w:pPr>
          </w:p>
        </w:tc>
        <w:tc>
          <w:tcPr>
            <w:tcW w:w="779" w:type="pct"/>
            <w:tcBorders>
              <w:top w:val="double" w:sz="4" w:space="0" w:color="auto"/>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B54CCA3" w14:textId="77777777" w:rsidR="00730DE4" w:rsidRPr="00730DE4" w:rsidRDefault="00730DE4" w:rsidP="008E4B6C">
            <w:pPr>
              <w:pStyle w:val="NoSpacing"/>
              <w:jc w:val="right"/>
              <w:rPr>
                <w:color w:val="080C0F" w:themeColor="text1"/>
              </w:rPr>
            </w:pPr>
          </w:p>
        </w:tc>
      </w:tr>
      <w:tr w:rsidR="00730DE4" w:rsidRPr="00730DE4" w14:paraId="04B4A7C7" w14:textId="77777777" w:rsidTr="000E22DE">
        <w:trPr>
          <w:trHeight w:val="227"/>
        </w:trPr>
        <w:tc>
          <w:tcPr>
            <w:tcW w:w="344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C581DB6" w14:textId="77777777" w:rsidR="00730DE4" w:rsidRPr="00730DE4" w:rsidRDefault="00730DE4" w:rsidP="008E4B6C">
            <w:pPr>
              <w:pStyle w:val="NoSpacing"/>
              <w:rPr>
                <w:color w:val="080C0F" w:themeColor="text1"/>
              </w:rPr>
            </w:pPr>
            <w:r w:rsidRPr="00730DE4">
              <w:rPr>
                <w:color w:val="080C0F" w:themeColor="text1"/>
              </w:rPr>
              <w:t xml:space="preserve">Software purchased </w:t>
            </w:r>
          </w:p>
        </w:tc>
        <w:tc>
          <w:tcPr>
            <w:tcW w:w="77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B78909B" w14:textId="77777777" w:rsidR="00730DE4" w:rsidRPr="00730DE4" w:rsidRDefault="00730DE4" w:rsidP="008E4B6C">
            <w:pPr>
              <w:pStyle w:val="NoSpacing"/>
              <w:jc w:val="right"/>
              <w:rPr>
                <w:color w:val="080C0F" w:themeColor="text1"/>
              </w:rPr>
            </w:pPr>
            <w:r w:rsidRPr="00730DE4">
              <w:rPr>
                <w:color w:val="080C0F" w:themeColor="text1"/>
              </w:rPr>
              <w:t xml:space="preserve">2,651 </w:t>
            </w:r>
          </w:p>
        </w:tc>
        <w:tc>
          <w:tcPr>
            <w:tcW w:w="779"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B505AB4" w14:textId="77777777" w:rsidR="00730DE4" w:rsidRPr="00730DE4" w:rsidRDefault="00730DE4" w:rsidP="008E4B6C">
            <w:pPr>
              <w:pStyle w:val="NoSpacing"/>
              <w:jc w:val="right"/>
              <w:rPr>
                <w:color w:val="080C0F" w:themeColor="text1"/>
              </w:rPr>
            </w:pPr>
            <w:r w:rsidRPr="00730DE4">
              <w:rPr>
                <w:color w:val="080C0F" w:themeColor="text1"/>
              </w:rPr>
              <w:t xml:space="preserve">3,099 </w:t>
            </w:r>
          </w:p>
        </w:tc>
      </w:tr>
      <w:tr w:rsidR="00730DE4" w:rsidRPr="00730DE4" w14:paraId="55D3A60C" w14:textId="77777777" w:rsidTr="000E22DE">
        <w:trPr>
          <w:trHeight w:val="227"/>
        </w:trPr>
        <w:tc>
          <w:tcPr>
            <w:tcW w:w="3442"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21951E7D" w14:textId="77777777" w:rsidR="00730DE4" w:rsidRPr="00730DE4" w:rsidRDefault="00730DE4" w:rsidP="008E4B6C">
            <w:pPr>
              <w:pStyle w:val="NoSpacing"/>
              <w:rPr>
                <w:color w:val="080C0F" w:themeColor="text1"/>
              </w:rPr>
            </w:pPr>
            <w:r w:rsidRPr="00730DE4">
              <w:rPr>
                <w:color w:val="080C0F" w:themeColor="text1"/>
              </w:rPr>
              <w:t xml:space="preserve">Software internally generated  </w:t>
            </w:r>
          </w:p>
        </w:tc>
        <w:tc>
          <w:tcPr>
            <w:tcW w:w="779"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70BF66CB" w14:textId="77777777" w:rsidR="00730DE4" w:rsidRPr="00730DE4" w:rsidRDefault="00730DE4" w:rsidP="008E4B6C">
            <w:pPr>
              <w:pStyle w:val="NoSpacing"/>
              <w:jc w:val="right"/>
              <w:rPr>
                <w:color w:val="080C0F" w:themeColor="text1"/>
              </w:rPr>
            </w:pPr>
            <w:r w:rsidRPr="00730DE4">
              <w:rPr>
                <w:color w:val="080C0F" w:themeColor="text1"/>
              </w:rPr>
              <w:t xml:space="preserve">11,931 </w:t>
            </w:r>
          </w:p>
        </w:tc>
        <w:tc>
          <w:tcPr>
            <w:tcW w:w="779"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79D75B39" w14:textId="77777777" w:rsidR="00730DE4" w:rsidRPr="00730DE4" w:rsidRDefault="00730DE4" w:rsidP="008E4B6C">
            <w:pPr>
              <w:pStyle w:val="NoSpacing"/>
              <w:jc w:val="right"/>
              <w:rPr>
                <w:color w:val="080C0F" w:themeColor="text1"/>
              </w:rPr>
            </w:pPr>
            <w:r w:rsidRPr="00730DE4">
              <w:rPr>
                <w:color w:val="080C0F" w:themeColor="text1"/>
              </w:rPr>
              <w:t xml:space="preserve">8,348 </w:t>
            </w:r>
          </w:p>
        </w:tc>
      </w:tr>
      <w:tr w:rsidR="00730DE4" w:rsidRPr="00730DE4" w14:paraId="13B64EE7" w14:textId="77777777" w:rsidTr="000E22DE">
        <w:tc>
          <w:tcPr>
            <w:tcW w:w="3442"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3395FC71" w14:textId="77777777" w:rsidR="00730DE4" w:rsidRPr="00730DE4" w:rsidRDefault="00730DE4" w:rsidP="008E4B6C">
            <w:pPr>
              <w:pStyle w:val="NoSpacing"/>
              <w:rPr>
                <w:color w:val="080C0F" w:themeColor="text1"/>
              </w:rPr>
            </w:pPr>
            <w:r w:rsidRPr="00730DE4">
              <w:rPr>
                <w:rStyle w:val="Strong"/>
              </w:rPr>
              <w:t>Total</w:t>
            </w:r>
          </w:p>
        </w:tc>
        <w:tc>
          <w:tcPr>
            <w:tcW w:w="779"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1C024BFA" w14:textId="77777777" w:rsidR="00730DE4" w:rsidRPr="00730DE4" w:rsidRDefault="00730DE4" w:rsidP="008E4B6C">
            <w:pPr>
              <w:pStyle w:val="NoSpacing"/>
              <w:jc w:val="right"/>
              <w:rPr>
                <w:color w:val="080C0F" w:themeColor="text1"/>
              </w:rPr>
            </w:pPr>
            <w:r w:rsidRPr="00730DE4">
              <w:rPr>
                <w:rStyle w:val="Strong"/>
              </w:rPr>
              <w:t xml:space="preserve">14,582 </w:t>
            </w:r>
          </w:p>
        </w:tc>
        <w:tc>
          <w:tcPr>
            <w:tcW w:w="779" w:type="pct"/>
            <w:tcBorders>
              <w:top w:val="single" w:sz="4" w:space="0" w:color="auto"/>
              <w:left w:val="dotted" w:sz="4" w:space="0" w:color="BFBFBF" w:themeColor="background1" w:themeShade="BF"/>
              <w:bottom w:val="double" w:sz="4" w:space="0" w:color="auto"/>
              <w:right w:val="nil"/>
            </w:tcBorders>
            <w:shd w:val="clear" w:color="auto" w:fill="auto"/>
            <w:noWrap/>
            <w:hideMark/>
          </w:tcPr>
          <w:p w14:paraId="1F296FE4" w14:textId="77777777" w:rsidR="00730DE4" w:rsidRPr="00730DE4" w:rsidRDefault="00730DE4" w:rsidP="008E4B6C">
            <w:pPr>
              <w:pStyle w:val="NoSpacing"/>
              <w:jc w:val="right"/>
              <w:rPr>
                <w:rStyle w:val="Strong"/>
              </w:rPr>
            </w:pPr>
            <w:r w:rsidRPr="00730DE4">
              <w:rPr>
                <w:rStyle w:val="Strong"/>
              </w:rPr>
              <w:t xml:space="preserve">11,447 </w:t>
            </w:r>
          </w:p>
        </w:tc>
      </w:tr>
    </w:tbl>
    <w:p w14:paraId="53FDBBEC" w14:textId="77777777" w:rsidR="00730DE4" w:rsidRPr="00730DE4" w:rsidRDefault="00730DE4" w:rsidP="004A5032">
      <w:pPr>
        <w:pStyle w:val="Heading5"/>
      </w:pPr>
      <w:r w:rsidRPr="00730DE4">
        <w:br w:type="page"/>
      </w:r>
    </w:p>
    <w:p w14:paraId="481F3BEE" w14:textId="77777777" w:rsidR="00730DE4" w:rsidRPr="00730DE4" w:rsidRDefault="00730DE4" w:rsidP="00F517FD">
      <w:pPr>
        <w:pStyle w:val="Heading5"/>
      </w:pPr>
      <w:bookmarkStart w:id="1500" w:name="_Toc180490929"/>
      <w:bookmarkStart w:id="1501" w:name="_Toc180491962"/>
      <w:r w:rsidRPr="00730DE4">
        <w:t>11 Other expenses</w:t>
      </w:r>
      <w:bookmarkEnd w:id="1500"/>
      <w:bookmarkEnd w:id="1501"/>
    </w:p>
    <w:tbl>
      <w:tblPr>
        <w:tblW w:w="5000" w:type="pct"/>
        <w:tblCellMar>
          <w:top w:w="23" w:type="dxa"/>
          <w:left w:w="23" w:type="dxa"/>
          <w:bottom w:w="23" w:type="dxa"/>
          <w:right w:w="23" w:type="dxa"/>
        </w:tblCellMar>
        <w:tblLook w:val="04A0" w:firstRow="1" w:lastRow="0" w:firstColumn="1" w:lastColumn="0" w:noHBand="0" w:noVBand="1"/>
      </w:tblPr>
      <w:tblGrid>
        <w:gridCol w:w="6246"/>
        <w:gridCol w:w="1411"/>
        <w:gridCol w:w="1413"/>
      </w:tblGrid>
      <w:tr w:rsidR="00730DE4" w:rsidRPr="00730DE4" w14:paraId="4F3D759D" w14:textId="77777777" w:rsidTr="008A2F83">
        <w:trPr>
          <w:trHeight w:val="90"/>
        </w:trPr>
        <w:tc>
          <w:tcPr>
            <w:tcW w:w="3443" w:type="pct"/>
            <w:tcBorders>
              <w:top w:val="nil"/>
              <w:left w:val="nil"/>
              <w:bottom w:val="single" w:sz="4" w:space="0" w:color="auto"/>
              <w:right w:val="nil"/>
            </w:tcBorders>
            <w:shd w:val="clear" w:color="auto" w:fill="auto"/>
            <w:noWrap/>
            <w:vAlign w:val="bottom"/>
            <w:hideMark/>
          </w:tcPr>
          <w:p w14:paraId="714AE237" w14:textId="77777777" w:rsidR="00730DE4" w:rsidRPr="00730DE4" w:rsidRDefault="00730DE4" w:rsidP="008E4B6C">
            <w:pPr>
              <w:pStyle w:val="NoSpacing"/>
              <w:rPr>
                <w:rStyle w:val="Strong"/>
              </w:rPr>
            </w:pPr>
          </w:p>
        </w:tc>
        <w:tc>
          <w:tcPr>
            <w:tcW w:w="778" w:type="pct"/>
            <w:tcBorders>
              <w:top w:val="nil"/>
              <w:left w:val="nil"/>
              <w:bottom w:val="single" w:sz="4" w:space="0" w:color="auto"/>
              <w:right w:val="nil"/>
            </w:tcBorders>
            <w:shd w:val="clear" w:color="auto" w:fill="auto"/>
            <w:noWrap/>
            <w:vAlign w:val="bottom"/>
            <w:hideMark/>
          </w:tcPr>
          <w:p w14:paraId="60D54021" w14:textId="77777777" w:rsidR="00730DE4" w:rsidRPr="00730DE4" w:rsidRDefault="00730DE4" w:rsidP="008E4B6C">
            <w:pPr>
              <w:pStyle w:val="NoSpacing"/>
              <w:jc w:val="right"/>
              <w:rPr>
                <w:color w:val="080C0F" w:themeColor="text1"/>
              </w:rPr>
            </w:pPr>
            <w:r w:rsidRPr="00730DE4">
              <w:rPr>
                <w:rStyle w:val="Strong"/>
              </w:rPr>
              <w:t xml:space="preserve">2024 </w:t>
            </w:r>
            <w:r w:rsidRPr="00730DE4">
              <w:rPr>
                <w:rStyle w:val="Strong"/>
              </w:rPr>
              <w:br/>
              <w:t>$'000</w:t>
            </w:r>
          </w:p>
        </w:tc>
        <w:tc>
          <w:tcPr>
            <w:tcW w:w="779" w:type="pct"/>
            <w:tcBorders>
              <w:top w:val="nil"/>
              <w:left w:val="nil"/>
              <w:bottom w:val="single" w:sz="4" w:space="0" w:color="auto"/>
              <w:right w:val="nil"/>
            </w:tcBorders>
            <w:shd w:val="clear" w:color="auto" w:fill="auto"/>
            <w:noWrap/>
            <w:vAlign w:val="bottom"/>
            <w:hideMark/>
          </w:tcPr>
          <w:p w14:paraId="700A1E68" w14:textId="77777777" w:rsidR="00730DE4" w:rsidRPr="00730DE4" w:rsidRDefault="00730DE4" w:rsidP="008E4B6C">
            <w:pPr>
              <w:pStyle w:val="NoSpacing"/>
              <w:jc w:val="right"/>
              <w:rPr>
                <w:color w:val="080C0F" w:themeColor="text1"/>
              </w:rPr>
            </w:pPr>
            <w:r w:rsidRPr="00730DE4">
              <w:rPr>
                <w:rStyle w:val="Strong"/>
              </w:rPr>
              <w:t xml:space="preserve">2023 </w:t>
            </w:r>
            <w:r w:rsidRPr="00730DE4">
              <w:rPr>
                <w:rStyle w:val="Strong"/>
              </w:rPr>
              <w:br/>
              <w:t>$'000</w:t>
            </w:r>
          </w:p>
        </w:tc>
      </w:tr>
      <w:tr w:rsidR="00730DE4" w:rsidRPr="00730DE4" w14:paraId="7F1A0978" w14:textId="77777777" w:rsidTr="008A2F83">
        <w:trPr>
          <w:trHeight w:val="23"/>
        </w:trPr>
        <w:tc>
          <w:tcPr>
            <w:tcW w:w="3443"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tcPr>
          <w:p w14:paraId="03D5EF5E" w14:textId="77777777" w:rsidR="00730DE4" w:rsidRPr="00730DE4" w:rsidRDefault="00730DE4" w:rsidP="002E0EC4">
            <w:pPr>
              <w:pStyle w:val="NoSpacing"/>
              <w:rPr>
                <w:color w:val="080C0F" w:themeColor="text1"/>
              </w:rPr>
            </w:pPr>
            <w:r w:rsidRPr="00730DE4">
              <w:rPr>
                <w:color w:val="080C0F" w:themeColor="text1"/>
              </w:rPr>
              <w:t>Queensland Audit Office – external audit fees *</w:t>
            </w:r>
          </w:p>
        </w:tc>
        <w:tc>
          <w:tcPr>
            <w:tcW w:w="77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414C88C5" w14:textId="77777777" w:rsidR="00730DE4" w:rsidRPr="00730DE4" w:rsidRDefault="00730DE4" w:rsidP="002E0EC4">
            <w:pPr>
              <w:pStyle w:val="NoSpacing"/>
              <w:jc w:val="right"/>
              <w:rPr>
                <w:color w:val="080C0F" w:themeColor="text1"/>
              </w:rPr>
            </w:pPr>
            <w:r w:rsidRPr="00730DE4">
              <w:rPr>
                <w:color w:val="080C0F" w:themeColor="text1"/>
              </w:rPr>
              <w:t xml:space="preserve">1,307 </w:t>
            </w:r>
          </w:p>
        </w:tc>
        <w:tc>
          <w:tcPr>
            <w:tcW w:w="779"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tcPr>
          <w:p w14:paraId="3027BA12" w14:textId="77777777" w:rsidR="00730DE4" w:rsidRPr="00730DE4" w:rsidRDefault="00730DE4" w:rsidP="002E0EC4">
            <w:pPr>
              <w:pStyle w:val="NoSpacing"/>
              <w:jc w:val="right"/>
              <w:rPr>
                <w:color w:val="080C0F" w:themeColor="text1"/>
              </w:rPr>
            </w:pPr>
            <w:r w:rsidRPr="00730DE4">
              <w:rPr>
                <w:color w:val="080C0F" w:themeColor="text1"/>
              </w:rPr>
              <w:t xml:space="preserve">989 </w:t>
            </w:r>
          </w:p>
        </w:tc>
      </w:tr>
      <w:tr w:rsidR="00730DE4" w:rsidRPr="00730DE4" w14:paraId="307BD4D5" w14:textId="77777777" w:rsidTr="008A2F83">
        <w:trPr>
          <w:trHeight w:val="23"/>
        </w:trPr>
        <w:tc>
          <w:tcPr>
            <w:tcW w:w="3443"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4EA44FE" w14:textId="77777777" w:rsidR="00730DE4" w:rsidRPr="00730DE4" w:rsidRDefault="00730DE4" w:rsidP="008E4B6C">
            <w:pPr>
              <w:pStyle w:val="NoSpacing"/>
              <w:rPr>
                <w:color w:val="080C0F" w:themeColor="text1"/>
              </w:rPr>
            </w:pPr>
            <w:r w:rsidRPr="00730DE4">
              <w:rPr>
                <w:color w:val="080C0F" w:themeColor="text1"/>
              </w:rPr>
              <w:t>Audit fees – other **</w:t>
            </w:r>
          </w:p>
        </w:tc>
        <w:tc>
          <w:tcPr>
            <w:tcW w:w="77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A659C9D" w14:textId="77777777" w:rsidR="00730DE4" w:rsidRPr="00730DE4" w:rsidRDefault="00730DE4" w:rsidP="008E4B6C">
            <w:pPr>
              <w:pStyle w:val="NoSpacing"/>
              <w:jc w:val="right"/>
              <w:rPr>
                <w:color w:val="080C0F" w:themeColor="text1"/>
              </w:rPr>
            </w:pPr>
            <w:r w:rsidRPr="00730DE4">
              <w:rPr>
                <w:color w:val="080C0F" w:themeColor="text1"/>
              </w:rPr>
              <w:t xml:space="preserve">1,294 </w:t>
            </w:r>
          </w:p>
        </w:tc>
        <w:tc>
          <w:tcPr>
            <w:tcW w:w="779"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73612CB" w14:textId="77777777" w:rsidR="00730DE4" w:rsidRPr="00730DE4" w:rsidRDefault="00730DE4" w:rsidP="008E4B6C">
            <w:pPr>
              <w:pStyle w:val="NoSpacing"/>
              <w:jc w:val="right"/>
              <w:rPr>
                <w:color w:val="080C0F" w:themeColor="text1"/>
              </w:rPr>
            </w:pPr>
            <w:r w:rsidRPr="00730DE4">
              <w:rPr>
                <w:color w:val="080C0F" w:themeColor="text1"/>
              </w:rPr>
              <w:t xml:space="preserve">515 </w:t>
            </w:r>
          </w:p>
        </w:tc>
      </w:tr>
      <w:tr w:rsidR="00730DE4" w:rsidRPr="00730DE4" w14:paraId="23A905FE" w14:textId="77777777" w:rsidTr="008A2F83">
        <w:trPr>
          <w:trHeight w:val="23"/>
        </w:trPr>
        <w:tc>
          <w:tcPr>
            <w:tcW w:w="3443"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hideMark/>
          </w:tcPr>
          <w:p w14:paraId="19A0B61D" w14:textId="77777777" w:rsidR="00730DE4" w:rsidRPr="00730DE4" w:rsidRDefault="00730DE4" w:rsidP="008E4B6C">
            <w:pPr>
              <w:pStyle w:val="NoSpacing"/>
              <w:rPr>
                <w:color w:val="080C0F" w:themeColor="text1"/>
              </w:rPr>
            </w:pPr>
            <w:r w:rsidRPr="00730DE4">
              <w:rPr>
                <w:color w:val="080C0F" w:themeColor="text1"/>
              </w:rPr>
              <w:t xml:space="preserve">Discontinued capital projects </w:t>
            </w:r>
          </w:p>
        </w:tc>
        <w:tc>
          <w:tcPr>
            <w:tcW w:w="77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5773BFE" w14:textId="77777777" w:rsidR="00730DE4" w:rsidRPr="00730DE4" w:rsidRDefault="00730DE4" w:rsidP="008E4B6C">
            <w:pPr>
              <w:pStyle w:val="NoSpacing"/>
              <w:jc w:val="right"/>
              <w:rPr>
                <w:color w:val="080C0F" w:themeColor="text1"/>
              </w:rPr>
            </w:pPr>
            <w:r w:rsidRPr="00730DE4">
              <w:rPr>
                <w:color w:val="080C0F" w:themeColor="text1"/>
              </w:rPr>
              <w:t xml:space="preserve">78 </w:t>
            </w:r>
          </w:p>
        </w:tc>
        <w:tc>
          <w:tcPr>
            <w:tcW w:w="779"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A4567BA" w14:textId="77777777" w:rsidR="00730DE4" w:rsidRPr="00730DE4" w:rsidRDefault="00730DE4" w:rsidP="008E4B6C">
            <w:pPr>
              <w:pStyle w:val="NoSpacing"/>
              <w:jc w:val="right"/>
              <w:rPr>
                <w:color w:val="080C0F" w:themeColor="text1"/>
              </w:rPr>
            </w:pPr>
            <w:r w:rsidRPr="00730DE4">
              <w:rPr>
                <w:color w:val="080C0F" w:themeColor="text1"/>
              </w:rPr>
              <w:t xml:space="preserve">5,303 </w:t>
            </w:r>
          </w:p>
        </w:tc>
      </w:tr>
      <w:tr w:rsidR="00730DE4" w:rsidRPr="00730DE4" w14:paraId="619BB79B" w14:textId="77777777" w:rsidTr="008A2F83">
        <w:trPr>
          <w:trHeight w:val="23"/>
        </w:trPr>
        <w:tc>
          <w:tcPr>
            <w:tcW w:w="3443"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6579653" w14:textId="77777777" w:rsidR="00730DE4" w:rsidRPr="00730DE4" w:rsidRDefault="00730DE4" w:rsidP="008E4B6C">
            <w:pPr>
              <w:pStyle w:val="NoSpacing"/>
              <w:rPr>
                <w:color w:val="080C0F" w:themeColor="text1"/>
              </w:rPr>
            </w:pPr>
            <w:r w:rsidRPr="00730DE4">
              <w:rPr>
                <w:color w:val="080C0F" w:themeColor="text1"/>
              </w:rPr>
              <w:t>Fees, permits and other charges</w:t>
            </w:r>
          </w:p>
        </w:tc>
        <w:tc>
          <w:tcPr>
            <w:tcW w:w="77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92EB8B6" w14:textId="77777777" w:rsidR="00730DE4" w:rsidRPr="00730DE4" w:rsidRDefault="00730DE4" w:rsidP="008E4B6C">
            <w:pPr>
              <w:pStyle w:val="NoSpacing"/>
              <w:jc w:val="right"/>
              <w:rPr>
                <w:color w:val="080C0F" w:themeColor="text1"/>
              </w:rPr>
            </w:pPr>
            <w:r w:rsidRPr="00730DE4">
              <w:rPr>
                <w:color w:val="080C0F" w:themeColor="text1"/>
              </w:rPr>
              <w:t xml:space="preserve">2,263 </w:t>
            </w:r>
          </w:p>
        </w:tc>
        <w:tc>
          <w:tcPr>
            <w:tcW w:w="779"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070C753" w14:textId="77777777" w:rsidR="00730DE4" w:rsidRPr="00730DE4" w:rsidRDefault="00730DE4" w:rsidP="008E4B6C">
            <w:pPr>
              <w:pStyle w:val="NoSpacing"/>
              <w:jc w:val="right"/>
              <w:rPr>
                <w:color w:val="080C0F" w:themeColor="text1"/>
              </w:rPr>
            </w:pPr>
            <w:r w:rsidRPr="00730DE4">
              <w:rPr>
                <w:color w:val="080C0F" w:themeColor="text1"/>
              </w:rPr>
              <w:t xml:space="preserve">1,291 </w:t>
            </w:r>
          </w:p>
        </w:tc>
      </w:tr>
      <w:tr w:rsidR="00730DE4" w:rsidRPr="00730DE4" w14:paraId="4E4FD0B1" w14:textId="77777777" w:rsidTr="008A2F83">
        <w:trPr>
          <w:trHeight w:val="23"/>
        </w:trPr>
        <w:tc>
          <w:tcPr>
            <w:tcW w:w="3443"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DDFAA33" w14:textId="77777777" w:rsidR="00730DE4" w:rsidRPr="00730DE4" w:rsidRDefault="00730DE4" w:rsidP="008E4B6C">
            <w:pPr>
              <w:pStyle w:val="NoSpacing"/>
              <w:rPr>
                <w:color w:val="080C0F" w:themeColor="text1"/>
              </w:rPr>
            </w:pPr>
            <w:r w:rsidRPr="00730DE4">
              <w:rPr>
                <w:color w:val="080C0F" w:themeColor="text1"/>
              </w:rPr>
              <w:t>Insurance premiums</w:t>
            </w:r>
          </w:p>
        </w:tc>
        <w:tc>
          <w:tcPr>
            <w:tcW w:w="77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89127C9" w14:textId="77777777" w:rsidR="00730DE4" w:rsidRPr="00730DE4" w:rsidRDefault="00730DE4" w:rsidP="008E4B6C">
            <w:pPr>
              <w:pStyle w:val="NoSpacing"/>
              <w:jc w:val="right"/>
              <w:rPr>
                <w:color w:val="080C0F" w:themeColor="text1"/>
              </w:rPr>
            </w:pPr>
            <w:r w:rsidRPr="00730DE4">
              <w:rPr>
                <w:color w:val="080C0F" w:themeColor="text1"/>
              </w:rPr>
              <w:t xml:space="preserve">14,028 </w:t>
            </w:r>
          </w:p>
        </w:tc>
        <w:tc>
          <w:tcPr>
            <w:tcW w:w="779"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3B0523D" w14:textId="77777777" w:rsidR="00730DE4" w:rsidRPr="00730DE4" w:rsidRDefault="00730DE4" w:rsidP="008E4B6C">
            <w:pPr>
              <w:pStyle w:val="NoSpacing"/>
              <w:jc w:val="right"/>
              <w:rPr>
                <w:color w:val="080C0F" w:themeColor="text1"/>
              </w:rPr>
            </w:pPr>
            <w:r w:rsidRPr="00730DE4">
              <w:rPr>
                <w:color w:val="080C0F" w:themeColor="text1"/>
              </w:rPr>
              <w:t xml:space="preserve">10,621 </w:t>
            </w:r>
          </w:p>
        </w:tc>
      </w:tr>
      <w:tr w:rsidR="00730DE4" w:rsidRPr="00730DE4" w14:paraId="2D1C7DB5" w14:textId="77777777" w:rsidTr="008A2F83">
        <w:trPr>
          <w:trHeight w:val="23"/>
        </w:trPr>
        <w:tc>
          <w:tcPr>
            <w:tcW w:w="3443"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6705EABE" w14:textId="77777777" w:rsidR="00730DE4" w:rsidRPr="00730DE4" w:rsidRDefault="00730DE4" w:rsidP="008E4B6C">
            <w:pPr>
              <w:pStyle w:val="NoSpacing"/>
              <w:rPr>
                <w:color w:val="080C0F" w:themeColor="text1"/>
              </w:rPr>
            </w:pPr>
            <w:r w:rsidRPr="00730DE4">
              <w:rPr>
                <w:color w:val="080C0F" w:themeColor="text1"/>
              </w:rPr>
              <w:t>Loss on disposal of property, plant and equipment</w:t>
            </w:r>
          </w:p>
        </w:tc>
        <w:tc>
          <w:tcPr>
            <w:tcW w:w="77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90B700F" w14:textId="77777777" w:rsidR="00730DE4" w:rsidRPr="00730DE4" w:rsidRDefault="00730DE4" w:rsidP="008E4B6C">
            <w:pPr>
              <w:pStyle w:val="NoSpacing"/>
              <w:jc w:val="right"/>
              <w:rPr>
                <w:color w:val="080C0F" w:themeColor="text1"/>
              </w:rPr>
            </w:pPr>
            <w:r w:rsidRPr="00730DE4">
              <w:rPr>
                <w:color w:val="080C0F" w:themeColor="text1"/>
              </w:rPr>
              <w:t xml:space="preserve">1,867 </w:t>
            </w:r>
          </w:p>
        </w:tc>
        <w:tc>
          <w:tcPr>
            <w:tcW w:w="779"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6D6E502" w14:textId="77777777" w:rsidR="00730DE4" w:rsidRPr="00730DE4" w:rsidRDefault="00730DE4" w:rsidP="008E4B6C">
            <w:pPr>
              <w:pStyle w:val="NoSpacing"/>
              <w:jc w:val="right"/>
              <w:rPr>
                <w:color w:val="080C0F" w:themeColor="text1"/>
              </w:rPr>
            </w:pPr>
            <w:r w:rsidRPr="00730DE4">
              <w:rPr>
                <w:color w:val="080C0F" w:themeColor="text1"/>
              </w:rPr>
              <w:t xml:space="preserve">9,426 </w:t>
            </w:r>
          </w:p>
        </w:tc>
      </w:tr>
      <w:tr w:rsidR="00730DE4" w:rsidRPr="00730DE4" w14:paraId="5C1F59E5" w14:textId="77777777" w:rsidTr="008A2F83">
        <w:trPr>
          <w:trHeight w:val="23"/>
        </w:trPr>
        <w:tc>
          <w:tcPr>
            <w:tcW w:w="3443"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390F4586" w14:textId="77777777" w:rsidR="00730DE4" w:rsidRPr="00730DE4" w:rsidRDefault="00730DE4" w:rsidP="008E4B6C">
            <w:pPr>
              <w:pStyle w:val="NoSpacing"/>
              <w:rPr>
                <w:color w:val="080C0F" w:themeColor="text1"/>
              </w:rPr>
            </w:pPr>
            <w:r w:rsidRPr="00730DE4">
              <w:rPr>
                <w:color w:val="080C0F" w:themeColor="text1"/>
              </w:rPr>
              <w:t xml:space="preserve">Losses: </w:t>
            </w:r>
          </w:p>
        </w:tc>
        <w:tc>
          <w:tcPr>
            <w:tcW w:w="77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9EAE512" w14:textId="77777777" w:rsidR="00730DE4" w:rsidRPr="00730DE4" w:rsidRDefault="00730DE4" w:rsidP="008E4B6C">
            <w:pPr>
              <w:pStyle w:val="NoSpacing"/>
              <w:jc w:val="right"/>
              <w:rPr>
                <w:color w:val="080C0F" w:themeColor="text1"/>
              </w:rPr>
            </w:pPr>
            <w:r w:rsidRPr="00730DE4">
              <w:rPr>
                <w:color w:val="080C0F" w:themeColor="text1"/>
              </w:rPr>
              <w:t> </w:t>
            </w:r>
          </w:p>
        </w:tc>
        <w:tc>
          <w:tcPr>
            <w:tcW w:w="779"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362B0A3" w14:textId="77777777" w:rsidR="00730DE4" w:rsidRPr="00730DE4" w:rsidRDefault="00730DE4" w:rsidP="008E4B6C">
            <w:pPr>
              <w:pStyle w:val="NoSpacing"/>
              <w:jc w:val="right"/>
              <w:rPr>
                <w:color w:val="080C0F" w:themeColor="text1"/>
              </w:rPr>
            </w:pPr>
          </w:p>
        </w:tc>
      </w:tr>
      <w:tr w:rsidR="00730DE4" w:rsidRPr="00730DE4" w14:paraId="27DE15B6" w14:textId="77777777" w:rsidTr="008A2F83">
        <w:trPr>
          <w:trHeight w:val="23"/>
        </w:trPr>
        <w:tc>
          <w:tcPr>
            <w:tcW w:w="3443"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39C8899F" w14:textId="77777777" w:rsidR="00730DE4" w:rsidRPr="00730DE4" w:rsidRDefault="00730DE4" w:rsidP="008E4B6C">
            <w:pPr>
              <w:pStyle w:val="NoSpacingIndent"/>
            </w:pPr>
            <w:r w:rsidRPr="00730DE4">
              <w:t xml:space="preserve">Public monies </w:t>
            </w:r>
          </w:p>
        </w:tc>
        <w:tc>
          <w:tcPr>
            <w:tcW w:w="77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D547406" w14:textId="77777777" w:rsidR="00730DE4" w:rsidRPr="00730DE4" w:rsidRDefault="00730DE4" w:rsidP="008E4B6C">
            <w:pPr>
              <w:pStyle w:val="NoSpacing"/>
              <w:jc w:val="right"/>
              <w:rPr>
                <w:color w:val="080C0F" w:themeColor="text1"/>
              </w:rPr>
            </w:pPr>
            <w:r w:rsidRPr="00730DE4">
              <w:rPr>
                <w:color w:val="080C0F" w:themeColor="text1"/>
              </w:rPr>
              <w:t xml:space="preserve">468 </w:t>
            </w:r>
          </w:p>
        </w:tc>
        <w:tc>
          <w:tcPr>
            <w:tcW w:w="779"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BF3ED2A" w14:textId="77777777" w:rsidR="00730DE4" w:rsidRPr="00730DE4" w:rsidRDefault="00730DE4" w:rsidP="008E4B6C">
            <w:pPr>
              <w:pStyle w:val="NoSpacing"/>
              <w:jc w:val="right"/>
              <w:rPr>
                <w:color w:val="080C0F" w:themeColor="text1"/>
              </w:rPr>
            </w:pPr>
            <w:r w:rsidRPr="00730DE4">
              <w:rPr>
                <w:color w:val="080C0F" w:themeColor="text1"/>
              </w:rPr>
              <w:t xml:space="preserve">343 </w:t>
            </w:r>
          </w:p>
        </w:tc>
      </w:tr>
      <w:tr w:rsidR="00730DE4" w:rsidRPr="00730DE4" w14:paraId="4ABB9C38" w14:textId="77777777" w:rsidTr="008A2F83">
        <w:trPr>
          <w:trHeight w:val="23"/>
        </w:trPr>
        <w:tc>
          <w:tcPr>
            <w:tcW w:w="3443"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0DF3BC77" w14:textId="77777777" w:rsidR="00730DE4" w:rsidRPr="00730DE4" w:rsidRDefault="00730DE4" w:rsidP="008E4B6C">
            <w:pPr>
              <w:pStyle w:val="NoSpacingIndent"/>
            </w:pPr>
            <w:r w:rsidRPr="00730DE4">
              <w:t>Public property</w:t>
            </w:r>
          </w:p>
        </w:tc>
        <w:tc>
          <w:tcPr>
            <w:tcW w:w="77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A91D06F" w14:textId="77777777" w:rsidR="00730DE4" w:rsidRPr="00730DE4" w:rsidRDefault="00730DE4" w:rsidP="008E4B6C">
            <w:pPr>
              <w:pStyle w:val="NoSpacing"/>
              <w:jc w:val="right"/>
              <w:rPr>
                <w:color w:val="080C0F" w:themeColor="text1"/>
              </w:rPr>
            </w:pPr>
            <w:r w:rsidRPr="00730DE4">
              <w:rPr>
                <w:color w:val="080C0F" w:themeColor="text1"/>
              </w:rPr>
              <w:t xml:space="preserve">58 </w:t>
            </w:r>
          </w:p>
        </w:tc>
        <w:tc>
          <w:tcPr>
            <w:tcW w:w="779"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6F61CCD" w14:textId="77777777" w:rsidR="00730DE4" w:rsidRPr="00730DE4" w:rsidRDefault="00730DE4" w:rsidP="008E4B6C">
            <w:pPr>
              <w:pStyle w:val="NoSpacing"/>
              <w:jc w:val="right"/>
              <w:rPr>
                <w:color w:val="080C0F" w:themeColor="text1"/>
              </w:rPr>
            </w:pPr>
            <w:r w:rsidRPr="00730DE4">
              <w:rPr>
                <w:color w:val="080C0F" w:themeColor="text1"/>
              </w:rPr>
              <w:t xml:space="preserve">75 </w:t>
            </w:r>
          </w:p>
        </w:tc>
      </w:tr>
      <w:tr w:rsidR="00730DE4" w:rsidRPr="00730DE4" w14:paraId="574E151E" w14:textId="77777777" w:rsidTr="008A2F83">
        <w:trPr>
          <w:trHeight w:val="23"/>
        </w:trPr>
        <w:tc>
          <w:tcPr>
            <w:tcW w:w="3443"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1A64EF95" w14:textId="77777777" w:rsidR="00730DE4" w:rsidRPr="00730DE4" w:rsidRDefault="00730DE4" w:rsidP="008E4B6C">
            <w:pPr>
              <w:pStyle w:val="NoSpacing"/>
              <w:rPr>
                <w:color w:val="080C0F" w:themeColor="text1"/>
              </w:rPr>
            </w:pPr>
            <w:r w:rsidRPr="00730DE4">
              <w:rPr>
                <w:color w:val="080C0F" w:themeColor="text1"/>
              </w:rPr>
              <w:t>Special payments: ***</w:t>
            </w:r>
          </w:p>
        </w:tc>
        <w:tc>
          <w:tcPr>
            <w:tcW w:w="77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D47D570" w14:textId="77777777" w:rsidR="00730DE4" w:rsidRPr="00730DE4" w:rsidRDefault="00730DE4" w:rsidP="008E4B6C">
            <w:pPr>
              <w:pStyle w:val="NoSpacing"/>
              <w:jc w:val="right"/>
              <w:rPr>
                <w:color w:val="080C0F" w:themeColor="text1"/>
              </w:rPr>
            </w:pPr>
            <w:r w:rsidRPr="00730DE4">
              <w:rPr>
                <w:color w:val="080C0F" w:themeColor="text1"/>
              </w:rPr>
              <w:t> </w:t>
            </w:r>
          </w:p>
        </w:tc>
        <w:tc>
          <w:tcPr>
            <w:tcW w:w="779"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7D3E6E8" w14:textId="77777777" w:rsidR="00730DE4" w:rsidRPr="00730DE4" w:rsidRDefault="00730DE4" w:rsidP="008E4B6C">
            <w:pPr>
              <w:pStyle w:val="NoSpacing"/>
              <w:jc w:val="right"/>
              <w:rPr>
                <w:color w:val="080C0F" w:themeColor="text1"/>
              </w:rPr>
            </w:pPr>
          </w:p>
        </w:tc>
      </w:tr>
      <w:tr w:rsidR="00730DE4" w:rsidRPr="00730DE4" w14:paraId="636486B9" w14:textId="77777777" w:rsidTr="008A2F83">
        <w:trPr>
          <w:trHeight w:val="23"/>
        </w:trPr>
        <w:tc>
          <w:tcPr>
            <w:tcW w:w="3443"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698CFAA2" w14:textId="77777777" w:rsidR="00730DE4" w:rsidRPr="00730DE4" w:rsidRDefault="00730DE4" w:rsidP="008E4B6C">
            <w:pPr>
              <w:pStyle w:val="NoSpacingIndent"/>
            </w:pPr>
            <w:r w:rsidRPr="00730DE4">
              <w:t>Ex gratia payments</w:t>
            </w:r>
          </w:p>
        </w:tc>
        <w:tc>
          <w:tcPr>
            <w:tcW w:w="77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07817C7" w14:textId="77777777" w:rsidR="00730DE4" w:rsidRPr="00730DE4" w:rsidRDefault="00730DE4" w:rsidP="008E4B6C">
            <w:pPr>
              <w:pStyle w:val="NoSpacing"/>
              <w:jc w:val="right"/>
              <w:rPr>
                <w:color w:val="080C0F" w:themeColor="text1"/>
              </w:rPr>
            </w:pPr>
            <w:r w:rsidRPr="00730DE4">
              <w:rPr>
                <w:color w:val="080C0F" w:themeColor="text1"/>
              </w:rPr>
              <w:t xml:space="preserve">236 </w:t>
            </w:r>
          </w:p>
        </w:tc>
        <w:tc>
          <w:tcPr>
            <w:tcW w:w="779"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A3521F4" w14:textId="77777777" w:rsidR="00730DE4" w:rsidRPr="00730DE4" w:rsidRDefault="00730DE4" w:rsidP="008E4B6C">
            <w:pPr>
              <w:pStyle w:val="NoSpacing"/>
              <w:jc w:val="right"/>
              <w:rPr>
                <w:color w:val="080C0F" w:themeColor="text1"/>
              </w:rPr>
            </w:pPr>
            <w:r w:rsidRPr="00730DE4">
              <w:rPr>
                <w:color w:val="080C0F" w:themeColor="text1"/>
              </w:rPr>
              <w:t xml:space="preserve">250 </w:t>
            </w:r>
          </w:p>
        </w:tc>
      </w:tr>
      <w:tr w:rsidR="00730DE4" w:rsidRPr="00730DE4" w14:paraId="2BCE17FD" w14:textId="77777777" w:rsidTr="008A2F83">
        <w:trPr>
          <w:trHeight w:val="23"/>
        </w:trPr>
        <w:tc>
          <w:tcPr>
            <w:tcW w:w="3443"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291556E" w14:textId="77777777" w:rsidR="00730DE4" w:rsidRPr="00730DE4" w:rsidRDefault="00730DE4" w:rsidP="008E4B6C">
            <w:pPr>
              <w:pStyle w:val="NoSpacingIndent"/>
            </w:pPr>
            <w:r w:rsidRPr="00730DE4">
              <w:t>Court awarded damages</w:t>
            </w:r>
          </w:p>
        </w:tc>
        <w:tc>
          <w:tcPr>
            <w:tcW w:w="77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C8717DB" w14:textId="77777777" w:rsidR="00730DE4" w:rsidRPr="00730DE4" w:rsidRDefault="00730DE4" w:rsidP="008E4B6C">
            <w:pPr>
              <w:pStyle w:val="NoSpacing"/>
              <w:jc w:val="right"/>
              <w:rPr>
                <w:color w:val="080C0F" w:themeColor="text1"/>
              </w:rPr>
            </w:pPr>
            <w:r w:rsidRPr="00730DE4">
              <w:rPr>
                <w:color w:val="080C0F" w:themeColor="text1"/>
              </w:rPr>
              <w:t xml:space="preserve">241 </w:t>
            </w:r>
          </w:p>
        </w:tc>
        <w:tc>
          <w:tcPr>
            <w:tcW w:w="779"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5AAFD8F" w14:textId="77777777" w:rsidR="00730DE4" w:rsidRPr="00730DE4" w:rsidRDefault="00730DE4" w:rsidP="008E4B6C">
            <w:pPr>
              <w:pStyle w:val="NoSpacing"/>
              <w:jc w:val="right"/>
              <w:rPr>
                <w:color w:val="080C0F" w:themeColor="text1"/>
              </w:rPr>
            </w:pPr>
            <w:r w:rsidRPr="00730DE4">
              <w:rPr>
                <w:color w:val="080C0F" w:themeColor="text1"/>
              </w:rPr>
              <w:t xml:space="preserve">31 </w:t>
            </w:r>
          </w:p>
        </w:tc>
      </w:tr>
      <w:tr w:rsidR="00730DE4" w:rsidRPr="00730DE4" w14:paraId="3594F27A" w14:textId="77777777" w:rsidTr="00BE5C8B">
        <w:trPr>
          <w:trHeight w:val="23"/>
        </w:trPr>
        <w:tc>
          <w:tcPr>
            <w:tcW w:w="3443"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1C7B11DD" w14:textId="77777777" w:rsidR="00730DE4" w:rsidRPr="00730DE4" w:rsidRDefault="00730DE4" w:rsidP="008E4B6C">
            <w:pPr>
              <w:pStyle w:val="NoSpacingIndent"/>
            </w:pPr>
            <w:r w:rsidRPr="00730DE4">
              <w:t>Compensation claims</w:t>
            </w:r>
          </w:p>
        </w:tc>
        <w:tc>
          <w:tcPr>
            <w:tcW w:w="77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86913AB" w14:textId="77777777" w:rsidR="00730DE4" w:rsidRPr="00730DE4" w:rsidRDefault="00730DE4" w:rsidP="008E4B6C">
            <w:pPr>
              <w:pStyle w:val="NoSpacing"/>
              <w:jc w:val="right"/>
              <w:rPr>
                <w:color w:val="080C0F" w:themeColor="text1"/>
              </w:rPr>
            </w:pPr>
            <w:r w:rsidRPr="00730DE4">
              <w:rPr>
                <w:color w:val="080C0F" w:themeColor="text1"/>
              </w:rPr>
              <w:t xml:space="preserve">920 </w:t>
            </w:r>
          </w:p>
        </w:tc>
        <w:tc>
          <w:tcPr>
            <w:tcW w:w="779"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2244C6E" w14:textId="77777777" w:rsidR="00730DE4" w:rsidRPr="00730DE4" w:rsidRDefault="00730DE4" w:rsidP="008E4B6C">
            <w:pPr>
              <w:pStyle w:val="NoSpacing"/>
              <w:jc w:val="right"/>
              <w:rPr>
                <w:color w:val="080C0F" w:themeColor="text1"/>
              </w:rPr>
            </w:pPr>
            <w:r w:rsidRPr="00730DE4">
              <w:rPr>
                <w:color w:val="080C0F" w:themeColor="text1"/>
              </w:rPr>
              <w:t xml:space="preserve">3,494 </w:t>
            </w:r>
          </w:p>
        </w:tc>
      </w:tr>
      <w:tr w:rsidR="00730DE4" w:rsidRPr="00730DE4" w14:paraId="5FFEC461" w14:textId="77777777" w:rsidTr="00BE5C8B">
        <w:trPr>
          <w:trHeight w:val="23"/>
        </w:trPr>
        <w:tc>
          <w:tcPr>
            <w:tcW w:w="3443"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2E26F5FB" w14:textId="77777777" w:rsidR="00730DE4" w:rsidRPr="00730DE4" w:rsidRDefault="00730DE4" w:rsidP="008E4B6C">
            <w:pPr>
              <w:pStyle w:val="NoSpacing"/>
              <w:rPr>
                <w:color w:val="080C0F" w:themeColor="text1"/>
              </w:rPr>
            </w:pPr>
            <w:r w:rsidRPr="00730DE4">
              <w:rPr>
                <w:color w:val="080C0F" w:themeColor="text1"/>
              </w:rPr>
              <w:t xml:space="preserve">Other </w:t>
            </w:r>
          </w:p>
        </w:tc>
        <w:tc>
          <w:tcPr>
            <w:tcW w:w="77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27B778D9" w14:textId="77777777" w:rsidR="00730DE4" w:rsidRPr="00730DE4" w:rsidRDefault="00730DE4" w:rsidP="008E4B6C">
            <w:pPr>
              <w:pStyle w:val="NoSpacing"/>
              <w:jc w:val="right"/>
              <w:rPr>
                <w:color w:val="080C0F" w:themeColor="text1"/>
              </w:rPr>
            </w:pPr>
            <w:r w:rsidRPr="00730DE4">
              <w:rPr>
                <w:color w:val="080C0F" w:themeColor="text1"/>
              </w:rPr>
              <w:t xml:space="preserve">543 </w:t>
            </w:r>
          </w:p>
        </w:tc>
        <w:tc>
          <w:tcPr>
            <w:tcW w:w="779"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44A3EE6E" w14:textId="77777777" w:rsidR="00730DE4" w:rsidRPr="00730DE4" w:rsidRDefault="00730DE4" w:rsidP="008E4B6C">
            <w:pPr>
              <w:pStyle w:val="NoSpacing"/>
              <w:jc w:val="right"/>
              <w:rPr>
                <w:color w:val="080C0F" w:themeColor="text1"/>
              </w:rPr>
            </w:pPr>
            <w:r w:rsidRPr="00730DE4">
              <w:rPr>
                <w:color w:val="080C0F" w:themeColor="text1"/>
              </w:rPr>
              <w:t xml:space="preserve">527 </w:t>
            </w:r>
          </w:p>
        </w:tc>
      </w:tr>
      <w:tr w:rsidR="00730DE4" w:rsidRPr="00730DE4" w14:paraId="0B44E289" w14:textId="77777777" w:rsidTr="00BE5C8B">
        <w:tc>
          <w:tcPr>
            <w:tcW w:w="3443"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4BC0B5F3" w14:textId="77777777" w:rsidR="00730DE4" w:rsidRPr="00730DE4" w:rsidRDefault="00730DE4" w:rsidP="008E4B6C">
            <w:pPr>
              <w:pStyle w:val="NoSpacing"/>
              <w:rPr>
                <w:color w:val="080C0F" w:themeColor="text1"/>
              </w:rPr>
            </w:pPr>
            <w:r w:rsidRPr="00730DE4">
              <w:rPr>
                <w:rStyle w:val="Strong"/>
              </w:rPr>
              <w:t>Total</w:t>
            </w:r>
          </w:p>
        </w:tc>
        <w:tc>
          <w:tcPr>
            <w:tcW w:w="778"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3B10F6A8" w14:textId="77777777" w:rsidR="00730DE4" w:rsidRPr="00730DE4" w:rsidRDefault="00730DE4" w:rsidP="008E4B6C">
            <w:pPr>
              <w:pStyle w:val="NoSpacing"/>
              <w:jc w:val="right"/>
              <w:rPr>
                <w:color w:val="080C0F" w:themeColor="text1"/>
              </w:rPr>
            </w:pPr>
            <w:r w:rsidRPr="00730DE4">
              <w:rPr>
                <w:rStyle w:val="Strong"/>
              </w:rPr>
              <w:t xml:space="preserve">23,303 </w:t>
            </w:r>
          </w:p>
        </w:tc>
        <w:tc>
          <w:tcPr>
            <w:tcW w:w="779" w:type="pct"/>
            <w:tcBorders>
              <w:top w:val="single" w:sz="4" w:space="0" w:color="auto"/>
              <w:left w:val="dotted" w:sz="4" w:space="0" w:color="BFBFBF" w:themeColor="background1" w:themeShade="BF"/>
              <w:bottom w:val="double" w:sz="4" w:space="0" w:color="auto"/>
              <w:right w:val="nil"/>
            </w:tcBorders>
            <w:shd w:val="clear" w:color="auto" w:fill="auto"/>
            <w:noWrap/>
            <w:hideMark/>
          </w:tcPr>
          <w:p w14:paraId="14D35A88" w14:textId="77777777" w:rsidR="00730DE4" w:rsidRPr="00730DE4" w:rsidRDefault="00730DE4" w:rsidP="008E4B6C">
            <w:pPr>
              <w:pStyle w:val="NoSpacing"/>
              <w:jc w:val="right"/>
              <w:rPr>
                <w:rStyle w:val="Strong"/>
              </w:rPr>
            </w:pPr>
            <w:r w:rsidRPr="00730DE4">
              <w:rPr>
                <w:rStyle w:val="Strong"/>
              </w:rPr>
              <w:t xml:space="preserve">32,865 </w:t>
            </w:r>
          </w:p>
        </w:tc>
      </w:tr>
    </w:tbl>
    <w:p w14:paraId="6CB34E0D" w14:textId="77777777" w:rsidR="00730DE4" w:rsidRPr="00730DE4" w:rsidRDefault="00730DE4" w:rsidP="00942991">
      <w:pPr>
        <w:pStyle w:val="List0"/>
      </w:pPr>
      <w:r w:rsidRPr="00730DE4">
        <w:t>* Total audit fees quoted by the Queensland Audit Office in 2024 were $1.840m. These comprise of $0.873m relating to these financial statements and $0.967m relating to the Queensland Audit Office audit of the report on service provider controls at Queensland Shared Services, CITEC and the Corporate Administration Agency. Actual fees paid relating to the 2023 audit were $0.786m for the financial statements and $0.231m for the service provider controls report which covered the period of 18 May 2023 to 30 June 2023.</w:t>
      </w:r>
    </w:p>
    <w:p w14:paraId="35C62FFA" w14:textId="77777777" w:rsidR="00730DE4" w:rsidRPr="00730DE4" w:rsidRDefault="00730DE4" w:rsidP="00942991">
      <w:pPr>
        <w:pStyle w:val="List1"/>
      </w:pPr>
      <w:r w:rsidRPr="00730DE4">
        <w:t>** Relates mainly to probity audits associated with road infrastructure projects.</w:t>
      </w:r>
    </w:p>
    <w:p w14:paraId="0F2B48FD" w14:textId="77777777" w:rsidR="00730DE4" w:rsidRPr="00730DE4" w:rsidRDefault="00730DE4" w:rsidP="00942991">
      <w:pPr>
        <w:pStyle w:val="List6"/>
      </w:pPr>
      <w:r w:rsidRPr="00730DE4">
        <w:t>*** Special payments represent ex gratia expenditure and other expenditure that the department is not contractually or legally obligated to make to other parties. There were 22 special payments made over $5000 in 2024 (2023: 38 payments) comprising of:</w:t>
      </w:r>
    </w:p>
    <w:p w14:paraId="0A9BCA1C" w14:textId="77777777" w:rsidR="00730DE4" w:rsidRPr="00730DE4" w:rsidRDefault="00730DE4" w:rsidP="00730DE4">
      <w:pPr>
        <w:pStyle w:val="Caption"/>
        <w:numPr>
          <w:ilvl w:val="0"/>
          <w:numId w:val="9"/>
        </w:numPr>
      </w:pPr>
      <w:r w:rsidRPr="00730DE4">
        <w:t>14 compensation claims related to property damage and disruption payments associated with operation of the state-controlled road network</w:t>
      </w:r>
    </w:p>
    <w:p w14:paraId="15A5507E" w14:textId="77777777" w:rsidR="00730DE4" w:rsidRPr="00730DE4" w:rsidRDefault="00730DE4" w:rsidP="00730DE4">
      <w:pPr>
        <w:pStyle w:val="Caption"/>
        <w:numPr>
          <w:ilvl w:val="0"/>
          <w:numId w:val="9"/>
        </w:numPr>
      </w:pPr>
      <w:r w:rsidRPr="00730DE4">
        <w:t>three ex gratia payments for School Transport Assistance Scheme Voluntary Optimisation</w:t>
      </w:r>
    </w:p>
    <w:p w14:paraId="020DADB8" w14:textId="77777777" w:rsidR="00730DE4" w:rsidRPr="00730DE4" w:rsidRDefault="00730DE4" w:rsidP="00730DE4">
      <w:pPr>
        <w:pStyle w:val="Caption"/>
        <w:numPr>
          <w:ilvl w:val="0"/>
          <w:numId w:val="9"/>
        </w:numPr>
      </w:pPr>
      <w:r w:rsidRPr="00730DE4">
        <w:t>an ex gratia payment related to employment matters</w:t>
      </w:r>
    </w:p>
    <w:p w14:paraId="61CE2B4E" w14:textId="77777777" w:rsidR="00730DE4" w:rsidRPr="00730DE4" w:rsidRDefault="00730DE4" w:rsidP="00730DE4">
      <w:pPr>
        <w:pStyle w:val="Caption"/>
        <w:numPr>
          <w:ilvl w:val="0"/>
          <w:numId w:val="9"/>
        </w:numPr>
      </w:pPr>
      <w:r w:rsidRPr="00730DE4">
        <w:t>an ex gratia payment related to property damage</w:t>
      </w:r>
    </w:p>
    <w:p w14:paraId="3D6049C6" w14:textId="77777777" w:rsidR="00730DE4" w:rsidRPr="00730DE4" w:rsidRDefault="00730DE4" w:rsidP="00730DE4">
      <w:pPr>
        <w:pStyle w:val="Caption"/>
        <w:numPr>
          <w:ilvl w:val="0"/>
          <w:numId w:val="9"/>
        </w:numPr>
      </w:pPr>
      <w:r w:rsidRPr="00730DE4">
        <w:t>an out of court settlement and</w:t>
      </w:r>
    </w:p>
    <w:p w14:paraId="31FAF3C4" w14:textId="77777777" w:rsidR="00730DE4" w:rsidRPr="00730DE4" w:rsidRDefault="00730DE4" w:rsidP="00730DE4">
      <w:pPr>
        <w:pStyle w:val="Caption"/>
        <w:numPr>
          <w:ilvl w:val="0"/>
          <w:numId w:val="9"/>
        </w:numPr>
      </w:pPr>
      <w:r w:rsidRPr="00730DE4">
        <w:t>two court awarded damages payments.</w:t>
      </w:r>
    </w:p>
    <w:p w14:paraId="036680F2" w14:textId="77777777" w:rsidR="00730DE4" w:rsidRPr="00730DE4" w:rsidRDefault="00730DE4" w:rsidP="00412C33">
      <w:pPr>
        <w:pStyle w:val="Caption"/>
      </w:pPr>
      <w:r w:rsidRPr="00730DE4">
        <w:t>The department's total other expenses was $57.789m in 2024 (2023: $61.461m). Of this $34.486m (2023: $28.596m) was capitalised to construction work in progress leaving $23.303m (2023: $32.865m) reported as other expenses.</w:t>
      </w:r>
    </w:p>
    <w:p w14:paraId="0E6D761F" w14:textId="77777777" w:rsidR="00730DE4" w:rsidRPr="00730DE4" w:rsidRDefault="00730DE4" w:rsidP="003C13D4">
      <w:pPr>
        <w:rPr>
          <w:rStyle w:val="Strong"/>
        </w:rPr>
      </w:pPr>
      <w:r w:rsidRPr="00730DE4">
        <w:rPr>
          <w:rStyle w:val="Strong"/>
        </w:rPr>
        <w:br w:type="page"/>
      </w:r>
    </w:p>
    <w:p w14:paraId="18592B34" w14:textId="77777777" w:rsidR="00730DE4" w:rsidRPr="00730DE4" w:rsidRDefault="00730DE4" w:rsidP="003C13D4">
      <w:pPr>
        <w:rPr>
          <w:rStyle w:val="Strong"/>
        </w:rPr>
      </w:pPr>
      <w:r w:rsidRPr="00730DE4">
        <w:rPr>
          <w:rStyle w:val="Strong"/>
        </w:rPr>
        <w:t>Insurance</w:t>
      </w:r>
    </w:p>
    <w:p w14:paraId="2FDB1640" w14:textId="77777777" w:rsidR="00730DE4" w:rsidRPr="00730DE4" w:rsidRDefault="00730DE4" w:rsidP="003C13D4">
      <w:pPr>
        <w:rPr>
          <w:color w:val="080C0F" w:themeColor="text1"/>
        </w:rPr>
      </w:pPr>
      <w:r w:rsidRPr="00730DE4">
        <w:rPr>
          <w:color w:val="080C0F" w:themeColor="text1"/>
        </w:rPr>
        <w:t xml:space="preserve">With the exception of bridge and tunnel assets, the department’s road assets are not insured. The risk associated with these assets is therefore borne by government. In certain circumstances, damage to the road network may be proportionally covered through the Australian Government’s </w:t>
      </w:r>
      <w:r w:rsidRPr="00730DE4">
        <w:rPr>
          <w:i/>
          <w:iCs/>
          <w:color w:val="080C0F" w:themeColor="text1"/>
        </w:rPr>
        <w:t>Disaster Recovery Funding Arrangements</w:t>
      </w:r>
      <w:r w:rsidRPr="00730DE4">
        <w:rPr>
          <w:color w:val="080C0F" w:themeColor="text1"/>
        </w:rPr>
        <w:t xml:space="preserve">. </w:t>
      </w:r>
    </w:p>
    <w:p w14:paraId="02F15D1C" w14:textId="77777777" w:rsidR="00730DE4" w:rsidRPr="00730DE4" w:rsidRDefault="00730DE4" w:rsidP="003C13D4">
      <w:pPr>
        <w:rPr>
          <w:color w:val="080C0F" w:themeColor="text1"/>
        </w:rPr>
      </w:pPr>
      <w:r w:rsidRPr="00730DE4">
        <w:rPr>
          <w:color w:val="080C0F" w:themeColor="text1"/>
        </w:rPr>
        <w:t xml:space="preserve">The department insures its open tender road construction contract activities for material damage, public and products liability, environmental impairment liability and professional indemnity under the Principal Arranged Insurance Program. As well as providing cover for the department and its employees, it also covers the other parties to open tender construction contracts such as contractors and sub-contractors. </w:t>
      </w:r>
    </w:p>
    <w:p w14:paraId="008DB612" w14:textId="77777777" w:rsidR="00730DE4" w:rsidRPr="00730DE4" w:rsidRDefault="00730DE4" w:rsidP="003C13D4">
      <w:pPr>
        <w:rPr>
          <w:color w:val="080C0F" w:themeColor="text1"/>
        </w:rPr>
      </w:pPr>
      <w:r w:rsidRPr="00730DE4">
        <w:rPr>
          <w:color w:val="080C0F" w:themeColor="text1"/>
        </w:rPr>
        <w:t>The department’s project risks and other non-current physical assets are insured through the Queensland Government Insurance Fund, with the exception of land, and New Generation Rollingstock and Gold Coast Light Rail assets which are insured by the service operator. Under this scheme the department’s liability is limited to $10,000 for each claim.</w:t>
      </w:r>
    </w:p>
    <w:p w14:paraId="578E7B2D" w14:textId="77777777" w:rsidR="00730DE4" w:rsidRPr="00730DE4" w:rsidRDefault="00730DE4" w:rsidP="003C13D4">
      <w:pPr>
        <w:rPr>
          <w:color w:val="080C0F" w:themeColor="text1"/>
        </w:rPr>
      </w:pPr>
      <w:r w:rsidRPr="00730DE4">
        <w:rPr>
          <w:color w:val="080C0F" w:themeColor="text1"/>
        </w:rPr>
        <w:t>In addition, the department pays premiums to WorkCover Queensland for its obligations for employee compensation and insures its fleet assets through the open insurance market.</w:t>
      </w:r>
    </w:p>
    <w:p w14:paraId="10184563" w14:textId="77777777" w:rsidR="00730DE4" w:rsidRPr="00730DE4" w:rsidRDefault="00730DE4" w:rsidP="000F0A47">
      <w:pPr>
        <w:pStyle w:val="Heading3"/>
        <w:rPr>
          <w:rFonts w:eastAsia="Times New Roman"/>
          <w:lang w:eastAsia="en-AU"/>
        </w:rPr>
      </w:pPr>
      <w:r w:rsidRPr="00730DE4">
        <w:rPr>
          <w:rFonts w:eastAsia="Times New Roman"/>
          <w:lang w:eastAsia="en-AU"/>
        </w:rPr>
        <w:br w:type="page"/>
      </w:r>
    </w:p>
    <w:p w14:paraId="0E2A97BF" w14:textId="77777777" w:rsidR="00730DE4" w:rsidRPr="00730DE4" w:rsidRDefault="00730DE4" w:rsidP="000F0A47">
      <w:pPr>
        <w:pStyle w:val="Heading3"/>
      </w:pPr>
      <w:bookmarkStart w:id="1502" w:name="_Toc179365606"/>
      <w:bookmarkStart w:id="1503" w:name="_Toc180490930"/>
      <w:bookmarkStart w:id="1504" w:name="_Toc180491963"/>
      <w:r w:rsidRPr="00730DE4">
        <w:rPr>
          <w:rFonts w:eastAsia="Times New Roman"/>
          <w:lang w:eastAsia="en-AU"/>
        </w:rPr>
        <w:t>Notes about our Financial Position</w:t>
      </w:r>
      <w:bookmarkEnd w:id="1502"/>
      <w:bookmarkEnd w:id="1503"/>
      <w:bookmarkEnd w:id="1504"/>
    </w:p>
    <w:p w14:paraId="130C3762" w14:textId="77777777" w:rsidR="00730DE4" w:rsidRPr="00730DE4" w:rsidRDefault="00730DE4" w:rsidP="000A6945">
      <w:pPr>
        <w:pStyle w:val="Heading4"/>
      </w:pPr>
      <w:bookmarkStart w:id="1505" w:name="_Toc179365607"/>
      <w:bookmarkStart w:id="1506" w:name="_Toc180490931"/>
      <w:bookmarkStart w:id="1507" w:name="_Toc180491964"/>
      <w:r w:rsidRPr="00730DE4">
        <w:t>12 Receivables</w:t>
      </w:r>
      <w:bookmarkEnd w:id="1505"/>
      <w:bookmarkEnd w:id="1506"/>
      <w:bookmarkEnd w:id="1507"/>
    </w:p>
    <w:tbl>
      <w:tblPr>
        <w:tblW w:w="5000" w:type="pct"/>
        <w:tblCellMar>
          <w:top w:w="23" w:type="dxa"/>
          <w:left w:w="23" w:type="dxa"/>
          <w:bottom w:w="23" w:type="dxa"/>
          <w:right w:w="23" w:type="dxa"/>
        </w:tblCellMar>
        <w:tblLook w:val="04A0" w:firstRow="1" w:lastRow="0" w:firstColumn="1" w:lastColumn="0" w:noHBand="0" w:noVBand="1"/>
      </w:tblPr>
      <w:tblGrid>
        <w:gridCol w:w="6236"/>
        <w:gridCol w:w="1419"/>
        <w:gridCol w:w="1415"/>
      </w:tblGrid>
      <w:tr w:rsidR="00730DE4" w:rsidRPr="00730DE4" w14:paraId="3FA482FD" w14:textId="77777777" w:rsidTr="00FB54DC">
        <w:trPr>
          <w:trHeight w:val="240"/>
        </w:trPr>
        <w:tc>
          <w:tcPr>
            <w:tcW w:w="3438" w:type="pct"/>
            <w:tcBorders>
              <w:top w:val="nil"/>
              <w:left w:val="nil"/>
              <w:bottom w:val="nil"/>
              <w:right w:val="nil"/>
            </w:tcBorders>
            <w:shd w:val="clear" w:color="auto" w:fill="auto"/>
            <w:noWrap/>
            <w:vAlign w:val="bottom"/>
            <w:hideMark/>
          </w:tcPr>
          <w:p w14:paraId="56B55888" w14:textId="77777777" w:rsidR="00730DE4" w:rsidRPr="00730DE4" w:rsidRDefault="00730DE4" w:rsidP="000D630F">
            <w:pPr>
              <w:pStyle w:val="NoSpacing"/>
            </w:pPr>
          </w:p>
        </w:tc>
        <w:tc>
          <w:tcPr>
            <w:tcW w:w="782" w:type="pct"/>
            <w:tcBorders>
              <w:top w:val="nil"/>
              <w:left w:val="nil"/>
              <w:bottom w:val="nil"/>
              <w:right w:val="nil"/>
            </w:tcBorders>
            <w:shd w:val="clear" w:color="auto" w:fill="auto"/>
            <w:noWrap/>
            <w:vAlign w:val="bottom"/>
            <w:hideMark/>
          </w:tcPr>
          <w:p w14:paraId="06124083" w14:textId="77777777" w:rsidR="00730DE4" w:rsidRPr="00730DE4" w:rsidRDefault="00730DE4" w:rsidP="000D630F">
            <w:pPr>
              <w:pStyle w:val="NoSpacing"/>
              <w:jc w:val="right"/>
              <w:rPr>
                <w:b/>
                <w:bCs/>
              </w:rPr>
            </w:pPr>
            <w:r w:rsidRPr="00730DE4">
              <w:rPr>
                <w:rStyle w:val="Strong"/>
              </w:rPr>
              <w:t xml:space="preserve">2024 </w:t>
            </w:r>
            <w:r w:rsidRPr="00730DE4">
              <w:rPr>
                <w:rStyle w:val="Strong"/>
              </w:rPr>
              <w:br/>
              <w:t>$'000</w:t>
            </w:r>
          </w:p>
        </w:tc>
        <w:tc>
          <w:tcPr>
            <w:tcW w:w="780" w:type="pct"/>
            <w:tcBorders>
              <w:top w:val="nil"/>
              <w:left w:val="nil"/>
              <w:bottom w:val="nil"/>
              <w:right w:val="nil"/>
            </w:tcBorders>
            <w:shd w:val="clear" w:color="auto" w:fill="auto"/>
            <w:noWrap/>
            <w:vAlign w:val="bottom"/>
            <w:hideMark/>
          </w:tcPr>
          <w:p w14:paraId="054192AC" w14:textId="77777777" w:rsidR="00730DE4" w:rsidRPr="00730DE4" w:rsidRDefault="00730DE4" w:rsidP="000D630F">
            <w:pPr>
              <w:pStyle w:val="NoSpacing"/>
              <w:jc w:val="right"/>
              <w:rPr>
                <w:rStyle w:val="Strong"/>
              </w:rPr>
            </w:pPr>
            <w:r w:rsidRPr="00730DE4">
              <w:rPr>
                <w:rStyle w:val="Strong"/>
              </w:rPr>
              <w:t xml:space="preserve">2023 </w:t>
            </w:r>
            <w:r w:rsidRPr="00730DE4">
              <w:rPr>
                <w:rStyle w:val="Strong"/>
              </w:rPr>
              <w:br/>
              <w:t>$'000</w:t>
            </w:r>
          </w:p>
        </w:tc>
      </w:tr>
      <w:tr w:rsidR="00730DE4" w:rsidRPr="00730DE4" w14:paraId="7A5114CF" w14:textId="77777777" w:rsidTr="00FB54DC">
        <w:trPr>
          <w:trHeight w:val="454"/>
        </w:trPr>
        <w:tc>
          <w:tcPr>
            <w:tcW w:w="3438"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541E7B9" w14:textId="77777777" w:rsidR="00730DE4" w:rsidRPr="00730DE4" w:rsidRDefault="00730DE4" w:rsidP="000D630F">
            <w:pPr>
              <w:pStyle w:val="NoSpacing"/>
              <w:rPr>
                <w:b/>
                <w:bCs/>
              </w:rPr>
            </w:pPr>
            <w:r w:rsidRPr="00730DE4">
              <w:rPr>
                <w:rStyle w:val="Strong"/>
              </w:rPr>
              <w:t>Current</w:t>
            </w:r>
          </w:p>
        </w:tc>
        <w:tc>
          <w:tcPr>
            <w:tcW w:w="782"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C636671" w14:textId="77777777" w:rsidR="00730DE4" w:rsidRPr="00730DE4" w:rsidRDefault="00730DE4" w:rsidP="000D630F">
            <w:pPr>
              <w:pStyle w:val="NoSpacing"/>
              <w:jc w:val="right"/>
              <w:rPr>
                <w:rStyle w:val="Strong"/>
              </w:rPr>
            </w:pPr>
          </w:p>
        </w:tc>
        <w:tc>
          <w:tcPr>
            <w:tcW w:w="780"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C5DECC5" w14:textId="77777777" w:rsidR="00730DE4" w:rsidRPr="00730DE4" w:rsidRDefault="00730DE4" w:rsidP="000D630F">
            <w:pPr>
              <w:pStyle w:val="NoSpacing"/>
              <w:jc w:val="right"/>
            </w:pPr>
          </w:p>
        </w:tc>
      </w:tr>
      <w:tr w:rsidR="00730DE4" w:rsidRPr="00730DE4" w14:paraId="14D551EB" w14:textId="77777777" w:rsidTr="00FB54DC">
        <w:trPr>
          <w:trHeight w:val="240"/>
        </w:trPr>
        <w:tc>
          <w:tcPr>
            <w:tcW w:w="343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139841D6" w14:textId="77777777" w:rsidR="00730DE4" w:rsidRPr="00730DE4" w:rsidRDefault="00730DE4" w:rsidP="000D630F">
            <w:pPr>
              <w:pStyle w:val="NoSpacing"/>
            </w:pPr>
            <w:r w:rsidRPr="00730DE4">
              <w:t>Trade debtors *</w:t>
            </w:r>
          </w:p>
        </w:tc>
        <w:tc>
          <w:tcPr>
            <w:tcW w:w="78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322734D" w14:textId="77777777" w:rsidR="00730DE4" w:rsidRPr="00730DE4" w:rsidRDefault="00730DE4" w:rsidP="000D630F">
            <w:pPr>
              <w:pStyle w:val="NoSpacing"/>
              <w:jc w:val="right"/>
            </w:pPr>
            <w:r w:rsidRPr="00730DE4">
              <w:t xml:space="preserve">381,090 </w:t>
            </w:r>
          </w:p>
        </w:tc>
        <w:tc>
          <w:tcPr>
            <w:tcW w:w="78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BAE3287" w14:textId="77777777" w:rsidR="00730DE4" w:rsidRPr="00730DE4" w:rsidRDefault="00730DE4" w:rsidP="000D630F">
            <w:pPr>
              <w:pStyle w:val="NoSpacing"/>
              <w:jc w:val="right"/>
            </w:pPr>
            <w:r w:rsidRPr="00730DE4">
              <w:t xml:space="preserve">118,072 </w:t>
            </w:r>
          </w:p>
        </w:tc>
      </w:tr>
      <w:tr w:rsidR="00730DE4" w:rsidRPr="00730DE4" w14:paraId="02DB9323" w14:textId="77777777" w:rsidTr="00FB54DC">
        <w:trPr>
          <w:trHeight w:val="240"/>
        </w:trPr>
        <w:tc>
          <w:tcPr>
            <w:tcW w:w="343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56B45500" w14:textId="77777777" w:rsidR="00730DE4" w:rsidRPr="00730DE4" w:rsidRDefault="00730DE4" w:rsidP="000D630F">
            <w:pPr>
              <w:pStyle w:val="NoSpacing"/>
            </w:pPr>
            <w:r w:rsidRPr="00730DE4">
              <w:t>Other debtors</w:t>
            </w:r>
          </w:p>
        </w:tc>
        <w:tc>
          <w:tcPr>
            <w:tcW w:w="78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F2DB66B" w14:textId="77777777" w:rsidR="00730DE4" w:rsidRPr="00730DE4" w:rsidRDefault="00730DE4" w:rsidP="000D630F">
            <w:pPr>
              <w:pStyle w:val="NoSpacing"/>
              <w:jc w:val="right"/>
            </w:pPr>
            <w:r w:rsidRPr="00730DE4">
              <w:t xml:space="preserve">6,524 </w:t>
            </w:r>
          </w:p>
        </w:tc>
        <w:tc>
          <w:tcPr>
            <w:tcW w:w="78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7BC0368" w14:textId="77777777" w:rsidR="00730DE4" w:rsidRPr="00730DE4" w:rsidRDefault="00730DE4" w:rsidP="000D630F">
            <w:pPr>
              <w:pStyle w:val="NoSpacing"/>
              <w:jc w:val="right"/>
            </w:pPr>
            <w:r w:rsidRPr="00730DE4">
              <w:t xml:space="preserve">5,320 </w:t>
            </w:r>
          </w:p>
        </w:tc>
      </w:tr>
      <w:tr w:rsidR="00730DE4" w:rsidRPr="00730DE4" w14:paraId="310EC6D5" w14:textId="77777777" w:rsidTr="00FB54DC">
        <w:trPr>
          <w:trHeight w:val="240"/>
        </w:trPr>
        <w:tc>
          <w:tcPr>
            <w:tcW w:w="3438"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3CA85DFD" w14:textId="77777777" w:rsidR="00730DE4" w:rsidRPr="00730DE4" w:rsidRDefault="00730DE4" w:rsidP="000D630F">
            <w:pPr>
              <w:pStyle w:val="NoSpacing"/>
            </w:pPr>
            <w:r w:rsidRPr="00730DE4">
              <w:t>Less: Loss allowance **</w:t>
            </w:r>
          </w:p>
        </w:tc>
        <w:tc>
          <w:tcPr>
            <w:tcW w:w="782"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222A7633" w14:textId="77777777" w:rsidR="00730DE4" w:rsidRPr="00730DE4" w:rsidRDefault="00730DE4" w:rsidP="000D630F">
            <w:pPr>
              <w:pStyle w:val="NoSpacing"/>
              <w:jc w:val="right"/>
            </w:pPr>
            <w:r w:rsidRPr="00730DE4">
              <w:t>(5,913)</w:t>
            </w:r>
          </w:p>
        </w:tc>
        <w:tc>
          <w:tcPr>
            <w:tcW w:w="780"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5205515A" w14:textId="77777777" w:rsidR="00730DE4" w:rsidRPr="00730DE4" w:rsidRDefault="00730DE4" w:rsidP="000D630F">
            <w:pPr>
              <w:pStyle w:val="NoSpacing"/>
              <w:jc w:val="right"/>
            </w:pPr>
            <w:r w:rsidRPr="00730DE4">
              <w:t>(5,358)</w:t>
            </w:r>
          </w:p>
        </w:tc>
      </w:tr>
      <w:tr w:rsidR="00730DE4" w:rsidRPr="00730DE4" w14:paraId="4F5314C8" w14:textId="77777777" w:rsidTr="00FB54DC">
        <w:trPr>
          <w:trHeight w:val="454"/>
        </w:trPr>
        <w:tc>
          <w:tcPr>
            <w:tcW w:w="3438"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hideMark/>
          </w:tcPr>
          <w:p w14:paraId="1EEEAAC1" w14:textId="77777777" w:rsidR="00730DE4" w:rsidRPr="00730DE4" w:rsidRDefault="00730DE4" w:rsidP="000D630F">
            <w:pPr>
              <w:pStyle w:val="NoSpacing"/>
              <w:jc w:val="right"/>
            </w:pPr>
            <w:r w:rsidRPr="00730DE4">
              <w:t> </w:t>
            </w:r>
          </w:p>
        </w:tc>
        <w:tc>
          <w:tcPr>
            <w:tcW w:w="782"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45196BA1" w14:textId="77777777" w:rsidR="00730DE4" w:rsidRPr="00730DE4" w:rsidRDefault="00730DE4" w:rsidP="000D630F">
            <w:pPr>
              <w:pStyle w:val="NoSpacing"/>
              <w:jc w:val="right"/>
              <w:rPr>
                <w:b/>
                <w:bCs/>
              </w:rPr>
            </w:pPr>
            <w:r w:rsidRPr="00730DE4">
              <w:rPr>
                <w:rStyle w:val="Strong"/>
              </w:rPr>
              <w:t xml:space="preserve">381,701 </w:t>
            </w:r>
          </w:p>
        </w:tc>
        <w:tc>
          <w:tcPr>
            <w:tcW w:w="780"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hideMark/>
          </w:tcPr>
          <w:p w14:paraId="7B42DE32" w14:textId="77777777" w:rsidR="00730DE4" w:rsidRPr="00730DE4" w:rsidRDefault="00730DE4" w:rsidP="000D630F">
            <w:pPr>
              <w:pStyle w:val="NoSpacing"/>
              <w:jc w:val="right"/>
              <w:rPr>
                <w:rStyle w:val="Strong"/>
              </w:rPr>
            </w:pPr>
            <w:r w:rsidRPr="00730DE4">
              <w:rPr>
                <w:rStyle w:val="Strong"/>
              </w:rPr>
              <w:t xml:space="preserve">118,034 </w:t>
            </w:r>
          </w:p>
        </w:tc>
      </w:tr>
      <w:tr w:rsidR="00730DE4" w:rsidRPr="00730DE4" w14:paraId="023424E5" w14:textId="77777777" w:rsidTr="00FB54DC">
        <w:trPr>
          <w:trHeight w:val="240"/>
        </w:trPr>
        <w:tc>
          <w:tcPr>
            <w:tcW w:w="343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415116CC" w14:textId="77777777" w:rsidR="00730DE4" w:rsidRPr="00730DE4" w:rsidRDefault="00730DE4" w:rsidP="000D630F">
            <w:pPr>
              <w:pStyle w:val="NoSpacing"/>
            </w:pPr>
            <w:r w:rsidRPr="00730DE4">
              <w:t>GST receivable</w:t>
            </w:r>
          </w:p>
        </w:tc>
        <w:tc>
          <w:tcPr>
            <w:tcW w:w="78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EE4574A" w14:textId="77777777" w:rsidR="00730DE4" w:rsidRPr="00730DE4" w:rsidRDefault="00730DE4" w:rsidP="000D630F">
            <w:pPr>
              <w:pStyle w:val="NoSpacing"/>
              <w:jc w:val="right"/>
            </w:pPr>
            <w:r w:rsidRPr="00730DE4">
              <w:t xml:space="preserve">110,295 </w:t>
            </w:r>
          </w:p>
        </w:tc>
        <w:tc>
          <w:tcPr>
            <w:tcW w:w="78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8F5A126" w14:textId="77777777" w:rsidR="00730DE4" w:rsidRPr="00730DE4" w:rsidRDefault="00730DE4" w:rsidP="000D630F">
            <w:pPr>
              <w:pStyle w:val="NoSpacing"/>
              <w:jc w:val="right"/>
            </w:pPr>
            <w:r w:rsidRPr="00730DE4">
              <w:t xml:space="preserve">97,795 </w:t>
            </w:r>
          </w:p>
        </w:tc>
      </w:tr>
      <w:tr w:rsidR="00730DE4" w:rsidRPr="00730DE4" w14:paraId="01B962D1" w14:textId="77777777" w:rsidTr="00FB54DC">
        <w:trPr>
          <w:trHeight w:val="240"/>
        </w:trPr>
        <w:tc>
          <w:tcPr>
            <w:tcW w:w="3438"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257822DC" w14:textId="77777777" w:rsidR="00730DE4" w:rsidRPr="00730DE4" w:rsidRDefault="00730DE4" w:rsidP="000D630F">
            <w:pPr>
              <w:pStyle w:val="NoSpacing"/>
            </w:pPr>
            <w:r w:rsidRPr="00730DE4">
              <w:t xml:space="preserve">GST payable </w:t>
            </w:r>
          </w:p>
        </w:tc>
        <w:tc>
          <w:tcPr>
            <w:tcW w:w="782"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0CDE1836" w14:textId="77777777" w:rsidR="00730DE4" w:rsidRPr="00730DE4" w:rsidRDefault="00730DE4" w:rsidP="000D630F">
            <w:pPr>
              <w:pStyle w:val="NoSpacing"/>
              <w:jc w:val="right"/>
            </w:pPr>
            <w:r w:rsidRPr="00730DE4">
              <w:t>(15,383)</w:t>
            </w:r>
          </w:p>
        </w:tc>
        <w:tc>
          <w:tcPr>
            <w:tcW w:w="780"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3F538245" w14:textId="77777777" w:rsidR="00730DE4" w:rsidRPr="00730DE4" w:rsidRDefault="00730DE4" w:rsidP="000D630F">
            <w:pPr>
              <w:pStyle w:val="NoSpacing"/>
              <w:jc w:val="right"/>
            </w:pPr>
            <w:r w:rsidRPr="00730DE4">
              <w:t>(11,676)</w:t>
            </w:r>
          </w:p>
        </w:tc>
      </w:tr>
      <w:tr w:rsidR="00730DE4" w:rsidRPr="00730DE4" w14:paraId="6B4F8A8C" w14:textId="77777777" w:rsidTr="00FB54DC">
        <w:trPr>
          <w:trHeight w:val="454"/>
        </w:trPr>
        <w:tc>
          <w:tcPr>
            <w:tcW w:w="3438"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hideMark/>
          </w:tcPr>
          <w:p w14:paraId="4010A5EC" w14:textId="77777777" w:rsidR="00730DE4" w:rsidRPr="00730DE4" w:rsidRDefault="00730DE4" w:rsidP="000D630F">
            <w:pPr>
              <w:pStyle w:val="NoSpacing"/>
              <w:jc w:val="right"/>
            </w:pPr>
            <w:r w:rsidRPr="00730DE4">
              <w:t> </w:t>
            </w:r>
          </w:p>
        </w:tc>
        <w:tc>
          <w:tcPr>
            <w:tcW w:w="782"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59BA18D7" w14:textId="77777777" w:rsidR="00730DE4" w:rsidRPr="00730DE4" w:rsidRDefault="00730DE4" w:rsidP="000D630F">
            <w:pPr>
              <w:pStyle w:val="NoSpacing"/>
              <w:jc w:val="right"/>
              <w:rPr>
                <w:b/>
                <w:bCs/>
              </w:rPr>
            </w:pPr>
            <w:r w:rsidRPr="00730DE4">
              <w:rPr>
                <w:rStyle w:val="Strong"/>
              </w:rPr>
              <w:t xml:space="preserve">94,912 </w:t>
            </w:r>
          </w:p>
        </w:tc>
        <w:tc>
          <w:tcPr>
            <w:tcW w:w="780"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hideMark/>
          </w:tcPr>
          <w:p w14:paraId="5357D33C" w14:textId="77777777" w:rsidR="00730DE4" w:rsidRPr="00730DE4" w:rsidRDefault="00730DE4" w:rsidP="000D630F">
            <w:pPr>
              <w:pStyle w:val="NoSpacing"/>
              <w:jc w:val="right"/>
              <w:rPr>
                <w:rStyle w:val="Strong"/>
              </w:rPr>
            </w:pPr>
            <w:r w:rsidRPr="00730DE4">
              <w:rPr>
                <w:rStyle w:val="Strong"/>
              </w:rPr>
              <w:t xml:space="preserve">86,119 </w:t>
            </w:r>
          </w:p>
        </w:tc>
      </w:tr>
      <w:tr w:rsidR="00730DE4" w:rsidRPr="00730DE4" w14:paraId="323A7456" w14:textId="77777777" w:rsidTr="00FB54DC">
        <w:trPr>
          <w:trHeight w:val="240"/>
        </w:trPr>
        <w:tc>
          <w:tcPr>
            <w:tcW w:w="343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65831052" w14:textId="77777777" w:rsidR="00730DE4" w:rsidRPr="00730DE4" w:rsidRDefault="00730DE4" w:rsidP="000D630F">
            <w:pPr>
              <w:pStyle w:val="NoSpacing"/>
            </w:pPr>
            <w:r w:rsidRPr="00730DE4">
              <w:t>Annual leave reimbursements</w:t>
            </w:r>
          </w:p>
        </w:tc>
        <w:tc>
          <w:tcPr>
            <w:tcW w:w="78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016168B" w14:textId="77777777" w:rsidR="00730DE4" w:rsidRPr="00730DE4" w:rsidRDefault="00730DE4" w:rsidP="000D630F">
            <w:pPr>
              <w:pStyle w:val="NoSpacing"/>
              <w:jc w:val="right"/>
            </w:pPr>
            <w:r w:rsidRPr="00730DE4">
              <w:t xml:space="preserve">20,786 </w:t>
            </w:r>
          </w:p>
        </w:tc>
        <w:tc>
          <w:tcPr>
            <w:tcW w:w="78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A6BBCE6" w14:textId="77777777" w:rsidR="00730DE4" w:rsidRPr="00730DE4" w:rsidRDefault="00730DE4" w:rsidP="000D630F">
            <w:pPr>
              <w:pStyle w:val="NoSpacing"/>
              <w:jc w:val="right"/>
            </w:pPr>
            <w:r w:rsidRPr="00730DE4">
              <w:t xml:space="preserve">19,931 </w:t>
            </w:r>
          </w:p>
        </w:tc>
      </w:tr>
      <w:tr w:rsidR="00730DE4" w:rsidRPr="00730DE4" w14:paraId="5E556AF2" w14:textId="77777777" w:rsidTr="00FB54DC">
        <w:trPr>
          <w:trHeight w:val="240"/>
        </w:trPr>
        <w:tc>
          <w:tcPr>
            <w:tcW w:w="343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078DC43D" w14:textId="77777777" w:rsidR="00730DE4" w:rsidRPr="00730DE4" w:rsidRDefault="00730DE4" w:rsidP="000D630F">
            <w:pPr>
              <w:pStyle w:val="NoSpacing"/>
            </w:pPr>
            <w:r w:rsidRPr="00730DE4">
              <w:t xml:space="preserve">Appropriation revenue receivable </w:t>
            </w:r>
          </w:p>
        </w:tc>
        <w:tc>
          <w:tcPr>
            <w:tcW w:w="78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4AE0617" w14:textId="77777777" w:rsidR="00730DE4" w:rsidRPr="00730DE4" w:rsidRDefault="00730DE4" w:rsidP="000D630F">
            <w:pPr>
              <w:pStyle w:val="NoSpacing"/>
              <w:jc w:val="right"/>
            </w:pPr>
            <w:r w:rsidRPr="00730DE4">
              <w:t xml:space="preserve">- </w:t>
            </w:r>
          </w:p>
        </w:tc>
        <w:tc>
          <w:tcPr>
            <w:tcW w:w="78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32C8776" w14:textId="77777777" w:rsidR="00730DE4" w:rsidRPr="00730DE4" w:rsidRDefault="00730DE4" w:rsidP="000D630F">
            <w:pPr>
              <w:pStyle w:val="NoSpacing"/>
              <w:jc w:val="right"/>
            </w:pPr>
            <w:r w:rsidRPr="00730DE4">
              <w:t xml:space="preserve">7,483 </w:t>
            </w:r>
          </w:p>
        </w:tc>
      </w:tr>
      <w:tr w:rsidR="00730DE4" w:rsidRPr="00730DE4" w14:paraId="04670C3F" w14:textId="77777777" w:rsidTr="00FB54DC">
        <w:trPr>
          <w:trHeight w:val="240"/>
        </w:trPr>
        <w:tc>
          <w:tcPr>
            <w:tcW w:w="343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0DF49EC9" w14:textId="77777777" w:rsidR="00730DE4" w:rsidRPr="00730DE4" w:rsidRDefault="00730DE4" w:rsidP="000D630F">
            <w:pPr>
              <w:pStyle w:val="NoSpacing"/>
            </w:pPr>
            <w:r w:rsidRPr="00730DE4">
              <w:t>Equity adjustment receivable</w:t>
            </w:r>
          </w:p>
        </w:tc>
        <w:tc>
          <w:tcPr>
            <w:tcW w:w="78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C7C3977" w14:textId="77777777" w:rsidR="00730DE4" w:rsidRPr="00730DE4" w:rsidRDefault="00730DE4" w:rsidP="000D630F">
            <w:pPr>
              <w:pStyle w:val="NoSpacing"/>
              <w:jc w:val="right"/>
            </w:pPr>
            <w:r w:rsidRPr="00730DE4">
              <w:t xml:space="preserve">23 </w:t>
            </w:r>
          </w:p>
        </w:tc>
        <w:tc>
          <w:tcPr>
            <w:tcW w:w="78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44B59021" w14:textId="77777777" w:rsidR="00730DE4" w:rsidRPr="00730DE4" w:rsidRDefault="00730DE4" w:rsidP="000D630F">
            <w:pPr>
              <w:pStyle w:val="NoSpacing"/>
              <w:jc w:val="right"/>
            </w:pPr>
            <w:r w:rsidRPr="00730DE4">
              <w:t xml:space="preserve">2,032 </w:t>
            </w:r>
          </w:p>
        </w:tc>
      </w:tr>
      <w:tr w:rsidR="00730DE4" w:rsidRPr="00730DE4" w14:paraId="1685646A" w14:textId="77777777" w:rsidTr="00FB54DC">
        <w:trPr>
          <w:trHeight w:val="240"/>
        </w:trPr>
        <w:tc>
          <w:tcPr>
            <w:tcW w:w="343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004D8097" w14:textId="77777777" w:rsidR="00730DE4" w:rsidRPr="00730DE4" w:rsidRDefault="00730DE4" w:rsidP="000D630F">
            <w:pPr>
              <w:pStyle w:val="NoSpacing"/>
            </w:pPr>
            <w:r w:rsidRPr="00730DE4">
              <w:t>Long service leave reimbursements</w:t>
            </w:r>
          </w:p>
        </w:tc>
        <w:tc>
          <w:tcPr>
            <w:tcW w:w="78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84AE112" w14:textId="77777777" w:rsidR="00730DE4" w:rsidRPr="00730DE4" w:rsidRDefault="00730DE4" w:rsidP="000D630F">
            <w:pPr>
              <w:pStyle w:val="NoSpacing"/>
              <w:jc w:val="right"/>
            </w:pPr>
            <w:r w:rsidRPr="00730DE4">
              <w:t xml:space="preserve">6,468 </w:t>
            </w:r>
          </w:p>
        </w:tc>
        <w:tc>
          <w:tcPr>
            <w:tcW w:w="78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BA93C92" w14:textId="77777777" w:rsidR="00730DE4" w:rsidRPr="00730DE4" w:rsidRDefault="00730DE4" w:rsidP="000D630F">
            <w:pPr>
              <w:pStyle w:val="NoSpacing"/>
              <w:jc w:val="right"/>
            </w:pPr>
            <w:r w:rsidRPr="00730DE4">
              <w:t xml:space="preserve">6,427 </w:t>
            </w:r>
          </w:p>
        </w:tc>
      </w:tr>
      <w:tr w:rsidR="00730DE4" w:rsidRPr="00730DE4" w14:paraId="3838F5A7" w14:textId="77777777" w:rsidTr="00FB54DC">
        <w:trPr>
          <w:trHeight w:val="240"/>
        </w:trPr>
        <w:tc>
          <w:tcPr>
            <w:tcW w:w="3438"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1669F2E7" w14:textId="77777777" w:rsidR="00730DE4" w:rsidRPr="00730DE4" w:rsidRDefault="00730DE4" w:rsidP="000D630F">
            <w:pPr>
              <w:pStyle w:val="NoSpacing"/>
            </w:pPr>
            <w:r w:rsidRPr="00730DE4">
              <w:t xml:space="preserve">Other </w:t>
            </w:r>
          </w:p>
        </w:tc>
        <w:tc>
          <w:tcPr>
            <w:tcW w:w="782"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79984AD3" w14:textId="77777777" w:rsidR="00730DE4" w:rsidRPr="00730DE4" w:rsidRDefault="00730DE4" w:rsidP="000D630F">
            <w:pPr>
              <w:pStyle w:val="NoSpacing"/>
              <w:jc w:val="right"/>
            </w:pPr>
            <w:r w:rsidRPr="00730DE4">
              <w:t xml:space="preserve">877 </w:t>
            </w:r>
          </w:p>
        </w:tc>
        <w:tc>
          <w:tcPr>
            <w:tcW w:w="780"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627B88B8" w14:textId="77777777" w:rsidR="00730DE4" w:rsidRPr="00730DE4" w:rsidRDefault="00730DE4" w:rsidP="000D630F">
            <w:pPr>
              <w:pStyle w:val="NoSpacing"/>
              <w:jc w:val="right"/>
            </w:pPr>
            <w:r w:rsidRPr="00730DE4">
              <w:t xml:space="preserve">5,038 </w:t>
            </w:r>
          </w:p>
        </w:tc>
      </w:tr>
      <w:tr w:rsidR="00730DE4" w:rsidRPr="00730DE4" w14:paraId="1E2164CD" w14:textId="77777777" w:rsidTr="00FB54DC">
        <w:tc>
          <w:tcPr>
            <w:tcW w:w="3438" w:type="pct"/>
            <w:tcBorders>
              <w:top w:val="single" w:sz="4" w:space="0" w:color="auto"/>
              <w:left w:val="nil"/>
              <w:bottom w:val="single" w:sz="4" w:space="0" w:color="auto"/>
              <w:right w:val="dotted" w:sz="4" w:space="0" w:color="BFBFBF" w:themeColor="background1" w:themeShade="BF"/>
            </w:tcBorders>
            <w:shd w:val="clear" w:color="auto" w:fill="auto"/>
            <w:noWrap/>
            <w:hideMark/>
          </w:tcPr>
          <w:p w14:paraId="7C34D657" w14:textId="77777777" w:rsidR="00730DE4" w:rsidRPr="00730DE4" w:rsidRDefault="00730DE4" w:rsidP="000D630F">
            <w:pPr>
              <w:pStyle w:val="NoSpacing"/>
              <w:jc w:val="right"/>
            </w:pPr>
          </w:p>
        </w:tc>
        <w:tc>
          <w:tcPr>
            <w:tcW w:w="782"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hideMark/>
          </w:tcPr>
          <w:p w14:paraId="120FBD2C" w14:textId="77777777" w:rsidR="00730DE4" w:rsidRPr="00730DE4" w:rsidRDefault="00730DE4" w:rsidP="000D630F">
            <w:pPr>
              <w:pStyle w:val="NoSpacing"/>
              <w:jc w:val="right"/>
              <w:rPr>
                <w:b/>
                <w:bCs/>
              </w:rPr>
            </w:pPr>
            <w:r w:rsidRPr="00730DE4">
              <w:rPr>
                <w:rStyle w:val="Strong"/>
              </w:rPr>
              <w:t xml:space="preserve">28,154 </w:t>
            </w:r>
          </w:p>
        </w:tc>
        <w:tc>
          <w:tcPr>
            <w:tcW w:w="780" w:type="pct"/>
            <w:tcBorders>
              <w:top w:val="single" w:sz="4" w:space="0" w:color="auto"/>
              <w:left w:val="dotted" w:sz="4" w:space="0" w:color="BFBFBF" w:themeColor="background1" w:themeShade="BF"/>
              <w:bottom w:val="single" w:sz="4" w:space="0" w:color="auto"/>
              <w:right w:val="nil"/>
            </w:tcBorders>
            <w:shd w:val="clear" w:color="auto" w:fill="auto"/>
            <w:noWrap/>
            <w:hideMark/>
          </w:tcPr>
          <w:p w14:paraId="00D8F450" w14:textId="77777777" w:rsidR="00730DE4" w:rsidRPr="00730DE4" w:rsidRDefault="00730DE4" w:rsidP="000D630F">
            <w:pPr>
              <w:pStyle w:val="NoSpacing"/>
              <w:jc w:val="right"/>
              <w:rPr>
                <w:rStyle w:val="Strong"/>
              </w:rPr>
            </w:pPr>
            <w:r w:rsidRPr="00730DE4">
              <w:rPr>
                <w:rStyle w:val="Strong"/>
              </w:rPr>
              <w:t xml:space="preserve">40,911 </w:t>
            </w:r>
          </w:p>
        </w:tc>
      </w:tr>
      <w:tr w:rsidR="00730DE4" w:rsidRPr="00730DE4" w14:paraId="265CFD9E" w14:textId="77777777" w:rsidTr="00FB54DC">
        <w:tc>
          <w:tcPr>
            <w:tcW w:w="3438"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0224C7BF" w14:textId="77777777" w:rsidR="00730DE4" w:rsidRPr="00730DE4" w:rsidRDefault="00730DE4" w:rsidP="000D630F">
            <w:pPr>
              <w:pStyle w:val="NoSpacing"/>
              <w:rPr>
                <w:b/>
                <w:bCs/>
              </w:rPr>
            </w:pPr>
            <w:r w:rsidRPr="00730DE4">
              <w:rPr>
                <w:rStyle w:val="Strong"/>
              </w:rPr>
              <w:t>Total</w:t>
            </w:r>
          </w:p>
        </w:tc>
        <w:tc>
          <w:tcPr>
            <w:tcW w:w="782"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580F9D00" w14:textId="77777777" w:rsidR="00730DE4" w:rsidRPr="00730DE4" w:rsidRDefault="00730DE4" w:rsidP="000D630F">
            <w:pPr>
              <w:pStyle w:val="NoSpacing"/>
              <w:jc w:val="right"/>
              <w:rPr>
                <w:b/>
                <w:bCs/>
              </w:rPr>
            </w:pPr>
            <w:r w:rsidRPr="00730DE4">
              <w:rPr>
                <w:rStyle w:val="Strong"/>
              </w:rPr>
              <w:t xml:space="preserve">504,767 </w:t>
            </w:r>
          </w:p>
        </w:tc>
        <w:tc>
          <w:tcPr>
            <w:tcW w:w="780" w:type="pct"/>
            <w:tcBorders>
              <w:top w:val="single" w:sz="4" w:space="0" w:color="auto"/>
              <w:left w:val="dotted" w:sz="4" w:space="0" w:color="BFBFBF" w:themeColor="background1" w:themeShade="BF"/>
              <w:bottom w:val="double" w:sz="4" w:space="0" w:color="auto"/>
              <w:right w:val="nil"/>
            </w:tcBorders>
            <w:shd w:val="clear" w:color="auto" w:fill="auto"/>
            <w:noWrap/>
            <w:hideMark/>
          </w:tcPr>
          <w:p w14:paraId="6A06EA72" w14:textId="77777777" w:rsidR="00730DE4" w:rsidRPr="00730DE4" w:rsidRDefault="00730DE4" w:rsidP="000D630F">
            <w:pPr>
              <w:pStyle w:val="NoSpacing"/>
              <w:jc w:val="right"/>
              <w:rPr>
                <w:rStyle w:val="Strong"/>
              </w:rPr>
            </w:pPr>
            <w:r w:rsidRPr="00730DE4">
              <w:rPr>
                <w:rStyle w:val="Strong"/>
              </w:rPr>
              <w:t xml:space="preserve">245,064 </w:t>
            </w:r>
          </w:p>
        </w:tc>
      </w:tr>
      <w:tr w:rsidR="00730DE4" w:rsidRPr="00730DE4" w14:paraId="7D913BB8" w14:textId="77777777" w:rsidTr="00FB54DC">
        <w:trPr>
          <w:trHeight w:val="454"/>
        </w:trPr>
        <w:tc>
          <w:tcPr>
            <w:tcW w:w="3438" w:type="pct"/>
            <w:tcBorders>
              <w:top w:val="doub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587A66F2" w14:textId="77777777" w:rsidR="00730DE4" w:rsidRPr="00730DE4" w:rsidRDefault="00730DE4" w:rsidP="000D630F">
            <w:pPr>
              <w:pStyle w:val="NoSpacing"/>
              <w:rPr>
                <w:b/>
                <w:bCs/>
              </w:rPr>
            </w:pPr>
            <w:r w:rsidRPr="00730DE4">
              <w:rPr>
                <w:rStyle w:val="Strong"/>
              </w:rPr>
              <w:t>Non-current</w:t>
            </w:r>
          </w:p>
        </w:tc>
        <w:tc>
          <w:tcPr>
            <w:tcW w:w="782"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ACC35DE" w14:textId="77777777" w:rsidR="00730DE4" w:rsidRPr="00730DE4" w:rsidRDefault="00730DE4" w:rsidP="000D630F">
            <w:pPr>
              <w:pStyle w:val="NoSpacing"/>
              <w:jc w:val="right"/>
              <w:rPr>
                <w:rStyle w:val="Strong"/>
              </w:rPr>
            </w:pPr>
          </w:p>
        </w:tc>
        <w:tc>
          <w:tcPr>
            <w:tcW w:w="780" w:type="pct"/>
            <w:tcBorders>
              <w:top w:val="double" w:sz="4" w:space="0" w:color="auto"/>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73B6B54" w14:textId="77777777" w:rsidR="00730DE4" w:rsidRPr="00730DE4" w:rsidRDefault="00730DE4" w:rsidP="000D630F">
            <w:pPr>
              <w:pStyle w:val="NoSpacing"/>
              <w:jc w:val="right"/>
            </w:pPr>
          </w:p>
        </w:tc>
      </w:tr>
      <w:tr w:rsidR="00730DE4" w:rsidRPr="00730DE4" w14:paraId="73274A50" w14:textId="77777777" w:rsidTr="00FB54DC">
        <w:trPr>
          <w:trHeight w:val="240"/>
        </w:trPr>
        <w:tc>
          <w:tcPr>
            <w:tcW w:w="3438"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47AD099D" w14:textId="77777777" w:rsidR="00730DE4" w:rsidRPr="00730DE4" w:rsidRDefault="00730DE4" w:rsidP="000D630F">
            <w:pPr>
              <w:pStyle w:val="NoSpacing"/>
            </w:pPr>
            <w:r w:rsidRPr="00730DE4">
              <w:t>Sublease receivable</w:t>
            </w:r>
          </w:p>
        </w:tc>
        <w:tc>
          <w:tcPr>
            <w:tcW w:w="782"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5456AAF8" w14:textId="77777777" w:rsidR="00730DE4" w:rsidRPr="00730DE4" w:rsidRDefault="00730DE4" w:rsidP="000D630F">
            <w:pPr>
              <w:pStyle w:val="NoSpacing"/>
              <w:jc w:val="right"/>
            </w:pPr>
            <w:r w:rsidRPr="00730DE4">
              <w:t xml:space="preserve">3,452 </w:t>
            </w:r>
          </w:p>
        </w:tc>
        <w:tc>
          <w:tcPr>
            <w:tcW w:w="780"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1BE9CB41" w14:textId="77777777" w:rsidR="00730DE4" w:rsidRPr="00730DE4" w:rsidRDefault="00730DE4" w:rsidP="000D630F">
            <w:pPr>
              <w:pStyle w:val="NoSpacing"/>
              <w:jc w:val="right"/>
            </w:pPr>
            <w:r w:rsidRPr="00730DE4">
              <w:t xml:space="preserve">3,421 </w:t>
            </w:r>
          </w:p>
        </w:tc>
      </w:tr>
      <w:tr w:rsidR="00730DE4" w:rsidRPr="00730DE4" w14:paraId="2DF245A0" w14:textId="77777777" w:rsidTr="00FB54DC">
        <w:tc>
          <w:tcPr>
            <w:tcW w:w="3438"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455AC6C3" w14:textId="77777777" w:rsidR="00730DE4" w:rsidRPr="00730DE4" w:rsidRDefault="00730DE4" w:rsidP="000D630F">
            <w:pPr>
              <w:pStyle w:val="NoSpacing"/>
              <w:rPr>
                <w:b/>
                <w:bCs/>
              </w:rPr>
            </w:pPr>
            <w:r w:rsidRPr="00730DE4">
              <w:rPr>
                <w:rStyle w:val="Strong"/>
              </w:rPr>
              <w:t>Total</w:t>
            </w:r>
          </w:p>
        </w:tc>
        <w:tc>
          <w:tcPr>
            <w:tcW w:w="782"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46880FAA" w14:textId="77777777" w:rsidR="00730DE4" w:rsidRPr="00730DE4" w:rsidRDefault="00730DE4" w:rsidP="000D630F">
            <w:pPr>
              <w:pStyle w:val="NoSpacing"/>
              <w:jc w:val="right"/>
              <w:rPr>
                <w:b/>
                <w:bCs/>
              </w:rPr>
            </w:pPr>
            <w:r w:rsidRPr="00730DE4">
              <w:rPr>
                <w:rStyle w:val="Strong"/>
              </w:rPr>
              <w:t xml:space="preserve">3,452 </w:t>
            </w:r>
          </w:p>
        </w:tc>
        <w:tc>
          <w:tcPr>
            <w:tcW w:w="780" w:type="pct"/>
            <w:tcBorders>
              <w:top w:val="single" w:sz="4" w:space="0" w:color="auto"/>
              <w:left w:val="dotted" w:sz="4" w:space="0" w:color="BFBFBF" w:themeColor="background1" w:themeShade="BF"/>
              <w:bottom w:val="double" w:sz="4" w:space="0" w:color="auto"/>
              <w:right w:val="nil"/>
            </w:tcBorders>
            <w:shd w:val="clear" w:color="auto" w:fill="auto"/>
            <w:noWrap/>
            <w:hideMark/>
          </w:tcPr>
          <w:p w14:paraId="6CCDCB04" w14:textId="77777777" w:rsidR="00730DE4" w:rsidRPr="00730DE4" w:rsidRDefault="00730DE4" w:rsidP="000D630F">
            <w:pPr>
              <w:pStyle w:val="NoSpacing"/>
              <w:jc w:val="right"/>
              <w:rPr>
                <w:rStyle w:val="Strong"/>
              </w:rPr>
            </w:pPr>
            <w:r w:rsidRPr="00730DE4">
              <w:rPr>
                <w:rStyle w:val="Strong"/>
              </w:rPr>
              <w:t xml:space="preserve">3,421 </w:t>
            </w:r>
          </w:p>
        </w:tc>
      </w:tr>
      <w:tr w:rsidR="00730DE4" w:rsidRPr="00730DE4" w14:paraId="3D90E855" w14:textId="77777777" w:rsidTr="00FB54DC">
        <w:trPr>
          <w:trHeight w:val="454"/>
        </w:trPr>
        <w:tc>
          <w:tcPr>
            <w:tcW w:w="3438" w:type="pct"/>
            <w:tcBorders>
              <w:top w:val="doub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4265D7A1" w14:textId="77777777" w:rsidR="00730DE4" w:rsidRPr="00730DE4" w:rsidRDefault="00730DE4" w:rsidP="000D630F">
            <w:pPr>
              <w:pStyle w:val="NoSpacing"/>
              <w:rPr>
                <w:b/>
                <w:bCs/>
              </w:rPr>
            </w:pPr>
            <w:r w:rsidRPr="00730DE4">
              <w:rPr>
                <w:rStyle w:val="Strong"/>
              </w:rPr>
              <w:t>** Movements in the loss allowance</w:t>
            </w:r>
          </w:p>
        </w:tc>
        <w:tc>
          <w:tcPr>
            <w:tcW w:w="782"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80E006C" w14:textId="77777777" w:rsidR="00730DE4" w:rsidRPr="00730DE4" w:rsidRDefault="00730DE4" w:rsidP="000D630F">
            <w:pPr>
              <w:pStyle w:val="NoSpacing"/>
              <w:jc w:val="right"/>
              <w:rPr>
                <w:rStyle w:val="Strong"/>
              </w:rPr>
            </w:pPr>
          </w:p>
        </w:tc>
        <w:tc>
          <w:tcPr>
            <w:tcW w:w="780" w:type="pct"/>
            <w:tcBorders>
              <w:top w:val="double" w:sz="4" w:space="0" w:color="auto"/>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C330D45" w14:textId="77777777" w:rsidR="00730DE4" w:rsidRPr="00730DE4" w:rsidRDefault="00730DE4" w:rsidP="000D630F">
            <w:pPr>
              <w:pStyle w:val="NoSpacing"/>
              <w:jc w:val="right"/>
            </w:pPr>
          </w:p>
        </w:tc>
      </w:tr>
      <w:tr w:rsidR="00730DE4" w:rsidRPr="00730DE4" w14:paraId="178DF25C" w14:textId="77777777" w:rsidTr="00FB54DC">
        <w:trPr>
          <w:trHeight w:val="240"/>
        </w:trPr>
        <w:tc>
          <w:tcPr>
            <w:tcW w:w="343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B2DDDAA" w14:textId="77777777" w:rsidR="00730DE4" w:rsidRPr="00730DE4" w:rsidRDefault="00730DE4" w:rsidP="000D630F">
            <w:pPr>
              <w:pStyle w:val="NoSpacing"/>
            </w:pPr>
            <w:r w:rsidRPr="00730DE4">
              <w:t>Opening balance</w:t>
            </w:r>
          </w:p>
        </w:tc>
        <w:tc>
          <w:tcPr>
            <w:tcW w:w="78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99DCC54" w14:textId="77777777" w:rsidR="00730DE4" w:rsidRPr="00730DE4" w:rsidRDefault="00730DE4" w:rsidP="000D630F">
            <w:pPr>
              <w:pStyle w:val="NoSpacing"/>
              <w:jc w:val="right"/>
            </w:pPr>
            <w:r w:rsidRPr="00730DE4">
              <w:t xml:space="preserve">5,358 </w:t>
            </w:r>
          </w:p>
        </w:tc>
        <w:tc>
          <w:tcPr>
            <w:tcW w:w="78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5B478E0" w14:textId="77777777" w:rsidR="00730DE4" w:rsidRPr="00730DE4" w:rsidRDefault="00730DE4" w:rsidP="000D630F">
            <w:pPr>
              <w:pStyle w:val="NoSpacing"/>
              <w:jc w:val="right"/>
            </w:pPr>
            <w:r w:rsidRPr="00730DE4">
              <w:t xml:space="preserve">5,406 </w:t>
            </w:r>
          </w:p>
        </w:tc>
      </w:tr>
      <w:tr w:rsidR="00730DE4" w:rsidRPr="00730DE4" w14:paraId="5592C593" w14:textId="77777777" w:rsidTr="00FB54DC">
        <w:trPr>
          <w:trHeight w:val="240"/>
        </w:trPr>
        <w:tc>
          <w:tcPr>
            <w:tcW w:w="343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3B9763C0" w14:textId="77777777" w:rsidR="00730DE4" w:rsidRPr="00730DE4" w:rsidRDefault="00730DE4" w:rsidP="000D630F">
            <w:pPr>
              <w:pStyle w:val="NoSpacing"/>
            </w:pPr>
            <w:r w:rsidRPr="00730DE4">
              <w:t xml:space="preserve">Increase in allowance recognised in the operating result   </w:t>
            </w:r>
          </w:p>
        </w:tc>
        <w:tc>
          <w:tcPr>
            <w:tcW w:w="78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9DA9CA9" w14:textId="77777777" w:rsidR="00730DE4" w:rsidRPr="00730DE4" w:rsidRDefault="00730DE4" w:rsidP="000D630F">
            <w:pPr>
              <w:pStyle w:val="NoSpacing"/>
              <w:jc w:val="right"/>
            </w:pPr>
            <w:r w:rsidRPr="00730DE4">
              <w:t xml:space="preserve">1,824 </w:t>
            </w:r>
          </w:p>
        </w:tc>
        <w:tc>
          <w:tcPr>
            <w:tcW w:w="78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2B8C60E" w14:textId="77777777" w:rsidR="00730DE4" w:rsidRPr="00730DE4" w:rsidRDefault="00730DE4" w:rsidP="000D630F">
            <w:pPr>
              <w:pStyle w:val="NoSpacing"/>
              <w:jc w:val="right"/>
            </w:pPr>
            <w:r w:rsidRPr="00730DE4">
              <w:t xml:space="preserve">1,409 </w:t>
            </w:r>
          </w:p>
        </w:tc>
      </w:tr>
      <w:tr w:rsidR="00730DE4" w:rsidRPr="00730DE4" w14:paraId="6E8A3980" w14:textId="77777777" w:rsidTr="00FB54DC">
        <w:trPr>
          <w:trHeight w:val="240"/>
        </w:trPr>
        <w:tc>
          <w:tcPr>
            <w:tcW w:w="3438"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7AB284F8" w14:textId="77777777" w:rsidR="00730DE4" w:rsidRPr="00730DE4" w:rsidRDefault="00730DE4" w:rsidP="000D630F">
            <w:pPr>
              <w:pStyle w:val="NoSpacing"/>
            </w:pPr>
            <w:r w:rsidRPr="00730DE4">
              <w:t>Amounts written off during the year</w:t>
            </w:r>
          </w:p>
        </w:tc>
        <w:tc>
          <w:tcPr>
            <w:tcW w:w="782"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2DA425DE" w14:textId="77777777" w:rsidR="00730DE4" w:rsidRPr="00730DE4" w:rsidRDefault="00730DE4" w:rsidP="000D630F">
            <w:pPr>
              <w:pStyle w:val="NoSpacing"/>
              <w:jc w:val="right"/>
            </w:pPr>
            <w:r w:rsidRPr="00730DE4">
              <w:t>(1,269)</w:t>
            </w:r>
          </w:p>
        </w:tc>
        <w:tc>
          <w:tcPr>
            <w:tcW w:w="780"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0D4D6E39" w14:textId="77777777" w:rsidR="00730DE4" w:rsidRPr="00730DE4" w:rsidRDefault="00730DE4" w:rsidP="000D630F">
            <w:pPr>
              <w:pStyle w:val="NoSpacing"/>
              <w:jc w:val="right"/>
            </w:pPr>
            <w:r w:rsidRPr="00730DE4">
              <w:t>(1,457)</w:t>
            </w:r>
          </w:p>
        </w:tc>
      </w:tr>
      <w:tr w:rsidR="00730DE4" w:rsidRPr="00730DE4" w14:paraId="4469F729" w14:textId="77777777" w:rsidTr="00FB54DC">
        <w:tc>
          <w:tcPr>
            <w:tcW w:w="3438" w:type="pct"/>
            <w:tcBorders>
              <w:top w:val="single" w:sz="4" w:space="0" w:color="auto"/>
              <w:left w:val="nil"/>
              <w:bottom w:val="double" w:sz="6" w:space="0" w:color="auto"/>
              <w:right w:val="dotted" w:sz="4" w:space="0" w:color="BFBFBF" w:themeColor="background1" w:themeShade="BF"/>
            </w:tcBorders>
            <w:shd w:val="clear" w:color="auto" w:fill="auto"/>
            <w:noWrap/>
            <w:hideMark/>
          </w:tcPr>
          <w:p w14:paraId="47CCD790" w14:textId="77777777" w:rsidR="00730DE4" w:rsidRPr="00730DE4" w:rsidRDefault="00730DE4" w:rsidP="000D630F">
            <w:pPr>
              <w:pStyle w:val="NoSpacing"/>
            </w:pPr>
            <w:r w:rsidRPr="00730DE4">
              <w:t>Closing balance ***</w:t>
            </w:r>
          </w:p>
        </w:tc>
        <w:tc>
          <w:tcPr>
            <w:tcW w:w="782" w:type="pct"/>
            <w:tcBorders>
              <w:top w:val="single" w:sz="4" w:space="0" w:color="auto"/>
              <w:left w:val="dotted" w:sz="4" w:space="0" w:color="BFBFBF" w:themeColor="background1" w:themeShade="BF"/>
              <w:bottom w:val="double" w:sz="6" w:space="0" w:color="auto"/>
              <w:right w:val="dotted" w:sz="4" w:space="0" w:color="BFBFBF" w:themeColor="background1" w:themeShade="BF"/>
            </w:tcBorders>
            <w:shd w:val="clear" w:color="auto" w:fill="F2F2F2" w:themeFill="background1" w:themeFillShade="F2"/>
            <w:noWrap/>
            <w:hideMark/>
          </w:tcPr>
          <w:p w14:paraId="18769717" w14:textId="77777777" w:rsidR="00730DE4" w:rsidRPr="00730DE4" w:rsidRDefault="00730DE4" w:rsidP="000D630F">
            <w:pPr>
              <w:pStyle w:val="NoSpacing"/>
              <w:jc w:val="right"/>
            </w:pPr>
            <w:r w:rsidRPr="00730DE4">
              <w:t xml:space="preserve">5,913 </w:t>
            </w:r>
          </w:p>
        </w:tc>
        <w:tc>
          <w:tcPr>
            <w:tcW w:w="780" w:type="pct"/>
            <w:tcBorders>
              <w:top w:val="single" w:sz="4" w:space="0" w:color="auto"/>
              <w:left w:val="dotted" w:sz="4" w:space="0" w:color="BFBFBF" w:themeColor="background1" w:themeShade="BF"/>
              <w:bottom w:val="double" w:sz="6" w:space="0" w:color="auto"/>
              <w:right w:val="nil"/>
            </w:tcBorders>
            <w:shd w:val="clear" w:color="auto" w:fill="auto"/>
            <w:noWrap/>
            <w:hideMark/>
          </w:tcPr>
          <w:p w14:paraId="188F16CA" w14:textId="77777777" w:rsidR="00730DE4" w:rsidRPr="00730DE4" w:rsidRDefault="00730DE4" w:rsidP="000D630F">
            <w:pPr>
              <w:pStyle w:val="NoSpacing"/>
              <w:jc w:val="right"/>
            </w:pPr>
            <w:r w:rsidRPr="00730DE4">
              <w:t xml:space="preserve">5,358 </w:t>
            </w:r>
          </w:p>
        </w:tc>
      </w:tr>
    </w:tbl>
    <w:p w14:paraId="303BA714" w14:textId="77777777" w:rsidR="00730DE4" w:rsidRPr="00730DE4" w:rsidRDefault="00730DE4" w:rsidP="00942991">
      <w:pPr>
        <w:pStyle w:val="List0"/>
      </w:pPr>
      <w:r w:rsidRPr="00730DE4">
        <w:t>* The increase in 2024 includes income recognition of $274.590m (2023: $41.40m) from the Queensland Reconstruction Authority following natural disasters under the Disaster Recovery Funding Arrangements.</w:t>
      </w:r>
    </w:p>
    <w:p w14:paraId="7B85732B" w14:textId="77777777" w:rsidR="00730DE4" w:rsidRPr="00730DE4" w:rsidRDefault="00730DE4" w:rsidP="00942991">
      <w:pPr>
        <w:pStyle w:val="List6"/>
      </w:pPr>
      <w:r w:rsidRPr="00730DE4">
        <w:t xml:space="preserve">*** Individually impaired financial assets are more than 90 days overdue. </w:t>
      </w:r>
    </w:p>
    <w:p w14:paraId="49A02EB5" w14:textId="77777777" w:rsidR="00730DE4" w:rsidRPr="00730DE4" w:rsidRDefault="00730DE4" w:rsidP="003C13D4">
      <w:pPr>
        <w:rPr>
          <w:rStyle w:val="Strong"/>
        </w:rPr>
      </w:pPr>
      <w:r w:rsidRPr="00730DE4">
        <w:rPr>
          <w:rStyle w:val="Strong"/>
        </w:rPr>
        <w:br w:type="page"/>
      </w:r>
    </w:p>
    <w:p w14:paraId="212CB9C9" w14:textId="77777777" w:rsidR="00730DE4" w:rsidRPr="00730DE4" w:rsidRDefault="00730DE4" w:rsidP="000A6945">
      <w:pPr>
        <w:rPr>
          <w:rStyle w:val="Strong"/>
        </w:rPr>
      </w:pPr>
      <w:r w:rsidRPr="00730DE4">
        <w:rPr>
          <w:rStyle w:val="Strong"/>
        </w:rPr>
        <w:t>Receivables credit risk – ageing analysis</w:t>
      </w:r>
    </w:p>
    <w:p w14:paraId="4BE01A4D" w14:textId="77777777" w:rsidR="00730DE4" w:rsidRPr="00730DE4" w:rsidRDefault="00730DE4" w:rsidP="000A6945">
      <w:pPr>
        <w:pStyle w:val="NoSpacing"/>
      </w:pPr>
    </w:p>
    <w:tbl>
      <w:tblPr>
        <w:tblW w:w="0" w:type="auto"/>
        <w:tblCellMar>
          <w:top w:w="23" w:type="dxa"/>
          <w:left w:w="23" w:type="dxa"/>
          <w:bottom w:w="23" w:type="dxa"/>
          <w:right w:w="23" w:type="dxa"/>
        </w:tblCellMar>
        <w:tblLook w:val="04A0" w:firstRow="1" w:lastRow="0" w:firstColumn="1" w:lastColumn="0" w:noHBand="0" w:noVBand="1"/>
      </w:tblPr>
      <w:tblGrid>
        <w:gridCol w:w="2721"/>
        <w:gridCol w:w="1272"/>
        <w:gridCol w:w="1271"/>
        <w:gridCol w:w="1271"/>
        <w:gridCol w:w="1271"/>
        <w:gridCol w:w="1264"/>
      </w:tblGrid>
      <w:tr w:rsidR="00730DE4" w:rsidRPr="00730DE4" w14:paraId="4A8ECFC6" w14:textId="77777777" w:rsidTr="00F517FD">
        <w:trPr>
          <w:trHeight w:val="23"/>
        </w:trPr>
        <w:tc>
          <w:tcPr>
            <w:tcW w:w="2721" w:type="dxa"/>
            <w:tcBorders>
              <w:bottom w:val="single" w:sz="4" w:space="0" w:color="080C0F" w:themeColor="text1"/>
            </w:tcBorders>
            <w:shd w:val="clear" w:color="auto" w:fill="auto"/>
            <w:noWrap/>
            <w:vAlign w:val="bottom"/>
            <w:hideMark/>
          </w:tcPr>
          <w:p w14:paraId="6F5DE458" w14:textId="77777777" w:rsidR="00730DE4" w:rsidRPr="00730DE4" w:rsidRDefault="00730DE4" w:rsidP="00185170">
            <w:pPr>
              <w:pStyle w:val="NoSpacing"/>
              <w:rPr>
                <w:rStyle w:val="Strong"/>
              </w:rPr>
            </w:pPr>
            <w:r w:rsidRPr="00730DE4">
              <w:rPr>
                <w:rStyle w:val="Strong"/>
              </w:rPr>
              <w:t>Past due but not impaired</w:t>
            </w:r>
          </w:p>
        </w:tc>
        <w:tc>
          <w:tcPr>
            <w:tcW w:w="1272" w:type="dxa"/>
            <w:tcBorders>
              <w:bottom w:val="single" w:sz="4" w:space="0" w:color="080C0F" w:themeColor="text1"/>
            </w:tcBorders>
            <w:shd w:val="clear" w:color="auto" w:fill="auto"/>
            <w:noWrap/>
            <w:vAlign w:val="bottom"/>
            <w:hideMark/>
          </w:tcPr>
          <w:p w14:paraId="000E0526" w14:textId="77777777" w:rsidR="00730DE4" w:rsidRPr="00730DE4" w:rsidRDefault="00730DE4" w:rsidP="00185170">
            <w:pPr>
              <w:pStyle w:val="NoSpacing"/>
              <w:jc w:val="right"/>
              <w:rPr>
                <w:color w:val="080C0F" w:themeColor="text1"/>
              </w:rPr>
            </w:pPr>
            <w:r w:rsidRPr="00730DE4">
              <w:rPr>
                <w:rStyle w:val="Strong"/>
              </w:rPr>
              <w:t xml:space="preserve">Overdue </w:t>
            </w:r>
            <w:r w:rsidRPr="00730DE4">
              <w:rPr>
                <w:rStyle w:val="Strong"/>
              </w:rPr>
              <w:br/>
              <w:t>1-30 Days</w:t>
            </w:r>
            <w:r w:rsidRPr="00730DE4">
              <w:rPr>
                <w:rStyle w:val="Strong"/>
              </w:rPr>
              <w:br/>
              <w:t xml:space="preserve"> </w:t>
            </w:r>
            <w:r w:rsidRPr="00730DE4">
              <w:rPr>
                <w:rStyle w:val="Strong"/>
              </w:rPr>
              <w:br/>
            </w:r>
            <w:r w:rsidRPr="00730DE4">
              <w:rPr>
                <w:rStyle w:val="Strong"/>
              </w:rPr>
              <w:br/>
              <w:t>$'000</w:t>
            </w:r>
          </w:p>
        </w:tc>
        <w:tc>
          <w:tcPr>
            <w:tcW w:w="1271" w:type="dxa"/>
            <w:tcBorders>
              <w:bottom w:val="single" w:sz="4" w:space="0" w:color="080C0F" w:themeColor="text1"/>
            </w:tcBorders>
            <w:shd w:val="clear" w:color="auto" w:fill="auto"/>
            <w:noWrap/>
            <w:vAlign w:val="bottom"/>
            <w:hideMark/>
          </w:tcPr>
          <w:p w14:paraId="34E83BFA" w14:textId="77777777" w:rsidR="00730DE4" w:rsidRPr="00730DE4" w:rsidRDefault="00730DE4" w:rsidP="00185170">
            <w:pPr>
              <w:pStyle w:val="NoSpacing"/>
              <w:jc w:val="right"/>
              <w:rPr>
                <w:color w:val="080C0F" w:themeColor="text1"/>
              </w:rPr>
            </w:pPr>
            <w:r w:rsidRPr="00730DE4">
              <w:rPr>
                <w:rStyle w:val="Strong"/>
              </w:rPr>
              <w:t xml:space="preserve">Overdue </w:t>
            </w:r>
            <w:r w:rsidRPr="00730DE4">
              <w:rPr>
                <w:rStyle w:val="Strong"/>
              </w:rPr>
              <w:br/>
              <w:t>31-60 Days</w:t>
            </w:r>
            <w:r w:rsidRPr="00730DE4">
              <w:rPr>
                <w:rStyle w:val="Strong"/>
              </w:rPr>
              <w:br/>
              <w:t xml:space="preserve"> </w:t>
            </w:r>
            <w:r w:rsidRPr="00730DE4">
              <w:rPr>
                <w:rStyle w:val="Strong"/>
              </w:rPr>
              <w:br/>
            </w:r>
            <w:r w:rsidRPr="00730DE4">
              <w:rPr>
                <w:rStyle w:val="Strong"/>
              </w:rPr>
              <w:br/>
              <w:t>$'000</w:t>
            </w:r>
          </w:p>
        </w:tc>
        <w:tc>
          <w:tcPr>
            <w:tcW w:w="1271" w:type="dxa"/>
            <w:tcBorders>
              <w:bottom w:val="single" w:sz="4" w:space="0" w:color="080C0F" w:themeColor="text1"/>
            </w:tcBorders>
            <w:shd w:val="clear" w:color="auto" w:fill="auto"/>
            <w:noWrap/>
            <w:vAlign w:val="bottom"/>
            <w:hideMark/>
          </w:tcPr>
          <w:p w14:paraId="4C51B000" w14:textId="77777777" w:rsidR="00730DE4" w:rsidRPr="00730DE4" w:rsidRDefault="00730DE4" w:rsidP="00185170">
            <w:pPr>
              <w:pStyle w:val="NoSpacing"/>
              <w:jc w:val="right"/>
              <w:rPr>
                <w:color w:val="080C0F" w:themeColor="text1"/>
              </w:rPr>
            </w:pPr>
            <w:r w:rsidRPr="00730DE4">
              <w:rPr>
                <w:rStyle w:val="Strong"/>
              </w:rPr>
              <w:t xml:space="preserve">Overdue </w:t>
            </w:r>
            <w:r w:rsidRPr="00730DE4">
              <w:rPr>
                <w:rStyle w:val="Strong"/>
              </w:rPr>
              <w:br/>
              <w:t>61-90 Days</w:t>
            </w:r>
            <w:r w:rsidRPr="00730DE4">
              <w:rPr>
                <w:rStyle w:val="Strong"/>
              </w:rPr>
              <w:br/>
              <w:t xml:space="preserve"> </w:t>
            </w:r>
            <w:r w:rsidRPr="00730DE4">
              <w:rPr>
                <w:rStyle w:val="Strong"/>
              </w:rPr>
              <w:br/>
            </w:r>
            <w:r w:rsidRPr="00730DE4">
              <w:rPr>
                <w:rStyle w:val="Strong"/>
              </w:rPr>
              <w:br/>
              <w:t>$'000</w:t>
            </w:r>
          </w:p>
        </w:tc>
        <w:tc>
          <w:tcPr>
            <w:tcW w:w="1271" w:type="dxa"/>
            <w:tcBorders>
              <w:bottom w:val="single" w:sz="4" w:space="0" w:color="080C0F" w:themeColor="text1"/>
            </w:tcBorders>
            <w:shd w:val="clear" w:color="auto" w:fill="auto"/>
            <w:noWrap/>
            <w:vAlign w:val="bottom"/>
            <w:hideMark/>
          </w:tcPr>
          <w:p w14:paraId="74D9D0BB" w14:textId="77777777" w:rsidR="00730DE4" w:rsidRPr="00730DE4" w:rsidRDefault="00730DE4" w:rsidP="00185170">
            <w:pPr>
              <w:pStyle w:val="NoSpacing"/>
              <w:jc w:val="right"/>
              <w:rPr>
                <w:color w:val="080C0F" w:themeColor="text1"/>
              </w:rPr>
            </w:pPr>
            <w:r w:rsidRPr="00730DE4">
              <w:rPr>
                <w:rStyle w:val="Strong"/>
              </w:rPr>
              <w:t xml:space="preserve">Overdue </w:t>
            </w:r>
            <w:r w:rsidRPr="00730DE4">
              <w:rPr>
                <w:rStyle w:val="Strong"/>
              </w:rPr>
              <w:br/>
              <w:t xml:space="preserve">More than 90 days </w:t>
            </w:r>
            <w:r w:rsidRPr="00730DE4">
              <w:rPr>
                <w:rStyle w:val="Strong"/>
              </w:rPr>
              <w:br/>
            </w:r>
            <w:r w:rsidRPr="00730DE4">
              <w:rPr>
                <w:rStyle w:val="Strong"/>
              </w:rPr>
              <w:br/>
              <w:t>$'000</w:t>
            </w:r>
          </w:p>
        </w:tc>
        <w:tc>
          <w:tcPr>
            <w:tcW w:w="1264" w:type="dxa"/>
            <w:tcBorders>
              <w:bottom w:val="single" w:sz="4" w:space="0" w:color="080C0F" w:themeColor="text1"/>
            </w:tcBorders>
            <w:shd w:val="clear" w:color="auto" w:fill="auto"/>
            <w:noWrap/>
            <w:vAlign w:val="bottom"/>
            <w:hideMark/>
          </w:tcPr>
          <w:p w14:paraId="632982E1" w14:textId="77777777" w:rsidR="00730DE4" w:rsidRPr="00730DE4" w:rsidRDefault="00730DE4" w:rsidP="00185170">
            <w:pPr>
              <w:pStyle w:val="NoSpacing"/>
              <w:jc w:val="right"/>
              <w:rPr>
                <w:rStyle w:val="Strong"/>
              </w:rPr>
            </w:pPr>
            <w:r w:rsidRPr="00730DE4">
              <w:rPr>
                <w:rStyle w:val="Strong"/>
              </w:rPr>
              <w:t xml:space="preserve">Overdue </w:t>
            </w:r>
            <w:r w:rsidRPr="00730DE4">
              <w:rPr>
                <w:rStyle w:val="Strong"/>
              </w:rPr>
              <w:br/>
              <w:t>Total</w:t>
            </w:r>
            <w:r w:rsidRPr="00730DE4">
              <w:rPr>
                <w:rStyle w:val="Strong"/>
              </w:rPr>
              <w:br/>
              <w:t xml:space="preserve"> </w:t>
            </w:r>
            <w:r w:rsidRPr="00730DE4">
              <w:rPr>
                <w:rStyle w:val="Strong"/>
              </w:rPr>
              <w:br/>
            </w:r>
            <w:r w:rsidRPr="00730DE4">
              <w:rPr>
                <w:rStyle w:val="Strong"/>
              </w:rPr>
              <w:br/>
              <w:t>$'000</w:t>
            </w:r>
          </w:p>
        </w:tc>
      </w:tr>
      <w:tr w:rsidR="00730DE4" w:rsidRPr="00730DE4" w14:paraId="71E7773B" w14:textId="77777777" w:rsidTr="00F517FD">
        <w:trPr>
          <w:trHeight w:val="454"/>
        </w:trPr>
        <w:tc>
          <w:tcPr>
            <w:tcW w:w="2721" w:type="dxa"/>
            <w:tcBorders>
              <w:top w:val="single" w:sz="4" w:space="0" w:color="080C0F" w:themeColor="text1"/>
              <w:bottom w:val="dotted" w:sz="4" w:space="0" w:color="BFBFBF" w:themeColor="background1" w:themeShade="BF"/>
              <w:right w:val="dotted" w:sz="4" w:space="0" w:color="BFBFBF" w:themeColor="background1" w:themeShade="BF"/>
            </w:tcBorders>
            <w:shd w:val="clear" w:color="auto" w:fill="auto"/>
            <w:noWrap/>
            <w:vAlign w:val="bottom"/>
          </w:tcPr>
          <w:p w14:paraId="63C5B731" w14:textId="77777777" w:rsidR="00730DE4" w:rsidRPr="00730DE4" w:rsidRDefault="00730DE4" w:rsidP="00185170">
            <w:pPr>
              <w:pStyle w:val="NoSpacing"/>
              <w:rPr>
                <w:rStyle w:val="Strong"/>
              </w:rPr>
            </w:pPr>
            <w:r w:rsidRPr="00730DE4">
              <w:rPr>
                <w:rStyle w:val="Strong"/>
              </w:rPr>
              <w:t>2024</w:t>
            </w:r>
          </w:p>
        </w:tc>
        <w:tc>
          <w:tcPr>
            <w:tcW w:w="1272" w:type="dxa"/>
            <w:tcBorders>
              <w:top w:val="single" w:sz="4" w:space="0" w:color="080C0F" w:themeColor="text1"/>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3311D1F5" w14:textId="77777777" w:rsidR="00730DE4" w:rsidRPr="00730DE4" w:rsidRDefault="00730DE4" w:rsidP="00185170">
            <w:pPr>
              <w:pStyle w:val="NoSpacing"/>
              <w:jc w:val="right"/>
              <w:rPr>
                <w:color w:val="080C0F" w:themeColor="text1"/>
              </w:rPr>
            </w:pPr>
          </w:p>
        </w:tc>
        <w:tc>
          <w:tcPr>
            <w:tcW w:w="1271" w:type="dxa"/>
            <w:tcBorders>
              <w:top w:val="single" w:sz="4" w:space="0" w:color="080C0F" w:themeColor="text1"/>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4DB060D8" w14:textId="77777777" w:rsidR="00730DE4" w:rsidRPr="00730DE4" w:rsidRDefault="00730DE4" w:rsidP="00185170">
            <w:pPr>
              <w:pStyle w:val="NoSpacing"/>
              <w:jc w:val="right"/>
              <w:rPr>
                <w:color w:val="080C0F" w:themeColor="text1"/>
              </w:rPr>
            </w:pPr>
          </w:p>
        </w:tc>
        <w:tc>
          <w:tcPr>
            <w:tcW w:w="1271" w:type="dxa"/>
            <w:tcBorders>
              <w:top w:val="single" w:sz="4" w:space="0" w:color="080C0F" w:themeColor="text1"/>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02802B32" w14:textId="77777777" w:rsidR="00730DE4" w:rsidRPr="00730DE4" w:rsidRDefault="00730DE4" w:rsidP="00185170">
            <w:pPr>
              <w:pStyle w:val="NoSpacing"/>
              <w:jc w:val="right"/>
              <w:rPr>
                <w:color w:val="080C0F" w:themeColor="text1"/>
              </w:rPr>
            </w:pPr>
          </w:p>
        </w:tc>
        <w:tc>
          <w:tcPr>
            <w:tcW w:w="1271" w:type="dxa"/>
            <w:tcBorders>
              <w:top w:val="single" w:sz="4" w:space="0" w:color="080C0F" w:themeColor="text1"/>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0A05BFC9" w14:textId="77777777" w:rsidR="00730DE4" w:rsidRPr="00730DE4" w:rsidRDefault="00730DE4" w:rsidP="00185170">
            <w:pPr>
              <w:pStyle w:val="NoSpacing"/>
              <w:jc w:val="right"/>
              <w:rPr>
                <w:color w:val="080C0F" w:themeColor="text1"/>
              </w:rPr>
            </w:pPr>
          </w:p>
        </w:tc>
        <w:tc>
          <w:tcPr>
            <w:tcW w:w="1264" w:type="dxa"/>
            <w:tcBorders>
              <w:top w:val="single" w:sz="4" w:space="0" w:color="080C0F" w:themeColor="text1"/>
              <w:left w:val="dotted" w:sz="4" w:space="0" w:color="BFBFBF" w:themeColor="background1" w:themeShade="BF"/>
              <w:bottom w:val="dotted" w:sz="4" w:space="0" w:color="BFBFBF" w:themeColor="background1" w:themeShade="BF"/>
            </w:tcBorders>
            <w:shd w:val="clear" w:color="auto" w:fill="F2F2F2" w:themeFill="background1" w:themeFillShade="F2"/>
            <w:noWrap/>
            <w:vAlign w:val="bottom"/>
          </w:tcPr>
          <w:p w14:paraId="199B325A" w14:textId="77777777" w:rsidR="00730DE4" w:rsidRPr="00730DE4" w:rsidRDefault="00730DE4" w:rsidP="00185170">
            <w:pPr>
              <w:pStyle w:val="NoSpacing"/>
              <w:jc w:val="right"/>
              <w:rPr>
                <w:rStyle w:val="Strong"/>
              </w:rPr>
            </w:pPr>
          </w:p>
        </w:tc>
      </w:tr>
      <w:tr w:rsidR="00730DE4" w:rsidRPr="00730DE4" w14:paraId="2D60ADD6" w14:textId="77777777" w:rsidTr="00253FBD">
        <w:trPr>
          <w:trHeight w:val="23"/>
        </w:trPr>
        <w:tc>
          <w:tcPr>
            <w:tcW w:w="2721" w:type="dxa"/>
            <w:tcBorders>
              <w:top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57D60D81" w14:textId="77777777" w:rsidR="00730DE4" w:rsidRPr="00730DE4" w:rsidRDefault="00730DE4" w:rsidP="00185170">
            <w:pPr>
              <w:pStyle w:val="NoSpacing"/>
              <w:rPr>
                <w:color w:val="080C0F" w:themeColor="text1"/>
              </w:rPr>
            </w:pPr>
            <w:r w:rsidRPr="00730DE4">
              <w:rPr>
                <w:color w:val="080C0F" w:themeColor="text1"/>
              </w:rPr>
              <w:t>Trade debtors</w:t>
            </w:r>
          </w:p>
        </w:tc>
        <w:tc>
          <w:tcPr>
            <w:tcW w:w="1272" w:type="dxa"/>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49D0E1DC" w14:textId="77777777" w:rsidR="00730DE4" w:rsidRPr="00730DE4" w:rsidRDefault="00730DE4" w:rsidP="00185170">
            <w:pPr>
              <w:pStyle w:val="NoSpacing"/>
              <w:jc w:val="right"/>
              <w:rPr>
                <w:color w:val="080C0F" w:themeColor="text1"/>
              </w:rPr>
            </w:pPr>
            <w:r w:rsidRPr="00730DE4">
              <w:rPr>
                <w:color w:val="080C0F" w:themeColor="text1"/>
              </w:rPr>
              <w:t>14,446</w:t>
            </w:r>
          </w:p>
        </w:tc>
        <w:tc>
          <w:tcPr>
            <w:tcW w:w="1271" w:type="dxa"/>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6D758026" w14:textId="77777777" w:rsidR="00730DE4" w:rsidRPr="00730DE4" w:rsidRDefault="00730DE4" w:rsidP="00185170">
            <w:pPr>
              <w:pStyle w:val="NoSpacing"/>
              <w:jc w:val="right"/>
              <w:rPr>
                <w:color w:val="080C0F" w:themeColor="text1"/>
              </w:rPr>
            </w:pPr>
            <w:r w:rsidRPr="00730DE4">
              <w:rPr>
                <w:color w:val="080C0F" w:themeColor="text1"/>
              </w:rPr>
              <w:t>2,615</w:t>
            </w:r>
          </w:p>
        </w:tc>
        <w:tc>
          <w:tcPr>
            <w:tcW w:w="1271" w:type="dxa"/>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4FC219BB" w14:textId="77777777" w:rsidR="00730DE4" w:rsidRPr="00730DE4" w:rsidRDefault="00730DE4" w:rsidP="00185170">
            <w:pPr>
              <w:pStyle w:val="NoSpacing"/>
              <w:jc w:val="right"/>
              <w:rPr>
                <w:color w:val="080C0F" w:themeColor="text1"/>
              </w:rPr>
            </w:pPr>
            <w:r w:rsidRPr="00730DE4">
              <w:rPr>
                <w:color w:val="080C0F" w:themeColor="text1"/>
              </w:rPr>
              <w:t>895</w:t>
            </w:r>
          </w:p>
        </w:tc>
        <w:tc>
          <w:tcPr>
            <w:tcW w:w="1271" w:type="dxa"/>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6461F25F" w14:textId="77777777" w:rsidR="00730DE4" w:rsidRPr="00730DE4" w:rsidRDefault="00730DE4" w:rsidP="00185170">
            <w:pPr>
              <w:pStyle w:val="NoSpacing"/>
              <w:jc w:val="right"/>
              <w:rPr>
                <w:color w:val="080C0F" w:themeColor="text1"/>
              </w:rPr>
            </w:pPr>
            <w:r w:rsidRPr="00730DE4">
              <w:rPr>
                <w:color w:val="080C0F" w:themeColor="text1"/>
              </w:rPr>
              <w:t>2,142</w:t>
            </w:r>
          </w:p>
        </w:tc>
        <w:tc>
          <w:tcPr>
            <w:tcW w:w="1264" w:type="dxa"/>
            <w:tcBorders>
              <w:top w:val="dotted" w:sz="4" w:space="0" w:color="BFBFBF" w:themeColor="background1" w:themeShade="BF"/>
              <w:left w:val="dotted" w:sz="4" w:space="0" w:color="BFBFBF" w:themeColor="background1" w:themeShade="BF"/>
              <w:bottom w:val="single" w:sz="4" w:space="0" w:color="auto"/>
            </w:tcBorders>
            <w:shd w:val="clear" w:color="auto" w:fill="F2F2F2" w:themeFill="background1" w:themeFillShade="F2"/>
            <w:noWrap/>
            <w:vAlign w:val="bottom"/>
            <w:hideMark/>
          </w:tcPr>
          <w:p w14:paraId="1C9C25BE" w14:textId="77777777" w:rsidR="00730DE4" w:rsidRPr="00730DE4" w:rsidRDefault="00730DE4" w:rsidP="00185170">
            <w:pPr>
              <w:pStyle w:val="NoSpacing"/>
              <w:jc w:val="right"/>
              <w:rPr>
                <w:rStyle w:val="Strong"/>
              </w:rPr>
            </w:pPr>
            <w:r w:rsidRPr="00730DE4">
              <w:rPr>
                <w:rStyle w:val="Strong"/>
              </w:rPr>
              <w:t>20,098</w:t>
            </w:r>
          </w:p>
        </w:tc>
      </w:tr>
      <w:tr w:rsidR="00730DE4" w:rsidRPr="00730DE4" w14:paraId="1571B184" w14:textId="77777777" w:rsidTr="00253FBD">
        <w:trPr>
          <w:trHeight w:val="454"/>
        </w:trPr>
        <w:tc>
          <w:tcPr>
            <w:tcW w:w="2721" w:type="dxa"/>
            <w:tcBorders>
              <w:top w:val="single" w:sz="4" w:space="0" w:color="auto"/>
              <w:bottom w:val="dotted" w:sz="4" w:space="0" w:color="BFBFBF" w:themeColor="background1" w:themeShade="BF"/>
              <w:right w:val="dotted" w:sz="4" w:space="0" w:color="BFBFBF" w:themeColor="background1" w:themeShade="BF"/>
            </w:tcBorders>
            <w:shd w:val="clear" w:color="auto" w:fill="auto"/>
            <w:noWrap/>
            <w:vAlign w:val="bottom"/>
            <w:hideMark/>
          </w:tcPr>
          <w:p w14:paraId="70F9ACFA" w14:textId="77777777" w:rsidR="00730DE4" w:rsidRPr="00730DE4" w:rsidRDefault="00730DE4" w:rsidP="00185170">
            <w:pPr>
              <w:pStyle w:val="NoSpacing"/>
              <w:rPr>
                <w:rStyle w:val="Strong"/>
              </w:rPr>
            </w:pPr>
            <w:r w:rsidRPr="00730DE4">
              <w:rPr>
                <w:rStyle w:val="Strong"/>
              </w:rPr>
              <w:t>2023</w:t>
            </w:r>
          </w:p>
        </w:tc>
        <w:tc>
          <w:tcPr>
            <w:tcW w:w="1272" w:type="dxa"/>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56DE28A" w14:textId="77777777" w:rsidR="00730DE4" w:rsidRPr="00730DE4" w:rsidRDefault="00730DE4" w:rsidP="00185170">
            <w:pPr>
              <w:pStyle w:val="NoSpacing"/>
              <w:jc w:val="right"/>
              <w:rPr>
                <w:color w:val="080C0F" w:themeColor="text1"/>
              </w:rPr>
            </w:pPr>
            <w:r w:rsidRPr="00730DE4">
              <w:rPr>
                <w:color w:val="080C0F" w:themeColor="text1"/>
              </w:rPr>
              <w:t> </w:t>
            </w:r>
          </w:p>
        </w:tc>
        <w:tc>
          <w:tcPr>
            <w:tcW w:w="1271" w:type="dxa"/>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3989B61" w14:textId="77777777" w:rsidR="00730DE4" w:rsidRPr="00730DE4" w:rsidRDefault="00730DE4" w:rsidP="00185170">
            <w:pPr>
              <w:pStyle w:val="NoSpacing"/>
              <w:jc w:val="right"/>
              <w:rPr>
                <w:color w:val="080C0F" w:themeColor="text1"/>
              </w:rPr>
            </w:pPr>
            <w:r w:rsidRPr="00730DE4">
              <w:rPr>
                <w:color w:val="080C0F" w:themeColor="text1"/>
              </w:rPr>
              <w:t> </w:t>
            </w:r>
          </w:p>
        </w:tc>
        <w:tc>
          <w:tcPr>
            <w:tcW w:w="1271" w:type="dxa"/>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08DAA83" w14:textId="77777777" w:rsidR="00730DE4" w:rsidRPr="00730DE4" w:rsidRDefault="00730DE4" w:rsidP="00185170">
            <w:pPr>
              <w:pStyle w:val="NoSpacing"/>
              <w:jc w:val="right"/>
              <w:rPr>
                <w:color w:val="080C0F" w:themeColor="text1"/>
              </w:rPr>
            </w:pPr>
            <w:r w:rsidRPr="00730DE4">
              <w:rPr>
                <w:color w:val="080C0F" w:themeColor="text1"/>
              </w:rPr>
              <w:t> </w:t>
            </w:r>
          </w:p>
        </w:tc>
        <w:tc>
          <w:tcPr>
            <w:tcW w:w="1271" w:type="dxa"/>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5D327FF" w14:textId="77777777" w:rsidR="00730DE4" w:rsidRPr="00730DE4" w:rsidRDefault="00730DE4" w:rsidP="00185170">
            <w:pPr>
              <w:pStyle w:val="NoSpacing"/>
              <w:jc w:val="right"/>
              <w:rPr>
                <w:color w:val="080C0F" w:themeColor="text1"/>
              </w:rPr>
            </w:pPr>
            <w:r w:rsidRPr="00730DE4">
              <w:rPr>
                <w:color w:val="080C0F" w:themeColor="text1"/>
              </w:rPr>
              <w:t> </w:t>
            </w:r>
          </w:p>
        </w:tc>
        <w:tc>
          <w:tcPr>
            <w:tcW w:w="1264" w:type="dxa"/>
            <w:tcBorders>
              <w:top w:val="single" w:sz="4" w:space="0" w:color="auto"/>
              <w:left w:val="dotted" w:sz="4" w:space="0" w:color="BFBFBF" w:themeColor="background1" w:themeShade="BF"/>
              <w:bottom w:val="dotted" w:sz="4" w:space="0" w:color="BFBFBF" w:themeColor="background1" w:themeShade="BF"/>
            </w:tcBorders>
            <w:shd w:val="clear" w:color="auto" w:fill="auto"/>
            <w:noWrap/>
            <w:vAlign w:val="bottom"/>
            <w:hideMark/>
          </w:tcPr>
          <w:p w14:paraId="40B25B9F" w14:textId="77777777" w:rsidR="00730DE4" w:rsidRPr="00730DE4" w:rsidRDefault="00730DE4" w:rsidP="00185170">
            <w:pPr>
              <w:pStyle w:val="NoSpacing"/>
              <w:jc w:val="right"/>
              <w:rPr>
                <w:rStyle w:val="Strong"/>
              </w:rPr>
            </w:pPr>
            <w:r w:rsidRPr="00730DE4">
              <w:rPr>
                <w:rStyle w:val="Strong"/>
              </w:rPr>
              <w:t> </w:t>
            </w:r>
          </w:p>
        </w:tc>
      </w:tr>
      <w:tr w:rsidR="00730DE4" w:rsidRPr="00730DE4" w14:paraId="4768336B" w14:textId="77777777" w:rsidTr="00253FBD">
        <w:trPr>
          <w:trHeight w:val="23"/>
        </w:trPr>
        <w:tc>
          <w:tcPr>
            <w:tcW w:w="2721" w:type="dxa"/>
            <w:tcBorders>
              <w:top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45B3C4C2" w14:textId="77777777" w:rsidR="00730DE4" w:rsidRPr="00730DE4" w:rsidRDefault="00730DE4" w:rsidP="00185170">
            <w:pPr>
              <w:pStyle w:val="NoSpacing"/>
              <w:rPr>
                <w:color w:val="080C0F" w:themeColor="text1"/>
              </w:rPr>
            </w:pPr>
            <w:r w:rsidRPr="00730DE4">
              <w:rPr>
                <w:color w:val="080C0F" w:themeColor="text1"/>
              </w:rPr>
              <w:t>Trade debtors</w:t>
            </w:r>
          </w:p>
        </w:tc>
        <w:tc>
          <w:tcPr>
            <w:tcW w:w="1272" w:type="dxa"/>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000000" w:fill="FFFFFF"/>
            <w:noWrap/>
            <w:vAlign w:val="bottom"/>
            <w:hideMark/>
          </w:tcPr>
          <w:p w14:paraId="1C901BF9" w14:textId="77777777" w:rsidR="00730DE4" w:rsidRPr="00730DE4" w:rsidRDefault="00730DE4" w:rsidP="00185170">
            <w:pPr>
              <w:pStyle w:val="NoSpacing"/>
              <w:jc w:val="right"/>
              <w:rPr>
                <w:color w:val="080C0F" w:themeColor="text1"/>
              </w:rPr>
            </w:pPr>
            <w:r w:rsidRPr="00730DE4">
              <w:rPr>
                <w:color w:val="080C0F" w:themeColor="text1"/>
              </w:rPr>
              <w:t>7,651</w:t>
            </w:r>
          </w:p>
        </w:tc>
        <w:tc>
          <w:tcPr>
            <w:tcW w:w="1271" w:type="dxa"/>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000000" w:fill="FFFFFF"/>
            <w:noWrap/>
            <w:vAlign w:val="bottom"/>
            <w:hideMark/>
          </w:tcPr>
          <w:p w14:paraId="5F8DDC99" w14:textId="77777777" w:rsidR="00730DE4" w:rsidRPr="00730DE4" w:rsidRDefault="00730DE4" w:rsidP="00185170">
            <w:pPr>
              <w:pStyle w:val="NoSpacing"/>
              <w:jc w:val="right"/>
              <w:rPr>
                <w:color w:val="080C0F" w:themeColor="text1"/>
              </w:rPr>
            </w:pPr>
            <w:r w:rsidRPr="00730DE4">
              <w:rPr>
                <w:color w:val="080C0F" w:themeColor="text1"/>
              </w:rPr>
              <w:t>1,689</w:t>
            </w:r>
          </w:p>
        </w:tc>
        <w:tc>
          <w:tcPr>
            <w:tcW w:w="1271" w:type="dxa"/>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000000" w:fill="FFFFFF"/>
            <w:noWrap/>
            <w:vAlign w:val="bottom"/>
            <w:hideMark/>
          </w:tcPr>
          <w:p w14:paraId="6054BBD0" w14:textId="77777777" w:rsidR="00730DE4" w:rsidRPr="00730DE4" w:rsidRDefault="00730DE4" w:rsidP="00185170">
            <w:pPr>
              <w:pStyle w:val="NoSpacing"/>
              <w:jc w:val="right"/>
              <w:rPr>
                <w:color w:val="080C0F" w:themeColor="text1"/>
              </w:rPr>
            </w:pPr>
            <w:r w:rsidRPr="00730DE4">
              <w:rPr>
                <w:color w:val="080C0F" w:themeColor="text1"/>
              </w:rPr>
              <w:t>2,014</w:t>
            </w:r>
          </w:p>
        </w:tc>
        <w:tc>
          <w:tcPr>
            <w:tcW w:w="1271" w:type="dxa"/>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000000" w:fill="FFFFFF"/>
            <w:noWrap/>
            <w:vAlign w:val="bottom"/>
            <w:hideMark/>
          </w:tcPr>
          <w:p w14:paraId="2DB5F96C" w14:textId="77777777" w:rsidR="00730DE4" w:rsidRPr="00730DE4" w:rsidRDefault="00730DE4" w:rsidP="00185170">
            <w:pPr>
              <w:pStyle w:val="NoSpacing"/>
              <w:jc w:val="right"/>
              <w:rPr>
                <w:color w:val="080C0F" w:themeColor="text1"/>
              </w:rPr>
            </w:pPr>
            <w:r w:rsidRPr="00730DE4">
              <w:rPr>
                <w:color w:val="080C0F" w:themeColor="text1"/>
              </w:rPr>
              <w:t>982</w:t>
            </w:r>
          </w:p>
        </w:tc>
        <w:tc>
          <w:tcPr>
            <w:tcW w:w="1264" w:type="dxa"/>
            <w:tcBorders>
              <w:top w:val="dotted" w:sz="4" w:space="0" w:color="BFBFBF" w:themeColor="background1" w:themeShade="BF"/>
              <w:left w:val="dotted" w:sz="4" w:space="0" w:color="BFBFBF" w:themeColor="background1" w:themeShade="BF"/>
              <w:bottom w:val="single" w:sz="4" w:space="0" w:color="auto"/>
            </w:tcBorders>
            <w:shd w:val="clear" w:color="000000" w:fill="FFFFFF"/>
            <w:noWrap/>
            <w:vAlign w:val="bottom"/>
            <w:hideMark/>
          </w:tcPr>
          <w:p w14:paraId="392E7C6D" w14:textId="77777777" w:rsidR="00730DE4" w:rsidRPr="00730DE4" w:rsidRDefault="00730DE4" w:rsidP="00185170">
            <w:pPr>
              <w:pStyle w:val="NoSpacing"/>
              <w:jc w:val="right"/>
              <w:rPr>
                <w:rStyle w:val="Strong"/>
              </w:rPr>
            </w:pPr>
            <w:r w:rsidRPr="00730DE4">
              <w:rPr>
                <w:rStyle w:val="Strong"/>
              </w:rPr>
              <w:t>12,336</w:t>
            </w:r>
          </w:p>
        </w:tc>
      </w:tr>
    </w:tbl>
    <w:p w14:paraId="03897734" w14:textId="77777777" w:rsidR="00730DE4" w:rsidRPr="00730DE4" w:rsidRDefault="00730DE4" w:rsidP="003C13D4">
      <w:pPr>
        <w:rPr>
          <w:rStyle w:val="Strong"/>
        </w:rPr>
      </w:pPr>
      <w:r w:rsidRPr="00730DE4">
        <w:rPr>
          <w:rStyle w:val="Strong"/>
        </w:rPr>
        <w:t xml:space="preserve">Accounting policy </w:t>
      </w:r>
    </w:p>
    <w:p w14:paraId="4BAEA583" w14:textId="77777777" w:rsidR="00730DE4" w:rsidRPr="00730DE4" w:rsidRDefault="00730DE4" w:rsidP="003C13D4">
      <w:pPr>
        <w:rPr>
          <w:color w:val="080C0F" w:themeColor="text1"/>
        </w:rPr>
      </w:pPr>
      <w:r w:rsidRPr="00730DE4">
        <w:rPr>
          <w:color w:val="080C0F" w:themeColor="text1"/>
        </w:rPr>
        <w:t>Trade debtors are recognised at the amounts due at the time of sale or service delivery. Settlement on these amounts is generally required within 30 days from invoice date.</w:t>
      </w:r>
    </w:p>
    <w:p w14:paraId="06105F18" w14:textId="77777777" w:rsidR="00730DE4" w:rsidRPr="00730DE4" w:rsidRDefault="00730DE4" w:rsidP="003C13D4">
      <w:pPr>
        <w:rPr>
          <w:color w:val="080C0F" w:themeColor="text1"/>
        </w:rPr>
      </w:pPr>
      <w:r w:rsidRPr="00730DE4">
        <w:rPr>
          <w:color w:val="080C0F" w:themeColor="text1"/>
        </w:rPr>
        <w:t>The collectability of receivables is assessed periodically with an allowance being made for impairment.</w:t>
      </w:r>
    </w:p>
    <w:p w14:paraId="3D1CE0A7" w14:textId="77777777" w:rsidR="00730DE4" w:rsidRPr="00730DE4" w:rsidRDefault="00730DE4" w:rsidP="003C13D4">
      <w:pPr>
        <w:rPr>
          <w:color w:val="080C0F" w:themeColor="text1"/>
        </w:rPr>
      </w:pPr>
      <w:r w:rsidRPr="00730DE4">
        <w:rPr>
          <w:color w:val="080C0F" w:themeColor="text1"/>
        </w:rPr>
        <w:t xml:space="preserve">In accordance with AASB 9 </w:t>
      </w:r>
      <w:r w:rsidRPr="00730DE4">
        <w:rPr>
          <w:i/>
          <w:color w:val="080C0F" w:themeColor="text1"/>
        </w:rPr>
        <w:t>Financial Instruments</w:t>
      </w:r>
      <w:r w:rsidRPr="00730DE4">
        <w:rPr>
          <w:color w:val="080C0F" w:themeColor="text1"/>
        </w:rPr>
        <w:t xml:space="preserve"> the department has assessed the historical trend of its receivables to calculate loss rates adjusted for forward-looking information. Historical rates are calculated using credit losses experienced during the past 10 years preceding 30 June 2024, adjusted by the unemployment rate, which is determined to be the most relevant forward-looking indicator for the department. The calculated lifetime expected credit loss allowance is then applied to trade receivables. No additional loss allowance has been recognised in the current financial year based on materiality.</w:t>
      </w:r>
    </w:p>
    <w:p w14:paraId="17E344B5" w14:textId="77777777" w:rsidR="00730DE4" w:rsidRPr="00730DE4" w:rsidRDefault="00730DE4" w:rsidP="003C13D4">
      <w:pPr>
        <w:rPr>
          <w:color w:val="080C0F" w:themeColor="text1"/>
        </w:rPr>
      </w:pPr>
      <w:r w:rsidRPr="00730DE4">
        <w:rPr>
          <w:color w:val="080C0F" w:themeColor="text1"/>
        </w:rPr>
        <w:t>All known bad debts were written off as at 30 June each year.</w:t>
      </w:r>
    </w:p>
    <w:p w14:paraId="04CF85A9" w14:textId="77777777" w:rsidR="00730DE4" w:rsidRPr="00730DE4" w:rsidRDefault="00730DE4" w:rsidP="003C13D4">
      <w:pPr>
        <w:rPr>
          <w:color w:val="080C0F" w:themeColor="text1"/>
        </w:rPr>
      </w:pPr>
      <w:r w:rsidRPr="00730DE4">
        <w:rPr>
          <w:color w:val="080C0F" w:themeColor="text1"/>
        </w:rPr>
        <w:t>The department's annual and long service leave receivables relate to the Queensland Government's Annual Leave and Long Service Leave Central Schemes which are administered by QSuper on behalf of the state. Refer to Note 21.</w:t>
      </w:r>
    </w:p>
    <w:p w14:paraId="284756D3" w14:textId="77777777" w:rsidR="00730DE4" w:rsidRPr="00730DE4" w:rsidRDefault="00730DE4" w:rsidP="00D16D4F">
      <w:pPr>
        <w:pStyle w:val="Heading4"/>
      </w:pPr>
      <w:r w:rsidRPr="00730DE4">
        <w:br w:type="page"/>
      </w:r>
    </w:p>
    <w:p w14:paraId="53DA997E" w14:textId="77777777" w:rsidR="00730DE4" w:rsidRPr="00730DE4" w:rsidRDefault="00730DE4" w:rsidP="000A6945">
      <w:pPr>
        <w:pStyle w:val="Heading4"/>
      </w:pPr>
      <w:bookmarkStart w:id="1508" w:name="_Toc179365608"/>
      <w:bookmarkStart w:id="1509" w:name="_Toc180490932"/>
      <w:bookmarkStart w:id="1510" w:name="_Toc180491965"/>
      <w:r w:rsidRPr="00730DE4">
        <w:t>13 Prepayments</w:t>
      </w:r>
      <w:bookmarkEnd w:id="1508"/>
      <w:bookmarkEnd w:id="1509"/>
      <w:bookmarkEnd w:id="1510"/>
    </w:p>
    <w:tbl>
      <w:tblPr>
        <w:tblW w:w="5000" w:type="pct"/>
        <w:tblCellMar>
          <w:top w:w="23" w:type="dxa"/>
          <w:left w:w="23" w:type="dxa"/>
          <w:bottom w:w="23" w:type="dxa"/>
          <w:right w:w="23" w:type="dxa"/>
        </w:tblCellMar>
        <w:tblLook w:val="04A0" w:firstRow="1" w:lastRow="0" w:firstColumn="1" w:lastColumn="0" w:noHBand="0" w:noVBand="1"/>
      </w:tblPr>
      <w:tblGrid>
        <w:gridCol w:w="6132"/>
        <w:gridCol w:w="1451"/>
        <w:gridCol w:w="1487"/>
      </w:tblGrid>
      <w:tr w:rsidR="00730DE4" w:rsidRPr="00730DE4" w14:paraId="6EEA69C3" w14:textId="77777777" w:rsidTr="00FB54DC">
        <w:trPr>
          <w:trHeight w:val="240"/>
        </w:trPr>
        <w:tc>
          <w:tcPr>
            <w:tcW w:w="3380" w:type="pct"/>
            <w:tcBorders>
              <w:top w:val="nil"/>
              <w:left w:val="nil"/>
              <w:bottom w:val="single" w:sz="4" w:space="0" w:color="auto"/>
              <w:right w:val="nil"/>
            </w:tcBorders>
            <w:shd w:val="clear" w:color="auto" w:fill="auto"/>
            <w:noWrap/>
            <w:vAlign w:val="bottom"/>
            <w:hideMark/>
          </w:tcPr>
          <w:p w14:paraId="043F6380" w14:textId="77777777" w:rsidR="00730DE4" w:rsidRPr="00730DE4" w:rsidRDefault="00730DE4" w:rsidP="000D630F">
            <w:pPr>
              <w:pStyle w:val="NoSpacing"/>
            </w:pPr>
          </w:p>
        </w:tc>
        <w:tc>
          <w:tcPr>
            <w:tcW w:w="800" w:type="pct"/>
            <w:tcBorders>
              <w:top w:val="nil"/>
              <w:left w:val="nil"/>
              <w:bottom w:val="single" w:sz="4" w:space="0" w:color="auto"/>
              <w:right w:val="nil"/>
            </w:tcBorders>
            <w:shd w:val="clear" w:color="auto" w:fill="auto"/>
            <w:noWrap/>
            <w:vAlign w:val="bottom"/>
            <w:hideMark/>
          </w:tcPr>
          <w:p w14:paraId="0ED8C81F" w14:textId="77777777" w:rsidR="00730DE4" w:rsidRPr="00730DE4" w:rsidRDefault="00730DE4" w:rsidP="000D630F">
            <w:pPr>
              <w:pStyle w:val="NoSpacing"/>
              <w:jc w:val="right"/>
              <w:rPr>
                <w:b/>
                <w:bCs/>
              </w:rPr>
            </w:pPr>
            <w:r w:rsidRPr="00730DE4">
              <w:rPr>
                <w:rStyle w:val="Strong"/>
              </w:rPr>
              <w:t xml:space="preserve">2024 </w:t>
            </w:r>
            <w:r w:rsidRPr="00730DE4">
              <w:rPr>
                <w:rStyle w:val="Strong"/>
              </w:rPr>
              <w:br/>
              <w:t>$'000</w:t>
            </w:r>
          </w:p>
        </w:tc>
        <w:tc>
          <w:tcPr>
            <w:tcW w:w="820" w:type="pct"/>
            <w:tcBorders>
              <w:top w:val="nil"/>
              <w:left w:val="nil"/>
              <w:bottom w:val="single" w:sz="4" w:space="0" w:color="auto"/>
              <w:right w:val="nil"/>
            </w:tcBorders>
            <w:shd w:val="clear" w:color="auto" w:fill="auto"/>
            <w:noWrap/>
            <w:vAlign w:val="bottom"/>
            <w:hideMark/>
          </w:tcPr>
          <w:p w14:paraId="2D81FD98" w14:textId="77777777" w:rsidR="00730DE4" w:rsidRPr="00730DE4" w:rsidRDefault="00730DE4" w:rsidP="000D630F">
            <w:pPr>
              <w:pStyle w:val="NoSpacing"/>
              <w:jc w:val="right"/>
              <w:rPr>
                <w:rStyle w:val="Strong"/>
              </w:rPr>
            </w:pPr>
            <w:r w:rsidRPr="00730DE4">
              <w:rPr>
                <w:rStyle w:val="Strong"/>
              </w:rPr>
              <w:t xml:space="preserve">2023 </w:t>
            </w:r>
            <w:r w:rsidRPr="00730DE4">
              <w:rPr>
                <w:rStyle w:val="Strong"/>
              </w:rPr>
              <w:br/>
              <w:t xml:space="preserve">$'000 </w:t>
            </w:r>
          </w:p>
        </w:tc>
      </w:tr>
      <w:tr w:rsidR="00730DE4" w:rsidRPr="00730DE4" w14:paraId="0236DFCD" w14:textId="77777777" w:rsidTr="00FB54DC">
        <w:trPr>
          <w:trHeight w:val="454"/>
        </w:trPr>
        <w:tc>
          <w:tcPr>
            <w:tcW w:w="3380"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31E84ADD" w14:textId="77777777" w:rsidR="00730DE4" w:rsidRPr="00730DE4" w:rsidRDefault="00730DE4" w:rsidP="000D630F">
            <w:pPr>
              <w:pStyle w:val="NoSpacing"/>
              <w:rPr>
                <w:b/>
                <w:bCs/>
              </w:rPr>
            </w:pPr>
            <w:r w:rsidRPr="00730DE4">
              <w:rPr>
                <w:rStyle w:val="Strong"/>
              </w:rPr>
              <w:t>Current</w:t>
            </w:r>
          </w:p>
        </w:tc>
        <w:tc>
          <w:tcPr>
            <w:tcW w:w="800"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78CBEDA" w14:textId="77777777" w:rsidR="00730DE4" w:rsidRPr="00730DE4" w:rsidRDefault="00730DE4" w:rsidP="000D630F">
            <w:pPr>
              <w:pStyle w:val="NoSpacing"/>
              <w:jc w:val="right"/>
              <w:rPr>
                <w:rStyle w:val="Strong"/>
              </w:rPr>
            </w:pPr>
          </w:p>
        </w:tc>
        <w:tc>
          <w:tcPr>
            <w:tcW w:w="820"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D827E5F" w14:textId="77777777" w:rsidR="00730DE4" w:rsidRPr="00730DE4" w:rsidRDefault="00730DE4" w:rsidP="000D630F">
            <w:pPr>
              <w:pStyle w:val="NoSpacing"/>
              <w:jc w:val="right"/>
            </w:pPr>
          </w:p>
        </w:tc>
      </w:tr>
      <w:tr w:rsidR="00730DE4" w:rsidRPr="00730DE4" w14:paraId="5E5F9572" w14:textId="77777777" w:rsidTr="00FB54DC">
        <w:trPr>
          <w:trHeight w:val="240"/>
        </w:trPr>
        <w:tc>
          <w:tcPr>
            <w:tcW w:w="338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0E34746C" w14:textId="77777777" w:rsidR="00730DE4" w:rsidRPr="00730DE4" w:rsidRDefault="00730DE4" w:rsidP="000D630F">
            <w:pPr>
              <w:pStyle w:val="NoSpacing"/>
            </w:pPr>
            <w:r w:rsidRPr="00730DE4">
              <w:t>Insurance</w:t>
            </w:r>
          </w:p>
        </w:tc>
        <w:tc>
          <w:tcPr>
            <w:tcW w:w="80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D630884" w14:textId="77777777" w:rsidR="00730DE4" w:rsidRPr="00730DE4" w:rsidRDefault="00730DE4" w:rsidP="000D630F">
            <w:pPr>
              <w:pStyle w:val="NoSpacing"/>
              <w:jc w:val="right"/>
            </w:pPr>
            <w:r w:rsidRPr="00730DE4">
              <w:t xml:space="preserve">17,586 </w:t>
            </w:r>
          </w:p>
        </w:tc>
        <w:tc>
          <w:tcPr>
            <w:tcW w:w="82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B4A59B1" w14:textId="77777777" w:rsidR="00730DE4" w:rsidRPr="00730DE4" w:rsidRDefault="00730DE4" w:rsidP="000D630F">
            <w:pPr>
              <w:pStyle w:val="NoSpacing"/>
              <w:jc w:val="right"/>
            </w:pPr>
            <w:r w:rsidRPr="00730DE4">
              <w:t xml:space="preserve">6,760 </w:t>
            </w:r>
          </w:p>
        </w:tc>
      </w:tr>
      <w:tr w:rsidR="00730DE4" w:rsidRPr="00730DE4" w14:paraId="5114D001" w14:textId="77777777" w:rsidTr="00FB54DC">
        <w:trPr>
          <w:trHeight w:val="240"/>
        </w:trPr>
        <w:tc>
          <w:tcPr>
            <w:tcW w:w="338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13F50E75" w14:textId="77777777" w:rsidR="00730DE4" w:rsidRPr="00730DE4" w:rsidRDefault="00730DE4" w:rsidP="000D630F">
            <w:pPr>
              <w:pStyle w:val="NoSpacing"/>
            </w:pPr>
            <w:r w:rsidRPr="00730DE4">
              <w:t>New Generation Rollingstock accessibility works *</w:t>
            </w:r>
          </w:p>
        </w:tc>
        <w:tc>
          <w:tcPr>
            <w:tcW w:w="80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B386264" w14:textId="77777777" w:rsidR="00730DE4" w:rsidRPr="00730DE4" w:rsidRDefault="00730DE4" w:rsidP="000D630F">
            <w:pPr>
              <w:pStyle w:val="NoSpacing"/>
              <w:jc w:val="right"/>
            </w:pPr>
            <w:r w:rsidRPr="00730DE4">
              <w:t xml:space="preserve">12,819 </w:t>
            </w:r>
          </w:p>
        </w:tc>
        <w:tc>
          <w:tcPr>
            <w:tcW w:w="82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D235F88" w14:textId="77777777" w:rsidR="00730DE4" w:rsidRPr="00730DE4" w:rsidRDefault="00730DE4" w:rsidP="000D630F">
            <w:pPr>
              <w:pStyle w:val="NoSpacing"/>
              <w:jc w:val="right"/>
            </w:pPr>
            <w:r w:rsidRPr="00730DE4">
              <w:t xml:space="preserve">69,412 </w:t>
            </w:r>
          </w:p>
        </w:tc>
      </w:tr>
      <w:tr w:rsidR="00730DE4" w:rsidRPr="00730DE4" w14:paraId="1D165B96" w14:textId="77777777" w:rsidTr="00FB54DC">
        <w:trPr>
          <w:trHeight w:val="240"/>
        </w:trPr>
        <w:tc>
          <w:tcPr>
            <w:tcW w:w="338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67C89E9" w14:textId="77777777" w:rsidR="00730DE4" w:rsidRPr="00730DE4" w:rsidRDefault="00730DE4" w:rsidP="000D630F">
            <w:pPr>
              <w:pStyle w:val="NoSpacing"/>
            </w:pPr>
            <w:r w:rsidRPr="00730DE4">
              <w:t xml:space="preserve">Software and data agreements </w:t>
            </w:r>
          </w:p>
        </w:tc>
        <w:tc>
          <w:tcPr>
            <w:tcW w:w="80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2C3776E" w14:textId="77777777" w:rsidR="00730DE4" w:rsidRPr="00730DE4" w:rsidRDefault="00730DE4" w:rsidP="000D630F">
            <w:pPr>
              <w:pStyle w:val="NoSpacing"/>
              <w:jc w:val="right"/>
            </w:pPr>
            <w:r w:rsidRPr="00730DE4">
              <w:t xml:space="preserve">39,777 </w:t>
            </w:r>
          </w:p>
        </w:tc>
        <w:tc>
          <w:tcPr>
            <w:tcW w:w="82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FC96AE2" w14:textId="77777777" w:rsidR="00730DE4" w:rsidRPr="00730DE4" w:rsidRDefault="00730DE4" w:rsidP="000D630F">
            <w:pPr>
              <w:pStyle w:val="NoSpacing"/>
              <w:jc w:val="right"/>
            </w:pPr>
            <w:r w:rsidRPr="00730DE4">
              <w:t xml:space="preserve">34,231 </w:t>
            </w:r>
          </w:p>
        </w:tc>
      </w:tr>
      <w:tr w:rsidR="00730DE4" w:rsidRPr="00730DE4" w14:paraId="3F890FF3" w14:textId="77777777" w:rsidTr="00FB54DC">
        <w:trPr>
          <w:trHeight w:val="240"/>
        </w:trPr>
        <w:tc>
          <w:tcPr>
            <w:tcW w:w="338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DC44A27" w14:textId="77777777" w:rsidR="00730DE4" w:rsidRPr="00730DE4" w:rsidRDefault="00730DE4" w:rsidP="000D630F">
            <w:pPr>
              <w:pStyle w:val="NoSpacing"/>
            </w:pPr>
            <w:r w:rsidRPr="00730DE4">
              <w:t>Gold Coast Light Rail Stage 3 contractual arrangement **</w:t>
            </w:r>
          </w:p>
        </w:tc>
        <w:tc>
          <w:tcPr>
            <w:tcW w:w="80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E5DB100" w14:textId="77777777" w:rsidR="00730DE4" w:rsidRPr="00730DE4" w:rsidRDefault="00730DE4" w:rsidP="000D630F">
            <w:pPr>
              <w:pStyle w:val="NoSpacing"/>
              <w:jc w:val="right"/>
            </w:pPr>
            <w:r w:rsidRPr="00730DE4">
              <w:t xml:space="preserve">4,008 </w:t>
            </w:r>
          </w:p>
        </w:tc>
        <w:tc>
          <w:tcPr>
            <w:tcW w:w="82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B5C5080" w14:textId="77777777" w:rsidR="00730DE4" w:rsidRPr="00730DE4" w:rsidRDefault="00730DE4" w:rsidP="000D630F">
            <w:pPr>
              <w:pStyle w:val="NoSpacing"/>
              <w:jc w:val="right"/>
            </w:pPr>
            <w:r w:rsidRPr="00730DE4">
              <w:t xml:space="preserve">- </w:t>
            </w:r>
          </w:p>
        </w:tc>
      </w:tr>
      <w:tr w:rsidR="00730DE4" w:rsidRPr="00730DE4" w14:paraId="200DF566" w14:textId="77777777" w:rsidTr="00FB54DC">
        <w:trPr>
          <w:trHeight w:val="240"/>
        </w:trPr>
        <w:tc>
          <w:tcPr>
            <w:tcW w:w="3380"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0835A1C4" w14:textId="77777777" w:rsidR="00730DE4" w:rsidRPr="00730DE4" w:rsidRDefault="00730DE4" w:rsidP="000D630F">
            <w:pPr>
              <w:pStyle w:val="NoSpacing"/>
            </w:pPr>
            <w:r w:rsidRPr="00730DE4">
              <w:t>Other</w:t>
            </w:r>
          </w:p>
        </w:tc>
        <w:tc>
          <w:tcPr>
            <w:tcW w:w="800"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0C8B906E" w14:textId="77777777" w:rsidR="00730DE4" w:rsidRPr="00730DE4" w:rsidRDefault="00730DE4" w:rsidP="000D630F">
            <w:pPr>
              <w:pStyle w:val="NoSpacing"/>
              <w:jc w:val="right"/>
            </w:pPr>
            <w:r w:rsidRPr="00730DE4">
              <w:t xml:space="preserve">1,386 </w:t>
            </w:r>
          </w:p>
        </w:tc>
        <w:tc>
          <w:tcPr>
            <w:tcW w:w="820"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61309696" w14:textId="77777777" w:rsidR="00730DE4" w:rsidRPr="00730DE4" w:rsidRDefault="00730DE4" w:rsidP="000D630F">
            <w:pPr>
              <w:pStyle w:val="NoSpacing"/>
              <w:jc w:val="right"/>
            </w:pPr>
            <w:r w:rsidRPr="00730DE4">
              <w:t xml:space="preserve">2,682 </w:t>
            </w:r>
          </w:p>
        </w:tc>
      </w:tr>
      <w:tr w:rsidR="00730DE4" w:rsidRPr="00730DE4" w14:paraId="6666F1C8" w14:textId="77777777" w:rsidTr="00FB54DC">
        <w:tc>
          <w:tcPr>
            <w:tcW w:w="3380"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528C1C07" w14:textId="77777777" w:rsidR="00730DE4" w:rsidRPr="00730DE4" w:rsidRDefault="00730DE4" w:rsidP="00185170">
            <w:pPr>
              <w:pStyle w:val="NoSpacing"/>
              <w:rPr>
                <w:b/>
                <w:bCs/>
              </w:rPr>
            </w:pPr>
            <w:r w:rsidRPr="00730DE4">
              <w:rPr>
                <w:rStyle w:val="Strong"/>
              </w:rPr>
              <w:t>Total</w:t>
            </w:r>
          </w:p>
        </w:tc>
        <w:tc>
          <w:tcPr>
            <w:tcW w:w="800"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641C0771" w14:textId="77777777" w:rsidR="00730DE4" w:rsidRPr="00730DE4" w:rsidRDefault="00730DE4" w:rsidP="00185170">
            <w:pPr>
              <w:pStyle w:val="NoSpacing"/>
              <w:jc w:val="right"/>
              <w:rPr>
                <w:b/>
                <w:bCs/>
              </w:rPr>
            </w:pPr>
            <w:r w:rsidRPr="00730DE4">
              <w:rPr>
                <w:rStyle w:val="Strong"/>
              </w:rPr>
              <w:t xml:space="preserve">75,576 </w:t>
            </w:r>
          </w:p>
        </w:tc>
        <w:tc>
          <w:tcPr>
            <w:tcW w:w="820" w:type="pct"/>
            <w:tcBorders>
              <w:top w:val="single" w:sz="4" w:space="0" w:color="auto"/>
              <w:left w:val="dotted" w:sz="4" w:space="0" w:color="BFBFBF" w:themeColor="background1" w:themeShade="BF"/>
              <w:bottom w:val="double" w:sz="4" w:space="0" w:color="auto"/>
              <w:right w:val="nil"/>
            </w:tcBorders>
            <w:shd w:val="clear" w:color="auto" w:fill="auto"/>
            <w:noWrap/>
            <w:hideMark/>
          </w:tcPr>
          <w:p w14:paraId="22565E28" w14:textId="77777777" w:rsidR="00730DE4" w:rsidRPr="00730DE4" w:rsidRDefault="00730DE4" w:rsidP="00185170">
            <w:pPr>
              <w:pStyle w:val="NoSpacing"/>
              <w:jc w:val="right"/>
              <w:rPr>
                <w:rStyle w:val="Strong"/>
              </w:rPr>
            </w:pPr>
            <w:r w:rsidRPr="00730DE4">
              <w:rPr>
                <w:rStyle w:val="Strong"/>
              </w:rPr>
              <w:t xml:space="preserve">113,085 </w:t>
            </w:r>
          </w:p>
        </w:tc>
      </w:tr>
      <w:tr w:rsidR="00730DE4" w:rsidRPr="00730DE4" w14:paraId="3494DD44" w14:textId="77777777" w:rsidTr="00FB54DC">
        <w:trPr>
          <w:trHeight w:val="454"/>
        </w:trPr>
        <w:tc>
          <w:tcPr>
            <w:tcW w:w="3380" w:type="pct"/>
            <w:tcBorders>
              <w:top w:val="doub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165669EA" w14:textId="77777777" w:rsidR="00730DE4" w:rsidRPr="00730DE4" w:rsidRDefault="00730DE4" w:rsidP="000D630F">
            <w:pPr>
              <w:pStyle w:val="NoSpacing"/>
              <w:rPr>
                <w:b/>
                <w:bCs/>
              </w:rPr>
            </w:pPr>
            <w:r w:rsidRPr="00730DE4">
              <w:rPr>
                <w:rStyle w:val="Strong"/>
              </w:rPr>
              <w:t>Non-current</w:t>
            </w:r>
          </w:p>
        </w:tc>
        <w:tc>
          <w:tcPr>
            <w:tcW w:w="800"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C29EAD6" w14:textId="77777777" w:rsidR="00730DE4" w:rsidRPr="00730DE4" w:rsidRDefault="00730DE4" w:rsidP="000D630F">
            <w:pPr>
              <w:pStyle w:val="NoSpacing"/>
              <w:jc w:val="right"/>
              <w:rPr>
                <w:rStyle w:val="Strong"/>
              </w:rPr>
            </w:pPr>
          </w:p>
        </w:tc>
        <w:tc>
          <w:tcPr>
            <w:tcW w:w="820" w:type="pct"/>
            <w:tcBorders>
              <w:top w:val="double" w:sz="4" w:space="0" w:color="auto"/>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F22C964" w14:textId="77777777" w:rsidR="00730DE4" w:rsidRPr="00730DE4" w:rsidRDefault="00730DE4" w:rsidP="000D630F">
            <w:pPr>
              <w:pStyle w:val="NoSpacing"/>
              <w:jc w:val="right"/>
            </w:pPr>
          </w:p>
        </w:tc>
      </w:tr>
      <w:tr w:rsidR="00730DE4" w:rsidRPr="00730DE4" w14:paraId="2E811823" w14:textId="77777777" w:rsidTr="00FB54DC">
        <w:trPr>
          <w:trHeight w:val="240"/>
        </w:trPr>
        <w:tc>
          <w:tcPr>
            <w:tcW w:w="338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4DF94EAC" w14:textId="77777777" w:rsidR="00730DE4" w:rsidRPr="00730DE4" w:rsidRDefault="00730DE4" w:rsidP="000D630F">
            <w:pPr>
              <w:pStyle w:val="NoSpacing"/>
            </w:pPr>
            <w:r w:rsidRPr="00730DE4">
              <w:t>Insurance</w:t>
            </w:r>
          </w:p>
        </w:tc>
        <w:tc>
          <w:tcPr>
            <w:tcW w:w="80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04BF592" w14:textId="77777777" w:rsidR="00730DE4" w:rsidRPr="00730DE4" w:rsidRDefault="00730DE4" w:rsidP="000D630F">
            <w:pPr>
              <w:pStyle w:val="NoSpacing"/>
              <w:jc w:val="right"/>
            </w:pPr>
            <w:r w:rsidRPr="00730DE4">
              <w:t xml:space="preserve">12,814 </w:t>
            </w:r>
          </w:p>
        </w:tc>
        <w:tc>
          <w:tcPr>
            <w:tcW w:w="82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D18E11E" w14:textId="77777777" w:rsidR="00730DE4" w:rsidRPr="00730DE4" w:rsidRDefault="00730DE4" w:rsidP="000D630F">
            <w:pPr>
              <w:pStyle w:val="NoSpacing"/>
              <w:jc w:val="right"/>
            </w:pPr>
            <w:r w:rsidRPr="00730DE4">
              <w:t xml:space="preserve">6,177 </w:t>
            </w:r>
          </w:p>
        </w:tc>
      </w:tr>
      <w:tr w:rsidR="00730DE4" w:rsidRPr="00730DE4" w14:paraId="29B104CF" w14:textId="77777777" w:rsidTr="00FB54DC">
        <w:trPr>
          <w:trHeight w:val="240"/>
        </w:trPr>
        <w:tc>
          <w:tcPr>
            <w:tcW w:w="338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987C132" w14:textId="77777777" w:rsidR="00730DE4" w:rsidRPr="00730DE4" w:rsidRDefault="00730DE4" w:rsidP="000D630F">
            <w:pPr>
              <w:pStyle w:val="NoSpacing"/>
            </w:pPr>
            <w:r w:rsidRPr="00730DE4">
              <w:t>New Generation Rollingstock accessibility works *</w:t>
            </w:r>
          </w:p>
        </w:tc>
        <w:tc>
          <w:tcPr>
            <w:tcW w:w="80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80B63C5" w14:textId="77777777" w:rsidR="00730DE4" w:rsidRPr="00730DE4" w:rsidRDefault="00730DE4" w:rsidP="000D630F">
            <w:pPr>
              <w:pStyle w:val="NoSpacing"/>
              <w:jc w:val="right"/>
            </w:pPr>
            <w:r w:rsidRPr="00730DE4">
              <w:t xml:space="preserve">57,673 </w:t>
            </w:r>
          </w:p>
        </w:tc>
        <w:tc>
          <w:tcPr>
            <w:tcW w:w="82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47FF56C8" w14:textId="77777777" w:rsidR="00730DE4" w:rsidRPr="00730DE4" w:rsidRDefault="00730DE4" w:rsidP="000D630F">
            <w:pPr>
              <w:pStyle w:val="NoSpacing"/>
              <w:jc w:val="right"/>
            </w:pPr>
            <w:r w:rsidRPr="00730DE4">
              <w:t xml:space="preserve">67,642 </w:t>
            </w:r>
          </w:p>
        </w:tc>
      </w:tr>
      <w:tr w:rsidR="00730DE4" w:rsidRPr="00730DE4" w14:paraId="14E2A1D2" w14:textId="77777777" w:rsidTr="00FB54DC">
        <w:trPr>
          <w:trHeight w:val="240"/>
        </w:trPr>
        <w:tc>
          <w:tcPr>
            <w:tcW w:w="338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07123DFD" w14:textId="77777777" w:rsidR="00730DE4" w:rsidRPr="00730DE4" w:rsidRDefault="00730DE4" w:rsidP="000D630F">
            <w:pPr>
              <w:pStyle w:val="NoSpacing"/>
            </w:pPr>
            <w:r w:rsidRPr="00730DE4">
              <w:t>Software and data agreements</w:t>
            </w:r>
          </w:p>
        </w:tc>
        <w:tc>
          <w:tcPr>
            <w:tcW w:w="80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1E0BCA5" w14:textId="77777777" w:rsidR="00730DE4" w:rsidRPr="00730DE4" w:rsidRDefault="00730DE4" w:rsidP="000D630F">
            <w:pPr>
              <w:pStyle w:val="NoSpacing"/>
              <w:jc w:val="right"/>
            </w:pPr>
            <w:r w:rsidRPr="00730DE4">
              <w:t xml:space="preserve">4,559 </w:t>
            </w:r>
          </w:p>
        </w:tc>
        <w:tc>
          <w:tcPr>
            <w:tcW w:w="82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5B1E674" w14:textId="77777777" w:rsidR="00730DE4" w:rsidRPr="00730DE4" w:rsidRDefault="00730DE4" w:rsidP="000D630F">
            <w:pPr>
              <w:pStyle w:val="NoSpacing"/>
              <w:jc w:val="right"/>
            </w:pPr>
            <w:r w:rsidRPr="00730DE4">
              <w:t xml:space="preserve">6,711 </w:t>
            </w:r>
          </w:p>
        </w:tc>
      </w:tr>
      <w:tr w:rsidR="00730DE4" w:rsidRPr="00730DE4" w14:paraId="50DC43D5" w14:textId="77777777" w:rsidTr="00FB54DC">
        <w:trPr>
          <w:trHeight w:val="240"/>
        </w:trPr>
        <w:tc>
          <w:tcPr>
            <w:tcW w:w="3380"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5566B92C" w14:textId="77777777" w:rsidR="00730DE4" w:rsidRPr="00730DE4" w:rsidRDefault="00730DE4" w:rsidP="000D630F">
            <w:pPr>
              <w:pStyle w:val="NoSpacing"/>
            </w:pPr>
            <w:r w:rsidRPr="00730DE4">
              <w:t>Other</w:t>
            </w:r>
          </w:p>
        </w:tc>
        <w:tc>
          <w:tcPr>
            <w:tcW w:w="800"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60DABC8D" w14:textId="77777777" w:rsidR="00730DE4" w:rsidRPr="00730DE4" w:rsidRDefault="00730DE4" w:rsidP="000D630F">
            <w:pPr>
              <w:pStyle w:val="NoSpacing"/>
              <w:jc w:val="right"/>
            </w:pPr>
            <w:r w:rsidRPr="00730DE4">
              <w:t xml:space="preserve">40 </w:t>
            </w:r>
          </w:p>
        </w:tc>
        <w:tc>
          <w:tcPr>
            <w:tcW w:w="820"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428058D2" w14:textId="77777777" w:rsidR="00730DE4" w:rsidRPr="00730DE4" w:rsidRDefault="00730DE4" w:rsidP="000D630F">
            <w:pPr>
              <w:pStyle w:val="NoSpacing"/>
              <w:jc w:val="right"/>
            </w:pPr>
            <w:r w:rsidRPr="00730DE4">
              <w:t xml:space="preserve">20 </w:t>
            </w:r>
          </w:p>
        </w:tc>
      </w:tr>
      <w:tr w:rsidR="00730DE4" w:rsidRPr="00730DE4" w14:paraId="05D96FA6" w14:textId="77777777" w:rsidTr="00FB54DC">
        <w:tc>
          <w:tcPr>
            <w:tcW w:w="3380"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2D233086" w14:textId="77777777" w:rsidR="00730DE4" w:rsidRPr="00730DE4" w:rsidRDefault="00730DE4" w:rsidP="00185170">
            <w:pPr>
              <w:pStyle w:val="NoSpacing"/>
              <w:rPr>
                <w:b/>
                <w:bCs/>
              </w:rPr>
            </w:pPr>
            <w:r w:rsidRPr="00730DE4">
              <w:rPr>
                <w:rStyle w:val="Strong"/>
              </w:rPr>
              <w:t>Total</w:t>
            </w:r>
          </w:p>
        </w:tc>
        <w:tc>
          <w:tcPr>
            <w:tcW w:w="800"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3A095EF8" w14:textId="77777777" w:rsidR="00730DE4" w:rsidRPr="00730DE4" w:rsidRDefault="00730DE4" w:rsidP="00185170">
            <w:pPr>
              <w:pStyle w:val="NoSpacing"/>
              <w:jc w:val="right"/>
              <w:rPr>
                <w:b/>
                <w:bCs/>
              </w:rPr>
            </w:pPr>
            <w:r w:rsidRPr="00730DE4">
              <w:rPr>
                <w:rStyle w:val="Strong"/>
              </w:rPr>
              <w:t xml:space="preserve">75,086 </w:t>
            </w:r>
          </w:p>
        </w:tc>
        <w:tc>
          <w:tcPr>
            <w:tcW w:w="820" w:type="pct"/>
            <w:tcBorders>
              <w:top w:val="single" w:sz="4" w:space="0" w:color="auto"/>
              <w:left w:val="dotted" w:sz="4" w:space="0" w:color="BFBFBF" w:themeColor="background1" w:themeShade="BF"/>
              <w:bottom w:val="double" w:sz="4" w:space="0" w:color="auto"/>
              <w:right w:val="nil"/>
            </w:tcBorders>
            <w:shd w:val="clear" w:color="auto" w:fill="auto"/>
            <w:noWrap/>
            <w:hideMark/>
          </w:tcPr>
          <w:p w14:paraId="148D2537" w14:textId="77777777" w:rsidR="00730DE4" w:rsidRPr="00730DE4" w:rsidRDefault="00730DE4" w:rsidP="00185170">
            <w:pPr>
              <w:pStyle w:val="NoSpacing"/>
              <w:jc w:val="right"/>
              <w:rPr>
                <w:rStyle w:val="Strong"/>
              </w:rPr>
            </w:pPr>
            <w:r w:rsidRPr="00730DE4">
              <w:rPr>
                <w:rStyle w:val="Strong"/>
              </w:rPr>
              <w:t xml:space="preserve">80,550 </w:t>
            </w:r>
          </w:p>
        </w:tc>
      </w:tr>
    </w:tbl>
    <w:p w14:paraId="019CDD6B" w14:textId="77777777" w:rsidR="00730DE4" w:rsidRPr="00730DE4" w:rsidRDefault="00730DE4" w:rsidP="009D3417">
      <w:pPr>
        <w:pStyle w:val="Caption"/>
      </w:pPr>
      <w:r w:rsidRPr="00730DE4">
        <w:t>* Milestone payments on rectification works for New Generation Rollingstock train sets made in accordance with the variation deed entered into with the vendor. Residual payments have been recognised as a provision. Refer to Note 20.</w:t>
      </w:r>
    </w:p>
    <w:p w14:paraId="79E7087E" w14:textId="77777777" w:rsidR="00730DE4" w:rsidRPr="00730DE4" w:rsidRDefault="00730DE4" w:rsidP="009D3417">
      <w:pPr>
        <w:pStyle w:val="Caption"/>
      </w:pPr>
      <w:r w:rsidRPr="00730DE4">
        <w:t>** Payments made in advance for Gold Coast Light Rail Stage 3. Refer to Note 16 for details of contractual arrangements.</w:t>
      </w:r>
    </w:p>
    <w:p w14:paraId="2F3DB393" w14:textId="77777777" w:rsidR="00730DE4" w:rsidRPr="00730DE4" w:rsidRDefault="00730DE4" w:rsidP="00D16D4F">
      <w:pPr>
        <w:pStyle w:val="Heading4"/>
        <w:sectPr w:rsidR="00730DE4" w:rsidRPr="00730DE4" w:rsidSect="00730DE4">
          <w:pgSz w:w="11906" w:h="16838" w:code="9"/>
          <w:pgMar w:top="1134" w:right="1418" w:bottom="1134" w:left="1418" w:header="227" w:footer="227" w:gutter="0"/>
          <w:cols w:space="708"/>
          <w:docGrid w:linePitch="360"/>
        </w:sectPr>
      </w:pPr>
    </w:p>
    <w:p w14:paraId="6D1EDFB2" w14:textId="77777777" w:rsidR="00730DE4" w:rsidRPr="00730DE4" w:rsidRDefault="00730DE4" w:rsidP="000A6945">
      <w:pPr>
        <w:pStyle w:val="Heading4"/>
      </w:pPr>
      <w:bookmarkStart w:id="1511" w:name="_Toc179365609"/>
      <w:bookmarkStart w:id="1512" w:name="_Toc180490933"/>
      <w:bookmarkStart w:id="1513" w:name="_Toc180491966"/>
      <w:r w:rsidRPr="00730DE4">
        <w:t>14 Intangible assets</w:t>
      </w:r>
      <w:bookmarkEnd w:id="1511"/>
      <w:bookmarkEnd w:id="1512"/>
      <w:bookmarkEnd w:id="1513"/>
    </w:p>
    <w:tbl>
      <w:tblPr>
        <w:tblW w:w="5000" w:type="pct"/>
        <w:tblCellMar>
          <w:top w:w="23" w:type="dxa"/>
          <w:left w:w="23" w:type="dxa"/>
          <w:bottom w:w="23" w:type="dxa"/>
          <w:right w:w="23" w:type="dxa"/>
        </w:tblCellMar>
        <w:tblLook w:val="04A0" w:firstRow="1" w:lastRow="0" w:firstColumn="1" w:lastColumn="0" w:noHBand="0" w:noVBand="1"/>
      </w:tblPr>
      <w:tblGrid>
        <w:gridCol w:w="3968"/>
        <w:gridCol w:w="2022"/>
        <w:gridCol w:w="2145"/>
        <w:gridCol w:w="2145"/>
        <w:gridCol w:w="2145"/>
        <w:gridCol w:w="2145"/>
      </w:tblGrid>
      <w:tr w:rsidR="00730DE4" w:rsidRPr="00730DE4" w14:paraId="656FC526" w14:textId="77777777" w:rsidTr="00942991">
        <w:trPr>
          <w:trHeight w:val="240"/>
        </w:trPr>
        <w:tc>
          <w:tcPr>
            <w:tcW w:w="1362" w:type="pct"/>
            <w:tcBorders>
              <w:top w:val="nil"/>
              <w:left w:val="nil"/>
              <w:bottom w:val="single" w:sz="4" w:space="0" w:color="auto"/>
              <w:right w:val="nil"/>
            </w:tcBorders>
            <w:shd w:val="clear" w:color="auto" w:fill="auto"/>
            <w:noWrap/>
            <w:vAlign w:val="bottom"/>
            <w:hideMark/>
          </w:tcPr>
          <w:p w14:paraId="5478B2F0" w14:textId="77777777" w:rsidR="00730DE4" w:rsidRPr="00730DE4" w:rsidRDefault="00730DE4" w:rsidP="00984424">
            <w:pPr>
              <w:pStyle w:val="NoSpacing"/>
              <w:rPr>
                <w:color w:val="080C0F" w:themeColor="text1"/>
              </w:rPr>
            </w:pPr>
          </w:p>
        </w:tc>
        <w:tc>
          <w:tcPr>
            <w:tcW w:w="694" w:type="pct"/>
            <w:tcBorders>
              <w:top w:val="nil"/>
              <w:left w:val="nil"/>
              <w:bottom w:val="single" w:sz="4" w:space="0" w:color="auto"/>
              <w:right w:val="nil"/>
            </w:tcBorders>
            <w:shd w:val="clear" w:color="auto" w:fill="auto"/>
            <w:vAlign w:val="bottom"/>
            <w:hideMark/>
          </w:tcPr>
          <w:p w14:paraId="35758405" w14:textId="77777777" w:rsidR="00730DE4" w:rsidRPr="00730DE4" w:rsidRDefault="00730DE4" w:rsidP="00984424">
            <w:pPr>
              <w:pStyle w:val="NoSpacing"/>
              <w:jc w:val="right"/>
              <w:rPr>
                <w:color w:val="080C0F" w:themeColor="text1"/>
              </w:rPr>
            </w:pPr>
            <w:r w:rsidRPr="00730DE4">
              <w:rPr>
                <w:rStyle w:val="Strong"/>
              </w:rPr>
              <w:t>Software purchased</w:t>
            </w:r>
            <w:r w:rsidRPr="00730DE4">
              <w:rPr>
                <w:rStyle w:val="Strong"/>
              </w:rPr>
              <w:br/>
              <w:t xml:space="preserve"> </w:t>
            </w:r>
            <w:r w:rsidRPr="00730DE4">
              <w:rPr>
                <w:rStyle w:val="Strong"/>
              </w:rPr>
              <w:br/>
            </w:r>
            <w:r w:rsidRPr="00730DE4">
              <w:rPr>
                <w:rStyle w:val="Strong"/>
              </w:rPr>
              <w:br/>
              <w:t xml:space="preserve">2024 </w:t>
            </w:r>
            <w:r w:rsidRPr="00730DE4">
              <w:rPr>
                <w:rStyle w:val="Strong"/>
              </w:rPr>
              <w:br/>
              <w:t>$'000</w:t>
            </w:r>
          </w:p>
        </w:tc>
        <w:tc>
          <w:tcPr>
            <w:tcW w:w="736" w:type="pct"/>
            <w:tcBorders>
              <w:top w:val="nil"/>
              <w:left w:val="nil"/>
              <w:bottom w:val="single" w:sz="4" w:space="0" w:color="auto"/>
              <w:right w:val="nil"/>
            </w:tcBorders>
            <w:shd w:val="clear" w:color="auto" w:fill="auto"/>
            <w:vAlign w:val="bottom"/>
            <w:hideMark/>
          </w:tcPr>
          <w:p w14:paraId="78567DB1" w14:textId="77777777" w:rsidR="00730DE4" w:rsidRPr="00730DE4" w:rsidRDefault="00730DE4" w:rsidP="00984424">
            <w:pPr>
              <w:pStyle w:val="NoSpacing"/>
              <w:jc w:val="right"/>
              <w:rPr>
                <w:color w:val="080C0F" w:themeColor="text1"/>
              </w:rPr>
            </w:pPr>
            <w:r w:rsidRPr="00730DE4">
              <w:rPr>
                <w:rStyle w:val="Strong"/>
              </w:rPr>
              <w:t xml:space="preserve">Software internally generated * </w:t>
            </w:r>
            <w:r w:rsidRPr="00730DE4">
              <w:rPr>
                <w:rStyle w:val="Strong"/>
              </w:rPr>
              <w:br/>
            </w:r>
            <w:r w:rsidRPr="00730DE4">
              <w:rPr>
                <w:rStyle w:val="Strong"/>
              </w:rPr>
              <w:br/>
              <w:t xml:space="preserve">2024 </w:t>
            </w:r>
            <w:r w:rsidRPr="00730DE4">
              <w:rPr>
                <w:rStyle w:val="Strong"/>
              </w:rPr>
              <w:br/>
              <w:t>$'000</w:t>
            </w:r>
          </w:p>
        </w:tc>
        <w:tc>
          <w:tcPr>
            <w:tcW w:w="736" w:type="pct"/>
            <w:tcBorders>
              <w:top w:val="nil"/>
              <w:left w:val="nil"/>
              <w:bottom w:val="single" w:sz="4" w:space="0" w:color="auto"/>
              <w:right w:val="nil"/>
            </w:tcBorders>
            <w:shd w:val="clear" w:color="auto" w:fill="auto"/>
            <w:vAlign w:val="bottom"/>
            <w:hideMark/>
          </w:tcPr>
          <w:p w14:paraId="2920F340" w14:textId="77777777" w:rsidR="00730DE4" w:rsidRPr="00730DE4" w:rsidRDefault="00730DE4" w:rsidP="00984424">
            <w:pPr>
              <w:pStyle w:val="NoSpacing"/>
              <w:jc w:val="right"/>
              <w:rPr>
                <w:color w:val="080C0F" w:themeColor="text1"/>
              </w:rPr>
            </w:pPr>
            <w:r w:rsidRPr="00730DE4">
              <w:rPr>
                <w:rStyle w:val="Strong"/>
              </w:rPr>
              <w:t xml:space="preserve">Software work in progress </w:t>
            </w:r>
            <w:r w:rsidRPr="00730DE4">
              <w:rPr>
                <w:rStyle w:val="Strong"/>
              </w:rPr>
              <w:br/>
            </w:r>
            <w:r w:rsidRPr="00730DE4">
              <w:rPr>
                <w:rStyle w:val="Strong"/>
              </w:rPr>
              <w:br/>
              <w:t xml:space="preserve">2024 </w:t>
            </w:r>
            <w:r w:rsidRPr="00730DE4">
              <w:rPr>
                <w:rStyle w:val="Strong"/>
              </w:rPr>
              <w:br/>
              <w:t>$'000</w:t>
            </w:r>
          </w:p>
        </w:tc>
        <w:tc>
          <w:tcPr>
            <w:tcW w:w="736" w:type="pct"/>
            <w:tcBorders>
              <w:top w:val="nil"/>
              <w:left w:val="nil"/>
              <w:bottom w:val="single" w:sz="4" w:space="0" w:color="auto"/>
              <w:right w:val="nil"/>
            </w:tcBorders>
            <w:shd w:val="clear" w:color="auto" w:fill="auto"/>
            <w:vAlign w:val="bottom"/>
            <w:hideMark/>
          </w:tcPr>
          <w:p w14:paraId="7020B324" w14:textId="77777777" w:rsidR="00730DE4" w:rsidRPr="00730DE4" w:rsidRDefault="00730DE4" w:rsidP="00984424">
            <w:pPr>
              <w:pStyle w:val="NoSpacing"/>
              <w:jc w:val="right"/>
              <w:rPr>
                <w:color w:val="080C0F" w:themeColor="text1"/>
              </w:rPr>
            </w:pPr>
            <w:r w:rsidRPr="00730DE4">
              <w:rPr>
                <w:rStyle w:val="Strong"/>
              </w:rPr>
              <w:t>Other</w:t>
            </w:r>
            <w:r w:rsidRPr="00730DE4">
              <w:rPr>
                <w:rStyle w:val="Strong"/>
              </w:rPr>
              <w:br/>
              <w:t xml:space="preserve"> </w:t>
            </w:r>
            <w:r w:rsidRPr="00730DE4">
              <w:rPr>
                <w:rStyle w:val="Strong"/>
              </w:rPr>
              <w:br/>
            </w:r>
            <w:r w:rsidRPr="00730DE4">
              <w:rPr>
                <w:rStyle w:val="Strong"/>
              </w:rPr>
              <w:br/>
              <w:t xml:space="preserve">2024 </w:t>
            </w:r>
            <w:r w:rsidRPr="00730DE4">
              <w:rPr>
                <w:rStyle w:val="Strong"/>
              </w:rPr>
              <w:br/>
              <w:t>$'000</w:t>
            </w:r>
          </w:p>
        </w:tc>
        <w:tc>
          <w:tcPr>
            <w:tcW w:w="736" w:type="pct"/>
            <w:tcBorders>
              <w:top w:val="nil"/>
              <w:left w:val="nil"/>
              <w:bottom w:val="single" w:sz="4" w:space="0" w:color="auto"/>
              <w:right w:val="nil"/>
            </w:tcBorders>
            <w:shd w:val="clear" w:color="auto" w:fill="auto"/>
            <w:vAlign w:val="bottom"/>
            <w:hideMark/>
          </w:tcPr>
          <w:p w14:paraId="31856490" w14:textId="77777777" w:rsidR="00730DE4" w:rsidRPr="00730DE4" w:rsidRDefault="00730DE4" w:rsidP="00984424">
            <w:pPr>
              <w:pStyle w:val="NoSpacing"/>
              <w:jc w:val="right"/>
              <w:rPr>
                <w:rStyle w:val="Strong"/>
              </w:rPr>
            </w:pPr>
            <w:r w:rsidRPr="00730DE4">
              <w:rPr>
                <w:rStyle w:val="Strong"/>
              </w:rPr>
              <w:t>Total</w:t>
            </w:r>
            <w:r w:rsidRPr="00730DE4">
              <w:rPr>
                <w:rStyle w:val="Strong"/>
              </w:rPr>
              <w:br/>
              <w:t xml:space="preserve"> </w:t>
            </w:r>
            <w:r w:rsidRPr="00730DE4">
              <w:rPr>
                <w:rStyle w:val="Strong"/>
              </w:rPr>
              <w:br/>
            </w:r>
            <w:r w:rsidRPr="00730DE4">
              <w:rPr>
                <w:rStyle w:val="Strong"/>
              </w:rPr>
              <w:br/>
              <w:t xml:space="preserve">2024 </w:t>
            </w:r>
            <w:r w:rsidRPr="00730DE4">
              <w:rPr>
                <w:rStyle w:val="Strong"/>
              </w:rPr>
              <w:br/>
              <w:t>$'000</w:t>
            </w:r>
          </w:p>
        </w:tc>
      </w:tr>
      <w:tr w:rsidR="00730DE4" w:rsidRPr="00730DE4" w14:paraId="2441724B" w14:textId="77777777" w:rsidTr="00942991">
        <w:trPr>
          <w:trHeight w:val="240"/>
        </w:trPr>
        <w:tc>
          <w:tcPr>
            <w:tcW w:w="1362"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0BEB1EAC" w14:textId="77777777" w:rsidR="00730DE4" w:rsidRPr="00730DE4" w:rsidRDefault="00730DE4" w:rsidP="00984424">
            <w:pPr>
              <w:pStyle w:val="NoSpacing"/>
              <w:rPr>
                <w:color w:val="080C0F" w:themeColor="text1"/>
              </w:rPr>
            </w:pPr>
            <w:r w:rsidRPr="00730DE4">
              <w:rPr>
                <w:color w:val="080C0F" w:themeColor="text1"/>
              </w:rPr>
              <w:t>Gross value</w:t>
            </w:r>
          </w:p>
        </w:tc>
        <w:tc>
          <w:tcPr>
            <w:tcW w:w="694"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604541F" w14:textId="77777777" w:rsidR="00730DE4" w:rsidRPr="00730DE4" w:rsidRDefault="00730DE4" w:rsidP="00984424">
            <w:pPr>
              <w:pStyle w:val="NoSpacing"/>
              <w:jc w:val="right"/>
              <w:rPr>
                <w:color w:val="080C0F" w:themeColor="text1"/>
              </w:rPr>
            </w:pPr>
            <w:r w:rsidRPr="00730DE4">
              <w:rPr>
                <w:color w:val="080C0F" w:themeColor="text1"/>
              </w:rPr>
              <w:t xml:space="preserve">33,999 </w:t>
            </w:r>
          </w:p>
        </w:tc>
        <w:tc>
          <w:tcPr>
            <w:tcW w:w="736"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F1C0678" w14:textId="77777777" w:rsidR="00730DE4" w:rsidRPr="00730DE4" w:rsidRDefault="00730DE4" w:rsidP="00984424">
            <w:pPr>
              <w:pStyle w:val="NoSpacing"/>
              <w:jc w:val="right"/>
              <w:rPr>
                <w:color w:val="080C0F" w:themeColor="text1"/>
              </w:rPr>
            </w:pPr>
            <w:r w:rsidRPr="00730DE4">
              <w:rPr>
                <w:color w:val="080C0F" w:themeColor="text1"/>
              </w:rPr>
              <w:t xml:space="preserve">350,014 </w:t>
            </w:r>
          </w:p>
        </w:tc>
        <w:tc>
          <w:tcPr>
            <w:tcW w:w="736"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131284B" w14:textId="77777777" w:rsidR="00730DE4" w:rsidRPr="00730DE4" w:rsidRDefault="00730DE4" w:rsidP="00984424">
            <w:pPr>
              <w:pStyle w:val="NoSpacing"/>
              <w:jc w:val="right"/>
              <w:rPr>
                <w:color w:val="080C0F" w:themeColor="text1"/>
              </w:rPr>
            </w:pPr>
            <w:r w:rsidRPr="00730DE4">
              <w:rPr>
                <w:color w:val="080C0F" w:themeColor="text1"/>
              </w:rPr>
              <w:t xml:space="preserve">7,566 </w:t>
            </w:r>
          </w:p>
        </w:tc>
        <w:tc>
          <w:tcPr>
            <w:tcW w:w="736"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5E3CB72" w14:textId="77777777" w:rsidR="00730DE4" w:rsidRPr="00730DE4" w:rsidRDefault="00730DE4" w:rsidP="00984424">
            <w:pPr>
              <w:pStyle w:val="NoSpacing"/>
              <w:jc w:val="right"/>
              <w:rPr>
                <w:color w:val="080C0F" w:themeColor="text1"/>
              </w:rPr>
            </w:pPr>
            <w:r w:rsidRPr="00730DE4">
              <w:rPr>
                <w:color w:val="080C0F" w:themeColor="text1"/>
              </w:rPr>
              <w:t xml:space="preserve">4,350 </w:t>
            </w:r>
          </w:p>
        </w:tc>
        <w:tc>
          <w:tcPr>
            <w:tcW w:w="736"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0F00942E" w14:textId="77777777" w:rsidR="00730DE4" w:rsidRPr="00730DE4" w:rsidRDefault="00730DE4" w:rsidP="00984424">
            <w:pPr>
              <w:pStyle w:val="NoSpacing"/>
              <w:jc w:val="right"/>
              <w:rPr>
                <w:rStyle w:val="Strong"/>
              </w:rPr>
            </w:pPr>
            <w:r w:rsidRPr="00730DE4">
              <w:rPr>
                <w:rStyle w:val="Strong"/>
              </w:rPr>
              <w:t xml:space="preserve">395,929 </w:t>
            </w:r>
          </w:p>
        </w:tc>
      </w:tr>
      <w:tr w:rsidR="00730DE4" w:rsidRPr="00730DE4" w14:paraId="45CFD1A9" w14:textId="77777777" w:rsidTr="00942991">
        <w:trPr>
          <w:trHeight w:val="240"/>
        </w:trPr>
        <w:tc>
          <w:tcPr>
            <w:tcW w:w="1362"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7DCA68F4" w14:textId="77777777" w:rsidR="00730DE4" w:rsidRPr="00730DE4" w:rsidRDefault="00730DE4" w:rsidP="00984424">
            <w:pPr>
              <w:pStyle w:val="NoSpacing"/>
              <w:rPr>
                <w:color w:val="080C0F" w:themeColor="text1"/>
              </w:rPr>
            </w:pPr>
            <w:r w:rsidRPr="00730DE4">
              <w:rPr>
                <w:color w:val="080C0F" w:themeColor="text1"/>
              </w:rPr>
              <w:t>Less: Accumulated amortisation</w:t>
            </w:r>
          </w:p>
        </w:tc>
        <w:tc>
          <w:tcPr>
            <w:tcW w:w="694"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5929644E" w14:textId="77777777" w:rsidR="00730DE4" w:rsidRPr="00730DE4" w:rsidRDefault="00730DE4" w:rsidP="00984424">
            <w:pPr>
              <w:pStyle w:val="NoSpacing"/>
              <w:jc w:val="right"/>
              <w:rPr>
                <w:color w:val="080C0F" w:themeColor="text1"/>
              </w:rPr>
            </w:pPr>
            <w:r w:rsidRPr="00730DE4">
              <w:rPr>
                <w:color w:val="080C0F" w:themeColor="text1"/>
              </w:rPr>
              <w:t>(24,974)</w:t>
            </w:r>
          </w:p>
        </w:tc>
        <w:tc>
          <w:tcPr>
            <w:tcW w:w="736"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23F9F45B" w14:textId="77777777" w:rsidR="00730DE4" w:rsidRPr="00730DE4" w:rsidRDefault="00730DE4" w:rsidP="00984424">
            <w:pPr>
              <w:pStyle w:val="NoSpacing"/>
              <w:jc w:val="right"/>
              <w:rPr>
                <w:color w:val="080C0F" w:themeColor="text1"/>
              </w:rPr>
            </w:pPr>
            <w:r w:rsidRPr="00730DE4">
              <w:rPr>
                <w:color w:val="080C0F" w:themeColor="text1"/>
              </w:rPr>
              <w:t>(313,050)</w:t>
            </w:r>
          </w:p>
        </w:tc>
        <w:tc>
          <w:tcPr>
            <w:tcW w:w="736"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47200FBD" w14:textId="77777777" w:rsidR="00730DE4" w:rsidRPr="00730DE4" w:rsidRDefault="00730DE4" w:rsidP="00984424">
            <w:pPr>
              <w:pStyle w:val="NoSpacing"/>
              <w:jc w:val="right"/>
              <w:rPr>
                <w:color w:val="080C0F" w:themeColor="text1"/>
              </w:rPr>
            </w:pPr>
            <w:r w:rsidRPr="00730DE4">
              <w:rPr>
                <w:color w:val="080C0F" w:themeColor="text1"/>
              </w:rPr>
              <w:t xml:space="preserve">- </w:t>
            </w:r>
          </w:p>
        </w:tc>
        <w:tc>
          <w:tcPr>
            <w:tcW w:w="736"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3408A6D8" w14:textId="77777777" w:rsidR="00730DE4" w:rsidRPr="00730DE4" w:rsidRDefault="00730DE4" w:rsidP="00984424">
            <w:pPr>
              <w:pStyle w:val="NoSpacing"/>
              <w:jc w:val="right"/>
              <w:rPr>
                <w:color w:val="080C0F" w:themeColor="text1"/>
              </w:rPr>
            </w:pPr>
            <w:r w:rsidRPr="00730DE4">
              <w:rPr>
                <w:color w:val="080C0F" w:themeColor="text1"/>
              </w:rPr>
              <w:t>(4)</w:t>
            </w:r>
          </w:p>
        </w:tc>
        <w:tc>
          <w:tcPr>
            <w:tcW w:w="736"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F2F2F2" w:themeFill="background1" w:themeFillShade="F2"/>
            <w:noWrap/>
            <w:vAlign w:val="bottom"/>
            <w:hideMark/>
          </w:tcPr>
          <w:p w14:paraId="4AF5767F" w14:textId="77777777" w:rsidR="00730DE4" w:rsidRPr="00730DE4" w:rsidRDefault="00730DE4" w:rsidP="00984424">
            <w:pPr>
              <w:pStyle w:val="NoSpacing"/>
              <w:jc w:val="right"/>
              <w:rPr>
                <w:rStyle w:val="Strong"/>
              </w:rPr>
            </w:pPr>
            <w:r w:rsidRPr="00730DE4">
              <w:rPr>
                <w:rStyle w:val="Strong"/>
              </w:rPr>
              <w:t>(338,028)</w:t>
            </w:r>
          </w:p>
        </w:tc>
      </w:tr>
      <w:tr w:rsidR="00730DE4" w:rsidRPr="00730DE4" w14:paraId="57F2E6A8" w14:textId="77777777" w:rsidTr="00942991">
        <w:tc>
          <w:tcPr>
            <w:tcW w:w="1362"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50AB0CF8" w14:textId="77777777" w:rsidR="00730DE4" w:rsidRPr="00730DE4" w:rsidRDefault="00730DE4" w:rsidP="00CC3DB6">
            <w:pPr>
              <w:pStyle w:val="NoSpacing"/>
              <w:rPr>
                <w:color w:val="080C0F" w:themeColor="text1"/>
              </w:rPr>
            </w:pPr>
            <w:r w:rsidRPr="00730DE4">
              <w:rPr>
                <w:rStyle w:val="Strong"/>
              </w:rPr>
              <w:t>Carrying amount at 30 June</w:t>
            </w:r>
          </w:p>
        </w:tc>
        <w:tc>
          <w:tcPr>
            <w:tcW w:w="694"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4D1D785C" w14:textId="77777777" w:rsidR="00730DE4" w:rsidRPr="00730DE4" w:rsidRDefault="00730DE4" w:rsidP="00CC3DB6">
            <w:pPr>
              <w:pStyle w:val="NoSpacing"/>
              <w:jc w:val="right"/>
              <w:rPr>
                <w:color w:val="080C0F" w:themeColor="text1"/>
              </w:rPr>
            </w:pPr>
            <w:r w:rsidRPr="00730DE4">
              <w:rPr>
                <w:rStyle w:val="Strong"/>
              </w:rPr>
              <w:t xml:space="preserve">9,025 </w:t>
            </w:r>
          </w:p>
        </w:tc>
        <w:tc>
          <w:tcPr>
            <w:tcW w:w="736"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7E9F3B55" w14:textId="77777777" w:rsidR="00730DE4" w:rsidRPr="00730DE4" w:rsidRDefault="00730DE4" w:rsidP="00CC3DB6">
            <w:pPr>
              <w:pStyle w:val="NoSpacing"/>
              <w:jc w:val="right"/>
              <w:rPr>
                <w:color w:val="080C0F" w:themeColor="text1"/>
              </w:rPr>
            </w:pPr>
            <w:r w:rsidRPr="00730DE4">
              <w:rPr>
                <w:rStyle w:val="Strong"/>
              </w:rPr>
              <w:t xml:space="preserve">36,964 </w:t>
            </w:r>
          </w:p>
        </w:tc>
        <w:tc>
          <w:tcPr>
            <w:tcW w:w="736"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3DB42AE2" w14:textId="77777777" w:rsidR="00730DE4" w:rsidRPr="00730DE4" w:rsidRDefault="00730DE4" w:rsidP="00CC3DB6">
            <w:pPr>
              <w:pStyle w:val="NoSpacing"/>
              <w:jc w:val="right"/>
              <w:rPr>
                <w:color w:val="080C0F" w:themeColor="text1"/>
              </w:rPr>
            </w:pPr>
            <w:r w:rsidRPr="00730DE4">
              <w:rPr>
                <w:rStyle w:val="Strong"/>
              </w:rPr>
              <w:t xml:space="preserve">7,566 </w:t>
            </w:r>
          </w:p>
        </w:tc>
        <w:tc>
          <w:tcPr>
            <w:tcW w:w="736"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43DDF572" w14:textId="77777777" w:rsidR="00730DE4" w:rsidRPr="00730DE4" w:rsidRDefault="00730DE4" w:rsidP="00CC3DB6">
            <w:pPr>
              <w:pStyle w:val="NoSpacing"/>
              <w:jc w:val="right"/>
              <w:rPr>
                <w:color w:val="080C0F" w:themeColor="text1"/>
              </w:rPr>
            </w:pPr>
            <w:r w:rsidRPr="00730DE4">
              <w:rPr>
                <w:rStyle w:val="Strong"/>
              </w:rPr>
              <w:t xml:space="preserve">4,346 </w:t>
            </w:r>
          </w:p>
        </w:tc>
        <w:tc>
          <w:tcPr>
            <w:tcW w:w="736" w:type="pct"/>
            <w:tcBorders>
              <w:top w:val="single" w:sz="4" w:space="0" w:color="auto"/>
              <w:left w:val="dotted" w:sz="4" w:space="0" w:color="BFBFBF" w:themeColor="background1" w:themeShade="BF"/>
              <w:bottom w:val="double" w:sz="4" w:space="0" w:color="auto"/>
              <w:right w:val="nil"/>
            </w:tcBorders>
            <w:shd w:val="clear" w:color="auto" w:fill="F2F2F2" w:themeFill="background1" w:themeFillShade="F2"/>
            <w:noWrap/>
            <w:hideMark/>
          </w:tcPr>
          <w:p w14:paraId="351DEBFC" w14:textId="77777777" w:rsidR="00730DE4" w:rsidRPr="00730DE4" w:rsidRDefault="00730DE4" w:rsidP="00CC3DB6">
            <w:pPr>
              <w:pStyle w:val="NoSpacing"/>
              <w:jc w:val="right"/>
              <w:rPr>
                <w:rStyle w:val="Strong"/>
              </w:rPr>
            </w:pPr>
            <w:r w:rsidRPr="00730DE4">
              <w:rPr>
                <w:rStyle w:val="Strong"/>
              </w:rPr>
              <w:t xml:space="preserve">57,901 </w:t>
            </w:r>
          </w:p>
        </w:tc>
      </w:tr>
      <w:tr w:rsidR="00730DE4" w:rsidRPr="00730DE4" w14:paraId="117F8AD5" w14:textId="77777777" w:rsidTr="00942991">
        <w:trPr>
          <w:trHeight w:val="454"/>
        </w:trPr>
        <w:tc>
          <w:tcPr>
            <w:tcW w:w="1362" w:type="pct"/>
            <w:tcBorders>
              <w:top w:val="doub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1C879925" w14:textId="77777777" w:rsidR="00730DE4" w:rsidRPr="00730DE4" w:rsidRDefault="00730DE4" w:rsidP="00984424">
            <w:pPr>
              <w:pStyle w:val="NoSpacing"/>
              <w:rPr>
                <w:color w:val="080C0F" w:themeColor="text1"/>
              </w:rPr>
            </w:pPr>
            <w:r w:rsidRPr="00730DE4">
              <w:rPr>
                <w:rStyle w:val="Strong"/>
              </w:rPr>
              <w:t>Reconciliation</w:t>
            </w:r>
          </w:p>
        </w:tc>
        <w:tc>
          <w:tcPr>
            <w:tcW w:w="694"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90AD951" w14:textId="77777777" w:rsidR="00730DE4" w:rsidRPr="00730DE4" w:rsidRDefault="00730DE4" w:rsidP="00984424">
            <w:pPr>
              <w:pStyle w:val="NoSpacing"/>
              <w:jc w:val="right"/>
              <w:rPr>
                <w:rStyle w:val="Strong"/>
              </w:rPr>
            </w:pPr>
          </w:p>
        </w:tc>
        <w:tc>
          <w:tcPr>
            <w:tcW w:w="736"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03FA6BB" w14:textId="77777777" w:rsidR="00730DE4" w:rsidRPr="00730DE4" w:rsidRDefault="00730DE4" w:rsidP="00984424">
            <w:pPr>
              <w:pStyle w:val="NoSpacing"/>
              <w:jc w:val="right"/>
              <w:rPr>
                <w:color w:val="080C0F" w:themeColor="text1"/>
              </w:rPr>
            </w:pPr>
          </w:p>
        </w:tc>
        <w:tc>
          <w:tcPr>
            <w:tcW w:w="736"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4EC3784" w14:textId="77777777" w:rsidR="00730DE4" w:rsidRPr="00730DE4" w:rsidRDefault="00730DE4" w:rsidP="00984424">
            <w:pPr>
              <w:pStyle w:val="NoSpacing"/>
              <w:jc w:val="right"/>
              <w:rPr>
                <w:color w:val="080C0F" w:themeColor="text1"/>
              </w:rPr>
            </w:pPr>
          </w:p>
        </w:tc>
        <w:tc>
          <w:tcPr>
            <w:tcW w:w="736"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51A85CA" w14:textId="77777777" w:rsidR="00730DE4" w:rsidRPr="00730DE4" w:rsidRDefault="00730DE4" w:rsidP="00984424">
            <w:pPr>
              <w:pStyle w:val="NoSpacing"/>
              <w:jc w:val="right"/>
              <w:rPr>
                <w:color w:val="080C0F" w:themeColor="text1"/>
              </w:rPr>
            </w:pPr>
          </w:p>
        </w:tc>
        <w:tc>
          <w:tcPr>
            <w:tcW w:w="736" w:type="pct"/>
            <w:tcBorders>
              <w:top w:val="double" w:sz="4" w:space="0" w:color="auto"/>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458B711F" w14:textId="77777777" w:rsidR="00730DE4" w:rsidRPr="00730DE4" w:rsidRDefault="00730DE4" w:rsidP="00984424">
            <w:pPr>
              <w:pStyle w:val="NoSpacing"/>
              <w:jc w:val="right"/>
              <w:rPr>
                <w:color w:val="080C0F" w:themeColor="text1"/>
              </w:rPr>
            </w:pPr>
          </w:p>
        </w:tc>
      </w:tr>
      <w:tr w:rsidR="00730DE4" w:rsidRPr="00730DE4" w14:paraId="63E4860C" w14:textId="77777777" w:rsidTr="00942991">
        <w:trPr>
          <w:trHeight w:val="240"/>
        </w:trPr>
        <w:tc>
          <w:tcPr>
            <w:tcW w:w="136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64FDB550" w14:textId="77777777" w:rsidR="00730DE4" w:rsidRPr="00730DE4" w:rsidRDefault="00730DE4" w:rsidP="00984424">
            <w:pPr>
              <w:pStyle w:val="NoSpacing"/>
              <w:rPr>
                <w:color w:val="080C0F" w:themeColor="text1"/>
              </w:rPr>
            </w:pPr>
            <w:r w:rsidRPr="00730DE4">
              <w:rPr>
                <w:color w:val="080C0F" w:themeColor="text1"/>
              </w:rPr>
              <w:t>Carrying amount at 1 July</w:t>
            </w:r>
          </w:p>
        </w:tc>
        <w:tc>
          <w:tcPr>
            <w:tcW w:w="69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421B725" w14:textId="77777777" w:rsidR="00730DE4" w:rsidRPr="00730DE4" w:rsidRDefault="00730DE4" w:rsidP="00984424">
            <w:pPr>
              <w:pStyle w:val="NoSpacing"/>
              <w:jc w:val="right"/>
              <w:rPr>
                <w:color w:val="080C0F" w:themeColor="text1"/>
              </w:rPr>
            </w:pPr>
            <w:r w:rsidRPr="00730DE4">
              <w:rPr>
                <w:color w:val="080C0F" w:themeColor="text1"/>
              </w:rPr>
              <w:t xml:space="preserve">11,676 </w:t>
            </w:r>
          </w:p>
        </w:tc>
        <w:tc>
          <w:tcPr>
            <w:tcW w:w="736"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C7BF4A9" w14:textId="77777777" w:rsidR="00730DE4" w:rsidRPr="00730DE4" w:rsidRDefault="00730DE4" w:rsidP="00984424">
            <w:pPr>
              <w:pStyle w:val="NoSpacing"/>
              <w:jc w:val="right"/>
              <w:rPr>
                <w:color w:val="080C0F" w:themeColor="text1"/>
              </w:rPr>
            </w:pPr>
            <w:r w:rsidRPr="00730DE4">
              <w:rPr>
                <w:color w:val="080C0F" w:themeColor="text1"/>
              </w:rPr>
              <w:t xml:space="preserve">34,871 </w:t>
            </w:r>
          </w:p>
        </w:tc>
        <w:tc>
          <w:tcPr>
            <w:tcW w:w="736"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A65D8BA" w14:textId="77777777" w:rsidR="00730DE4" w:rsidRPr="00730DE4" w:rsidRDefault="00730DE4" w:rsidP="00984424">
            <w:pPr>
              <w:pStyle w:val="NoSpacing"/>
              <w:jc w:val="right"/>
              <w:rPr>
                <w:color w:val="080C0F" w:themeColor="text1"/>
              </w:rPr>
            </w:pPr>
            <w:r w:rsidRPr="00730DE4">
              <w:rPr>
                <w:color w:val="080C0F" w:themeColor="text1"/>
              </w:rPr>
              <w:t xml:space="preserve">18,321 </w:t>
            </w:r>
          </w:p>
        </w:tc>
        <w:tc>
          <w:tcPr>
            <w:tcW w:w="736"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0382F89" w14:textId="77777777" w:rsidR="00730DE4" w:rsidRPr="00730DE4" w:rsidRDefault="00730DE4" w:rsidP="00984424">
            <w:pPr>
              <w:pStyle w:val="NoSpacing"/>
              <w:jc w:val="right"/>
              <w:rPr>
                <w:color w:val="080C0F" w:themeColor="text1"/>
              </w:rPr>
            </w:pPr>
            <w:r w:rsidRPr="00730DE4">
              <w:rPr>
                <w:color w:val="080C0F" w:themeColor="text1"/>
              </w:rPr>
              <w:t xml:space="preserve">4,346 </w:t>
            </w:r>
          </w:p>
        </w:tc>
        <w:tc>
          <w:tcPr>
            <w:tcW w:w="736"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46847E0D" w14:textId="77777777" w:rsidR="00730DE4" w:rsidRPr="00730DE4" w:rsidRDefault="00730DE4" w:rsidP="00984424">
            <w:pPr>
              <w:pStyle w:val="NoSpacing"/>
              <w:jc w:val="right"/>
              <w:rPr>
                <w:rStyle w:val="Strong"/>
              </w:rPr>
            </w:pPr>
            <w:r w:rsidRPr="00730DE4">
              <w:rPr>
                <w:rStyle w:val="Strong"/>
              </w:rPr>
              <w:t xml:space="preserve">69,214 </w:t>
            </w:r>
          </w:p>
        </w:tc>
      </w:tr>
      <w:tr w:rsidR="00730DE4" w:rsidRPr="00730DE4" w14:paraId="75B3B4EE" w14:textId="77777777" w:rsidTr="00942991">
        <w:trPr>
          <w:trHeight w:val="240"/>
        </w:trPr>
        <w:tc>
          <w:tcPr>
            <w:tcW w:w="136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50F76595" w14:textId="77777777" w:rsidR="00730DE4" w:rsidRPr="00730DE4" w:rsidRDefault="00730DE4" w:rsidP="00984424">
            <w:pPr>
              <w:pStyle w:val="NoSpacing"/>
              <w:rPr>
                <w:color w:val="080C0F" w:themeColor="text1"/>
              </w:rPr>
            </w:pPr>
            <w:r w:rsidRPr="00730DE4">
              <w:rPr>
                <w:color w:val="080C0F" w:themeColor="text1"/>
              </w:rPr>
              <w:t>Acquisitions (including upgrades)</w:t>
            </w:r>
          </w:p>
        </w:tc>
        <w:tc>
          <w:tcPr>
            <w:tcW w:w="69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E00DC32" w14:textId="77777777" w:rsidR="00730DE4" w:rsidRPr="00730DE4" w:rsidRDefault="00730DE4" w:rsidP="00984424">
            <w:pPr>
              <w:pStyle w:val="NoSpacing"/>
              <w:jc w:val="right"/>
              <w:rPr>
                <w:color w:val="080C0F" w:themeColor="text1"/>
              </w:rPr>
            </w:pPr>
            <w:r w:rsidRPr="00730DE4">
              <w:rPr>
                <w:color w:val="080C0F" w:themeColor="text1"/>
              </w:rPr>
              <w:t xml:space="preserve">- </w:t>
            </w:r>
          </w:p>
        </w:tc>
        <w:tc>
          <w:tcPr>
            <w:tcW w:w="736"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20C468D" w14:textId="77777777" w:rsidR="00730DE4" w:rsidRPr="00730DE4" w:rsidRDefault="00730DE4" w:rsidP="00984424">
            <w:pPr>
              <w:pStyle w:val="NoSpacing"/>
              <w:jc w:val="right"/>
              <w:rPr>
                <w:color w:val="080C0F" w:themeColor="text1"/>
              </w:rPr>
            </w:pPr>
            <w:r w:rsidRPr="00730DE4">
              <w:rPr>
                <w:color w:val="080C0F" w:themeColor="text1"/>
              </w:rPr>
              <w:t xml:space="preserve">- </w:t>
            </w:r>
          </w:p>
        </w:tc>
        <w:tc>
          <w:tcPr>
            <w:tcW w:w="736"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BFB67A3" w14:textId="77777777" w:rsidR="00730DE4" w:rsidRPr="00730DE4" w:rsidRDefault="00730DE4" w:rsidP="00984424">
            <w:pPr>
              <w:pStyle w:val="NoSpacing"/>
              <w:jc w:val="right"/>
              <w:rPr>
                <w:color w:val="080C0F" w:themeColor="text1"/>
              </w:rPr>
            </w:pPr>
            <w:r w:rsidRPr="00730DE4">
              <w:rPr>
                <w:color w:val="080C0F" w:themeColor="text1"/>
              </w:rPr>
              <w:t xml:space="preserve">3,347 </w:t>
            </w:r>
          </w:p>
        </w:tc>
        <w:tc>
          <w:tcPr>
            <w:tcW w:w="736"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6C3BEF2" w14:textId="77777777" w:rsidR="00730DE4" w:rsidRPr="00730DE4" w:rsidRDefault="00730DE4" w:rsidP="00984424">
            <w:pPr>
              <w:pStyle w:val="NoSpacing"/>
              <w:jc w:val="right"/>
              <w:rPr>
                <w:color w:val="080C0F" w:themeColor="text1"/>
              </w:rPr>
            </w:pPr>
            <w:r w:rsidRPr="00730DE4">
              <w:rPr>
                <w:color w:val="080C0F" w:themeColor="text1"/>
              </w:rPr>
              <w:t xml:space="preserve">- </w:t>
            </w:r>
          </w:p>
        </w:tc>
        <w:tc>
          <w:tcPr>
            <w:tcW w:w="736"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3E80FE97" w14:textId="77777777" w:rsidR="00730DE4" w:rsidRPr="00730DE4" w:rsidRDefault="00730DE4" w:rsidP="00984424">
            <w:pPr>
              <w:pStyle w:val="NoSpacing"/>
              <w:jc w:val="right"/>
              <w:rPr>
                <w:rStyle w:val="Strong"/>
              </w:rPr>
            </w:pPr>
            <w:r w:rsidRPr="00730DE4">
              <w:rPr>
                <w:rStyle w:val="Strong"/>
              </w:rPr>
              <w:t xml:space="preserve">3,347 </w:t>
            </w:r>
          </w:p>
        </w:tc>
      </w:tr>
      <w:tr w:rsidR="00730DE4" w:rsidRPr="00730DE4" w14:paraId="14EF1FFD" w14:textId="77777777" w:rsidTr="00942991">
        <w:trPr>
          <w:trHeight w:val="240"/>
        </w:trPr>
        <w:tc>
          <w:tcPr>
            <w:tcW w:w="136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0A30F2A5" w14:textId="77777777" w:rsidR="00730DE4" w:rsidRPr="00730DE4" w:rsidRDefault="00730DE4" w:rsidP="00984424">
            <w:pPr>
              <w:pStyle w:val="NoSpacing"/>
              <w:rPr>
                <w:color w:val="080C0F" w:themeColor="text1"/>
              </w:rPr>
            </w:pPr>
            <w:r w:rsidRPr="00730DE4">
              <w:rPr>
                <w:color w:val="080C0F" w:themeColor="text1"/>
              </w:rPr>
              <w:t>Transfers between classes</w:t>
            </w:r>
          </w:p>
        </w:tc>
        <w:tc>
          <w:tcPr>
            <w:tcW w:w="69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2D951E0" w14:textId="77777777" w:rsidR="00730DE4" w:rsidRPr="00730DE4" w:rsidRDefault="00730DE4" w:rsidP="00984424">
            <w:pPr>
              <w:pStyle w:val="NoSpacing"/>
              <w:jc w:val="right"/>
              <w:rPr>
                <w:color w:val="080C0F" w:themeColor="text1"/>
              </w:rPr>
            </w:pPr>
            <w:r w:rsidRPr="00730DE4">
              <w:rPr>
                <w:color w:val="080C0F" w:themeColor="text1"/>
              </w:rPr>
              <w:t xml:space="preserve">- </w:t>
            </w:r>
          </w:p>
        </w:tc>
        <w:tc>
          <w:tcPr>
            <w:tcW w:w="736"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626BF1D" w14:textId="77777777" w:rsidR="00730DE4" w:rsidRPr="00730DE4" w:rsidRDefault="00730DE4" w:rsidP="00984424">
            <w:pPr>
              <w:pStyle w:val="NoSpacing"/>
              <w:jc w:val="right"/>
              <w:rPr>
                <w:color w:val="080C0F" w:themeColor="text1"/>
              </w:rPr>
            </w:pPr>
            <w:r w:rsidRPr="00730DE4">
              <w:rPr>
                <w:color w:val="080C0F" w:themeColor="text1"/>
              </w:rPr>
              <w:t xml:space="preserve">14,024 </w:t>
            </w:r>
          </w:p>
        </w:tc>
        <w:tc>
          <w:tcPr>
            <w:tcW w:w="736"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77E92FB" w14:textId="77777777" w:rsidR="00730DE4" w:rsidRPr="00730DE4" w:rsidRDefault="00730DE4" w:rsidP="00984424">
            <w:pPr>
              <w:pStyle w:val="NoSpacing"/>
              <w:jc w:val="right"/>
              <w:rPr>
                <w:color w:val="080C0F" w:themeColor="text1"/>
              </w:rPr>
            </w:pPr>
            <w:r w:rsidRPr="00730DE4">
              <w:rPr>
                <w:color w:val="080C0F" w:themeColor="text1"/>
              </w:rPr>
              <w:t>(14,024)</w:t>
            </w:r>
          </w:p>
        </w:tc>
        <w:tc>
          <w:tcPr>
            <w:tcW w:w="736"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DD959B0" w14:textId="77777777" w:rsidR="00730DE4" w:rsidRPr="00730DE4" w:rsidRDefault="00730DE4" w:rsidP="00984424">
            <w:pPr>
              <w:pStyle w:val="NoSpacing"/>
              <w:jc w:val="right"/>
              <w:rPr>
                <w:color w:val="080C0F" w:themeColor="text1"/>
              </w:rPr>
            </w:pPr>
            <w:r w:rsidRPr="00730DE4">
              <w:rPr>
                <w:color w:val="080C0F" w:themeColor="text1"/>
              </w:rPr>
              <w:t xml:space="preserve">- </w:t>
            </w:r>
          </w:p>
        </w:tc>
        <w:tc>
          <w:tcPr>
            <w:tcW w:w="736"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365278C0" w14:textId="77777777" w:rsidR="00730DE4" w:rsidRPr="00730DE4" w:rsidRDefault="00730DE4" w:rsidP="00984424">
            <w:pPr>
              <w:pStyle w:val="NoSpacing"/>
              <w:jc w:val="right"/>
              <w:rPr>
                <w:rStyle w:val="Strong"/>
              </w:rPr>
            </w:pPr>
            <w:r w:rsidRPr="00730DE4">
              <w:rPr>
                <w:rStyle w:val="Strong"/>
              </w:rPr>
              <w:t xml:space="preserve">- </w:t>
            </w:r>
          </w:p>
        </w:tc>
      </w:tr>
      <w:tr w:rsidR="00730DE4" w:rsidRPr="00730DE4" w14:paraId="01ED8F2B" w14:textId="77777777" w:rsidTr="00942991">
        <w:trPr>
          <w:trHeight w:val="270"/>
        </w:trPr>
        <w:tc>
          <w:tcPr>
            <w:tcW w:w="136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34AAF644" w14:textId="77777777" w:rsidR="00730DE4" w:rsidRPr="00730DE4" w:rsidRDefault="00730DE4" w:rsidP="00984424">
            <w:pPr>
              <w:pStyle w:val="NoSpacing"/>
              <w:rPr>
                <w:color w:val="080C0F" w:themeColor="text1"/>
              </w:rPr>
            </w:pPr>
            <w:r w:rsidRPr="00730DE4">
              <w:rPr>
                <w:color w:val="080C0F" w:themeColor="text1"/>
              </w:rPr>
              <w:t>Projects written off</w:t>
            </w:r>
          </w:p>
        </w:tc>
        <w:tc>
          <w:tcPr>
            <w:tcW w:w="69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DB661E0" w14:textId="77777777" w:rsidR="00730DE4" w:rsidRPr="00730DE4" w:rsidRDefault="00730DE4" w:rsidP="00984424">
            <w:pPr>
              <w:pStyle w:val="NoSpacing"/>
              <w:jc w:val="right"/>
              <w:rPr>
                <w:color w:val="080C0F" w:themeColor="text1"/>
              </w:rPr>
            </w:pPr>
            <w:r w:rsidRPr="00730DE4">
              <w:rPr>
                <w:color w:val="080C0F" w:themeColor="text1"/>
              </w:rPr>
              <w:t xml:space="preserve">- </w:t>
            </w:r>
          </w:p>
        </w:tc>
        <w:tc>
          <w:tcPr>
            <w:tcW w:w="736"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8D599AD" w14:textId="77777777" w:rsidR="00730DE4" w:rsidRPr="00730DE4" w:rsidRDefault="00730DE4" w:rsidP="00984424">
            <w:pPr>
              <w:pStyle w:val="NoSpacing"/>
              <w:jc w:val="right"/>
              <w:rPr>
                <w:color w:val="080C0F" w:themeColor="text1"/>
              </w:rPr>
            </w:pPr>
            <w:r w:rsidRPr="00730DE4">
              <w:rPr>
                <w:color w:val="080C0F" w:themeColor="text1"/>
              </w:rPr>
              <w:t xml:space="preserve">- </w:t>
            </w:r>
          </w:p>
        </w:tc>
        <w:tc>
          <w:tcPr>
            <w:tcW w:w="736"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57570BE" w14:textId="77777777" w:rsidR="00730DE4" w:rsidRPr="00730DE4" w:rsidRDefault="00730DE4" w:rsidP="00984424">
            <w:pPr>
              <w:pStyle w:val="NoSpacing"/>
              <w:jc w:val="right"/>
              <w:rPr>
                <w:color w:val="080C0F" w:themeColor="text1"/>
              </w:rPr>
            </w:pPr>
            <w:r w:rsidRPr="00730DE4">
              <w:rPr>
                <w:color w:val="080C0F" w:themeColor="text1"/>
              </w:rPr>
              <w:t>(78)</w:t>
            </w:r>
          </w:p>
        </w:tc>
        <w:tc>
          <w:tcPr>
            <w:tcW w:w="736"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572FC44" w14:textId="77777777" w:rsidR="00730DE4" w:rsidRPr="00730DE4" w:rsidRDefault="00730DE4" w:rsidP="00984424">
            <w:pPr>
              <w:pStyle w:val="NoSpacing"/>
              <w:jc w:val="right"/>
              <w:rPr>
                <w:color w:val="080C0F" w:themeColor="text1"/>
              </w:rPr>
            </w:pPr>
            <w:r w:rsidRPr="00730DE4">
              <w:rPr>
                <w:color w:val="080C0F" w:themeColor="text1"/>
              </w:rPr>
              <w:t xml:space="preserve">- </w:t>
            </w:r>
          </w:p>
        </w:tc>
        <w:tc>
          <w:tcPr>
            <w:tcW w:w="736"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5744B556" w14:textId="77777777" w:rsidR="00730DE4" w:rsidRPr="00730DE4" w:rsidRDefault="00730DE4" w:rsidP="00984424">
            <w:pPr>
              <w:pStyle w:val="NoSpacing"/>
              <w:jc w:val="right"/>
              <w:rPr>
                <w:rStyle w:val="Strong"/>
              </w:rPr>
            </w:pPr>
            <w:r w:rsidRPr="00730DE4">
              <w:rPr>
                <w:rStyle w:val="Strong"/>
              </w:rPr>
              <w:t>(78)</w:t>
            </w:r>
          </w:p>
        </w:tc>
      </w:tr>
      <w:tr w:rsidR="00730DE4" w:rsidRPr="00730DE4" w14:paraId="00AF28C1" w14:textId="77777777" w:rsidTr="00942991">
        <w:trPr>
          <w:trHeight w:val="240"/>
        </w:trPr>
        <w:tc>
          <w:tcPr>
            <w:tcW w:w="1362"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119A1FD1" w14:textId="77777777" w:rsidR="00730DE4" w:rsidRPr="00730DE4" w:rsidRDefault="00730DE4" w:rsidP="00984424">
            <w:pPr>
              <w:pStyle w:val="NoSpacing"/>
              <w:rPr>
                <w:color w:val="080C0F" w:themeColor="text1"/>
              </w:rPr>
            </w:pPr>
            <w:r w:rsidRPr="00730DE4">
              <w:rPr>
                <w:color w:val="080C0F" w:themeColor="text1"/>
              </w:rPr>
              <w:t>Amortisation</w:t>
            </w:r>
          </w:p>
        </w:tc>
        <w:tc>
          <w:tcPr>
            <w:tcW w:w="694"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60C35B6F" w14:textId="77777777" w:rsidR="00730DE4" w:rsidRPr="00730DE4" w:rsidRDefault="00730DE4" w:rsidP="00984424">
            <w:pPr>
              <w:pStyle w:val="NoSpacing"/>
              <w:jc w:val="right"/>
              <w:rPr>
                <w:color w:val="080C0F" w:themeColor="text1"/>
              </w:rPr>
            </w:pPr>
            <w:r w:rsidRPr="00730DE4">
              <w:rPr>
                <w:color w:val="080C0F" w:themeColor="text1"/>
              </w:rPr>
              <w:t>(2,651)</w:t>
            </w:r>
          </w:p>
        </w:tc>
        <w:tc>
          <w:tcPr>
            <w:tcW w:w="736"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41979F3F" w14:textId="77777777" w:rsidR="00730DE4" w:rsidRPr="00730DE4" w:rsidRDefault="00730DE4" w:rsidP="00984424">
            <w:pPr>
              <w:pStyle w:val="NoSpacing"/>
              <w:jc w:val="right"/>
              <w:rPr>
                <w:color w:val="080C0F" w:themeColor="text1"/>
              </w:rPr>
            </w:pPr>
            <w:r w:rsidRPr="00730DE4">
              <w:rPr>
                <w:color w:val="080C0F" w:themeColor="text1"/>
              </w:rPr>
              <w:t>(11,931)</w:t>
            </w:r>
          </w:p>
        </w:tc>
        <w:tc>
          <w:tcPr>
            <w:tcW w:w="736"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70C4F945" w14:textId="77777777" w:rsidR="00730DE4" w:rsidRPr="00730DE4" w:rsidRDefault="00730DE4" w:rsidP="00984424">
            <w:pPr>
              <w:pStyle w:val="NoSpacing"/>
              <w:jc w:val="right"/>
              <w:rPr>
                <w:color w:val="080C0F" w:themeColor="text1"/>
              </w:rPr>
            </w:pPr>
            <w:r w:rsidRPr="00730DE4">
              <w:rPr>
                <w:color w:val="080C0F" w:themeColor="text1"/>
              </w:rPr>
              <w:t xml:space="preserve">- </w:t>
            </w:r>
          </w:p>
        </w:tc>
        <w:tc>
          <w:tcPr>
            <w:tcW w:w="736"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4F9BAD8C" w14:textId="77777777" w:rsidR="00730DE4" w:rsidRPr="00730DE4" w:rsidRDefault="00730DE4" w:rsidP="00984424">
            <w:pPr>
              <w:pStyle w:val="NoSpacing"/>
              <w:jc w:val="right"/>
              <w:rPr>
                <w:color w:val="080C0F" w:themeColor="text1"/>
              </w:rPr>
            </w:pPr>
            <w:r w:rsidRPr="00730DE4">
              <w:rPr>
                <w:color w:val="080C0F" w:themeColor="text1"/>
              </w:rPr>
              <w:t xml:space="preserve">- </w:t>
            </w:r>
          </w:p>
        </w:tc>
        <w:tc>
          <w:tcPr>
            <w:tcW w:w="736"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F2F2F2" w:themeFill="background1" w:themeFillShade="F2"/>
            <w:noWrap/>
            <w:vAlign w:val="bottom"/>
            <w:hideMark/>
          </w:tcPr>
          <w:p w14:paraId="225DB9D7" w14:textId="77777777" w:rsidR="00730DE4" w:rsidRPr="00730DE4" w:rsidRDefault="00730DE4" w:rsidP="00984424">
            <w:pPr>
              <w:pStyle w:val="NoSpacing"/>
              <w:jc w:val="right"/>
              <w:rPr>
                <w:rStyle w:val="Strong"/>
              </w:rPr>
            </w:pPr>
            <w:r w:rsidRPr="00730DE4">
              <w:rPr>
                <w:rStyle w:val="Strong"/>
              </w:rPr>
              <w:t>(14,582)</w:t>
            </w:r>
          </w:p>
        </w:tc>
      </w:tr>
      <w:tr w:rsidR="00730DE4" w:rsidRPr="00730DE4" w14:paraId="06A92CB5" w14:textId="77777777" w:rsidTr="00942991">
        <w:tc>
          <w:tcPr>
            <w:tcW w:w="1362"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5ABB17B4" w14:textId="77777777" w:rsidR="00730DE4" w:rsidRPr="00730DE4" w:rsidRDefault="00730DE4" w:rsidP="00CC3DB6">
            <w:pPr>
              <w:pStyle w:val="NoSpacing"/>
              <w:rPr>
                <w:color w:val="080C0F" w:themeColor="text1"/>
              </w:rPr>
            </w:pPr>
            <w:r w:rsidRPr="00730DE4">
              <w:rPr>
                <w:rStyle w:val="Strong"/>
              </w:rPr>
              <w:t>Carrying amount at 30 June</w:t>
            </w:r>
          </w:p>
        </w:tc>
        <w:tc>
          <w:tcPr>
            <w:tcW w:w="694"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568938F2" w14:textId="77777777" w:rsidR="00730DE4" w:rsidRPr="00730DE4" w:rsidRDefault="00730DE4" w:rsidP="00CC3DB6">
            <w:pPr>
              <w:pStyle w:val="NoSpacing"/>
              <w:jc w:val="right"/>
              <w:rPr>
                <w:color w:val="080C0F" w:themeColor="text1"/>
              </w:rPr>
            </w:pPr>
            <w:r w:rsidRPr="00730DE4">
              <w:rPr>
                <w:rStyle w:val="Strong"/>
              </w:rPr>
              <w:t xml:space="preserve">9,025 </w:t>
            </w:r>
          </w:p>
        </w:tc>
        <w:tc>
          <w:tcPr>
            <w:tcW w:w="736"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695A7813" w14:textId="77777777" w:rsidR="00730DE4" w:rsidRPr="00730DE4" w:rsidRDefault="00730DE4" w:rsidP="00CC3DB6">
            <w:pPr>
              <w:pStyle w:val="NoSpacing"/>
              <w:jc w:val="right"/>
              <w:rPr>
                <w:color w:val="080C0F" w:themeColor="text1"/>
              </w:rPr>
            </w:pPr>
            <w:r w:rsidRPr="00730DE4">
              <w:rPr>
                <w:rStyle w:val="Strong"/>
              </w:rPr>
              <w:t xml:space="preserve">36,964 </w:t>
            </w:r>
          </w:p>
        </w:tc>
        <w:tc>
          <w:tcPr>
            <w:tcW w:w="736"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4EBD5AC7" w14:textId="77777777" w:rsidR="00730DE4" w:rsidRPr="00730DE4" w:rsidRDefault="00730DE4" w:rsidP="00CC3DB6">
            <w:pPr>
              <w:pStyle w:val="NoSpacing"/>
              <w:jc w:val="right"/>
              <w:rPr>
                <w:color w:val="080C0F" w:themeColor="text1"/>
              </w:rPr>
            </w:pPr>
            <w:r w:rsidRPr="00730DE4">
              <w:rPr>
                <w:rStyle w:val="Strong"/>
              </w:rPr>
              <w:t xml:space="preserve">7,566 </w:t>
            </w:r>
          </w:p>
        </w:tc>
        <w:tc>
          <w:tcPr>
            <w:tcW w:w="736"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51505105" w14:textId="77777777" w:rsidR="00730DE4" w:rsidRPr="00730DE4" w:rsidRDefault="00730DE4" w:rsidP="00CC3DB6">
            <w:pPr>
              <w:pStyle w:val="NoSpacing"/>
              <w:jc w:val="right"/>
              <w:rPr>
                <w:color w:val="080C0F" w:themeColor="text1"/>
              </w:rPr>
            </w:pPr>
            <w:r w:rsidRPr="00730DE4">
              <w:rPr>
                <w:rStyle w:val="Strong"/>
              </w:rPr>
              <w:t xml:space="preserve">4,346 </w:t>
            </w:r>
          </w:p>
        </w:tc>
        <w:tc>
          <w:tcPr>
            <w:tcW w:w="736" w:type="pct"/>
            <w:tcBorders>
              <w:top w:val="single" w:sz="4" w:space="0" w:color="auto"/>
              <w:left w:val="dotted" w:sz="4" w:space="0" w:color="BFBFBF" w:themeColor="background1" w:themeShade="BF"/>
              <w:bottom w:val="double" w:sz="4" w:space="0" w:color="auto"/>
              <w:right w:val="nil"/>
            </w:tcBorders>
            <w:shd w:val="clear" w:color="auto" w:fill="F2F2F2" w:themeFill="background1" w:themeFillShade="F2"/>
            <w:noWrap/>
            <w:hideMark/>
          </w:tcPr>
          <w:p w14:paraId="114106A9" w14:textId="77777777" w:rsidR="00730DE4" w:rsidRPr="00730DE4" w:rsidRDefault="00730DE4" w:rsidP="00CC3DB6">
            <w:pPr>
              <w:pStyle w:val="NoSpacing"/>
              <w:jc w:val="right"/>
              <w:rPr>
                <w:rStyle w:val="Strong"/>
              </w:rPr>
            </w:pPr>
            <w:r w:rsidRPr="00730DE4">
              <w:rPr>
                <w:rStyle w:val="Strong"/>
              </w:rPr>
              <w:t xml:space="preserve">57,901 </w:t>
            </w:r>
          </w:p>
        </w:tc>
      </w:tr>
    </w:tbl>
    <w:p w14:paraId="2324CEC8" w14:textId="77777777" w:rsidR="00730DE4" w:rsidRPr="00730DE4" w:rsidRDefault="00730DE4" w:rsidP="00D05BF0"/>
    <w:tbl>
      <w:tblPr>
        <w:tblW w:w="5000" w:type="pct"/>
        <w:tblCellMar>
          <w:top w:w="23" w:type="dxa"/>
          <w:left w:w="23" w:type="dxa"/>
          <w:bottom w:w="23" w:type="dxa"/>
          <w:right w:w="23" w:type="dxa"/>
        </w:tblCellMar>
        <w:tblLook w:val="04A0" w:firstRow="1" w:lastRow="0" w:firstColumn="1" w:lastColumn="0" w:noHBand="0" w:noVBand="1"/>
      </w:tblPr>
      <w:tblGrid>
        <w:gridCol w:w="3970"/>
        <w:gridCol w:w="2121"/>
        <w:gridCol w:w="2121"/>
        <w:gridCol w:w="2121"/>
        <w:gridCol w:w="2121"/>
        <w:gridCol w:w="2116"/>
      </w:tblGrid>
      <w:tr w:rsidR="00730DE4" w:rsidRPr="00730DE4" w14:paraId="660A54B4" w14:textId="77777777" w:rsidTr="00942991">
        <w:trPr>
          <w:trHeight w:val="90"/>
        </w:trPr>
        <w:tc>
          <w:tcPr>
            <w:tcW w:w="1362" w:type="pct"/>
            <w:tcBorders>
              <w:top w:val="nil"/>
              <w:left w:val="nil"/>
              <w:bottom w:val="single" w:sz="4" w:space="0" w:color="auto"/>
              <w:right w:val="nil"/>
            </w:tcBorders>
            <w:shd w:val="clear" w:color="auto" w:fill="auto"/>
            <w:noWrap/>
            <w:vAlign w:val="bottom"/>
            <w:hideMark/>
          </w:tcPr>
          <w:p w14:paraId="561D9CE1" w14:textId="77777777" w:rsidR="00730DE4" w:rsidRPr="00730DE4" w:rsidRDefault="00730DE4" w:rsidP="00984424">
            <w:pPr>
              <w:pStyle w:val="NoSpacing"/>
              <w:rPr>
                <w:rStyle w:val="Strong"/>
              </w:rPr>
            </w:pPr>
          </w:p>
        </w:tc>
        <w:tc>
          <w:tcPr>
            <w:tcW w:w="728" w:type="pct"/>
            <w:tcBorders>
              <w:top w:val="nil"/>
              <w:left w:val="nil"/>
              <w:bottom w:val="single" w:sz="4" w:space="0" w:color="auto"/>
              <w:right w:val="nil"/>
            </w:tcBorders>
            <w:shd w:val="clear" w:color="auto" w:fill="auto"/>
            <w:vAlign w:val="bottom"/>
            <w:hideMark/>
          </w:tcPr>
          <w:p w14:paraId="491855DB" w14:textId="77777777" w:rsidR="00730DE4" w:rsidRPr="00730DE4" w:rsidRDefault="00730DE4" w:rsidP="00984424">
            <w:pPr>
              <w:pStyle w:val="NoSpacing"/>
              <w:jc w:val="right"/>
            </w:pPr>
            <w:r w:rsidRPr="00730DE4">
              <w:rPr>
                <w:rStyle w:val="Strong"/>
              </w:rPr>
              <w:t>Software purchased</w:t>
            </w:r>
            <w:r w:rsidRPr="00730DE4">
              <w:rPr>
                <w:rStyle w:val="Strong"/>
              </w:rPr>
              <w:br/>
              <w:t xml:space="preserve"> </w:t>
            </w:r>
            <w:r w:rsidRPr="00730DE4">
              <w:rPr>
                <w:rStyle w:val="Strong"/>
              </w:rPr>
              <w:br/>
            </w:r>
            <w:r w:rsidRPr="00730DE4">
              <w:rPr>
                <w:rStyle w:val="Strong"/>
              </w:rPr>
              <w:br/>
              <w:t xml:space="preserve">2023 </w:t>
            </w:r>
            <w:r w:rsidRPr="00730DE4">
              <w:rPr>
                <w:rStyle w:val="Strong"/>
              </w:rPr>
              <w:br/>
              <w:t>$'000</w:t>
            </w:r>
          </w:p>
        </w:tc>
        <w:tc>
          <w:tcPr>
            <w:tcW w:w="728" w:type="pct"/>
            <w:tcBorders>
              <w:top w:val="nil"/>
              <w:left w:val="nil"/>
              <w:bottom w:val="single" w:sz="4" w:space="0" w:color="auto"/>
              <w:right w:val="nil"/>
            </w:tcBorders>
            <w:shd w:val="clear" w:color="auto" w:fill="auto"/>
            <w:vAlign w:val="bottom"/>
            <w:hideMark/>
          </w:tcPr>
          <w:p w14:paraId="45A27E89" w14:textId="77777777" w:rsidR="00730DE4" w:rsidRPr="00730DE4" w:rsidRDefault="00730DE4" w:rsidP="00984424">
            <w:pPr>
              <w:pStyle w:val="NoSpacing"/>
              <w:jc w:val="right"/>
            </w:pPr>
            <w:r w:rsidRPr="00730DE4">
              <w:rPr>
                <w:rStyle w:val="Strong"/>
              </w:rPr>
              <w:t xml:space="preserve">Software internally generated * </w:t>
            </w:r>
            <w:r w:rsidRPr="00730DE4">
              <w:rPr>
                <w:rStyle w:val="Strong"/>
              </w:rPr>
              <w:br/>
            </w:r>
            <w:r w:rsidRPr="00730DE4">
              <w:rPr>
                <w:rStyle w:val="Strong"/>
              </w:rPr>
              <w:br/>
              <w:t xml:space="preserve">2023 </w:t>
            </w:r>
            <w:r w:rsidRPr="00730DE4">
              <w:rPr>
                <w:rStyle w:val="Strong"/>
              </w:rPr>
              <w:br/>
              <w:t>$'000</w:t>
            </w:r>
          </w:p>
        </w:tc>
        <w:tc>
          <w:tcPr>
            <w:tcW w:w="728" w:type="pct"/>
            <w:tcBorders>
              <w:top w:val="nil"/>
              <w:left w:val="nil"/>
              <w:bottom w:val="single" w:sz="4" w:space="0" w:color="auto"/>
              <w:right w:val="nil"/>
            </w:tcBorders>
            <w:shd w:val="clear" w:color="auto" w:fill="auto"/>
            <w:vAlign w:val="bottom"/>
            <w:hideMark/>
          </w:tcPr>
          <w:p w14:paraId="05DD2EA8" w14:textId="77777777" w:rsidR="00730DE4" w:rsidRPr="00730DE4" w:rsidRDefault="00730DE4" w:rsidP="00984424">
            <w:pPr>
              <w:pStyle w:val="NoSpacing"/>
              <w:jc w:val="right"/>
            </w:pPr>
            <w:r w:rsidRPr="00730DE4">
              <w:rPr>
                <w:rStyle w:val="Strong"/>
              </w:rPr>
              <w:t xml:space="preserve">Software work in progress </w:t>
            </w:r>
            <w:r w:rsidRPr="00730DE4">
              <w:rPr>
                <w:rStyle w:val="Strong"/>
              </w:rPr>
              <w:br/>
            </w:r>
            <w:r w:rsidRPr="00730DE4">
              <w:rPr>
                <w:rStyle w:val="Strong"/>
              </w:rPr>
              <w:br/>
              <w:t xml:space="preserve">2023 </w:t>
            </w:r>
            <w:r w:rsidRPr="00730DE4">
              <w:rPr>
                <w:rStyle w:val="Strong"/>
              </w:rPr>
              <w:br/>
              <w:t>$'000</w:t>
            </w:r>
          </w:p>
        </w:tc>
        <w:tc>
          <w:tcPr>
            <w:tcW w:w="728" w:type="pct"/>
            <w:tcBorders>
              <w:top w:val="nil"/>
              <w:left w:val="nil"/>
              <w:bottom w:val="single" w:sz="4" w:space="0" w:color="auto"/>
              <w:right w:val="nil"/>
            </w:tcBorders>
            <w:shd w:val="clear" w:color="auto" w:fill="auto"/>
            <w:vAlign w:val="bottom"/>
            <w:hideMark/>
          </w:tcPr>
          <w:p w14:paraId="11539131" w14:textId="77777777" w:rsidR="00730DE4" w:rsidRPr="00730DE4" w:rsidRDefault="00730DE4" w:rsidP="00984424">
            <w:pPr>
              <w:pStyle w:val="NoSpacing"/>
              <w:jc w:val="right"/>
            </w:pPr>
            <w:r w:rsidRPr="00730DE4">
              <w:rPr>
                <w:rStyle w:val="Strong"/>
              </w:rPr>
              <w:t>Other</w:t>
            </w:r>
            <w:r w:rsidRPr="00730DE4">
              <w:rPr>
                <w:rStyle w:val="Strong"/>
              </w:rPr>
              <w:br/>
              <w:t xml:space="preserve"> </w:t>
            </w:r>
            <w:r w:rsidRPr="00730DE4">
              <w:rPr>
                <w:rStyle w:val="Strong"/>
              </w:rPr>
              <w:br/>
            </w:r>
            <w:r w:rsidRPr="00730DE4">
              <w:rPr>
                <w:rStyle w:val="Strong"/>
              </w:rPr>
              <w:br/>
              <w:t xml:space="preserve">2023 </w:t>
            </w:r>
            <w:r w:rsidRPr="00730DE4">
              <w:rPr>
                <w:rStyle w:val="Strong"/>
              </w:rPr>
              <w:br/>
              <w:t>$'000</w:t>
            </w:r>
          </w:p>
        </w:tc>
        <w:tc>
          <w:tcPr>
            <w:tcW w:w="728" w:type="pct"/>
            <w:tcBorders>
              <w:top w:val="nil"/>
              <w:left w:val="nil"/>
              <w:bottom w:val="single" w:sz="4" w:space="0" w:color="auto"/>
              <w:right w:val="nil"/>
            </w:tcBorders>
            <w:shd w:val="clear" w:color="auto" w:fill="auto"/>
            <w:vAlign w:val="bottom"/>
            <w:hideMark/>
          </w:tcPr>
          <w:p w14:paraId="4DF5B414" w14:textId="77777777" w:rsidR="00730DE4" w:rsidRPr="00730DE4" w:rsidRDefault="00730DE4" w:rsidP="00984424">
            <w:pPr>
              <w:pStyle w:val="NoSpacing"/>
              <w:jc w:val="right"/>
            </w:pPr>
            <w:r w:rsidRPr="00730DE4">
              <w:rPr>
                <w:rStyle w:val="Strong"/>
              </w:rPr>
              <w:t>Total</w:t>
            </w:r>
            <w:r w:rsidRPr="00730DE4">
              <w:rPr>
                <w:rStyle w:val="Strong"/>
              </w:rPr>
              <w:br/>
              <w:t xml:space="preserve"> </w:t>
            </w:r>
            <w:r w:rsidRPr="00730DE4">
              <w:rPr>
                <w:rStyle w:val="Strong"/>
              </w:rPr>
              <w:br/>
            </w:r>
            <w:r w:rsidRPr="00730DE4">
              <w:rPr>
                <w:rStyle w:val="Strong"/>
              </w:rPr>
              <w:br/>
              <w:t xml:space="preserve">2023 </w:t>
            </w:r>
            <w:r w:rsidRPr="00730DE4">
              <w:rPr>
                <w:rStyle w:val="Strong"/>
              </w:rPr>
              <w:br/>
              <w:t>$'000</w:t>
            </w:r>
          </w:p>
        </w:tc>
      </w:tr>
      <w:tr w:rsidR="00730DE4" w:rsidRPr="00730DE4" w14:paraId="1E6F2C45" w14:textId="77777777" w:rsidTr="00942991">
        <w:trPr>
          <w:trHeight w:val="240"/>
        </w:trPr>
        <w:tc>
          <w:tcPr>
            <w:tcW w:w="1362"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35607DBE" w14:textId="77777777" w:rsidR="00730DE4" w:rsidRPr="00730DE4" w:rsidRDefault="00730DE4" w:rsidP="00984424">
            <w:pPr>
              <w:pStyle w:val="NoSpacing"/>
            </w:pPr>
            <w:r w:rsidRPr="00730DE4">
              <w:t>Gross value</w:t>
            </w:r>
          </w:p>
        </w:tc>
        <w:tc>
          <w:tcPr>
            <w:tcW w:w="72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1C4C1A2" w14:textId="77777777" w:rsidR="00730DE4" w:rsidRPr="00730DE4" w:rsidRDefault="00730DE4" w:rsidP="00984424">
            <w:pPr>
              <w:pStyle w:val="NoSpacing"/>
              <w:jc w:val="right"/>
            </w:pPr>
            <w:r w:rsidRPr="00730DE4">
              <w:t xml:space="preserve">33,999 </w:t>
            </w:r>
          </w:p>
        </w:tc>
        <w:tc>
          <w:tcPr>
            <w:tcW w:w="72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4453501" w14:textId="77777777" w:rsidR="00730DE4" w:rsidRPr="00730DE4" w:rsidRDefault="00730DE4" w:rsidP="00984424">
            <w:pPr>
              <w:pStyle w:val="NoSpacing"/>
              <w:jc w:val="right"/>
            </w:pPr>
            <w:r w:rsidRPr="00730DE4">
              <w:t xml:space="preserve">337,521 </w:t>
            </w:r>
          </w:p>
        </w:tc>
        <w:tc>
          <w:tcPr>
            <w:tcW w:w="72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E0F0FF9" w14:textId="77777777" w:rsidR="00730DE4" w:rsidRPr="00730DE4" w:rsidRDefault="00730DE4" w:rsidP="00984424">
            <w:pPr>
              <w:pStyle w:val="NoSpacing"/>
              <w:jc w:val="right"/>
            </w:pPr>
            <w:r w:rsidRPr="00730DE4">
              <w:t xml:space="preserve">18,321 </w:t>
            </w:r>
          </w:p>
        </w:tc>
        <w:tc>
          <w:tcPr>
            <w:tcW w:w="72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2E4AE87" w14:textId="77777777" w:rsidR="00730DE4" w:rsidRPr="00730DE4" w:rsidRDefault="00730DE4" w:rsidP="00984424">
            <w:pPr>
              <w:pStyle w:val="NoSpacing"/>
              <w:jc w:val="right"/>
            </w:pPr>
            <w:r w:rsidRPr="00730DE4">
              <w:t xml:space="preserve">4,350 </w:t>
            </w:r>
          </w:p>
        </w:tc>
        <w:tc>
          <w:tcPr>
            <w:tcW w:w="728"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A08609D" w14:textId="77777777" w:rsidR="00730DE4" w:rsidRPr="00730DE4" w:rsidRDefault="00730DE4" w:rsidP="00984424">
            <w:pPr>
              <w:pStyle w:val="NoSpacing"/>
              <w:jc w:val="right"/>
              <w:rPr>
                <w:rStyle w:val="Strong"/>
              </w:rPr>
            </w:pPr>
            <w:r w:rsidRPr="00730DE4">
              <w:rPr>
                <w:rStyle w:val="Strong"/>
              </w:rPr>
              <w:t xml:space="preserve">394,191 </w:t>
            </w:r>
          </w:p>
        </w:tc>
      </w:tr>
      <w:tr w:rsidR="00730DE4" w:rsidRPr="00730DE4" w14:paraId="5C3EDE13" w14:textId="77777777" w:rsidTr="00942991">
        <w:trPr>
          <w:trHeight w:val="240"/>
        </w:trPr>
        <w:tc>
          <w:tcPr>
            <w:tcW w:w="1362"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2A02269D" w14:textId="77777777" w:rsidR="00730DE4" w:rsidRPr="00730DE4" w:rsidRDefault="00730DE4" w:rsidP="00984424">
            <w:pPr>
              <w:pStyle w:val="NoSpacing"/>
            </w:pPr>
            <w:r w:rsidRPr="00730DE4">
              <w:t>Less: Accumulated amortisation</w:t>
            </w:r>
          </w:p>
        </w:tc>
        <w:tc>
          <w:tcPr>
            <w:tcW w:w="72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2F901CD1" w14:textId="77777777" w:rsidR="00730DE4" w:rsidRPr="00730DE4" w:rsidRDefault="00730DE4" w:rsidP="00984424">
            <w:pPr>
              <w:pStyle w:val="NoSpacing"/>
              <w:jc w:val="right"/>
            </w:pPr>
            <w:r w:rsidRPr="00730DE4">
              <w:t>(22,323)</w:t>
            </w:r>
          </w:p>
        </w:tc>
        <w:tc>
          <w:tcPr>
            <w:tcW w:w="72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46AE5837" w14:textId="77777777" w:rsidR="00730DE4" w:rsidRPr="00730DE4" w:rsidRDefault="00730DE4" w:rsidP="00984424">
            <w:pPr>
              <w:pStyle w:val="NoSpacing"/>
              <w:jc w:val="right"/>
            </w:pPr>
            <w:r w:rsidRPr="00730DE4">
              <w:t>(302,650)</w:t>
            </w:r>
          </w:p>
        </w:tc>
        <w:tc>
          <w:tcPr>
            <w:tcW w:w="72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297B0B1A" w14:textId="77777777" w:rsidR="00730DE4" w:rsidRPr="00730DE4" w:rsidRDefault="00730DE4" w:rsidP="00984424">
            <w:pPr>
              <w:pStyle w:val="NoSpacing"/>
              <w:jc w:val="right"/>
            </w:pPr>
            <w:r w:rsidRPr="00730DE4">
              <w:t xml:space="preserve">- </w:t>
            </w:r>
          </w:p>
        </w:tc>
        <w:tc>
          <w:tcPr>
            <w:tcW w:w="72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7065A51B" w14:textId="77777777" w:rsidR="00730DE4" w:rsidRPr="00730DE4" w:rsidRDefault="00730DE4" w:rsidP="00984424">
            <w:pPr>
              <w:pStyle w:val="NoSpacing"/>
              <w:jc w:val="right"/>
            </w:pPr>
            <w:r w:rsidRPr="00730DE4">
              <w:t>(4)</w:t>
            </w:r>
          </w:p>
        </w:tc>
        <w:tc>
          <w:tcPr>
            <w:tcW w:w="728"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067BF3A6" w14:textId="77777777" w:rsidR="00730DE4" w:rsidRPr="00730DE4" w:rsidRDefault="00730DE4" w:rsidP="00984424">
            <w:pPr>
              <w:pStyle w:val="NoSpacing"/>
              <w:jc w:val="right"/>
              <w:rPr>
                <w:rStyle w:val="Strong"/>
              </w:rPr>
            </w:pPr>
            <w:r w:rsidRPr="00730DE4">
              <w:rPr>
                <w:rStyle w:val="Strong"/>
              </w:rPr>
              <w:t>(324,977)</w:t>
            </w:r>
          </w:p>
        </w:tc>
      </w:tr>
      <w:tr w:rsidR="00730DE4" w:rsidRPr="00730DE4" w14:paraId="2D60E019" w14:textId="77777777" w:rsidTr="00942991">
        <w:tc>
          <w:tcPr>
            <w:tcW w:w="1362"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72DA76A3" w14:textId="77777777" w:rsidR="00730DE4" w:rsidRPr="00730DE4" w:rsidRDefault="00730DE4" w:rsidP="00CC3DB6">
            <w:pPr>
              <w:pStyle w:val="NoSpacing"/>
              <w:rPr>
                <w:b/>
                <w:bCs/>
              </w:rPr>
            </w:pPr>
            <w:r w:rsidRPr="00730DE4">
              <w:rPr>
                <w:rStyle w:val="Strong"/>
              </w:rPr>
              <w:t>Carrying amount at 30 June</w:t>
            </w:r>
          </w:p>
        </w:tc>
        <w:tc>
          <w:tcPr>
            <w:tcW w:w="728"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42062F18" w14:textId="77777777" w:rsidR="00730DE4" w:rsidRPr="00730DE4" w:rsidRDefault="00730DE4" w:rsidP="00CC3DB6">
            <w:pPr>
              <w:pStyle w:val="NoSpacing"/>
              <w:jc w:val="right"/>
              <w:rPr>
                <w:b/>
                <w:bCs/>
              </w:rPr>
            </w:pPr>
            <w:r w:rsidRPr="00730DE4">
              <w:rPr>
                <w:rStyle w:val="Strong"/>
              </w:rPr>
              <w:t xml:space="preserve">11,676 </w:t>
            </w:r>
          </w:p>
        </w:tc>
        <w:tc>
          <w:tcPr>
            <w:tcW w:w="728"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02498A82" w14:textId="77777777" w:rsidR="00730DE4" w:rsidRPr="00730DE4" w:rsidRDefault="00730DE4" w:rsidP="00CC3DB6">
            <w:pPr>
              <w:pStyle w:val="NoSpacing"/>
              <w:jc w:val="right"/>
              <w:rPr>
                <w:b/>
                <w:bCs/>
              </w:rPr>
            </w:pPr>
            <w:r w:rsidRPr="00730DE4">
              <w:rPr>
                <w:rStyle w:val="Strong"/>
              </w:rPr>
              <w:t xml:space="preserve">34,871 </w:t>
            </w:r>
          </w:p>
        </w:tc>
        <w:tc>
          <w:tcPr>
            <w:tcW w:w="728"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5A534816" w14:textId="77777777" w:rsidR="00730DE4" w:rsidRPr="00730DE4" w:rsidRDefault="00730DE4" w:rsidP="00CC3DB6">
            <w:pPr>
              <w:pStyle w:val="NoSpacing"/>
              <w:jc w:val="right"/>
              <w:rPr>
                <w:b/>
                <w:bCs/>
              </w:rPr>
            </w:pPr>
            <w:r w:rsidRPr="00730DE4">
              <w:rPr>
                <w:rStyle w:val="Strong"/>
              </w:rPr>
              <w:t xml:space="preserve">18,321 </w:t>
            </w:r>
          </w:p>
        </w:tc>
        <w:tc>
          <w:tcPr>
            <w:tcW w:w="728"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480149F0" w14:textId="77777777" w:rsidR="00730DE4" w:rsidRPr="00730DE4" w:rsidRDefault="00730DE4" w:rsidP="00CC3DB6">
            <w:pPr>
              <w:pStyle w:val="NoSpacing"/>
              <w:jc w:val="right"/>
              <w:rPr>
                <w:b/>
                <w:bCs/>
              </w:rPr>
            </w:pPr>
            <w:r w:rsidRPr="00730DE4">
              <w:rPr>
                <w:rStyle w:val="Strong"/>
              </w:rPr>
              <w:t xml:space="preserve">4,346 </w:t>
            </w:r>
          </w:p>
        </w:tc>
        <w:tc>
          <w:tcPr>
            <w:tcW w:w="728" w:type="pct"/>
            <w:tcBorders>
              <w:top w:val="single" w:sz="4" w:space="0" w:color="auto"/>
              <w:left w:val="dotted" w:sz="4" w:space="0" w:color="BFBFBF" w:themeColor="background1" w:themeShade="BF"/>
              <w:bottom w:val="double" w:sz="4" w:space="0" w:color="auto"/>
              <w:right w:val="nil"/>
            </w:tcBorders>
            <w:shd w:val="clear" w:color="auto" w:fill="auto"/>
            <w:noWrap/>
            <w:hideMark/>
          </w:tcPr>
          <w:p w14:paraId="747E53C7" w14:textId="77777777" w:rsidR="00730DE4" w:rsidRPr="00730DE4" w:rsidRDefault="00730DE4" w:rsidP="00CC3DB6">
            <w:pPr>
              <w:pStyle w:val="NoSpacing"/>
              <w:jc w:val="right"/>
              <w:rPr>
                <w:rStyle w:val="Strong"/>
              </w:rPr>
            </w:pPr>
            <w:r w:rsidRPr="00730DE4">
              <w:rPr>
                <w:rStyle w:val="Strong"/>
              </w:rPr>
              <w:t xml:space="preserve">69,214 </w:t>
            </w:r>
          </w:p>
        </w:tc>
      </w:tr>
      <w:tr w:rsidR="00730DE4" w:rsidRPr="00730DE4" w14:paraId="3DE287A1" w14:textId="77777777" w:rsidTr="00942991">
        <w:trPr>
          <w:trHeight w:val="454"/>
        </w:trPr>
        <w:tc>
          <w:tcPr>
            <w:tcW w:w="1362" w:type="pct"/>
            <w:tcBorders>
              <w:top w:val="doub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881DAA6" w14:textId="77777777" w:rsidR="00730DE4" w:rsidRPr="00730DE4" w:rsidRDefault="00730DE4" w:rsidP="00984424">
            <w:pPr>
              <w:pStyle w:val="NoSpacing"/>
              <w:rPr>
                <w:b/>
                <w:bCs/>
              </w:rPr>
            </w:pPr>
            <w:r w:rsidRPr="00730DE4">
              <w:rPr>
                <w:rStyle w:val="Strong"/>
              </w:rPr>
              <w:t>Reconciliation</w:t>
            </w:r>
          </w:p>
        </w:tc>
        <w:tc>
          <w:tcPr>
            <w:tcW w:w="728"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8ADFBA8" w14:textId="77777777" w:rsidR="00730DE4" w:rsidRPr="00730DE4" w:rsidRDefault="00730DE4" w:rsidP="00984424">
            <w:pPr>
              <w:pStyle w:val="NoSpacing"/>
              <w:jc w:val="right"/>
              <w:rPr>
                <w:rStyle w:val="Strong"/>
              </w:rPr>
            </w:pPr>
          </w:p>
        </w:tc>
        <w:tc>
          <w:tcPr>
            <w:tcW w:w="728"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59C1E7E" w14:textId="77777777" w:rsidR="00730DE4" w:rsidRPr="00730DE4" w:rsidRDefault="00730DE4" w:rsidP="00984424">
            <w:pPr>
              <w:pStyle w:val="NoSpacing"/>
              <w:jc w:val="right"/>
            </w:pPr>
          </w:p>
        </w:tc>
        <w:tc>
          <w:tcPr>
            <w:tcW w:w="728"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14AA609" w14:textId="77777777" w:rsidR="00730DE4" w:rsidRPr="00730DE4" w:rsidRDefault="00730DE4" w:rsidP="00984424">
            <w:pPr>
              <w:pStyle w:val="NoSpacing"/>
              <w:jc w:val="right"/>
            </w:pPr>
          </w:p>
        </w:tc>
        <w:tc>
          <w:tcPr>
            <w:tcW w:w="728"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7D06E13" w14:textId="77777777" w:rsidR="00730DE4" w:rsidRPr="00730DE4" w:rsidRDefault="00730DE4" w:rsidP="00984424">
            <w:pPr>
              <w:pStyle w:val="NoSpacing"/>
              <w:jc w:val="right"/>
            </w:pPr>
          </w:p>
        </w:tc>
        <w:tc>
          <w:tcPr>
            <w:tcW w:w="728" w:type="pct"/>
            <w:tcBorders>
              <w:top w:val="double" w:sz="4" w:space="0" w:color="auto"/>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421BC1B1" w14:textId="77777777" w:rsidR="00730DE4" w:rsidRPr="00730DE4" w:rsidRDefault="00730DE4" w:rsidP="00984424">
            <w:pPr>
              <w:pStyle w:val="NoSpacing"/>
              <w:jc w:val="right"/>
            </w:pPr>
          </w:p>
        </w:tc>
      </w:tr>
      <w:tr w:rsidR="00730DE4" w:rsidRPr="00730DE4" w14:paraId="34BADE56" w14:textId="77777777" w:rsidTr="00942991">
        <w:trPr>
          <w:trHeight w:val="240"/>
        </w:trPr>
        <w:tc>
          <w:tcPr>
            <w:tcW w:w="136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367A0DA5" w14:textId="77777777" w:rsidR="00730DE4" w:rsidRPr="00730DE4" w:rsidRDefault="00730DE4" w:rsidP="00984424">
            <w:pPr>
              <w:pStyle w:val="NoSpacing"/>
            </w:pPr>
            <w:r w:rsidRPr="00730DE4">
              <w:t>Carrying amount at 1 July</w:t>
            </w:r>
          </w:p>
        </w:tc>
        <w:tc>
          <w:tcPr>
            <w:tcW w:w="72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36A4AD6" w14:textId="77777777" w:rsidR="00730DE4" w:rsidRPr="00730DE4" w:rsidRDefault="00730DE4" w:rsidP="00984424">
            <w:pPr>
              <w:pStyle w:val="NoSpacing"/>
              <w:jc w:val="right"/>
            </w:pPr>
            <w:r w:rsidRPr="00730DE4">
              <w:t xml:space="preserve">14,486 </w:t>
            </w:r>
          </w:p>
        </w:tc>
        <w:tc>
          <w:tcPr>
            <w:tcW w:w="72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FC5A9B1" w14:textId="77777777" w:rsidR="00730DE4" w:rsidRPr="00730DE4" w:rsidRDefault="00730DE4" w:rsidP="00984424">
            <w:pPr>
              <w:pStyle w:val="NoSpacing"/>
              <w:jc w:val="right"/>
            </w:pPr>
            <w:r w:rsidRPr="00730DE4">
              <w:t xml:space="preserve">27,230 </w:t>
            </w:r>
          </w:p>
        </w:tc>
        <w:tc>
          <w:tcPr>
            <w:tcW w:w="72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D0BBCBF" w14:textId="77777777" w:rsidR="00730DE4" w:rsidRPr="00730DE4" w:rsidRDefault="00730DE4" w:rsidP="00984424">
            <w:pPr>
              <w:pStyle w:val="NoSpacing"/>
              <w:jc w:val="right"/>
            </w:pPr>
            <w:r w:rsidRPr="00730DE4">
              <w:t xml:space="preserve">44,114 </w:t>
            </w:r>
          </w:p>
        </w:tc>
        <w:tc>
          <w:tcPr>
            <w:tcW w:w="72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654D63C" w14:textId="77777777" w:rsidR="00730DE4" w:rsidRPr="00730DE4" w:rsidRDefault="00730DE4" w:rsidP="00984424">
            <w:pPr>
              <w:pStyle w:val="NoSpacing"/>
              <w:jc w:val="right"/>
            </w:pPr>
            <w:r w:rsidRPr="00730DE4">
              <w:t xml:space="preserve">4,346 </w:t>
            </w:r>
          </w:p>
        </w:tc>
        <w:tc>
          <w:tcPr>
            <w:tcW w:w="72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FAB9689" w14:textId="77777777" w:rsidR="00730DE4" w:rsidRPr="00730DE4" w:rsidRDefault="00730DE4" w:rsidP="00984424">
            <w:pPr>
              <w:pStyle w:val="NoSpacing"/>
              <w:jc w:val="right"/>
              <w:rPr>
                <w:rStyle w:val="Strong"/>
              </w:rPr>
            </w:pPr>
            <w:r w:rsidRPr="00730DE4">
              <w:rPr>
                <w:rStyle w:val="Strong"/>
              </w:rPr>
              <w:t xml:space="preserve">90,176 </w:t>
            </w:r>
          </w:p>
        </w:tc>
      </w:tr>
      <w:tr w:rsidR="00730DE4" w:rsidRPr="00730DE4" w14:paraId="263B2D83" w14:textId="77777777" w:rsidTr="00942991">
        <w:trPr>
          <w:trHeight w:val="240"/>
        </w:trPr>
        <w:tc>
          <w:tcPr>
            <w:tcW w:w="136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FF0578A" w14:textId="77777777" w:rsidR="00730DE4" w:rsidRPr="00730DE4" w:rsidRDefault="00730DE4" w:rsidP="00984424">
            <w:pPr>
              <w:pStyle w:val="NoSpacing"/>
            </w:pPr>
            <w:r w:rsidRPr="00730DE4">
              <w:t>Assets received due to machinery-of-</w:t>
            </w:r>
            <w:r w:rsidRPr="00730DE4">
              <w:br/>
              <w:t xml:space="preserve">government change </w:t>
            </w:r>
          </w:p>
        </w:tc>
        <w:tc>
          <w:tcPr>
            <w:tcW w:w="72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25B4238" w14:textId="77777777" w:rsidR="00730DE4" w:rsidRPr="00730DE4" w:rsidRDefault="00730DE4" w:rsidP="00984424">
            <w:pPr>
              <w:pStyle w:val="NoSpacing"/>
              <w:jc w:val="right"/>
            </w:pPr>
            <w:r w:rsidRPr="00730DE4">
              <w:t xml:space="preserve">263 </w:t>
            </w:r>
          </w:p>
        </w:tc>
        <w:tc>
          <w:tcPr>
            <w:tcW w:w="72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2082633" w14:textId="77777777" w:rsidR="00730DE4" w:rsidRPr="00730DE4" w:rsidRDefault="00730DE4" w:rsidP="00984424">
            <w:pPr>
              <w:pStyle w:val="NoSpacing"/>
              <w:jc w:val="right"/>
            </w:pPr>
            <w:r w:rsidRPr="00730DE4">
              <w:t xml:space="preserve">6,409 </w:t>
            </w:r>
          </w:p>
        </w:tc>
        <w:tc>
          <w:tcPr>
            <w:tcW w:w="72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DAE53C9" w14:textId="77777777" w:rsidR="00730DE4" w:rsidRPr="00730DE4" w:rsidRDefault="00730DE4" w:rsidP="00984424">
            <w:pPr>
              <w:pStyle w:val="NoSpacing"/>
              <w:jc w:val="right"/>
            </w:pPr>
            <w:r w:rsidRPr="00730DE4">
              <w:t xml:space="preserve">1,747 </w:t>
            </w:r>
          </w:p>
        </w:tc>
        <w:tc>
          <w:tcPr>
            <w:tcW w:w="72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3D11705" w14:textId="77777777" w:rsidR="00730DE4" w:rsidRPr="00730DE4" w:rsidRDefault="00730DE4" w:rsidP="00984424">
            <w:pPr>
              <w:pStyle w:val="NoSpacing"/>
              <w:jc w:val="right"/>
            </w:pPr>
            <w:r w:rsidRPr="00730DE4">
              <w:t xml:space="preserve">- </w:t>
            </w:r>
          </w:p>
        </w:tc>
        <w:tc>
          <w:tcPr>
            <w:tcW w:w="72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76CDBDA" w14:textId="77777777" w:rsidR="00730DE4" w:rsidRPr="00730DE4" w:rsidRDefault="00730DE4" w:rsidP="00984424">
            <w:pPr>
              <w:pStyle w:val="NoSpacing"/>
              <w:jc w:val="right"/>
              <w:rPr>
                <w:rStyle w:val="Strong"/>
              </w:rPr>
            </w:pPr>
            <w:r w:rsidRPr="00730DE4">
              <w:rPr>
                <w:rStyle w:val="Strong"/>
              </w:rPr>
              <w:t xml:space="preserve">8,419 </w:t>
            </w:r>
          </w:p>
        </w:tc>
      </w:tr>
      <w:tr w:rsidR="00730DE4" w:rsidRPr="00730DE4" w14:paraId="595E0327" w14:textId="77777777" w:rsidTr="00942991">
        <w:trPr>
          <w:trHeight w:val="240"/>
        </w:trPr>
        <w:tc>
          <w:tcPr>
            <w:tcW w:w="136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474DC30C" w14:textId="77777777" w:rsidR="00730DE4" w:rsidRPr="00730DE4" w:rsidRDefault="00730DE4" w:rsidP="00984424">
            <w:pPr>
              <w:pStyle w:val="NoSpacing"/>
            </w:pPr>
            <w:r w:rsidRPr="00730DE4">
              <w:t>Acquisitions (including upgrades)</w:t>
            </w:r>
          </w:p>
        </w:tc>
        <w:tc>
          <w:tcPr>
            <w:tcW w:w="72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D406FA4" w14:textId="77777777" w:rsidR="00730DE4" w:rsidRPr="00730DE4" w:rsidRDefault="00730DE4" w:rsidP="00984424">
            <w:pPr>
              <w:pStyle w:val="NoSpacing"/>
              <w:jc w:val="right"/>
            </w:pPr>
            <w:r w:rsidRPr="00730DE4">
              <w:t xml:space="preserve">- </w:t>
            </w:r>
          </w:p>
        </w:tc>
        <w:tc>
          <w:tcPr>
            <w:tcW w:w="72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C07969B" w14:textId="77777777" w:rsidR="00730DE4" w:rsidRPr="00730DE4" w:rsidRDefault="00730DE4" w:rsidP="00984424">
            <w:pPr>
              <w:pStyle w:val="NoSpacing"/>
              <w:jc w:val="right"/>
            </w:pPr>
            <w:r w:rsidRPr="00730DE4">
              <w:t xml:space="preserve">- </w:t>
            </w:r>
          </w:p>
        </w:tc>
        <w:tc>
          <w:tcPr>
            <w:tcW w:w="72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A29A2B5" w14:textId="77777777" w:rsidR="00730DE4" w:rsidRPr="00730DE4" w:rsidRDefault="00730DE4" w:rsidP="00984424">
            <w:pPr>
              <w:pStyle w:val="NoSpacing"/>
              <w:jc w:val="right"/>
            </w:pPr>
            <w:r w:rsidRPr="00730DE4">
              <w:t xml:space="preserve">22,757 </w:t>
            </w:r>
          </w:p>
        </w:tc>
        <w:tc>
          <w:tcPr>
            <w:tcW w:w="72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A53D0E5" w14:textId="77777777" w:rsidR="00730DE4" w:rsidRPr="00730DE4" w:rsidRDefault="00730DE4" w:rsidP="00984424">
            <w:pPr>
              <w:pStyle w:val="NoSpacing"/>
              <w:jc w:val="right"/>
            </w:pPr>
            <w:r w:rsidRPr="00730DE4">
              <w:t xml:space="preserve">- </w:t>
            </w:r>
          </w:p>
        </w:tc>
        <w:tc>
          <w:tcPr>
            <w:tcW w:w="72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C81C48C" w14:textId="77777777" w:rsidR="00730DE4" w:rsidRPr="00730DE4" w:rsidRDefault="00730DE4" w:rsidP="00984424">
            <w:pPr>
              <w:pStyle w:val="NoSpacing"/>
              <w:jc w:val="right"/>
              <w:rPr>
                <w:rStyle w:val="Strong"/>
              </w:rPr>
            </w:pPr>
            <w:r w:rsidRPr="00730DE4">
              <w:rPr>
                <w:rStyle w:val="Strong"/>
              </w:rPr>
              <w:t xml:space="preserve">22,757 </w:t>
            </w:r>
          </w:p>
        </w:tc>
      </w:tr>
      <w:tr w:rsidR="00730DE4" w:rsidRPr="00730DE4" w14:paraId="054E24C9" w14:textId="77777777" w:rsidTr="00942991">
        <w:trPr>
          <w:trHeight w:val="240"/>
        </w:trPr>
        <w:tc>
          <w:tcPr>
            <w:tcW w:w="136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06ABD646" w14:textId="77777777" w:rsidR="00730DE4" w:rsidRPr="00730DE4" w:rsidRDefault="00730DE4" w:rsidP="00984424">
            <w:pPr>
              <w:pStyle w:val="NoSpacing"/>
            </w:pPr>
            <w:r w:rsidRPr="00730DE4">
              <w:t>Transfers between classes</w:t>
            </w:r>
          </w:p>
        </w:tc>
        <w:tc>
          <w:tcPr>
            <w:tcW w:w="72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947EC83" w14:textId="77777777" w:rsidR="00730DE4" w:rsidRPr="00730DE4" w:rsidRDefault="00730DE4" w:rsidP="00984424">
            <w:pPr>
              <w:pStyle w:val="NoSpacing"/>
              <w:jc w:val="right"/>
            </w:pPr>
            <w:r w:rsidRPr="00730DE4">
              <w:t xml:space="preserve">915 </w:t>
            </w:r>
          </w:p>
        </w:tc>
        <w:tc>
          <w:tcPr>
            <w:tcW w:w="72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7491018" w14:textId="77777777" w:rsidR="00730DE4" w:rsidRPr="00730DE4" w:rsidRDefault="00730DE4" w:rsidP="00984424">
            <w:pPr>
              <w:pStyle w:val="NoSpacing"/>
              <w:jc w:val="right"/>
            </w:pPr>
            <w:r w:rsidRPr="00730DE4">
              <w:t xml:space="preserve">9,580 </w:t>
            </w:r>
          </w:p>
        </w:tc>
        <w:tc>
          <w:tcPr>
            <w:tcW w:w="72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8FB2C88" w14:textId="77777777" w:rsidR="00730DE4" w:rsidRPr="00730DE4" w:rsidRDefault="00730DE4" w:rsidP="00984424">
            <w:pPr>
              <w:pStyle w:val="NoSpacing"/>
              <w:jc w:val="right"/>
            </w:pPr>
            <w:r w:rsidRPr="00730DE4">
              <w:t>(10,495)</w:t>
            </w:r>
          </w:p>
        </w:tc>
        <w:tc>
          <w:tcPr>
            <w:tcW w:w="72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6E81FA5" w14:textId="77777777" w:rsidR="00730DE4" w:rsidRPr="00730DE4" w:rsidRDefault="00730DE4" w:rsidP="00984424">
            <w:pPr>
              <w:pStyle w:val="NoSpacing"/>
              <w:jc w:val="right"/>
            </w:pPr>
            <w:r w:rsidRPr="00730DE4">
              <w:t xml:space="preserve">- </w:t>
            </w:r>
          </w:p>
        </w:tc>
        <w:tc>
          <w:tcPr>
            <w:tcW w:w="72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212C64B" w14:textId="77777777" w:rsidR="00730DE4" w:rsidRPr="00730DE4" w:rsidRDefault="00730DE4" w:rsidP="00984424">
            <w:pPr>
              <w:pStyle w:val="NoSpacing"/>
              <w:jc w:val="right"/>
              <w:rPr>
                <w:rStyle w:val="Strong"/>
              </w:rPr>
            </w:pPr>
            <w:r w:rsidRPr="00730DE4">
              <w:rPr>
                <w:rStyle w:val="Strong"/>
              </w:rPr>
              <w:t xml:space="preserve">- </w:t>
            </w:r>
          </w:p>
        </w:tc>
      </w:tr>
      <w:tr w:rsidR="00730DE4" w:rsidRPr="00730DE4" w14:paraId="74CF1CAE" w14:textId="77777777" w:rsidTr="00942991">
        <w:trPr>
          <w:trHeight w:val="240"/>
        </w:trPr>
        <w:tc>
          <w:tcPr>
            <w:tcW w:w="136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1E5D7F6" w14:textId="77777777" w:rsidR="00730DE4" w:rsidRPr="00730DE4" w:rsidRDefault="00730DE4" w:rsidP="00984424">
            <w:pPr>
              <w:pStyle w:val="NoSpacing"/>
            </w:pPr>
            <w:r w:rsidRPr="00730DE4">
              <w:t>Transfers to property, plant and</w:t>
            </w:r>
          </w:p>
        </w:tc>
        <w:tc>
          <w:tcPr>
            <w:tcW w:w="72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99AC0E7" w14:textId="77777777" w:rsidR="00730DE4" w:rsidRPr="00730DE4" w:rsidRDefault="00730DE4" w:rsidP="00984424">
            <w:pPr>
              <w:pStyle w:val="NoSpacing"/>
              <w:jc w:val="right"/>
            </w:pPr>
          </w:p>
        </w:tc>
        <w:tc>
          <w:tcPr>
            <w:tcW w:w="72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0E70ACE" w14:textId="77777777" w:rsidR="00730DE4" w:rsidRPr="00730DE4" w:rsidRDefault="00730DE4" w:rsidP="00984424">
            <w:pPr>
              <w:pStyle w:val="NoSpacing"/>
              <w:jc w:val="right"/>
            </w:pPr>
          </w:p>
        </w:tc>
        <w:tc>
          <w:tcPr>
            <w:tcW w:w="72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A962CBF" w14:textId="77777777" w:rsidR="00730DE4" w:rsidRPr="00730DE4" w:rsidRDefault="00730DE4" w:rsidP="00984424">
            <w:pPr>
              <w:pStyle w:val="NoSpacing"/>
              <w:jc w:val="right"/>
            </w:pPr>
          </w:p>
        </w:tc>
        <w:tc>
          <w:tcPr>
            <w:tcW w:w="72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E3F5FCC" w14:textId="77777777" w:rsidR="00730DE4" w:rsidRPr="00730DE4" w:rsidRDefault="00730DE4" w:rsidP="00984424">
            <w:pPr>
              <w:pStyle w:val="NoSpacing"/>
              <w:jc w:val="right"/>
            </w:pPr>
          </w:p>
        </w:tc>
        <w:tc>
          <w:tcPr>
            <w:tcW w:w="72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04AE8BB" w14:textId="77777777" w:rsidR="00730DE4" w:rsidRPr="00730DE4" w:rsidRDefault="00730DE4" w:rsidP="00984424">
            <w:pPr>
              <w:pStyle w:val="NoSpacing"/>
              <w:jc w:val="right"/>
            </w:pPr>
          </w:p>
        </w:tc>
      </w:tr>
      <w:tr w:rsidR="00730DE4" w:rsidRPr="00730DE4" w14:paraId="20F117D8" w14:textId="77777777" w:rsidTr="00942991">
        <w:trPr>
          <w:trHeight w:val="240"/>
        </w:trPr>
        <w:tc>
          <w:tcPr>
            <w:tcW w:w="136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488C3BBE" w14:textId="77777777" w:rsidR="00730DE4" w:rsidRPr="00730DE4" w:rsidRDefault="00730DE4" w:rsidP="00984424">
            <w:pPr>
              <w:pStyle w:val="NoSpacing"/>
            </w:pPr>
            <w:r w:rsidRPr="00730DE4">
              <w:t>equipment (refer to Note 15)</w:t>
            </w:r>
          </w:p>
        </w:tc>
        <w:tc>
          <w:tcPr>
            <w:tcW w:w="72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6DCBDAB" w14:textId="77777777" w:rsidR="00730DE4" w:rsidRPr="00730DE4" w:rsidRDefault="00730DE4" w:rsidP="00984424">
            <w:pPr>
              <w:pStyle w:val="NoSpacing"/>
              <w:jc w:val="right"/>
            </w:pPr>
            <w:r w:rsidRPr="00730DE4">
              <w:t xml:space="preserve">- </w:t>
            </w:r>
          </w:p>
        </w:tc>
        <w:tc>
          <w:tcPr>
            <w:tcW w:w="72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D651434" w14:textId="77777777" w:rsidR="00730DE4" w:rsidRPr="00730DE4" w:rsidRDefault="00730DE4" w:rsidP="00984424">
            <w:pPr>
              <w:pStyle w:val="NoSpacing"/>
              <w:jc w:val="right"/>
            </w:pPr>
            <w:r w:rsidRPr="00730DE4">
              <w:t xml:space="preserve">- </w:t>
            </w:r>
          </w:p>
        </w:tc>
        <w:tc>
          <w:tcPr>
            <w:tcW w:w="72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9C4C284" w14:textId="77777777" w:rsidR="00730DE4" w:rsidRPr="00730DE4" w:rsidRDefault="00730DE4" w:rsidP="00984424">
            <w:pPr>
              <w:pStyle w:val="NoSpacing"/>
              <w:jc w:val="right"/>
            </w:pPr>
            <w:r w:rsidRPr="00730DE4">
              <w:t>(366)</w:t>
            </w:r>
          </w:p>
        </w:tc>
        <w:tc>
          <w:tcPr>
            <w:tcW w:w="72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C672190" w14:textId="77777777" w:rsidR="00730DE4" w:rsidRPr="00730DE4" w:rsidRDefault="00730DE4" w:rsidP="00984424">
            <w:pPr>
              <w:pStyle w:val="NoSpacing"/>
              <w:jc w:val="right"/>
            </w:pPr>
            <w:r w:rsidRPr="00730DE4">
              <w:t xml:space="preserve">- </w:t>
            </w:r>
          </w:p>
        </w:tc>
        <w:tc>
          <w:tcPr>
            <w:tcW w:w="72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B7F6276" w14:textId="77777777" w:rsidR="00730DE4" w:rsidRPr="00730DE4" w:rsidRDefault="00730DE4" w:rsidP="00984424">
            <w:pPr>
              <w:pStyle w:val="NoSpacing"/>
              <w:jc w:val="right"/>
              <w:rPr>
                <w:rStyle w:val="Strong"/>
              </w:rPr>
            </w:pPr>
            <w:r w:rsidRPr="00730DE4">
              <w:rPr>
                <w:rStyle w:val="Strong"/>
              </w:rPr>
              <w:t>(366)</w:t>
            </w:r>
          </w:p>
        </w:tc>
      </w:tr>
      <w:tr w:rsidR="00730DE4" w:rsidRPr="00730DE4" w14:paraId="4B0FCF59" w14:textId="77777777" w:rsidTr="00942991">
        <w:trPr>
          <w:trHeight w:val="240"/>
        </w:trPr>
        <w:tc>
          <w:tcPr>
            <w:tcW w:w="136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5C2C7E2D" w14:textId="77777777" w:rsidR="00730DE4" w:rsidRPr="00730DE4" w:rsidRDefault="00730DE4" w:rsidP="00984424">
            <w:pPr>
              <w:pStyle w:val="NoSpacing"/>
            </w:pPr>
            <w:r w:rsidRPr="00730DE4">
              <w:t>Disposals</w:t>
            </w:r>
          </w:p>
        </w:tc>
        <w:tc>
          <w:tcPr>
            <w:tcW w:w="72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1F173D8" w14:textId="77777777" w:rsidR="00730DE4" w:rsidRPr="00730DE4" w:rsidRDefault="00730DE4" w:rsidP="00984424">
            <w:pPr>
              <w:pStyle w:val="NoSpacing"/>
              <w:jc w:val="right"/>
            </w:pPr>
            <w:r w:rsidRPr="00730DE4">
              <w:t>(889)</w:t>
            </w:r>
          </w:p>
        </w:tc>
        <w:tc>
          <w:tcPr>
            <w:tcW w:w="72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6F5E3BD" w14:textId="77777777" w:rsidR="00730DE4" w:rsidRPr="00730DE4" w:rsidRDefault="00730DE4" w:rsidP="00984424">
            <w:pPr>
              <w:pStyle w:val="NoSpacing"/>
              <w:jc w:val="right"/>
            </w:pPr>
            <w:r w:rsidRPr="00730DE4">
              <w:t xml:space="preserve">- </w:t>
            </w:r>
          </w:p>
        </w:tc>
        <w:tc>
          <w:tcPr>
            <w:tcW w:w="72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22E7AF6" w14:textId="77777777" w:rsidR="00730DE4" w:rsidRPr="00730DE4" w:rsidRDefault="00730DE4" w:rsidP="00984424">
            <w:pPr>
              <w:pStyle w:val="NoSpacing"/>
              <w:jc w:val="right"/>
            </w:pPr>
            <w:r w:rsidRPr="00730DE4">
              <w:t xml:space="preserve">- </w:t>
            </w:r>
          </w:p>
        </w:tc>
        <w:tc>
          <w:tcPr>
            <w:tcW w:w="72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C301D22" w14:textId="77777777" w:rsidR="00730DE4" w:rsidRPr="00730DE4" w:rsidRDefault="00730DE4" w:rsidP="00984424">
            <w:pPr>
              <w:pStyle w:val="NoSpacing"/>
              <w:jc w:val="right"/>
            </w:pPr>
            <w:r w:rsidRPr="00730DE4">
              <w:t xml:space="preserve">- </w:t>
            </w:r>
          </w:p>
        </w:tc>
        <w:tc>
          <w:tcPr>
            <w:tcW w:w="72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CDAA599" w14:textId="77777777" w:rsidR="00730DE4" w:rsidRPr="00730DE4" w:rsidRDefault="00730DE4" w:rsidP="00984424">
            <w:pPr>
              <w:pStyle w:val="NoSpacing"/>
              <w:jc w:val="right"/>
              <w:rPr>
                <w:rStyle w:val="Strong"/>
              </w:rPr>
            </w:pPr>
            <w:r w:rsidRPr="00730DE4">
              <w:rPr>
                <w:rStyle w:val="Strong"/>
              </w:rPr>
              <w:t>(889)</w:t>
            </w:r>
          </w:p>
        </w:tc>
      </w:tr>
      <w:tr w:rsidR="00730DE4" w:rsidRPr="00730DE4" w14:paraId="16E054BD" w14:textId="77777777" w:rsidTr="00942991">
        <w:trPr>
          <w:trHeight w:val="240"/>
        </w:trPr>
        <w:tc>
          <w:tcPr>
            <w:tcW w:w="136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38927155" w14:textId="77777777" w:rsidR="00730DE4" w:rsidRPr="00730DE4" w:rsidRDefault="00730DE4" w:rsidP="00984424">
            <w:pPr>
              <w:pStyle w:val="NoSpacing"/>
            </w:pPr>
            <w:r w:rsidRPr="00730DE4">
              <w:t>Projects written off</w:t>
            </w:r>
          </w:p>
        </w:tc>
        <w:tc>
          <w:tcPr>
            <w:tcW w:w="72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512A836" w14:textId="77777777" w:rsidR="00730DE4" w:rsidRPr="00730DE4" w:rsidRDefault="00730DE4" w:rsidP="00984424">
            <w:pPr>
              <w:pStyle w:val="NoSpacing"/>
              <w:jc w:val="right"/>
            </w:pPr>
            <w:r w:rsidRPr="00730DE4">
              <w:t xml:space="preserve">- </w:t>
            </w:r>
          </w:p>
        </w:tc>
        <w:tc>
          <w:tcPr>
            <w:tcW w:w="72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7CC13C2" w14:textId="77777777" w:rsidR="00730DE4" w:rsidRPr="00730DE4" w:rsidRDefault="00730DE4" w:rsidP="00984424">
            <w:pPr>
              <w:pStyle w:val="NoSpacing"/>
              <w:jc w:val="right"/>
            </w:pPr>
            <w:r w:rsidRPr="00730DE4">
              <w:t xml:space="preserve">- </w:t>
            </w:r>
          </w:p>
        </w:tc>
        <w:tc>
          <w:tcPr>
            <w:tcW w:w="72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B1EC1C9" w14:textId="77777777" w:rsidR="00730DE4" w:rsidRPr="00730DE4" w:rsidRDefault="00730DE4" w:rsidP="00984424">
            <w:pPr>
              <w:pStyle w:val="NoSpacing"/>
              <w:jc w:val="right"/>
            </w:pPr>
            <w:r w:rsidRPr="00730DE4">
              <w:t>(39,436)</w:t>
            </w:r>
          </w:p>
        </w:tc>
        <w:tc>
          <w:tcPr>
            <w:tcW w:w="72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5FCFA5C" w14:textId="77777777" w:rsidR="00730DE4" w:rsidRPr="00730DE4" w:rsidRDefault="00730DE4" w:rsidP="00984424">
            <w:pPr>
              <w:pStyle w:val="NoSpacing"/>
              <w:jc w:val="right"/>
            </w:pPr>
            <w:r w:rsidRPr="00730DE4">
              <w:t xml:space="preserve">- </w:t>
            </w:r>
          </w:p>
        </w:tc>
        <w:tc>
          <w:tcPr>
            <w:tcW w:w="72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451D7A0E" w14:textId="77777777" w:rsidR="00730DE4" w:rsidRPr="00730DE4" w:rsidRDefault="00730DE4" w:rsidP="00984424">
            <w:pPr>
              <w:pStyle w:val="NoSpacing"/>
              <w:jc w:val="right"/>
              <w:rPr>
                <w:rStyle w:val="Strong"/>
              </w:rPr>
            </w:pPr>
            <w:r w:rsidRPr="00730DE4">
              <w:rPr>
                <w:rStyle w:val="Strong"/>
              </w:rPr>
              <w:t>(39,436)</w:t>
            </w:r>
          </w:p>
        </w:tc>
      </w:tr>
      <w:tr w:rsidR="00730DE4" w:rsidRPr="00730DE4" w14:paraId="39067E9F" w14:textId="77777777" w:rsidTr="00942991">
        <w:trPr>
          <w:trHeight w:val="240"/>
        </w:trPr>
        <w:tc>
          <w:tcPr>
            <w:tcW w:w="1362"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371F8E7C" w14:textId="77777777" w:rsidR="00730DE4" w:rsidRPr="00730DE4" w:rsidRDefault="00730DE4" w:rsidP="00984424">
            <w:pPr>
              <w:pStyle w:val="NoSpacing"/>
            </w:pPr>
            <w:r w:rsidRPr="00730DE4">
              <w:t>Amortisation</w:t>
            </w:r>
          </w:p>
        </w:tc>
        <w:tc>
          <w:tcPr>
            <w:tcW w:w="72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50A9EAE3" w14:textId="77777777" w:rsidR="00730DE4" w:rsidRPr="00730DE4" w:rsidRDefault="00730DE4" w:rsidP="00984424">
            <w:pPr>
              <w:pStyle w:val="NoSpacing"/>
              <w:jc w:val="right"/>
            </w:pPr>
            <w:r w:rsidRPr="00730DE4">
              <w:t>(3,099)</w:t>
            </w:r>
          </w:p>
        </w:tc>
        <w:tc>
          <w:tcPr>
            <w:tcW w:w="72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21A4D704" w14:textId="77777777" w:rsidR="00730DE4" w:rsidRPr="00730DE4" w:rsidRDefault="00730DE4" w:rsidP="00984424">
            <w:pPr>
              <w:pStyle w:val="NoSpacing"/>
              <w:jc w:val="right"/>
            </w:pPr>
            <w:r w:rsidRPr="00730DE4">
              <w:t>(8,348)</w:t>
            </w:r>
          </w:p>
        </w:tc>
        <w:tc>
          <w:tcPr>
            <w:tcW w:w="72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4BD9720B" w14:textId="77777777" w:rsidR="00730DE4" w:rsidRPr="00730DE4" w:rsidRDefault="00730DE4" w:rsidP="00984424">
            <w:pPr>
              <w:pStyle w:val="NoSpacing"/>
              <w:jc w:val="right"/>
            </w:pPr>
            <w:r w:rsidRPr="00730DE4">
              <w:t xml:space="preserve">- </w:t>
            </w:r>
          </w:p>
        </w:tc>
        <w:tc>
          <w:tcPr>
            <w:tcW w:w="72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6FF8F5AC" w14:textId="77777777" w:rsidR="00730DE4" w:rsidRPr="00730DE4" w:rsidRDefault="00730DE4" w:rsidP="00984424">
            <w:pPr>
              <w:pStyle w:val="NoSpacing"/>
              <w:jc w:val="right"/>
            </w:pPr>
            <w:r w:rsidRPr="00730DE4">
              <w:t xml:space="preserve">- </w:t>
            </w:r>
          </w:p>
        </w:tc>
        <w:tc>
          <w:tcPr>
            <w:tcW w:w="728"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3CF5B3FB" w14:textId="77777777" w:rsidR="00730DE4" w:rsidRPr="00730DE4" w:rsidRDefault="00730DE4" w:rsidP="00984424">
            <w:pPr>
              <w:pStyle w:val="NoSpacing"/>
              <w:jc w:val="right"/>
              <w:rPr>
                <w:rStyle w:val="Strong"/>
              </w:rPr>
            </w:pPr>
            <w:r w:rsidRPr="00730DE4">
              <w:rPr>
                <w:rStyle w:val="Strong"/>
              </w:rPr>
              <w:t>(11,447)</w:t>
            </w:r>
          </w:p>
        </w:tc>
      </w:tr>
      <w:tr w:rsidR="00730DE4" w:rsidRPr="00730DE4" w14:paraId="59D9C548" w14:textId="77777777" w:rsidTr="00942991">
        <w:tc>
          <w:tcPr>
            <w:tcW w:w="1362" w:type="pct"/>
            <w:tcBorders>
              <w:top w:val="single" w:sz="4" w:space="0" w:color="auto"/>
              <w:left w:val="nil"/>
              <w:bottom w:val="double" w:sz="6" w:space="0" w:color="auto"/>
              <w:right w:val="dotted" w:sz="4" w:space="0" w:color="BFBFBF" w:themeColor="background1" w:themeShade="BF"/>
            </w:tcBorders>
            <w:shd w:val="clear" w:color="auto" w:fill="auto"/>
            <w:noWrap/>
            <w:hideMark/>
          </w:tcPr>
          <w:p w14:paraId="49347CD1" w14:textId="77777777" w:rsidR="00730DE4" w:rsidRPr="00730DE4" w:rsidRDefault="00730DE4" w:rsidP="00CC3DB6">
            <w:pPr>
              <w:pStyle w:val="NoSpacing"/>
              <w:rPr>
                <w:b/>
                <w:bCs/>
              </w:rPr>
            </w:pPr>
            <w:r w:rsidRPr="00730DE4">
              <w:rPr>
                <w:rStyle w:val="Strong"/>
              </w:rPr>
              <w:t>Carrying amount at 30 June</w:t>
            </w:r>
          </w:p>
        </w:tc>
        <w:tc>
          <w:tcPr>
            <w:tcW w:w="728" w:type="pct"/>
            <w:tcBorders>
              <w:top w:val="single" w:sz="4" w:space="0" w:color="auto"/>
              <w:left w:val="dotted" w:sz="4" w:space="0" w:color="BFBFBF" w:themeColor="background1" w:themeShade="BF"/>
              <w:bottom w:val="double" w:sz="6" w:space="0" w:color="auto"/>
              <w:right w:val="dotted" w:sz="4" w:space="0" w:color="BFBFBF" w:themeColor="background1" w:themeShade="BF"/>
            </w:tcBorders>
            <w:shd w:val="clear" w:color="auto" w:fill="auto"/>
            <w:noWrap/>
            <w:hideMark/>
          </w:tcPr>
          <w:p w14:paraId="7DA53CB5" w14:textId="77777777" w:rsidR="00730DE4" w:rsidRPr="00730DE4" w:rsidRDefault="00730DE4" w:rsidP="00CC3DB6">
            <w:pPr>
              <w:pStyle w:val="NoSpacing"/>
              <w:jc w:val="right"/>
              <w:rPr>
                <w:b/>
                <w:bCs/>
              </w:rPr>
            </w:pPr>
            <w:r w:rsidRPr="00730DE4">
              <w:rPr>
                <w:rStyle w:val="Strong"/>
              </w:rPr>
              <w:t xml:space="preserve">11,676 </w:t>
            </w:r>
          </w:p>
        </w:tc>
        <w:tc>
          <w:tcPr>
            <w:tcW w:w="728" w:type="pct"/>
            <w:tcBorders>
              <w:top w:val="single" w:sz="4" w:space="0" w:color="auto"/>
              <w:left w:val="dotted" w:sz="4" w:space="0" w:color="BFBFBF" w:themeColor="background1" w:themeShade="BF"/>
              <w:bottom w:val="double" w:sz="6" w:space="0" w:color="auto"/>
              <w:right w:val="dotted" w:sz="4" w:space="0" w:color="BFBFBF" w:themeColor="background1" w:themeShade="BF"/>
            </w:tcBorders>
            <w:shd w:val="clear" w:color="auto" w:fill="auto"/>
            <w:noWrap/>
            <w:hideMark/>
          </w:tcPr>
          <w:p w14:paraId="4716E357" w14:textId="77777777" w:rsidR="00730DE4" w:rsidRPr="00730DE4" w:rsidRDefault="00730DE4" w:rsidP="00CC3DB6">
            <w:pPr>
              <w:pStyle w:val="NoSpacing"/>
              <w:jc w:val="right"/>
              <w:rPr>
                <w:b/>
                <w:bCs/>
              </w:rPr>
            </w:pPr>
            <w:r w:rsidRPr="00730DE4">
              <w:rPr>
                <w:rStyle w:val="Strong"/>
              </w:rPr>
              <w:t xml:space="preserve">34,871 </w:t>
            </w:r>
          </w:p>
        </w:tc>
        <w:tc>
          <w:tcPr>
            <w:tcW w:w="728" w:type="pct"/>
            <w:tcBorders>
              <w:top w:val="single" w:sz="4" w:space="0" w:color="auto"/>
              <w:left w:val="dotted" w:sz="4" w:space="0" w:color="BFBFBF" w:themeColor="background1" w:themeShade="BF"/>
              <w:bottom w:val="double" w:sz="6" w:space="0" w:color="auto"/>
              <w:right w:val="dotted" w:sz="4" w:space="0" w:color="BFBFBF" w:themeColor="background1" w:themeShade="BF"/>
            </w:tcBorders>
            <w:shd w:val="clear" w:color="auto" w:fill="auto"/>
            <w:noWrap/>
            <w:hideMark/>
          </w:tcPr>
          <w:p w14:paraId="541C568C" w14:textId="77777777" w:rsidR="00730DE4" w:rsidRPr="00730DE4" w:rsidRDefault="00730DE4" w:rsidP="00CC3DB6">
            <w:pPr>
              <w:pStyle w:val="NoSpacing"/>
              <w:jc w:val="right"/>
              <w:rPr>
                <w:b/>
                <w:bCs/>
              </w:rPr>
            </w:pPr>
            <w:r w:rsidRPr="00730DE4">
              <w:rPr>
                <w:rStyle w:val="Strong"/>
              </w:rPr>
              <w:t xml:space="preserve">18,321 </w:t>
            </w:r>
          </w:p>
        </w:tc>
        <w:tc>
          <w:tcPr>
            <w:tcW w:w="728" w:type="pct"/>
            <w:tcBorders>
              <w:top w:val="single" w:sz="4" w:space="0" w:color="auto"/>
              <w:left w:val="dotted" w:sz="4" w:space="0" w:color="BFBFBF" w:themeColor="background1" w:themeShade="BF"/>
              <w:bottom w:val="double" w:sz="6" w:space="0" w:color="auto"/>
              <w:right w:val="dotted" w:sz="4" w:space="0" w:color="BFBFBF" w:themeColor="background1" w:themeShade="BF"/>
            </w:tcBorders>
            <w:shd w:val="clear" w:color="auto" w:fill="auto"/>
            <w:noWrap/>
            <w:hideMark/>
          </w:tcPr>
          <w:p w14:paraId="5E311FCF" w14:textId="77777777" w:rsidR="00730DE4" w:rsidRPr="00730DE4" w:rsidRDefault="00730DE4" w:rsidP="00CC3DB6">
            <w:pPr>
              <w:pStyle w:val="NoSpacing"/>
              <w:jc w:val="right"/>
              <w:rPr>
                <w:b/>
                <w:bCs/>
              </w:rPr>
            </w:pPr>
            <w:r w:rsidRPr="00730DE4">
              <w:rPr>
                <w:rStyle w:val="Strong"/>
              </w:rPr>
              <w:t xml:space="preserve">4,346 </w:t>
            </w:r>
          </w:p>
        </w:tc>
        <w:tc>
          <w:tcPr>
            <w:tcW w:w="728" w:type="pct"/>
            <w:tcBorders>
              <w:top w:val="single" w:sz="4" w:space="0" w:color="auto"/>
              <w:left w:val="dotted" w:sz="4" w:space="0" w:color="BFBFBF" w:themeColor="background1" w:themeShade="BF"/>
              <w:bottom w:val="double" w:sz="6" w:space="0" w:color="auto"/>
              <w:right w:val="nil"/>
            </w:tcBorders>
            <w:shd w:val="clear" w:color="auto" w:fill="auto"/>
            <w:noWrap/>
            <w:hideMark/>
          </w:tcPr>
          <w:p w14:paraId="1D9E3812" w14:textId="77777777" w:rsidR="00730DE4" w:rsidRPr="00730DE4" w:rsidRDefault="00730DE4" w:rsidP="00CC3DB6">
            <w:pPr>
              <w:pStyle w:val="NoSpacing"/>
              <w:jc w:val="right"/>
              <w:rPr>
                <w:rStyle w:val="Strong"/>
              </w:rPr>
            </w:pPr>
            <w:r w:rsidRPr="00730DE4">
              <w:rPr>
                <w:rStyle w:val="Strong"/>
              </w:rPr>
              <w:t xml:space="preserve">69,214 </w:t>
            </w:r>
          </w:p>
        </w:tc>
      </w:tr>
    </w:tbl>
    <w:p w14:paraId="12724495" w14:textId="77777777" w:rsidR="00730DE4" w:rsidRPr="00730DE4" w:rsidRDefault="00730DE4" w:rsidP="009D3417">
      <w:pPr>
        <w:pStyle w:val="Caption"/>
      </w:pPr>
      <w:r w:rsidRPr="00730DE4">
        <w:t>* The department holds significant internally generated software assets as follows:</w:t>
      </w:r>
    </w:p>
    <w:p w14:paraId="44BDD169" w14:textId="77777777" w:rsidR="00730DE4" w:rsidRPr="00730DE4" w:rsidRDefault="00730DE4" w:rsidP="00730DE4">
      <w:pPr>
        <w:pStyle w:val="Caption"/>
        <w:numPr>
          <w:ilvl w:val="0"/>
          <w:numId w:val="10"/>
        </w:numPr>
      </w:pPr>
      <w:r w:rsidRPr="00730DE4">
        <w:t>Portfolio, Program, Project and Contract Management software that has a carrying amount of $4.178m (2023: $8.355m) and a remaining amortisation period of one year.</w:t>
      </w:r>
    </w:p>
    <w:p w14:paraId="41177559" w14:textId="77777777" w:rsidR="00730DE4" w:rsidRPr="00730DE4" w:rsidRDefault="00730DE4" w:rsidP="00730DE4">
      <w:pPr>
        <w:pStyle w:val="Caption"/>
        <w:numPr>
          <w:ilvl w:val="0"/>
          <w:numId w:val="10"/>
        </w:numPr>
      </w:pPr>
      <w:r w:rsidRPr="00730DE4">
        <w:t>New Queensland Driver Licence software that has a carrying amount of $3.836m (2023: $5.109m) and a remaining amortisation period of three years.</w:t>
      </w:r>
    </w:p>
    <w:p w14:paraId="3BFDA6C2" w14:textId="77777777" w:rsidR="00730DE4" w:rsidRPr="00730DE4" w:rsidRDefault="00730DE4" w:rsidP="003C13D4">
      <w:pPr>
        <w:rPr>
          <w:rStyle w:val="Strong"/>
        </w:rPr>
        <w:sectPr w:rsidR="00730DE4" w:rsidRPr="00730DE4" w:rsidSect="00730DE4">
          <w:pgSz w:w="16838" w:h="23811" w:code="8"/>
          <w:pgMar w:top="1134" w:right="1134" w:bottom="1418" w:left="1134" w:header="227" w:footer="227" w:gutter="0"/>
          <w:cols w:space="708"/>
          <w:docGrid w:linePitch="360"/>
        </w:sectPr>
      </w:pPr>
    </w:p>
    <w:p w14:paraId="0CF328A3" w14:textId="77777777" w:rsidR="00730DE4" w:rsidRPr="00730DE4" w:rsidRDefault="00730DE4" w:rsidP="003C13D4">
      <w:pPr>
        <w:rPr>
          <w:rStyle w:val="Strong"/>
        </w:rPr>
      </w:pPr>
      <w:r w:rsidRPr="00730DE4">
        <w:rPr>
          <w:rStyle w:val="Strong"/>
        </w:rPr>
        <w:t xml:space="preserve">Accounting policy </w:t>
      </w:r>
    </w:p>
    <w:p w14:paraId="676AA59E" w14:textId="77777777" w:rsidR="00730DE4" w:rsidRPr="00730DE4" w:rsidRDefault="00730DE4" w:rsidP="003C13D4">
      <w:pPr>
        <w:rPr>
          <w:color w:val="080C0F" w:themeColor="text1"/>
        </w:rPr>
      </w:pPr>
      <w:r w:rsidRPr="00730DE4">
        <w:rPr>
          <w:color w:val="080C0F" w:themeColor="text1"/>
        </w:rPr>
        <w:t>Intangible assets with a cost equal to or greater than $100,000 are recognised in the financial statements. Items with a lesser cost are expensed.</w:t>
      </w:r>
    </w:p>
    <w:p w14:paraId="01608547" w14:textId="77777777" w:rsidR="00730DE4" w:rsidRPr="00730DE4" w:rsidRDefault="00730DE4" w:rsidP="003C13D4">
      <w:pPr>
        <w:rPr>
          <w:color w:val="080C0F" w:themeColor="text1"/>
        </w:rPr>
      </w:pPr>
      <w:r w:rsidRPr="00730DE4">
        <w:rPr>
          <w:color w:val="080C0F" w:themeColor="text1"/>
        </w:rPr>
        <w:t>Expenditure on research activities relating to internally-generated intangible assets is recognised as an expense in the period in which it is incurred. Any training costs are expensed as incurred.</w:t>
      </w:r>
    </w:p>
    <w:p w14:paraId="6EE5B754" w14:textId="77777777" w:rsidR="00730DE4" w:rsidRPr="00730DE4" w:rsidRDefault="00730DE4" w:rsidP="003C13D4">
      <w:pPr>
        <w:rPr>
          <w:color w:val="080C0F" w:themeColor="text1"/>
        </w:rPr>
      </w:pPr>
      <w:r w:rsidRPr="00730DE4">
        <w:rPr>
          <w:color w:val="080C0F" w:themeColor="text1"/>
        </w:rPr>
        <w:t>The department’s intangible assets are not revalued as there is no active market for any of these assets. Such assets are recognised and carried at cost less accumulated amortisation and accumulated impairment losses.</w:t>
      </w:r>
    </w:p>
    <w:p w14:paraId="7DB6F6BE" w14:textId="77777777" w:rsidR="00730DE4" w:rsidRPr="00730DE4" w:rsidRDefault="00730DE4" w:rsidP="003C13D4">
      <w:pPr>
        <w:rPr>
          <w:color w:val="080C0F" w:themeColor="text1"/>
        </w:rPr>
      </w:pPr>
      <w:r w:rsidRPr="00730DE4">
        <w:rPr>
          <w:color w:val="080C0F" w:themeColor="text1"/>
        </w:rPr>
        <w:t>For each class of intangible asset, the following amortisation rates are used:</w:t>
      </w:r>
    </w:p>
    <w:p w14:paraId="6F24CBAF" w14:textId="77777777" w:rsidR="00730DE4" w:rsidRPr="00730DE4" w:rsidRDefault="00730DE4" w:rsidP="009D3417">
      <w:pPr>
        <w:pStyle w:val="NoSpacing"/>
      </w:pPr>
    </w:p>
    <w:tbl>
      <w:tblPr>
        <w:tblW w:w="5000" w:type="pct"/>
        <w:tblCellMar>
          <w:top w:w="40" w:type="dxa"/>
          <w:left w:w="40" w:type="dxa"/>
          <w:bottom w:w="40" w:type="dxa"/>
          <w:right w:w="40" w:type="dxa"/>
        </w:tblCellMar>
        <w:tblLook w:val="04A0" w:firstRow="1" w:lastRow="0" w:firstColumn="1" w:lastColumn="0" w:noHBand="0" w:noVBand="1"/>
      </w:tblPr>
      <w:tblGrid>
        <w:gridCol w:w="3027"/>
        <w:gridCol w:w="2775"/>
        <w:gridCol w:w="3268"/>
      </w:tblGrid>
      <w:tr w:rsidR="00730DE4" w:rsidRPr="00730DE4" w14:paraId="19146631" w14:textId="77777777" w:rsidTr="00CC3DB6">
        <w:trPr>
          <w:cantSplit/>
          <w:trHeight w:val="23"/>
        </w:trPr>
        <w:tc>
          <w:tcPr>
            <w:tcW w:w="1576" w:type="pct"/>
            <w:tcBorders>
              <w:bottom w:val="single" w:sz="4" w:space="0" w:color="auto"/>
            </w:tcBorders>
            <w:shd w:val="clear" w:color="auto" w:fill="auto"/>
            <w:noWrap/>
            <w:vAlign w:val="center"/>
            <w:hideMark/>
          </w:tcPr>
          <w:p w14:paraId="71A6F1BB" w14:textId="77777777" w:rsidR="00730DE4" w:rsidRPr="00730DE4" w:rsidRDefault="00730DE4" w:rsidP="009D3417">
            <w:pPr>
              <w:pStyle w:val="NoSpacing"/>
              <w:rPr>
                <w:color w:val="080C0F" w:themeColor="text1"/>
              </w:rPr>
            </w:pPr>
            <w:r w:rsidRPr="00730DE4">
              <w:rPr>
                <w:rStyle w:val="Strong"/>
              </w:rPr>
              <w:t>Class</w:t>
            </w:r>
          </w:p>
        </w:tc>
        <w:tc>
          <w:tcPr>
            <w:tcW w:w="1576" w:type="pct"/>
            <w:tcBorders>
              <w:bottom w:val="single" w:sz="4" w:space="0" w:color="auto"/>
            </w:tcBorders>
            <w:shd w:val="clear" w:color="auto" w:fill="auto"/>
            <w:noWrap/>
            <w:vAlign w:val="center"/>
            <w:hideMark/>
          </w:tcPr>
          <w:p w14:paraId="2C948833" w14:textId="77777777" w:rsidR="00730DE4" w:rsidRPr="00730DE4" w:rsidRDefault="00730DE4" w:rsidP="009D3417">
            <w:pPr>
              <w:pStyle w:val="NoSpacing"/>
              <w:rPr>
                <w:color w:val="080C0F" w:themeColor="text1"/>
              </w:rPr>
            </w:pPr>
            <w:r w:rsidRPr="00730DE4">
              <w:rPr>
                <w:rStyle w:val="Strong"/>
              </w:rPr>
              <w:t>Amortisation method</w:t>
            </w:r>
          </w:p>
        </w:tc>
        <w:tc>
          <w:tcPr>
            <w:tcW w:w="1849" w:type="pct"/>
            <w:tcBorders>
              <w:bottom w:val="single" w:sz="4" w:space="0" w:color="auto"/>
            </w:tcBorders>
            <w:shd w:val="clear" w:color="auto" w:fill="auto"/>
            <w:vAlign w:val="center"/>
            <w:hideMark/>
          </w:tcPr>
          <w:p w14:paraId="5939CA58" w14:textId="77777777" w:rsidR="00730DE4" w:rsidRPr="00730DE4" w:rsidRDefault="00730DE4" w:rsidP="009D3417">
            <w:pPr>
              <w:pStyle w:val="NoSpacing"/>
              <w:rPr>
                <w:rStyle w:val="Strong"/>
              </w:rPr>
            </w:pPr>
            <w:r w:rsidRPr="00730DE4">
              <w:rPr>
                <w:rStyle w:val="Strong"/>
              </w:rPr>
              <w:t>Average useful life</w:t>
            </w:r>
          </w:p>
        </w:tc>
      </w:tr>
      <w:tr w:rsidR="00730DE4" w:rsidRPr="00730DE4" w14:paraId="29A18305" w14:textId="77777777" w:rsidTr="00CC3DB6">
        <w:trPr>
          <w:cantSplit/>
          <w:trHeight w:val="23"/>
        </w:trPr>
        <w:tc>
          <w:tcPr>
            <w:tcW w:w="1576" w:type="pct"/>
            <w:tcBorders>
              <w:top w:val="single" w:sz="4" w:space="0" w:color="auto"/>
              <w:bottom w:val="dotted" w:sz="4" w:space="0" w:color="BFBFBF" w:themeColor="background1" w:themeShade="BF"/>
              <w:right w:val="dotted" w:sz="4" w:space="0" w:color="BFBFBF" w:themeColor="background1" w:themeShade="BF"/>
            </w:tcBorders>
            <w:shd w:val="clear" w:color="auto" w:fill="auto"/>
            <w:noWrap/>
            <w:vAlign w:val="center"/>
            <w:hideMark/>
          </w:tcPr>
          <w:p w14:paraId="3EA11F92" w14:textId="77777777" w:rsidR="00730DE4" w:rsidRPr="00730DE4" w:rsidRDefault="00730DE4" w:rsidP="009D3417">
            <w:pPr>
              <w:pStyle w:val="NoSpacing"/>
              <w:rPr>
                <w:color w:val="080C0F" w:themeColor="text1"/>
              </w:rPr>
            </w:pPr>
            <w:r w:rsidRPr="00730DE4">
              <w:rPr>
                <w:color w:val="080C0F" w:themeColor="text1"/>
              </w:rPr>
              <w:t>Intangibles – purchased</w:t>
            </w:r>
          </w:p>
        </w:tc>
        <w:tc>
          <w:tcPr>
            <w:tcW w:w="1576"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center"/>
            <w:hideMark/>
          </w:tcPr>
          <w:p w14:paraId="4644FF9A" w14:textId="77777777" w:rsidR="00730DE4" w:rsidRPr="00730DE4" w:rsidRDefault="00730DE4" w:rsidP="009D3417">
            <w:pPr>
              <w:pStyle w:val="NoSpacing"/>
              <w:rPr>
                <w:color w:val="080C0F" w:themeColor="text1"/>
              </w:rPr>
            </w:pPr>
            <w:r w:rsidRPr="00730DE4">
              <w:rPr>
                <w:color w:val="080C0F" w:themeColor="text1"/>
              </w:rPr>
              <w:t>Straight-line</w:t>
            </w:r>
          </w:p>
        </w:tc>
        <w:tc>
          <w:tcPr>
            <w:tcW w:w="1849" w:type="pct"/>
            <w:tcBorders>
              <w:top w:val="single" w:sz="4" w:space="0" w:color="auto"/>
              <w:left w:val="dotted" w:sz="4" w:space="0" w:color="BFBFBF" w:themeColor="background1" w:themeShade="BF"/>
              <w:bottom w:val="dotted" w:sz="4" w:space="0" w:color="BFBFBF" w:themeColor="background1" w:themeShade="BF"/>
            </w:tcBorders>
            <w:shd w:val="clear" w:color="auto" w:fill="auto"/>
            <w:vAlign w:val="center"/>
            <w:hideMark/>
          </w:tcPr>
          <w:p w14:paraId="600E8F6F" w14:textId="77777777" w:rsidR="00730DE4" w:rsidRPr="00730DE4" w:rsidRDefault="00730DE4" w:rsidP="009D3417">
            <w:pPr>
              <w:pStyle w:val="NoSpacing"/>
              <w:rPr>
                <w:color w:val="080C0F" w:themeColor="text1"/>
              </w:rPr>
            </w:pPr>
            <w:r w:rsidRPr="00730DE4">
              <w:rPr>
                <w:color w:val="080C0F" w:themeColor="text1"/>
              </w:rPr>
              <w:t>11</w:t>
            </w:r>
          </w:p>
        </w:tc>
      </w:tr>
      <w:tr w:rsidR="00730DE4" w:rsidRPr="00730DE4" w14:paraId="5798E6C5" w14:textId="77777777" w:rsidTr="00CC3DB6">
        <w:trPr>
          <w:cantSplit/>
          <w:trHeight w:val="23"/>
        </w:trPr>
        <w:tc>
          <w:tcPr>
            <w:tcW w:w="1576" w:type="pct"/>
            <w:tcBorders>
              <w:top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center"/>
            <w:hideMark/>
          </w:tcPr>
          <w:p w14:paraId="342C2DA9" w14:textId="77777777" w:rsidR="00730DE4" w:rsidRPr="00730DE4" w:rsidRDefault="00730DE4" w:rsidP="009D3417">
            <w:pPr>
              <w:pStyle w:val="NoSpacing"/>
              <w:rPr>
                <w:color w:val="080C0F" w:themeColor="text1"/>
              </w:rPr>
            </w:pPr>
            <w:r w:rsidRPr="00730DE4">
              <w:rPr>
                <w:color w:val="080C0F" w:themeColor="text1"/>
              </w:rPr>
              <w:t>Intangibles – internally generated</w:t>
            </w:r>
          </w:p>
        </w:tc>
        <w:tc>
          <w:tcPr>
            <w:tcW w:w="1576"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center"/>
            <w:hideMark/>
          </w:tcPr>
          <w:p w14:paraId="1DE073E1" w14:textId="77777777" w:rsidR="00730DE4" w:rsidRPr="00730DE4" w:rsidRDefault="00730DE4" w:rsidP="009D3417">
            <w:pPr>
              <w:pStyle w:val="NoSpacing"/>
              <w:rPr>
                <w:color w:val="080C0F" w:themeColor="text1"/>
              </w:rPr>
            </w:pPr>
            <w:r w:rsidRPr="00730DE4">
              <w:rPr>
                <w:color w:val="080C0F" w:themeColor="text1"/>
              </w:rPr>
              <w:t>Straight-line</w:t>
            </w:r>
          </w:p>
        </w:tc>
        <w:tc>
          <w:tcPr>
            <w:tcW w:w="1849" w:type="pct"/>
            <w:tcBorders>
              <w:top w:val="dotted" w:sz="4" w:space="0" w:color="BFBFBF" w:themeColor="background1" w:themeShade="BF"/>
              <w:left w:val="dotted" w:sz="4" w:space="0" w:color="BFBFBF" w:themeColor="background1" w:themeShade="BF"/>
              <w:bottom w:val="dotted" w:sz="4" w:space="0" w:color="BFBFBF" w:themeColor="background1" w:themeShade="BF"/>
            </w:tcBorders>
            <w:shd w:val="clear" w:color="auto" w:fill="auto"/>
            <w:vAlign w:val="center"/>
            <w:hideMark/>
          </w:tcPr>
          <w:p w14:paraId="46CA3D27" w14:textId="77777777" w:rsidR="00730DE4" w:rsidRPr="00730DE4" w:rsidRDefault="00730DE4" w:rsidP="009D3417">
            <w:pPr>
              <w:pStyle w:val="NoSpacing"/>
              <w:rPr>
                <w:color w:val="080C0F" w:themeColor="text1"/>
              </w:rPr>
            </w:pPr>
            <w:r w:rsidRPr="00730DE4">
              <w:rPr>
                <w:color w:val="080C0F" w:themeColor="text1"/>
              </w:rPr>
              <w:t>12</w:t>
            </w:r>
          </w:p>
        </w:tc>
      </w:tr>
      <w:tr w:rsidR="00730DE4" w:rsidRPr="00730DE4" w14:paraId="4620FE43" w14:textId="77777777" w:rsidTr="00CC3DB6">
        <w:trPr>
          <w:cantSplit/>
          <w:trHeight w:val="23"/>
        </w:trPr>
        <w:tc>
          <w:tcPr>
            <w:tcW w:w="1576" w:type="pct"/>
            <w:tcBorders>
              <w:top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center"/>
            <w:hideMark/>
          </w:tcPr>
          <w:p w14:paraId="1FD9F919" w14:textId="77777777" w:rsidR="00730DE4" w:rsidRPr="00730DE4" w:rsidRDefault="00730DE4" w:rsidP="009D3417">
            <w:pPr>
              <w:pStyle w:val="NoSpacing"/>
              <w:rPr>
                <w:color w:val="080C0F" w:themeColor="text1"/>
              </w:rPr>
            </w:pPr>
            <w:r w:rsidRPr="00730DE4">
              <w:rPr>
                <w:color w:val="080C0F" w:themeColor="text1"/>
              </w:rPr>
              <w:t>Intangibles – work in progress</w:t>
            </w:r>
          </w:p>
        </w:tc>
        <w:tc>
          <w:tcPr>
            <w:tcW w:w="1576"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center"/>
            <w:hideMark/>
          </w:tcPr>
          <w:p w14:paraId="0835EC48" w14:textId="77777777" w:rsidR="00730DE4" w:rsidRPr="00730DE4" w:rsidRDefault="00730DE4" w:rsidP="009D3417">
            <w:pPr>
              <w:pStyle w:val="NoSpacing"/>
              <w:rPr>
                <w:color w:val="080C0F" w:themeColor="text1"/>
              </w:rPr>
            </w:pPr>
            <w:r w:rsidRPr="00730DE4">
              <w:rPr>
                <w:color w:val="080C0F" w:themeColor="text1"/>
              </w:rPr>
              <w:t>Not amortised</w:t>
            </w:r>
          </w:p>
        </w:tc>
        <w:tc>
          <w:tcPr>
            <w:tcW w:w="1849" w:type="pct"/>
            <w:tcBorders>
              <w:top w:val="dotted" w:sz="4" w:space="0" w:color="BFBFBF" w:themeColor="background1" w:themeShade="BF"/>
              <w:left w:val="dotted" w:sz="4" w:space="0" w:color="BFBFBF" w:themeColor="background1" w:themeShade="BF"/>
              <w:bottom w:val="dotted" w:sz="4" w:space="0" w:color="BFBFBF" w:themeColor="background1" w:themeShade="BF"/>
            </w:tcBorders>
            <w:shd w:val="clear" w:color="auto" w:fill="auto"/>
            <w:vAlign w:val="center"/>
            <w:hideMark/>
          </w:tcPr>
          <w:p w14:paraId="17B6427A" w14:textId="77777777" w:rsidR="00730DE4" w:rsidRPr="00730DE4" w:rsidRDefault="00730DE4" w:rsidP="009D3417">
            <w:pPr>
              <w:pStyle w:val="NoSpacing"/>
              <w:rPr>
                <w:color w:val="080C0F" w:themeColor="text1"/>
              </w:rPr>
            </w:pPr>
            <w:r w:rsidRPr="00730DE4">
              <w:rPr>
                <w:color w:val="080C0F" w:themeColor="text1"/>
              </w:rPr>
              <w:t>–</w:t>
            </w:r>
          </w:p>
        </w:tc>
      </w:tr>
      <w:tr w:rsidR="00730DE4" w:rsidRPr="00730DE4" w14:paraId="50A6DEAF" w14:textId="77777777" w:rsidTr="00CC3DB6">
        <w:trPr>
          <w:cantSplit/>
          <w:trHeight w:val="23"/>
        </w:trPr>
        <w:tc>
          <w:tcPr>
            <w:tcW w:w="1576" w:type="pct"/>
            <w:tcBorders>
              <w:top w:val="dotted" w:sz="4" w:space="0" w:color="BFBFBF" w:themeColor="background1" w:themeShade="BF"/>
              <w:bottom w:val="single" w:sz="4" w:space="0" w:color="auto"/>
              <w:right w:val="dotted" w:sz="4" w:space="0" w:color="BFBFBF" w:themeColor="background1" w:themeShade="BF"/>
            </w:tcBorders>
            <w:shd w:val="clear" w:color="auto" w:fill="auto"/>
            <w:noWrap/>
            <w:vAlign w:val="center"/>
            <w:hideMark/>
          </w:tcPr>
          <w:p w14:paraId="7AC7362A" w14:textId="77777777" w:rsidR="00730DE4" w:rsidRPr="00730DE4" w:rsidRDefault="00730DE4" w:rsidP="009D3417">
            <w:pPr>
              <w:pStyle w:val="NoSpacing"/>
              <w:rPr>
                <w:color w:val="080C0F" w:themeColor="text1"/>
              </w:rPr>
            </w:pPr>
            <w:r w:rsidRPr="00730DE4">
              <w:rPr>
                <w:color w:val="080C0F" w:themeColor="text1"/>
              </w:rPr>
              <w:t>Intangibles – other</w:t>
            </w:r>
          </w:p>
        </w:tc>
        <w:tc>
          <w:tcPr>
            <w:tcW w:w="1576"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vAlign w:val="center"/>
            <w:hideMark/>
          </w:tcPr>
          <w:p w14:paraId="4775E3B1" w14:textId="77777777" w:rsidR="00730DE4" w:rsidRPr="00730DE4" w:rsidRDefault="00730DE4" w:rsidP="009D3417">
            <w:pPr>
              <w:pStyle w:val="NoSpacing"/>
              <w:rPr>
                <w:color w:val="080C0F" w:themeColor="text1"/>
              </w:rPr>
            </w:pPr>
            <w:r w:rsidRPr="00730DE4">
              <w:rPr>
                <w:color w:val="080C0F" w:themeColor="text1"/>
              </w:rPr>
              <w:t>Not amortised</w:t>
            </w:r>
          </w:p>
        </w:tc>
        <w:tc>
          <w:tcPr>
            <w:tcW w:w="1849" w:type="pct"/>
            <w:tcBorders>
              <w:top w:val="dotted" w:sz="4" w:space="0" w:color="BFBFBF" w:themeColor="background1" w:themeShade="BF"/>
              <w:left w:val="dotted" w:sz="4" w:space="0" w:color="BFBFBF" w:themeColor="background1" w:themeShade="BF"/>
              <w:bottom w:val="single" w:sz="4" w:space="0" w:color="auto"/>
            </w:tcBorders>
            <w:shd w:val="clear" w:color="auto" w:fill="auto"/>
            <w:vAlign w:val="center"/>
            <w:hideMark/>
          </w:tcPr>
          <w:p w14:paraId="10ACCFA6" w14:textId="77777777" w:rsidR="00730DE4" w:rsidRPr="00730DE4" w:rsidRDefault="00730DE4" w:rsidP="009D3417">
            <w:pPr>
              <w:pStyle w:val="NoSpacing"/>
              <w:rPr>
                <w:color w:val="080C0F" w:themeColor="text1"/>
              </w:rPr>
            </w:pPr>
            <w:r w:rsidRPr="00730DE4">
              <w:rPr>
                <w:color w:val="080C0F" w:themeColor="text1"/>
              </w:rPr>
              <w:t>Indefinite life</w:t>
            </w:r>
          </w:p>
        </w:tc>
      </w:tr>
    </w:tbl>
    <w:p w14:paraId="2CB9AF13" w14:textId="77777777" w:rsidR="00730DE4" w:rsidRPr="00730DE4" w:rsidRDefault="00730DE4" w:rsidP="003C13D4">
      <w:pPr>
        <w:rPr>
          <w:color w:val="080C0F" w:themeColor="text1"/>
        </w:rPr>
      </w:pPr>
      <w:r w:rsidRPr="00730DE4">
        <w:rPr>
          <w:color w:val="080C0F" w:themeColor="text1"/>
        </w:rPr>
        <w:t>The estimation of useful life and the resulting amortisation rates applied are based on a number of factors including expected usage, obsolescence, past experience and the department's planned replacement program. These are reviewed on an annual basis.</w:t>
      </w:r>
    </w:p>
    <w:p w14:paraId="6A7E3B06" w14:textId="77777777" w:rsidR="00730DE4" w:rsidRPr="00730DE4" w:rsidRDefault="00730DE4" w:rsidP="00D16D4F">
      <w:pPr>
        <w:pStyle w:val="Heading4"/>
      </w:pPr>
      <w:r w:rsidRPr="00730DE4">
        <w:br w:type="page"/>
      </w:r>
    </w:p>
    <w:p w14:paraId="07AB4E31" w14:textId="77777777" w:rsidR="00730DE4" w:rsidRPr="00730DE4" w:rsidRDefault="00730DE4" w:rsidP="00D16D4F">
      <w:pPr>
        <w:pStyle w:val="Heading4"/>
        <w:sectPr w:rsidR="00730DE4" w:rsidRPr="00730DE4" w:rsidSect="00730DE4">
          <w:pgSz w:w="11906" w:h="16838" w:code="9"/>
          <w:pgMar w:top="1134" w:right="1418" w:bottom="1134" w:left="1418" w:header="227" w:footer="227" w:gutter="0"/>
          <w:cols w:space="708"/>
          <w:docGrid w:linePitch="360"/>
        </w:sectPr>
      </w:pPr>
    </w:p>
    <w:p w14:paraId="1D1A3B51" w14:textId="706C4127" w:rsidR="00730DE4" w:rsidRPr="00730DE4" w:rsidRDefault="00730DE4" w:rsidP="005B60B8">
      <w:pPr>
        <w:pStyle w:val="Heading4"/>
      </w:pPr>
      <w:bookmarkStart w:id="1514" w:name="_Toc179365610"/>
      <w:bookmarkStart w:id="1515" w:name="_Toc180490934"/>
      <w:bookmarkStart w:id="1516" w:name="_Toc180491967"/>
      <w:r w:rsidRPr="00730DE4">
        <w:t>15 Property, plant and equipment</w:t>
      </w:r>
      <w:bookmarkEnd w:id="1514"/>
      <w:bookmarkEnd w:id="1515"/>
      <w:bookmarkEnd w:id="1516"/>
    </w:p>
    <w:tbl>
      <w:tblPr>
        <w:tblW w:w="4901" w:type="pct"/>
        <w:tblCellMar>
          <w:top w:w="23" w:type="dxa"/>
          <w:left w:w="23" w:type="dxa"/>
          <w:bottom w:w="23" w:type="dxa"/>
          <w:right w:w="23" w:type="dxa"/>
        </w:tblCellMar>
        <w:tblLook w:val="04A0" w:firstRow="1" w:lastRow="0" w:firstColumn="1" w:lastColumn="0" w:noHBand="0" w:noVBand="1"/>
      </w:tblPr>
      <w:tblGrid>
        <w:gridCol w:w="6062"/>
        <w:gridCol w:w="2073"/>
        <w:gridCol w:w="2073"/>
        <w:gridCol w:w="2072"/>
        <w:gridCol w:w="2072"/>
        <w:gridCol w:w="2072"/>
        <w:gridCol w:w="2072"/>
        <w:gridCol w:w="2064"/>
      </w:tblGrid>
      <w:tr w:rsidR="00730DE4" w:rsidRPr="00730DE4" w14:paraId="344BD20F" w14:textId="77777777" w:rsidTr="00253FBD">
        <w:trPr>
          <w:trHeight w:val="23"/>
        </w:trPr>
        <w:tc>
          <w:tcPr>
            <w:tcW w:w="1474" w:type="pct"/>
            <w:tcBorders>
              <w:top w:val="nil"/>
              <w:left w:val="nil"/>
              <w:bottom w:val="single" w:sz="4" w:space="0" w:color="auto"/>
              <w:right w:val="nil"/>
            </w:tcBorders>
            <w:shd w:val="clear" w:color="auto" w:fill="auto"/>
            <w:noWrap/>
            <w:vAlign w:val="center"/>
            <w:hideMark/>
          </w:tcPr>
          <w:p w14:paraId="1262630D" w14:textId="77777777" w:rsidR="00730DE4" w:rsidRPr="00730DE4" w:rsidRDefault="00730DE4" w:rsidP="009D3417">
            <w:pPr>
              <w:pStyle w:val="NoSpacing"/>
              <w:rPr>
                <w:color w:val="080C0F" w:themeColor="text1"/>
              </w:rPr>
            </w:pPr>
          </w:p>
        </w:tc>
        <w:tc>
          <w:tcPr>
            <w:tcW w:w="504" w:type="pct"/>
            <w:tcBorders>
              <w:top w:val="nil"/>
              <w:left w:val="nil"/>
              <w:bottom w:val="single" w:sz="4" w:space="0" w:color="auto"/>
              <w:right w:val="nil"/>
            </w:tcBorders>
            <w:shd w:val="clear" w:color="auto" w:fill="auto"/>
            <w:noWrap/>
            <w:vAlign w:val="bottom"/>
            <w:hideMark/>
          </w:tcPr>
          <w:p w14:paraId="637EAE48" w14:textId="77777777" w:rsidR="00730DE4" w:rsidRPr="00730DE4" w:rsidRDefault="00730DE4" w:rsidP="007B49A9">
            <w:pPr>
              <w:pStyle w:val="NoSpacing"/>
              <w:jc w:val="right"/>
              <w:rPr>
                <w:color w:val="080C0F" w:themeColor="text1"/>
              </w:rPr>
            </w:pPr>
            <w:r w:rsidRPr="00730DE4">
              <w:rPr>
                <w:rStyle w:val="Strong"/>
              </w:rPr>
              <w:t>Land</w:t>
            </w:r>
            <w:r w:rsidRPr="00730DE4">
              <w:rPr>
                <w:rStyle w:val="Strong"/>
              </w:rPr>
              <w:br/>
              <w:t xml:space="preserve"> </w:t>
            </w:r>
            <w:r w:rsidRPr="00730DE4">
              <w:rPr>
                <w:rStyle w:val="Strong"/>
              </w:rPr>
              <w:br/>
            </w:r>
            <w:r w:rsidRPr="00730DE4">
              <w:rPr>
                <w:rStyle w:val="Strong"/>
              </w:rPr>
              <w:br/>
              <w:t xml:space="preserve">2024 </w:t>
            </w:r>
            <w:r w:rsidRPr="00730DE4">
              <w:rPr>
                <w:rStyle w:val="Strong"/>
              </w:rPr>
              <w:br/>
              <w:t>$'000</w:t>
            </w:r>
          </w:p>
        </w:tc>
        <w:tc>
          <w:tcPr>
            <w:tcW w:w="504" w:type="pct"/>
            <w:tcBorders>
              <w:top w:val="nil"/>
              <w:left w:val="nil"/>
              <w:bottom w:val="single" w:sz="4" w:space="0" w:color="auto"/>
              <w:right w:val="nil"/>
            </w:tcBorders>
            <w:shd w:val="clear" w:color="auto" w:fill="auto"/>
            <w:noWrap/>
            <w:vAlign w:val="bottom"/>
            <w:hideMark/>
          </w:tcPr>
          <w:p w14:paraId="0DF0E1B7" w14:textId="77777777" w:rsidR="00730DE4" w:rsidRPr="00730DE4" w:rsidRDefault="00730DE4" w:rsidP="007B49A9">
            <w:pPr>
              <w:pStyle w:val="NoSpacing"/>
              <w:jc w:val="right"/>
              <w:rPr>
                <w:color w:val="080C0F" w:themeColor="text1"/>
              </w:rPr>
            </w:pPr>
            <w:r w:rsidRPr="00730DE4">
              <w:rPr>
                <w:rStyle w:val="Strong"/>
              </w:rPr>
              <w:t>Buildings</w:t>
            </w:r>
            <w:r w:rsidRPr="00730DE4">
              <w:rPr>
                <w:rStyle w:val="Strong"/>
              </w:rPr>
              <w:br/>
              <w:t xml:space="preserve"> </w:t>
            </w:r>
            <w:r w:rsidRPr="00730DE4">
              <w:rPr>
                <w:rStyle w:val="Strong"/>
              </w:rPr>
              <w:br/>
            </w:r>
            <w:r w:rsidRPr="00730DE4">
              <w:rPr>
                <w:rStyle w:val="Strong"/>
              </w:rPr>
              <w:br/>
              <w:t xml:space="preserve">2024 </w:t>
            </w:r>
            <w:r w:rsidRPr="00730DE4">
              <w:rPr>
                <w:rStyle w:val="Strong"/>
              </w:rPr>
              <w:br/>
              <w:t>$'000</w:t>
            </w:r>
          </w:p>
        </w:tc>
        <w:tc>
          <w:tcPr>
            <w:tcW w:w="504" w:type="pct"/>
            <w:tcBorders>
              <w:top w:val="nil"/>
              <w:left w:val="nil"/>
              <w:bottom w:val="single" w:sz="4" w:space="0" w:color="auto"/>
              <w:right w:val="nil"/>
            </w:tcBorders>
            <w:shd w:val="clear" w:color="auto" w:fill="auto"/>
            <w:noWrap/>
            <w:vAlign w:val="bottom"/>
            <w:hideMark/>
          </w:tcPr>
          <w:p w14:paraId="6D0FEFFC" w14:textId="77777777" w:rsidR="00730DE4" w:rsidRPr="00730DE4" w:rsidRDefault="00730DE4" w:rsidP="007B49A9">
            <w:pPr>
              <w:pStyle w:val="NoSpacing"/>
              <w:jc w:val="right"/>
              <w:rPr>
                <w:color w:val="080C0F" w:themeColor="text1"/>
              </w:rPr>
            </w:pPr>
            <w:r w:rsidRPr="00730DE4">
              <w:rPr>
                <w:rStyle w:val="Strong"/>
              </w:rPr>
              <w:t xml:space="preserve">Plant and </w:t>
            </w:r>
            <w:r w:rsidRPr="00730DE4">
              <w:rPr>
                <w:rStyle w:val="Strong"/>
              </w:rPr>
              <w:br/>
              <w:t xml:space="preserve">equipment </w:t>
            </w:r>
            <w:r w:rsidRPr="00730DE4">
              <w:rPr>
                <w:rStyle w:val="Strong"/>
              </w:rPr>
              <w:br/>
            </w:r>
            <w:r w:rsidRPr="00730DE4">
              <w:rPr>
                <w:rStyle w:val="Strong"/>
              </w:rPr>
              <w:br/>
              <w:t xml:space="preserve">2024 </w:t>
            </w:r>
            <w:r w:rsidRPr="00730DE4">
              <w:rPr>
                <w:rStyle w:val="Strong"/>
              </w:rPr>
              <w:br/>
              <w:t>$'000</w:t>
            </w:r>
          </w:p>
        </w:tc>
        <w:tc>
          <w:tcPr>
            <w:tcW w:w="504" w:type="pct"/>
            <w:tcBorders>
              <w:top w:val="nil"/>
              <w:left w:val="nil"/>
              <w:bottom w:val="single" w:sz="4" w:space="0" w:color="auto"/>
              <w:right w:val="nil"/>
            </w:tcBorders>
            <w:shd w:val="clear" w:color="auto" w:fill="auto"/>
            <w:noWrap/>
            <w:vAlign w:val="bottom"/>
            <w:hideMark/>
          </w:tcPr>
          <w:p w14:paraId="177693D4" w14:textId="77777777" w:rsidR="00730DE4" w:rsidRPr="00730DE4" w:rsidRDefault="00730DE4" w:rsidP="007B49A9">
            <w:pPr>
              <w:pStyle w:val="NoSpacing"/>
              <w:jc w:val="right"/>
              <w:rPr>
                <w:color w:val="080C0F" w:themeColor="text1"/>
              </w:rPr>
            </w:pPr>
            <w:r w:rsidRPr="00730DE4">
              <w:rPr>
                <w:rStyle w:val="Strong"/>
              </w:rPr>
              <w:t xml:space="preserve">Major plant </w:t>
            </w:r>
            <w:r w:rsidRPr="00730DE4">
              <w:rPr>
                <w:rStyle w:val="Strong"/>
              </w:rPr>
              <w:br/>
              <w:t xml:space="preserve">and equipment </w:t>
            </w:r>
            <w:r w:rsidRPr="00730DE4">
              <w:rPr>
                <w:rStyle w:val="Strong"/>
              </w:rPr>
              <w:br/>
            </w:r>
            <w:r w:rsidRPr="00730DE4">
              <w:rPr>
                <w:rStyle w:val="Strong"/>
              </w:rPr>
              <w:br/>
              <w:t xml:space="preserve">2024 </w:t>
            </w:r>
            <w:r w:rsidRPr="00730DE4">
              <w:rPr>
                <w:rStyle w:val="Strong"/>
              </w:rPr>
              <w:br/>
              <w:t>$'000</w:t>
            </w:r>
          </w:p>
        </w:tc>
        <w:tc>
          <w:tcPr>
            <w:tcW w:w="504" w:type="pct"/>
            <w:tcBorders>
              <w:top w:val="nil"/>
              <w:left w:val="nil"/>
              <w:bottom w:val="single" w:sz="4" w:space="0" w:color="auto"/>
              <w:right w:val="nil"/>
            </w:tcBorders>
            <w:shd w:val="clear" w:color="auto" w:fill="auto"/>
            <w:noWrap/>
            <w:vAlign w:val="bottom"/>
            <w:hideMark/>
          </w:tcPr>
          <w:p w14:paraId="3B11FA77" w14:textId="77777777" w:rsidR="00730DE4" w:rsidRPr="00730DE4" w:rsidRDefault="00730DE4" w:rsidP="007B49A9">
            <w:pPr>
              <w:pStyle w:val="NoSpacing"/>
              <w:jc w:val="right"/>
              <w:rPr>
                <w:color w:val="080C0F" w:themeColor="text1"/>
              </w:rPr>
            </w:pPr>
            <w:r w:rsidRPr="00730DE4">
              <w:rPr>
                <w:rStyle w:val="Strong"/>
              </w:rPr>
              <w:t xml:space="preserve">Infrastructure </w:t>
            </w:r>
            <w:r w:rsidRPr="00730DE4">
              <w:rPr>
                <w:rStyle w:val="Strong"/>
              </w:rPr>
              <w:br/>
              <w:t xml:space="preserve">* ** </w:t>
            </w:r>
            <w:r w:rsidRPr="00730DE4">
              <w:rPr>
                <w:rStyle w:val="Strong"/>
              </w:rPr>
              <w:br/>
            </w:r>
            <w:r w:rsidRPr="00730DE4">
              <w:rPr>
                <w:rStyle w:val="Strong"/>
              </w:rPr>
              <w:br/>
              <w:t xml:space="preserve">2024 </w:t>
            </w:r>
            <w:r w:rsidRPr="00730DE4">
              <w:rPr>
                <w:rStyle w:val="Strong"/>
              </w:rPr>
              <w:br/>
              <w:t>$'000</w:t>
            </w:r>
          </w:p>
        </w:tc>
        <w:tc>
          <w:tcPr>
            <w:tcW w:w="504" w:type="pct"/>
            <w:tcBorders>
              <w:top w:val="nil"/>
              <w:left w:val="nil"/>
              <w:bottom w:val="single" w:sz="4" w:space="0" w:color="auto"/>
              <w:right w:val="nil"/>
            </w:tcBorders>
            <w:shd w:val="clear" w:color="auto" w:fill="auto"/>
            <w:noWrap/>
            <w:vAlign w:val="bottom"/>
            <w:hideMark/>
          </w:tcPr>
          <w:p w14:paraId="3BC287E3" w14:textId="77777777" w:rsidR="00730DE4" w:rsidRPr="00730DE4" w:rsidRDefault="00730DE4" w:rsidP="007B49A9">
            <w:pPr>
              <w:pStyle w:val="NoSpacing"/>
              <w:jc w:val="right"/>
              <w:rPr>
                <w:color w:val="080C0F" w:themeColor="text1"/>
              </w:rPr>
            </w:pPr>
            <w:r w:rsidRPr="00730DE4">
              <w:rPr>
                <w:rStyle w:val="Strong"/>
              </w:rPr>
              <w:t xml:space="preserve">Work in </w:t>
            </w:r>
            <w:r w:rsidRPr="00730DE4">
              <w:rPr>
                <w:rStyle w:val="Strong"/>
              </w:rPr>
              <w:br/>
              <w:t xml:space="preserve">progress </w:t>
            </w:r>
            <w:r w:rsidRPr="00730DE4">
              <w:rPr>
                <w:rStyle w:val="Strong"/>
              </w:rPr>
              <w:br/>
            </w:r>
            <w:r w:rsidRPr="00730DE4">
              <w:rPr>
                <w:rStyle w:val="Strong"/>
              </w:rPr>
              <w:br/>
              <w:t xml:space="preserve">2024 </w:t>
            </w:r>
            <w:r w:rsidRPr="00730DE4">
              <w:rPr>
                <w:rStyle w:val="Strong"/>
              </w:rPr>
              <w:br/>
              <w:t>$'000</w:t>
            </w:r>
          </w:p>
        </w:tc>
        <w:tc>
          <w:tcPr>
            <w:tcW w:w="502" w:type="pct"/>
            <w:tcBorders>
              <w:top w:val="nil"/>
              <w:left w:val="nil"/>
              <w:bottom w:val="single" w:sz="4" w:space="0" w:color="auto"/>
              <w:right w:val="nil"/>
            </w:tcBorders>
            <w:shd w:val="clear" w:color="auto" w:fill="auto"/>
            <w:noWrap/>
            <w:vAlign w:val="bottom"/>
            <w:hideMark/>
          </w:tcPr>
          <w:p w14:paraId="30E3F572" w14:textId="77777777" w:rsidR="00730DE4" w:rsidRPr="00730DE4" w:rsidRDefault="00730DE4" w:rsidP="007B49A9">
            <w:pPr>
              <w:pStyle w:val="NoSpacing"/>
              <w:jc w:val="right"/>
              <w:rPr>
                <w:rStyle w:val="Strong"/>
              </w:rPr>
            </w:pPr>
            <w:r w:rsidRPr="00730DE4">
              <w:rPr>
                <w:rStyle w:val="Strong"/>
              </w:rPr>
              <w:t>Total</w:t>
            </w:r>
            <w:r w:rsidRPr="00730DE4">
              <w:rPr>
                <w:rStyle w:val="Strong"/>
              </w:rPr>
              <w:br/>
              <w:t xml:space="preserve"> </w:t>
            </w:r>
            <w:r w:rsidRPr="00730DE4">
              <w:rPr>
                <w:rStyle w:val="Strong"/>
              </w:rPr>
              <w:br/>
            </w:r>
            <w:r w:rsidRPr="00730DE4">
              <w:rPr>
                <w:rStyle w:val="Strong"/>
              </w:rPr>
              <w:br/>
              <w:t xml:space="preserve">2024 </w:t>
            </w:r>
            <w:r w:rsidRPr="00730DE4">
              <w:rPr>
                <w:rStyle w:val="Strong"/>
              </w:rPr>
              <w:br/>
              <w:t>$'000</w:t>
            </w:r>
          </w:p>
        </w:tc>
      </w:tr>
      <w:tr w:rsidR="00730DE4" w:rsidRPr="00730DE4" w14:paraId="576158D3" w14:textId="77777777" w:rsidTr="00BB6361">
        <w:trPr>
          <w:trHeight w:val="23"/>
        </w:trPr>
        <w:tc>
          <w:tcPr>
            <w:tcW w:w="1474"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vAlign w:val="center"/>
            <w:hideMark/>
          </w:tcPr>
          <w:p w14:paraId="5BC65367" w14:textId="77777777" w:rsidR="00730DE4" w:rsidRPr="00730DE4" w:rsidRDefault="00730DE4" w:rsidP="009D3417">
            <w:pPr>
              <w:pStyle w:val="NoSpacing"/>
              <w:rPr>
                <w:color w:val="080C0F" w:themeColor="text1"/>
              </w:rPr>
            </w:pPr>
            <w:r w:rsidRPr="00730DE4">
              <w:rPr>
                <w:color w:val="080C0F" w:themeColor="text1"/>
              </w:rPr>
              <w:t>Gross value</w:t>
            </w:r>
          </w:p>
        </w:tc>
        <w:tc>
          <w:tcPr>
            <w:tcW w:w="504"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27A7AF8" w14:textId="77777777" w:rsidR="00730DE4" w:rsidRPr="00730DE4" w:rsidRDefault="00730DE4" w:rsidP="007B49A9">
            <w:pPr>
              <w:pStyle w:val="NoSpacing"/>
              <w:jc w:val="right"/>
              <w:rPr>
                <w:color w:val="080C0F" w:themeColor="text1"/>
              </w:rPr>
            </w:pPr>
            <w:r w:rsidRPr="00730DE4">
              <w:rPr>
                <w:color w:val="080C0F" w:themeColor="text1"/>
              </w:rPr>
              <w:t xml:space="preserve">7,374,864 </w:t>
            </w:r>
          </w:p>
        </w:tc>
        <w:tc>
          <w:tcPr>
            <w:tcW w:w="504"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FCC7328" w14:textId="77777777" w:rsidR="00730DE4" w:rsidRPr="00730DE4" w:rsidRDefault="00730DE4" w:rsidP="007B49A9">
            <w:pPr>
              <w:pStyle w:val="NoSpacing"/>
              <w:jc w:val="right"/>
              <w:rPr>
                <w:color w:val="080C0F" w:themeColor="text1"/>
              </w:rPr>
            </w:pPr>
            <w:r w:rsidRPr="00730DE4">
              <w:rPr>
                <w:color w:val="080C0F" w:themeColor="text1"/>
              </w:rPr>
              <w:t xml:space="preserve">1,344,188 </w:t>
            </w:r>
          </w:p>
        </w:tc>
        <w:tc>
          <w:tcPr>
            <w:tcW w:w="504"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16A910F" w14:textId="77777777" w:rsidR="00730DE4" w:rsidRPr="00730DE4" w:rsidRDefault="00730DE4" w:rsidP="007B49A9">
            <w:pPr>
              <w:pStyle w:val="NoSpacing"/>
              <w:jc w:val="right"/>
              <w:rPr>
                <w:color w:val="080C0F" w:themeColor="text1"/>
              </w:rPr>
            </w:pPr>
            <w:r w:rsidRPr="00730DE4">
              <w:rPr>
                <w:color w:val="080C0F" w:themeColor="text1"/>
              </w:rPr>
              <w:t xml:space="preserve">803,069 </w:t>
            </w:r>
          </w:p>
        </w:tc>
        <w:tc>
          <w:tcPr>
            <w:tcW w:w="504"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04BC9E2" w14:textId="77777777" w:rsidR="00730DE4" w:rsidRPr="00730DE4" w:rsidRDefault="00730DE4" w:rsidP="007B49A9">
            <w:pPr>
              <w:pStyle w:val="NoSpacing"/>
              <w:jc w:val="right"/>
              <w:rPr>
                <w:color w:val="080C0F" w:themeColor="text1"/>
              </w:rPr>
            </w:pPr>
            <w:r w:rsidRPr="00730DE4">
              <w:rPr>
                <w:color w:val="080C0F" w:themeColor="text1"/>
              </w:rPr>
              <w:t xml:space="preserve">1,684,874 </w:t>
            </w:r>
          </w:p>
        </w:tc>
        <w:tc>
          <w:tcPr>
            <w:tcW w:w="504"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68CD059" w14:textId="77777777" w:rsidR="00730DE4" w:rsidRPr="00730DE4" w:rsidRDefault="00730DE4" w:rsidP="007B49A9">
            <w:pPr>
              <w:pStyle w:val="NoSpacing"/>
              <w:jc w:val="right"/>
              <w:rPr>
                <w:color w:val="080C0F" w:themeColor="text1"/>
              </w:rPr>
            </w:pPr>
            <w:r w:rsidRPr="00730DE4">
              <w:rPr>
                <w:color w:val="080C0F" w:themeColor="text1"/>
              </w:rPr>
              <w:t xml:space="preserve">120,502,236 </w:t>
            </w:r>
          </w:p>
        </w:tc>
        <w:tc>
          <w:tcPr>
            <w:tcW w:w="504"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321B9B9" w14:textId="77777777" w:rsidR="00730DE4" w:rsidRPr="00730DE4" w:rsidRDefault="00730DE4" w:rsidP="007B49A9">
            <w:pPr>
              <w:pStyle w:val="NoSpacing"/>
              <w:jc w:val="right"/>
              <w:rPr>
                <w:color w:val="080C0F" w:themeColor="text1"/>
              </w:rPr>
            </w:pPr>
            <w:r w:rsidRPr="00730DE4">
              <w:rPr>
                <w:color w:val="080C0F" w:themeColor="text1"/>
              </w:rPr>
              <w:t xml:space="preserve">8,432,647 </w:t>
            </w:r>
          </w:p>
        </w:tc>
        <w:tc>
          <w:tcPr>
            <w:tcW w:w="502"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6FDEF4C7" w14:textId="77777777" w:rsidR="00730DE4" w:rsidRPr="00730DE4" w:rsidRDefault="00730DE4" w:rsidP="007B49A9">
            <w:pPr>
              <w:pStyle w:val="NoSpacing"/>
              <w:jc w:val="right"/>
              <w:rPr>
                <w:rStyle w:val="Strong"/>
              </w:rPr>
            </w:pPr>
            <w:r w:rsidRPr="00730DE4">
              <w:rPr>
                <w:rStyle w:val="Strong"/>
              </w:rPr>
              <w:t xml:space="preserve">140,141,878 </w:t>
            </w:r>
          </w:p>
        </w:tc>
      </w:tr>
      <w:tr w:rsidR="00730DE4" w:rsidRPr="00730DE4" w14:paraId="1522323A" w14:textId="77777777" w:rsidTr="00BB6361">
        <w:trPr>
          <w:trHeight w:val="23"/>
        </w:trPr>
        <w:tc>
          <w:tcPr>
            <w:tcW w:w="1474"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center"/>
            <w:hideMark/>
          </w:tcPr>
          <w:p w14:paraId="4C996B19" w14:textId="77777777" w:rsidR="00730DE4" w:rsidRPr="00730DE4" w:rsidRDefault="00730DE4" w:rsidP="009D3417">
            <w:pPr>
              <w:pStyle w:val="NoSpacing"/>
              <w:rPr>
                <w:color w:val="080C0F" w:themeColor="text1"/>
              </w:rPr>
            </w:pPr>
            <w:r w:rsidRPr="00730DE4">
              <w:rPr>
                <w:color w:val="080C0F" w:themeColor="text1"/>
              </w:rPr>
              <w:t>Less: Accumulated depreciation</w:t>
            </w:r>
          </w:p>
        </w:tc>
        <w:tc>
          <w:tcPr>
            <w:tcW w:w="504"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34AE6CC2" w14:textId="77777777" w:rsidR="00730DE4" w:rsidRPr="00730DE4" w:rsidRDefault="00730DE4" w:rsidP="007B49A9">
            <w:pPr>
              <w:pStyle w:val="NoSpacing"/>
              <w:jc w:val="right"/>
              <w:rPr>
                <w:color w:val="080C0F" w:themeColor="text1"/>
              </w:rPr>
            </w:pPr>
            <w:r w:rsidRPr="00730DE4">
              <w:rPr>
                <w:color w:val="080C0F" w:themeColor="text1"/>
              </w:rPr>
              <w:t xml:space="preserve">- </w:t>
            </w:r>
          </w:p>
        </w:tc>
        <w:tc>
          <w:tcPr>
            <w:tcW w:w="504"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228F1DAE" w14:textId="77777777" w:rsidR="00730DE4" w:rsidRPr="00730DE4" w:rsidRDefault="00730DE4" w:rsidP="007B49A9">
            <w:pPr>
              <w:pStyle w:val="NoSpacing"/>
              <w:jc w:val="right"/>
              <w:rPr>
                <w:color w:val="080C0F" w:themeColor="text1"/>
              </w:rPr>
            </w:pPr>
            <w:r w:rsidRPr="00730DE4">
              <w:rPr>
                <w:color w:val="080C0F" w:themeColor="text1"/>
              </w:rPr>
              <w:t>(396,090)</w:t>
            </w:r>
          </w:p>
        </w:tc>
        <w:tc>
          <w:tcPr>
            <w:tcW w:w="504"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67724F76" w14:textId="77777777" w:rsidR="00730DE4" w:rsidRPr="00730DE4" w:rsidRDefault="00730DE4" w:rsidP="007B49A9">
            <w:pPr>
              <w:pStyle w:val="NoSpacing"/>
              <w:jc w:val="right"/>
              <w:rPr>
                <w:color w:val="080C0F" w:themeColor="text1"/>
              </w:rPr>
            </w:pPr>
            <w:r w:rsidRPr="00730DE4">
              <w:rPr>
                <w:color w:val="080C0F" w:themeColor="text1"/>
              </w:rPr>
              <w:t>(564,096)</w:t>
            </w:r>
          </w:p>
        </w:tc>
        <w:tc>
          <w:tcPr>
            <w:tcW w:w="504"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275F4500" w14:textId="77777777" w:rsidR="00730DE4" w:rsidRPr="00730DE4" w:rsidRDefault="00730DE4" w:rsidP="007B49A9">
            <w:pPr>
              <w:pStyle w:val="NoSpacing"/>
              <w:jc w:val="right"/>
              <w:rPr>
                <w:color w:val="080C0F" w:themeColor="text1"/>
              </w:rPr>
            </w:pPr>
            <w:r w:rsidRPr="00730DE4">
              <w:rPr>
                <w:color w:val="080C0F" w:themeColor="text1"/>
              </w:rPr>
              <w:t>(297,109)</w:t>
            </w:r>
          </w:p>
        </w:tc>
        <w:tc>
          <w:tcPr>
            <w:tcW w:w="504"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0CE6D065" w14:textId="77777777" w:rsidR="00730DE4" w:rsidRPr="00730DE4" w:rsidRDefault="00730DE4" w:rsidP="007B49A9">
            <w:pPr>
              <w:pStyle w:val="NoSpacing"/>
              <w:jc w:val="right"/>
              <w:rPr>
                <w:color w:val="080C0F" w:themeColor="text1"/>
              </w:rPr>
            </w:pPr>
            <w:r w:rsidRPr="00730DE4">
              <w:rPr>
                <w:color w:val="080C0F" w:themeColor="text1"/>
              </w:rPr>
              <w:t>(29,064,731)</w:t>
            </w:r>
          </w:p>
        </w:tc>
        <w:tc>
          <w:tcPr>
            <w:tcW w:w="504"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0DD5596F" w14:textId="77777777" w:rsidR="00730DE4" w:rsidRPr="00730DE4" w:rsidRDefault="00730DE4" w:rsidP="007B49A9">
            <w:pPr>
              <w:pStyle w:val="NoSpacing"/>
              <w:jc w:val="right"/>
              <w:rPr>
                <w:color w:val="080C0F" w:themeColor="text1"/>
              </w:rPr>
            </w:pPr>
            <w:r w:rsidRPr="00730DE4">
              <w:rPr>
                <w:color w:val="080C0F" w:themeColor="text1"/>
              </w:rPr>
              <w:t xml:space="preserve">- </w:t>
            </w:r>
          </w:p>
        </w:tc>
        <w:tc>
          <w:tcPr>
            <w:tcW w:w="502"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F2F2F2" w:themeFill="background1" w:themeFillShade="F2"/>
            <w:noWrap/>
            <w:vAlign w:val="bottom"/>
            <w:hideMark/>
          </w:tcPr>
          <w:p w14:paraId="4CD4A747" w14:textId="77777777" w:rsidR="00730DE4" w:rsidRPr="00730DE4" w:rsidRDefault="00730DE4" w:rsidP="007B49A9">
            <w:pPr>
              <w:pStyle w:val="NoSpacing"/>
              <w:jc w:val="right"/>
              <w:rPr>
                <w:rStyle w:val="Strong"/>
              </w:rPr>
            </w:pPr>
            <w:r w:rsidRPr="00730DE4">
              <w:rPr>
                <w:rStyle w:val="Strong"/>
              </w:rPr>
              <w:t>(30,322,026)</w:t>
            </w:r>
          </w:p>
        </w:tc>
      </w:tr>
      <w:tr w:rsidR="00730DE4" w:rsidRPr="00730DE4" w14:paraId="6E8F0285" w14:textId="77777777" w:rsidTr="00BB6361">
        <w:tc>
          <w:tcPr>
            <w:tcW w:w="1474"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5BED8FF8" w14:textId="77777777" w:rsidR="00730DE4" w:rsidRPr="00730DE4" w:rsidRDefault="00730DE4" w:rsidP="00CC3DB6">
            <w:pPr>
              <w:pStyle w:val="NoSpacing"/>
              <w:rPr>
                <w:color w:val="080C0F" w:themeColor="text1"/>
              </w:rPr>
            </w:pPr>
            <w:r w:rsidRPr="00730DE4">
              <w:rPr>
                <w:rStyle w:val="Strong"/>
              </w:rPr>
              <w:t>Carrying amount at 30 June</w:t>
            </w:r>
          </w:p>
        </w:tc>
        <w:tc>
          <w:tcPr>
            <w:tcW w:w="504"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43B90013" w14:textId="77777777" w:rsidR="00730DE4" w:rsidRPr="00730DE4" w:rsidRDefault="00730DE4" w:rsidP="00CC3DB6">
            <w:pPr>
              <w:pStyle w:val="NoSpacing"/>
              <w:jc w:val="right"/>
              <w:rPr>
                <w:color w:val="080C0F" w:themeColor="text1"/>
              </w:rPr>
            </w:pPr>
            <w:r w:rsidRPr="00730DE4">
              <w:rPr>
                <w:rStyle w:val="Strong"/>
              </w:rPr>
              <w:t xml:space="preserve">7,374,864 </w:t>
            </w:r>
          </w:p>
        </w:tc>
        <w:tc>
          <w:tcPr>
            <w:tcW w:w="504"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2B44B0B8" w14:textId="77777777" w:rsidR="00730DE4" w:rsidRPr="00730DE4" w:rsidRDefault="00730DE4" w:rsidP="00CC3DB6">
            <w:pPr>
              <w:pStyle w:val="NoSpacing"/>
              <w:jc w:val="right"/>
              <w:rPr>
                <w:color w:val="080C0F" w:themeColor="text1"/>
              </w:rPr>
            </w:pPr>
            <w:r w:rsidRPr="00730DE4">
              <w:rPr>
                <w:rStyle w:val="Strong"/>
              </w:rPr>
              <w:t xml:space="preserve">948,098 </w:t>
            </w:r>
          </w:p>
        </w:tc>
        <w:tc>
          <w:tcPr>
            <w:tcW w:w="504"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053C5831" w14:textId="77777777" w:rsidR="00730DE4" w:rsidRPr="00730DE4" w:rsidRDefault="00730DE4" w:rsidP="00CC3DB6">
            <w:pPr>
              <w:pStyle w:val="NoSpacing"/>
              <w:jc w:val="right"/>
              <w:rPr>
                <w:color w:val="080C0F" w:themeColor="text1"/>
              </w:rPr>
            </w:pPr>
            <w:r w:rsidRPr="00730DE4">
              <w:rPr>
                <w:rStyle w:val="Strong"/>
              </w:rPr>
              <w:t xml:space="preserve">238,973 </w:t>
            </w:r>
          </w:p>
        </w:tc>
        <w:tc>
          <w:tcPr>
            <w:tcW w:w="504"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770FFF01" w14:textId="77777777" w:rsidR="00730DE4" w:rsidRPr="00730DE4" w:rsidRDefault="00730DE4" w:rsidP="00CC3DB6">
            <w:pPr>
              <w:pStyle w:val="NoSpacing"/>
              <w:jc w:val="right"/>
              <w:rPr>
                <w:color w:val="080C0F" w:themeColor="text1"/>
              </w:rPr>
            </w:pPr>
            <w:r w:rsidRPr="00730DE4">
              <w:rPr>
                <w:rStyle w:val="Strong"/>
              </w:rPr>
              <w:t xml:space="preserve">1,387,765 </w:t>
            </w:r>
          </w:p>
        </w:tc>
        <w:tc>
          <w:tcPr>
            <w:tcW w:w="504"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3BB6B3D6" w14:textId="77777777" w:rsidR="00730DE4" w:rsidRPr="00730DE4" w:rsidRDefault="00730DE4" w:rsidP="00CC3DB6">
            <w:pPr>
              <w:pStyle w:val="NoSpacing"/>
              <w:jc w:val="right"/>
              <w:rPr>
                <w:color w:val="080C0F" w:themeColor="text1"/>
              </w:rPr>
            </w:pPr>
            <w:r w:rsidRPr="00730DE4">
              <w:rPr>
                <w:rStyle w:val="Strong"/>
              </w:rPr>
              <w:t xml:space="preserve">91,437,505 </w:t>
            </w:r>
          </w:p>
        </w:tc>
        <w:tc>
          <w:tcPr>
            <w:tcW w:w="504"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6B1DF6ED" w14:textId="77777777" w:rsidR="00730DE4" w:rsidRPr="00730DE4" w:rsidRDefault="00730DE4" w:rsidP="00CC3DB6">
            <w:pPr>
              <w:pStyle w:val="NoSpacing"/>
              <w:jc w:val="right"/>
              <w:rPr>
                <w:color w:val="080C0F" w:themeColor="text1"/>
              </w:rPr>
            </w:pPr>
            <w:r w:rsidRPr="00730DE4">
              <w:rPr>
                <w:rStyle w:val="Strong"/>
              </w:rPr>
              <w:t xml:space="preserve">8,432,647 </w:t>
            </w:r>
          </w:p>
        </w:tc>
        <w:tc>
          <w:tcPr>
            <w:tcW w:w="502" w:type="pct"/>
            <w:tcBorders>
              <w:top w:val="single" w:sz="4" w:space="0" w:color="auto"/>
              <w:left w:val="dotted" w:sz="4" w:space="0" w:color="BFBFBF" w:themeColor="background1" w:themeShade="BF"/>
              <w:bottom w:val="double" w:sz="4" w:space="0" w:color="auto"/>
              <w:right w:val="nil"/>
            </w:tcBorders>
            <w:shd w:val="clear" w:color="auto" w:fill="F2F2F2" w:themeFill="background1" w:themeFillShade="F2"/>
            <w:noWrap/>
            <w:hideMark/>
          </w:tcPr>
          <w:p w14:paraId="7796C84C" w14:textId="77777777" w:rsidR="00730DE4" w:rsidRPr="00730DE4" w:rsidRDefault="00730DE4" w:rsidP="00CC3DB6">
            <w:pPr>
              <w:pStyle w:val="NoSpacing"/>
              <w:jc w:val="right"/>
              <w:rPr>
                <w:rStyle w:val="Strong"/>
              </w:rPr>
            </w:pPr>
            <w:r w:rsidRPr="00730DE4">
              <w:rPr>
                <w:rStyle w:val="Strong"/>
              </w:rPr>
              <w:t xml:space="preserve">109,819,852 </w:t>
            </w:r>
          </w:p>
        </w:tc>
      </w:tr>
      <w:tr w:rsidR="00730DE4" w:rsidRPr="00730DE4" w14:paraId="4A675976" w14:textId="77777777" w:rsidTr="00BB6361">
        <w:trPr>
          <w:trHeight w:val="454"/>
        </w:trPr>
        <w:tc>
          <w:tcPr>
            <w:tcW w:w="1474" w:type="pct"/>
            <w:tcBorders>
              <w:top w:val="double" w:sz="4" w:space="0" w:color="auto"/>
              <w:left w:val="nil"/>
              <w:bottom w:val="dotted" w:sz="4" w:space="0" w:color="BFBFBF" w:themeColor="background1" w:themeShade="BF"/>
              <w:right w:val="dotted" w:sz="4" w:space="0" w:color="BFBFBF" w:themeColor="background1" w:themeShade="BF"/>
            </w:tcBorders>
            <w:shd w:val="clear" w:color="auto" w:fill="auto"/>
            <w:vAlign w:val="bottom"/>
          </w:tcPr>
          <w:p w14:paraId="7F608C58" w14:textId="77777777" w:rsidR="00730DE4" w:rsidRPr="00730DE4" w:rsidRDefault="00730DE4" w:rsidP="00904B72">
            <w:pPr>
              <w:pStyle w:val="NoSpacing"/>
              <w:rPr>
                <w:color w:val="080C0F" w:themeColor="text1"/>
              </w:rPr>
            </w:pPr>
            <w:r w:rsidRPr="00730DE4">
              <w:rPr>
                <w:rStyle w:val="Strong"/>
              </w:rPr>
              <w:t>Reconciliation</w:t>
            </w:r>
          </w:p>
        </w:tc>
        <w:tc>
          <w:tcPr>
            <w:tcW w:w="504"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35F4F8B1" w14:textId="77777777" w:rsidR="00730DE4" w:rsidRPr="00730DE4" w:rsidRDefault="00730DE4" w:rsidP="00904B72">
            <w:pPr>
              <w:pStyle w:val="NoSpacing"/>
              <w:rPr>
                <w:color w:val="080C0F" w:themeColor="text1"/>
              </w:rPr>
            </w:pPr>
          </w:p>
        </w:tc>
        <w:tc>
          <w:tcPr>
            <w:tcW w:w="504"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11F5675C" w14:textId="77777777" w:rsidR="00730DE4" w:rsidRPr="00730DE4" w:rsidRDefault="00730DE4" w:rsidP="00904B72">
            <w:pPr>
              <w:pStyle w:val="NoSpacing"/>
              <w:rPr>
                <w:color w:val="080C0F" w:themeColor="text1"/>
              </w:rPr>
            </w:pPr>
          </w:p>
        </w:tc>
        <w:tc>
          <w:tcPr>
            <w:tcW w:w="504"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0E8AEBB9" w14:textId="77777777" w:rsidR="00730DE4" w:rsidRPr="00730DE4" w:rsidRDefault="00730DE4" w:rsidP="00904B72">
            <w:pPr>
              <w:pStyle w:val="NoSpacing"/>
              <w:rPr>
                <w:color w:val="080C0F" w:themeColor="text1"/>
              </w:rPr>
            </w:pPr>
          </w:p>
        </w:tc>
        <w:tc>
          <w:tcPr>
            <w:tcW w:w="504"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0281CDA3" w14:textId="77777777" w:rsidR="00730DE4" w:rsidRPr="00730DE4" w:rsidRDefault="00730DE4" w:rsidP="00904B72">
            <w:pPr>
              <w:pStyle w:val="NoSpacing"/>
              <w:rPr>
                <w:color w:val="080C0F" w:themeColor="text1"/>
              </w:rPr>
            </w:pPr>
          </w:p>
        </w:tc>
        <w:tc>
          <w:tcPr>
            <w:tcW w:w="504"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48BA86E2" w14:textId="77777777" w:rsidR="00730DE4" w:rsidRPr="00730DE4" w:rsidRDefault="00730DE4" w:rsidP="00904B72">
            <w:pPr>
              <w:pStyle w:val="NoSpacing"/>
              <w:rPr>
                <w:color w:val="080C0F" w:themeColor="text1"/>
              </w:rPr>
            </w:pPr>
          </w:p>
        </w:tc>
        <w:tc>
          <w:tcPr>
            <w:tcW w:w="504"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36D56D70" w14:textId="77777777" w:rsidR="00730DE4" w:rsidRPr="00730DE4" w:rsidRDefault="00730DE4" w:rsidP="00904B72">
            <w:pPr>
              <w:pStyle w:val="NoSpacing"/>
              <w:rPr>
                <w:color w:val="080C0F" w:themeColor="text1"/>
              </w:rPr>
            </w:pPr>
          </w:p>
        </w:tc>
        <w:tc>
          <w:tcPr>
            <w:tcW w:w="502" w:type="pct"/>
            <w:tcBorders>
              <w:top w:val="double" w:sz="4" w:space="0" w:color="auto"/>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tcPr>
          <w:p w14:paraId="34D42A4B" w14:textId="77777777" w:rsidR="00730DE4" w:rsidRPr="00730DE4" w:rsidRDefault="00730DE4" w:rsidP="00904B72">
            <w:pPr>
              <w:pStyle w:val="NoSpacing"/>
              <w:rPr>
                <w:rStyle w:val="Strong"/>
              </w:rPr>
            </w:pPr>
          </w:p>
        </w:tc>
      </w:tr>
      <w:tr w:rsidR="00730DE4" w:rsidRPr="00730DE4" w14:paraId="13606342" w14:textId="77777777" w:rsidTr="00253FBD">
        <w:trPr>
          <w:trHeight w:val="23"/>
        </w:trPr>
        <w:tc>
          <w:tcPr>
            <w:tcW w:w="1474"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center"/>
          </w:tcPr>
          <w:p w14:paraId="79DFD204" w14:textId="77777777" w:rsidR="00730DE4" w:rsidRPr="00730DE4" w:rsidRDefault="00730DE4" w:rsidP="00904B72">
            <w:pPr>
              <w:pStyle w:val="NoSpacing"/>
              <w:rPr>
                <w:color w:val="080C0F" w:themeColor="text1"/>
              </w:rPr>
            </w:pPr>
            <w:r w:rsidRPr="00730DE4">
              <w:rPr>
                <w:color w:val="080C0F" w:themeColor="text1"/>
              </w:rPr>
              <w:t>Carrying amount at 1 July</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1A88CE9A" w14:textId="77777777" w:rsidR="00730DE4" w:rsidRPr="00730DE4" w:rsidRDefault="00730DE4" w:rsidP="00904B72">
            <w:pPr>
              <w:pStyle w:val="NoSpacing"/>
              <w:jc w:val="right"/>
              <w:rPr>
                <w:color w:val="080C0F" w:themeColor="text1"/>
              </w:rPr>
            </w:pPr>
            <w:r w:rsidRPr="00730DE4">
              <w:rPr>
                <w:color w:val="080C0F" w:themeColor="text1"/>
              </w:rPr>
              <w:t xml:space="preserve">7,032,920 </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0D6ABA32" w14:textId="77777777" w:rsidR="00730DE4" w:rsidRPr="00730DE4" w:rsidRDefault="00730DE4" w:rsidP="00904B72">
            <w:pPr>
              <w:pStyle w:val="NoSpacing"/>
              <w:jc w:val="right"/>
              <w:rPr>
                <w:color w:val="080C0F" w:themeColor="text1"/>
              </w:rPr>
            </w:pPr>
            <w:r w:rsidRPr="00730DE4">
              <w:rPr>
                <w:color w:val="080C0F" w:themeColor="text1"/>
              </w:rPr>
              <w:t xml:space="preserve">893,549 </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5275D83F" w14:textId="77777777" w:rsidR="00730DE4" w:rsidRPr="00730DE4" w:rsidRDefault="00730DE4" w:rsidP="00904B72">
            <w:pPr>
              <w:pStyle w:val="NoSpacing"/>
              <w:jc w:val="right"/>
              <w:rPr>
                <w:color w:val="080C0F" w:themeColor="text1"/>
              </w:rPr>
            </w:pPr>
            <w:r w:rsidRPr="00730DE4">
              <w:rPr>
                <w:color w:val="080C0F" w:themeColor="text1"/>
              </w:rPr>
              <w:t xml:space="preserve">215,986 </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0DF5B8B0" w14:textId="77777777" w:rsidR="00730DE4" w:rsidRPr="00730DE4" w:rsidRDefault="00730DE4" w:rsidP="00904B72">
            <w:pPr>
              <w:pStyle w:val="NoSpacing"/>
              <w:jc w:val="right"/>
              <w:rPr>
                <w:color w:val="080C0F" w:themeColor="text1"/>
              </w:rPr>
            </w:pPr>
            <w:r w:rsidRPr="00730DE4">
              <w:rPr>
                <w:color w:val="080C0F" w:themeColor="text1"/>
              </w:rPr>
              <w:t xml:space="preserve">1,282,426 </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26BAFC93" w14:textId="77777777" w:rsidR="00730DE4" w:rsidRPr="00730DE4" w:rsidRDefault="00730DE4" w:rsidP="00904B72">
            <w:pPr>
              <w:pStyle w:val="NoSpacing"/>
              <w:jc w:val="right"/>
              <w:rPr>
                <w:color w:val="080C0F" w:themeColor="text1"/>
              </w:rPr>
            </w:pPr>
            <w:r w:rsidRPr="00730DE4">
              <w:rPr>
                <w:color w:val="080C0F" w:themeColor="text1"/>
              </w:rPr>
              <w:t xml:space="preserve">86,560,344 </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6E785590" w14:textId="77777777" w:rsidR="00730DE4" w:rsidRPr="00730DE4" w:rsidRDefault="00730DE4" w:rsidP="00904B72">
            <w:pPr>
              <w:pStyle w:val="NoSpacing"/>
              <w:jc w:val="right"/>
              <w:rPr>
                <w:color w:val="080C0F" w:themeColor="text1"/>
              </w:rPr>
            </w:pPr>
            <w:r w:rsidRPr="00730DE4">
              <w:rPr>
                <w:color w:val="080C0F" w:themeColor="text1"/>
              </w:rPr>
              <w:t xml:space="preserve">8,510,845 </w:t>
            </w:r>
          </w:p>
        </w:tc>
        <w:tc>
          <w:tcPr>
            <w:tcW w:w="502"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tcPr>
          <w:p w14:paraId="19775E11" w14:textId="77777777" w:rsidR="00730DE4" w:rsidRPr="00730DE4" w:rsidRDefault="00730DE4" w:rsidP="00904B72">
            <w:pPr>
              <w:pStyle w:val="NoSpacing"/>
              <w:jc w:val="right"/>
              <w:rPr>
                <w:rStyle w:val="Strong"/>
              </w:rPr>
            </w:pPr>
            <w:r w:rsidRPr="00730DE4">
              <w:rPr>
                <w:rStyle w:val="Strong"/>
              </w:rPr>
              <w:t xml:space="preserve">104,496,070 </w:t>
            </w:r>
          </w:p>
        </w:tc>
      </w:tr>
      <w:tr w:rsidR="00730DE4" w:rsidRPr="00730DE4" w14:paraId="072023F2" w14:textId="77777777" w:rsidTr="00253FBD">
        <w:trPr>
          <w:trHeight w:val="23"/>
        </w:trPr>
        <w:tc>
          <w:tcPr>
            <w:tcW w:w="1474"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center"/>
            <w:hideMark/>
          </w:tcPr>
          <w:p w14:paraId="73CC8D7A" w14:textId="77777777" w:rsidR="00730DE4" w:rsidRPr="00730DE4" w:rsidRDefault="00730DE4" w:rsidP="009D3417">
            <w:pPr>
              <w:pStyle w:val="NoSpacing"/>
              <w:rPr>
                <w:color w:val="080C0F" w:themeColor="text1"/>
              </w:rPr>
            </w:pPr>
            <w:r w:rsidRPr="00730DE4">
              <w:rPr>
                <w:color w:val="080C0F" w:themeColor="text1"/>
              </w:rPr>
              <w:t>Acquisitions (including upgrades)</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95C6B7F" w14:textId="77777777" w:rsidR="00730DE4" w:rsidRPr="00730DE4" w:rsidRDefault="00730DE4" w:rsidP="007B49A9">
            <w:pPr>
              <w:pStyle w:val="NoSpacing"/>
              <w:jc w:val="right"/>
              <w:rPr>
                <w:color w:val="080C0F" w:themeColor="text1"/>
              </w:rPr>
            </w:pPr>
            <w:r w:rsidRPr="00730DE4">
              <w:rPr>
                <w:color w:val="080C0F" w:themeColor="text1"/>
              </w:rPr>
              <w:t xml:space="preserve">186,976 </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994A973" w14:textId="77777777" w:rsidR="00730DE4" w:rsidRPr="00730DE4" w:rsidRDefault="00730DE4" w:rsidP="007B49A9">
            <w:pPr>
              <w:pStyle w:val="NoSpacing"/>
              <w:jc w:val="right"/>
              <w:rPr>
                <w:color w:val="080C0F" w:themeColor="text1"/>
              </w:rPr>
            </w:pPr>
            <w:r w:rsidRPr="00730DE4">
              <w:rPr>
                <w:color w:val="080C0F" w:themeColor="text1"/>
              </w:rPr>
              <w:t xml:space="preserve">90,061 </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735711A" w14:textId="77777777" w:rsidR="00730DE4" w:rsidRPr="00730DE4" w:rsidRDefault="00730DE4" w:rsidP="007B49A9">
            <w:pPr>
              <w:pStyle w:val="NoSpacing"/>
              <w:jc w:val="right"/>
              <w:rPr>
                <w:color w:val="080C0F" w:themeColor="text1"/>
              </w:rPr>
            </w:pPr>
            <w:r w:rsidRPr="00730DE4">
              <w:rPr>
                <w:color w:val="080C0F" w:themeColor="text1"/>
              </w:rPr>
              <w:t xml:space="preserve">39,411 </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840C17E" w14:textId="77777777" w:rsidR="00730DE4" w:rsidRPr="00730DE4" w:rsidRDefault="00730DE4" w:rsidP="007B49A9">
            <w:pPr>
              <w:pStyle w:val="NoSpacing"/>
              <w:jc w:val="right"/>
              <w:rPr>
                <w:color w:val="080C0F" w:themeColor="text1"/>
              </w:rPr>
            </w:pPr>
            <w:r w:rsidRPr="00730DE4">
              <w:rPr>
                <w:color w:val="080C0F" w:themeColor="text1"/>
              </w:rPr>
              <w:t xml:space="preserve">- </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74BF0D0" w14:textId="77777777" w:rsidR="00730DE4" w:rsidRPr="00730DE4" w:rsidRDefault="00730DE4" w:rsidP="007B49A9">
            <w:pPr>
              <w:pStyle w:val="NoSpacing"/>
              <w:jc w:val="right"/>
              <w:rPr>
                <w:color w:val="080C0F" w:themeColor="text1"/>
              </w:rPr>
            </w:pPr>
            <w:r w:rsidRPr="00730DE4">
              <w:rPr>
                <w:color w:val="080C0F" w:themeColor="text1"/>
              </w:rPr>
              <w:t xml:space="preserve">- </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7624715" w14:textId="77777777" w:rsidR="00730DE4" w:rsidRPr="00730DE4" w:rsidRDefault="00730DE4" w:rsidP="007B49A9">
            <w:pPr>
              <w:pStyle w:val="NoSpacing"/>
              <w:jc w:val="right"/>
              <w:rPr>
                <w:color w:val="080C0F" w:themeColor="text1"/>
              </w:rPr>
            </w:pPr>
            <w:r w:rsidRPr="00730DE4">
              <w:rPr>
                <w:color w:val="080C0F" w:themeColor="text1"/>
              </w:rPr>
              <w:t xml:space="preserve">4,836,313 </w:t>
            </w:r>
          </w:p>
        </w:tc>
        <w:tc>
          <w:tcPr>
            <w:tcW w:w="502"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404DE392" w14:textId="77777777" w:rsidR="00730DE4" w:rsidRPr="00730DE4" w:rsidRDefault="00730DE4" w:rsidP="007B49A9">
            <w:pPr>
              <w:pStyle w:val="NoSpacing"/>
              <w:jc w:val="right"/>
              <w:rPr>
                <w:rStyle w:val="Strong"/>
              </w:rPr>
            </w:pPr>
            <w:r w:rsidRPr="00730DE4">
              <w:rPr>
                <w:rStyle w:val="Strong"/>
              </w:rPr>
              <w:t xml:space="preserve">5,152,761 </w:t>
            </w:r>
          </w:p>
        </w:tc>
      </w:tr>
      <w:tr w:rsidR="00730DE4" w:rsidRPr="00730DE4" w14:paraId="5A417744" w14:textId="77777777" w:rsidTr="00253FBD">
        <w:trPr>
          <w:trHeight w:val="23"/>
        </w:trPr>
        <w:tc>
          <w:tcPr>
            <w:tcW w:w="1474"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center"/>
            <w:hideMark/>
          </w:tcPr>
          <w:p w14:paraId="770FAE76" w14:textId="77777777" w:rsidR="00730DE4" w:rsidRPr="00730DE4" w:rsidRDefault="00730DE4" w:rsidP="009D3417">
            <w:pPr>
              <w:pStyle w:val="NoSpacing"/>
              <w:rPr>
                <w:color w:val="080C0F" w:themeColor="text1"/>
              </w:rPr>
            </w:pPr>
            <w:r w:rsidRPr="00730DE4">
              <w:rPr>
                <w:color w:val="080C0F" w:themeColor="text1"/>
              </w:rPr>
              <w:t>Assets received at below fair value</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FA4E3DF" w14:textId="77777777" w:rsidR="00730DE4" w:rsidRPr="00730DE4" w:rsidRDefault="00730DE4" w:rsidP="007B49A9">
            <w:pPr>
              <w:pStyle w:val="NoSpacing"/>
              <w:jc w:val="right"/>
              <w:rPr>
                <w:color w:val="080C0F" w:themeColor="text1"/>
              </w:rPr>
            </w:pPr>
            <w:r w:rsidRPr="00730DE4">
              <w:rPr>
                <w:color w:val="080C0F" w:themeColor="text1"/>
              </w:rPr>
              <w:t xml:space="preserve">2,072 </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3C6B75A" w14:textId="77777777" w:rsidR="00730DE4" w:rsidRPr="00730DE4" w:rsidRDefault="00730DE4" w:rsidP="007B49A9">
            <w:pPr>
              <w:pStyle w:val="NoSpacing"/>
              <w:jc w:val="right"/>
              <w:rPr>
                <w:color w:val="080C0F" w:themeColor="text1"/>
              </w:rPr>
            </w:pPr>
            <w:r w:rsidRPr="00730DE4">
              <w:rPr>
                <w:color w:val="080C0F" w:themeColor="text1"/>
              </w:rPr>
              <w:t xml:space="preserve">380 </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974F3A0" w14:textId="77777777" w:rsidR="00730DE4" w:rsidRPr="00730DE4" w:rsidRDefault="00730DE4" w:rsidP="007B49A9">
            <w:pPr>
              <w:pStyle w:val="NoSpacing"/>
              <w:jc w:val="right"/>
              <w:rPr>
                <w:color w:val="080C0F" w:themeColor="text1"/>
              </w:rPr>
            </w:pPr>
            <w:r w:rsidRPr="00730DE4">
              <w:rPr>
                <w:color w:val="080C0F" w:themeColor="text1"/>
              </w:rPr>
              <w:t xml:space="preserve">- </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6B32B98" w14:textId="77777777" w:rsidR="00730DE4" w:rsidRPr="00730DE4" w:rsidRDefault="00730DE4" w:rsidP="007B49A9">
            <w:pPr>
              <w:pStyle w:val="NoSpacing"/>
              <w:jc w:val="right"/>
              <w:rPr>
                <w:color w:val="080C0F" w:themeColor="text1"/>
              </w:rPr>
            </w:pPr>
            <w:r w:rsidRPr="00730DE4">
              <w:rPr>
                <w:color w:val="080C0F" w:themeColor="text1"/>
              </w:rPr>
              <w:t xml:space="preserve">- </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29C6AB1" w14:textId="77777777" w:rsidR="00730DE4" w:rsidRPr="00730DE4" w:rsidRDefault="00730DE4" w:rsidP="007B49A9">
            <w:pPr>
              <w:pStyle w:val="NoSpacing"/>
              <w:jc w:val="right"/>
              <w:rPr>
                <w:color w:val="080C0F" w:themeColor="text1"/>
              </w:rPr>
            </w:pPr>
            <w:r w:rsidRPr="00730DE4">
              <w:rPr>
                <w:color w:val="080C0F" w:themeColor="text1"/>
              </w:rPr>
              <w:t xml:space="preserve">26,206 </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5B5E789" w14:textId="77777777" w:rsidR="00730DE4" w:rsidRPr="00730DE4" w:rsidRDefault="00730DE4" w:rsidP="007B49A9">
            <w:pPr>
              <w:pStyle w:val="NoSpacing"/>
              <w:jc w:val="right"/>
              <w:rPr>
                <w:color w:val="080C0F" w:themeColor="text1"/>
              </w:rPr>
            </w:pPr>
            <w:r w:rsidRPr="00730DE4">
              <w:rPr>
                <w:color w:val="080C0F" w:themeColor="text1"/>
              </w:rPr>
              <w:t xml:space="preserve">13,320 </w:t>
            </w:r>
          </w:p>
        </w:tc>
        <w:tc>
          <w:tcPr>
            <w:tcW w:w="502"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3E804770" w14:textId="77777777" w:rsidR="00730DE4" w:rsidRPr="00730DE4" w:rsidRDefault="00730DE4" w:rsidP="007B49A9">
            <w:pPr>
              <w:pStyle w:val="NoSpacing"/>
              <w:jc w:val="right"/>
              <w:rPr>
                <w:rStyle w:val="Strong"/>
              </w:rPr>
            </w:pPr>
            <w:r w:rsidRPr="00730DE4">
              <w:rPr>
                <w:rStyle w:val="Strong"/>
              </w:rPr>
              <w:t xml:space="preserve">41,978 </w:t>
            </w:r>
          </w:p>
        </w:tc>
      </w:tr>
      <w:tr w:rsidR="00730DE4" w:rsidRPr="00730DE4" w14:paraId="3E64A4C4" w14:textId="77777777" w:rsidTr="00253FBD">
        <w:trPr>
          <w:trHeight w:val="23"/>
        </w:trPr>
        <w:tc>
          <w:tcPr>
            <w:tcW w:w="1474"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center"/>
            <w:hideMark/>
          </w:tcPr>
          <w:p w14:paraId="1C8954E8" w14:textId="77777777" w:rsidR="00730DE4" w:rsidRPr="00730DE4" w:rsidRDefault="00730DE4" w:rsidP="009D3417">
            <w:pPr>
              <w:pStyle w:val="NoSpacing"/>
              <w:rPr>
                <w:color w:val="080C0F" w:themeColor="text1"/>
              </w:rPr>
            </w:pPr>
            <w:r w:rsidRPr="00730DE4">
              <w:rPr>
                <w:color w:val="080C0F" w:themeColor="text1"/>
              </w:rPr>
              <w:t>Transfers from/(to) other Queensland Government entities</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B8AFCA8" w14:textId="77777777" w:rsidR="00730DE4" w:rsidRPr="00730DE4" w:rsidRDefault="00730DE4" w:rsidP="007B49A9">
            <w:pPr>
              <w:pStyle w:val="NoSpacing"/>
              <w:jc w:val="right"/>
              <w:rPr>
                <w:color w:val="080C0F" w:themeColor="text1"/>
              </w:rPr>
            </w:pPr>
            <w:r w:rsidRPr="00730DE4">
              <w:rPr>
                <w:color w:val="080C0F" w:themeColor="text1"/>
              </w:rPr>
              <w:t>(43,263)</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E0B9198" w14:textId="77777777" w:rsidR="00730DE4" w:rsidRPr="00730DE4" w:rsidRDefault="00730DE4" w:rsidP="007B49A9">
            <w:pPr>
              <w:pStyle w:val="NoSpacing"/>
              <w:jc w:val="right"/>
              <w:rPr>
                <w:color w:val="080C0F" w:themeColor="text1"/>
              </w:rPr>
            </w:pPr>
            <w:r w:rsidRPr="00730DE4">
              <w:rPr>
                <w:color w:val="080C0F" w:themeColor="text1"/>
              </w:rPr>
              <w:t>(456)</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CDD68E2" w14:textId="77777777" w:rsidR="00730DE4" w:rsidRPr="00730DE4" w:rsidRDefault="00730DE4" w:rsidP="007B49A9">
            <w:pPr>
              <w:pStyle w:val="NoSpacing"/>
              <w:jc w:val="right"/>
              <w:rPr>
                <w:color w:val="080C0F" w:themeColor="text1"/>
              </w:rPr>
            </w:pPr>
            <w:r w:rsidRPr="00730DE4">
              <w:rPr>
                <w:color w:val="080C0F" w:themeColor="text1"/>
              </w:rPr>
              <w:t xml:space="preserve">4 </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50D78E5" w14:textId="77777777" w:rsidR="00730DE4" w:rsidRPr="00730DE4" w:rsidRDefault="00730DE4" w:rsidP="007B49A9">
            <w:pPr>
              <w:pStyle w:val="NoSpacing"/>
              <w:jc w:val="right"/>
              <w:rPr>
                <w:color w:val="080C0F" w:themeColor="text1"/>
              </w:rPr>
            </w:pPr>
            <w:r w:rsidRPr="00730DE4">
              <w:rPr>
                <w:color w:val="080C0F" w:themeColor="text1"/>
              </w:rPr>
              <w:t xml:space="preserve">- </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0E3DE62" w14:textId="77777777" w:rsidR="00730DE4" w:rsidRPr="00730DE4" w:rsidRDefault="00730DE4" w:rsidP="007B49A9">
            <w:pPr>
              <w:pStyle w:val="NoSpacing"/>
              <w:jc w:val="right"/>
              <w:rPr>
                <w:color w:val="080C0F" w:themeColor="text1"/>
              </w:rPr>
            </w:pPr>
            <w:r w:rsidRPr="00730DE4">
              <w:rPr>
                <w:color w:val="080C0F" w:themeColor="text1"/>
              </w:rPr>
              <w:t xml:space="preserve">- </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0D70C5F" w14:textId="77777777" w:rsidR="00730DE4" w:rsidRPr="00730DE4" w:rsidRDefault="00730DE4" w:rsidP="007B49A9">
            <w:pPr>
              <w:pStyle w:val="NoSpacing"/>
              <w:jc w:val="right"/>
              <w:rPr>
                <w:color w:val="080C0F" w:themeColor="text1"/>
              </w:rPr>
            </w:pPr>
            <w:r w:rsidRPr="00730DE4">
              <w:rPr>
                <w:color w:val="080C0F" w:themeColor="text1"/>
              </w:rPr>
              <w:t xml:space="preserve">- </w:t>
            </w:r>
          </w:p>
        </w:tc>
        <w:tc>
          <w:tcPr>
            <w:tcW w:w="502"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35029040" w14:textId="77777777" w:rsidR="00730DE4" w:rsidRPr="00730DE4" w:rsidRDefault="00730DE4" w:rsidP="007B49A9">
            <w:pPr>
              <w:pStyle w:val="NoSpacing"/>
              <w:jc w:val="right"/>
              <w:rPr>
                <w:rStyle w:val="Strong"/>
              </w:rPr>
            </w:pPr>
            <w:r w:rsidRPr="00730DE4">
              <w:rPr>
                <w:rStyle w:val="Strong"/>
              </w:rPr>
              <w:t>(43,715)</w:t>
            </w:r>
          </w:p>
        </w:tc>
      </w:tr>
      <w:tr w:rsidR="00730DE4" w:rsidRPr="00730DE4" w14:paraId="41A75947" w14:textId="77777777" w:rsidTr="00253FBD">
        <w:trPr>
          <w:trHeight w:val="23"/>
        </w:trPr>
        <w:tc>
          <w:tcPr>
            <w:tcW w:w="1474"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center"/>
            <w:hideMark/>
          </w:tcPr>
          <w:p w14:paraId="3611D1EA" w14:textId="77777777" w:rsidR="00730DE4" w:rsidRPr="00730DE4" w:rsidRDefault="00730DE4" w:rsidP="009D3417">
            <w:pPr>
              <w:pStyle w:val="NoSpacing"/>
              <w:rPr>
                <w:color w:val="080C0F" w:themeColor="text1"/>
              </w:rPr>
            </w:pPr>
            <w:r w:rsidRPr="00730DE4">
              <w:rPr>
                <w:color w:val="080C0F" w:themeColor="text1"/>
              </w:rPr>
              <w:t>Transfers between classes</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4AEC843" w14:textId="77777777" w:rsidR="00730DE4" w:rsidRPr="00730DE4" w:rsidRDefault="00730DE4" w:rsidP="007B49A9">
            <w:pPr>
              <w:pStyle w:val="NoSpacing"/>
              <w:jc w:val="right"/>
              <w:rPr>
                <w:color w:val="080C0F" w:themeColor="text1"/>
              </w:rPr>
            </w:pPr>
            <w:r w:rsidRPr="00730DE4">
              <w:rPr>
                <w:color w:val="080C0F" w:themeColor="text1"/>
              </w:rPr>
              <w:t xml:space="preserve">10,932 </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0458C68" w14:textId="77777777" w:rsidR="00730DE4" w:rsidRPr="00730DE4" w:rsidRDefault="00730DE4" w:rsidP="007B49A9">
            <w:pPr>
              <w:pStyle w:val="NoSpacing"/>
              <w:jc w:val="right"/>
              <w:rPr>
                <w:color w:val="080C0F" w:themeColor="text1"/>
              </w:rPr>
            </w:pPr>
            <w:r w:rsidRPr="00730DE4">
              <w:rPr>
                <w:color w:val="080C0F" w:themeColor="text1"/>
              </w:rPr>
              <w:t>(14,844)</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72831FF" w14:textId="77777777" w:rsidR="00730DE4" w:rsidRPr="00730DE4" w:rsidRDefault="00730DE4" w:rsidP="007B49A9">
            <w:pPr>
              <w:pStyle w:val="NoSpacing"/>
              <w:jc w:val="right"/>
              <w:rPr>
                <w:color w:val="080C0F" w:themeColor="text1"/>
              </w:rPr>
            </w:pPr>
            <w:r w:rsidRPr="00730DE4">
              <w:rPr>
                <w:color w:val="080C0F" w:themeColor="text1"/>
              </w:rPr>
              <w:t xml:space="preserve">29,378 </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C12D0AA" w14:textId="77777777" w:rsidR="00730DE4" w:rsidRPr="00730DE4" w:rsidRDefault="00730DE4" w:rsidP="007B49A9">
            <w:pPr>
              <w:pStyle w:val="NoSpacing"/>
              <w:jc w:val="right"/>
              <w:rPr>
                <w:color w:val="080C0F" w:themeColor="text1"/>
              </w:rPr>
            </w:pPr>
            <w:r w:rsidRPr="00730DE4">
              <w:rPr>
                <w:color w:val="080C0F" w:themeColor="text1"/>
              </w:rPr>
              <w:t xml:space="preserve">154,494 </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8DBD91C" w14:textId="77777777" w:rsidR="00730DE4" w:rsidRPr="00730DE4" w:rsidRDefault="00730DE4" w:rsidP="007B49A9">
            <w:pPr>
              <w:pStyle w:val="NoSpacing"/>
              <w:jc w:val="right"/>
              <w:rPr>
                <w:color w:val="080C0F" w:themeColor="text1"/>
              </w:rPr>
            </w:pPr>
            <w:r w:rsidRPr="00730DE4">
              <w:rPr>
                <w:color w:val="080C0F" w:themeColor="text1"/>
              </w:rPr>
              <w:t xml:space="preserve">4,726,091 </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524C85B" w14:textId="77777777" w:rsidR="00730DE4" w:rsidRPr="00730DE4" w:rsidRDefault="00730DE4" w:rsidP="007B49A9">
            <w:pPr>
              <w:pStyle w:val="NoSpacing"/>
              <w:jc w:val="right"/>
              <w:rPr>
                <w:color w:val="080C0F" w:themeColor="text1"/>
              </w:rPr>
            </w:pPr>
            <w:r w:rsidRPr="00730DE4">
              <w:rPr>
                <w:color w:val="080C0F" w:themeColor="text1"/>
              </w:rPr>
              <w:t>(4,906,051)</w:t>
            </w:r>
          </w:p>
        </w:tc>
        <w:tc>
          <w:tcPr>
            <w:tcW w:w="502"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1F274C50" w14:textId="77777777" w:rsidR="00730DE4" w:rsidRPr="00730DE4" w:rsidRDefault="00730DE4" w:rsidP="007B49A9">
            <w:pPr>
              <w:pStyle w:val="NoSpacing"/>
              <w:jc w:val="right"/>
              <w:rPr>
                <w:rStyle w:val="Strong"/>
              </w:rPr>
            </w:pPr>
            <w:r w:rsidRPr="00730DE4">
              <w:rPr>
                <w:rStyle w:val="Strong"/>
              </w:rPr>
              <w:t xml:space="preserve">- </w:t>
            </w:r>
          </w:p>
        </w:tc>
      </w:tr>
      <w:tr w:rsidR="00730DE4" w:rsidRPr="00730DE4" w14:paraId="5E70F2B1" w14:textId="77777777" w:rsidTr="00253FBD">
        <w:trPr>
          <w:trHeight w:val="23"/>
        </w:trPr>
        <w:tc>
          <w:tcPr>
            <w:tcW w:w="1474"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center"/>
            <w:hideMark/>
          </w:tcPr>
          <w:p w14:paraId="4C18C5D2" w14:textId="77777777" w:rsidR="00730DE4" w:rsidRPr="00730DE4" w:rsidRDefault="00730DE4" w:rsidP="009D3417">
            <w:pPr>
              <w:pStyle w:val="NoSpacing"/>
              <w:rPr>
                <w:color w:val="080C0F" w:themeColor="text1"/>
              </w:rPr>
            </w:pPr>
            <w:r w:rsidRPr="00730DE4">
              <w:rPr>
                <w:color w:val="080C0F" w:themeColor="text1"/>
              </w:rPr>
              <w:t>Transfers to public private partnerships (refer to Note 16)</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D69D8A3" w14:textId="77777777" w:rsidR="00730DE4" w:rsidRPr="00730DE4" w:rsidRDefault="00730DE4" w:rsidP="007B49A9">
            <w:pPr>
              <w:pStyle w:val="NoSpacing"/>
              <w:jc w:val="right"/>
              <w:rPr>
                <w:color w:val="080C0F" w:themeColor="text1"/>
              </w:rPr>
            </w:pPr>
            <w:r w:rsidRPr="00730DE4">
              <w:rPr>
                <w:color w:val="080C0F" w:themeColor="text1"/>
              </w:rPr>
              <w:t xml:space="preserve">- </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0A8CCC5" w14:textId="77777777" w:rsidR="00730DE4" w:rsidRPr="00730DE4" w:rsidRDefault="00730DE4" w:rsidP="007B49A9">
            <w:pPr>
              <w:pStyle w:val="NoSpacing"/>
              <w:jc w:val="right"/>
              <w:rPr>
                <w:color w:val="080C0F" w:themeColor="text1"/>
              </w:rPr>
            </w:pPr>
            <w:r w:rsidRPr="00730DE4">
              <w:rPr>
                <w:color w:val="080C0F" w:themeColor="text1"/>
              </w:rPr>
              <w:t xml:space="preserve">- </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6C4563E" w14:textId="77777777" w:rsidR="00730DE4" w:rsidRPr="00730DE4" w:rsidRDefault="00730DE4" w:rsidP="007B49A9">
            <w:pPr>
              <w:pStyle w:val="NoSpacing"/>
              <w:jc w:val="right"/>
              <w:rPr>
                <w:color w:val="080C0F" w:themeColor="text1"/>
              </w:rPr>
            </w:pPr>
            <w:r w:rsidRPr="00730DE4">
              <w:rPr>
                <w:color w:val="080C0F" w:themeColor="text1"/>
              </w:rPr>
              <w:t xml:space="preserve">- </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52D569A" w14:textId="77777777" w:rsidR="00730DE4" w:rsidRPr="00730DE4" w:rsidRDefault="00730DE4" w:rsidP="007B49A9">
            <w:pPr>
              <w:pStyle w:val="NoSpacing"/>
              <w:jc w:val="right"/>
              <w:rPr>
                <w:color w:val="080C0F" w:themeColor="text1"/>
              </w:rPr>
            </w:pPr>
            <w:r w:rsidRPr="00730DE4">
              <w:rPr>
                <w:color w:val="080C0F" w:themeColor="text1"/>
              </w:rPr>
              <w:t xml:space="preserve">- </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7600FC3" w14:textId="77777777" w:rsidR="00730DE4" w:rsidRPr="00730DE4" w:rsidRDefault="00730DE4" w:rsidP="007B49A9">
            <w:pPr>
              <w:pStyle w:val="NoSpacing"/>
              <w:jc w:val="right"/>
              <w:rPr>
                <w:color w:val="080C0F" w:themeColor="text1"/>
              </w:rPr>
            </w:pPr>
            <w:r w:rsidRPr="00730DE4">
              <w:rPr>
                <w:color w:val="080C0F" w:themeColor="text1"/>
              </w:rPr>
              <w:t xml:space="preserve">- </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B498010" w14:textId="77777777" w:rsidR="00730DE4" w:rsidRPr="00730DE4" w:rsidRDefault="00730DE4" w:rsidP="007B49A9">
            <w:pPr>
              <w:pStyle w:val="NoSpacing"/>
              <w:jc w:val="right"/>
              <w:rPr>
                <w:color w:val="080C0F" w:themeColor="text1"/>
              </w:rPr>
            </w:pPr>
            <w:r w:rsidRPr="00730DE4">
              <w:rPr>
                <w:color w:val="080C0F" w:themeColor="text1"/>
              </w:rPr>
              <w:t>(21,780)</w:t>
            </w:r>
          </w:p>
        </w:tc>
        <w:tc>
          <w:tcPr>
            <w:tcW w:w="502"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6DC29F94" w14:textId="77777777" w:rsidR="00730DE4" w:rsidRPr="00730DE4" w:rsidRDefault="00730DE4" w:rsidP="007B49A9">
            <w:pPr>
              <w:pStyle w:val="NoSpacing"/>
              <w:jc w:val="right"/>
              <w:rPr>
                <w:rStyle w:val="Strong"/>
              </w:rPr>
            </w:pPr>
            <w:r w:rsidRPr="00730DE4">
              <w:rPr>
                <w:rStyle w:val="Strong"/>
              </w:rPr>
              <w:t>(21,780)</w:t>
            </w:r>
          </w:p>
        </w:tc>
      </w:tr>
      <w:tr w:rsidR="00730DE4" w:rsidRPr="00730DE4" w14:paraId="1078684E" w14:textId="77777777" w:rsidTr="00253FBD">
        <w:trPr>
          <w:trHeight w:val="23"/>
        </w:trPr>
        <w:tc>
          <w:tcPr>
            <w:tcW w:w="1474"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center"/>
            <w:hideMark/>
          </w:tcPr>
          <w:p w14:paraId="2E1B48F1" w14:textId="77777777" w:rsidR="00730DE4" w:rsidRPr="00730DE4" w:rsidRDefault="00730DE4" w:rsidP="009D3417">
            <w:pPr>
              <w:pStyle w:val="NoSpacing"/>
              <w:rPr>
                <w:color w:val="080C0F" w:themeColor="text1"/>
              </w:rPr>
            </w:pPr>
            <w:r w:rsidRPr="00730DE4">
              <w:rPr>
                <w:color w:val="080C0F" w:themeColor="text1"/>
              </w:rPr>
              <w:t>Disposals</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7CA1AD1" w14:textId="77777777" w:rsidR="00730DE4" w:rsidRPr="00730DE4" w:rsidRDefault="00730DE4" w:rsidP="007B49A9">
            <w:pPr>
              <w:pStyle w:val="NoSpacing"/>
              <w:jc w:val="right"/>
              <w:rPr>
                <w:color w:val="080C0F" w:themeColor="text1"/>
              </w:rPr>
            </w:pPr>
            <w:r w:rsidRPr="00730DE4">
              <w:rPr>
                <w:color w:val="080C0F" w:themeColor="text1"/>
              </w:rPr>
              <w:t xml:space="preserve">- </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F73B8E3" w14:textId="77777777" w:rsidR="00730DE4" w:rsidRPr="00730DE4" w:rsidRDefault="00730DE4" w:rsidP="007B49A9">
            <w:pPr>
              <w:pStyle w:val="NoSpacing"/>
              <w:jc w:val="right"/>
              <w:rPr>
                <w:color w:val="080C0F" w:themeColor="text1"/>
              </w:rPr>
            </w:pPr>
            <w:r w:rsidRPr="00730DE4">
              <w:rPr>
                <w:color w:val="080C0F" w:themeColor="text1"/>
              </w:rPr>
              <w:t>(1,417)</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588CB10" w14:textId="77777777" w:rsidR="00730DE4" w:rsidRPr="00730DE4" w:rsidRDefault="00730DE4" w:rsidP="007B49A9">
            <w:pPr>
              <w:pStyle w:val="NoSpacing"/>
              <w:jc w:val="right"/>
              <w:rPr>
                <w:color w:val="080C0F" w:themeColor="text1"/>
              </w:rPr>
            </w:pPr>
            <w:r w:rsidRPr="00730DE4">
              <w:rPr>
                <w:color w:val="080C0F" w:themeColor="text1"/>
              </w:rPr>
              <w:t>(1,194)</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BE2DC30" w14:textId="77777777" w:rsidR="00730DE4" w:rsidRPr="00730DE4" w:rsidRDefault="00730DE4" w:rsidP="007B49A9">
            <w:pPr>
              <w:pStyle w:val="NoSpacing"/>
              <w:jc w:val="right"/>
              <w:rPr>
                <w:color w:val="080C0F" w:themeColor="text1"/>
              </w:rPr>
            </w:pPr>
            <w:r w:rsidRPr="00730DE4">
              <w:rPr>
                <w:color w:val="080C0F" w:themeColor="text1"/>
              </w:rPr>
              <w:t xml:space="preserve">- </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925D9D5" w14:textId="77777777" w:rsidR="00730DE4" w:rsidRPr="00730DE4" w:rsidRDefault="00730DE4" w:rsidP="007B49A9">
            <w:pPr>
              <w:pStyle w:val="NoSpacing"/>
              <w:jc w:val="right"/>
              <w:rPr>
                <w:color w:val="080C0F" w:themeColor="text1"/>
              </w:rPr>
            </w:pPr>
            <w:r w:rsidRPr="00730DE4">
              <w:rPr>
                <w:color w:val="080C0F" w:themeColor="text1"/>
              </w:rPr>
              <w:t>(283)</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C22834A" w14:textId="77777777" w:rsidR="00730DE4" w:rsidRPr="00730DE4" w:rsidRDefault="00730DE4" w:rsidP="007B49A9">
            <w:pPr>
              <w:pStyle w:val="NoSpacing"/>
              <w:jc w:val="right"/>
              <w:rPr>
                <w:color w:val="080C0F" w:themeColor="text1"/>
              </w:rPr>
            </w:pPr>
            <w:r w:rsidRPr="00730DE4">
              <w:rPr>
                <w:color w:val="080C0F" w:themeColor="text1"/>
              </w:rPr>
              <w:t xml:space="preserve">- </w:t>
            </w:r>
          </w:p>
        </w:tc>
        <w:tc>
          <w:tcPr>
            <w:tcW w:w="502"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33138F97" w14:textId="77777777" w:rsidR="00730DE4" w:rsidRPr="00730DE4" w:rsidRDefault="00730DE4" w:rsidP="007B49A9">
            <w:pPr>
              <w:pStyle w:val="NoSpacing"/>
              <w:jc w:val="right"/>
              <w:rPr>
                <w:rStyle w:val="Strong"/>
              </w:rPr>
            </w:pPr>
            <w:r w:rsidRPr="00730DE4">
              <w:rPr>
                <w:rStyle w:val="Strong"/>
              </w:rPr>
              <w:t>(2,894)</w:t>
            </w:r>
          </w:p>
        </w:tc>
      </w:tr>
      <w:tr w:rsidR="00730DE4" w:rsidRPr="00730DE4" w14:paraId="05DD156D" w14:textId="77777777" w:rsidTr="00253FBD">
        <w:trPr>
          <w:trHeight w:val="23"/>
        </w:trPr>
        <w:tc>
          <w:tcPr>
            <w:tcW w:w="1474"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center"/>
            <w:hideMark/>
          </w:tcPr>
          <w:p w14:paraId="764620A5" w14:textId="77777777" w:rsidR="00730DE4" w:rsidRPr="00730DE4" w:rsidRDefault="00730DE4" w:rsidP="009D3417">
            <w:pPr>
              <w:pStyle w:val="NoSpacing"/>
              <w:rPr>
                <w:color w:val="080C0F" w:themeColor="text1"/>
              </w:rPr>
            </w:pPr>
            <w:r w:rsidRPr="00730DE4">
              <w:rPr>
                <w:color w:val="080C0F" w:themeColor="text1"/>
              </w:rPr>
              <w:t>Assets provided to third parties at below fair value</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B5F4F80" w14:textId="77777777" w:rsidR="00730DE4" w:rsidRPr="00730DE4" w:rsidRDefault="00730DE4" w:rsidP="007B49A9">
            <w:pPr>
              <w:pStyle w:val="NoSpacing"/>
              <w:jc w:val="right"/>
              <w:rPr>
                <w:color w:val="080C0F" w:themeColor="text1"/>
              </w:rPr>
            </w:pPr>
            <w:r w:rsidRPr="00730DE4">
              <w:rPr>
                <w:color w:val="080C0F" w:themeColor="text1"/>
              </w:rPr>
              <w:t>(5,028)</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279E18E" w14:textId="77777777" w:rsidR="00730DE4" w:rsidRPr="00730DE4" w:rsidRDefault="00730DE4" w:rsidP="007B49A9">
            <w:pPr>
              <w:pStyle w:val="NoSpacing"/>
              <w:jc w:val="right"/>
              <w:rPr>
                <w:color w:val="080C0F" w:themeColor="text1"/>
              </w:rPr>
            </w:pPr>
            <w:r w:rsidRPr="00730DE4">
              <w:rPr>
                <w:color w:val="080C0F" w:themeColor="text1"/>
              </w:rPr>
              <w:t xml:space="preserve">- </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8CEC865" w14:textId="77777777" w:rsidR="00730DE4" w:rsidRPr="00730DE4" w:rsidRDefault="00730DE4" w:rsidP="007B49A9">
            <w:pPr>
              <w:pStyle w:val="NoSpacing"/>
              <w:jc w:val="right"/>
              <w:rPr>
                <w:color w:val="080C0F" w:themeColor="text1"/>
              </w:rPr>
            </w:pPr>
            <w:r w:rsidRPr="00730DE4">
              <w:rPr>
                <w:color w:val="080C0F" w:themeColor="text1"/>
              </w:rPr>
              <w:t>(1,159)</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FEAB34A" w14:textId="77777777" w:rsidR="00730DE4" w:rsidRPr="00730DE4" w:rsidRDefault="00730DE4" w:rsidP="007B49A9">
            <w:pPr>
              <w:pStyle w:val="NoSpacing"/>
              <w:jc w:val="right"/>
              <w:rPr>
                <w:color w:val="080C0F" w:themeColor="text1"/>
              </w:rPr>
            </w:pPr>
            <w:r w:rsidRPr="00730DE4">
              <w:rPr>
                <w:color w:val="080C0F" w:themeColor="text1"/>
              </w:rPr>
              <w:t xml:space="preserve">- </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9ED0D9A" w14:textId="77777777" w:rsidR="00730DE4" w:rsidRPr="00730DE4" w:rsidRDefault="00730DE4" w:rsidP="007B49A9">
            <w:pPr>
              <w:pStyle w:val="NoSpacing"/>
              <w:jc w:val="right"/>
              <w:rPr>
                <w:color w:val="080C0F" w:themeColor="text1"/>
              </w:rPr>
            </w:pPr>
            <w:r w:rsidRPr="00730DE4">
              <w:rPr>
                <w:color w:val="080C0F" w:themeColor="text1"/>
              </w:rPr>
              <w:t>(11,933)</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62FA01E" w14:textId="77777777" w:rsidR="00730DE4" w:rsidRPr="00730DE4" w:rsidRDefault="00730DE4" w:rsidP="007B49A9">
            <w:pPr>
              <w:pStyle w:val="NoSpacing"/>
              <w:jc w:val="right"/>
              <w:rPr>
                <w:color w:val="080C0F" w:themeColor="text1"/>
              </w:rPr>
            </w:pPr>
            <w:r w:rsidRPr="00730DE4">
              <w:rPr>
                <w:color w:val="080C0F" w:themeColor="text1"/>
              </w:rPr>
              <w:t xml:space="preserve">- </w:t>
            </w:r>
          </w:p>
        </w:tc>
        <w:tc>
          <w:tcPr>
            <w:tcW w:w="502"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0C1E6A34" w14:textId="77777777" w:rsidR="00730DE4" w:rsidRPr="00730DE4" w:rsidRDefault="00730DE4" w:rsidP="007B49A9">
            <w:pPr>
              <w:pStyle w:val="NoSpacing"/>
              <w:jc w:val="right"/>
              <w:rPr>
                <w:rStyle w:val="Strong"/>
              </w:rPr>
            </w:pPr>
            <w:r w:rsidRPr="00730DE4">
              <w:rPr>
                <w:rStyle w:val="Strong"/>
              </w:rPr>
              <w:t>(18,120)</w:t>
            </w:r>
          </w:p>
        </w:tc>
      </w:tr>
      <w:tr w:rsidR="00730DE4" w:rsidRPr="00730DE4" w14:paraId="580CCFAA" w14:textId="77777777" w:rsidTr="00253FBD">
        <w:trPr>
          <w:trHeight w:val="23"/>
        </w:trPr>
        <w:tc>
          <w:tcPr>
            <w:tcW w:w="1474"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center"/>
            <w:hideMark/>
          </w:tcPr>
          <w:p w14:paraId="0D8BA37C" w14:textId="77777777" w:rsidR="00730DE4" w:rsidRPr="00730DE4" w:rsidRDefault="00730DE4" w:rsidP="009D3417">
            <w:pPr>
              <w:pStyle w:val="NoSpacing"/>
              <w:rPr>
                <w:color w:val="080C0F" w:themeColor="text1"/>
              </w:rPr>
            </w:pPr>
            <w:r w:rsidRPr="00730DE4">
              <w:rPr>
                <w:color w:val="080C0F" w:themeColor="text1"/>
              </w:rPr>
              <w:t>Assets reclassified as held for sale</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10B77F5" w14:textId="77777777" w:rsidR="00730DE4" w:rsidRPr="00730DE4" w:rsidRDefault="00730DE4" w:rsidP="007B49A9">
            <w:pPr>
              <w:pStyle w:val="NoSpacing"/>
              <w:jc w:val="right"/>
              <w:rPr>
                <w:color w:val="080C0F" w:themeColor="text1"/>
              </w:rPr>
            </w:pPr>
            <w:r w:rsidRPr="00730DE4">
              <w:rPr>
                <w:color w:val="080C0F" w:themeColor="text1"/>
              </w:rPr>
              <w:t>(21,098)</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005B669" w14:textId="77777777" w:rsidR="00730DE4" w:rsidRPr="00730DE4" w:rsidRDefault="00730DE4" w:rsidP="007B49A9">
            <w:pPr>
              <w:pStyle w:val="NoSpacing"/>
              <w:jc w:val="right"/>
              <w:rPr>
                <w:color w:val="080C0F" w:themeColor="text1"/>
              </w:rPr>
            </w:pPr>
            <w:r w:rsidRPr="00730DE4">
              <w:rPr>
                <w:color w:val="080C0F" w:themeColor="text1"/>
              </w:rPr>
              <w:t>(721)</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633D421" w14:textId="77777777" w:rsidR="00730DE4" w:rsidRPr="00730DE4" w:rsidRDefault="00730DE4" w:rsidP="007B49A9">
            <w:pPr>
              <w:pStyle w:val="NoSpacing"/>
              <w:jc w:val="right"/>
              <w:rPr>
                <w:color w:val="080C0F" w:themeColor="text1"/>
              </w:rPr>
            </w:pPr>
            <w:r w:rsidRPr="00730DE4">
              <w:rPr>
                <w:color w:val="080C0F" w:themeColor="text1"/>
              </w:rPr>
              <w:t xml:space="preserve">- </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D5DC4BD" w14:textId="77777777" w:rsidR="00730DE4" w:rsidRPr="00730DE4" w:rsidRDefault="00730DE4" w:rsidP="007B49A9">
            <w:pPr>
              <w:pStyle w:val="NoSpacing"/>
              <w:jc w:val="right"/>
              <w:rPr>
                <w:color w:val="080C0F" w:themeColor="text1"/>
              </w:rPr>
            </w:pPr>
            <w:r w:rsidRPr="00730DE4">
              <w:rPr>
                <w:color w:val="080C0F" w:themeColor="text1"/>
              </w:rPr>
              <w:t xml:space="preserve">- </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1515CD5" w14:textId="77777777" w:rsidR="00730DE4" w:rsidRPr="00730DE4" w:rsidRDefault="00730DE4" w:rsidP="007B49A9">
            <w:pPr>
              <w:pStyle w:val="NoSpacing"/>
              <w:jc w:val="right"/>
              <w:rPr>
                <w:color w:val="080C0F" w:themeColor="text1"/>
              </w:rPr>
            </w:pPr>
            <w:r w:rsidRPr="00730DE4">
              <w:rPr>
                <w:color w:val="080C0F" w:themeColor="text1"/>
              </w:rPr>
              <w:t xml:space="preserve">- </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9630683" w14:textId="77777777" w:rsidR="00730DE4" w:rsidRPr="00730DE4" w:rsidRDefault="00730DE4" w:rsidP="007B49A9">
            <w:pPr>
              <w:pStyle w:val="NoSpacing"/>
              <w:jc w:val="right"/>
              <w:rPr>
                <w:color w:val="080C0F" w:themeColor="text1"/>
              </w:rPr>
            </w:pPr>
            <w:r w:rsidRPr="00730DE4">
              <w:rPr>
                <w:color w:val="080C0F" w:themeColor="text1"/>
              </w:rPr>
              <w:t xml:space="preserve">- </w:t>
            </w:r>
          </w:p>
        </w:tc>
        <w:tc>
          <w:tcPr>
            <w:tcW w:w="502"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56FD8CBB" w14:textId="77777777" w:rsidR="00730DE4" w:rsidRPr="00730DE4" w:rsidRDefault="00730DE4" w:rsidP="007B49A9">
            <w:pPr>
              <w:pStyle w:val="NoSpacing"/>
              <w:jc w:val="right"/>
              <w:rPr>
                <w:rStyle w:val="Strong"/>
              </w:rPr>
            </w:pPr>
            <w:r w:rsidRPr="00730DE4">
              <w:rPr>
                <w:rStyle w:val="Strong"/>
              </w:rPr>
              <w:t>(21,819)</w:t>
            </w:r>
          </w:p>
        </w:tc>
      </w:tr>
      <w:tr w:rsidR="00730DE4" w:rsidRPr="00730DE4" w14:paraId="2F8D57A2" w14:textId="77777777" w:rsidTr="00BB6361">
        <w:trPr>
          <w:trHeight w:val="23"/>
        </w:trPr>
        <w:tc>
          <w:tcPr>
            <w:tcW w:w="1474"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center"/>
            <w:hideMark/>
          </w:tcPr>
          <w:p w14:paraId="7E879A4D" w14:textId="77777777" w:rsidR="00730DE4" w:rsidRPr="00730DE4" w:rsidRDefault="00730DE4" w:rsidP="009D3417">
            <w:pPr>
              <w:pStyle w:val="NoSpacing"/>
              <w:rPr>
                <w:color w:val="080C0F" w:themeColor="text1"/>
              </w:rPr>
            </w:pPr>
            <w:r w:rsidRPr="00730DE4">
              <w:rPr>
                <w:color w:val="080C0F" w:themeColor="text1"/>
              </w:rPr>
              <w:t>Net revaluation increments</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3376B3E" w14:textId="77777777" w:rsidR="00730DE4" w:rsidRPr="00730DE4" w:rsidRDefault="00730DE4" w:rsidP="007B49A9">
            <w:pPr>
              <w:pStyle w:val="NoSpacing"/>
              <w:jc w:val="right"/>
              <w:rPr>
                <w:color w:val="080C0F" w:themeColor="text1"/>
              </w:rPr>
            </w:pPr>
            <w:r w:rsidRPr="00730DE4">
              <w:rPr>
                <w:color w:val="080C0F" w:themeColor="text1"/>
              </w:rPr>
              <w:t xml:space="preserve">211,353 </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019F952" w14:textId="77777777" w:rsidR="00730DE4" w:rsidRPr="00730DE4" w:rsidRDefault="00730DE4" w:rsidP="007B49A9">
            <w:pPr>
              <w:pStyle w:val="NoSpacing"/>
              <w:jc w:val="right"/>
              <w:rPr>
                <w:color w:val="080C0F" w:themeColor="text1"/>
              </w:rPr>
            </w:pPr>
            <w:r w:rsidRPr="00730DE4">
              <w:rPr>
                <w:color w:val="080C0F" w:themeColor="text1"/>
              </w:rPr>
              <w:t xml:space="preserve">63,533 </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F7EA9CA" w14:textId="77777777" w:rsidR="00730DE4" w:rsidRPr="00730DE4" w:rsidRDefault="00730DE4" w:rsidP="007B49A9">
            <w:pPr>
              <w:pStyle w:val="NoSpacing"/>
              <w:jc w:val="right"/>
              <w:rPr>
                <w:color w:val="080C0F" w:themeColor="text1"/>
              </w:rPr>
            </w:pPr>
            <w:r w:rsidRPr="00730DE4">
              <w:rPr>
                <w:color w:val="080C0F" w:themeColor="text1"/>
              </w:rPr>
              <w:t xml:space="preserve">- </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9446C8C" w14:textId="77777777" w:rsidR="00730DE4" w:rsidRPr="00730DE4" w:rsidRDefault="00730DE4" w:rsidP="007B49A9">
            <w:pPr>
              <w:pStyle w:val="NoSpacing"/>
              <w:jc w:val="right"/>
              <w:rPr>
                <w:color w:val="080C0F" w:themeColor="text1"/>
              </w:rPr>
            </w:pPr>
            <w:r w:rsidRPr="00730DE4">
              <w:rPr>
                <w:color w:val="080C0F" w:themeColor="text1"/>
              </w:rPr>
              <w:t xml:space="preserve">4,773 </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104F93F" w14:textId="77777777" w:rsidR="00730DE4" w:rsidRPr="00730DE4" w:rsidRDefault="00730DE4" w:rsidP="007B49A9">
            <w:pPr>
              <w:pStyle w:val="NoSpacing"/>
              <w:jc w:val="right"/>
              <w:rPr>
                <w:color w:val="080C0F" w:themeColor="text1"/>
              </w:rPr>
            </w:pPr>
            <w:r w:rsidRPr="00730DE4">
              <w:rPr>
                <w:color w:val="080C0F" w:themeColor="text1"/>
              </w:rPr>
              <w:t xml:space="preserve">1,359,210 </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6DABD2D" w14:textId="77777777" w:rsidR="00730DE4" w:rsidRPr="00730DE4" w:rsidRDefault="00730DE4" w:rsidP="007B49A9">
            <w:pPr>
              <w:pStyle w:val="NoSpacing"/>
              <w:jc w:val="right"/>
              <w:rPr>
                <w:color w:val="080C0F" w:themeColor="text1"/>
              </w:rPr>
            </w:pPr>
            <w:r w:rsidRPr="00730DE4">
              <w:rPr>
                <w:color w:val="080C0F" w:themeColor="text1"/>
              </w:rPr>
              <w:t xml:space="preserve">- </w:t>
            </w:r>
          </w:p>
        </w:tc>
        <w:tc>
          <w:tcPr>
            <w:tcW w:w="502"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409858A4" w14:textId="77777777" w:rsidR="00730DE4" w:rsidRPr="00730DE4" w:rsidRDefault="00730DE4" w:rsidP="007B49A9">
            <w:pPr>
              <w:pStyle w:val="NoSpacing"/>
              <w:jc w:val="right"/>
              <w:rPr>
                <w:rStyle w:val="Strong"/>
              </w:rPr>
            </w:pPr>
            <w:r w:rsidRPr="00730DE4">
              <w:rPr>
                <w:rStyle w:val="Strong"/>
              </w:rPr>
              <w:t xml:space="preserve">1,638,869 </w:t>
            </w:r>
          </w:p>
        </w:tc>
      </w:tr>
      <w:tr w:rsidR="00730DE4" w:rsidRPr="00730DE4" w14:paraId="5D2B9204" w14:textId="77777777" w:rsidTr="00BB6361">
        <w:trPr>
          <w:trHeight w:val="23"/>
        </w:trPr>
        <w:tc>
          <w:tcPr>
            <w:tcW w:w="1474"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vAlign w:val="center"/>
            <w:hideMark/>
          </w:tcPr>
          <w:p w14:paraId="5C67A356" w14:textId="77777777" w:rsidR="00730DE4" w:rsidRPr="00730DE4" w:rsidRDefault="00730DE4" w:rsidP="009D3417">
            <w:pPr>
              <w:pStyle w:val="NoSpacing"/>
              <w:rPr>
                <w:color w:val="080C0F" w:themeColor="text1"/>
              </w:rPr>
            </w:pPr>
            <w:r w:rsidRPr="00730DE4">
              <w:rPr>
                <w:color w:val="080C0F" w:themeColor="text1"/>
              </w:rPr>
              <w:t>Depreciation</w:t>
            </w:r>
          </w:p>
        </w:tc>
        <w:tc>
          <w:tcPr>
            <w:tcW w:w="504"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0EF21102" w14:textId="77777777" w:rsidR="00730DE4" w:rsidRPr="00730DE4" w:rsidRDefault="00730DE4" w:rsidP="007B49A9">
            <w:pPr>
              <w:pStyle w:val="NoSpacing"/>
              <w:jc w:val="right"/>
              <w:rPr>
                <w:color w:val="080C0F" w:themeColor="text1"/>
              </w:rPr>
            </w:pPr>
            <w:r w:rsidRPr="00730DE4">
              <w:rPr>
                <w:color w:val="080C0F" w:themeColor="text1"/>
              </w:rPr>
              <w:t xml:space="preserve">- </w:t>
            </w:r>
          </w:p>
        </w:tc>
        <w:tc>
          <w:tcPr>
            <w:tcW w:w="504"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77832961" w14:textId="77777777" w:rsidR="00730DE4" w:rsidRPr="00730DE4" w:rsidRDefault="00730DE4" w:rsidP="007B49A9">
            <w:pPr>
              <w:pStyle w:val="NoSpacing"/>
              <w:jc w:val="right"/>
              <w:rPr>
                <w:color w:val="080C0F" w:themeColor="text1"/>
              </w:rPr>
            </w:pPr>
            <w:r w:rsidRPr="00730DE4">
              <w:rPr>
                <w:color w:val="080C0F" w:themeColor="text1"/>
              </w:rPr>
              <w:t>(81,987)</w:t>
            </w:r>
          </w:p>
        </w:tc>
        <w:tc>
          <w:tcPr>
            <w:tcW w:w="504"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7DD75C28" w14:textId="77777777" w:rsidR="00730DE4" w:rsidRPr="00730DE4" w:rsidRDefault="00730DE4" w:rsidP="007B49A9">
            <w:pPr>
              <w:pStyle w:val="NoSpacing"/>
              <w:jc w:val="right"/>
              <w:rPr>
                <w:color w:val="080C0F" w:themeColor="text1"/>
              </w:rPr>
            </w:pPr>
            <w:r w:rsidRPr="00730DE4">
              <w:rPr>
                <w:color w:val="080C0F" w:themeColor="text1"/>
              </w:rPr>
              <w:t>(43,453)</w:t>
            </w:r>
          </w:p>
        </w:tc>
        <w:tc>
          <w:tcPr>
            <w:tcW w:w="504"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49F7565A" w14:textId="77777777" w:rsidR="00730DE4" w:rsidRPr="00730DE4" w:rsidRDefault="00730DE4" w:rsidP="007B49A9">
            <w:pPr>
              <w:pStyle w:val="NoSpacing"/>
              <w:jc w:val="right"/>
              <w:rPr>
                <w:color w:val="080C0F" w:themeColor="text1"/>
              </w:rPr>
            </w:pPr>
            <w:r w:rsidRPr="00730DE4">
              <w:rPr>
                <w:color w:val="080C0F" w:themeColor="text1"/>
              </w:rPr>
              <w:t>(53,928)</w:t>
            </w:r>
          </w:p>
        </w:tc>
        <w:tc>
          <w:tcPr>
            <w:tcW w:w="504"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30B8A339" w14:textId="77777777" w:rsidR="00730DE4" w:rsidRPr="00730DE4" w:rsidRDefault="00730DE4" w:rsidP="007B49A9">
            <w:pPr>
              <w:pStyle w:val="NoSpacing"/>
              <w:jc w:val="right"/>
              <w:rPr>
                <w:color w:val="080C0F" w:themeColor="text1"/>
              </w:rPr>
            </w:pPr>
            <w:r w:rsidRPr="00730DE4">
              <w:rPr>
                <w:color w:val="080C0F" w:themeColor="text1"/>
              </w:rPr>
              <w:t>(1,222,130)</w:t>
            </w:r>
          </w:p>
        </w:tc>
        <w:tc>
          <w:tcPr>
            <w:tcW w:w="504"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365A8418" w14:textId="77777777" w:rsidR="00730DE4" w:rsidRPr="00730DE4" w:rsidRDefault="00730DE4" w:rsidP="007B49A9">
            <w:pPr>
              <w:pStyle w:val="NoSpacing"/>
              <w:jc w:val="right"/>
              <w:rPr>
                <w:color w:val="080C0F" w:themeColor="text1"/>
              </w:rPr>
            </w:pPr>
            <w:r w:rsidRPr="00730DE4">
              <w:rPr>
                <w:color w:val="080C0F" w:themeColor="text1"/>
              </w:rPr>
              <w:t xml:space="preserve">- </w:t>
            </w:r>
          </w:p>
        </w:tc>
        <w:tc>
          <w:tcPr>
            <w:tcW w:w="502"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F2F2F2" w:themeFill="background1" w:themeFillShade="F2"/>
            <w:noWrap/>
            <w:vAlign w:val="bottom"/>
            <w:hideMark/>
          </w:tcPr>
          <w:p w14:paraId="498A6403" w14:textId="77777777" w:rsidR="00730DE4" w:rsidRPr="00730DE4" w:rsidRDefault="00730DE4" w:rsidP="007B49A9">
            <w:pPr>
              <w:pStyle w:val="NoSpacing"/>
              <w:jc w:val="right"/>
              <w:rPr>
                <w:rStyle w:val="Strong"/>
              </w:rPr>
            </w:pPr>
            <w:r w:rsidRPr="00730DE4">
              <w:rPr>
                <w:rStyle w:val="Strong"/>
              </w:rPr>
              <w:t>(1,401,498)</w:t>
            </w:r>
          </w:p>
        </w:tc>
      </w:tr>
      <w:tr w:rsidR="00730DE4" w:rsidRPr="00730DE4" w14:paraId="558EC587" w14:textId="77777777" w:rsidTr="00BB6361">
        <w:tc>
          <w:tcPr>
            <w:tcW w:w="1474"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6B8D95DE" w14:textId="77777777" w:rsidR="00730DE4" w:rsidRPr="00730DE4" w:rsidRDefault="00730DE4" w:rsidP="00CC3DB6">
            <w:pPr>
              <w:pStyle w:val="NoSpacing"/>
              <w:rPr>
                <w:color w:val="080C0F" w:themeColor="text1"/>
              </w:rPr>
            </w:pPr>
            <w:r w:rsidRPr="00730DE4">
              <w:rPr>
                <w:rStyle w:val="Strong"/>
              </w:rPr>
              <w:t>Carrying amount at 30 June</w:t>
            </w:r>
          </w:p>
        </w:tc>
        <w:tc>
          <w:tcPr>
            <w:tcW w:w="504"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31BB4D80" w14:textId="77777777" w:rsidR="00730DE4" w:rsidRPr="00730DE4" w:rsidRDefault="00730DE4" w:rsidP="00CC3DB6">
            <w:pPr>
              <w:pStyle w:val="NoSpacing"/>
              <w:jc w:val="right"/>
              <w:rPr>
                <w:color w:val="080C0F" w:themeColor="text1"/>
              </w:rPr>
            </w:pPr>
            <w:r w:rsidRPr="00730DE4">
              <w:rPr>
                <w:rStyle w:val="Strong"/>
              </w:rPr>
              <w:t xml:space="preserve">7,374,864 </w:t>
            </w:r>
          </w:p>
        </w:tc>
        <w:tc>
          <w:tcPr>
            <w:tcW w:w="504"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7998F80B" w14:textId="77777777" w:rsidR="00730DE4" w:rsidRPr="00730DE4" w:rsidRDefault="00730DE4" w:rsidP="00CC3DB6">
            <w:pPr>
              <w:pStyle w:val="NoSpacing"/>
              <w:jc w:val="right"/>
              <w:rPr>
                <w:color w:val="080C0F" w:themeColor="text1"/>
              </w:rPr>
            </w:pPr>
            <w:r w:rsidRPr="00730DE4">
              <w:rPr>
                <w:rStyle w:val="Strong"/>
              </w:rPr>
              <w:t xml:space="preserve">948,098 </w:t>
            </w:r>
          </w:p>
        </w:tc>
        <w:tc>
          <w:tcPr>
            <w:tcW w:w="504"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7C70C84F" w14:textId="77777777" w:rsidR="00730DE4" w:rsidRPr="00730DE4" w:rsidRDefault="00730DE4" w:rsidP="00CC3DB6">
            <w:pPr>
              <w:pStyle w:val="NoSpacing"/>
              <w:jc w:val="right"/>
              <w:rPr>
                <w:color w:val="080C0F" w:themeColor="text1"/>
              </w:rPr>
            </w:pPr>
            <w:r w:rsidRPr="00730DE4">
              <w:rPr>
                <w:rStyle w:val="Strong"/>
              </w:rPr>
              <w:t xml:space="preserve">238,973 </w:t>
            </w:r>
          </w:p>
        </w:tc>
        <w:tc>
          <w:tcPr>
            <w:tcW w:w="504"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0DC18AE5" w14:textId="77777777" w:rsidR="00730DE4" w:rsidRPr="00730DE4" w:rsidRDefault="00730DE4" w:rsidP="00CC3DB6">
            <w:pPr>
              <w:pStyle w:val="NoSpacing"/>
              <w:jc w:val="right"/>
              <w:rPr>
                <w:color w:val="080C0F" w:themeColor="text1"/>
              </w:rPr>
            </w:pPr>
            <w:r w:rsidRPr="00730DE4">
              <w:rPr>
                <w:rStyle w:val="Strong"/>
              </w:rPr>
              <w:t xml:space="preserve">1,387,765 </w:t>
            </w:r>
          </w:p>
        </w:tc>
        <w:tc>
          <w:tcPr>
            <w:tcW w:w="504"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54FA20F9" w14:textId="77777777" w:rsidR="00730DE4" w:rsidRPr="00730DE4" w:rsidRDefault="00730DE4" w:rsidP="00CC3DB6">
            <w:pPr>
              <w:pStyle w:val="NoSpacing"/>
              <w:jc w:val="right"/>
              <w:rPr>
                <w:color w:val="080C0F" w:themeColor="text1"/>
              </w:rPr>
            </w:pPr>
            <w:r w:rsidRPr="00730DE4">
              <w:rPr>
                <w:rStyle w:val="Strong"/>
              </w:rPr>
              <w:t xml:space="preserve">91,437,505 </w:t>
            </w:r>
          </w:p>
        </w:tc>
        <w:tc>
          <w:tcPr>
            <w:tcW w:w="504"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1ACFC9A0" w14:textId="77777777" w:rsidR="00730DE4" w:rsidRPr="00730DE4" w:rsidRDefault="00730DE4" w:rsidP="00CC3DB6">
            <w:pPr>
              <w:pStyle w:val="NoSpacing"/>
              <w:jc w:val="right"/>
              <w:rPr>
                <w:color w:val="080C0F" w:themeColor="text1"/>
              </w:rPr>
            </w:pPr>
            <w:r w:rsidRPr="00730DE4">
              <w:rPr>
                <w:rStyle w:val="Strong"/>
              </w:rPr>
              <w:t xml:space="preserve">8,432,647 </w:t>
            </w:r>
          </w:p>
        </w:tc>
        <w:tc>
          <w:tcPr>
            <w:tcW w:w="502" w:type="pct"/>
            <w:tcBorders>
              <w:top w:val="single" w:sz="4" w:space="0" w:color="auto"/>
              <w:left w:val="dotted" w:sz="4" w:space="0" w:color="BFBFBF" w:themeColor="background1" w:themeShade="BF"/>
              <w:bottom w:val="double" w:sz="4" w:space="0" w:color="auto"/>
              <w:right w:val="nil"/>
            </w:tcBorders>
            <w:shd w:val="clear" w:color="auto" w:fill="F2F2F2" w:themeFill="background1" w:themeFillShade="F2"/>
            <w:noWrap/>
            <w:hideMark/>
          </w:tcPr>
          <w:p w14:paraId="3076B872" w14:textId="77777777" w:rsidR="00730DE4" w:rsidRPr="00730DE4" w:rsidRDefault="00730DE4" w:rsidP="00CC3DB6">
            <w:pPr>
              <w:pStyle w:val="NoSpacing"/>
              <w:jc w:val="right"/>
              <w:rPr>
                <w:rStyle w:val="Strong"/>
              </w:rPr>
            </w:pPr>
            <w:r w:rsidRPr="00730DE4">
              <w:rPr>
                <w:rStyle w:val="Strong"/>
              </w:rPr>
              <w:t xml:space="preserve">109,819,852 </w:t>
            </w:r>
          </w:p>
        </w:tc>
      </w:tr>
    </w:tbl>
    <w:p w14:paraId="7235786C" w14:textId="040C6D3F" w:rsidR="00730DE4" w:rsidRPr="00730DE4" w:rsidRDefault="00730DE4" w:rsidP="005B60B8">
      <w:pPr>
        <w:pStyle w:val="Heading5"/>
      </w:pPr>
      <w:bookmarkStart w:id="1517" w:name="_Toc180487730"/>
      <w:bookmarkStart w:id="1518" w:name="_Toc180490935"/>
      <w:bookmarkStart w:id="1519" w:name="_Toc180491968"/>
      <w:r w:rsidRPr="00730DE4">
        <w:t>Fair value reconciliation for land and building assets classified as level 3 – fair value substantially derived from unobservable inputs (refer to the following accounting policy)</w:t>
      </w:r>
      <w:bookmarkEnd w:id="1517"/>
      <w:bookmarkEnd w:id="1518"/>
      <w:bookmarkEnd w:id="1519"/>
    </w:p>
    <w:tbl>
      <w:tblPr>
        <w:tblW w:w="2434" w:type="pct"/>
        <w:tblCellMar>
          <w:top w:w="23" w:type="dxa"/>
          <w:left w:w="23" w:type="dxa"/>
          <w:bottom w:w="23" w:type="dxa"/>
          <w:right w:w="23" w:type="dxa"/>
        </w:tblCellMar>
        <w:tblLook w:val="04A0" w:firstRow="1" w:lastRow="0" w:firstColumn="1" w:lastColumn="0" w:noHBand="0" w:noVBand="1"/>
      </w:tblPr>
      <w:tblGrid>
        <w:gridCol w:w="6015"/>
        <w:gridCol w:w="2097"/>
        <w:gridCol w:w="2099"/>
      </w:tblGrid>
      <w:tr w:rsidR="00730DE4" w:rsidRPr="00730DE4" w14:paraId="38D773EF" w14:textId="77777777" w:rsidTr="00253FBD">
        <w:trPr>
          <w:trHeight w:val="23"/>
        </w:trPr>
        <w:tc>
          <w:tcPr>
            <w:tcW w:w="2945" w:type="pct"/>
            <w:tcBorders>
              <w:top w:val="nil"/>
              <w:left w:val="nil"/>
              <w:bottom w:val="single" w:sz="4" w:space="0" w:color="auto"/>
              <w:right w:val="nil"/>
            </w:tcBorders>
            <w:shd w:val="clear" w:color="auto" w:fill="auto"/>
            <w:noWrap/>
            <w:vAlign w:val="center"/>
            <w:hideMark/>
          </w:tcPr>
          <w:p w14:paraId="0859B336" w14:textId="77777777" w:rsidR="00730DE4" w:rsidRPr="00730DE4" w:rsidRDefault="00730DE4" w:rsidP="009D3417">
            <w:pPr>
              <w:pStyle w:val="NoSpacing"/>
              <w:rPr>
                <w:b/>
                <w:bCs/>
              </w:rPr>
            </w:pPr>
          </w:p>
        </w:tc>
        <w:tc>
          <w:tcPr>
            <w:tcW w:w="1027" w:type="pct"/>
            <w:tcBorders>
              <w:top w:val="nil"/>
              <w:left w:val="nil"/>
              <w:bottom w:val="single" w:sz="4" w:space="0" w:color="auto"/>
              <w:right w:val="nil"/>
            </w:tcBorders>
            <w:shd w:val="clear" w:color="auto" w:fill="auto"/>
            <w:noWrap/>
            <w:vAlign w:val="bottom"/>
            <w:hideMark/>
          </w:tcPr>
          <w:p w14:paraId="743CC859" w14:textId="77777777" w:rsidR="00730DE4" w:rsidRPr="00730DE4" w:rsidRDefault="00730DE4" w:rsidP="007B49A9">
            <w:pPr>
              <w:pStyle w:val="NoSpacing"/>
              <w:jc w:val="right"/>
              <w:rPr>
                <w:b/>
                <w:bCs/>
              </w:rPr>
            </w:pPr>
            <w:r w:rsidRPr="00730DE4">
              <w:rPr>
                <w:rStyle w:val="Strong"/>
              </w:rPr>
              <w:t xml:space="preserve">Land </w:t>
            </w:r>
            <w:r w:rsidRPr="00730DE4">
              <w:rPr>
                <w:rStyle w:val="Strong"/>
              </w:rPr>
              <w:br/>
            </w:r>
            <w:r w:rsidRPr="00730DE4">
              <w:rPr>
                <w:rStyle w:val="Strong"/>
              </w:rPr>
              <w:br/>
              <w:t xml:space="preserve">2024 </w:t>
            </w:r>
            <w:r w:rsidRPr="00730DE4">
              <w:rPr>
                <w:rStyle w:val="Strong"/>
              </w:rPr>
              <w:br/>
              <w:t>$'000</w:t>
            </w:r>
          </w:p>
        </w:tc>
        <w:tc>
          <w:tcPr>
            <w:tcW w:w="1028" w:type="pct"/>
            <w:tcBorders>
              <w:top w:val="nil"/>
              <w:left w:val="nil"/>
              <w:bottom w:val="single" w:sz="4" w:space="0" w:color="auto"/>
              <w:right w:val="nil"/>
            </w:tcBorders>
            <w:shd w:val="clear" w:color="auto" w:fill="auto"/>
            <w:noWrap/>
            <w:vAlign w:val="bottom"/>
            <w:hideMark/>
          </w:tcPr>
          <w:p w14:paraId="5ADF0534" w14:textId="77777777" w:rsidR="00730DE4" w:rsidRPr="00730DE4" w:rsidRDefault="00730DE4" w:rsidP="007B49A9">
            <w:pPr>
              <w:pStyle w:val="NoSpacing"/>
              <w:jc w:val="right"/>
              <w:rPr>
                <w:rStyle w:val="Strong"/>
              </w:rPr>
            </w:pPr>
            <w:r w:rsidRPr="00730DE4">
              <w:rPr>
                <w:rStyle w:val="Strong"/>
              </w:rPr>
              <w:t xml:space="preserve">Buildings </w:t>
            </w:r>
            <w:r w:rsidRPr="00730DE4">
              <w:rPr>
                <w:rStyle w:val="Strong"/>
              </w:rPr>
              <w:br/>
            </w:r>
            <w:r w:rsidRPr="00730DE4">
              <w:rPr>
                <w:rStyle w:val="Strong"/>
              </w:rPr>
              <w:br/>
              <w:t xml:space="preserve">2024 </w:t>
            </w:r>
            <w:r w:rsidRPr="00730DE4">
              <w:rPr>
                <w:rStyle w:val="Strong"/>
              </w:rPr>
              <w:br/>
              <w:t>$'000</w:t>
            </w:r>
          </w:p>
        </w:tc>
      </w:tr>
      <w:tr w:rsidR="00730DE4" w:rsidRPr="00730DE4" w14:paraId="36657883" w14:textId="77777777" w:rsidTr="00253FBD">
        <w:trPr>
          <w:trHeight w:val="23"/>
        </w:trPr>
        <w:tc>
          <w:tcPr>
            <w:tcW w:w="2945"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vAlign w:val="center"/>
            <w:hideMark/>
          </w:tcPr>
          <w:p w14:paraId="3C875BB6" w14:textId="77777777" w:rsidR="00730DE4" w:rsidRPr="00730DE4" w:rsidRDefault="00730DE4" w:rsidP="009D3417">
            <w:pPr>
              <w:pStyle w:val="NoSpacing"/>
            </w:pPr>
            <w:r w:rsidRPr="00730DE4">
              <w:t>Carrying amount at 1 July</w:t>
            </w:r>
          </w:p>
        </w:tc>
        <w:tc>
          <w:tcPr>
            <w:tcW w:w="1027"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FD61E53" w14:textId="77777777" w:rsidR="00730DE4" w:rsidRPr="00730DE4" w:rsidRDefault="00730DE4" w:rsidP="007B49A9">
            <w:pPr>
              <w:pStyle w:val="NoSpacing"/>
              <w:jc w:val="right"/>
            </w:pPr>
            <w:r w:rsidRPr="00730DE4">
              <w:t xml:space="preserve">150,527 </w:t>
            </w:r>
          </w:p>
        </w:tc>
        <w:tc>
          <w:tcPr>
            <w:tcW w:w="1028"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44561B63" w14:textId="77777777" w:rsidR="00730DE4" w:rsidRPr="00730DE4" w:rsidRDefault="00730DE4" w:rsidP="007B49A9">
            <w:pPr>
              <w:pStyle w:val="NoSpacing"/>
              <w:jc w:val="right"/>
            </w:pPr>
            <w:r w:rsidRPr="00730DE4">
              <w:t xml:space="preserve">557,060 </w:t>
            </w:r>
          </w:p>
        </w:tc>
      </w:tr>
      <w:tr w:rsidR="00730DE4" w:rsidRPr="00730DE4" w14:paraId="4331EBD4" w14:textId="77777777" w:rsidTr="00253FBD">
        <w:trPr>
          <w:trHeight w:val="23"/>
        </w:trPr>
        <w:tc>
          <w:tcPr>
            <w:tcW w:w="2945"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center"/>
            <w:hideMark/>
          </w:tcPr>
          <w:p w14:paraId="6DCD015E" w14:textId="77777777" w:rsidR="00730DE4" w:rsidRPr="00730DE4" w:rsidRDefault="00730DE4" w:rsidP="009D3417">
            <w:pPr>
              <w:pStyle w:val="NoSpacing"/>
            </w:pPr>
            <w:r w:rsidRPr="00730DE4">
              <w:t>Acquisitions</w:t>
            </w:r>
          </w:p>
        </w:tc>
        <w:tc>
          <w:tcPr>
            <w:tcW w:w="102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CBA73CC" w14:textId="77777777" w:rsidR="00730DE4" w:rsidRPr="00730DE4" w:rsidRDefault="00730DE4" w:rsidP="007B49A9">
            <w:pPr>
              <w:pStyle w:val="NoSpacing"/>
              <w:jc w:val="right"/>
            </w:pPr>
            <w:r w:rsidRPr="00730DE4">
              <w:t xml:space="preserve">- </w:t>
            </w:r>
          </w:p>
        </w:tc>
        <w:tc>
          <w:tcPr>
            <w:tcW w:w="102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47F954AA" w14:textId="77777777" w:rsidR="00730DE4" w:rsidRPr="00730DE4" w:rsidRDefault="00730DE4" w:rsidP="007B49A9">
            <w:pPr>
              <w:pStyle w:val="NoSpacing"/>
              <w:jc w:val="right"/>
            </w:pPr>
            <w:r w:rsidRPr="00730DE4">
              <w:t xml:space="preserve">5,242 </w:t>
            </w:r>
          </w:p>
        </w:tc>
      </w:tr>
      <w:tr w:rsidR="00730DE4" w:rsidRPr="00730DE4" w14:paraId="1F09E71C" w14:textId="77777777" w:rsidTr="00253FBD">
        <w:trPr>
          <w:trHeight w:val="23"/>
        </w:trPr>
        <w:tc>
          <w:tcPr>
            <w:tcW w:w="2945"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center"/>
            <w:hideMark/>
          </w:tcPr>
          <w:p w14:paraId="6D30F755" w14:textId="77777777" w:rsidR="00730DE4" w:rsidRPr="00730DE4" w:rsidRDefault="00730DE4" w:rsidP="009D3417">
            <w:pPr>
              <w:pStyle w:val="NoSpacing"/>
            </w:pPr>
            <w:r w:rsidRPr="00730DE4">
              <w:t>Transfer from level 2 to 3</w:t>
            </w:r>
          </w:p>
        </w:tc>
        <w:tc>
          <w:tcPr>
            <w:tcW w:w="102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A8D777C" w14:textId="77777777" w:rsidR="00730DE4" w:rsidRPr="00730DE4" w:rsidRDefault="00730DE4" w:rsidP="007B49A9">
            <w:pPr>
              <w:pStyle w:val="NoSpacing"/>
              <w:jc w:val="right"/>
            </w:pPr>
            <w:r w:rsidRPr="00730DE4">
              <w:t xml:space="preserve">75,920 </w:t>
            </w:r>
          </w:p>
        </w:tc>
        <w:tc>
          <w:tcPr>
            <w:tcW w:w="102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702D9068" w14:textId="77777777" w:rsidR="00730DE4" w:rsidRPr="00730DE4" w:rsidRDefault="00730DE4" w:rsidP="007B49A9">
            <w:pPr>
              <w:pStyle w:val="NoSpacing"/>
              <w:jc w:val="right"/>
            </w:pPr>
            <w:r w:rsidRPr="00730DE4">
              <w:t xml:space="preserve">4,858 </w:t>
            </w:r>
          </w:p>
        </w:tc>
      </w:tr>
      <w:tr w:rsidR="00730DE4" w:rsidRPr="00730DE4" w14:paraId="3A76B473" w14:textId="77777777" w:rsidTr="00253FBD">
        <w:trPr>
          <w:trHeight w:val="23"/>
        </w:trPr>
        <w:tc>
          <w:tcPr>
            <w:tcW w:w="2945"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center"/>
            <w:hideMark/>
          </w:tcPr>
          <w:p w14:paraId="59F3E46D" w14:textId="77777777" w:rsidR="00730DE4" w:rsidRPr="00730DE4" w:rsidRDefault="00730DE4" w:rsidP="009D3417">
            <w:pPr>
              <w:pStyle w:val="NoSpacing"/>
            </w:pPr>
            <w:r w:rsidRPr="00730DE4">
              <w:t>Transfers between classes</w:t>
            </w:r>
          </w:p>
        </w:tc>
        <w:tc>
          <w:tcPr>
            <w:tcW w:w="102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C8F1FD5" w14:textId="77777777" w:rsidR="00730DE4" w:rsidRPr="00730DE4" w:rsidRDefault="00730DE4" w:rsidP="007B49A9">
            <w:pPr>
              <w:pStyle w:val="NoSpacing"/>
              <w:jc w:val="right"/>
            </w:pPr>
            <w:r w:rsidRPr="00730DE4">
              <w:t xml:space="preserve">- </w:t>
            </w:r>
          </w:p>
        </w:tc>
        <w:tc>
          <w:tcPr>
            <w:tcW w:w="102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19C52059" w14:textId="77777777" w:rsidR="00730DE4" w:rsidRPr="00730DE4" w:rsidRDefault="00730DE4" w:rsidP="007B49A9">
            <w:pPr>
              <w:pStyle w:val="NoSpacing"/>
              <w:jc w:val="right"/>
            </w:pPr>
            <w:r w:rsidRPr="00730DE4">
              <w:t>(3,527)</w:t>
            </w:r>
          </w:p>
        </w:tc>
      </w:tr>
      <w:tr w:rsidR="00730DE4" w:rsidRPr="00730DE4" w14:paraId="50218FF6" w14:textId="77777777" w:rsidTr="00253FBD">
        <w:trPr>
          <w:trHeight w:val="23"/>
        </w:trPr>
        <w:tc>
          <w:tcPr>
            <w:tcW w:w="2945"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center"/>
            <w:hideMark/>
          </w:tcPr>
          <w:p w14:paraId="76F56981" w14:textId="77777777" w:rsidR="00730DE4" w:rsidRPr="00730DE4" w:rsidRDefault="00730DE4" w:rsidP="009D3417">
            <w:pPr>
              <w:pStyle w:val="NoSpacing"/>
            </w:pPr>
            <w:r w:rsidRPr="00730DE4">
              <w:t>Disposals</w:t>
            </w:r>
          </w:p>
        </w:tc>
        <w:tc>
          <w:tcPr>
            <w:tcW w:w="102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FDD6FE0" w14:textId="77777777" w:rsidR="00730DE4" w:rsidRPr="00730DE4" w:rsidRDefault="00730DE4" w:rsidP="007B49A9">
            <w:pPr>
              <w:pStyle w:val="NoSpacing"/>
              <w:jc w:val="right"/>
            </w:pPr>
            <w:r w:rsidRPr="00730DE4">
              <w:t xml:space="preserve">- </w:t>
            </w:r>
          </w:p>
        </w:tc>
        <w:tc>
          <w:tcPr>
            <w:tcW w:w="102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2D19C183" w14:textId="77777777" w:rsidR="00730DE4" w:rsidRPr="00730DE4" w:rsidRDefault="00730DE4" w:rsidP="007B49A9">
            <w:pPr>
              <w:pStyle w:val="NoSpacing"/>
              <w:jc w:val="right"/>
            </w:pPr>
            <w:r w:rsidRPr="00730DE4">
              <w:t>(229)</w:t>
            </w:r>
          </w:p>
        </w:tc>
      </w:tr>
      <w:tr w:rsidR="00730DE4" w:rsidRPr="00730DE4" w14:paraId="37D6F1CF" w14:textId="77777777" w:rsidTr="00253FBD">
        <w:trPr>
          <w:trHeight w:val="23"/>
        </w:trPr>
        <w:tc>
          <w:tcPr>
            <w:tcW w:w="2945"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center"/>
            <w:hideMark/>
          </w:tcPr>
          <w:p w14:paraId="329CB43F" w14:textId="77777777" w:rsidR="00730DE4" w:rsidRPr="00730DE4" w:rsidRDefault="00730DE4" w:rsidP="009D3417">
            <w:pPr>
              <w:pStyle w:val="NoSpacing"/>
            </w:pPr>
            <w:r w:rsidRPr="00730DE4">
              <w:t>Assets provided to third parties below fair value</w:t>
            </w:r>
          </w:p>
        </w:tc>
        <w:tc>
          <w:tcPr>
            <w:tcW w:w="102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0BBB399" w14:textId="77777777" w:rsidR="00730DE4" w:rsidRPr="00730DE4" w:rsidRDefault="00730DE4" w:rsidP="007B49A9">
            <w:pPr>
              <w:pStyle w:val="NoSpacing"/>
              <w:jc w:val="right"/>
            </w:pPr>
            <w:r w:rsidRPr="00730DE4">
              <w:t>(149)</w:t>
            </w:r>
          </w:p>
        </w:tc>
        <w:tc>
          <w:tcPr>
            <w:tcW w:w="102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7BE5BED5" w14:textId="77777777" w:rsidR="00730DE4" w:rsidRPr="00730DE4" w:rsidRDefault="00730DE4" w:rsidP="007B49A9">
            <w:pPr>
              <w:pStyle w:val="NoSpacing"/>
              <w:jc w:val="right"/>
            </w:pPr>
            <w:r w:rsidRPr="00730DE4">
              <w:t xml:space="preserve">- </w:t>
            </w:r>
          </w:p>
        </w:tc>
      </w:tr>
      <w:tr w:rsidR="00730DE4" w:rsidRPr="00730DE4" w14:paraId="419DA2DB" w14:textId="77777777" w:rsidTr="00253FBD">
        <w:trPr>
          <w:trHeight w:val="23"/>
        </w:trPr>
        <w:tc>
          <w:tcPr>
            <w:tcW w:w="2945"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center"/>
            <w:hideMark/>
          </w:tcPr>
          <w:p w14:paraId="4C075290" w14:textId="77777777" w:rsidR="00730DE4" w:rsidRPr="00730DE4" w:rsidRDefault="00730DE4" w:rsidP="009D3417">
            <w:pPr>
              <w:pStyle w:val="NoSpacing"/>
            </w:pPr>
            <w:r w:rsidRPr="00730DE4">
              <w:t>Assets reclassified as held for sale</w:t>
            </w:r>
          </w:p>
        </w:tc>
        <w:tc>
          <w:tcPr>
            <w:tcW w:w="102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FF73946" w14:textId="77777777" w:rsidR="00730DE4" w:rsidRPr="00730DE4" w:rsidRDefault="00730DE4" w:rsidP="007B49A9">
            <w:pPr>
              <w:pStyle w:val="NoSpacing"/>
              <w:jc w:val="right"/>
            </w:pPr>
            <w:r w:rsidRPr="00730DE4">
              <w:t>(55)</w:t>
            </w:r>
          </w:p>
        </w:tc>
        <w:tc>
          <w:tcPr>
            <w:tcW w:w="102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5A5D1FE6" w14:textId="77777777" w:rsidR="00730DE4" w:rsidRPr="00730DE4" w:rsidRDefault="00730DE4" w:rsidP="007B49A9">
            <w:pPr>
              <w:pStyle w:val="NoSpacing"/>
              <w:jc w:val="right"/>
            </w:pPr>
            <w:r w:rsidRPr="00730DE4">
              <w:t>(21)</w:t>
            </w:r>
          </w:p>
        </w:tc>
      </w:tr>
      <w:tr w:rsidR="00730DE4" w:rsidRPr="00730DE4" w14:paraId="4F11765F" w14:textId="77777777" w:rsidTr="00253FBD">
        <w:trPr>
          <w:trHeight w:val="23"/>
        </w:trPr>
        <w:tc>
          <w:tcPr>
            <w:tcW w:w="2945"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center"/>
            <w:hideMark/>
          </w:tcPr>
          <w:p w14:paraId="577D7F67" w14:textId="77777777" w:rsidR="00730DE4" w:rsidRPr="00730DE4" w:rsidRDefault="00730DE4" w:rsidP="009D3417">
            <w:pPr>
              <w:pStyle w:val="NoSpacing"/>
            </w:pPr>
            <w:r w:rsidRPr="00730DE4">
              <w:t>Net revaluation increments</w:t>
            </w:r>
          </w:p>
        </w:tc>
        <w:tc>
          <w:tcPr>
            <w:tcW w:w="102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48D7614" w14:textId="77777777" w:rsidR="00730DE4" w:rsidRPr="00730DE4" w:rsidRDefault="00730DE4" w:rsidP="007B49A9">
            <w:pPr>
              <w:pStyle w:val="NoSpacing"/>
              <w:jc w:val="right"/>
            </w:pPr>
            <w:r w:rsidRPr="00730DE4">
              <w:t xml:space="preserve">15,669 </w:t>
            </w:r>
          </w:p>
        </w:tc>
        <w:tc>
          <w:tcPr>
            <w:tcW w:w="102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41F780B5" w14:textId="77777777" w:rsidR="00730DE4" w:rsidRPr="00730DE4" w:rsidRDefault="00730DE4" w:rsidP="007B49A9">
            <w:pPr>
              <w:pStyle w:val="NoSpacing"/>
              <w:jc w:val="right"/>
            </w:pPr>
            <w:r w:rsidRPr="00730DE4">
              <w:t xml:space="preserve">43,290 </w:t>
            </w:r>
          </w:p>
        </w:tc>
      </w:tr>
      <w:tr w:rsidR="00730DE4" w:rsidRPr="00730DE4" w14:paraId="57864EBD" w14:textId="77777777" w:rsidTr="00253FBD">
        <w:trPr>
          <w:trHeight w:val="23"/>
        </w:trPr>
        <w:tc>
          <w:tcPr>
            <w:tcW w:w="2945"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vAlign w:val="center"/>
            <w:hideMark/>
          </w:tcPr>
          <w:p w14:paraId="6BF6F373" w14:textId="77777777" w:rsidR="00730DE4" w:rsidRPr="00730DE4" w:rsidRDefault="00730DE4" w:rsidP="009D3417">
            <w:pPr>
              <w:pStyle w:val="NoSpacing"/>
            </w:pPr>
            <w:r w:rsidRPr="00730DE4">
              <w:t>Depreciation</w:t>
            </w:r>
          </w:p>
        </w:tc>
        <w:tc>
          <w:tcPr>
            <w:tcW w:w="1027"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7BE673EA" w14:textId="77777777" w:rsidR="00730DE4" w:rsidRPr="00730DE4" w:rsidRDefault="00730DE4" w:rsidP="007B49A9">
            <w:pPr>
              <w:pStyle w:val="NoSpacing"/>
              <w:jc w:val="right"/>
            </w:pPr>
            <w:r w:rsidRPr="00730DE4">
              <w:t xml:space="preserve">- </w:t>
            </w:r>
          </w:p>
        </w:tc>
        <w:tc>
          <w:tcPr>
            <w:tcW w:w="1028"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F2F2F2" w:themeFill="background1" w:themeFillShade="F2"/>
            <w:noWrap/>
            <w:vAlign w:val="bottom"/>
            <w:hideMark/>
          </w:tcPr>
          <w:p w14:paraId="52F9E300" w14:textId="77777777" w:rsidR="00730DE4" w:rsidRPr="00730DE4" w:rsidRDefault="00730DE4" w:rsidP="007B49A9">
            <w:pPr>
              <w:pStyle w:val="NoSpacing"/>
              <w:jc w:val="right"/>
            </w:pPr>
            <w:r w:rsidRPr="00730DE4">
              <w:t>(22,819)</w:t>
            </w:r>
          </w:p>
        </w:tc>
      </w:tr>
      <w:tr w:rsidR="00730DE4" w:rsidRPr="00730DE4" w14:paraId="144B40E5" w14:textId="77777777" w:rsidTr="00BB6361">
        <w:tc>
          <w:tcPr>
            <w:tcW w:w="2945" w:type="pct"/>
            <w:tcBorders>
              <w:top w:val="single" w:sz="4" w:space="0" w:color="auto"/>
              <w:left w:val="nil"/>
              <w:bottom w:val="double" w:sz="6" w:space="0" w:color="auto"/>
              <w:right w:val="dotted" w:sz="4" w:space="0" w:color="BFBFBF" w:themeColor="background1" w:themeShade="BF"/>
            </w:tcBorders>
            <w:shd w:val="clear" w:color="auto" w:fill="auto"/>
            <w:hideMark/>
          </w:tcPr>
          <w:p w14:paraId="56879D66" w14:textId="77777777" w:rsidR="00730DE4" w:rsidRPr="00730DE4" w:rsidRDefault="00730DE4" w:rsidP="00CC3DB6">
            <w:pPr>
              <w:pStyle w:val="NoSpacing"/>
              <w:rPr>
                <w:rStyle w:val="Strong"/>
              </w:rPr>
            </w:pPr>
            <w:r w:rsidRPr="00730DE4">
              <w:rPr>
                <w:rStyle w:val="Strong"/>
              </w:rPr>
              <w:t>Carrying amount at 30 June</w:t>
            </w:r>
          </w:p>
        </w:tc>
        <w:tc>
          <w:tcPr>
            <w:tcW w:w="1027" w:type="pct"/>
            <w:tcBorders>
              <w:top w:val="single" w:sz="4" w:space="0" w:color="auto"/>
              <w:left w:val="dotted" w:sz="4" w:space="0" w:color="BFBFBF" w:themeColor="background1" w:themeShade="BF"/>
              <w:bottom w:val="double" w:sz="6" w:space="0" w:color="auto"/>
              <w:right w:val="dotted" w:sz="4" w:space="0" w:color="BFBFBF" w:themeColor="background1" w:themeShade="BF"/>
            </w:tcBorders>
            <w:shd w:val="clear" w:color="auto" w:fill="F2F2F2" w:themeFill="background1" w:themeFillShade="F2"/>
            <w:noWrap/>
            <w:hideMark/>
          </w:tcPr>
          <w:p w14:paraId="2BAE2BBF" w14:textId="77777777" w:rsidR="00730DE4" w:rsidRPr="00730DE4" w:rsidRDefault="00730DE4" w:rsidP="00CC3DB6">
            <w:pPr>
              <w:pStyle w:val="NoSpacing"/>
              <w:jc w:val="right"/>
              <w:rPr>
                <w:rStyle w:val="Strong"/>
              </w:rPr>
            </w:pPr>
            <w:r w:rsidRPr="00730DE4">
              <w:rPr>
                <w:rStyle w:val="Strong"/>
              </w:rPr>
              <w:t xml:space="preserve">241,912 </w:t>
            </w:r>
          </w:p>
        </w:tc>
        <w:tc>
          <w:tcPr>
            <w:tcW w:w="1028" w:type="pct"/>
            <w:tcBorders>
              <w:top w:val="single" w:sz="4" w:space="0" w:color="auto"/>
              <w:left w:val="dotted" w:sz="4" w:space="0" w:color="BFBFBF" w:themeColor="background1" w:themeShade="BF"/>
              <w:bottom w:val="double" w:sz="6" w:space="0" w:color="auto"/>
              <w:right w:val="nil"/>
            </w:tcBorders>
            <w:shd w:val="clear" w:color="auto" w:fill="F2F2F2" w:themeFill="background1" w:themeFillShade="F2"/>
            <w:noWrap/>
            <w:hideMark/>
          </w:tcPr>
          <w:p w14:paraId="53D1021F" w14:textId="77777777" w:rsidR="00730DE4" w:rsidRPr="00730DE4" w:rsidRDefault="00730DE4" w:rsidP="00CC3DB6">
            <w:pPr>
              <w:pStyle w:val="NoSpacing"/>
              <w:jc w:val="right"/>
              <w:rPr>
                <w:rStyle w:val="Strong"/>
              </w:rPr>
            </w:pPr>
            <w:r w:rsidRPr="00730DE4">
              <w:rPr>
                <w:rStyle w:val="Strong"/>
              </w:rPr>
              <w:t xml:space="preserve">583,854 </w:t>
            </w:r>
          </w:p>
        </w:tc>
      </w:tr>
    </w:tbl>
    <w:p w14:paraId="26055EAB" w14:textId="77777777" w:rsidR="00730DE4" w:rsidRPr="00730DE4" w:rsidRDefault="00730DE4" w:rsidP="00334BD0">
      <w:pPr>
        <w:pStyle w:val="List0"/>
      </w:pPr>
      <w:r w:rsidRPr="00730DE4">
        <w:t>* Infrastructure consists of roads with a gross replacement cost of $93,839m and a current replacement cost of $74,309m, structures with a gross replacement cost of $25,658m and a current replacement cost of $16,519m and other infrastructure with a gross replacement cost of $1,005m and a current replacement cost of $610m.</w:t>
      </w:r>
    </w:p>
    <w:p w14:paraId="370D98EB" w14:textId="77777777" w:rsidR="00730DE4" w:rsidRPr="00730DE4" w:rsidRDefault="00730DE4" w:rsidP="00334BD0">
      <w:pPr>
        <w:pStyle w:val="List1"/>
      </w:pPr>
      <w:r w:rsidRPr="00730DE4">
        <w:t>** The department has assessed the market sensitivity of fair value movements from the valuation date to 30 June 2024 and assessed only an immaterial impact to the carrying amount of assets.</w:t>
      </w:r>
    </w:p>
    <w:p w14:paraId="1FB03E33" w14:textId="77777777" w:rsidR="00730DE4" w:rsidRPr="00730DE4" w:rsidRDefault="00730DE4" w:rsidP="00334BD0">
      <w:pPr>
        <w:pStyle w:val="Caption"/>
      </w:pPr>
      <w:r w:rsidRPr="00730DE4">
        <w:t>Revaluations have been accounted for in accordance with the department’s accounting policies and methodologies to ensure the closing balance materiality reflects fair value at 30 June 2024.</w:t>
      </w:r>
      <w:r w:rsidRPr="00730DE4">
        <w:br w:type="page"/>
      </w:r>
    </w:p>
    <w:tbl>
      <w:tblPr>
        <w:tblW w:w="4956" w:type="pct"/>
        <w:tblCellMar>
          <w:top w:w="23" w:type="dxa"/>
          <w:left w:w="23" w:type="dxa"/>
          <w:bottom w:w="23" w:type="dxa"/>
          <w:right w:w="23" w:type="dxa"/>
        </w:tblCellMar>
        <w:tblLook w:val="04A0" w:firstRow="1" w:lastRow="0" w:firstColumn="1" w:lastColumn="0" w:noHBand="0" w:noVBand="1"/>
      </w:tblPr>
      <w:tblGrid>
        <w:gridCol w:w="6095"/>
        <w:gridCol w:w="2099"/>
        <w:gridCol w:w="2100"/>
        <w:gridCol w:w="2100"/>
        <w:gridCol w:w="2100"/>
        <w:gridCol w:w="2100"/>
        <w:gridCol w:w="2100"/>
        <w:gridCol w:w="2096"/>
      </w:tblGrid>
      <w:tr w:rsidR="00730DE4" w:rsidRPr="00730DE4" w14:paraId="52920A5C" w14:textId="77777777" w:rsidTr="00253FBD">
        <w:trPr>
          <w:trHeight w:val="23"/>
        </w:trPr>
        <w:tc>
          <w:tcPr>
            <w:tcW w:w="1466" w:type="pct"/>
            <w:tcBorders>
              <w:top w:val="nil"/>
              <w:left w:val="nil"/>
              <w:bottom w:val="single" w:sz="4" w:space="0" w:color="auto"/>
              <w:right w:val="nil"/>
            </w:tcBorders>
            <w:shd w:val="clear" w:color="auto" w:fill="auto"/>
            <w:noWrap/>
            <w:vAlign w:val="center"/>
            <w:hideMark/>
          </w:tcPr>
          <w:p w14:paraId="474EE14D" w14:textId="77777777" w:rsidR="00730DE4" w:rsidRPr="00730DE4" w:rsidRDefault="00730DE4" w:rsidP="00336D40">
            <w:pPr>
              <w:pStyle w:val="NoSpacing"/>
              <w:rPr>
                <w:color w:val="080C0F" w:themeColor="text1"/>
              </w:rPr>
            </w:pPr>
          </w:p>
        </w:tc>
        <w:tc>
          <w:tcPr>
            <w:tcW w:w="505" w:type="pct"/>
            <w:tcBorders>
              <w:top w:val="nil"/>
              <w:left w:val="nil"/>
              <w:bottom w:val="single" w:sz="4" w:space="0" w:color="auto"/>
              <w:right w:val="nil"/>
            </w:tcBorders>
            <w:shd w:val="clear" w:color="auto" w:fill="auto"/>
            <w:noWrap/>
            <w:vAlign w:val="bottom"/>
            <w:hideMark/>
          </w:tcPr>
          <w:p w14:paraId="38261858" w14:textId="77777777" w:rsidR="00730DE4" w:rsidRPr="00730DE4" w:rsidRDefault="00730DE4" w:rsidP="00336D40">
            <w:pPr>
              <w:pStyle w:val="NoSpacing"/>
              <w:jc w:val="right"/>
              <w:rPr>
                <w:color w:val="080C0F" w:themeColor="text1"/>
              </w:rPr>
            </w:pPr>
            <w:r w:rsidRPr="00730DE4">
              <w:rPr>
                <w:rStyle w:val="Strong"/>
              </w:rPr>
              <w:t xml:space="preserve"> Land</w:t>
            </w:r>
            <w:r w:rsidRPr="00730DE4">
              <w:rPr>
                <w:rStyle w:val="Strong"/>
              </w:rPr>
              <w:br/>
              <w:t xml:space="preserve"> </w:t>
            </w:r>
            <w:r w:rsidRPr="00730DE4">
              <w:rPr>
                <w:rStyle w:val="Strong"/>
              </w:rPr>
              <w:br/>
            </w:r>
            <w:r w:rsidRPr="00730DE4">
              <w:rPr>
                <w:rStyle w:val="Strong"/>
              </w:rPr>
              <w:br/>
              <w:t xml:space="preserve">2023 </w:t>
            </w:r>
            <w:r w:rsidRPr="00730DE4">
              <w:rPr>
                <w:rStyle w:val="Strong"/>
              </w:rPr>
              <w:br/>
              <w:t>$'000</w:t>
            </w:r>
          </w:p>
        </w:tc>
        <w:tc>
          <w:tcPr>
            <w:tcW w:w="505" w:type="pct"/>
            <w:tcBorders>
              <w:top w:val="nil"/>
              <w:left w:val="nil"/>
              <w:bottom w:val="single" w:sz="4" w:space="0" w:color="auto"/>
              <w:right w:val="nil"/>
            </w:tcBorders>
            <w:shd w:val="clear" w:color="auto" w:fill="auto"/>
            <w:noWrap/>
            <w:vAlign w:val="bottom"/>
            <w:hideMark/>
          </w:tcPr>
          <w:p w14:paraId="2880CBDA" w14:textId="77777777" w:rsidR="00730DE4" w:rsidRPr="00730DE4" w:rsidRDefault="00730DE4" w:rsidP="00336D40">
            <w:pPr>
              <w:pStyle w:val="NoSpacing"/>
              <w:jc w:val="right"/>
              <w:rPr>
                <w:color w:val="080C0F" w:themeColor="text1"/>
              </w:rPr>
            </w:pPr>
            <w:r w:rsidRPr="00730DE4">
              <w:rPr>
                <w:rStyle w:val="Strong"/>
              </w:rPr>
              <w:t xml:space="preserve"> Buildings</w:t>
            </w:r>
            <w:r w:rsidRPr="00730DE4">
              <w:rPr>
                <w:rStyle w:val="Strong"/>
              </w:rPr>
              <w:br/>
              <w:t xml:space="preserve"> </w:t>
            </w:r>
            <w:r w:rsidRPr="00730DE4">
              <w:rPr>
                <w:rStyle w:val="Strong"/>
              </w:rPr>
              <w:br/>
            </w:r>
            <w:r w:rsidRPr="00730DE4">
              <w:rPr>
                <w:rStyle w:val="Strong"/>
              </w:rPr>
              <w:br/>
              <w:t xml:space="preserve">2023 </w:t>
            </w:r>
            <w:r w:rsidRPr="00730DE4">
              <w:rPr>
                <w:rStyle w:val="Strong"/>
              </w:rPr>
              <w:br/>
              <w:t>$'000</w:t>
            </w:r>
          </w:p>
        </w:tc>
        <w:tc>
          <w:tcPr>
            <w:tcW w:w="505" w:type="pct"/>
            <w:tcBorders>
              <w:top w:val="nil"/>
              <w:left w:val="nil"/>
              <w:bottom w:val="single" w:sz="4" w:space="0" w:color="auto"/>
              <w:right w:val="nil"/>
            </w:tcBorders>
            <w:shd w:val="clear" w:color="auto" w:fill="auto"/>
            <w:noWrap/>
            <w:vAlign w:val="bottom"/>
            <w:hideMark/>
          </w:tcPr>
          <w:p w14:paraId="7019228A" w14:textId="77777777" w:rsidR="00730DE4" w:rsidRPr="00730DE4" w:rsidRDefault="00730DE4" w:rsidP="00336D40">
            <w:pPr>
              <w:pStyle w:val="NoSpacing"/>
              <w:jc w:val="right"/>
              <w:rPr>
                <w:color w:val="080C0F" w:themeColor="text1"/>
              </w:rPr>
            </w:pPr>
            <w:r w:rsidRPr="00730DE4">
              <w:rPr>
                <w:rStyle w:val="Strong"/>
              </w:rPr>
              <w:t xml:space="preserve">Plant and </w:t>
            </w:r>
            <w:r w:rsidRPr="00730DE4">
              <w:rPr>
                <w:rStyle w:val="Strong"/>
              </w:rPr>
              <w:br/>
              <w:t xml:space="preserve">equipment </w:t>
            </w:r>
            <w:r w:rsidRPr="00730DE4">
              <w:rPr>
                <w:rStyle w:val="Strong"/>
              </w:rPr>
              <w:br/>
            </w:r>
            <w:r w:rsidRPr="00730DE4">
              <w:rPr>
                <w:rStyle w:val="Strong"/>
              </w:rPr>
              <w:br/>
              <w:t xml:space="preserve">2023 </w:t>
            </w:r>
            <w:r w:rsidRPr="00730DE4">
              <w:rPr>
                <w:rStyle w:val="Strong"/>
              </w:rPr>
              <w:br/>
              <w:t>$'000</w:t>
            </w:r>
          </w:p>
        </w:tc>
        <w:tc>
          <w:tcPr>
            <w:tcW w:w="505" w:type="pct"/>
            <w:tcBorders>
              <w:top w:val="nil"/>
              <w:left w:val="nil"/>
              <w:bottom w:val="single" w:sz="4" w:space="0" w:color="auto"/>
              <w:right w:val="nil"/>
            </w:tcBorders>
            <w:shd w:val="clear" w:color="auto" w:fill="auto"/>
            <w:noWrap/>
            <w:vAlign w:val="bottom"/>
            <w:hideMark/>
          </w:tcPr>
          <w:p w14:paraId="0F4EF8C1" w14:textId="77777777" w:rsidR="00730DE4" w:rsidRPr="00730DE4" w:rsidRDefault="00730DE4" w:rsidP="00336D40">
            <w:pPr>
              <w:pStyle w:val="NoSpacing"/>
              <w:jc w:val="right"/>
              <w:rPr>
                <w:color w:val="080C0F" w:themeColor="text1"/>
              </w:rPr>
            </w:pPr>
            <w:r w:rsidRPr="00730DE4">
              <w:rPr>
                <w:rStyle w:val="Strong"/>
              </w:rPr>
              <w:t xml:space="preserve"> Major plant </w:t>
            </w:r>
            <w:r w:rsidRPr="00730DE4">
              <w:rPr>
                <w:rStyle w:val="Strong"/>
              </w:rPr>
              <w:br/>
              <w:t xml:space="preserve">and equipment </w:t>
            </w:r>
            <w:r w:rsidRPr="00730DE4">
              <w:rPr>
                <w:rStyle w:val="Strong"/>
              </w:rPr>
              <w:br/>
            </w:r>
            <w:r w:rsidRPr="00730DE4">
              <w:rPr>
                <w:rStyle w:val="Strong"/>
              </w:rPr>
              <w:br/>
              <w:t xml:space="preserve">2023 </w:t>
            </w:r>
            <w:r w:rsidRPr="00730DE4">
              <w:rPr>
                <w:rStyle w:val="Strong"/>
              </w:rPr>
              <w:br/>
              <w:t>$'000</w:t>
            </w:r>
          </w:p>
        </w:tc>
        <w:tc>
          <w:tcPr>
            <w:tcW w:w="505" w:type="pct"/>
            <w:tcBorders>
              <w:top w:val="nil"/>
              <w:left w:val="nil"/>
              <w:bottom w:val="single" w:sz="4" w:space="0" w:color="auto"/>
              <w:right w:val="nil"/>
            </w:tcBorders>
            <w:shd w:val="clear" w:color="auto" w:fill="auto"/>
            <w:noWrap/>
            <w:vAlign w:val="bottom"/>
            <w:hideMark/>
          </w:tcPr>
          <w:p w14:paraId="63A9B7E3" w14:textId="77777777" w:rsidR="00730DE4" w:rsidRPr="00730DE4" w:rsidRDefault="00730DE4" w:rsidP="00336D40">
            <w:pPr>
              <w:pStyle w:val="NoSpacing"/>
              <w:jc w:val="right"/>
              <w:rPr>
                <w:color w:val="080C0F" w:themeColor="text1"/>
              </w:rPr>
            </w:pPr>
            <w:r w:rsidRPr="00730DE4">
              <w:rPr>
                <w:rStyle w:val="Strong"/>
              </w:rPr>
              <w:t xml:space="preserve"> Infrastructure </w:t>
            </w:r>
            <w:r w:rsidRPr="00730DE4">
              <w:rPr>
                <w:rStyle w:val="Strong"/>
              </w:rPr>
              <w:br/>
              <w:t xml:space="preserve">* ** </w:t>
            </w:r>
            <w:r w:rsidRPr="00730DE4">
              <w:rPr>
                <w:rStyle w:val="Strong"/>
              </w:rPr>
              <w:br/>
            </w:r>
            <w:r w:rsidRPr="00730DE4">
              <w:rPr>
                <w:rStyle w:val="Strong"/>
              </w:rPr>
              <w:br/>
              <w:t xml:space="preserve">2023 </w:t>
            </w:r>
            <w:r w:rsidRPr="00730DE4">
              <w:rPr>
                <w:rStyle w:val="Strong"/>
              </w:rPr>
              <w:br/>
              <w:t>$'000</w:t>
            </w:r>
          </w:p>
        </w:tc>
        <w:tc>
          <w:tcPr>
            <w:tcW w:w="505" w:type="pct"/>
            <w:tcBorders>
              <w:top w:val="nil"/>
              <w:left w:val="nil"/>
              <w:bottom w:val="single" w:sz="4" w:space="0" w:color="auto"/>
              <w:right w:val="nil"/>
            </w:tcBorders>
            <w:shd w:val="clear" w:color="auto" w:fill="auto"/>
            <w:noWrap/>
            <w:vAlign w:val="bottom"/>
            <w:hideMark/>
          </w:tcPr>
          <w:p w14:paraId="01006D04" w14:textId="77777777" w:rsidR="00730DE4" w:rsidRPr="00730DE4" w:rsidRDefault="00730DE4" w:rsidP="00336D40">
            <w:pPr>
              <w:pStyle w:val="NoSpacing"/>
              <w:jc w:val="right"/>
              <w:rPr>
                <w:color w:val="080C0F" w:themeColor="text1"/>
              </w:rPr>
            </w:pPr>
            <w:r w:rsidRPr="00730DE4">
              <w:rPr>
                <w:rStyle w:val="Strong"/>
              </w:rPr>
              <w:t xml:space="preserve"> Work in </w:t>
            </w:r>
            <w:r w:rsidRPr="00730DE4">
              <w:rPr>
                <w:rStyle w:val="Strong"/>
              </w:rPr>
              <w:br/>
              <w:t xml:space="preserve">progress </w:t>
            </w:r>
            <w:r w:rsidRPr="00730DE4">
              <w:rPr>
                <w:rStyle w:val="Strong"/>
              </w:rPr>
              <w:br/>
            </w:r>
            <w:r w:rsidRPr="00730DE4">
              <w:rPr>
                <w:rStyle w:val="Strong"/>
              </w:rPr>
              <w:br/>
              <w:t xml:space="preserve">2023 </w:t>
            </w:r>
            <w:r w:rsidRPr="00730DE4">
              <w:rPr>
                <w:rStyle w:val="Strong"/>
              </w:rPr>
              <w:br/>
              <w:t>$'000</w:t>
            </w:r>
          </w:p>
        </w:tc>
        <w:tc>
          <w:tcPr>
            <w:tcW w:w="504" w:type="pct"/>
            <w:tcBorders>
              <w:top w:val="nil"/>
              <w:left w:val="nil"/>
              <w:bottom w:val="single" w:sz="4" w:space="0" w:color="auto"/>
              <w:right w:val="nil"/>
            </w:tcBorders>
            <w:shd w:val="clear" w:color="auto" w:fill="auto"/>
            <w:noWrap/>
            <w:vAlign w:val="bottom"/>
            <w:hideMark/>
          </w:tcPr>
          <w:p w14:paraId="0862D500" w14:textId="77777777" w:rsidR="00730DE4" w:rsidRPr="00730DE4" w:rsidRDefault="00730DE4" w:rsidP="00336D40">
            <w:pPr>
              <w:pStyle w:val="NoSpacing"/>
              <w:jc w:val="right"/>
              <w:rPr>
                <w:rStyle w:val="Strong"/>
              </w:rPr>
            </w:pPr>
            <w:r w:rsidRPr="00730DE4">
              <w:rPr>
                <w:rStyle w:val="Strong"/>
              </w:rPr>
              <w:t xml:space="preserve"> Total</w:t>
            </w:r>
            <w:r w:rsidRPr="00730DE4">
              <w:rPr>
                <w:rStyle w:val="Strong"/>
              </w:rPr>
              <w:br/>
              <w:t xml:space="preserve"> </w:t>
            </w:r>
            <w:r w:rsidRPr="00730DE4">
              <w:rPr>
                <w:rStyle w:val="Strong"/>
              </w:rPr>
              <w:br/>
            </w:r>
            <w:r w:rsidRPr="00730DE4">
              <w:rPr>
                <w:rStyle w:val="Strong"/>
              </w:rPr>
              <w:br/>
              <w:t xml:space="preserve">2023 </w:t>
            </w:r>
            <w:r w:rsidRPr="00730DE4">
              <w:rPr>
                <w:rStyle w:val="Strong"/>
              </w:rPr>
              <w:br/>
              <w:t>$'000</w:t>
            </w:r>
          </w:p>
        </w:tc>
      </w:tr>
      <w:tr w:rsidR="00730DE4" w:rsidRPr="00730DE4" w14:paraId="3DF7E0B2" w14:textId="77777777" w:rsidTr="00BB6361">
        <w:trPr>
          <w:trHeight w:val="23"/>
        </w:trPr>
        <w:tc>
          <w:tcPr>
            <w:tcW w:w="1466"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vAlign w:val="center"/>
            <w:hideMark/>
          </w:tcPr>
          <w:p w14:paraId="47A45AF4" w14:textId="77777777" w:rsidR="00730DE4" w:rsidRPr="00730DE4" w:rsidRDefault="00730DE4" w:rsidP="004E3892">
            <w:pPr>
              <w:pStyle w:val="NoSpacing"/>
              <w:rPr>
                <w:color w:val="080C0F" w:themeColor="text1"/>
              </w:rPr>
            </w:pPr>
            <w:r w:rsidRPr="00730DE4">
              <w:rPr>
                <w:color w:val="080C0F" w:themeColor="text1"/>
              </w:rPr>
              <w:t>Gross value</w:t>
            </w:r>
          </w:p>
        </w:tc>
        <w:tc>
          <w:tcPr>
            <w:tcW w:w="505"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742179D" w14:textId="77777777" w:rsidR="00730DE4" w:rsidRPr="00730DE4" w:rsidRDefault="00730DE4" w:rsidP="00336D40">
            <w:pPr>
              <w:pStyle w:val="NoSpacing"/>
              <w:jc w:val="right"/>
              <w:rPr>
                <w:color w:val="080C0F" w:themeColor="text1"/>
              </w:rPr>
            </w:pPr>
            <w:r w:rsidRPr="00730DE4">
              <w:rPr>
                <w:color w:val="080C0F" w:themeColor="text1"/>
              </w:rPr>
              <w:t xml:space="preserve">7,032,920 </w:t>
            </w:r>
          </w:p>
        </w:tc>
        <w:tc>
          <w:tcPr>
            <w:tcW w:w="505"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D9094C4" w14:textId="77777777" w:rsidR="00730DE4" w:rsidRPr="00730DE4" w:rsidRDefault="00730DE4" w:rsidP="00336D40">
            <w:pPr>
              <w:pStyle w:val="NoSpacing"/>
              <w:jc w:val="right"/>
              <w:rPr>
                <w:color w:val="080C0F" w:themeColor="text1"/>
              </w:rPr>
            </w:pPr>
            <w:r w:rsidRPr="00730DE4">
              <w:rPr>
                <w:color w:val="080C0F" w:themeColor="text1"/>
              </w:rPr>
              <w:t xml:space="preserve">1,256,018 </w:t>
            </w:r>
          </w:p>
        </w:tc>
        <w:tc>
          <w:tcPr>
            <w:tcW w:w="505"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EA7D58D" w14:textId="77777777" w:rsidR="00730DE4" w:rsidRPr="00730DE4" w:rsidRDefault="00730DE4" w:rsidP="00336D40">
            <w:pPr>
              <w:pStyle w:val="NoSpacing"/>
              <w:jc w:val="right"/>
              <w:rPr>
                <w:color w:val="080C0F" w:themeColor="text1"/>
              </w:rPr>
            </w:pPr>
            <w:r w:rsidRPr="00730DE4">
              <w:rPr>
                <w:color w:val="080C0F" w:themeColor="text1"/>
              </w:rPr>
              <w:t xml:space="preserve">761,998 </w:t>
            </w:r>
          </w:p>
        </w:tc>
        <w:tc>
          <w:tcPr>
            <w:tcW w:w="505"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7B884D4" w14:textId="77777777" w:rsidR="00730DE4" w:rsidRPr="00730DE4" w:rsidRDefault="00730DE4" w:rsidP="00336D40">
            <w:pPr>
              <w:pStyle w:val="NoSpacing"/>
              <w:jc w:val="right"/>
              <w:rPr>
                <w:color w:val="080C0F" w:themeColor="text1"/>
              </w:rPr>
            </w:pPr>
            <w:r w:rsidRPr="00730DE4">
              <w:rPr>
                <w:color w:val="080C0F" w:themeColor="text1"/>
              </w:rPr>
              <w:t xml:space="preserve">1,508,355 </w:t>
            </w:r>
          </w:p>
        </w:tc>
        <w:tc>
          <w:tcPr>
            <w:tcW w:w="505"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CCC5D35" w14:textId="77777777" w:rsidR="00730DE4" w:rsidRPr="00730DE4" w:rsidRDefault="00730DE4" w:rsidP="00336D40">
            <w:pPr>
              <w:pStyle w:val="NoSpacing"/>
              <w:jc w:val="right"/>
              <w:rPr>
                <w:color w:val="080C0F" w:themeColor="text1"/>
              </w:rPr>
            </w:pPr>
            <w:r w:rsidRPr="00730DE4">
              <w:rPr>
                <w:color w:val="080C0F" w:themeColor="text1"/>
              </w:rPr>
              <w:t xml:space="preserve">114,708,503 </w:t>
            </w:r>
          </w:p>
        </w:tc>
        <w:tc>
          <w:tcPr>
            <w:tcW w:w="505"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72089D4" w14:textId="77777777" w:rsidR="00730DE4" w:rsidRPr="00730DE4" w:rsidRDefault="00730DE4" w:rsidP="00336D40">
            <w:pPr>
              <w:pStyle w:val="NoSpacing"/>
              <w:jc w:val="right"/>
              <w:rPr>
                <w:color w:val="080C0F" w:themeColor="text1"/>
              </w:rPr>
            </w:pPr>
            <w:r w:rsidRPr="00730DE4">
              <w:rPr>
                <w:color w:val="080C0F" w:themeColor="text1"/>
              </w:rPr>
              <w:t xml:space="preserve">8,510,845 </w:t>
            </w:r>
          </w:p>
        </w:tc>
        <w:tc>
          <w:tcPr>
            <w:tcW w:w="504"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654601C" w14:textId="77777777" w:rsidR="00730DE4" w:rsidRPr="00730DE4" w:rsidRDefault="00730DE4" w:rsidP="00336D40">
            <w:pPr>
              <w:pStyle w:val="NoSpacing"/>
              <w:jc w:val="right"/>
              <w:rPr>
                <w:rStyle w:val="Strong"/>
              </w:rPr>
            </w:pPr>
            <w:r w:rsidRPr="00730DE4">
              <w:rPr>
                <w:rStyle w:val="Strong"/>
              </w:rPr>
              <w:t xml:space="preserve">133,778,639 </w:t>
            </w:r>
          </w:p>
        </w:tc>
      </w:tr>
      <w:tr w:rsidR="00730DE4" w:rsidRPr="00730DE4" w14:paraId="4F09BE5A" w14:textId="77777777" w:rsidTr="00BB6361">
        <w:trPr>
          <w:trHeight w:val="23"/>
        </w:trPr>
        <w:tc>
          <w:tcPr>
            <w:tcW w:w="1466"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center"/>
            <w:hideMark/>
          </w:tcPr>
          <w:p w14:paraId="6973F44A" w14:textId="77777777" w:rsidR="00730DE4" w:rsidRPr="00730DE4" w:rsidRDefault="00730DE4" w:rsidP="004E3892">
            <w:pPr>
              <w:pStyle w:val="NoSpacing"/>
              <w:rPr>
                <w:color w:val="080C0F" w:themeColor="text1"/>
              </w:rPr>
            </w:pPr>
            <w:r w:rsidRPr="00730DE4">
              <w:rPr>
                <w:color w:val="080C0F" w:themeColor="text1"/>
              </w:rPr>
              <w:t>Less: Accumulated depreciation</w:t>
            </w:r>
          </w:p>
        </w:tc>
        <w:tc>
          <w:tcPr>
            <w:tcW w:w="505"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206F9CBE" w14:textId="77777777" w:rsidR="00730DE4" w:rsidRPr="00730DE4" w:rsidRDefault="00730DE4" w:rsidP="00336D40">
            <w:pPr>
              <w:pStyle w:val="NoSpacing"/>
              <w:jc w:val="right"/>
              <w:rPr>
                <w:color w:val="080C0F" w:themeColor="text1"/>
              </w:rPr>
            </w:pPr>
            <w:r w:rsidRPr="00730DE4">
              <w:rPr>
                <w:color w:val="080C0F" w:themeColor="text1"/>
              </w:rPr>
              <w:t xml:space="preserve">- </w:t>
            </w:r>
          </w:p>
        </w:tc>
        <w:tc>
          <w:tcPr>
            <w:tcW w:w="505"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74DCE10A" w14:textId="77777777" w:rsidR="00730DE4" w:rsidRPr="00730DE4" w:rsidRDefault="00730DE4" w:rsidP="00336D40">
            <w:pPr>
              <w:pStyle w:val="NoSpacing"/>
              <w:jc w:val="right"/>
              <w:rPr>
                <w:color w:val="080C0F" w:themeColor="text1"/>
              </w:rPr>
            </w:pPr>
            <w:r w:rsidRPr="00730DE4">
              <w:rPr>
                <w:color w:val="080C0F" w:themeColor="text1"/>
              </w:rPr>
              <w:t>(362,469)</w:t>
            </w:r>
          </w:p>
        </w:tc>
        <w:tc>
          <w:tcPr>
            <w:tcW w:w="505"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58B2296D" w14:textId="77777777" w:rsidR="00730DE4" w:rsidRPr="00730DE4" w:rsidRDefault="00730DE4" w:rsidP="00336D40">
            <w:pPr>
              <w:pStyle w:val="NoSpacing"/>
              <w:jc w:val="right"/>
              <w:rPr>
                <w:color w:val="080C0F" w:themeColor="text1"/>
              </w:rPr>
            </w:pPr>
            <w:r w:rsidRPr="00730DE4">
              <w:rPr>
                <w:color w:val="080C0F" w:themeColor="text1"/>
              </w:rPr>
              <w:t>(546,012)</w:t>
            </w:r>
          </w:p>
        </w:tc>
        <w:tc>
          <w:tcPr>
            <w:tcW w:w="505"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45EC30E9" w14:textId="77777777" w:rsidR="00730DE4" w:rsidRPr="00730DE4" w:rsidRDefault="00730DE4" w:rsidP="00336D40">
            <w:pPr>
              <w:pStyle w:val="NoSpacing"/>
              <w:jc w:val="right"/>
              <w:rPr>
                <w:color w:val="080C0F" w:themeColor="text1"/>
              </w:rPr>
            </w:pPr>
            <w:r w:rsidRPr="00730DE4">
              <w:rPr>
                <w:color w:val="080C0F" w:themeColor="text1"/>
              </w:rPr>
              <w:t>(225,929)</w:t>
            </w:r>
          </w:p>
        </w:tc>
        <w:tc>
          <w:tcPr>
            <w:tcW w:w="505"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111D2D38" w14:textId="77777777" w:rsidR="00730DE4" w:rsidRPr="00730DE4" w:rsidRDefault="00730DE4" w:rsidP="00336D40">
            <w:pPr>
              <w:pStyle w:val="NoSpacing"/>
              <w:jc w:val="right"/>
              <w:rPr>
                <w:color w:val="080C0F" w:themeColor="text1"/>
              </w:rPr>
            </w:pPr>
            <w:r w:rsidRPr="00730DE4">
              <w:rPr>
                <w:color w:val="080C0F" w:themeColor="text1"/>
              </w:rPr>
              <w:t>(28,148,159)</w:t>
            </w:r>
          </w:p>
        </w:tc>
        <w:tc>
          <w:tcPr>
            <w:tcW w:w="505"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275C7744" w14:textId="77777777" w:rsidR="00730DE4" w:rsidRPr="00730DE4" w:rsidRDefault="00730DE4" w:rsidP="00336D40">
            <w:pPr>
              <w:pStyle w:val="NoSpacing"/>
              <w:jc w:val="right"/>
              <w:rPr>
                <w:color w:val="080C0F" w:themeColor="text1"/>
              </w:rPr>
            </w:pPr>
            <w:r w:rsidRPr="00730DE4">
              <w:rPr>
                <w:color w:val="080C0F" w:themeColor="text1"/>
              </w:rPr>
              <w:t xml:space="preserve">- </w:t>
            </w:r>
          </w:p>
        </w:tc>
        <w:tc>
          <w:tcPr>
            <w:tcW w:w="504"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21582ED7" w14:textId="77777777" w:rsidR="00730DE4" w:rsidRPr="00730DE4" w:rsidRDefault="00730DE4" w:rsidP="00336D40">
            <w:pPr>
              <w:pStyle w:val="NoSpacing"/>
              <w:jc w:val="right"/>
              <w:rPr>
                <w:rStyle w:val="Strong"/>
              </w:rPr>
            </w:pPr>
            <w:r w:rsidRPr="00730DE4">
              <w:rPr>
                <w:rStyle w:val="Strong"/>
              </w:rPr>
              <w:t>(29,282,569)</w:t>
            </w:r>
          </w:p>
        </w:tc>
      </w:tr>
      <w:tr w:rsidR="00730DE4" w:rsidRPr="00730DE4" w14:paraId="1C350965" w14:textId="77777777" w:rsidTr="00BB6361">
        <w:tc>
          <w:tcPr>
            <w:tcW w:w="1466"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43D87124" w14:textId="77777777" w:rsidR="00730DE4" w:rsidRPr="00730DE4" w:rsidRDefault="00730DE4" w:rsidP="00CC3DB6">
            <w:pPr>
              <w:pStyle w:val="NoSpacing"/>
              <w:rPr>
                <w:color w:val="080C0F" w:themeColor="text1"/>
              </w:rPr>
            </w:pPr>
            <w:r w:rsidRPr="00730DE4">
              <w:rPr>
                <w:rStyle w:val="Strong"/>
              </w:rPr>
              <w:t>Carrying amount at 30 June</w:t>
            </w:r>
          </w:p>
        </w:tc>
        <w:tc>
          <w:tcPr>
            <w:tcW w:w="505"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617941E0" w14:textId="77777777" w:rsidR="00730DE4" w:rsidRPr="00730DE4" w:rsidRDefault="00730DE4" w:rsidP="00CC3DB6">
            <w:pPr>
              <w:pStyle w:val="NoSpacing"/>
              <w:jc w:val="right"/>
              <w:rPr>
                <w:color w:val="080C0F" w:themeColor="text1"/>
              </w:rPr>
            </w:pPr>
            <w:r w:rsidRPr="00730DE4">
              <w:rPr>
                <w:rStyle w:val="Strong"/>
              </w:rPr>
              <w:t xml:space="preserve">7,032,920 </w:t>
            </w:r>
          </w:p>
        </w:tc>
        <w:tc>
          <w:tcPr>
            <w:tcW w:w="505"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03E11960" w14:textId="77777777" w:rsidR="00730DE4" w:rsidRPr="00730DE4" w:rsidRDefault="00730DE4" w:rsidP="00CC3DB6">
            <w:pPr>
              <w:pStyle w:val="NoSpacing"/>
              <w:jc w:val="right"/>
              <w:rPr>
                <w:color w:val="080C0F" w:themeColor="text1"/>
              </w:rPr>
            </w:pPr>
            <w:r w:rsidRPr="00730DE4">
              <w:rPr>
                <w:rStyle w:val="Strong"/>
              </w:rPr>
              <w:t xml:space="preserve">893,549 </w:t>
            </w:r>
          </w:p>
        </w:tc>
        <w:tc>
          <w:tcPr>
            <w:tcW w:w="505"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6D973A09" w14:textId="77777777" w:rsidR="00730DE4" w:rsidRPr="00730DE4" w:rsidRDefault="00730DE4" w:rsidP="00CC3DB6">
            <w:pPr>
              <w:pStyle w:val="NoSpacing"/>
              <w:jc w:val="right"/>
              <w:rPr>
                <w:color w:val="080C0F" w:themeColor="text1"/>
              </w:rPr>
            </w:pPr>
            <w:r w:rsidRPr="00730DE4">
              <w:rPr>
                <w:rStyle w:val="Strong"/>
              </w:rPr>
              <w:t xml:space="preserve">215,986 </w:t>
            </w:r>
          </w:p>
        </w:tc>
        <w:tc>
          <w:tcPr>
            <w:tcW w:w="505"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5D9A5405" w14:textId="77777777" w:rsidR="00730DE4" w:rsidRPr="00730DE4" w:rsidRDefault="00730DE4" w:rsidP="00CC3DB6">
            <w:pPr>
              <w:pStyle w:val="NoSpacing"/>
              <w:jc w:val="right"/>
              <w:rPr>
                <w:color w:val="080C0F" w:themeColor="text1"/>
              </w:rPr>
            </w:pPr>
            <w:r w:rsidRPr="00730DE4">
              <w:rPr>
                <w:rStyle w:val="Strong"/>
              </w:rPr>
              <w:t xml:space="preserve">1,282,426 </w:t>
            </w:r>
          </w:p>
        </w:tc>
        <w:tc>
          <w:tcPr>
            <w:tcW w:w="505"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04961B43" w14:textId="77777777" w:rsidR="00730DE4" w:rsidRPr="00730DE4" w:rsidRDefault="00730DE4" w:rsidP="00CC3DB6">
            <w:pPr>
              <w:pStyle w:val="NoSpacing"/>
              <w:jc w:val="right"/>
              <w:rPr>
                <w:color w:val="080C0F" w:themeColor="text1"/>
              </w:rPr>
            </w:pPr>
            <w:r w:rsidRPr="00730DE4">
              <w:rPr>
                <w:rStyle w:val="Strong"/>
              </w:rPr>
              <w:t xml:space="preserve">86,560,344 </w:t>
            </w:r>
          </w:p>
        </w:tc>
        <w:tc>
          <w:tcPr>
            <w:tcW w:w="505"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0DA08BD8" w14:textId="77777777" w:rsidR="00730DE4" w:rsidRPr="00730DE4" w:rsidRDefault="00730DE4" w:rsidP="00CC3DB6">
            <w:pPr>
              <w:pStyle w:val="NoSpacing"/>
              <w:jc w:val="right"/>
              <w:rPr>
                <w:color w:val="080C0F" w:themeColor="text1"/>
              </w:rPr>
            </w:pPr>
            <w:r w:rsidRPr="00730DE4">
              <w:rPr>
                <w:rStyle w:val="Strong"/>
              </w:rPr>
              <w:t xml:space="preserve">8,510,845 </w:t>
            </w:r>
          </w:p>
        </w:tc>
        <w:tc>
          <w:tcPr>
            <w:tcW w:w="504" w:type="pct"/>
            <w:tcBorders>
              <w:top w:val="single" w:sz="4" w:space="0" w:color="auto"/>
              <w:left w:val="dotted" w:sz="4" w:space="0" w:color="BFBFBF" w:themeColor="background1" w:themeShade="BF"/>
              <w:bottom w:val="double" w:sz="4" w:space="0" w:color="auto"/>
              <w:right w:val="nil"/>
            </w:tcBorders>
            <w:shd w:val="clear" w:color="auto" w:fill="auto"/>
            <w:noWrap/>
            <w:hideMark/>
          </w:tcPr>
          <w:p w14:paraId="6321A147" w14:textId="77777777" w:rsidR="00730DE4" w:rsidRPr="00730DE4" w:rsidRDefault="00730DE4" w:rsidP="00CC3DB6">
            <w:pPr>
              <w:pStyle w:val="NoSpacing"/>
              <w:jc w:val="right"/>
              <w:rPr>
                <w:rStyle w:val="Strong"/>
              </w:rPr>
            </w:pPr>
            <w:r w:rsidRPr="00730DE4">
              <w:rPr>
                <w:rStyle w:val="Strong"/>
              </w:rPr>
              <w:t xml:space="preserve">104,496,070 </w:t>
            </w:r>
          </w:p>
        </w:tc>
      </w:tr>
      <w:tr w:rsidR="00730DE4" w:rsidRPr="00730DE4" w14:paraId="516A1F4E" w14:textId="77777777" w:rsidTr="00BB6361">
        <w:trPr>
          <w:trHeight w:val="454"/>
        </w:trPr>
        <w:tc>
          <w:tcPr>
            <w:tcW w:w="1466" w:type="pct"/>
            <w:tcBorders>
              <w:top w:val="doub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39B6310C" w14:textId="77777777" w:rsidR="00730DE4" w:rsidRPr="00730DE4" w:rsidRDefault="00730DE4" w:rsidP="00CC3DB6">
            <w:pPr>
              <w:pStyle w:val="NoSpacing"/>
              <w:rPr>
                <w:color w:val="080C0F" w:themeColor="text1"/>
              </w:rPr>
            </w:pPr>
            <w:r w:rsidRPr="00730DE4">
              <w:rPr>
                <w:rStyle w:val="Strong"/>
              </w:rPr>
              <w:t>Reconciliation</w:t>
            </w:r>
          </w:p>
        </w:tc>
        <w:tc>
          <w:tcPr>
            <w:tcW w:w="505"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D846C88" w14:textId="77777777" w:rsidR="00730DE4" w:rsidRPr="00730DE4" w:rsidRDefault="00730DE4" w:rsidP="00CC3DB6">
            <w:pPr>
              <w:pStyle w:val="NoSpacing"/>
              <w:rPr>
                <w:rStyle w:val="Strong"/>
              </w:rPr>
            </w:pPr>
          </w:p>
        </w:tc>
        <w:tc>
          <w:tcPr>
            <w:tcW w:w="505"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C4468B5" w14:textId="77777777" w:rsidR="00730DE4" w:rsidRPr="00730DE4" w:rsidRDefault="00730DE4" w:rsidP="00CC3DB6">
            <w:pPr>
              <w:pStyle w:val="NoSpacing"/>
              <w:rPr>
                <w:color w:val="080C0F" w:themeColor="text1"/>
              </w:rPr>
            </w:pPr>
          </w:p>
        </w:tc>
        <w:tc>
          <w:tcPr>
            <w:tcW w:w="505"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771D6A5" w14:textId="77777777" w:rsidR="00730DE4" w:rsidRPr="00730DE4" w:rsidRDefault="00730DE4" w:rsidP="00CC3DB6">
            <w:pPr>
              <w:pStyle w:val="NoSpacing"/>
              <w:rPr>
                <w:color w:val="080C0F" w:themeColor="text1"/>
              </w:rPr>
            </w:pPr>
          </w:p>
        </w:tc>
        <w:tc>
          <w:tcPr>
            <w:tcW w:w="505"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544718E" w14:textId="77777777" w:rsidR="00730DE4" w:rsidRPr="00730DE4" w:rsidRDefault="00730DE4" w:rsidP="00CC3DB6">
            <w:pPr>
              <w:pStyle w:val="NoSpacing"/>
              <w:rPr>
                <w:color w:val="080C0F" w:themeColor="text1"/>
              </w:rPr>
            </w:pPr>
          </w:p>
        </w:tc>
        <w:tc>
          <w:tcPr>
            <w:tcW w:w="505"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DC5007E" w14:textId="77777777" w:rsidR="00730DE4" w:rsidRPr="00730DE4" w:rsidRDefault="00730DE4" w:rsidP="00CC3DB6">
            <w:pPr>
              <w:pStyle w:val="NoSpacing"/>
              <w:rPr>
                <w:color w:val="080C0F" w:themeColor="text1"/>
              </w:rPr>
            </w:pPr>
          </w:p>
        </w:tc>
        <w:tc>
          <w:tcPr>
            <w:tcW w:w="505"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9B0CC8D" w14:textId="77777777" w:rsidR="00730DE4" w:rsidRPr="00730DE4" w:rsidRDefault="00730DE4" w:rsidP="00CC3DB6">
            <w:pPr>
              <w:pStyle w:val="NoSpacing"/>
              <w:rPr>
                <w:color w:val="080C0F" w:themeColor="text1"/>
              </w:rPr>
            </w:pPr>
          </w:p>
        </w:tc>
        <w:tc>
          <w:tcPr>
            <w:tcW w:w="504" w:type="pct"/>
            <w:tcBorders>
              <w:top w:val="double" w:sz="4" w:space="0" w:color="auto"/>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EA3EA8D" w14:textId="77777777" w:rsidR="00730DE4" w:rsidRPr="00730DE4" w:rsidRDefault="00730DE4" w:rsidP="00CC3DB6">
            <w:pPr>
              <w:pStyle w:val="NoSpacing"/>
              <w:rPr>
                <w:color w:val="080C0F" w:themeColor="text1"/>
              </w:rPr>
            </w:pPr>
          </w:p>
        </w:tc>
      </w:tr>
      <w:tr w:rsidR="00730DE4" w:rsidRPr="00730DE4" w14:paraId="61610555" w14:textId="77777777" w:rsidTr="00253FBD">
        <w:trPr>
          <w:trHeight w:val="23"/>
        </w:trPr>
        <w:tc>
          <w:tcPr>
            <w:tcW w:w="1466"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center"/>
            <w:hideMark/>
          </w:tcPr>
          <w:p w14:paraId="6F3FC561" w14:textId="77777777" w:rsidR="00730DE4" w:rsidRPr="00730DE4" w:rsidRDefault="00730DE4" w:rsidP="004E3892">
            <w:pPr>
              <w:pStyle w:val="NoSpacing"/>
              <w:rPr>
                <w:color w:val="080C0F" w:themeColor="text1"/>
              </w:rPr>
            </w:pPr>
            <w:r w:rsidRPr="00730DE4">
              <w:rPr>
                <w:color w:val="080C0F" w:themeColor="text1"/>
              </w:rPr>
              <w:t>Carrying amount at 1 July</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C841677" w14:textId="77777777" w:rsidR="00730DE4" w:rsidRPr="00730DE4" w:rsidRDefault="00730DE4" w:rsidP="00336D40">
            <w:pPr>
              <w:pStyle w:val="NoSpacing"/>
              <w:jc w:val="right"/>
              <w:rPr>
                <w:color w:val="080C0F" w:themeColor="text1"/>
              </w:rPr>
            </w:pPr>
            <w:r w:rsidRPr="00730DE4">
              <w:rPr>
                <w:color w:val="080C0F" w:themeColor="text1"/>
              </w:rPr>
              <w:t xml:space="preserve">6,023,069 </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25ED9B9" w14:textId="77777777" w:rsidR="00730DE4" w:rsidRPr="00730DE4" w:rsidRDefault="00730DE4" w:rsidP="00336D40">
            <w:pPr>
              <w:pStyle w:val="NoSpacing"/>
              <w:jc w:val="right"/>
              <w:rPr>
                <w:color w:val="080C0F" w:themeColor="text1"/>
              </w:rPr>
            </w:pPr>
            <w:r w:rsidRPr="00730DE4">
              <w:rPr>
                <w:color w:val="080C0F" w:themeColor="text1"/>
              </w:rPr>
              <w:t xml:space="preserve">810,686 </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BD39035" w14:textId="77777777" w:rsidR="00730DE4" w:rsidRPr="00730DE4" w:rsidRDefault="00730DE4" w:rsidP="00336D40">
            <w:pPr>
              <w:pStyle w:val="NoSpacing"/>
              <w:jc w:val="right"/>
              <w:rPr>
                <w:color w:val="080C0F" w:themeColor="text1"/>
              </w:rPr>
            </w:pPr>
            <w:r w:rsidRPr="00730DE4">
              <w:rPr>
                <w:color w:val="080C0F" w:themeColor="text1"/>
              </w:rPr>
              <w:t xml:space="preserve">184,626 </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E5020CA" w14:textId="77777777" w:rsidR="00730DE4" w:rsidRPr="00730DE4" w:rsidRDefault="00730DE4" w:rsidP="00336D40">
            <w:pPr>
              <w:pStyle w:val="NoSpacing"/>
              <w:jc w:val="right"/>
              <w:rPr>
                <w:color w:val="080C0F" w:themeColor="text1"/>
              </w:rPr>
            </w:pPr>
            <w:r w:rsidRPr="00730DE4">
              <w:rPr>
                <w:color w:val="080C0F" w:themeColor="text1"/>
              </w:rPr>
              <w:t xml:space="preserve">1,169,543 </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306AF90" w14:textId="77777777" w:rsidR="00730DE4" w:rsidRPr="00730DE4" w:rsidRDefault="00730DE4" w:rsidP="00336D40">
            <w:pPr>
              <w:pStyle w:val="NoSpacing"/>
              <w:jc w:val="right"/>
              <w:rPr>
                <w:color w:val="080C0F" w:themeColor="text1"/>
              </w:rPr>
            </w:pPr>
            <w:r w:rsidRPr="00730DE4">
              <w:rPr>
                <w:color w:val="080C0F" w:themeColor="text1"/>
              </w:rPr>
              <w:t xml:space="preserve">73,237,010 </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289FA68" w14:textId="77777777" w:rsidR="00730DE4" w:rsidRPr="00730DE4" w:rsidRDefault="00730DE4" w:rsidP="00336D40">
            <w:pPr>
              <w:pStyle w:val="NoSpacing"/>
              <w:jc w:val="right"/>
              <w:rPr>
                <w:color w:val="080C0F" w:themeColor="text1"/>
              </w:rPr>
            </w:pPr>
            <w:r w:rsidRPr="00730DE4">
              <w:rPr>
                <w:color w:val="080C0F" w:themeColor="text1"/>
              </w:rPr>
              <w:t xml:space="preserve">5,574,785 </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258527B" w14:textId="77777777" w:rsidR="00730DE4" w:rsidRPr="00730DE4" w:rsidRDefault="00730DE4" w:rsidP="00336D40">
            <w:pPr>
              <w:pStyle w:val="NoSpacing"/>
              <w:jc w:val="right"/>
              <w:rPr>
                <w:rStyle w:val="Strong"/>
              </w:rPr>
            </w:pPr>
            <w:r w:rsidRPr="00730DE4">
              <w:rPr>
                <w:rStyle w:val="Strong"/>
              </w:rPr>
              <w:t xml:space="preserve">86,999,719 </w:t>
            </w:r>
          </w:p>
        </w:tc>
      </w:tr>
      <w:tr w:rsidR="00730DE4" w:rsidRPr="00730DE4" w14:paraId="3CA95C6F" w14:textId="77777777" w:rsidTr="00253FBD">
        <w:trPr>
          <w:trHeight w:val="23"/>
        </w:trPr>
        <w:tc>
          <w:tcPr>
            <w:tcW w:w="1466"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center"/>
            <w:hideMark/>
          </w:tcPr>
          <w:p w14:paraId="6216871C" w14:textId="77777777" w:rsidR="00730DE4" w:rsidRPr="00730DE4" w:rsidRDefault="00730DE4" w:rsidP="004E3892">
            <w:pPr>
              <w:pStyle w:val="NoSpacing"/>
              <w:rPr>
                <w:color w:val="080C0F" w:themeColor="text1"/>
              </w:rPr>
            </w:pPr>
            <w:r w:rsidRPr="00730DE4">
              <w:rPr>
                <w:color w:val="080C0F" w:themeColor="text1"/>
              </w:rPr>
              <w:t>Assets received due to machinery-of-government change</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54A3955" w14:textId="77777777" w:rsidR="00730DE4" w:rsidRPr="00730DE4" w:rsidRDefault="00730DE4" w:rsidP="00336D40">
            <w:pPr>
              <w:pStyle w:val="NoSpacing"/>
              <w:jc w:val="right"/>
              <w:rPr>
                <w:color w:val="080C0F" w:themeColor="text1"/>
              </w:rPr>
            </w:pPr>
            <w:r w:rsidRPr="00730DE4">
              <w:rPr>
                <w:color w:val="080C0F" w:themeColor="text1"/>
              </w:rPr>
              <w:t xml:space="preserve">- </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B862487" w14:textId="77777777" w:rsidR="00730DE4" w:rsidRPr="00730DE4" w:rsidRDefault="00730DE4" w:rsidP="00336D40">
            <w:pPr>
              <w:pStyle w:val="NoSpacing"/>
              <w:jc w:val="right"/>
              <w:rPr>
                <w:color w:val="080C0F" w:themeColor="text1"/>
              </w:rPr>
            </w:pPr>
            <w:r w:rsidRPr="00730DE4">
              <w:rPr>
                <w:color w:val="080C0F" w:themeColor="text1"/>
              </w:rPr>
              <w:t xml:space="preserve">- </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4344727" w14:textId="77777777" w:rsidR="00730DE4" w:rsidRPr="00730DE4" w:rsidRDefault="00730DE4" w:rsidP="00336D40">
            <w:pPr>
              <w:pStyle w:val="NoSpacing"/>
              <w:jc w:val="right"/>
              <w:rPr>
                <w:color w:val="080C0F" w:themeColor="text1"/>
              </w:rPr>
            </w:pPr>
            <w:r w:rsidRPr="00730DE4">
              <w:rPr>
                <w:color w:val="080C0F" w:themeColor="text1"/>
              </w:rPr>
              <w:t xml:space="preserve">8,102 </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49A8387" w14:textId="77777777" w:rsidR="00730DE4" w:rsidRPr="00730DE4" w:rsidRDefault="00730DE4" w:rsidP="00336D40">
            <w:pPr>
              <w:pStyle w:val="NoSpacing"/>
              <w:jc w:val="right"/>
              <w:rPr>
                <w:color w:val="080C0F" w:themeColor="text1"/>
              </w:rPr>
            </w:pPr>
            <w:r w:rsidRPr="00730DE4">
              <w:rPr>
                <w:color w:val="080C0F" w:themeColor="text1"/>
              </w:rPr>
              <w:t xml:space="preserve">- </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6B49C25" w14:textId="77777777" w:rsidR="00730DE4" w:rsidRPr="00730DE4" w:rsidRDefault="00730DE4" w:rsidP="00336D40">
            <w:pPr>
              <w:pStyle w:val="NoSpacing"/>
              <w:jc w:val="right"/>
              <w:rPr>
                <w:color w:val="080C0F" w:themeColor="text1"/>
              </w:rPr>
            </w:pPr>
            <w:r w:rsidRPr="00730DE4">
              <w:rPr>
                <w:color w:val="080C0F" w:themeColor="text1"/>
              </w:rPr>
              <w:t xml:space="preserve">- </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9D729EE" w14:textId="77777777" w:rsidR="00730DE4" w:rsidRPr="00730DE4" w:rsidRDefault="00730DE4" w:rsidP="00336D40">
            <w:pPr>
              <w:pStyle w:val="NoSpacing"/>
              <w:jc w:val="right"/>
              <w:rPr>
                <w:color w:val="080C0F" w:themeColor="text1"/>
              </w:rPr>
            </w:pPr>
            <w:r w:rsidRPr="00730DE4">
              <w:rPr>
                <w:color w:val="080C0F" w:themeColor="text1"/>
              </w:rPr>
              <w:t xml:space="preserve">- </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E707E47" w14:textId="77777777" w:rsidR="00730DE4" w:rsidRPr="00730DE4" w:rsidRDefault="00730DE4" w:rsidP="00336D40">
            <w:pPr>
              <w:pStyle w:val="NoSpacing"/>
              <w:jc w:val="right"/>
              <w:rPr>
                <w:rStyle w:val="Strong"/>
              </w:rPr>
            </w:pPr>
            <w:r w:rsidRPr="00730DE4">
              <w:rPr>
                <w:rStyle w:val="Strong"/>
              </w:rPr>
              <w:t xml:space="preserve">8,102 </w:t>
            </w:r>
          </w:p>
        </w:tc>
      </w:tr>
      <w:tr w:rsidR="00730DE4" w:rsidRPr="00730DE4" w14:paraId="0E4DB7BD" w14:textId="77777777" w:rsidTr="00253FBD">
        <w:trPr>
          <w:trHeight w:val="23"/>
        </w:trPr>
        <w:tc>
          <w:tcPr>
            <w:tcW w:w="1466"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center"/>
            <w:hideMark/>
          </w:tcPr>
          <w:p w14:paraId="484BE4DE" w14:textId="77777777" w:rsidR="00730DE4" w:rsidRPr="00730DE4" w:rsidRDefault="00730DE4" w:rsidP="004E3892">
            <w:pPr>
              <w:pStyle w:val="NoSpacing"/>
              <w:rPr>
                <w:color w:val="080C0F" w:themeColor="text1"/>
              </w:rPr>
            </w:pPr>
            <w:r w:rsidRPr="00730DE4">
              <w:rPr>
                <w:color w:val="080C0F" w:themeColor="text1"/>
              </w:rPr>
              <w:t>Acquisitions (including upgrades)</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297EA9F" w14:textId="77777777" w:rsidR="00730DE4" w:rsidRPr="00730DE4" w:rsidRDefault="00730DE4" w:rsidP="00336D40">
            <w:pPr>
              <w:pStyle w:val="NoSpacing"/>
              <w:jc w:val="right"/>
              <w:rPr>
                <w:color w:val="080C0F" w:themeColor="text1"/>
              </w:rPr>
            </w:pPr>
            <w:r w:rsidRPr="00730DE4">
              <w:rPr>
                <w:color w:val="080C0F" w:themeColor="text1"/>
              </w:rPr>
              <w:t xml:space="preserve">348,507 </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910A4A9" w14:textId="77777777" w:rsidR="00730DE4" w:rsidRPr="00730DE4" w:rsidRDefault="00730DE4" w:rsidP="00336D40">
            <w:pPr>
              <w:pStyle w:val="NoSpacing"/>
              <w:jc w:val="right"/>
              <w:rPr>
                <w:color w:val="080C0F" w:themeColor="text1"/>
              </w:rPr>
            </w:pPr>
            <w:r w:rsidRPr="00730DE4">
              <w:rPr>
                <w:color w:val="080C0F" w:themeColor="text1"/>
              </w:rPr>
              <w:t xml:space="preserve">63,535 </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E89CB80" w14:textId="77777777" w:rsidR="00730DE4" w:rsidRPr="00730DE4" w:rsidRDefault="00730DE4" w:rsidP="00336D40">
            <w:pPr>
              <w:pStyle w:val="NoSpacing"/>
              <w:jc w:val="right"/>
              <w:rPr>
                <w:color w:val="080C0F" w:themeColor="text1"/>
              </w:rPr>
            </w:pPr>
            <w:r w:rsidRPr="00730DE4">
              <w:rPr>
                <w:color w:val="080C0F" w:themeColor="text1"/>
              </w:rPr>
              <w:t xml:space="preserve">33,900 </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750BAC1" w14:textId="77777777" w:rsidR="00730DE4" w:rsidRPr="00730DE4" w:rsidRDefault="00730DE4" w:rsidP="00336D40">
            <w:pPr>
              <w:pStyle w:val="NoSpacing"/>
              <w:jc w:val="right"/>
              <w:rPr>
                <w:color w:val="080C0F" w:themeColor="text1"/>
              </w:rPr>
            </w:pPr>
            <w:r w:rsidRPr="00730DE4">
              <w:rPr>
                <w:color w:val="080C0F" w:themeColor="text1"/>
              </w:rPr>
              <w:t xml:space="preserve">- </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F193C02" w14:textId="77777777" w:rsidR="00730DE4" w:rsidRPr="00730DE4" w:rsidRDefault="00730DE4" w:rsidP="00336D40">
            <w:pPr>
              <w:pStyle w:val="NoSpacing"/>
              <w:jc w:val="right"/>
              <w:rPr>
                <w:color w:val="080C0F" w:themeColor="text1"/>
              </w:rPr>
            </w:pPr>
            <w:r w:rsidRPr="00730DE4">
              <w:rPr>
                <w:color w:val="080C0F" w:themeColor="text1"/>
              </w:rPr>
              <w:t xml:space="preserve">- </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61FCD8D" w14:textId="77777777" w:rsidR="00730DE4" w:rsidRPr="00730DE4" w:rsidRDefault="00730DE4" w:rsidP="00336D40">
            <w:pPr>
              <w:pStyle w:val="NoSpacing"/>
              <w:jc w:val="right"/>
              <w:rPr>
                <w:color w:val="080C0F" w:themeColor="text1"/>
              </w:rPr>
            </w:pPr>
            <w:r w:rsidRPr="00730DE4">
              <w:rPr>
                <w:color w:val="080C0F" w:themeColor="text1"/>
              </w:rPr>
              <w:t xml:space="preserve">4,533,445 </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D1D763D" w14:textId="77777777" w:rsidR="00730DE4" w:rsidRPr="00730DE4" w:rsidRDefault="00730DE4" w:rsidP="00336D40">
            <w:pPr>
              <w:pStyle w:val="NoSpacing"/>
              <w:jc w:val="right"/>
              <w:rPr>
                <w:rStyle w:val="Strong"/>
              </w:rPr>
            </w:pPr>
            <w:r w:rsidRPr="00730DE4">
              <w:rPr>
                <w:rStyle w:val="Strong"/>
              </w:rPr>
              <w:t xml:space="preserve">4,979,387 </w:t>
            </w:r>
          </w:p>
        </w:tc>
      </w:tr>
      <w:tr w:rsidR="00730DE4" w:rsidRPr="00730DE4" w14:paraId="7B7D7456" w14:textId="77777777" w:rsidTr="00253FBD">
        <w:trPr>
          <w:trHeight w:val="23"/>
        </w:trPr>
        <w:tc>
          <w:tcPr>
            <w:tcW w:w="1466"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center"/>
            <w:hideMark/>
          </w:tcPr>
          <w:p w14:paraId="568E7C44" w14:textId="77777777" w:rsidR="00730DE4" w:rsidRPr="00730DE4" w:rsidRDefault="00730DE4" w:rsidP="004E3892">
            <w:pPr>
              <w:pStyle w:val="NoSpacing"/>
              <w:rPr>
                <w:color w:val="080C0F" w:themeColor="text1"/>
              </w:rPr>
            </w:pPr>
            <w:r w:rsidRPr="00730DE4">
              <w:rPr>
                <w:color w:val="080C0F" w:themeColor="text1"/>
              </w:rPr>
              <w:t>Assets received at below fair value</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34215CB" w14:textId="77777777" w:rsidR="00730DE4" w:rsidRPr="00730DE4" w:rsidRDefault="00730DE4" w:rsidP="00336D40">
            <w:pPr>
              <w:pStyle w:val="NoSpacing"/>
              <w:jc w:val="right"/>
              <w:rPr>
                <w:color w:val="080C0F" w:themeColor="text1"/>
              </w:rPr>
            </w:pPr>
            <w:r w:rsidRPr="00730DE4">
              <w:rPr>
                <w:color w:val="080C0F" w:themeColor="text1"/>
              </w:rPr>
              <w:t xml:space="preserve">272 </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94AE577" w14:textId="77777777" w:rsidR="00730DE4" w:rsidRPr="00730DE4" w:rsidRDefault="00730DE4" w:rsidP="00336D40">
            <w:pPr>
              <w:pStyle w:val="NoSpacing"/>
              <w:jc w:val="right"/>
              <w:rPr>
                <w:color w:val="080C0F" w:themeColor="text1"/>
              </w:rPr>
            </w:pPr>
            <w:r w:rsidRPr="00730DE4">
              <w:rPr>
                <w:color w:val="080C0F" w:themeColor="text1"/>
              </w:rPr>
              <w:t>-</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951BC1B" w14:textId="77777777" w:rsidR="00730DE4" w:rsidRPr="00730DE4" w:rsidRDefault="00730DE4" w:rsidP="00336D40">
            <w:pPr>
              <w:pStyle w:val="NoSpacing"/>
              <w:jc w:val="right"/>
              <w:rPr>
                <w:color w:val="080C0F" w:themeColor="text1"/>
              </w:rPr>
            </w:pPr>
            <w:r w:rsidRPr="00730DE4">
              <w:rPr>
                <w:color w:val="080C0F" w:themeColor="text1"/>
              </w:rPr>
              <w:t xml:space="preserve">- </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FAA2249" w14:textId="77777777" w:rsidR="00730DE4" w:rsidRPr="00730DE4" w:rsidRDefault="00730DE4" w:rsidP="00336D40">
            <w:pPr>
              <w:pStyle w:val="NoSpacing"/>
              <w:jc w:val="right"/>
              <w:rPr>
                <w:color w:val="080C0F" w:themeColor="text1"/>
              </w:rPr>
            </w:pPr>
            <w:r w:rsidRPr="00730DE4">
              <w:rPr>
                <w:color w:val="080C0F" w:themeColor="text1"/>
              </w:rPr>
              <w:t xml:space="preserve">- </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CF2397C" w14:textId="77777777" w:rsidR="00730DE4" w:rsidRPr="00730DE4" w:rsidRDefault="00730DE4" w:rsidP="00336D40">
            <w:pPr>
              <w:pStyle w:val="NoSpacing"/>
              <w:jc w:val="right"/>
              <w:rPr>
                <w:color w:val="080C0F" w:themeColor="text1"/>
              </w:rPr>
            </w:pPr>
            <w:r w:rsidRPr="00730DE4">
              <w:rPr>
                <w:color w:val="080C0F" w:themeColor="text1"/>
              </w:rPr>
              <w:t xml:space="preserve">48,973 </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3944AB3" w14:textId="77777777" w:rsidR="00730DE4" w:rsidRPr="00730DE4" w:rsidRDefault="00730DE4" w:rsidP="00336D40">
            <w:pPr>
              <w:pStyle w:val="NoSpacing"/>
              <w:jc w:val="right"/>
              <w:rPr>
                <w:color w:val="080C0F" w:themeColor="text1"/>
              </w:rPr>
            </w:pPr>
            <w:r w:rsidRPr="00730DE4">
              <w:rPr>
                <w:color w:val="080C0F" w:themeColor="text1"/>
              </w:rPr>
              <w:t xml:space="preserve">2,585 </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B028A39" w14:textId="77777777" w:rsidR="00730DE4" w:rsidRPr="00730DE4" w:rsidRDefault="00730DE4" w:rsidP="00336D40">
            <w:pPr>
              <w:pStyle w:val="NoSpacing"/>
              <w:jc w:val="right"/>
              <w:rPr>
                <w:rStyle w:val="Strong"/>
              </w:rPr>
            </w:pPr>
            <w:r w:rsidRPr="00730DE4">
              <w:rPr>
                <w:rStyle w:val="Strong"/>
              </w:rPr>
              <w:t xml:space="preserve">51,830 </w:t>
            </w:r>
          </w:p>
        </w:tc>
      </w:tr>
      <w:tr w:rsidR="00730DE4" w:rsidRPr="00730DE4" w14:paraId="20BCBC83" w14:textId="77777777" w:rsidTr="00253FBD">
        <w:trPr>
          <w:trHeight w:val="23"/>
        </w:trPr>
        <w:tc>
          <w:tcPr>
            <w:tcW w:w="1466"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center"/>
            <w:hideMark/>
          </w:tcPr>
          <w:p w14:paraId="16E4F9F6" w14:textId="77777777" w:rsidR="00730DE4" w:rsidRPr="00730DE4" w:rsidRDefault="00730DE4" w:rsidP="004E3892">
            <w:pPr>
              <w:pStyle w:val="NoSpacing"/>
              <w:rPr>
                <w:color w:val="080C0F" w:themeColor="text1"/>
              </w:rPr>
            </w:pPr>
            <w:r w:rsidRPr="00730DE4">
              <w:rPr>
                <w:color w:val="080C0F" w:themeColor="text1"/>
              </w:rPr>
              <w:t>Transfers to other Queensland Government entities</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9560970" w14:textId="77777777" w:rsidR="00730DE4" w:rsidRPr="00730DE4" w:rsidRDefault="00730DE4" w:rsidP="00336D40">
            <w:pPr>
              <w:pStyle w:val="NoSpacing"/>
              <w:jc w:val="right"/>
              <w:rPr>
                <w:color w:val="080C0F" w:themeColor="text1"/>
              </w:rPr>
            </w:pPr>
            <w:r w:rsidRPr="00730DE4">
              <w:rPr>
                <w:color w:val="080C0F" w:themeColor="text1"/>
              </w:rPr>
              <w:t>(38,176)</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4B4FAEF" w14:textId="77777777" w:rsidR="00730DE4" w:rsidRPr="00730DE4" w:rsidRDefault="00730DE4" w:rsidP="00336D40">
            <w:pPr>
              <w:pStyle w:val="NoSpacing"/>
              <w:jc w:val="right"/>
              <w:rPr>
                <w:color w:val="080C0F" w:themeColor="text1"/>
              </w:rPr>
            </w:pPr>
            <w:r w:rsidRPr="00730DE4">
              <w:rPr>
                <w:color w:val="080C0F" w:themeColor="text1"/>
              </w:rPr>
              <w:t>(1,018)</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E0B7638" w14:textId="77777777" w:rsidR="00730DE4" w:rsidRPr="00730DE4" w:rsidRDefault="00730DE4" w:rsidP="00336D40">
            <w:pPr>
              <w:pStyle w:val="NoSpacing"/>
              <w:jc w:val="right"/>
              <w:rPr>
                <w:color w:val="080C0F" w:themeColor="text1"/>
              </w:rPr>
            </w:pPr>
            <w:r w:rsidRPr="00730DE4">
              <w:rPr>
                <w:color w:val="080C0F" w:themeColor="text1"/>
              </w:rPr>
              <w:t xml:space="preserve">- </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8C3228E" w14:textId="77777777" w:rsidR="00730DE4" w:rsidRPr="00730DE4" w:rsidRDefault="00730DE4" w:rsidP="00336D40">
            <w:pPr>
              <w:pStyle w:val="NoSpacing"/>
              <w:jc w:val="right"/>
              <w:rPr>
                <w:color w:val="080C0F" w:themeColor="text1"/>
              </w:rPr>
            </w:pPr>
            <w:r w:rsidRPr="00730DE4">
              <w:rPr>
                <w:color w:val="080C0F" w:themeColor="text1"/>
              </w:rPr>
              <w:t xml:space="preserve">- </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1115DC0" w14:textId="77777777" w:rsidR="00730DE4" w:rsidRPr="00730DE4" w:rsidRDefault="00730DE4" w:rsidP="00336D40">
            <w:pPr>
              <w:pStyle w:val="NoSpacing"/>
              <w:jc w:val="right"/>
              <w:rPr>
                <w:color w:val="080C0F" w:themeColor="text1"/>
              </w:rPr>
            </w:pPr>
            <w:r w:rsidRPr="00730DE4">
              <w:rPr>
                <w:color w:val="080C0F" w:themeColor="text1"/>
              </w:rPr>
              <w:t xml:space="preserve">- </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246897B" w14:textId="77777777" w:rsidR="00730DE4" w:rsidRPr="00730DE4" w:rsidRDefault="00730DE4" w:rsidP="00336D40">
            <w:pPr>
              <w:pStyle w:val="NoSpacing"/>
              <w:jc w:val="right"/>
              <w:rPr>
                <w:color w:val="080C0F" w:themeColor="text1"/>
              </w:rPr>
            </w:pPr>
            <w:r w:rsidRPr="00730DE4">
              <w:rPr>
                <w:color w:val="080C0F" w:themeColor="text1"/>
              </w:rPr>
              <w:t xml:space="preserve">- </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71521C2" w14:textId="77777777" w:rsidR="00730DE4" w:rsidRPr="00730DE4" w:rsidRDefault="00730DE4" w:rsidP="00336D40">
            <w:pPr>
              <w:pStyle w:val="NoSpacing"/>
              <w:jc w:val="right"/>
              <w:rPr>
                <w:rStyle w:val="Strong"/>
              </w:rPr>
            </w:pPr>
            <w:r w:rsidRPr="00730DE4">
              <w:rPr>
                <w:rStyle w:val="Strong"/>
              </w:rPr>
              <w:t>(39,194)</w:t>
            </w:r>
          </w:p>
        </w:tc>
      </w:tr>
      <w:tr w:rsidR="00730DE4" w:rsidRPr="00730DE4" w14:paraId="24508C4D" w14:textId="77777777" w:rsidTr="00253FBD">
        <w:trPr>
          <w:trHeight w:val="23"/>
        </w:trPr>
        <w:tc>
          <w:tcPr>
            <w:tcW w:w="1466"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center"/>
            <w:hideMark/>
          </w:tcPr>
          <w:p w14:paraId="0398A770" w14:textId="77777777" w:rsidR="00730DE4" w:rsidRPr="00730DE4" w:rsidRDefault="00730DE4" w:rsidP="004E3892">
            <w:pPr>
              <w:pStyle w:val="NoSpacing"/>
              <w:rPr>
                <w:color w:val="080C0F" w:themeColor="text1"/>
              </w:rPr>
            </w:pPr>
            <w:r w:rsidRPr="00730DE4">
              <w:rPr>
                <w:color w:val="080C0F" w:themeColor="text1"/>
              </w:rPr>
              <w:t>Transfers between classes</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25C2FDC" w14:textId="77777777" w:rsidR="00730DE4" w:rsidRPr="00730DE4" w:rsidRDefault="00730DE4" w:rsidP="00336D40">
            <w:pPr>
              <w:pStyle w:val="NoSpacing"/>
              <w:jc w:val="right"/>
              <w:rPr>
                <w:color w:val="080C0F" w:themeColor="text1"/>
              </w:rPr>
            </w:pPr>
            <w:r w:rsidRPr="00730DE4">
              <w:rPr>
                <w:color w:val="080C0F" w:themeColor="text1"/>
              </w:rPr>
              <w:t xml:space="preserve">321 </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5A4B8ED" w14:textId="77777777" w:rsidR="00730DE4" w:rsidRPr="00730DE4" w:rsidRDefault="00730DE4" w:rsidP="00336D40">
            <w:pPr>
              <w:pStyle w:val="NoSpacing"/>
              <w:jc w:val="right"/>
              <w:rPr>
                <w:color w:val="080C0F" w:themeColor="text1"/>
              </w:rPr>
            </w:pPr>
            <w:r w:rsidRPr="00730DE4">
              <w:rPr>
                <w:color w:val="080C0F" w:themeColor="text1"/>
              </w:rPr>
              <w:t>(329)</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B574A2B" w14:textId="77777777" w:rsidR="00730DE4" w:rsidRPr="00730DE4" w:rsidRDefault="00730DE4" w:rsidP="00336D40">
            <w:pPr>
              <w:pStyle w:val="NoSpacing"/>
              <w:jc w:val="right"/>
              <w:rPr>
                <w:color w:val="080C0F" w:themeColor="text1"/>
              </w:rPr>
            </w:pPr>
            <w:r w:rsidRPr="00730DE4">
              <w:rPr>
                <w:color w:val="080C0F" w:themeColor="text1"/>
              </w:rPr>
              <w:t xml:space="preserve">30,863 </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EC52704" w14:textId="77777777" w:rsidR="00730DE4" w:rsidRPr="00730DE4" w:rsidRDefault="00730DE4" w:rsidP="00336D40">
            <w:pPr>
              <w:pStyle w:val="NoSpacing"/>
              <w:jc w:val="right"/>
              <w:rPr>
                <w:color w:val="080C0F" w:themeColor="text1"/>
              </w:rPr>
            </w:pPr>
            <w:r w:rsidRPr="00730DE4">
              <w:rPr>
                <w:color w:val="080C0F" w:themeColor="text1"/>
              </w:rPr>
              <w:t xml:space="preserve">114,691 </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C76A4AA" w14:textId="77777777" w:rsidR="00730DE4" w:rsidRPr="00730DE4" w:rsidRDefault="00730DE4" w:rsidP="00336D40">
            <w:pPr>
              <w:pStyle w:val="NoSpacing"/>
              <w:jc w:val="right"/>
              <w:rPr>
                <w:color w:val="080C0F" w:themeColor="text1"/>
              </w:rPr>
            </w:pPr>
            <w:r w:rsidRPr="00730DE4">
              <w:rPr>
                <w:color w:val="080C0F" w:themeColor="text1"/>
              </w:rPr>
              <w:t xml:space="preserve">1,493,675 </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E97C9EE" w14:textId="77777777" w:rsidR="00730DE4" w:rsidRPr="00730DE4" w:rsidRDefault="00730DE4" w:rsidP="00336D40">
            <w:pPr>
              <w:pStyle w:val="NoSpacing"/>
              <w:jc w:val="right"/>
              <w:rPr>
                <w:color w:val="080C0F" w:themeColor="text1"/>
              </w:rPr>
            </w:pPr>
            <w:r w:rsidRPr="00730DE4">
              <w:rPr>
                <w:color w:val="080C0F" w:themeColor="text1"/>
              </w:rPr>
              <w:t>(1,639,221)</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02A5D77" w14:textId="77777777" w:rsidR="00730DE4" w:rsidRPr="00730DE4" w:rsidRDefault="00730DE4" w:rsidP="00336D40">
            <w:pPr>
              <w:pStyle w:val="NoSpacing"/>
              <w:jc w:val="right"/>
              <w:rPr>
                <w:rStyle w:val="Strong"/>
              </w:rPr>
            </w:pPr>
            <w:r w:rsidRPr="00730DE4">
              <w:rPr>
                <w:rStyle w:val="Strong"/>
              </w:rPr>
              <w:t xml:space="preserve">- </w:t>
            </w:r>
          </w:p>
        </w:tc>
      </w:tr>
      <w:tr w:rsidR="00730DE4" w:rsidRPr="00730DE4" w14:paraId="1B8E7688" w14:textId="77777777" w:rsidTr="00253FBD">
        <w:trPr>
          <w:trHeight w:val="23"/>
        </w:trPr>
        <w:tc>
          <w:tcPr>
            <w:tcW w:w="1466"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center"/>
            <w:hideMark/>
          </w:tcPr>
          <w:p w14:paraId="4123395E" w14:textId="77777777" w:rsidR="00730DE4" w:rsidRPr="00730DE4" w:rsidRDefault="00730DE4" w:rsidP="004E3892">
            <w:pPr>
              <w:pStyle w:val="NoSpacing"/>
              <w:rPr>
                <w:color w:val="080C0F" w:themeColor="text1"/>
              </w:rPr>
            </w:pPr>
            <w:r w:rsidRPr="00730DE4">
              <w:rPr>
                <w:color w:val="080C0F" w:themeColor="text1"/>
              </w:rPr>
              <w:t>Transfers from intangibles (refer to Note 14)</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F5CAB5A" w14:textId="77777777" w:rsidR="00730DE4" w:rsidRPr="00730DE4" w:rsidRDefault="00730DE4" w:rsidP="00336D40">
            <w:pPr>
              <w:pStyle w:val="NoSpacing"/>
              <w:jc w:val="right"/>
              <w:rPr>
                <w:color w:val="080C0F" w:themeColor="text1"/>
              </w:rPr>
            </w:pPr>
            <w:r w:rsidRPr="00730DE4">
              <w:rPr>
                <w:color w:val="080C0F" w:themeColor="text1"/>
              </w:rPr>
              <w:t xml:space="preserve">- </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126A497" w14:textId="77777777" w:rsidR="00730DE4" w:rsidRPr="00730DE4" w:rsidRDefault="00730DE4" w:rsidP="00336D40">
            <w:pPr>
              <w:pStyle w:val="NoSpacing"/>
              <w:jc w:val="right"/>
              <w:rPr>
                <w:color w:val="080C0F" w:themeColor="text1"/>
              </w:rPr>
            </w:pPr>
            <w:r w:rsidRPr="00730DE4">
              <w:rPr>
                <w:color w:val="080C0F" w:themeColor="text1"/>
              </w:rPr>
              <w:t xml:space="preserve">- </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285094C" w14:textId="77777777" w:rsidR="00730DE4" w:rsidRPr="00730DE4" w:rsidRDefault="00730DE4" w:rsidP="00336D40">
            <w:pPr>
              <w:pStyle w:val="NoSpacing"/>
              <w:jc w:val="right"/>
              <w:rPr>
                <w:color w:val="080C0F" w:themeColor="text1"/>
              </w:rPr>
            </w:pPr>
            <w:r w:rsidRPr="00730DE4">
              <w:rPr>
                <w:color w:val="080C0F" w:themeColor="text1"/>
              </w:rPr>
              <w:t xml:space="preserve">366 </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4C29DA6" w14:textId="77777777" w:rsidR="00730DE4" w:rsidRPr="00730DE4" w:rsidRDefault="00730DE4" w:rsidP="00336D40">
            <w:pPr>
              <w:pStyle w:val="NoSpacing"/>
              <w:jc w:val="right"/>
              <w:rPr>
                <w:color w:val="080C0F" w:themeColor="text1"/>
              </w:rPr>
            </w:pPr>
            <w:r w:rsidRPr="00730DE4">
              <w:rPr>
                <w:color w:val="080C0F" w:themeColor="text1"/>
              </w:rPr>
              <w:t xml:space="preserve">- </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926B881" w14:textId="77777777" w:rsidR="00730DE4" w:rsidRPr="00730DE4" w:rsidRDefault="00730DE4" w:rsidP="00336D40">
            <w:pPr>
              <w:pStyle w:val="NoSpacing"/>
              <w:jc w:val="right"/>
              <w:rPr>
                <w:color w:val="080C0F" w:themeColor="text1"/>
              </w:rPr>
            </w:pPr>
            <w:r w:rsidRPr="00730DE4">
              <w:rPr>
                <w:color w:val="080C0F" w:themeColor="text1"/>
              </w:rPr>
              <w:t xml:space="preserve">- </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D81067A" w14:textId="77777777" w:rsidR="00730DE4" w:rsidRPr="00730DE4" w:rsidRDefault="00730DE4" w:rsidP="00336D40">
            <w:pPr>
              <w:pStyle w:val="NoSpacing"/>
              <w:jc w:val="right"/>
              <w:rPr>
                <w:color w:val="080C0F" w:themeColor="text1"/>
              </w:rPr>
            </w:pPr>
            <w:r w:rsidRPr="00730DE4">
              <w:rPr>
                <w:color w:val="080C0F" w:themeColor="text1"/>
              </w:rPr>
              <w:t xml:space="preserve">- </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9E25974" w14:textId="77777777" w:rsidR="00730DE4" w:rsidRPr="00730DE4" w:rsidRDefault="00730DE4" w:rsidP="00336D40">
            <w:pPr>
              <w:pStyle w:val="NoSpacing"/>
              <w:jc w:val="right"/>
              <w:rPr>
                <w:rStyle w:val="Strong"/>
              </w:rPr>
            </w:pPr>
            <w:r w:rsidRPr="00730DE4">
              <w:rPr>
                <w:rStyle w:val="Strong"/>
              </w:rPr>
              <w:t xml:space="preserve">366 </w:t>
            </w:r>
          </w:p>
        </w:tc>
      </w:tr>
      <w:tr w:rsidR="00730DE4" w:rsidRPr="00730DE4" w14:paraId="4152325B" w14:textId="77777777" w:rsidTr="00253FBD">
        <w:trPr>
          <w:trHeight w:val="23"/>
        </w:trPr>
        <w:tc>
          <w:tcPr>
            <w:tcW w:w="1466"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center"/>
            <w:hideMark/>
          </w:tcPr>
          <w:p w14:paraId="43660C82" w14:textId="77777777" w:rsidR="00730DE4" w:rsidRPr="00730DE4" w:rsidRDefault="00730DE4" w:rsidP="004E3892">
            <w:pPr>
              <w:pStyle w:val="NoSpacing"/>
              <w:rPr>
                <w:color w:val="080C0F" w:themeColor="text1"/>
              </w:rPr>
            </w:pPr>
            <w:r w:rsidRPr="00730DE4">
              <w:rPr>
                <w:color w:val="080C0F" w:themeColor="text1"/>
              </w:rPr>
              <w:t>Transfers from public private partnerships (refer to Note 16)</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CFAAD8B" w14:textId="77777777" w:rsidR="00730DE4" w:rsidRPr="00730DE4" w:rsidRDefault="00730DE4" w:rsidP="00336D40">
            <w:pPr>
              <w:pStyle w:val="NoSpacing"/>
              <w:jc w:val="right"/>
              <w:rPr>
                <w:color w:val="080C0F" w:themeColor="text1"/>
              </w:rPr>
            </w:pPr>
            <w:r w:rsidRPr="00730DE4">
              <w:rPr>
                <w:color w:val="080C0F" w:themeColor="text1"/>
              </w:rPr>
              <w:t xml:space="preserve">- </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7E090EC" w14:textId="77777777" w:rsidR="00730DE4" w:rsidRPr="00730DE4" w:rsidRDefault="00730DE4" w:rsidP="00336D40">
            <w:pPr>
              <w:pStyle w:val="NoSpacing"/>
              <w:jc w:val="right"/>
              <w:rPr>
                <w:color w:val="080C0F" w:themeColor="text1"/>
              </w:rPr>
            </w:pPr>
            <w:r w:rsidRPr="00730DE4">
              <w:rPr>
                <w:color w:val="080C0F" w:themeColor="text1"/>
              </w:rPr>
              <w:t xml:space="preserve">- </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D24AF5B" w14:textId="77777777" w:rsidR="00730DE4" w:rsidRPr="00730DE4" w:rsidRDefault="00730DE4" w:rsidP="00336D40">
            <w:pPr>
              <w:pStyle w:val="NoSpacing"/>
              <w:jc w:val="right"/>
              <w:rPr>
                <w:color w:val="080C0F" w:themeColor="text1"/>
              </w:rPr>
            </w:pPr>
            <w:r w:rsidRPr="00730DE4">
              <w:rPr>
                <w:color w:val="080C0F" w:themeColor="text1"/>
              </w:rPr>
              <w:t xml:space="preserve">- </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3683F8E" w14:textId="77777777" w:rsidR="00730DE4" w:rsidRPr="00730DE4" w:rsidRDefault="00730DE4" w:rsidP="00336D40">
            <w:pPr>
              <w:pStyle w:val="NoSpacing"/>
              <w:jc w:val="right"/>
              <w:rPr>
                <w:color w:val="080C0F" w:themeColor="text1"/>
              </w:rPr>
            </w:pPr>
            <w:r w:rsidRPr="00730DE4">
              <w:rPr>
                <w:color w:val="080C0F" w:themeColor="text1"/>
              </w:rPr>
              <w:t xml:space="preserve">- </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15AEA0D" w14:textId="77777777" w:rsidR="00730DE4" w:rsidRPr="00730DE4" w:rsidRDefault="00730DE4" w:rsidP="00336D40">
            <w:pPr>
              <w:pStyle w:val="NoSpacing"/>
              <w:jc w:val="right"/>
              <w:rPr>
                <w:color w:val="080C0F" w:themeColor="text1"/>
              </w:rPr>
            </w:pPr>
            <w:r w:rsidRPr="00730DE4">
              <w:rPr>
                <w:color w:val="080C0F" w:themeColor="text1"/>
              </w:rPr>
              <w:t xml:space="preserve">- </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7D1C8CB" w14:textId="77777777" w:rsidR="00730DE4" w:rsidRPr="00730DE4" w:rsidRDefault="00730DE4" w:rsidP="00336D40">
            <w:pPr>
              <w:pStyle w:val="NoSpacing"/>
              <w:jc w:val="right"/>
              <w:rPr>
                <w:color w:val="080C0F" w:themeColor="text1"/>
              </w:rPr>
            </w:pPr>
            <w:r w:rsidRPr="00730DE4">
              <w:rPr>
                <w:color w:val="080C0F" w:themeColor="text1"/>
              </w:rPr>
              <w:t xml:space="preserve">40,182 </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610E5F2" w14:textId="77777777" w:rsidR="00730DE4" w:rsidRPr="00730DE4" w:rsidRDefault="00730DE4" w:rsidP="00336D40">
            <w:pPr>
              <w:pStyle w:val="NoSpacing"/>
              <w:jc w:val="right"/>
              <w:rPr>
                <w:rStyle w:val="Strong"/>
              </w:rPr>
            </w:pPr>
            <w:r w:rsidRPr="00730DE4">
              <w:rPr>
                <w:rStyle w:val="Strong"/>
              </w:rPr>
              <w:t xml:space="preserve">40,182 </w:t>
            </w:r>
          </w:p>
        </w:tc>
      </w:tr>
      <w:tr w:rsidR="00730DE4" w:rsidRPr="00730DE4" w14:paraId="47B7889B" w14:textId="77777777" w:rsidTr="00253FBD">
        <w:trPr>
          <w:trHeight w:val="23"/>
        </w:trPr>
        <w:tc>
          <w:tcPr>
            <w:tcW w:w="1466"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center"/>
            <w:hideMark/>
          </w:tcPr>
          <w:p w14:paraId="0962A4CE" w14:textId="77777777" w:rsidR="00730DE4" w:rsidRPr="00730DE4" w:rsidRDefault="00730DE4" w:rsidP="004E3892">
            <w:pPr>
              <w:pStyle w:val="NoSpacing"/>
              <w:rPr>
                <w:color w:val="080C0F" w:themeColor="text1"/>
              </w:rPr>
            </w:pPr>
            <w:r w:rsidRPr="00730DE4">
              <w:rPr>
                <w:color w:val="080C0F" w:themeColor="text1"/>
              </w:rPr>
              <w:t>Disposals</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8591AD9" w14:textId="77777777" w:rsidR="00730DE4" w:rsidRPr="00730DE4" w:rsidRDefault="00730DE4" w:rsidP="00336D40">
            <w:pPr>
              <w:pStyle w:val="NoSpacing"/>
              <w:jc w:val="right"/>
              <w:rPr>
                <w:color w:val="080C0F" w:themeColor="text1"/>
              </w:rPr>
            </w:pPr>
            <w:r w:rsidRPr="00730DE4">
              <w:rPr>
                <w:color w:val="080C0F" w:themeColor="text1"/>
              </w:rPr>
              <w:t>(505)</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D67D085" w14:textId="77777777" w:rsidR="00730DE4" w:rsidRPr="00730DE4" w:rsidRDefault="00730DE4" w:rsidP="00336D40">
            <w:pPr>
              <w:pStyle w:val="NoSpacing"/>
              <w:jc w:val="right"/>
              <w:rPr>
                <w:color w:val="080C0F" w:themeColor="text1"/>
              </w:rPr>
            </w:pPr>
            <w:r w:rsidRPr="00730DE4">
              <w:rPr>
                <w:color w:val="080C0F" w:themeColor="text1"/>
              </w:rPr>
              <w:t>(1,723)</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2B7686B" w14:textId="77777777" w:rsidR="00730DE4" w:rsidRPr="00730DE4" w:rsidRDefault="00730DE4" w:rsidP="00336D40">
            <w:pPr>
              <w:pStyle w:val="NoSpacing"/>
              <w:jc w:val="right"/>
              <w:rPr>
                <w:color w:val="080C0F" w:themeColor="text1"/>
              </w:rPr>
            </w:pPr>
            <w:r w:rsidRPr="00730DE4">
              <w:rPr>
                <w:color w:val="080C0F" w:themeColor="text1"/>
              </w:rPr>
              <w:t>(1,463)</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12D8C24" w14:textId="77777777" w:rsidR="00730DE4" w:rsidRPr="00730DE4" w:rsidRDefault="00730DE4" w:rsidP="00336D40">
            <w:pPr>
              <w:pStyle w:val="NoSpacing"/>
              <w:jc w:val="right"/>
              <w:rPr>
                <w:color w:val="080C0F" w:themeColor="text1"/>
              </w:rPr>
            </w:pPr>
            <w:r w:rsidRPr="00730DE4">
              <w:rPr>
                <w:color w:val="080C0F" w:themeColor="text1"/>
              </w:rPr>
              <w:t xml:space="preserve">- </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B660E8D" w14:textId="77777777" w:rsidR="00730DE4" w:rsidRPr="00730DE4" w:rsidRDefault="00730DE4" w:rsidP="00336D40">
            <w:pPr>
              <w:pStyle w:val="NoSpacing"/>
              <w:jc w:val="right"/>
              <w:rPr>
                <w:color w:val="080C0F" w:themeColor="text1"/>
              </w:rPr>
            </w:pPr>
            <w:r w:rsidRPr="00730DE4">
              <w:rPr>
                <w:color w:val="080C0F" w:themeColor="text1"/>
              </w:rPr>
              <w:t>(5,294)</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5493062" w14:textId="77777777" w:rsidR="00730DE4" w:rsidRPr="00730DE4" w:rsidRDefault="00730DE4" w:rsidP="00336D40">
            <w:pPr>
              <w:pStyle w:val="NoSpacing"/>
              <w:jc w:val="right"/>
              <w:rPr>
                <w:color w:val="080C0F" w:themeColor="text1"/>
              </w:rPr>
            </w:pPr>
            <w:r w:rsidRPr="00730DE4">
              <w:rPr>
                <w:color w:val="080C0F" w:themeColor="text1"/>
              </w:rPr>
              <w:t xml:space="preserve">- </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3D1EE81" w14:textId="77777777" w:rsidR="00730DE4" w:rsidRPr="00730DE4" w:rsidRDefault="00730DE4" w:rsidP="00336D40">
            <w:pPr>
              <w:pStyle w:val="NoSpacing"/>
              <w:jc w:val="right"/>
              <w:rPr>
                <w:rStyle w:val="Strong"/>
              </w:rPr>
            </w:pPr>
            <w:r w:rsidRPr="00730DE4">
              <w:rPr>
                <w:rStyle w:val="Strong"/>
              </w:rPr>
              <w:t>(8,985)</w:t>
            </w:r>
          </w:p>
        </w:tc>
      </w:tr>
      <w:tr w:rsidR="00730DE4" w:rsidRPr="00730DE4" w14:paraId="64581A49" w14:textId="77777777" w:rsidTr="00253FBD">
        <w:trPr>
          <w:trHeight w:val="23"/>
        </w:trPr>
        <w:tc>
          <w:tcPr>
            <w:tcW w:w="1466"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center"/>
            <w:hideMark/>
          </w:tcPr>
          <w:p w14:paraId="67006F8F" w14:textId="77777777" w:rsidR="00730DE4" w:rsidRPr="00730DE4" w:rsidRDefault="00730DE4" w:rsidP="004E3892">
            <w:pPr>
              <w:pStyle w:val="NoSpacing"/>
              <w:rPr>
                <w:color w:val="080C0F" w:themeColor="text1"/>
              </w:rPr>
            </w:pPr>
            <w:r w:rsidRPr="00730DE4">
              <w:rPr>
                <w:color w:val="080C0F" w:themeColor="text1"/>
              </w:rPr>
              <w:t>Assets provided to third parties at below fair value</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6C4A535" w14:textId="77777777" w:rsidR="00730DE4" w:rsidRPr="00730DE4" w:rsidRDefault="00730DE4" w:rsidP="00336D40">
            <w:pPr>
              <w:pStyle w:val="NoSpacing"/>
              <w:jc w:val="right"/>
              <w:rPr>
                <w:color w:val="080C0F" w:themeColor="text1"/>
              </w:rPr>
            </w:pPr>
            <w:r w:rsidRPr="00730DE4">
              <w:rPr>
                <w:color w:val="080C0F" w:themeColor="text1"/>
              </w:rPr>
              <w:t xml:space="preserve">- </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1029715" w14:textId="77777777" w:rsidR="00730DE4" w:rsidRPr="00730DE4" w:rsidRDefault="00730DE4" w:rsidP="00336D40">
            <w:pPr>
              <w:pStyle w:val="NoSpacing"/>
              <w:jc w:val="right"/>
              <w:rPr>
                <w:color w:val="080C0F" w:themeColor="text1"/>
              </w:rPr>
            </w:pPr>
            <w:r w:rsidRPr="00730DE4">
              <w:rPr>
                <w:color w:val="080C0F" w:themeColor="text1"/>
              </w:rPr>
              <w:t xml:space="preserve">- </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B6AB647" w14:textId="77777777" w:rsidR="00730DE4" w:rsidRPr="00730DE4" w:rsidRDefault="00730DE4" w:rsidP="00336D40">
            <w:pPr>
              <w:pStyle w:val="NoSpacing"/>
              <w:jc w:val="right"/>
              <w:rPr>
                <w:color w:val="080C0F" w:themeColor="text1"/>
              </w:rPr>
            </w:pPr>
            <w:r w:rsidRPr="00730DE4">
              <w:rPr>
                <w:color w:val="080C0F" w:themeColor="text1"/>
              </w:rPr>
              <w:t>(2)</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7DF9DBB" w14:textId="77777777" w:rsidR="00730DE4" w:rsidRPr="00730DE4" w:rsidRDefault="00730DE4" w:rsidP="00336D40">
            <w:pPr>
              <w:pStyle w:val="NoSpacing"/>
              <w:jc w:val="right"/>
              <w:rPr>
                <w:color w:val="080C0F" w:themeColor="text1"/>
              </w:rPr>
            </w:pPr>
            <w:r w:rsidRPr="00730DE4">
              <w:rPr>
                <w:color w:val="080C0F" w:themeColor="text1"/>
              </w:rPr>
              <w:t xml:space="preserve">- </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8B2E3E8" w14:textId="77777777" w:rsidR="00730DE4" w:rsidRPr="00730DE4" w:rsidRDefault="00730DE4" w:rsidP="00336D40">
            <w:pPr>
              <w:pStyle w:val="NoSpacing"/>
              <w:jc w:val="right"/>
              <w:rPr>
                <w:color w:val="080C0F" w:themeColor="text1"/>
              </w:rPr>
            </w:pPr>
            <w:r w:rsidRPr="00730DE4">
              <w:rPr>
                <w:color w:val="080C0F" w:themeColor="text1"/>
              </w:rPr>
              <w:t>(202)</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1DDEE03" w14:textId="77777777" w:rsidR="00730DE4" w:rsidRPr="00730DE4" w:rsidRDefault="00730DE4" w:rsidP="00336D40">
            <w:pPr>
              <w:pStyle w:val="NoSpacing"/>
              <w:jc w:val="right"/>
              <w:rPr>
                <w:color w:val="080C0F" w:themeColor="text1"/>
              </w:rPr>
            </w:pPr>
            <w:r w:rsidRPr="00730DE4">
              <w:rPr>
                <w:color w:val="080C0F" w:themeColor="text1"/>
              </w:rPr>
              <w:t xml:space="preserve">- </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A009B71" w14:textId="77777777" w:rsidR="00730DE4" w:rsidRPr="00730DE4" w:rsidRDefault="00730DE4" w:rsidP="00336D40">
            <w:pPr>
              <w:pStyle w:val="NoSpacing"/>
              <w:jc w:val="right"/>
              <w:rPr>
                <w:rStyle w:val="Strong"/>
              </w:rPr>
            </w:pPr>
            <w:r w:rsidRPr="00730DE4">
              <w:rPr>
                <w:rStyle w:val="Strong"/>
              </w:rPr>
              <w:t>(204)</w:t>
            </w:r>
          </w:p>
        </w:tc>
      </w:tr>
      <w:tr w:rsidR="00730DE4" w:rsidRPr="00730DE4" w14:paraId="2C96EE38" w14:textId="77777777" w:rsidTr="00253FBD">
        <w:trPr>
          <w:trHeight w:val="23"/>
        </w:trPr>
        <w:tc>
          <w:tcPr>
            <w:tcW w:w="1466"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center"/>
            <w:hideMark/>
          </w:tcPr>
          <w:p w14:paraId="22F5535D" w14:textId="77777777" w:rsidR="00730DE4" w:rsidRPr="00730DE4" w:rsidRDefault="00730DE4" w:rsidP="004E3892">
            <w:pPr>
              <w:pStyle w:val="NoSpacing"/>
              <w:rPr>
                <w:color w:val="080C0F" w:themeColor="text1"/>
              </w:rPr>
            </w:pPr>
            <w:r w:rsidRPr="00730DE4">
              <w:rPr>
                <w:color w:val="080C0F" w:themeColor="text1"/>
              </w:rPr>
              <w:t>Assets reclassified as held for sale</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88BDF64" w14:textId="77777777" w:rsidR="00730DE4" w:rsidRPr="00730DE4" w:rsidRDefault="00730DE4" w:rsidP="00336D40">
            <w:pPr>
              <w:pStyle w:val="NoSpacing"/>
              <w:jc w:val="right"/>
              <w:rPr>
                <w:color w:val="080C0F" w:themeColor="text1"/>
              </w:rPr>
            </w:pPr>
            <w:r w:rsidRPr="00730DE4">
              <w:rPr>
                <w:color w:val="080C0F" w:themeColor="text1"/>
              </w:rPr>
              <w:t>(7,805)</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905D98A" w14:textId="77777777" w:rsidR="00730DE4" w:rsidRPr="00730DE4" w:rsidRDefault="00730DE4" w:rsidP="00336D40">
            <w:pPr>
              <w:pStyle w:val="NoSpacing"/>
              <w:jc w:val="right"/>
              <w:rPr>
                <w:color w:val="080C0F" w:themeColor="text1"/>
              </w:rPr>
            </w:pPr>
            <w:r w:rsidRPr="00730DE4">
              <w:rPr>
                <w:color w:val="080C0F" w:themeColor="text1"/>
              </w:rPr>
              <w:t>(779)</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07777A6" w14:textId="77777777" w:rsidR="00730DE4" w:rsidRPr="00730DE4" w:rsidRDefault="00730DE4" w:rsidP="00336D40">
            <w:pPr>
              <w:pStyle w:val="NoSpacing"/>
              <w:jc w:val="right"/>
              <w:rPr>
                <w:color w:val="080C0F" w:themeColor="text1"/>
              </w:rPr>
            </w:pPr>
            <w:r w:rsidRPr="00730DE4">
              <w:rPr>
                <w:color w:val="080C0F" w:themeColor="text1"/>
              </w:rPr>
              <w:t xml:space="preserve">- </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235E017" w14:textId="77777777" w:rsidR="00730DE4" w:rsidRPr="00730DE4" w:rsidRDefault="00730DE4" w:rsidP="00336D40">
            <w:pPr>
              <w:pStyle w:val="NoSpacing"/>
              <w:jc w:val="right"/>
              <w:rPr>
                <w:color w:val="080C0F" w:themeColor="text1"/>
              </w:rPr>
            </w:pPr>
            <w:r w:rsidRPr="00730DE4">
              <w:rPr>
                <w:color w:val="080C0F" w:themeColor="text1"/>
              </w:rPr>
              <w:t xml:space="preserve">- </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7E2A275" w14:textId="77777777" w:rsidR="00730DE4" w:rsidRPr="00730DE4" w:rsidRDefault="00730DE4" w:rsidP="00336D40">
            <w:pPr>
              <w:pStyle w:val="NoSpacing"/>
              <w:jc w:val="right"/>
              <w:rPr>
                <w:color w:val="080C0F" w:themeColor="text1"/>
              </w:rPr>
            </w:pPr>
            <w:r w:rsidRPr="00730DE4">
              <w:rPr>
                <w:color w:val="080C0F" w:themeColor="text1"/>
              </w:rPr>
              <w:t xml:space="preserve">- </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C7F1CA7" w14:textId="77777777" w:rsidR="00730DE4" w:rsidRPr="00730DE4" w:rsidRDefault="00730DE4" w:rsidP="00336D40">
            <w:pPr>
              <w:pStyle w:val="NoSpacing"/>
              <w:jc w:val="right"/>
              <w:rPr>
                <w:color w:val="080C0F" w:themeColor="text1"/>
              </w:rPr>
            </w:pPr>
            <w:r w:rsidRPr="00730DE4">
              <w:rPr>
                <w:color w:val="080C0F" w:themeColor="text1"/>
              </w:rPr>
              <w:t xml:space="preserve">- </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37AE458" w14:textId="77777777" w:rsidR="00730DE4" w:rsidRPr="00730DE4" w:rsidRDefault="00730DE4" w:rsidP="00336D40">
            <w:pPr>
              <w:pStyle w:val="NoSpacing"/>
              <w:jc w:val="right"/>
              <w:rPr>
                <w:rStyle w:val="Strong"/>
              </w:rPr>
            </w:pPr>
            <w:r w:rsidRPr="00730DE4">
              <w:rPr>
                <w:rStyle w:val="Strong"/>
              </w:rPr>
              <w:t>(8,584)</w:t>
            </w:r>
          </w:p>
        </w:tc>
      </w:tr>
      <w:tr w:rsidR="00730DE4" w:rsidRPr="00730DE4" w14:paraId="31F4C712" w14:textId="77777777" w:rsidTr="00253FBD">
        <w:trPr>
          <w:trHeight w:val="23"/>
        </w:trPr>
        <w:tc>
          <w:tcPr>
            <w:tcW w:w="1466"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center"/>
            <w:hideMark/>
          </w:tcPr>
          <w:p w14:paraId="353DA38D" w14:textId="77777777" w:rsidR="00730DE4" w:rsidRPr="00730DE4" w:rsidRDefault="00730DE4" w:rsidP="004E3892">
            <w:pPr>
              <w:pStyle w:val="NoSpacing"/>
              <w:rPr>
                <w:color w:val="080C0F" w:themeColor="text1"/>
              </w:rPr>
            </w:pPr>
            <w:r w:rsidRPr="00730DE4">
              <w:rPr>
                <w:color w:val="080C0F" w:themeColor="text1"/>
              </w:rPr>
              <w:t>Projects written off</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8B81D76" w14:textId="77777777" w:rsidR="00730DE4" w:rsidRPr="00730DE4" w:rsidRDefault="00730DE4" w:rsidP="00336D40">
            <w:pPr>
              <w:pStyle w:val="NoSpacing"/>
              <w:jc w:val="right"/>
              <w:rPr>
                <w:color w:val="080C0F" w:themeColor="text1"/>
              </w:rPr>
            </w:pPr>
            <w:r w:rsidRPr="00730DE4">
              <w:rPr>
                <w:color w:val="080C0F" w:themeColor="text1"/>
              </w:rPr>
              <w:t xml:space="preserve">- </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A4EE50C" w14:textId="77777777" w:rsidR="00730DE4" w:rsidRPr="00730DE4" w:rsidRDefault="00730DE4" w:rsidP="00336D40">
            <w:pPr>
              <w:pStyle w:val="NoSpacing"/>
              <w:jc w:val="right"/>
              <w:rPr>
                <w:color w:val="080C0F" w:themeColor="text1"/>
              </w:rPr>
            </w:pPr>
            <w:r w:rsidRPr="00730DE4">
              <w:rPr>
                <w:color w:val="080C0F" w:themeColor="text1"/>
              </w:rPr>
              <w:t xml:space="preserve">- </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FB5EB80" w14:textId="77777777" w:rsidR="00730DE4" w:rsidRPr="00730DE4" w:rsidRDefault="00730DE4" w:rsidP="00336D40">
            <w:pPr>
              <w:pStyle w:val="NoSpacing"/>
              <w:jc w:val="right"/>
              <w:rPr>
                <w:color w:val="080C0F" w:themeColor="text1"/>
              </w:rPr>
            </w:pPr>
            <w:r w:rsidRPr="00730DE4">
              <w:rPr>
                <w:color w:val="080C0F" w:themeColor="text1"/>
              </w:rPr>
              <w:t xml:space="preserve">- </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1188E27" w14:textId="77777777" w:rsidR="00730DE4" w:rsidRPr="00730DE4" w:rsidRDefault="00730DE4" w:rsidP="00336D40">
            <w:pPr>
              <w:pStyle w:val="NoSpacing"/>
              <w:jc w:val="right"/>
              <w:rPr>
                <w:color w:val="080C0F" w:themeColor="text1"/>
              </w:rPr>
            </w:pPr>
            <w:r w:rsidRPr="00730DE4">
              <w:rPr>
                <w:color w:val="080C0F" w:themeColor="text1"/>
              </w:rPr>
              <w:t xml:space="preserve">- </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612435D" w14:textId="77777777" w:rsidR="00730DE4" w:rsidRPr="00730DE4" w:rsidRDefault="00730DE4" w:rsidP="00336D40">
            <w:pPr>
              <w:pStyle w:val="NoSpacing"/>
              <w:jc w:val="right"/>
              <w:rPr>
                <w:color w:val="080C0F" w:themeColor="text1"/>
              </w:rPr>
            </w:pPr>
            <w:r w:rsidRPr="00730DE4">
              <w:rPr>
                <w:color w:val="080C0F" w:themeColor="text1"/>
              </w:rPr>
              <w:t xml:space="preserve">- </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5AF0E6A" w14:textId="77777777" w:rsidR="00730DE4" w:rsidRPr="00730DE4" w:rsidRDefault="00730DE4" w:rsidP="00336D40">
            <w:pPr>
              <w:pStyle w:val="NoSpacing"/>
              <w:jc w:val="right"/>
              <w:rPr>
                <w:color w:val="080C0F" w:themeColor="text1"/>
              </w:rPr>
            </w:pPr>
            <w:r w:rsidRPr="00730DE4">
              <w:rPr>
                <w:color w:val="080C0F" w:themeColor="text1"/>
              </w:rPr>
              <w:t>(931)</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7C8EB39" w14:textId="77777777" w:rsidR="00730DE4" w:rsidRPr="00730DE4" w:rsidRDefault="00730DE4" w:rsidP="00336D40">
            <w:pPr>
              <w:pStyle w:val="NoSpacing"/>
              <w:jc w:val="right"/>
              <w:rPr>
                <w:rStyle w:val="Strong"/>
              </w:rPr>
            </w:pPr>
            <w:r w:rsidRPr="00730DE4">
              <w:rPr>
                <w:rStyle w:val="Strong"/>
              </w:rPr>
              <w:t>(931)</w:t>
            </w:r>
          </w:p>
        </w:tc>
      </w:tr>
      <w:tr w:rsidR="00730DE4" w:rsidRPr="00730DE4" w14:paraId="3B67CAA8" w14:textId="77777777" w:rsidTr="00BB6361">
        <w:trPr>
          <w:trHeight w:val="23"/>
        </w:trPr>
        <w:tc>
          <w:tcPr>
            <w:tcW w:w="1466"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center"/>
            <w:hideMark/>
          </w:tcPr>
          <w:p w14:paraId="1685BD75" w14:textId="77777777" w:rsidR="00730DE4" w:rsidRPr="00730DE4" w:rsidRDefault="00730DE4" w:rsidP="004E3892">
            <w:pPr>
              <w:pStyle w:val="NoSpacing"/>
              <w:rPr>
                <w:color w:val="080C0F" w:themeColor="text1"/>
              </w:rPr>
            </w:pPr>
            <w:r w:rsidRPr="00730DE4">
              <w:rPr>
                <w:color w:val="080C0F" w:themeColor="text1"/>
              </w:rPr>
              <w:t>Net revaluation increments</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3C1E2A9" w14:textId="77777777" w:rsidR="00730DE4" w:rsidRPr="00730DE4" w:rsidRDefault="00730DE4" w:rsidP="00336D40">
            <w:pPr>
              <w:pStyle w:val="NoSpacing"/>
              <w:jc w:val="right"/>
              <w:rPr>
                <w:color w:val="080C0F" w:themeColor="text1"/>
              </w:rPr>
            </w:pPr>
            <w:r w:rsidRPr="00730DE4">
              <w:rPr>
                <w:color w:val="080C0F" w:themeColor="text1"/>
              </w:rPr>
              <w:t xml:space="preserve">707,237 </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02126DD" w14:textId="77777777" w:rsidR="00730DE4" w:rsidRPr="00730DE4" w:rsidRDefault="00730DE4" w:rsidP="00336D40">
            <w:pPr>
              <w:pStyle w:val="NoSpacing"/>
              <w:jc w:val="right"/>
              <w:rPr>
                <w:color w:val="080C0F" w:themeColor="text1"/>
              </w:rPr>
            </w:pPr>
            <w:r w:rsidRPr="00730DE4">
              <w:rPr>
                <w:color w:val="080C0F" w:themeColor="text1"/>
              </w:rPr>
              <w:t xml:space="preserve">83,168 </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2DCD256" w14:textId="77777777" w:rsidR="00730DE4" w:rsidRPr="00730DE4" w:rsidRDefault="00730DE4" w:rsidP="00336D40">
            <w:pPr>
              <w:pStyle w:val="NoSpacing"/>
              <w:jc w:val="right"/>
              <w:rPr>
                <w:color w:val="080C0F" w:themeColor="text1"/>
              </w:rPr>
            </w:pPr>
            <w:r w:rsidRPr="00730DE4">
              <w:rPr>
                <w:color w:val="080C0F" w:themeColor="text1"/>
              </w:rPr>
              <w:t xml:space="preserve">- </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C7E1638" w14:textId="77777777" w:rsidR="00730DE4" w:rsidRPr="00730DE4" w:rsidRDefault="00730DE4" w:rsidP="00336D40">
            <w:pPr>
              <w:pStyle w:val="NoSpacing"/>
              <w:jc w:val="right"/>
              <w:rPr>
                <w:color w:val="080C0F" w:themeColor="text1"/>
              </w:rPr>
            </w:pPr>
            <w:r w:rsidRPr="00730DE4">
              <w:rPr>
                <w:color w:val="080C0F" w:themeColor="text1"/>
              </w:rPr>
              <w:t xml:space="preserve">45,143 </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C272841" w14:textId="77777777" w:rsidR="00730DE4" w:rsidRPr="00730DE4" w:rsidRDefault="00730DE4" w:rsidP="00336D40">
            <w:pPr>
              <w:pStyle w:val="NoSpacing"/>
              <w:jc w:val="right"/>
              <w:rPr>
                <w:color w:val="080C0F" w:themeColor="text1"/>
              </w:rPr>
            </w:pPr>
            <w:r w:rsidRPr="00730DE4">
              <w:rPr>
                <w:color w:val="080C0F" w:themeColor="text1"/>
              </w:rPr>
              <w:t xml:space="preserve">12,943,375 </w:t>
            </w:r>
          </w:p>
        </w:tc>
        <w:tc>
          <w:tcPr>
            <w:tcW w:w="5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5400B25" w14:textId="77777777" w:rsidR="00730DE4" w:rsidRPr="00730DE4" w:rsidRDefault="00730DE4" w:rsidP="00336D40">
            <w:pPr>
              <w:pStyle w:val="NoSpacing"/>
              <w:jc w:val="right"/>
              <w:rPr>
                <w:color w:val="080C0F" w:themeColor="text1"/>
              </w:rPr>
            </w:pPr>
            <w:r w:rsidRPr="00730DE4">
              <w:rPr>
                <w:color w:val="080C0F" w:themeColor="text1"/>
              </w:rPr>
              <w:t xml:space="preserve">- </w:t>
            </w:r>
          </w:p>
        </w:tc>
        <w:tc>
          <w:tcPr>
            <w:tcW w:w="504"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4F879DC" w14:textId="77777777" w:rsidR="00730DE4" w:rsidRPr="00730DE4" w:rsidRDefault="00730DE4" w:rsidP="00336D40">
            <w:pPr>
              <w:pStyle w:val="NoSpacing"/>
              <w:jc w:val="right"/>
              <w:rPr>
                <w:rStyle w:val="Strong"/>
              </w:rPr>
            </w:pPr>
            <w:r w:rsidRPr="00730DE4">
              <w:rPr>
                <w:rStyle w:val="Strong"/>
              </w:rPr>
              <w:t xml:space="preserve">13,778,923 </w:t>
            </w:r>
          </w:p>
        </w:tc>
      </w:tr>
      <w:tr w:rsidR="00730DE4" w:rsidRPr="00730DE4" w14:paraId="1E14B29D" w14:textId="77777777" w:rsidTr="00BB6361">
        <w:trPr>
          <w:trHeight w:val="23"/>
        </w:trPr>
        <w:tc>
          <w:tcPr>
            <w:tcW w:w="1466"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center"/>
            <w:hideMark/>
          </w:tcPr>
          <w:p w14:paraId="17D671CA" w14:textId="77777777" w:rsidR="00730DE4" w:rsidRPr="00730DE4" w:rsidRDefault="00730DE4" w:rsidP="004E3892">
            <w:pPr>
              <w:pStyle w:val="NoSpacing"/>
              <w:rPr>
                <w:color w:val="080C0F" w:themeColor="text1"/>
              </w:rPr>
            </w:pPr>
            <w:r w:rsidRPr="00730DE4">
              <w:rPr>
                <w:color w:val="080C0F" w:themeColor="text1"/>
              </w:rPr>
              <w:t>Depreciation</w:t>
            </w:r>
          </w:p>
        </w:tc>
        <w:tc>
          <w:tcPr>
            <w:tcW w:w="505"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18D8154C" w14:textId="77777777" w:rsidR="00730DE4" w:rsidRPr="00730DE4" w:rsidRDefault="00730DE4" w:rsidP="00336D40">
            <w:pPr>
              <w:pStyle w:val="NoSpacing"/>
              <w:jc w:val="right"/>
              <w:rPr>
                <w:color w:val="080C0F" w:themeColor="text1"/>
              </w:rPr>
            </w:pPr>
            <w:r w:rsidRPr="00730DE4">
              <w:rPr>
                <w:color w:val="080C0F" w:themeColor="text1"/>
              </w:rPr>
              <w:t xml:space="preserve">- </w:t>
            </w:r>
          </w:p>
        </w:tc>
        <w:tc>
          <w:tcPr>
            <w:tcW w:w="505"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34B5BFF4" w14:textId="77777777" w:rsidR="00730DE4" w:rsidRPr="00730DE4" w:rsidRDefault="00730DE4" w:rsidP="00336D40">
            <w:pPr>
              <w:pStyle w:val="NoSpacing"/>
              <w:jc w:val="right"/>
              <w:rPr>
                <w:color w:val="080C0F" w:themeColor="text1"/>
              </w:rPr>
            </w:pPr>
            <w:r w:rsidRPr="00730DE4">
              <w:rPr>
                <w:color w:val="080C0F" w:themeColor="text1"/>
              </w:rPr>
              <w:t>(59,991)</w:t>
            </w:r>
          </w:p>
        </w:tc>
        <w:tc>
          <w:tcPr>
            <w:tcW w:w="505"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3B91C816" w14:textId="77777777" w:rsidR="00730DE4" w:rsidRPr="00730DE4" w:rsidRDefault="00730DE4" w:rsidP="00336D40">
            <w:pPr>
              <w:pStyle w:val="NoSpacing"/>
              <w:jc w:val="right"/>
              <w:rPr>
                <w:color w:val="080C0F" w:themeColor="text1"/>
              </w:rPr>
            </w:pPr>
            <w:r w:rsidRPr="00730DE4">
              <w:rPr>
                <w:color w:val="080C0F" w:themeColor="text1"/>
              </w:rPr>
              <w:t>(40,406)</w:t>
            </w:r>
          </w:p>
        </w:tc>
        <w:tc>
          <w:tcPr>
            <w:tcW w:w="505"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62B5C2AA" w14:textId="77777777" w:rsidR="00730DE4" w:rsidRPr="00730DE4" w:rsidRDefault="00730DE4" w:rsidP="00336D40">
            <w:pPr>
              <w:pStyle w:val="NoSpacing"/>
              <w:jc w:val="right"/>
              <w:rPr>
                <w:color w:val="080C0F" w:themeColor="text1"/>
              </w:rPr>
            </w:pPr>
            <w:r w:rsidRPr="00730DE4">
              <w:rPr>
                <w:color w:val="080C0F" w:themeColor="text1"/>
              </w:rPr>
              <w:t>(46,951)</w:t>
            </w:r>
          </w:p>
        </w:tc>
        <w:tc>
          <w:tcPr>
            <w:tcW w:w="505"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71F9E951" w14:textId="77777777" w:rsidR="00730DE4" w:rsidRPr="00730DE4" w:rsidRDefault="00730DE4" w:rsidP="00336D40">
            <w:pPr>
              <w:pStyle w:val="NoSpacing"/>
              <w:jc w:val="right"/>
              <w:rPr>
                <w:color w:val="080C0F" w:themeColor="text1"/>
              </w:rPr>
            </w:pPr>
            <w:r w:rsidRPr="00730DE4">
              <w:rPr>
                <w:color w:val="080C0F" w:themeColor="text1"/>
              </w:rPr>
              <w:t>(1,157,193)</w:t>
            </w:r>
          </w:p>
        </w:tc>
        <w:tc>
          <w:tcPr>
            <w:tcW w:w="505"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1B78C868" w14:textId="77777777" w:rsidR="00730DE4" w:rsidRPr="00730DE4" w:rsidRDefault="00730DE4" w:rsidP="00336D40">
            <w:pPr>
              <w:pStyle w:val="NoSpacing"/>
              <w:jc w:val="right"/>
              <w:rPr>
                <w:color w:val="080C0F" w:themeColor="text1"/>
              </w:rPr>
            </w:pPr>
            <w:r w:rsidRPr="00730DE4">
              <w:rPr>
                <w:color w:val="080C0F" w:themeColor="text1"/>
              </w:rPr>
              <w:t xml:space="preserve">- </w:t>
            </w:r>
          </w:p>
        </w:tc>
        <w:tc>
          <w:tcPr>
            <w:tcW w:w="504"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03ACFA8D" w14:textId="77777777" w:rsidR="00730DE4" w:rsidRPr="00730DE4" w:rsidRDefault="00730DE4" w:rsidP="00336D40">
            <w:pPr>
              <w:pStyle w:val="NoSpacing"/>
              <w:jc w:val="right"/>
              <w:rPr>
                <w:rStyle w:val="Strong"/>
              </w:rPr>
            </w:pPr>
            <w:r w:rsidRPr="00730DE4">
              <w:rPr>
                <w:rStyle w:val="Strong"/>
              </w:rPr>
              <w:t>(1,304,541)</w:t>
            </w:r>
          </w:p>
        </w:tc>
      </w:tr>
      <w:tr w:rsidR="00730DE4" w:rsidRPr="00730DE4" w14:paraId="71A301AA" w14:textId="77777777" w:rsidTr="00BB6361">
        <w:tc>
          <w:tcPr>
            <w:tcW w:w="1466"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1B14FE24" w14:textId="77777777" w:rsidR="00730DE4" w:rsidRPr="00730DE4" w:rsidRDefault="00730DE4" w:rsidP="00CC3DB6">
            <w:pPr>
              <w:pStyle w:val="NoSpacing"/>
              <w:rPr>
                <w:color w:val="080C0F" w:themeColor="text1"/>
              </w:rPr>
            </w:pPr>
            <w:r w:rsidRPr="00730DE4">
              <w:rPr>
                <w:rStyle w:val="Strong"/>
              </w:rPr>
              <w:t>Carrying amount at 30 June</w:t>
            </w:r>
          </w:p>
        </w:tc>
        <w:tc>
          <w:tcPr>
            <w:tcW w:w="505"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0F665B09" w14:textId="77777777" w:rsidR="00730DE4" w:rsidRPr="00730DE4" w:rsidRDefault="00730DE4" w:rsidP="00CC3DB6">
            <w:pPr>
              <w:pStyle w:val="NoSpacing"/>
              <w:jc w:val="right"/>
              <w:rPr>
                <w:color w:val="080C0F" w:themeColor="text1"/>
              </w:rPr>
            </w:pPr>
            <w:r w:rsidRPr="00730DE4">
              <w:rPr>
                <w:rStyle w:val="Strong"/>
              </w:rPr>
              <w:t xml:space="preserve">7,032,920 </w:t>
            </w:r>
          </w:p>
        </w:tc>
        <w:tc>
          <w:tcPr>
            <w:tcW w:w="505"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64BF2556" w14:textId="77777777" w:rsidR="00730DE4" w:rsidRPr="00730DE4" w:rsidRDefault="00730DE4" w:rsidP="00CC3DB6">
            <w:pPr>
              <w:pStyle w:val="NoSpacing"/>
              <w:jc w:val="right"/>
              <w:rPr>
                <w:color w:val="080C0F" w:themeColor="text1"/>
              </w:rPr>
            </w:pPr>
            <w:r w:rsidRPr="00730DE4">
              <w:rPr>
                <w:rStyle w:val="Strong"/>
              </w:rPr>
              <w:t xml:space="preserve">893,549 </w:t>
            </w:r>
          </w:p>
        </w:tc>
        <w:tc>
          <w:tcPr>
            <w:tcW w:w="505"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14082F82" w14:textId="77777777" w:rsidR="00730DE4" w:rsidRPr="00730DE4" w:rsidRDefault="00730DE4" w:rsidP="00CC3DB6">
            <w:pPr>
              <w:pStyle w:val="NoSpacing"/>
              <w:jc w:val="right"/>
              <w:rPr>
                <w:color w:val="080C0F" w:themeColor="text1"/>
              </w:rPr>
            </w:pPr>
            <w:r w:rsidRPr="00730DE4">
              <w:rPr>
                <w:rStyle w:val="Strong"/>
              </w:rPr>
              <w:t xml:space="preserve">215,986 </w:t>
            </w:r>
          </w:p>
        </w:tc>
        <w:tc>
          <w:tcPr>
            <w:tcW w:w="505"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19134AD9" w14:textId="77777777" w:rsidR="00730DE4" w:rsidRPr="00730DE4" w:rsidRDefault="00730DE4" w:rsidP="00CC3DB6">
            <w:pPr>
              <w:pStyle w:val="NoSpacing"/>
              <w:jc w:val="right"/>
              <w:rPr>
                <w:color w:val="080C0F" w:themeColor="text1"/>
              </w:rPr>
            </w:pPr>
            <w:r w:rsidRPr="00730DE4">
              <w:rPr>
                <w:rStyle w:val="Strong"/>
              </w:rPr>
              <w:t xml:space="preserve">1,282,426 </w:t>
            </w:r>
          </w:p>
        </w:tc>
        <w:tc>
          <w:tcPr>
            <w:tcW w:w="505"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142B184A" w14:textId="77777777" w:rsidR="00730DE4" w:rsidRPr="00730DE4" w:rsidRDefault="00730DE4" w:rsidP="00CC3DB6">
            <w:pPr>
              <w:pStyle w:val="NoSpacing"/>
              <w:jc w:val="right"/>
              <w:rPr>
                <w:color w:val="080C0F" w:themeColor="text1"/>
              </w:rPr>
            </w:pPr>
            <w:r w:rsidRPr="00730DE4">
              <w:rPr>
                <w:rStyle w:val="Strong"/>
              </w:rPr>
              <w:t xml:space="preserve">86,560,344 </w:t>
            </w:r>
          </w:p>
        </w:tc>
        <w:tc>
          <w:tcPr>
            <w:tcW w:w="505"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544F7DDD" w14:textId="77777777" w:rsidR="00730DE4" w:rsidRPr="00730DE4" w:rsidRDefault="00730DE4" w:rsidP="00CC3DB6">
            <w:pPr>
              <w:pStyle w:val="NoSpacing"/>
              <w:jc w:val="right"/>
              <w:rPr>
                <w:color w:val="080C0F" w:themeColor="text1"/>
              </w:rPr>
            </w:pPr>
            <w:r w:rsidRPr="00730DE4">
              <w:rPr>
                <w:rStyle w:val="Strong"/>
              </w:rPr>
              <w:t xml:space="preserve">8,510,845 </w:t>
            </w:r>
          </w:p>
        </w:tc>
        <w:tc>
          <w:tcPr>
            <w:tcW w:w="504" w:type="pct"/>
            <w:tcBorders>
              <w:top w:val="single" w:sz="4" w:space="0" w:color="auto"/>
              <w:left w:val="dotted" w:sz="4" w:space="0" w:color="BFBFBF" w:themeColor="background1" w:themeShade="BF"/>
              <w:bottom w:val="double" w:sz="4" w:space="0" w:color="auto"/>
              <w:right w:val="nil"/>
            </w:tcBorders>
            <w:shd w:val="clear" w:color="auto" w:fill="auto"/>
            <w:noWrap/>
            <w:hideMark/>
          </w:tcPr>
          <w:p w14:paraId="089C5CDB" w14:textId="77777777" w:rsidR="00730DE4" w:rsidRPr="00730DE4" w:rsidRDefault="00730DE4" w:rsidP="00CC3DB6">
            <w:pPr>
              <w:pStyle w:val="NoSpacing"/>
              <w:jc w:val="right"/>
              <w:rPr>
                <w:rStyle w:val="Strong"/>
              </w:rPr>
            </w:pPr>
            <w:r w:rsidRPr="00730DE4">
              <w:rPr>
                <w:rStyle w:val="Strong"/>
              </w:rPr>
              <w:t xml:space="preserve">104,496,070 </w:t>
            </w:r>
          </w:p>
        </w:tc>
      </w:tr>
    </w:tbl>
    <w:p w14:paraId="7E7E45AA" w14:textId="6BC7AD53" w:rsidR="00730DE4" w:rsidRPr="00730DE4" w:rsidRDefault="00730DE4" w:rsidP="005B60B8">
      <w:pPr>
        <w:pStyle w:val="Heading5"/>
      </w:pPr>
      <w:bookmarkStart w:id="1520" w:name="_Toc180487731"/>
      <w:bookmarkStart w:id="1521" w:name="_Toc180490936"/>
      <w:bookmarkStart w:id="1522" w:name="_Toc180491969"/>
      <w:r w:rsidRPr="00730DE4">
        <w:t>Fair value reconciliation for land and building assets classified as level 3 – fair value substantially derived from unobservable inputs (refer to the following accounting policy)</w:t>
      </w:r>
      <w:bookmarkEnd w:id="1520"/>
      <w:bookmarkEnd w:id="1521"/>
      <w:bookmarkEnd w:id="1522"/>
    </w:p>
    <w:tbl>
      <w:tblPr>
        <w:tblW w:w="2467" w:type="pct"/>
        <w:tblCellMar>
          <w:top w:w="23" w:type="dxa"/>
          <w:left w:w="23" w:type="dxa"/>
          <w:bottom w:w="23" w:type="dxa"/>
          <w:right w:w="23" w:type="dxa"/>
        </w:tblCellMar>
        <w:tblLook w:val="04A0" w:firstRow="1" w:lastRow="0" w:firstColumn="1" w:lastColumn="0" w:noHBand="0" w:noVBand="1"/>
      </w:tblPr>
      <w:tblGrid>
        <w:gridCol w:w="6097"/>
        <w:gridCol w:w="2126"/>
        <w:gridCol w:w="2126"/>
      </w:tblGrid>
      <w:tr w:rsidR="00730DE4" w:rsidRPr="00730DE4" w14:paraId="26CC5832" w14:textId="77777777" w:rsidTr="00253FBD">
        <w:trPr>
          <w:trHeight w:val="170"/>
        </w:trPr>
        <w:tc>
          <w:tcPr>
            <w:tcW w:w="2946" w:type="pct"/>
            <w:tcBorders>
              <w:top w:val="nil"/>
              <w:left w:val="nil"/>
              <w:bottom w:val="single" w:sz="4" w:space="0" w:color="auto"/>
              <w:right w:val="nil"/>
            </w:tcBorders>
            <w:shd w:val="clear" w:color="auto" w:fill="auto"/>
            <w:noWrap/>
            <w:vAlign w:val="center"/>
            <w:hideMark/>
          </w:tcPr>
          <w:p w14:paraId="4D4385CA" w14:textId="77777777" w:rsidR="00730DE4" w:rsidRPr="00730DE4" w:rsidRDefault="00730DE4" w:rsidP="00B4621B">
            <w:pPr>
              <w:pStyle w:val="NoSpacing"/>
              <w:rPr>
                <w:b/>
                <w:bCs/>
              </w:rPr>
            </w:pPr>
          </w:p>
        </w:tc>
        <w:tc>
          <w:tcPr>
            <w:tcW w:w="1027" w:type="pct"/>
            <w:tcBorders>
              <w:top w:val="nil"/>
              <w:left w:val="nil"/>
              <w:bottom w:val="single" w:sz="4" w:space="0" w:color="auto"/>
              <w:right w:val="nil"/>
            </w:tcBorders>
            <w:shd w:val="clear" w:color="auto" w:fill="auto"/>
            <w:noWrap/>
            <w:vAlign w:val="bottom"/>
            <w:hideMark/>
          </w:tcPr>
          <w:p w14:paraId="32707A1D" w14:textId="77777777" w:rsidR="00730DE4" w:rsidRPr="00730DE4" w:rsidRDefault="00730DE4" w:rsidP="00B4621B">
            <w:pPr>
              <w:pStyle w:val="NoSpacing"/>
              <w:jc w:val="right"/>
              <w:rPr>
                <w:b/>
                <w:bCs/>
              </w:rPr>
            </w:pPr>
            <w:r w:rsidRPr="00730DE4">
              <w:rPr>
                <w:rStyle w:val="Strong"/>
              </w:rPr>
              <w:t xml:space="preserve">Land </w:t>
            </w:r>
            <w:r w:rsidRPr="00730DE4">
              <w:rPr>
                <w:rStyle w:val="Strong"/>
              </w:rPr>
              <w:br/>
            </w:r>
            <w:r w:rsidRPr="00730DE4">
              <w:rPr>
                <w:rStyle w:val="Strong"/>
              </w:rPr>
              <w:br/>
              <w:t xml:space="preserve">2023 </w:t>
            </w:r>
            <w:r w:rsidRPr="00730DE4">
              <w:rPr>
                <w:rStyle w:val="Strong"/>
              </w:rPr>
              <w:br/>
              <w:t>$'000</w:t>
            </w:r>
          </w:p>
        </w:tc>
        <w:tc>
          <w:tcPr>
            <w:tcW w:w="1027" w:type="pct"/>
            <w:tcBorders>
              <w:top w:val="nil"/>
              <w:left w:val="nil"/>
              <w:bottom w:val="single" w:sz="4" w:space="0" w:color="auto"/>
              <w:right w:val="nil"/>
            </w:tcBorders>
            <w:shd w:val="clear" w:color="auto" w:fill="auto"/>
            <w:noWrap/>
            <w:vAlign w:val="bottom"/>
            <w:hideMark/>
          </w:tcPr>
          <w:p w14:paraId="20097B4F" w14:textId="77777777" w:rsidR="00730DE4" w:rsidRPr="00730DE4" w:rsidRDefault="00730DE4" w:rsidP="00B4621B">
            <w:pPr>
              <w:pStyle w:val="NoSpacing"/>
              <w:jc w:val="right"/>
              <w:rPr>
                <w:rStyle w:val="Strong"/>
              </w:rPr>
            </w:pPr>
            <w:r w:rsidRPr="00730DE4">
              <w:rPr>
                <w:rStyle w:val="Strong"/>
              </w:rPr>
              <w:t xml:space="preserve">Buildings </w:t>
            </w:r>
            <w:r w:rsidRPr="00730DE4">
              <w:rPr>
                <w:rStyle w:val="Strong"/>
              </w:rPr>
              <w:br/>
            </w:r>
            <w:r w:rsidRPr="00730DE4">
              <w:rPr>
                <w:rStyle w:val="Strong"/>
              </w:rPr>
              <w:br/>
              <w:t xml:space="preserve">2023 </w:t>
            </w:r>
            <w:r w:rsidRPr="00730DE4">
              <w:rPr>
                <w:rStyle w:val="Strong"/>
              </w:rPr>
              <w:br/>
              <w:t>$'000</w:t>
            </w:r>
          </w:p>
        </w:tc>
      </w:tr>
      <w:tr w:rsidR="00730DE4" w:rsidRPr="00730DE4" w14:paraId="244C625A" w14:textId="77777777" w:rsidTr="00253FBD">
        <w:trPr>
          <w:trHeight w:val="170"/>
        </w:trPr>
        <w:tc>
          <w:tcPr>
            <w:tcW w:w="2946"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vAlign w:val="center"/>
            <w:hideMark/>
          </w:tcPr>
          <w:p w14:paraId="08604F7B" w14:textId="77777777" w:rsidR="00730DE4" w:rsidRPr="00730DE4" w:rsidRDefault="00730DE4" w:rsidP="00B4621B">
            <w:pPr>
              <w:pStyle w:val="NoSpacing"/>
            </w:pPr>
            <w:r w:rsidRPr="00730DE4">
              <w:t>Carrying amount at 1 July</w:t>
            </w:r>
          </w:p>
        </w:tc>
        <w:tc>
          <w:tcPr>
            <w:tcW w:w="1027"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1D5E8F0" w14:textId="77777777" w:rsidR="00730DE4" w:rsidRPr="00730DE4" w:rsidRDefault="00730DE4" w:rsidP="00B4621B">
            <w:pPr>
              <w:pStyle w:val="NoSpacing"/>
              <w:jc w:val="right"/>
            </w:pPr>
            <w:r w:rsidRPr="00730DE4">
              <w:t xml:space="preserve">104,828 </w:t>
            </w:r>
          </w:p>
        </w:tc>
        <w:tc>
          <w:tcPr>
            <w:tcW w:w="1027"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656356D" w14:textId="77777777" w:rsidR="00730DE4" w:rsidRPr="00730DE4" w:rsidRDefault="00730DE4" w:rsidP="00B4621B">
            <w:pPr>
              <w:pStyle w:val="NoSpacing"/>
              <w:jc w:val="right"/>
            </w:pPr>
            <w:r w:rsidRPr="00730DE4">
              <w:t xml:space="preserve">528,237 </w:t>
            </w:r>
          </w:p>
        </w:tc>
      </w:tr>
      <w:tr w:rsidR="00730DE4" w:rsidRPr="00730DE4" w14:paraId="6BDB00C3" w14:textId="77777777" w:rsidTr="00253FBD">
        <w:trPr>
          <w:trHeight w:val="170"/>
        </w:trPr>
        <w:tc>
          <w:tcPr>
            <w:tcW w:w="2946"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center"/>
            <w:hideMark/>
          </w:tcPr>
          <w:p w14:paraId="2165E2AD" w14:textId="77777777" w:rsidR="00730DE4" w:rsidRPr="00730DE4" w:rsidRDefault="00730DE4" w:rsidP="00B4621B">
            <w:pPr>
              <w:pStyle w:val="NoSpacing"/>
            </w:pPr>
            <w:r w:rsidRPr="00730DE4">
              <w:t>Acquisitions</w:t>
            </w:r>
          </w:p>
        </w:tc>
        <w:tc>
          <w:tcPr>
            <w:tcW w:w="102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CB5C15D" w14:textId="77777777" w:rsidR="00730DE4" w:rsidRPr="00730DE4" w:rsidRDefault="00730DE4" w:rsidP="00B4621B">
            <w:pPr>
              <w:pStyle w:val="NoSpacing"/>
              <w:jc w:val="right"/>
            </w:pPr>
            <w:r w:rsidRPr="00730DE4">
              <w:t xml:space="preserve">167 </w:t>
            </w:r>
          </w:p>
        </w:tc>
        <w:tc>
          <w:tcPr>
            <w:tcW w:w="102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43C807AB" w14:textId="77777777" w:rsidR="00730DE4" w:rsidRPr="00730DE4" w:rsidRDefault="00730DE4" w:rsidP="00B4621B">
            <w:pPr>
              <w:pStyle w:val="NoSpacing"/>
              <w:jc w:val="right"/>
            </w:pPr>
            <w:r w:rsidRPr="00730DE4">
              <w:t xml:space="preserve">63 </w:t>
            </w:r>
          </w:p>
        </w:tc>
      </w:tr>
      <w:tr w:rsidR="00730DE4" w:rsidRPr="00730DE4" w14:paraId="60400CA6" w14:textId="77777777" w:rsidTr="00253FBD">
        <w:trPr>
          <w:trHeight w:val="170"/>
        </w:trPr>
        <w:tc>
          <w:tcPr>
            <w:tcW w:w="2946"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center"/>
            <w:hideMark/>
          </w:tcPr>
          <w:p w14:paraId="4BB92A48" w14:textId="77777777" w:rsidR="00730DE4" w:rsidRPr="00730DE4" w:rsidRDefault="00730DE4" w:rsidP="00B4621B">
            <w:pPr>
              <w:pStyle w:val="NoSpacing"/>
            </w:pPr>
            <w:r w:rsidRPr="00730DE4">
              <w:t>Transfer from level 2 to level 3</w:t>
            </w:r>
          </w:p>
        </w:tc>
        <w:tc>
          <w:tcPr>
            <w:tcW w:w="102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997E64C" w14:textId="77777777" w:rsidR="00730DE4" w:rsidRPr="00730DE4" w:rsidRDefault="00730DE4" w:rsidP="00B4621B">
            <w:pPr>
              <w:pStyle w:val="NoSpacing"/>
              <w:jc w:val="right"/>
            </w:pPr>
            <w:r w:rsidRPr="00730DE4">
              <w:t xml:space="preserve">36,083 </w:t>
            </w:r>
          </w:p>
        </w:tc>
        <w:tc>
          <w:tcPr>
            <w:tcW w:w="102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36AB8CA" w14:textId="77777777" w:rsidR="00730DE4" w:rsidRPr="00730DE4" w:rsidRDefault="00730DE4" w:rsidP="00B4621B">
            <w:pPr>
              <w:pStyle w:val="NoSpacing"/>
              <w:jc w:val="right"/>
            </w:pPr>
            <w:r w:rsidRPr="00730DE4">
              <w:t xml:space="preserve">- </w:t>
            </w:r>
          </w:p>
        </w:tc>
      </w:tr>
      <w:tr w:rsidR="00730DE4" w:rsidRPr="00730DE4" w14:paraId="37A1FEF8" w14:textId="77777777" w:rsidTr="00253FBD">
        <w:trPr>
          <w:trHeight w:val="170"/>
        </w:trPr>
        <w:tc>
          <w:tcPr>
            <w:tcW w:w="2946"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center"/>
            <w:hideMark/>
          </w:tcPr>
          <w:p w14:paraId="14323278" w14:textId="77777777" w:rsidR="00730DE4" w:rsidRPr="00730DE4" w:rsidRDefault="00730DE4" w:rsidP="00B4621B">
            <w:pPr>
              <w:pStyle w:val="NoSpacing"/>
            </w:pPr>
            <w:r w:rsidRPr="00730DE4">
              <w:t>Transfers to other Queensland Government entities</w:t>
            </w:r>
          </w:p>
        </w:tc>
        <w:tc>
          <w:tcPr>
            <w:tcW w:w="102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4C6EA3A" w14:textId="77777777" w:rsidR="00730DE4" w:rsidRPr="00730DE4" w:rsidRDefault="00730DE4" w:rsidP="00B4621B">
            <w:pPr>
              <w:pStyle w:val="NoSpacing"/>
              <w:jc w:val="right"/>
            </w:pPr>
            <w:r w:rsidRPr="00730DE4">
              <w:t>(124)</w:t>
            </w:r>
          </w:p>
        </w:tc>
        <w:tc>
          <w:tcPr>
            <w:tcW w:w="102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E149B99" w14:textId="77777777" w:rsidR="00730DE4" w:rsidRPr="00730DE4" w:rsidRDefault="00730DE4" w:rsidP="00B4621B">
            <w:pPr>
              <w:pStyle w:val="NoSpacing"/>
              <w:jc w:val="right"/>
            </w:pPr>
            <w:r w:rsidRPr="00730DE4">
              <w:t xml:space="preserve">- </w:t>
            </w:r>
          </w:p>
        </w:tc>
      </w:tr>
      <w:tr w:rsidR="00730DE4" w:rsidRPr="00730DE4" w14:paraId="4B86BE60" w14:textId="77777777" w:rsidTr="00253FBD">
        <w:trPr>
          <w:trHeight w:val="170"/>
        </w:trPr>
        <w:tc>
          <w:tcPr>
            <w:tcW w:w="2946"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center"/>
            <w:hideMark/>
          </w:tcPr>
          <w:p w14:paraId="5CBF4762" w14:textId="77777777" w:rsidR="00730DE4" w:rsidRPr="00730DE4" w:rsidRDefault="00730DE4" w:rsidP="00B4621B">
            <w:pPr>
              <w:pStyle w:val="NoSpacing"/>
            </w:pPr>
            <w:r w:rsidRPr="00730DE4">
              <w:t>Disposals</w:t>
            </w:r>
          </w:p>
        </w:tc>
        <w:tc>
          <w:tcPr>
            <w:tcW w:w="102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1226BE5" w14:textId="77777777" w:rsidR="00730DE4" w:rsidRPr="00730DE4" w:rsidRDefault="00730DE4" w:rsidP="00B4621B">
            <w:pPr>
              <w:pStyle w:val="NoSpacing"/>
              <w:jc w:val="right"/>
            </w:pPr>
            <w:r w:rsidRPr="00730DE4">
              <w:t xml:space="preserve">- </w:t>
            </w:r>
          </w:p>
        </w:tc>
        <w:tc>
          <w:tcPr>
            <w:tcW w:w="102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091FC3F" w14:textId="77777777" w:rsidR="00730DE4" w:rsidRPr="00730DE4" w:rsidRDefault="00730DE4" w:rsidP="00B4621B">
            <w:pPr>
              <w:pStyle w:val="NoSpacing"/>
              <w:jc w:val="right"/>
            </w:pPr>
            <w:r w:rsidRPr="00730DE4">
              <w:t>(103)</w:t>
            </w:r>
          </w:p>
        </w:tc>
      </w:tr>
      <w:tr w:rsidR="00730DE4" w:rsidRPr="00730DE4" w14:paraId="43DD07A0" w14:textId="77777777" w:rsidTr="00253FBD">
        <w:trPr>
          <w:trHeight w:val="170"/>
        </w:trPr>
        <w:tc>
          <w:tcPr>
            <w:tcW w:w="2946"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center"/>
            <w:hideMark/>
          </w:tcPr>
          <w:p w14:paraId="0B423947" w14:textId="77777777" w:rsidR="00730DE4" w:rsidRPr="00730DE4" w:rsidRDefault="00730DE4" w:rsidP="00B4621B">
            <w:pPr>
              <w:pStyle w:val="NoSpacing"/>
            </w:pPr>
            <w:r w:rsidRPr="00730DE4">
              <w:t>Assets reclassified as held for sale</w:t>
            </w:r>
          </w:p>
        </w:tc>
        <w:tc>
          <w:tcPr>
            <w:tcW w:w="102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69C0874" w14:textId="77777777" w:rsidR="00730DE4" w:rsidRPr="00730DE4" w:rsidRDefault="00730DE4" w:rsidP="00B4621B">
            <w:pPr>
              <w:pStyle w:val="NoSpacing"/>
              <w:jc w:val="right"/>
            </w:pPr>
            <w:r w:rsidRPr="00730DE4">
              <w:t>(20)</w:t>
            </w:r>
          </w:p>
        </w:tc>
        <w:tc>
          <w:tcPr>
            <w:tcW w:w="102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AFCEB56" w14:textId="77777777" w:rsidR="00730DE4" w:rsidRPr="00730DE4" w:rsidRDefault="00730DE4" w:rsidP="00B4621B">
            <w:pPr>
              <w:pStyle w:val="NoSpacing"/>
              <w:jc w:val="right"/>
            </w:pPr>
            <w:r w:rsidRPr="00730DE4">
              <w:t xml:space="preserve">- </w:t>
            </w:r>
          </w:p>
        </w:tc>
      </w:tr>
      <w:tr w:rsidR="00730DE4" w:rsidRPr="00730DE4" w14:paraId="71BF031B" w14:textId="77777777" w:rsidTr="00BB6361">
        <w:trPr>
          <w:trHeight w:val="170"/>
        </w:trPr>
        <w:tc>
          <w:tcPr>
            <w:tcW w:w="2946"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center"/>
            <w:hideMark/>
          </w:tcPr>
          <w:p w14:paraId="117A669C" w14:textId="77777777" w:rsidR="00730DE4" w:rsidRPr="00730DE4" w:rsidRDefault="00730DE4" w:rsidP="00B4621B">
            <w:pPr>
              <w:pStyle w:val="NoSpacing"/>
            </w:pPr>
            <w:r w:rsidRPr="00730DE4">
              <w:t>Net revaluation decrements</w:t>
            </w:r>
          </w:p>
        </w:tc>
        <w:tc>
          <w:tcPr>
            <w:tcW w:w="102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FBF2E37" w14:textId="77777777" w:rsidR="00730DE4" w:rsidRPr="00730DE4" w:rsidRDefault="00730DE4" w:rsidP="00B4621B">
            <w:pPr>
              <w:pStyle w:val="NoSpacing"/>
              <w:jc w:val="right"/>
            </w:pPr>
            <w:r w:rsidRPr="00730DE4">
              <w:t xml:space="preserve">9,593 </w:t>
            </w:r>
          </w:p>
        </w:tc>
        <w:tc>
          <w:tcPr>
            <w:tcW w:w="102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45CA8A9" w14:textId="77777777" w:rsidR="00730DE4" w:rsidRPr="00730DE4" w:rsidRDefault="00730DE4" w:rsidP="00B4621B">
            <w:pPr>
              <w:pStyle w:val="NoSpacing"/>
              <w:jc w:val="right"/>
            </w:pPr>
            <w:r w:rsidRPr="00730DE4">
              <w:t xml:space="preserve">49,921 </w:t>
            </w:r>
          </w:p>
        </w:tc>
      </w:tr>
      <w:tr w:rsidR="00730DE4" w:rsidRPr="00730DE4" w14:paraId="6D4D80B6" w14:textId="77777777" w:rsidTr="00BB6361">
        <w:trPr>
          <w:trHeight w:val="170"/>
        </w:trPr>
        <w:tc>
          <w:tcPr>
            <w:tcW w:w="2946"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center"/>
            <w:hideMark/>
          </w:tcPr>
          <w:p w14:paraId="47E706FD" w14:textId="77777777" w:rsidR="00730DE4" w:rsidRPr="00730DE4" w:rsidRDefault="00730DE4" w:rsidP="00B4621B">
            <w:pPr>
              <w:pStyle w:val="NoSpacing"/>
            </w:pPr>
            <w:r w:rsidRPr="00730DE4">
              <w:t>Depreciation</w:t>
            </w:r>
          </w:p>
        </w:tc>
        <w:tc>
          <w:tcPr>
            <w:tcW w:w="1027"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0503EC35" w14:textId="77777777" w:rsidR="00730DE4" w:rsidRPr="00730DE4" w:rsidRDefault="00730DE4" w:rsidP="00B4621B">
            <w:pPr>
              <w:pStyle w:val="NoSpacing"/>
              <w:jc w:val="right"/>
            </w:pPr>
            <w:r w:rsidRPr="00730DE4">
              <w:t xml:space="preserve">- </w:t>
            </w:r>
          </w:p>
        </w:tc>
        <w:tc>
          <w:tcPr>
            <w:tcW w:w="1027"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02896DFF" w14:textId="77777777" w:rsidR="00730DE4" w:rsidRPr="00730DE4" w:rsidRDefault="00730DE4" w:rsidP="00B4621B">
            <w:pPr>
              <w:pStyle w:val="NoSpacing"/>
              <w:jc w:val="right"/>
            </w:pPr>
            <w:r w:rsidRPr="00730DE4">
              <w:t>(21,058)</w:t>
            </w:r>
          </w:p>
        </w:tc>
      </w:tr>
      <w:tr w:rsidR="00730DE4" w:rsidRPr="00730DE4" w14:paraId="0F197EE5" w14:textId="77777777" w:rsidTr="00BB6361">
        <w:tc>
          <w:tcPr>
            <w:tcW w:w="2946" w:type="pct"/>
            <w:tcBorders>
              <w:top w:val="single" w:sz="4" w:space="0" w:color="auto"/>
              <w:left w:val="nil"/>
              <w:bottom w:val="double" w:sz="4" w:space="0" w:color="auto"/>
              <w:right w:val="dotted" w:sz="4" w:space="0" w:color="BFBFBF" w:themeColor="background1" w:themeShade="BF"/>
            </w:tcBorders>
            <w:shd w:val="clear" w:color="auto" w:fill="auto"/>
            <w:hideMark/>
          </w:tcPr>
          <w:p w14:paraId="514FC559" w14:textId="77777777" w:rsidR="00730DE4" w:rsidRPr="00730DE4" w:rsidRDefault="00730DE4" w:rsidP="00CC3DB6">
            <w:pPr>
              <w:pStyle w:val="NoSpacing"/>
              <w:rPr>
                <w:rStyle w:val="Strong"/>
              </w:rPr>
            </w:pPr>
            <w:r w:rsidRPr="00730DE4">
              <w:rPr>
                <w:rStyle w:val="Strong"/>
              </w:rPr>
              <w:t>Carrying amount at 30 June</w:t>
            </w:r>
          </w:p>
        </w:tc>
        <w:tc>
          <w:tcPr>
            <w:tcW w:w="1027"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7C52C237" w14:textId="77777777" w:rsidR="00730DE4" w:rsidRPr="00730DE4" w:rsidRDefault="00730DE4" w:rsidP="00CC3DB6">
            <w:pPr>
              <w:pStyle w:val="NoSpacing"/>
              <w:jc w:val="right"/>
              <w:rPr>
                <w:rStyle w:val="Strong"/>
              </w:rPr>
            </w:pPr>
            <w:r w:rsidRPr="00730DE4">
              <w:rPr>
                <w:rStyle w:val="Strong"/>
              </w:rPr>
              <w:t xml:space="preserve">150,527 </w:t>
            </w:r>
          </w:p>
        </w:tc>
        <w:tc>
          <w:tcPr>
            <w:tcW w:w="1027" w:type="pct"/>
            <w:tcBorders>
              <w:top w:val="single" w:sz="4" w:space="0" w:color="auto"/>
              <w:left w:val="dotted" w:sz="4" w:space="0" w:color="BFBFBF" w:themeColor="background1" w:themeShade="BF"/>
              <w:bottom w:val="double" w:sz="4" w:space="0" w:color="auto"/>
              <w:right w:val="nil"/>
            </w:tcBorders>
            <w:shd w:val="clear" w:color="auto" w:fill="auto"/>
            <w:noWrap/>
            <w:hideMark/>
          </w:tcPr>
          <w:p w14:paraId="0DF1C4D9" w14:textId="77777777" w:rsidR="00730DE4" w:rsidRPr="00730DE4" w:rsidRDefault="00730DE4" w:rsidP="00CC3DB6">
            <w:pPr>
              <w:pStyle w:val="NoSpacing"/>
              <w:jc w:val="right"/>
              <w:rPr>
                <w:rStyle w:val="Strong"/>
              </w:rPr>
            </w:pPr>
            <w:r w:rsidRPr="00730DE4">
              <w:rPr>
                <w:rStyle w:val="Strong"/>
              </w:rPr>
              <w:t xml:space="preserve">557,060 </w:t>
            </w:r>
          </w:p>
        </w:tc>
      </w:tr>
    </w:tbl>
    <w:p w14:paraId="6025C44C" w14:textId="77777777" w:rsidR="00730DE4" w:rsidRPr="00730DE4" w:rsidRDefault="00730DE4" w:rsidP="00334BD0">
      <w:pPr>
        <w:pStyle w:val="List0"/>
      </w:pPr>
      <w:r w:rsidRPr="00730DE4">
        <w:t>* Infrastructure consists of roads with a gross replacement cost of $90,292m and a current replacement cost of $71,301m, structures with a gross replacement cost of $23,516m and a current replacement cost of $14,659m and other infrastructure with a gross replacement cost of $901m and a current replacement cost of $600m.</w:t>
      </w:r>
    </w:p>
    <w:p w14:paraId="23E87ECA" w14:textId="77777777" w:rsidR="00730DE4" w:rsidRPr="00730DE4" w:rsidRDefault="00730DE4" w:rsidP="00334BD0">
      <w:pPr>
        <w:pStyle w:val="List1"/>
      </w:pPr>
      <w:r w:rsidRPr="00730DE4">
        <w:t>** The department has assessed market sensitivity and the fair value movements from the valuation date 30 June 2023 for its significant assets. Accordingly an additional adjustment of $4,723m has been made to the carrying amount of road assets since the valuation, as a result of significant increases in the market rates of inputs such as raw materials and plant and labour.</w:t>
      </w:r>
    </w:p>
    <w:p w14:paraId="2954C36E" w14:textId="77777777" w:rsidR="00730DE4" w:rsidRPr="00730DE4" w:rsidRDefault="00730DE4" w:rsidP="003C13D4">
      <w:pPr>
        <w:rPr>
          <w:rStyle w:val="Strong"/>
        </w:rPr>
        <w:sectPr w:rsidR="00730DE4" w:rsidRPr="00730DE4" w:rsidSect="00730DE4">
          <w:pgSz w:w="23811" w:h="16838" w:orient="landscape" w:code="8"/>
          <w:pgMar w:top="1134" w:right="1418" w:bottom="1134" w:left="1418" w:header="227" w:footer="227" w:gutter="0"/>
          <w:cols w:space="708"/>
          <w:docGrid w:linePitch="360"/>
        </w:sectPr>
      </w:pPr>
    </w:p>
    <w:p w14:paraId="33DA27B5" w14:textId="77777777" w:rsidR="00730DE4" w:rsidRPr="00730DE4" w:rsidRDefault="00730DE4" w:rsidP="00334BD0">
      <w:pPr>
        <w:pStyle w:val="Heading5"/>
      </w:pPr>
      <w:bookmarkStart w:id="1523" w:name="_Toc180487732"/>
      <w:bookmarkStart w:id="1524" w:name="_Toc180490937"/>
      <w:bookmarkStart w:id="1525" w:name="_Toc180491970"/>
      <w:r w:rsidRPr="00730DE4">
        <w:t>Accounting policy</w:t>
      </w:r>
      <w:bookmarkEnd w:id="1523"/>
      <w:bookmarkEnd w:id="1524"/>
      <w:bookmarkEnd w:id="1525"/>
    </w:p>
    <w:p w14:paraId="53320EF0" w14:textId="77777777" w:rsidR="00730DE4" w:rsidRPr="00730DE4" w:rsidRDefault="00730DE4" w:rsidP="00334BD0">
      <w:pPr>
        <w:pStyle w:val="Heading6"/>
      </w:pPr>
      <w:r w:rsidRPr="00730DE4">
        <w:t>Recognition threshold</w:t>
      </w:r>
    </w:p>
    <w:p w14:paraId="4273F244" w14:textId="77777777" w:rsidR="00730DE4" w:rsidRPr="00730DE4" w:rsidRDefault="00730DE4" w:rsidP="003C13D4">
      <w:pPr>
        <w:rPr>
          <w:color w:val="080C0F" w:themeColor="text1"/>
        </w:rPr>
      </w:pPr>
      <w:r w:rsidRPr="00730DE4">
        <w:rPr>
          <w:color w:val="080C0F" w:themeColor="text1"/>
        </w:rPr>
        <w:t>All items of property, plant and equipment are recognised when the cost exceeds the following thresholds:</w:t>
      </w:r>
    </w:p>
    <w:p w14:paraId="7521F5D0" w14:textId="77777777" w:rsidR="00730DE4" w:rsidRPr="00730DE4" w:rsidRDefault="00730DE4" w:rsidP="000A6945">
      <w:pPr>
        <w:pStyle w:val="ListBullet"/>
      </w:pPr>
      <w:r w:rsidRPr="00730DE4">
        <w:t>Land</w:t>
      </w:r>
      <w:r w:rsidRPr="00730DE4">
        <w:tab/>
      </w:r>
      <w:r w:rsidRPr="00730DE4">
        <w:tab/>
      </w:r>
      <w:r w:rsidRPr="00730DE4">
        <w:tab/>
      </w:r>
      <w:r w:rsidRPr="00730DE4">
        <w:tab/>
      </w:r>
      <w:r w:rsidRPr="00730DE4">
        <w:tab/>
        <w:t>$1</w:t>
      </w:r>
    </w:p>
    <w:p w14:paraId="32E027F8" w14:textId="77777777" w:rsidR="00730DE4" w:rsidRPr="00730DE4" w:rsidRDefault="00730DE4" w:rsidP="004E3892">
      <w:pPr>
        <w:pStyle w:val="ListBullet"/>
      </w:pPr>
      <w:r w:rsidRPr="00730DE4">
        <w:t>Buildings</w:t>
      </w:r>
      <w:r w:rsidRPr="00730DE4">
        <w:tab/>
      </w:r>
      <w:r w:rsidRPr="00730DE4">
        <w:tab/>
      </w:r>
      <w:r w:rsidRPr="00730DE4">
        <w:tab/>
      </w:r>
      <w:r w:rsidRPr="00730DE4">
        <w:tab/>
        <w:t>$10,000</w:t>
      </w:r>
    </w:p>
    <w:p w14:paraId="5C6A353A" w14:textId="77777777" w:rsidR="00730DE4" w:rsidRPr="00730DE4" w:rsidRDefault="00730DE4" w:rsidP="004E3892">
      <w:pPr>
        <w:pStyle w:val="ListBullet"/>
      </w:pPr>
      <w:r w:rsidRPr="00730DE4">
        <w:t>Plant and equipment</w:t>
      </w:r>
      <w:r w:rsidRPr="00730DE4">
        <w:tab/>
      </w:r>
      <w:r w:rsidRPr="00730DE4">
        <w:tab/>
        <w:t>$5000</w:t>
      </w:r>
    </w:p>
    <w:p w14:paraId="7188CDA1" w14:textId="77777777" w:rsidR="00730DE4" w:rsidRPr="00730DE4" w:rsidRDefault="00730DE4" w:rsidP="004E3892">
      <w:pPr>
        <w:pStyle w:val="ListBullet"/>
      </w:pPr>
      <w:r w:rsidRPr="00730DE4">
        <w:t xml:space="preserve">Major plant and equipment </w:t>
      </w:r>
      <w:r w:rsidRPr="00730DE4">
        <w:tab/>
        <w:t>$5000</w:t>
      </w:r>
    </w:p>
    <w:p w14:paraId="28459858" w14:textId="77777777" w:rsidR="00730DE4" w:rsidRPr="00730DE4" w:rsidRDefault="00730DE4" w:rsidP="004E3892">
      <w:pPr>
        <w:pStyle w:val="ListBullet"/>
      </w:pPr>
      <w:r w:rsidRPr="00730DE4">
        <w:t>Infrastructure</w:t>
      </w:r>
      <w:r w:rsidRPr="00730DE4">
        <w:tab/>
      </w:r>
      <w:r w:rsidRPr="00730DE4">
        <w:tab/>
      </w:r>
      <w:r w:rsidRPr="00730DE4">
        <w:tab/>
        <w:t>$10,000</w:t>
      </w:r>
    </w:p>
    <w:p w14:paraId="10F22F61" w14:textId="77777777" w:rsidR="00730DE4" w:rsidRPr="00730DE4" w:rsidRDefault="00730DE4" w:rsidP="003C13D4">
      <w:pPr>
        <w:rPr>
          <w:color w:val="080C0F" w:themeColor="text1"/>
        </w:rPr>
      </w:pPr>
      <w:r w:rsidRPr="00730DE4">
        <w:rPr>
          <w:color w:val="080C0F" w:themeColor="text1"/>
        </w:rPr>
        <w:t>All other items with a cost less than the above thresholds are expensed.</w:t>
      </w:r>
    </w:p>
    <w:p w14:paraId="361053B0" w14:textId="77777777" w:rsidR="00730DE4" w:rsidRPr="00730DE4" w:rsidRDefault="00730DE4" w:rsidP="001C4F8F">
      <w:pPr>
        <w:pStyle w:val="Heading6"/>
      </w:pPr>
      <w:r w:rsidRPr="00730DE4">
        <w:t>Acquisition</w:t>
      </w:r>
    </w:p>
    <w:p w14:paraId="2B674A4D" w14:textId="77777777" w:rsidR="00730DE4" w:rsidRPr="00730DE4" w:rsidRDefault="00730DE4" w:rsidP="003C13D4">
      <w:pPr>
        <w:rPr>
          <w:color w:val="080C0F" w:themeColor="text1"/>
        </w:rPr>
      </w:pPr>
      <w:r w:rsidRPr="00730DE4">
        <w:rPr>
          <w:color w:val="080C0F" w:themeColor="text1"/>
        </w:rPr>
        <w:t>Actual cost is used for the initial recording of all non-current physical asset acquisitions. Cost is determined as the value given as consideration plus costs directly attributable to the acquisition, including all other costs incurred in preparing the assets ready for use.</w:t>
      </w:r>
    </w:p>
    <w:p w14:paraId="349A2AC3" w14:textId="77777777" w:rsidR="00730DE4" w:rsidRPr="00730DE4" w:rsidRDefault="00730DE4" w:rsidP="003C13D4">
      <w:pPr>
        <w:rPr>
          <w:color w:val="080C0F" w:themeColor="text1"/>
        </w:rPr>
      </w:pPr>
      <w:r w:rsidRPr="00730DE4">
        <w:rPr>
          <w:color w:val="080C0F" w:themeColor="text1"/>
        </w:rPr>
        <w:t>Where assets are received free of charge from another Queensland Government entity as a result of a machinery-of-government or other involuntary transfer, the acquisition cost is recognised as the gross carrying amount in the books of the transferor immediately prior to the transfer, together with any accumulated depreciation.</w:t>
      </w:r>
    </w:p>
    <w:p w14:paraId="19675CEC" w14:textId="77777777" w:rsidR="00730DE4" w:rsidRPr="00730DE4" w:rsidRDefault="00730DE4" w:rsidP="003C13D4">
      <w:pPr>
        <w:rPr>
          <w:color w:val="080C0F" w:themeColor="text1"/>
        </w:rPr>
      </w:pPr>
      <w:r w:rsidRPr="00730DE4">
        <w:rPr>
          <w:color w:val="080C0F" w:themeColor="text1"/>
        </w:rPr>
        <w:t>Any expenditure that increases the originally assessed capacity or service potential of an asset is capitalised and the new depreciable amount is depreciated over the remaining useful life of the asset.</w:t>
      </w:r>
    </w:p>
    <w:p w14:paraId="2D649AA9" w14:textId="77777777" w:rsidR="00730DE4" w:rsidRPr="00730DE4" w:rsidRDefault="00730DE4" w:rsidP="001C4F8F">
      <w:pPr>
        <w:pStyle w:val="Heading6"/>
      </w:pPr>
      <w:r w:rsidRPr="00730DE4">
        <w:t>Depreciation</w:t>
      </w:r>
    </w:p>
    <w:p w14:paraId="078DFF78" w14:textId="77777777" w:rsidR="00730DE4" w:rsidRPr="00730DE4" w:rsidRDefault="00730DE4" w:rsidP="003C13D4">
      <w:pPr>
        <w:rPr>
          <w:color w:val="080C0F" w:themeColor="text1"/>
        </w:rPr>
      </w:pPr>
      <w:r w:rsidRPr="00730DE4">
        <w:rPr>
          <w:color w:val="080C0F" w:themeColor="text1"/>
        </w:rPr>
        <w:t>For each class of property, plant and equipment other than infrastructure assets, the following depreciation rates are used:</w:t>
      </w:r>
    </w:p>
    <w:p w14:paraId="6D8E494D" w14:textId="77777777" w:rsidR="00730DE4" w:rsidRPr="00730DE4" w:rsidRDefault="00730DE4" w:rsidP="004E3892">
      <w:pPr>
        <w:pStyle w:val="NoSpacing"/>
      </w:pPr>
    </w:p>
    <w:tbl>
      <w:tblPr>
        <w:tblW w:w="5000" w:type="pct"/>
        <w:shd w:val="clear" w:color="auto" w:fill="F2F2F2" w:themeFill="background1" w:themeFillShade="F2"/>
        <w:tblCellMar>
          <w:top w:w="23" w:type="dxa"/>
          <w:left w:w="23" w:type="dxa"/>
          <w:bottom w:w="23" w:type="dxa"/>
          <w:right w:w="23" w:type="dxa"/>
        </w:tblCellMar>
        <w:tblLook w:val="04A0" w:firstRow="1" w:lastRow="0" w:firstColumn="1" w:lastColumn="0" w:noHBand="0" w:noVBand="1"/>
      </w:tblPr>
      <w:tblGrid>
        <w:gridCol w:w="3212"/>
        <w:gridCol w:w="3213"/>
        <w:gridCol w:w="3213"/>
      </w:tblGrid>
      <w:tr w:rsidR="00730DE4" w:rsidRPr="00730DE4" w14:paraId="368E891D" w14:textId="77777777" w:rsidTr="00253FBD">
        <w:trPr>
          <w:cantSplit/>
          <w:trHeight w:val="23"/>
          <w:tblHeader/>
        </w:trPr>
        <w:tc>
          <w:tcPr>
            <w:tcW w:w="1666" w:type="pct"/>
            <w:tcBorders>
              <w:bottom w:val="single" w:sz="4" w:space="0" w:color="080C0F" w:themeColor="text1"/>
            </w:tcBorders>
            <w:shd w:val="clear" w:color="auto" w:fill="auto"/>
            <w:noWrap/>
            <w:vAlign w:val="center"/>
            <w:hideMark/>
          </w:tcPr>
          <w:p w14:paraId="069EFD59" w14:textId="77777777" w:rsidR="00730DE4" w:rsidRPr="00730DE4" w:rsidRDefault="00730DE4" w:rsidP="004E3892">
            <w:pPr>
              <w:pStyle w:val="NoSpacing"/>
              <w:rPr>
                <w:color w:val="080C0F" w:themeColor="text1"/>
              </w:rPr>
            </w:pPr>
            <w:bookmarkStart w:id="1526" w:name="_Hlk72142911" w:colFirst="1" w:colLast="2"/>
            <w:r w:rsidRPr="00730DE4">
              <w:rPr>
                <w:rStyle w:val="Strong"/>
              </w:rPr>
              <w:t>Class</w:t>
            </w:r>
          </w:p>
        </w:tc>
        <w:tc>
          <w:tcPr>
            <w:tcW w:w="1667" w:type="pct"/>
            <w:tcBorders>
              <w:bottom w:val="single" w:sz="4" w:space="0" w:color="080C0F" w:themeColor="text1"/>
            </w:tcBorders>
            <w:shd w:val="clear" w:color="auto" w:fill="auto"/>
            <w:noWrap/>
            <w:vAlign w:val="center"/>
            <w:hideMark/>
          </w:tcPr>
          <w:p w14:paraId="1C69E1E0" w14:textId="77777777" w:rsidR="00730DE4" w:rsidRPr="00730DE4" w:rsidRDefault="00730DE4" w:rsidP="004E3892">
            <w:pPr>
              <w:pStyle w:val="NoSpacing"/>
              <w:rPr>
                <w:color w:val="080C0F" w:themeColor="text1"/>
              </w:rPr>
            </w:pPr>
            <w:r w:rsidRPr="00730DE4">
              <w:rPr>
                <w:rStyle w:val="Strong"/>
              </w:rPr>
              <w:t>Depreciation method</w:t>
            </w:r>
          </w:p>
        </w:tc>
        <w:tc>
          <w:tcPr>
            <w:tcW w:w="1667" w:type="pct"/>
            <w:tcBorders>
              <w:bottom w:val="single" w:sz="4" w:space="0" w:color="080C0F" w:themeColor="text1"/>
            </w:tcBorders>
            <w:shd w:val="clear" w:color="auto" w:fill="auto"/>
            <w:vAlign w:val="center"/>
            <w:hideMark/>
          </w:tcPr>
          <w:p w14:paraId="250B1E1A" w14:textId="77777777" w:rsidR="00730DE4" w:rsidRPr="00730DE4" w:rsidRDefault="00730DE4" w:rsidP="004E3892">
            <w:pPr>
              <w:pStyle w:val="NoSpacing"/>
              <w:rPr>
                <w:rStyle w:val="Strong"/>
              </w:rPr>
            </w:pPr>
            <w:r w:rsidRPr="00730DE4">
              <w:rPr>
                <w:rStyle w:val="Strong"/>
              </w:rPr>
              <w:t>Average useful life</w:t>
            </w:r>
          </w:p>
        </w:tc>
      </w:tr>
      <w:tr w:rsidR="00730DE4" w:rsidRPr="00730DE4" w14:paraId="78AD4B8D" w14:textId="77777777" w:rsidTr="00253FBD">
        <w:trPr>
          <w:cantSplit/>
          <w:trHeight w:val="23"/>
        </w:trPr>
        <w:tc>
          <w:tcPr>
            <w:tcW w:w="1666" w:type="pct"/>
            <w:tcBorders>
              <w:top w:val="single" w:sz="4" w:space="0" w:color="080C0F" w:themeColor="text1"/>
              <w:bottom w:val="dashSmallGap" w:sz="4" w:space="0" w:color="BFBFBF" w:themeColor="background1" w:themeShade="BF"/>
              <w:right w:val="dashSmallGap" w:sz="4" w:space="0" w:color="BFBFBF" w:themeColor="background1" w:themeShade="BF"/>
            </w:tcBorders>
            <w:shd w:val="clear" w:color="auto" w:fill="auto"/>
            <w:noWrap/>
            <w:vAlign w:val="center"/>
            <w:hideMark/>
          </w:tcPr>
          <w:p w14:paraId="152EE3D2" w14:textId="77777777" w:rsidR="00730DE4" w:rsidRPr="00730DE4" w:rsidRDefault="00730DE4" w:rsidP="004E3892">
            <w:pPr>
              <w:pStyle w:val="NoSpacing"/>
              <w:rPr>
                <w:color w:val="080C0F" w:themeColor="text1"/>
              </w:rPr>
            </w:pPr>
            <w:r w:rsidRPr="00730DE4">
              <w:rPr>
                <w:color w:val="080C0F" w:themeColor="text1"/>
              </w:rPr>
              <w:t>Land</w:t>
            </w:r>
          </w:p>
        </w:tc>
        <w:tc>
          <w:tcPr>
            <w:tcW w:w="1667" w:type="pct"/>
            <w:tcBorders>
              <w:top w:val="single" w:sz="4" w:space="0" w:color="080C0F" w:themeColor="text1"/>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noWrap/>
            <w:vAlign w:val="center"/>
            <w:hideMark/>
          </w:tcPr>
          <w:p w14:paraId="42E6B14D" w14:textId="77777777" w:rsidR="00730DE4" w:rsidRPr="00730DE4" w:rsidRDefault="00730DE4" w:rsidP="004E3892">
            <w:pPr>
              <w:pStyle w:val="NoSpacing"/>
              <w:rPr>
                <w:color w:val="080C0F" w:themeColor="text1"/>
              </w:rPr>
            </w:pPr>
            <w:r w:rsidRPr="00730DE4">
              <w:rPr>
                <w:color w:val="080C0F" w:themeColor="text1"/>
              </w:rPr>
              <w:t>Not depreciated</w:t>
            </w:r>
          </w:p>
        </w:tc>
        <w:tc>
          <w:tcPr>
            <w:tcW w:w="1667" w:type="pct"/>
            <w:tcBorders>
              <w:top w:val="single" w:sz="4" w:space="0" w:color="080C0F" w:themeColor="text1"/>
              <w:left w:val="dashSmallGap" w:sz="4" w:space="0" w:color="BFBFBF" w:themeColor="background1" w:themeShade="BF"/>
              <w:bottom w:val="dashSmallGap" w:sz="4" w:space="0" w:color="BFBFBF" w:themeColor="background1" w:themeShade="BF"/>
            </w:tcBorders>
            <w:shd w:val="clear" w:color="auto" w:fill="auto"/>
            <w:vAlign w:val="center"/>
            <w:hideMark/>
          </w:tcPr>
          <w:p w14:paraId="272CB1CA" w14:textId="77777777" w:rsidR="00730DE4" w:rsidRPr="00730DE4" w:rsidRDefault="00730DE4" w:rsidP="004E3892">
            <w:pPr>
              <w:pStyle w:val="NoSpacing"/>
              <w:rPr>
                <w:color w:val="080C0F" w:themeColor="text1"/>
              </w:rPr>
            </w:pPr>
            <w:r w:rsidRPr="00730DE4">
              <w:rPr>
                <w:color w:val="080C0F" w:themeColor="text1"/>
              </w:rPr>
              <w:t>Indefinite life</w:t>
            </w:r>
          </w:p>
        </w:tc>
      </w:tr>
      <w:tr w:rsidR="00730DE4" w:rsidRPr="00730DE4" w14:paraId="7AB29F21" w14:textId="77777777" w:rsidTr="00253FBD">
        <w:trPr>
          <w:cantSplit/>
          <w:trHeight w:val="23"/>
        </w:trPr>
        <w:tc>
          <w:tcPr>
            <w:tcW w:w="1666" w:type="pct"/>
            <w:tcBorders>
              <w:top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noWrap/>
            <w:vAlign w:val="center"/>
            <w:hideMark/>
          </w:tcPr>
          <w:p w14:paraId="2B3850C4" w14:textId="77777777" w:rsidR="00730DE4" w:rsidRPr="00730DE4" w:rsidRDefault="00730DE4" w:rsidP="004E3892">
            <w:pPr>
              <w:pStyle w:val="NoSpacing"/>
              <w:rPr>
                <w:color w:val="080C0F" w:themeColor="text1"/>
              </w:rPr>
            </w:pPr>
            <w:r w:rsidRPr="00730DE4">
              <w:rPr>
                <w:color w:val="080C0F" w:themeColor="text1"/>
              </w:rPr>
              <w:t>Buildings</w:t>
            </w:r>
          </w:p>
        </w:tc>
        <w:tc>
          <w:tcPr>
            <w:tcW w:w="166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noWrap/>
            <w:vAlign w:val="center"/>
            <w:hideMark/>
          </w:tcPr>
          <w:p w14:paraId="2A7F4273" w14:textId="77777777" w:rsidR="00730DE4" w:rsidRPr="00730DE4" w:rsidRDefault="00730DE4" w:rsidP="004E3892">
            <w:pPr>
              <w:pStyle w:val="NoSpacing"/>
              <w:rPr>
                <w:color w:val="080C0F" w:themeColor="text1"/>
              </w:rPr>
            </w:pPr>
            <w:r w:rsidRPr="00730DE4">
              <w:rPr>
                <w:color w:val="080C0F" w:themeColor="text1"/>
              </w:rPr>
              <w:t>Straight-line</w:t>
            </w:r>
          </w:p>
        </w:tc>
        <w:tc>
          <w:tcPr>
            <w:tcW w:w="166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tcBorders>
            <w:shd w:val="clear" w:color="auto" w:fill="auto"/>
            <w:vAlign w:val="center"/>
            <w:hideMark/>
          </w:tcPr>
          <w:p w14:paraId="6F25080C" w14:textId="77777777" w:rsidR="00730DE4" w:rsidRPr="00730DE4" w:rsidRDefault="00730DE4" w:rsidP="004E3892">
            <w:pPr>
              <w:pStyle w:val="NoSpacing"/>
              <w:rPr>
                <w:color w:val="080C0F" w:themeColor="text1"/>
              </w:rPr>
            </w:pPr>
            <w:r w:rsidRPr="00730DE4">
              <w:rPr>
                <w:color w:val="080C0F" w:themeColor="text1"/>
              </w:rPr>
              <w:t>35</w:t>
            </w:r>
          </w:p>
        </w:tc>
      </w:tr>
      <w:tr w:rsidR="00730DE4" w:rsidRPr="00730DE4" w14:paraId="16C1C6D3" w14:textId="77777777" w:rsidTr="00253FBD">
        <w:trPr>
          <w:cantSplit/>
          <w:trHeight w:val="23"/>
        </w:trPr>
        <w:tc>
          <w:tcPr>
            <w:tcW w:w="1666" w:type="pct"/>
            <w:tcBorders>
              <w:top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noWrap/>
            <w:vAlign w:val="center"/>
            <w:hideMark/>
          </w:tcPr>
          <w:p w14:paraId="318FAF0C" w14:textId="77777777" w:rsidR="00730DE4" w:rsidRPr="00730DE4" w:rsidRDefault="00730DE4" w:rsidP="004E3892">
            <w:pPr>
              <w:pStyle w:val="NoSpacing"/>
              <w:rPr>
                <w:color w:val="080C0F" w:themeColor="text1"/>
              </w:rPr>
            </w:pPr>
            <w:r w:rsidRPr="00730DE4">
              <w:rPr>
                <w:color w:val="080C0F" w:themeColor="text1"/>
              </w:rPr>
              <w:t>Plant and equipment</w:t>
            </w:r>
          </w:p>
        </w:tc>
        <w:tc>
          <w:tcPr>
            <w:tcW w:w="166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vAlign w:val="center"/>
            <w:hideMark/>
          </w:tcPr>
          <w:p w14:paraId="703B3526" w14:textId="77777777" w:rsidR="00730DE4" w:rsidRPr="00730DE4" w:rsidRDefault="00730DE4" w:rsidP="004E3892">
            <w:pPr>
              <w:pStyle w:val="NoSpacing"/>
              <w:rPr>
                <w:color w:val="080C0F" w:themeColor="text1"/>
              </w:rPr>
            </w:pPr>
            <w:r w:rsidRPr="00730DE4">
              <w:rPr>
                <w:color w:val="080C0F" w:themeColor="text1"/>
              </w:rPr>
              <w:t>Straight-line</w:t>
            </w:r>
          </w:p>
        </w:tc>
        <w:tc>
          <w:tcPr>
            <w:tcW w:w="166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tcBorders>
            <w:shd w:val="clear" w:color="auto" w:fill="auto"/>
            <w:vAlign w:val="center"/>
            <w:hideMark/>
          </w:tcPr>
          <w:p w14:paraId="2A72F22F" w14:textId="77777777" w:rsidR="00730DE4" w:rsidRPr="00730DE4" w:rsidRDefault="00730DE4" w:rsidP="004E3892">
            <w:pPr>
              <w:pStyle w:val="NoSpacing"/>
              <w:rPr>
                <w:color w:val="080C0F" w:themeColor="text1"/>
              </w:rPr>
            </w:pPr>
            <w:r w:rsidRPr="00730DE4">
              <w:rPr>
                <w:color w:val="080C0F" w:themeColor="text1"/>
              </w:rPr>
              <w:t>10</w:t>
            </w:r>
          </w:p>
        </w:tc>
      </w:tr>
      <w:tr w:rsidR="00730DE4" w:rsidRPr="00730DE4" w14:paraId="253385E3" w14:textId="77777777" w:rsidTr="00253FBD">
        <w:trPr>
          <w:cantSplit/>
          <w:trHeight w:val="23"/>
        </w:trPr>
        <w:tc>
          <w:tcPr>
            <w:tcW w:w="1666" w:type="pct"/>
            <w:tcBorders>
              <w:top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noWrap/>
            <w:vAlign w:val="center"/>
            <w:hideMark/>
          </w:tcPr>
          <w:p w14:paraId="22F546A6" w14:textId="77777777" w:rsidR="00730DE4" w:rsidRPr="00730DE4" w:rsidRDefault="00730DE4" w:rsidP="004E3892">
            <w:pPr>
              <w:pStyle w:val="NoSpacing"/>
              <w:rPr>
                <w:color w:val="080C0F" w:themeColor="text1"/>
              </w:rPr>
            </w:pPr>
            <w:r w:rsidRPr="00730DE4">
              <w:rPr>
                <w:color w:val="080C0F" w:themeColor="text1"/>
              </w:rPr>
              <w:t>Major plant and equipment</w:t>
            </w:r>
          </w:p>
        </w:tc>
        <w:tc>
          <w:tcPr>
            <w:tcW w:w="166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vAlign w:val="center"/>
            <w:hideMark/>
          </w:tcPr>
          <w:p w14:paraId="36A41869" w14:textId="77777777" w:rsidR="00730DE4" w:rsidRPr="00730DE4" w:rsidRDefault="00730DE4" w:rsidP="004E3892">
            <w:pPr>
              <w:pStyle w:val="NoSpacing"/>
              <w:rPr>
                <w:color w:val="080C0F" w:themeColor="text1"/>
              </w:rPr>
            </w:pPr>
            <w:r w:rsidRPr="00730DE4">
              <w:rPr>
                <w:color w:val="080C0F" w:themeColor="text1"/>
              </w:rPr>
              <w:t>Straight-line</w:t>
            </w:r>
          </w:p>
        </w:tc>
        <w:tc>
          <w:tcPr>
            <w:tcW w:w="1667"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tcBorders>
            <w:shd w:val="clear" w:color="auto" w:fill="auto"/>
            <w:vAlign w:val="center"/>
            <w:hideMark/>
          </w:tcPr>
          <w:p w14:paraId="50494045" w14:textId="77777777" w:rsidR="00730DE4" w:rsidRPr="00730DE4" w:rsidRDefault="00730DE4" w:rsidP="004E3892">
            <w:pPr>
              <w:pStyle w:val="NoSpacing"/>
              <w:rPr>
                <w:color w:val="080C0F" w:themeColor="text1"/>
              </w:rPr>
            </w:pPr>
            <w:r w:rsidRPr="00730DE4">
              <w:rPr>
                <w:color w:val="080C0F" w:themeColor="text1"/>
              </w:rPr>
              <w:t>31</w:t>
            </w:r>
          </w:p>
        </w:tc>
      </w:tr>
      <w:tr w:rsidR="00730DE4" w:rsidRPr="00730DE4" w14:paraId="42AC636C" w14:textId="77777777" w:rsidTr="00253FBD">
        <w:trPr>
          <w:cantSplit/>
          <w:trHeight w:val="23"/>
        </w:trPr>
        <w:tc>
          <w:tcPr>
            <w:tcW w:w="1666" w:type="pct"/>
            <w:tcBorders>
              <w:top w:val="dashSmallGap" w:sz="4" w:space="0" w:color="BFBFBF" w:themeColor="background1" w:themeShade="BF"/>
              <w:bottom w:val="single" w:sz="4" w:space="0" w:color="auto"/>
              <w:right w:val="dashSmallGap" w:sz="4" w:space="0" w:color="BFBFBF" w:themeColor="background1" w:themeShade="BF"/>
            </w:tcBorders>
            <w:shd w:val="clear" w:color="auto" w:fill="auto"/>
            <w:noWrap/>
            <w:vAlign w:val="center"/>
            <w:hideMark/>
          </w:tcPr>
          <w:p w14:paraId="44A421BE" w14:textId="77777777" w:rsidR="00730DE4" w:rsidRPr="00730DE4" w:rsidRDefault="00730DE4" w:rsidP="004E3892">
            <w:pPr>
              <w:pStyle w:val="NoSpacing"/>
              <w:rPr>
                <w:color w:val="080C0F" w:themeColor="text1"/>
              </w:rPr>
            </w:pPr>
            <w:r w:rsidRPr="00730DE4">
              <w:rPr>
                <w:color w:val="080C0F" w:themeColor="text1"/>
              </w:rPr>
              <w:t>Work in progress</w:t>
            </w:r>
          </w:p>
        </w:tc>
        <w:tc>
          <w:tcPr>
            <w:tcW w:w="1667" w:type="pct"/>
            <w:tcBorders>
              <w:top w:val="dashSmallGap" w:sz="4" w:space="0" w:color="BFBFBF" w:themeColor="background1" w:themeShade="BF"/>
              <w:left w:val="dashSmallGap" w:sz="4" w:space="0" w:color="BFBFBF" w:themeColor="background1" w:themeShade="BF"/>
              <w:bottom w:val="single" w:sz="4" w:space="0" w:color="auto"/>
              <w:right w:val="dashSmallGap" w:sz="4" w:space="0" w:color="BFBFBF" w:themeColor="background1" w:themeShade="BF"/>
            </w:tcBorders>
            <w:shd w:val="clear" w:color="auto" w:fill="auto"/>
            <w:vAlign w:val="center"/>
            <w:hideMark/>
          </w:tcPr>
          <w:p w14:paraId="67AF4C6A" w14:textId="77777777" w:rsidR="00730DE4" w:rsidRPr="00730DE4" w:rsidRDefault="00730DE4" w:rsidP="004E3892">
            <w:pPr>
              <w:pStyle w:val="NoSpacing"/>
              <w:rPr>
                <w:color w:val="080C0F" w:themeColor="text1"/>
              </w:rPr>
            </w:pPr>
            <w:r w:rsidRPr="00730DE4">
              <w:rPr>
                <w:color w:val="080C0F" w:themeColor="text1"/>
              </w:rPr>
              <w:t>Not depreciated</w:t>
            </w:r>
          </w:p>
        </w:tc>
        <w:tc>
          <w:tcPr>
            <w:tcW w:w="1667" w:type="pct"/>
            <w:tcBorders>
              <w:top w:val="dashSmallGap" w:sz="4" w:space="0" w:color="BFBFBF" w:themeColor="background1" w:themeShade="BF"/>
              <w:left w:val="dashSmallGap" w:sz="4" w:space="0" w:color="BFBFBF" w:themeColor="background1" w:themeShade="BF"/>
              <w:bottom w:val="single" w:sz="4" w:space="0" w:color="auto"/>
            </w:tcBorders>
            <w:shd w:val="clear" w:color="auto" w:fill="auto"/>
            <w:vAlign w:val="center"/>
            <w:hideMark/>
          </w:tcPr>
          <w:p w14:paraId="4B1368E8" w14:textId="77777777" w:rsidR="00730DE4" w:rsidRPr="00730DE4" w:rsidRDefault="00730DE4" w:rsidP="004E3892">
            <w:pPr>
              <w:pStyle w:val="NoSpacing"/>
              <w:rPr>
                <w:color w:val="080C0F" w:themeColor="text1"/>
              </w:rPr>
            </w:pPr>
            <w:r w:rsidRPr="00730DE4">
              <w:rPr>
                <w:color w:val="080C0F" w:themeColor="text1"/>
              </w:rPr>
              <w:t>–</w:t>
            </w:r>
          </w:p>
        </w:tc>
      </w:tr>
    </w:tbl>
    <w:bookmarkEnd w:id="1526"/>
    <w:p w14:paraId="6A6F0996" w14:textId="77777777" w:rsidR="00730DE4" w:rsidRPr="00730DE4" w:rsidRDefault="00730DE4" w:rsidP="003C13D4">
      <w:pPr>
        <w:rPr>
          <w:color w:val="080C0F" w:themeColor="text1"/>
        </w:rPr>
      </w:pPr>
      <w:r w:rsidRPr="00730DE4">
        <w:rPr>
          <w:color w:val="080C0F" w:themeColor="text1"/>
        </w:rPr>
        <w:br w:type="column"/>
        <w:t>Complex assets consist of significant separately identifiable components with different service lives, which are subject to regular replacement during the life of the complex asset. When the change in depreciation expense from separately identifying significant components is material to the class to which the assets relate, the significant components are separately identified and depreciated. The department's road infrastructure has a componentised structure as shown below.</w:t>
      </w:r>
    </w:p>
    <w:p w14:paraId="40CFBA26" w14:textId="77777777" w:rsidR="00730DE4" w:rsidRPr="00730DE4" w:rsidRDefault="00730DE4" w:rsidP="003C13D4">
      <w:pPr>
        <w:rPr>
          <w:color w:val="080C0F" w:themeColor="text1"/>
        </w:rPr>
      </w:pPr>
      <w:r w:rsidRPr="00730DE4">
        <w:rPr>
          <w:color w:val="080C0F" w:themeColor="text1"/>
        </w:rPr>
        <w:t>The following depreciation rates are used for infrastructure sub-components:</w:t>
      </w:r>
    </w:p>
    <w:p w14:paraId="7C252AE7" w14:textId="77777777" w:rsidR="00730DE4" w:rsidRPr="00730DE4" w:rsidRDefault="00730DE4" w:rsidP="004E3892">
      <w:pPr>
        <w:pStyle w:val="NoSpacing"/>
      </w:pPr>
    </w:p>
    <w:tbl>
      <w:tblPr>
        <w:tblW w:w="5000" w:type="pct"/>
        <w:tblBorders>
          <w:insideH w:val="dashSmallGap" w:sz="4" w:space="0" w:color="BFBFBF" w:themeColor="background1" w:themeShade="BF"/>
          <w:insideV w:val="dashSmallGap" w:sz="4" w:space="0" w:color="BFBFBF" w:themeColor="background1" w:themeShade="BF"/>
        </w:tblBorders>
        <w:tblLayout w:type="fixed"/>
        <w:tblCellMar>
          <w:top w:w="23" w:type="dxa"/>
          <w:left w:w="23" w:type="dxa"/>
          <w:bottom w:w="23" w:type="dxa"/>
          <w:right w:w="23" w:type="dxa"/>
        </w:tblCellMar>
        <w:tblLook w:val="04A0" w:firstRow="1" w:lastRow="0" w:firstColumn="1" w:lastColumn="0" w:noHBand="0" w:noVBand="1"/>
      </w:tblPr>
      <w:tblGrid>
        <w:gridCol w:w="3262"/>
        <w:gridCol w:w="2125"/>
        <w:gridCol w:w="2125"/>
        <w:gridCol w:w="2126"/>
      </w:tblGrid>
      <w:tr w:rsidR="00730DE4" w:rsidRPr="00730DE4" w14:paraId="2AA42567" w14:textId="77777777" w:rsidTr="007A3A88">
        <w:trPr>
          <w:cantSplit/>
          <w:trHeight w:val="23"/>
          <w:tblHeader/>
        </w:trPr>
        <w:tc>
          <w:tcPr>
            <w:tcW w:w="1692" w:type="pct"/>
            <w:tcBorders>
              <w:top w:val="nil"/>
              <w:bottom w:val="single" w:sz="4" w:space="0" w:color="auto"/>
            </w:tcBorders>
            <w:shd w:val="clear" w:color="auto" w:fill="auto"/>
            <w:noWrap/>
            <w:vAlign w:val="center"/>
            <w:hideMark/>
          </w:tcPr>
          <w:p w14:paraId="38EBDDB9" w14:textId="77777777" w:rsidR="00730DE4" w:rsidRPr="00730DE4" w:rsidRDefault="00730DE4" w:rsidP="004E3892">
            <w:pPr>
              <w:pStyle w:val="NoSpacing"/>
              <w:rPr>
                <w:color w:val="080C0F" w:themeColor="text1"/>
              </w:rPr>
            </w:pPr>
            <w:bookmarkStart w:id="1527" w:name="RANGE!A1"/>
            <w:r w:rsidRPr="00730DE4">
              <w:rPr>
                <w:rStyle w:val="Strong"/>
              </w:rPr>
              <w:t>Component</w:t>
            </w:r>
            <w:bookmarkEnd w:id="1527"/>
          </w:p>
        </w:tc>
        <w:tc>
          <w:tcPr>
            <w:tcW w:w="1102" w:type="pct"/>
            <w:tcBorders>
              <w:top w:val="nil"/>
              <w:bottom w:val="single" w:sz="4" w:space="0" w:color="auto"/>
            </w:tcBorders>
            <w:shd w:val="clear" w:color="auto" w:fill="auto"/>
            <w:noWrap/>
            <w:vAlign w:val="center"/>
            <w:hideMark/>
          </w:tcPr>
          <w:p w14:paraId="4BA5DB26" w14:textId="77777777" w:rsidR="00730DE4" w:rsidRPr="00730DE4" w:rsidRDefault="00730DE4" w:rsidP="004E3892">
            <w:pPr>
              <w:pStyle w:val="NoSpacing"/>
              <w:rPr>
                <w:color w:val="080C0F" w:themeColor="text1"/>
              </w:rPr>
            </w:pPr>
            <w:r w:rsidRPr="00730DE4">
              <w:rPr>
                <w:rStyle w:val="Strong"/>
              </w:rPr>
              <w:t>Sub-component</w:t>
            </w:r>
          </w:p>
        </w:tc>
        <w:tc>
          <w:tcPr>
            <w:tcW w:w="1102" w:type="pct"/>
            <w:tcBorders>
              <w:top w:val="nil"/>
              <w:bottom w:val="single" w:sz="4" w:space="0" w:color="auto"/>
            </w:tcBorders>
            <w:shd w:val="clear" w:color="auto" w:fill="auto"/>
            <w:noWrap/>
            <w:vAlign w:val="center"/>
            <w:hideMark/>
          </w:tcPr>
          <w:p w14:paraId="34D50B96" w14:textId="77777777" w:rsidR="00730DE4" w:rsidRPr="00730DE4" w:rsidRDefault="00730DE4" w:rsidP="004E3892">
            <w:pPr>
              <w:pStyle w:val="NoSpacing"/>
              <w:rPr>
                <w:color w:val="080C0F" w:themeColor="text1"/>
              </w:rPr>
            </w:pPr>
            <w:r w:rsidRPr="00730DE4">
              <w:rPr>
                <w:rStyle w:val="Strong"/>
              </w:rPr>
              <w:t>Depreciation method</w:t>
            </w:r>
          </w:p>
        </w:tc>
        <w:tc>
          <w:tcPr>
            <w:tcW w:w="1103" w:type="pct"/>
            <w:tcBorders>
              <w:top w:val="nil"/>
              <w:bottom w:val="single" w:sz="4" w:space="0" w:color="auto"/>
            </w:tcBorders>
            <w:shd w:val="clear" w:color="auto" w:fill="auto"/>
            <w:vAlign w:val="center"/>
            <w:hideMark/>
          </w:tcPr>
          <w:p w14:paraId="6C2A379B" w14:textId="77777777" w:rsidR="00730DE4" w:rsidRPr="00730DE4" w:rsidRDefault="00730DE4" w:rsidP="004E3892">
            <w:pPr>
              <w:pStyle w:val="NoSpacing"/>
              <w:rPr>
                <w:rStyle w:val="Strong"/>
              </w:rPr>
            </w:pPr>
            <w:r w:rsidRPr="00730DE4">
              <w:rPr>
                <w:rStyle w:val="Strong"/>
              </w:rPr>
              <w:t>Average useful life</w:t>
            </w:r>
          </w:p>
        </w:tc>
      </w:tr>
      <w:tr w:rsidR="00730DE4" w:rsidRPr="00730DE4" w14:paraId="1F653620" w14:textId="77777777" w:rsidTr="007A3A88">
        <w:trPr>
          <w:cantSplit/>
          <w:trHeight w:val="23"/>
        </w:trPr>
        <w:tc>
          <w:tcPr>
            <w:tcW w:w="1692" w:type="pct"/>
            <w:tcBorders>
              <w:top w:val="single" w:sz="4" w:space="0" w:color="auto"/>
              <w:bottom w:val="dashSmallGap" w:sz="4" w:space="0" w:color="BFBFBF" w:themeColor="background1" w:themeShade="BF"/>
            </w:tcBorders>
            <w:shd w:val="clear" w:color="auto" w:fill="auto"/>
            <w:noWrap/>
          </w:tcPr>
          <w:p w14:paraId="763BB010" w14:textId="77777777" w:rsidR="00730DE4" w:rsidRPr="00730DE4" w:rsidRDefault="00730DE4" w:rsidP="007A3A88">
            <w:pPr>
              <w:pStyle w:val="NoSpacing"/>
              <w:rPr>
                <w:color w:val="080C0F" w:themeColor="text1"/>
              </w:rPr>
            </w:pPr>
            <w:r w:rsidRPr="00730DE4">
              <w:rPr>
                <w:color w:val="080C0F" w:themeColor="text1"/>
              </w:rPr>
              <w:t>Roads</w:t>
            </w:r>
          </w:p>
        </w:tc>
        <w:tc>
          <w:tcPr>
            <w:tcW w:w="1102" w:type="pct"/>
            <w:tcBorders>
              <w:top w:val="single" w:sz="4" w:space="0" w:color="auto"/>
              <w:bottom w:val="dashSmallGap" w:sz="4" w:space="0" w:color="BFBFBF" w:themeColor="background1" w:themeShade="BF"/>
            </w:tcBorders>
            <w:shd w:val="clear" w:color="auto" w:fill="auto"/>
            <w:noWrap/>
            <w:vAlign w:val="center"/>
          </w:tcPr>
          <w:p w14:paraId="6ADE593C" w14:textId="77777777" w:rsidR="00730DE4" w:rsidRPr="00730DE4" w:rsidRDefault="00730DE4" w:rsidP="007A3A88">
            <w:pPr>
              <w:pStyle w:val="NoSpacing"/>
              <w:rPr>
                <w:color w:val="080C0F" w:themeColor="text1"/>
              </w:rPr>
            </w:pPr>
            <w:r w:rsidRPr="00730DE4">
              <w:rPr>
                <w:color w:val="080C0F" w:themeColor="text1"/>
              </w:rPr>
              <w:t>Surfaces</w:t>
            </w:r>
          </w:p>
        </w:tc>
        <w:tc>
          <w:tcPr>
            <w:tcW w:w="1102" w:type="pct"/>
            <w:tcBorders>
              <w:top w:val="single" w:sz="4" w:space="0" w:color="auto"/>
              <w:bottom w:val="dashSmallGap" w:sz="4" w:space="0" w:color="BFBFBF" w:themeColor="background1" w:themeShade="BF"/>
            </w:tcBorders>
            <w:shd w:val="clear" w:color="auto" w:fill="auto"/>
            <w:noWrap/>
            <w:vAlign w:val="center"/>
          </w:tcPr>
          <w:p w14:paraId="6F1243B6" w14:textId="77777777" w:rsidR="00730DE4" w:rsidRPr="00730DE4" w:rsidRDefault="00730DE4" w:rsidP="007A3A88">
            <w:pPr>
              <w:pStyle w:val="NoSpacing"/>
              <w:rPr>
                <w:color w:val="080C0F" w:themeColor="text1"/>
              </w:rPr>
            </w:pPr>
            <w:r w:rsidRPr="00730DE4">
              <w:rPr>
                <w:color w:val="080C0F" w:themeColor="text1"/>
              </w:rPr>
              <w:t>Straight-line</w:t>
            </w:r>
          </w:p>
        </w:tc>
        <w:tc>
          <w:tcPr>
            <w:tcW w:w="1103" w:type="pct"/>
            <w:tcBorders>
              <w:top w:val="single" w:sz="4" w:space="0" w:color="auto"/>
              <w:bottom w:val="dashSmallGap" w:sz="4" w:space="0" w:color="BFBFBF" w:themeColor="background1" w:themeShade="BF"/>
            </w:tcBorders>
            <w:shd w:val="clear" w:color="auto" w:fill="auto"/>
            <w:vAlign w:val="center"/>
          </w:tcPr>
          <w:p w14:paraId="2ABC9322" w14:textId="77777777" w:rsidR="00730DE4" w:rsidRPr="00730DE4" w:rsidRDefault="00730DE4" w:rsidP="007A3A88">
            <w:pPr>
              <w:pStyle w:val="NoSpacing"/>
              <w:rPr>
                <w:color w:val="080C0F" w:themeColor="text1"/>
              </w:rPr>
            </w:pPr>
            <w:r w:rsidRPr="00730DE4">
              <w:rPr>
                <w:color w:val="080C0F" w:themeColor="text1"/>
              </w:rPr>
              <w:t>32</w:t>
            </w:r>
          </w:p>
        </w:tc>
      </w:tr>
      <w:tr w:rsidR="00730DE4" w:rsidRPr="00730DE4" w14:paraId="110B3328" w14:textId="77777777" w:rsidTr="009D0E1B">
        <w:trPr>
          <w:cantSplit/>
          <w:trHeight w:val="23"/>
        </w:trPr>
        <w:tc>
          <w:tcPr>
            <w:tcW w:w="1692" w:type="pct"/>
            <w:tcBorders>
              <w:bottom w:val="dashSmallGap" w:sz="4" w:space="0" w:color="BFBFBF" w:themeColor="background1" w:themeShade="BF"/>
            </w:tcBorders>
            <w:shd w:val="clear" w:color="auto" w:fill="auto"/>
            <w:noWrap/>
          </w:tcPr>
          <w:p w14:paraId="08DA3B00" w14:textId="77777777" w:rsidR="00730DE4" w:rsidRPr="00730DE4" w:rsidRDefault="00730DE4" w:rsidP="007A3A88">
            <w:pPr>
              <w:pStyle w:val="NoSpacing"/>
              <w:rPr>
                <w:color w:val="080C0F" w:themeColor="text1"/>
              </w:rPr>
            </w:pPr>
            <w:r w:rsidRPr="00730DE4">
              <w:rPr>
                <w:color w:val="080C0F" w:themeColor="text1"/>
              </w:rPr>
              <w:t>Roads</w:t>
            </w:r>
          </w:p>
        </w:tc>
        <w:tc>
          <w:tcPr>
            <w:tcW w:w="1102" w:type="pct"/>
            <w:tcBorders>
              <w:bottom w:val="dashSmallGap" w:sz="4" w:space="0" w:color="BFBFBF" w:themeColor="background1" w:themeShade="BF"/>
            </w:tcBorders>
            <w:shd w:val="clear" w:color="auto" w:fill="auto"/>
            <w:noWrap/>
            <w:vAlign w:val="center"/>
          </w:tcPr>
          <w:p w14:paraId="37162C84" w14:textId="77777777" w:rsidR="00730DE4" w:rsidRPr="00730DE4" w:rsidRDefault="00730DE4" w:rsidP="007A3A88">
            <w:pPr>
              <w:pStyle w:val="NoSpacing"/>
              <w:rPr>
                <w:color w:val="080C0F" w:themeColor="text1"/>
              </w:rPr>
            </w:pPr>
            <w:r w:rsidRPr="00730DE4">
              <w:rPr>
                <w:color w:val="080C0F" w:themeColor="text1"/>
              </w:rPr>
              <w:t>Pavements</w:t>
            </w:r>
          </w:p>
        </w:tc>
        <w:tc>
          <w:tcPr>
            <w:tcW w:w="1102" w:type="pct"/>
            <w:tcBorders>
              <w:bottom w:val="dashSmallGap" w:sz="4" w:space="0" w:color="BFBFBF" w:themeColor="background1" w:themeShade="BF"/>
            </w:tcBorders>
            <w:shd w:val="clear" w:color="auto" w:fill="auto"/>
            <w:noWrap/>
            <w:vAlign w:val="center"/>
          </w:tcPr>
          <w:p w14:paraId="68B6A2A9" w14:textId="77777777" w:rsidR="00730DE4" w:rsidRPr="00730DE4" w:rsidRDefault="00730DE4" w:rsidP="007A3A88">
            <w:pPr>
              <w:pStyle w:val="NoSpacing"/>
              <w:rPr>
                <w:color w:val="080C0F" w:themeColor="text1"/>
              </w:rPr>
            </w:pPr>
            <w:r w:rsidRPr="00730DE4">
              <w:rPr>
                <w:color w:val="080C0F" w:themeColor="text1"/>
              </w:rPr>
              <w:t>Straight-line</w:t>
            </w:r>
          </w:p>
        </w:tc>
        <w:tc>
          <w:tcPr>
            <w:tcW w:w="1103" w:type="pct"/>
            <w:tcBorders>
              <w:bottom w:val="dashSmallGap" w:sz="4" w:space="0" w:color="BFBFBF" w:themeColor="background1" w:themeShade="BF"/>
            </w:tcBorders>
            <w:shd w:val="clear" w:color="auto" w:fill="auto"/>
            <w:vAlign w:val="center"/>
          </w:tcPr>
          <w:p w14:paraId="418B1E03" w14:textId="77777777" w:rsidR="00730DE4" w:rsidRPr="00730DE4" w:rsidRDefault="00730DE4" w:rsidP="007A3A88">
            <w:pPr>
              <w:pStyle w:val="NoSpacing"/>
              <w:rPr>
                <w:color w:val="080C0F" w:themeColor="text1"/>
              </w:rPr>
            </w:pPr>
            <w:r w:rsidRPr="00730DE4">
              <w:rPr>
                <w:color w:val="080C0F" w:themeColor="text1"/>
              </w:rPr>
              <w:t>58</w:t>
            </w:r>
          </w:p>
        </w:tc>
      </w:tr>
      <w:tr w:rsidR="00730DE4" w:rsidRPr="00730DE4" w14:paraId="431A8BEE" w14:textId="77777777" w:rsidTr="009002A0">
        <w:trPr>
          <w:cantSplit/>
          <w:trHeight w:val="23"/>
        </w:trPr>
        <w:tc>
          <w:tcPr>
            <w:tcW w:w="1692" w:type="pct"/>
            <w:tcBorders>
              <w:bottom w:val="dashSmallGap" w:sz="4" w:space="0" w:color="BFBFBF" w:themeColor="background1" w:themeShade="BF"/>
            </w:tcBorders>
            <w:shd w:val="clear" w:color="auto" w:fill="auto"/>
            <w:noWrap/>
          </w:tcPr>
          <w:p w14:paraId="75B645BE" w14:textId="77777777" w:rsidR="00730DE4" w:rsidRPr="00730DE4" w:rsidRDefault="00730DE4" w:rsidP="007A3A88">
            <w:pPr>
              <w:pStyle w:val="NoSpacing"/>
              <w:rPr>
                <w:color w:val="080C0F" w:themeColor="text1"/>
              </w:rPr>
            </w:pPr>
            <w:r w:rsidRPr="00730DE4">
              <w:rPr>
                <w:color w:val="080C0F" w:themeColor="text1"/>
              </w:rPr>
              <w:t>Roads</w:t>
            </w:r>
          </w:p>
        </w:tc>
        <w:tc>
          <w:tcPr>
            <w:tcW w:w="1102" w:type="pct"/>
            <w:tcBorders>
              <w:bottom w:val="dashSmallGap" w:sz="4" w:space="0" w:color="BFBFBF" w:themeColor="background1" w:themeShade="BF"/>
            </w:tcBorders>
            <w:shd w:val="clear" w:color="auto" w:fill="auto"/>
            <w:noWrap/>
            <w:vAlign w:val="center"/>
          </w:tcPr>
          <w:p w14:paraId="6C9E7D69" w14:textId="77777777" w:rsidR="00730DE4" w:rsidRPr="00730DE4" w:rsidRDefault="00730DE4" w:rsidP="007A3A88">
            <w:pPr>
              <w:pStyle w:val="NoSpacing"/>
              <w:rPr>
                <w:color w:val="080C0F" w:themeColor="text1"/>
              </w:rPr>
            </w:pPr>
            <w:r w:rsidRPr="00730DE4">
              <w:rPr>
                <w:color w:val="080C0F" w:themeColor="text1"/>
              </w:rPr>
              <w:t>Formation earthworks</w:t>
            </w:r>
          </w:p>
        </w:tc>
        <w:tc>
          <w:tcPr>
            <w:tcW w:w="1102" w:type="pct"/>
            <w:tcBorders>
              <w:bottom w:val="dashSmallGap" w:sz="4" w:space="0" w:color="BFBFBF" w:themeColor="background1" w:themeShade="BF"/>
            </w:tcBorders>
            <w:shd w:val="clear" w:color="auto" w:fill="auto"/>
            <w:noWrap/>
            <w:vAlign w:val="center"/>
          </w:tcPr>
          <w:p w14:paraId="173E1ADC" w14:textId="77777777" w:rsidR="00730DE4" w:rsidRPr="00730DE4" w:rsidRDefault="00730DE4" w:rsidP="007A3A88">
            <w:pPr>
              <w:pStyle w:val="NoSpacing"/>
              <w:rPr>
                <w:color w:val="080C0F" w:themeColor="text1"/>
              </w:rPr>
            </w:pPr>
            <w:r w:rsidRPr="00730DE4">
              <w:rPr>
                <w:color w:val="080C0F" w:themeColor="text1"/>
              </w:rPr>
              <w:t>Not depreciated</w:t>
            </w:r>
          </w:p>
        </w:tc>
        <w:tc>
          <w:tcPr>
            <w:tcW w:w="1103" w:type="pct"/>
            <w:tcBorders>
              <w:bottom w:val="dashSmallGap" w:sz="4" w:space="0" w:color="BFBFBF" w:themeColor="background1" w:themeShade="BF"/>
            </w:tcBorders>
            <w:shd w:val="clear" w:color="auto" w:fill="auto"/>
            <w:vAlign w:val="center"/>
          </w:tcPr>
          <w:p w14:paraId="44992B2F" w14:textId="77777777" w:rsidR="00730DE4" w:rsidRPr="00730DE4" w:rsidRDefault="00730DE4" w:rsidP="007A3A88">
            <w:pPr>
              <w:pStyle w:val="NoSpacing"/>
              <w:rPr>
                <w:color w:val="080C0F" w:themeColor="text1"/>
              </w:rPr>
            </w:pPr>
            <w:r w:rsidRPr="00730DE4">
              <w:rPr>
                <w:color w:val="080C0F" w:themeColor="text1"/>
              </w:rPr>
              <w:t>Indefinite life</w:t>
            </w:r>
          </w:p>
        </w:tc>
      </w:tr>
      <w:tr w:rsidR="00730DE4" w:rsidRPr="00730DE4" w14:paraId="4B91E3C7" w14:textId="77777777" w:rsidTr="00840880">
        <w:trPr>
          <w:cantSplit/>
          <w:trHeight w:val="23"/>
        </w:trPr>
        <w:tc>
          <w:tcPr>
            <w:tcW w:w="1692" w:type="pct"/>
            <w:tcBorders>
              <w:bottom w:val="dashSmallGap" w:sz="4" w:space="0" w:color="BFBFBF" w:themeColor="background1" w:themeShade="BF"/>
            </w:tcBorders>
            <w:shd w:val="clear" w:color="auto" w:fill="auto"/>
            <w:noWrap/>
          </w:tcPr>
          <w:p w14:paraId="6C770BD7" w14:textId="77777777" w:rsidR="00730DE4" w:rsidRPr="00730DE4" w:rsidRDefault="00730DE4" w:rsidP="007A3A88">
            <w:pPr>
              <w:pStyle w:val="NoSpacing"/>
              <w:rPr>
                <w:color w:val="080C0F" w:themeColor="text1"/>
              </w:rPr>
            </w:pPr>
            <w:r w:rsidRPr="00730DE4">
              <w:rPr>
                <w:color w:val="080C0F" w:themeColor="text1"/>
              </w:rPr>
              <w:t>Roads</w:t>
            </w:r>
          </w:p>
        </w:tc>
        <w:tc>
          <w:tcPr>
            <w:tcW w:w="1102" w:type="pct"/>
            <w:tcBorders>
              <w:bottom w:val="dashSmallGap" w:sz="4" w:space="0" w:color="BFBFBF" w:themeColor="background1" w:themeShade="BF"/>
            </w:tcBorders>
            <w:shd w:val="clear" w:color="auto" w:fill="auto"/>
            <w:noWrap/>
            <w:vAlign w:val="center"/>
          </w:tcPr>
          <w:p w14:paraId="2E0E23E7" w14:textId="77777777" w:rsidR="00730DE4" w:rsidRPr="00730DE4" w:rsidRDefault="00730DE4" w:rsidP="007A3A88">
            <w:pPr>
              <w:pStyle w:val="NoSpacing"/>
              <w:rPr>
                <w:color w:val="080C0F" w:themeColor="text1"/>
              </w:rPr>
            </w:pPr>
            <w:r w:rsidRPr="00730DE4">
              <w:rPr>
                <w:color w:val="080C0F" w:themeColor="text1"/>
              </w:rPr>
              <w:t>Formation earthworks</w:t>
            </w:r>
          </w:p>
        </w:tc>
        <w:tc>
          <w:tcPr>
            <w:tcW w:w="1102" w:type="pct"/>
            <w:tcBorders>
              <w:bottom w:val="dashSmallGap" w:sz="4" w:space="0" w:color="BFBFBF" w:themeColor="background1" w:themeShade="BF"/>
            </w:tcBorders>
            <w:shd w:val="clear" w:color="auto" w:fill="auto"/>
            <w:noWrap/>
            <w:vAlign w:val="center"/>
          </w:tcPr>
          <w:p w14:paraId="6F8424DD" w14:textId="77777777" w:rsidR="00730DE4" w:rsidRPr="00730DE4" w:rsidRDefault="00730DE4" w:rsidP="007A3A88">
            <w:pPr>
              <w:pStyle w:val="NoSpacing"/>
              <w:rPr>
                <w:color w:val="080C0F" w:themeColor="text1"/>
              </w:rPr>
            </w:pPr>
            <w:r w:rsidRPr="00730DE4">
              <w:rPr>
                <w:color w:val="080C0F" w:themeColor="text1"/>
              </w:rPr>
              <w:t>Straight-line</w:t>
            </w:r>
          </w:p>
        </w:tc>
        <w:tc>
          <w:tcPr>
            <w:tcW w:w="1103" w:type="pct"/>
            <w:tcBorders>
              <w:bottom w:val="dashSmallGap" w:sz="4" w:space="0" w:color="BFBFBF" w:themeColor="background1" w:themeShade="BF"/>
            </w:tcBorders>
            <w:shd w:val="clear" w:color="auto" w:fill="auto"/>
            <w:vAlign w:val="center"/>
          </w:tcPr>
          <w:p w14:paraId="3B872B38" w14:textId="77777777" w:rsidR="00730DE4" w:rsidRPr="00730DE4" w:rsidRDefault="00730DE4" w:rsidP="007A3A88">
            <w:pPr>
              <w:pStyle w:val="NoSpacing"/>
              <w:rPr>
                <w:color w:val="080C0F" w:themeColor="text1"/>
              </w:rPr>
            </w:pPr>
            <w:r w:rsidRPr="00730DE4">
              <w:rPr>
                <w:color w:val="080C0F" w:themeColor="text1"/>
              </w:rPr>
              <w:t>27</w:t>
            </w:r>
          </w:p>
        </w:tc>
      </w:tr>
      <w:tr w:rsidR="00730DE4" w:rsidRPr="00730DE4" w14:paraId="19ED3D49" w14:textId="77777777" w:rsidTr="00253FBD">
        <w:trPr>
          <w:cantSplit/>
          <w:trHeight w:val="23"/>
        </w:trPr>
        <w:tc>
          <w:tcPr>
            <w:tcW w:w="1692" w:type="pct"/>
            <w:tcBorders>
              <w:bottom w:val="dashSmallGap" w:sz="4" w:space="0" w:color="BFBFBF" w:themeColor="background1" w:themeShade="BF"/>
            </w:tcBorders>
            <w:shd w:val="clear" w:color="auto" w:fill="auto"/>
            <w:noWrap/>
            <w:vAlign w:val="center"/>
            <w:hideMark/>
          </w:tcPr>
          <w:p w14:paraId="36DC1A5E" w14:textId="77777777" w:rsidR="00730DE4" w:rsidRPr="00730DE4" w:rsidRDefault="00730DE4" w:rsidP="007A3A88">
            <w:pPr>
              <w:pStyle w:val="NoSpacing"/>
              <w:rPr>
                <w:color w:val="080C0F" w:themeColor="text1"/>
              </w:rPr>
            </w:pPr>
            <w:r w:rsidRPr="00730DE4">
              <w:rPr>
                <w:color w:val="080C0F" w:themeColor="text1"/>
              </w:rPr>
              <w:t>Structures – bridges, tunnels and major culverts</w:t>
            </w:r>
          </w:p>
        </w:tc>
        <w:tc>
          <w:tcPr>
            <w:tcW w:w="1102" w:type="pct"/>
            <w:tcBorders>
              <w:bottom w:val="dashSmallGap" w:sz="4" w:space="0" w:color="BFBFBF" w:themeColor="background1" w:themeShade="BF"/>
            </w:tcBorders>
            <w:shd w:val="clear" w:color="auto" w:fill="auto"/>
            <w:noWrap/>
            <w:vAlign w:val="center"/>
            <w:hideMark/>
          </w:tcPr>
          <w:p w14:paraId="34EC5028" w14:textId="77777777" w:rsidR="00730DE4" w:rsidRPr="00730DE4" w:rsidRDefault="00730DE4" w:rsidP="007A3A88">
            <w:pPr>
              <w:pStyle w:val="NoSpacing"/>
              <w:rPr>
                <w:color w:val="080C0F" w:themeColor="text1"/>
              </w:rPr>
            </w:pPr>
            <w:r w:rsidRPr="00730DE4">
              <w:rPr>
                <w:color w:val="080C0F" w:themeColor="text1"/>
              </w:rPr>
              <w:t>–</w:t>
            </w:r>
          </w:p>
        </w:tc>
        <w:tc>
          <w:tcPr>
            <w:tcW w:w="1102" w:type="pct"/>
            <w:tcBorders>
              <w:bottom w:val="dashSmallGap" w:sz="4" w:space="0" w:color="BFBFBF" w:themeColor="background1" w:themeShade="BF"/>
            </w:tcBorders>
            <w:shd w:val="clear" w:color="auto" w:fill="auto"/>
            <w:noWrap/>
            <w:vAlign w:val="center"/>
            <w:hideMark/>
          </w:tcPr>
          <w:p w14:paraId="68CBD75C" w14:textId="77777777" w:rsidR="00730DE4" w:rsidRPr="00730DE4" w:rsidRDefault="00730DE4" w:rsidP="007A3A88">
            <w:pPr>
              <w:pStyle w:val="NoSpacing"/>
              <w:rPr>
                <w:color w:val="080C0F" w:themeColor="text1"/>
              </w:rPr>
            </w:pPr>
            <w:r w:rsidRPr="00730DE4">
              <w:rPr>
                <w:color w:val="080C0F" w:themeColor="text1"/>
              </w:rPr>
              <w:t>Straight-line</w:t>
            </w:r>
          </w:p>
        </w:tc>
        <w:tc>
          <w:tcPr>
            <w:tcW w:w="1103" w:type="pct"/>
            <w:tcBorders>
              <w:bottom w:val="dashSmallGap" w:sz="4" w:space="0" w:color="BFBFBF" w:themeColor="background1" w:themeShade="BF"/>
            </w:tcBorders>
            <w:shd w:val="clear" w:color="auto" w:fill="auto"/>
            <w:vAlign w:val="center"/>
            <w:hideMark/>
          </w:tcPr>
          <w:p w14:paraId="6F11D38A" w14:textId="77777777" w:rsidR="00730DE4" w:rsidRPr="00730DE4" w:rsidRDefault="00730DE4" w:rsidP="007A3A88">
            <w:pPr>
              <w:pStyle w:val="NoSpacing"/>
              <w:rPr>
                <w:color w:val="080C0F" w:themeColor="text1"/>
              </w:rPr>
            </w:pPr>
            <w:r w:rsidRPr="00730DE4">
              <w:rPr>
                <w:color w:val="080C0F" w:themeColor="text1"/>
              </w:rPr>
              <w:t>104</w:t>
            </w:r>
          </w:p>
        </w:tc>
      </w:tr>
      <w:tr w:rsidR="00730DE4" w:rsidRPr="00730DE4" w14:paraId="443DC743" w14:textId="77777777" w:rsidTr="00253FBD">
        <w:trPr>
          <w:cantSplit/>
          <w:trHeight w:val="23"/>
        </w:trPr>
        <w:tc>
          <w:tcPr>
            <w:tcW w:w="1692" w:type="pct"/>
            <w:tcBorders>
              <w:top w:val="dashSmallGap" w:sz="4" w:space="0" w:color="BFBFBF" w:themeColor="background1" w:themeShade="BF"/>
              <w:bottom w:val="single" w:sz="4" w:space="0" w:color="080C0F" w:themeColor="text1"/>
            </w:tcBorders>
            <w:shd w:val="clear" w:color="auto" w:fill="auto"/>
            <w:noWrap/>
            <w:vAlign w:val="center"/>
            <w:hideMark/>
          </w:tcPr>
          <w:p w14:paraId="3D54DF94" w14:textId="77777777" w:rsidR="00730DE4" w:rsidRPr="00730DE4" w:rsidRDefault="00730DE4" w:rsidP="007A3A88">
            <w:pPr>
              <w:pStyle w:val="NoSpacing"/>
              <w:rPr>
                <w:color w:val="080C0F" w:themeColor="text1"/>
              </w:rPr>
            </w:pPr>
            <w:r w:rsidRPr="00730DE4">
              <w:rPr>
                <w:color w:val="080C0F" w:themeColor="text1"/>
              </w:rPr>
              <w:t>Other – mainly marine infrastructure</w:t>
            </w:r>
          </w:p>
        </w:tc>
        <w:tc>
          <w:tcPr>
            <w:tcW w:w="1102" w:type="pct"/>
            <w:tcBorders>
              <w:top w:val="dashSmallGap" w:sz="4" w:space="0" w:color="BFBFBF" w:themeColor="background1" w:themeShade="BF"/>
              <w:bottom w:val="single" w:sz="4" w:space="0" w:color="080C0F" w:themeColor="text1"/>
            </w:tcBorders>
            <w:shd w:val="clear" w:color="auto" w:fill="auto"/>
            <w:noWrap/>
            <w:vAlign w:val="center"/>
            <w:hideMark/>
          </w:tcPr>
          <w:p w14:paraId="7C12043B" w14:textId="77777777" w:rsidR="00730DE4" w:rsidRPr="00730DE4" w:rsidRDefault="00730DE4" w:rsidP="007A3A88">
            <w:pPr>
              <w:pStyle w:val="NoSpacing"/>
              <w:rPr>
                <w:color w:val="080C0F" w:themeColor="text1"/>
              </w:rPr>
            </w:pPr>
            <w:r w:rsidRPr="00730DE4">
              <w:rPr>
                <w:color w:val="080C0F" w:themeColor="text1"/>
              </w:rPr>
              <w:t>–</w:t>
            </w:r>
          </w:p>
        </w:tc>
        <w:tc>
          <w:tcPr>
            <w:tcW w:w="1102" w:type="pct"/>
            <w:tcBorders>
              <w:top w:val="dashSmallGap" w:sz="4" w:space="0" w:color="BFBFBF" w:themeColor="background1" w:themeShade="BF"/>
              <w:bottom w:val="single" w:sz="4" w:space="0" w:color="080C0F" w:themeColor="text1"/>
            </w:tcBorders>
            <w:shd w:val="clear" w:color="auto" w:fill="auto"/>
            <w:noWrap/>
            <w:vAlign w:val="center"/>
            <w:hideMark/>
          </w:tcPr>
          <w:p w14:paraId="5A3958F9" w14:textId="77777777" w:rsidR="00730DE4" w:rsidRPr="00730DE4" w:rsidRDefault="00730DE4" w:rsidP="007A3A88">
            <w:pPr>
              <w:pStyle w:val="NoSpacing"/>
              <w:rPr>
                <w:color w:val="080C0F" w:themeColor="text1"/>
              </w:rPr>
            </w:pPr>
            <w:r w:rsidRPr="00730DE4">
              <w:rPr>
                <w:color w:val="080C0F" w:themeColor="text1"/>
              </w:rPr>
              <w:t>Straight-line</w:t>
            </w:r>
          </w:p>
        </w:tc>
        <w:tc>
          <w:tcPr>
            <w:tcW w:w="1103" w:type="pct"/>
            <w:tcBorders>
              <w:top w:val="dashSmallGap" w:sz="4" w:space="0" w:color="BFBFBF" w:themeColor="background1" w:themeShade="BF"/>
              <w:bottom w:val="single" w:sz="4" w:space="0" w:color="080C0F" w:themeColor="text1"/>
            </w:tcBorders>
            <w:shd w:val="clear" w:color="auto" w:fill="auto"/>
            <w:vAlign w:val="center"/>
            <w:hideMark/>
          </w:tcPr>
          <w:p w14:paraId="651726F1" w14:textId="77777777" w:rsidR="00730DE4" w:rsidRPr="00730DE4" w:rsidRDefault="00730DE4" w:rsidP="007A3A88">
            <w:pPr>
              <w:pStyle w:val="NoSpacing"/>
              <w:rPr>
                <w:color w:val="080C0F" w:themeColor="text1"/>
              </w:rPr>
            </w:pPr>
            <w:r w:rsidRPr="00730DE4">
              <w:rPr>
                <w:color w:val="080C0F" w:themeColor="text1"/>
              </w:rPr>
              <w:t>55</w:t>
            </w:r>
          </w:p>
        </w:tc>
      </w:tr>
    </w:tbl>
    <w:p w14:paraId="11123BC5" w14:textId="77777777" w:rsidR="00730DE4" w:rsidRPr="00730DE4" w:rsidRDefault="00730DE4" w:rsidP="003C13D4">
      <w:pPr>
        <w:rPr>
          <w:color w:val="080C0F" w:themeColor="text1"/>
        </w:rPr>
      </w:pPr>
      <w:r w:rsidRPr="00730DE4">
        <w:rPr>
          <w:color w:val="080C0F" w:themeColor="text1"/>
        </w:rPr>
        <w:t>The estimation of useful life and resulting depreciation rates are based on a number of factors including the department’s past experience, the planned replacement program and expected usage, wear and tear, obsolescence and expected funding availability to the department. Useful lives are reviewed on an annual basis.</w:t>
      </w:r>
    </w:p>
    <w:p w14:paraId="038BB3A9" w14:textId="77777777" w:rsidR="00730DE4" w:rsidRPr="00730DE4" w:rsidRDefault="00730DE4" w:rsidP="003C13D4">
      <w:pPr>
        <w:rPr>
          <w:color w:val="080C0F" w:themeColor="text1"/>
        </w:rPr>
      </w:pPr>
      <w:r w:rsidRPr="00730DE4">
        <w:rPr>
          <w:color w:val="080C0F" w:themeColor="text1"/>
        </w:rPr>
        <w:t>Where the confirmed available funding for the renewal and replacement of the department's road infrastructure assets varies from one year to the next, the sub-component remaining useful lives are subject to change as a consequence of the altered works program.</w:t>
      </w:r>
    </w:p>
    <w:p w14:paraId="21780BA0" w14:textId="77777777" w:rsidR="00730DE4" w:rsidRPr="00730DE4" w:rsidRDefault="00730DE4" w:rsidP="003C13D4">
      <w:pPr>
        <w:rPr>
          <w:color w:val="080C0F" w:themeColor="text1"/>
        </w:rPr>
      </w:pPr>
      <w:r w:rsidRPr="00730DE4">
        <w:rPr>
          <w:color w:val="080C0F" w:themeColor="text1"/>
        </w:rPr>
        <w:t>Accordingly an increase in funding allocated to asset renewal or replacement is likely to result in a corresponding proportionate increase in depreciation expense, and in accumulated depreciation, with a reduction in useful lives.</w:t>
      </w:r>
    </w:p>
    <w:p w14:paraId="1562B991" w14:textId="77777777" w:rsidR="00730DE4" w:rsidRPr="00730DE4" w:rsidRDefault="00730DE4" w:rsidP="003C13D4">
      <w:pPr>
        <w:rPr>
          <w:color w:val="080C0F" w:themeColor="text1"/>
        </w:rPr>
      </w:pPr>
      <w:r w:rsidRPr="00730DE4">
        <w:rPr>
          <w:color w:val="080C0F" w:themeColor="text1"/>
        </w:rPr>
        <w:t>A reduction in funding is likely to have a similar impact in reducing depreciation expense and accumulated depreciation and increasing expected useful lives.</w:t>
      </w:r>
    </w:p>
    <w:p w14:paraId="0775AB3F" w14:textId="77777777" w:rsidR="00730DE4" w:rsidRPr="00730DE4" w:rsidRDefault="00730DE4" w:rsidP="003C13D4">
      <w:pPr>
        <w:rPr>
          <w:color w:val="080C0F" w:themeColor="text1"/>
        </w:rPr>
      </w:pPr>
      <w:r w:rsidRPr="00730DE4">
        <w:rPr>
          <w:color w:val="080C0F" w:themeColor="text1"/>
        </w:rPr>
        <w:t xml:space="preserve">Formation earthworks initially have an indefinite life irrespective of work carried out on the surface and pavement components. Earthworks that are expected to be taken out of service or reconstructed are allocated a limited life and are depreciated in accordance with the requirements of AASB 116 </w:t>
      </w:r>
      <w:r w:rsidRPr="00730DE4">
        <w:rPr>
          <w:i/>
          <w:iCs/>
          <w:color w:val="080C0F" w:themeColor="text1"/>
        </w:rPr>
        <w:t>Property, Plant and Equipment</w:t>
      </w:r>
      <w:r w:rsidRPr="00730DE4">
        <w:rPr>
          <w:color w:val="080C0F" w:themeColor="text1"/>
        </w:rPr>
        <w:t>.</w:t>
      </w:r>
    </w:p>
    <w:p w14:paraId="0D731DB1" w14:textId="77777777" w:rsidR="00730DE4" w:rsidRPr="00730DE4" w:rsidRDefault="00730DE4" w:rsidP="001C4F8F">
      <w:pPr>
        <w:pStyle w:val="Heading6"/>
      </w:pPr>
      <w:r w:rsidRPr="00730DE4">
        <w:t>Land under roads</w:t>
      </w:r>
    </w:p>
    <w:p w14:paraId="1446B943" w14:textId="77777777" w:rsidR="00730DE4" w:rsidRPr="00730DE4" w:rsidRDefault="00730DE4" w:rsidP="003C13D4">
      <w:pPr>
        <w:rPr>
          <w:color w:val="080C0F" w:themeColor="text1"/>
        </w:rPr>
      </w:pPr>
      <w:r w:rsidRPr="00730DE4">
        <w:rPr>
          <w:color w:val="080C0F" w:themeColor="text1"/>
        </w:rPr>
        <w:t>The aggregate value of land under roads is measured and disclosed as land until road declarations for each land portion are confirmed.</w:t>
      </w:r>
    </w:p>
    <w:p w14:paraId="783E0E63" w14:textId="77777777" w:rsidR="00730DE4" w:rsidRPr="00730DE4" w:rsidRDefault="00730DE4" w:rsidP="003C13D4">
      <w:pPr>
        <w:rPr>
          <w:color w:val="080C0F" w:themeColor="text1"/>
        </w:rPr>
      </w:pPr>
      <w:r w:rsidRPr="00730DE4">
        <w:rPr>
          <w:color w:val="080C0F" w:themeColor="text1"/>
        </w:rPr>
        <w:t>Where a road declaration is confirmed, the title is extinguished and ownership reverts to the state represented by the Department of Resources in accordance with Queensland Government policy.</w:t>
      </w:r>
    </w:p>
    <w:p w14:paraId="7FBADE01" w14:textId="77777777" w:rsidR="00730DE4" w:rsidRPr="00730DE4" w:rsidRDefault="00730DE4" w:rsidP="001C4F8F">
      <w:pPr>
        <w:pStyle w:val="Heading6"/>
      </w:pPr>
      <w:r w:rsidRPr="00730DE4">
        <w:t>Non-current assets classified as held for sale</w:t>
      </w:r>
    </w:p>
    <w:p w14:paraId="3EE3B7E3" w14:textId="77777777" w:rsidR="00730DE4" w:rsidRPr="00730DE4" w:rsidRDefault="00730DE4" w:rsidP="003C13D4">
      <w:pPr>
        <w:rPr>
          <w:color w:val="080C0F" w:themeColor="text1"/>
        </w:rPr>
      </w:pPr>
      <w:r w:rsidRPr="00730DE4">
        <w:rPr>
          <w:color w:val="080C0F" w:themeColor="text1"/>
        </w:rPr>
        <w:t>Non-current assets held for sale consist of those assets that management has determined are available for immediate sale in their present condition, and for which their sale is highly probable within the next twelve months.</w:t>
      </w:r>
    </w:p>
    <w:p w14:paraId="41124C1E" w14:textId="77777777" w:rsidR="00730DE4" w:rsidRPr="00730DE4" w:rsidRDefault="00730DE4" w:rsidP="003C13D4">
      <w:pPr>
        <w:rPr>
          <w:color w:val="080C0F" w:themeColor="text1"/>
        </w:rPr>
      </w:pPr>
      <w:r w:rsidRPr="00730DE4">
        <w:rPr>
          <w:color w:val="080C0F" w:themeColor="text1"/>
        </w:rPr>
        <w:t xml:space="preserve">In accordance with AASB 5 </w:t>
      </w:r>
      <w:r w:rsidRPr="00730DE4">
        <w:rPr>
          <w:i/>
          <w:iCs/>
          <w:color w:val="080C0F" w:themeColor="text1"/>
        </w:rPr>
        <w:t>Non-current Assets Held for Sale and Discontinued Operations</w:t>
      </w:r>
      <w:r w:rsidRPr="00730DE4">
        <w:rPr>
          <w:color w:val="080C0F" w:themeColor="text1"/>
        </w:rPr>
        <w:t>, when an asset is classified as held for sale its value is measured at the lower of the asset’s carrying amount and fair value less costs to sell. Such assets are no longer amortised or depreciated upon being classified as held for sale.</w:t>
      </w:r>
    </w:p>
    <w:p w14:paraId="75FEEDC4" w14:textId="77777777" w:rsidR="00730DE4" w:rsidRPr="00730DE4" w:rsidRDefault="00730DE4" w:rsidP="001C4F8F">
      <w:pPr>
        <w:pStyle w:val="Heading6"/>
      </w:pPr>
      <w:r w:rsidRPr="00730DE4">
        <w:t>Fair value measurement</w:t>
      </w:r>
    </w:p>
    <w:p w14:paraId="4FF4745C" w14:textId="77777777" w:rsidR="00730DE4" w:rsidRPr="00730DE4" w:rsidRDefault="00730DE4" w:rsidP="003C13D4">
      <w:pPr>
        <w:rPr>
          <w:color w:val="080C0F" w:themeColor="text1"/>
        </w:rPr>
      </w:pPr>
      <w:r w:rsidRPr="00730DE4">
        <w:rPr>
          <w:color w:val="080C0F" w:themeColor="text1"/>
        </w:rPr>
        <w:t>All assets and liabilities of the department for which fair value is measured or disclosed in the financial statements, are categorised within the following fair value hierarchy, based on the data and assumptions used in the most recent specific appraisals:</w:t>
      </w:r>
    </w:p>
    <w:p w14:paraId="7020C682" w14:textId="77777777" w:rsidR="00730DE4" w:rsidRPr="00730DE4" w:rsidRDefault="00730DE4" w:rsidP="004E3892">
      <w:pPr>
        <w:pStyle w:val="ListBullet"/>
      </w:pPr>
      <w:r w:rsidRPr="00730DE4">
        <w:t>Level 1 – represents fair value measurements that reflect unadjusted quoted market prices in active markets for identical assets and liabilities</w:t>
      </w:r>
    </w:p>
    <w:p w14:paraId="346C684E" w14:textId="77777777" w:rsidR="00730DE4" w:rsidRPr="00730DE4" w:rsidRDefault="00730DE4" w:rsidP="004E3892">
      <w:pPr>
        <w:pStyle w:val="ListBullet"/>
      </w:pPr>
      <w:r w:rsidRPr="00730DE4">
        <w:t>Level 2 – represents fair value measurements that are substantially derived from inputs other than quoted prices included within level 1 that are observable, either directly or indirectly</w:t>
      </w:r>
    </w:p>
    <w:p w14:paraId="3DEA5493" w14:textId="77777777" w:rsidR="00730DE4" w:rsidRPr="00730DE4" w:rsidRDefault="00730DE4" w:rsidP="004E3892">
      <w:pPr>
        <w:pStyle w:val="ListBullet"/>
      </w:pPr>
      <w:r w:rsidRPr="00730DE4">
        <w:t>Level 3 – represents fair value measurements that are substantially derived from unobservable inputs.</w:t>
      </w:r>
    </w:p>
    <w:p w14:paraId="61BB55E1" w14:textId="77777777" w:rsidR="00730DE4" w:rsidRPr="00730DE4" w:rsidRDefault="00730DE4" w:rsidP="001C4F8F">
      <w:pPr>
        <w:pStyle w:val="Heading6"/>
      </w:pPr>
      <w:r w:rsidRPr="00730DE4">
        <w:t>Valuation of property, plant and equipment</w:t>
      </w:r>
    </w:p>
    <w:p w14:paraId="6ADA87B4" w14:textId="77777777" w:rsidR="00730DE4" w:rsidRPr="00730DE4" w:rsidRDefault="00730DE4" w:rsidP="003C13D4">
      <w:pPr>
        <w:rPr>
          <w:rStyle w:val="Strong"/>
        </w:rPr>
      </w:pPr>
      <w:r w:rsidRPr="00730DE4">
        <w:rPr>
          <w:color w:val="080C0F" w:themeColor="text1"/>
        </w:rPr>
        <w:t xml:space="preserve">Plant and equipment assets and capital work in progress are measured at cost in accordance with Queensland Treasury’s </w:t>
      </w:r>
      <w:r w:rsidRPr="00730DE4">
        <w:rPr>
          <w:i/>
          <w:iCs/>
          <w:color w:val="080C0F" w:themeColor="text1"/>
        </w:rPr>
        <w:t>Non-Current Asset Policies for the Queensland Public Sector</w:t>
      </w:r>
      <w:r w:rsidRPr="00730DE4">
        <w:rPr>
          <w:color w:val="080C0F" w:themeColor="text1"/>
        </w:rPr>
        <w:t>.</w:t>
      </w:r>
    </w:p>
    <w:p w14:paraId="5C9504F7" w14:textId="77777777" w:rsidR="00730DE4" w:rsidRPr="00730DE4" w:rsidRDefault="00730DE4" w:rsidP="003C13D4">
      <w:pPr>
        <w:rPr>
          <w:color w:val="080C0F" w:themeColor="text1"/>
        </w:rPr>
      </w:pPr>
      <w:r w:rsidRPr="00730DE4">
        <w:rPr>
          <w:color w:val="080C0F" w:themeColor="text1"/>
        </w:rPr>
        <w:t>Land, buildings, major plant and equipment and infrastructure assets are measured and reported at their revalued amounts, being the fair value at the date of valuation, less any subsequent relevant accumulated depreciation and accumulated impairment.</w:t>
      </w:r>
    </w:p>
    <w:p w14:paraId="5BEC6C3E" w14:textId="77777777" w:rsidR="00730DE4" w:rsidRPr="00730DE4" w:rsidRDefault="00730DE4" w:rsidP="003C13D4">
      <w:pPr>
        <w:rPr>
          <w:color w:val="080C0F" w:themeColor="text1"/>
        </w:rPr>
      </w:pPr>
      <w:r w:rsidRPr="00730DE4">
        <w:rPr>
          <w:color w:val="080C0F" w:themeColor="text1"/>
        </w:rPr>
        <w:t>The cost of items acquired during the financial year materially represent their fair value at the end of the reporting period.</w:t>
      </w:r>
    </w:p>
    <w:p w14:paraId="180171AC" w14:textId="77777777" w:rsidR="00730DE4" w:rsidRPr="00730DE4" w:rsidRDefault="00730DE4" w:rsidP="003C13D4">
      <w:pPr>
        <w:rPr>
          <w:color w:val="080C0F" w:themeColor="text1"/>
        </w:rPr>
      </w:pPr>
      <w:r w:rsidRPr="00730DE4">
        <w:rPr>
          <w:color w:val="080C0F" w:themeColor="text1"/>
        </w:rPr>
        <w:t>Road infrastructure assets are valued on an annual basis by suitably qualified departmental officers and external experts. Land, buildings, major plant and equipment and other infrastructure assets are assessed by qualified valuers on a rolling revaluation basis at least once every five years with appropriate indices being applied in the intervening years.</w:t>
      </w:r>
    </w:p>
    <w:p w14:paraId="0A72A396" w14:textId="77777777" w:rsidR="00730DE4" w:rsidRPr="00730DE4" w:rsidRDefault="00730DE4" w:rsidP="003C13D4">
      <w:pPr>
        <w:rPr>
          <w:color w:val="080C0F" w:themeColor="text1"/>
        </w:rPr>
      </w:pPr>
      <w:r w:rsidRPr="00730DE4">
        <w:rPr>
          <w:color w:val="080C0F" w:themeColor="text1"/>
        </w:rPr>
        <w:t>Any revaluation increment arising on the revaluation of an asset is credited to the asset revaluation surplus of the appropriate class, except to the extent it reverses a revaluation decrement for the class previously recognised as an expense. A decrease in the carrying amount on revaluation is charged as an expense, to the extent it exceeds the balance, if any, in the revaluation surplus relating to that class.</w:t>
      </w:r>
    </w:p>
    <w:p w14:paraId="6AFA6BA2" w14:textId="77777777" w:rsidR="00730DE4" w:rsidRPr="00730DE4" w:rsidRDefault="00730DE4" w:rsidP="003C13D4">
      <w:pPr>
        <w:rPr>
          <w:color w:val="080C0F" w:themeColor="text1"/>
        </w:rPr>
      </w:pPr>
      <w:r w:rsidRPr="00730DE4">
        <w:rPr>
          <w:color w:val="080C0F" w:themeColor="text1"/>
        </w:rPr>
        <w:t xml:space="preserve">For assets revalued using a cost valuation approach accumulated depreciation is adjusted to equal the difference between the gross amount and carrying amount. </w:t>
      </w:r>
    </w:p>
    <w:p w14:paraId="24002442" w14:textId="77777777" w:rsidR="00730DE4" w:rsidRPr="00730DE4" w:rsidRDefault="00730DE4" w:rsidP="003C13D4">
      <w:pPr>
        <w:rPr>
          <w:color w:val="080C0F" w:themeColor="text1"/>
        </w:rPr>
      </w:pPr>
      <w:r w:rsidRPr="00730DE4">
        <w:rPr>
          <w:color w:val="080C0F" w:themeColor="text1"/>
        </w:rPr>
        <w:t>For assets revalued using a market or income based valuation approach accumulated depreciation is eliminated against the gross amount of the asset prior to restating for the revaluation.</w:t>
      </w:r>
    </w:p>
    <w:p w14:paraId="347BBBF0" w14:textId="77777777" w:rsidR="00730DE4" w:rsidRPr="00730DE4" w:rsidRDefault="00730DE4" w:rsidP="00E772F7">
      <w:pPr>
        <w:pStyle w:val="Heading6"/>
      </w:pPr>
      <w:r w:rsidRPr="00730DE4">
        <w:t>Land</w:t>
      </w:r>
    </w:p>
    <w:p w14:paraId="09E5B65D" w14:textId="77777777" w:rsidR="00730DE4" w:rsidRPr="00730DE4" w:rsidRDefault="00730DE4" w:rsidP="003C13D4">
      <w:pPr>
        <w:rPr>
          <w:color w:val="080C0F" w:themeColor="text1"/>
        </w:rPr>
      </w:pPr>
      <w:r w:rsidRPr="00730DE4">
        <w:rPr>
          <w:color w:val="080C0F" w:themeColor="text1"/>
        </w:rPr>
        <w:t>The department’s land included in the rolling comprehensive revaluation schedule was revalued by an external valuer in September 2023. The fair value of this land was determined based on recent comparable sales, considering factors such as land restrictions and market information availability.</w:t>
      </w:r>
    </w:p>
    <w:p w14:paraId="4C91CEE6" w14:textId="77777777" w:rsidR="00730DE4" w:rsidRPr="00730DE4" w:rsidRDefault="00730DE4" w:rsidP="003C13D4">
      <w:pPr>
        <w:rPr>
          <w:color w:val="080C0F" w:themeColor="text1"/>
        </w:rPr>
      </w:pPr>
      <w:r w:rsidRPr="00730DE4">
        <w:rPr>
          <w:color w:val="080C0F" w:themeColor="text1"/>
        </w:rPr>
        <w:t>The State Valuation Service has provided an individual factor change per property to determine fair value for land which has not been comprehensively revalued in 2024. In determining indices, the valuation incorporated market sales data, land valuations issued by the Valuer-General, the location of the department's land, its size, shape, street or road frontage and access and any other significant restrictions.</w:t>
      </w:r>
    </w:p>
    <w:p w14:paraId="10BB217A" w14:textId="77777777" w:rsidR="00730DE4" w:rsidRPr="00730DE4" w:rsidRDefault="00730DE4" w:rsidP="003C13D4">
      <w:pPr>
        <w:rPr>
          <w:color w:val="080C0F" w:themeColor="text1"/>
        </w:rPr>
      </w:pPr>
      <w:r w:rsidRPr="00730DE4">
        <w:rPr>
          <w:color w:val="080C0F" w:themeColor="text1"/>
        </w:rPr>
        <w:t>In accordance with AASB 13</w:t>
      </w:r>
      <w:r w:rsidRPr="00730DE4">
        <w:rPr>
          <w:i/>
          <w:iCs/>
          <w:color w:val="080C0F" w:themeColor="text1"/>
        </w:rPr>
        <w:t xml:space="preserve"> Fair Value Measurement,</w:t>
      </w:r>
      <w:r w:rsidRPr="00730DE4">
        <w:rPr>
          <w:color w:val="080C0F" w:themeColor="text1"/>
        </w:rPr>
        <w:t xml:space="preserve"> the department's land assets are generally categorised as level 2.</w:t>
      </w:r>
    </w:p>
    <w:p w14:paraId="76000994" w14:textId="77777777" w:rsidR="00730DE4" w:rsidRPr="00730DE4" w:rsidRDefault="00730DE4" w:rsidP="003C13D4">
      <w:pPr>
        <w:rPr>
          <w:color w:val="080C0F" w:themeColor="text1"/>
        </w:rPr>
      </w:pPr>
      <w:r w:rsidRPr="00730DE4">
        <w:rPr>
          <w:color w:val="080C0F" w:themeColor="text1"/>
        </w:rPr>
        <w:t xml:space="preserve">Land subject to restrictions due to its size or use, and or ability to be sold, such as land located in areas where there is not an active market, has been classified as level 3. </w:t>
      </w:r>
    </w:p>
    <w:p w14:paraId="104E28B5" w14:textId="77777777" w:rsidR="00730DE4" w:rsidRPr="00730DE4" w:rsidRDefault="00730DE4" w:rsidP="00E772F7">
      <w:pPr>
        <w:pStyle w:val="Heading6"/>
      </w:pPr>
      <w:r w:rsidRPr="00730DE4">
        <w:t>Buildings</w:t>
      </w:r>
    </w:p>
    <w:p w14:paraId="217C64D3" w14:textId="77777777" w:rsidR="00730DE4" w:rsidRPr="00730DE4" w:rsidRDefault="00730DE4" w:rsidP="003C13D4">
      <w:pPr>
        <w:rPr>
          <w:color w:val="080C0F" w:themeColor="text1"/>
        </w:rPr>
      </w:pPr>
      <w:r w:rsidRPr="00730DE4">
        <w:rPr>
          <w:color w:val="080C0F" w:themeColor="text1"/>
        </w:rPr>
        <w:t xml:space="preserve">The department's buildings included in the rolling comprehensive revaluation schedule were revalued by an external valuer in September 2023. The fair value of building assets was based on recent comparable sales. Factors such as current building use, availability of market information and building condition were also taken into consideration during this specific appraisal. </w:t>
      </w:r>
    </w:p>
    <w:p w14:paraId="3C34A78D" w14:textId="77777777" w:rsidR="00730DE4" w:rsidRPr="00730DE4" w:rsidRDefault="00730DE4" w:rsidP="003C13D4">
      <w:pPr>
        <w:rPr>
          <w:color w:val="080C0F" w:themeColor="text1"/>
        </w:rPr>
      </w:pPr>
      <w:r w:rsidRPr="00730DE4">
        <w:rPr>
          <w:color w:val="080C0F" w:themeColor="text1"/>
        </w:rPr>
        <w:t xml:space="preserve">The department's buildings which were not comprehensively revalued in 2024 were indexed based on information provided by various external valuers. </w:t>
      </w:r>
    </w:p>
    <w:p w14:paraId="4B0CAF34" w14:textId="77777777" w:rsidR="00730DE4" w:rsidRPr="00730DE4" w:rsidRDefault="00730DE4" w:rsidP="003C13D4">
      <w:pPr>
        <w:rPr>
          <w:color w:val="080C0F" w:themeColor="text1"/>
        </w:rPr>
      </w:pPr>
      <w:r w:rsidRPr="00730DE4">
        <w:rPr>
          <w:color w:val="080C0F" w:themeColor="text1"/>
        </w:rPr>
        <w:t xml:space="preserve">The department's building assets are categorised as a combination of level 2 and level 3 in accordance with AASB 13 </w:t>
      </w:r>
      <w:r w:rsidRPr="00730DE4">
        <w:rPr>
          <w:i/>
          <w:iCs/>
          <w:color w:val="080C0F" w:themeColor="text1"/>
        </w:rPr>
        <w:t>Fair Value Measurement</w:t>
      </w:r>
      <w:r w:rsidRPr="00730DE4">
        <w:rPr>
          <w:color w:val="080C0F" w:themeColor="text1"/>
        </w:rPr>
        <w:t>. Significant buildings not used for residential purposes without an active market have been classified as level 3.</w:t>
      </w:r>
    </w:p>
    <w:p w14:paraId="40AA35B5" w14:textId="77777777" w:rsidR="00730DE4" w:rsidRPr="00730DE4" w:rsidRDefault="00730DE4" w:rsidP="00E772F7">
      <w:pPr>
        <w:pStyle w:val="Heading6"/>
      </w:pPr>
      <w:r w:rsidRPr="00730DE4">
        <w:t>Major plant and equipment</w:t>
      </w:r>
    </w:p>
    <w:p w14:paraId="5CDB3619" w14:textId="77777777" w:rsidR="00730DE4" w:rsidRPr="00730DE4" w:rsidRDefault="00730DE4" w:rsidP="003C13D4">
      <w:pPr>
        <w:rPr>
          <w:color w:val="080C0F" w:themeColor="text1"/>
        </w:rPr>
      </w:pPr>
      <w:r w:rsidRPr="00730DE4">
        <w:rPr>
          <w:color w:val="080C0F" w:themeColor="text1"/>
        </w:rPr>
        <w:t>The department's major plant and equipment was last comprehensively revalued based on specific appraisal by an external valuer effective from September 2020.</w:t>
      </w:r>
    </w:p>
    <w:p w14:paraId="60B732A6" w14:textId="77777777" w:rsidR="00730DE4" w:rsidRPr="00730DE4" w:rsidRDefault="00730DE4" w:rsidP="003C13D4">
      <w:pPr>
        <w:rPr>
          <w:color w:val="080C0F" w:themeColor="text1"/>
        </w:rPr>
      </w:pPr>
      <w:r w:rsidRPr="00730DE4">
        <w:rPr>
          <w:color w:val="080C0F" w:themeColor="text1"/>
        </w:rPr>
        <w:t>The valuation method used is current replacement cost as there is no active market existing for such assets. The approach consists of reviewing recent local and international rolling stock contracts adjusted for the relevant producer price index and historical exchange rates.</w:t>
      </w:r>
    </w:p>
    <w:p w14:paraId="6F1EF4C6" w14:textId="77777777" w:rsidR="00730DE4" w:rsidRPr="00730DE4" w:rsidRDefault="00730DE4" w:rsidP="003C13D4">
      <w:pPr>
        <w:rPr>
          <w:color w:val="080C0F" w:themeColor="text1"/>
        </w:rPr>
      </w:pPr>
      <w:r w:rsidRPr="00730DE4">
        <w:rPr>
          <w:color w:val="080C0F" w:themeColor="text1"/>
        </w:rPr>
        <w:t>The department's major plant and equipment was revalued in 2024 based on indexation information provided by an external valuer.</w:t>
      </w:r>
    </w:p>
    <w:p w14:paraId="11A15468" w14:textId="77777777" w:rsidR="00730DE4" w:rsidRPr="00730DE4" w:rsidRDefault="00730DE4" w:rsidP="003C13D4">
      <w:pPr>
        <w:rPr>
          <w:color w:val="080C0F" w:themeColor="text1"/>
        </w:rPr>
      </w:pPr>
      <w:r w:rsidRPr="00730DE4">
        <w:rPr>
          <w:color w:val="080C0F" w:themeColor="text1"/>
        </w:rPr>
        <w:t>Significant judgement is also used to assess the remaining service potential of the assets, including current condition.</w:t>
      </w:r>
    </w:p>
    <w:p w14:paraId="752FD2A6" w14:textId="77777777" w:rsidR="00730DE4" w:rsidRPr="00730DE4" w:rsidRDefault="00730DE4" w:rsidP="003C13D4">
      <w:pPr>
        <w:rPr>
          <w:color w:val="080C0F" w:themeColor="text1"/>
        </w:rPr>
      </w:pPr>
      <w:r w:rsidRPr="00730DE4">
        <w:rPr>
          <w:color w:val="080C0F" w:themeColor="text1"/>
        </w:rPr>
        <w:t xml:space="preserve">In accordance with AASB 13 </w:t>
      </w:r>
      <w:r w:rsidRPr="00730DE4">
        <w:rPr>
          <w:i/>
          <w:iCs/>
          <w:color w:val="080C0F" w:themeColor="text1"/>
        </w:rPr>
        <w:t>Fair Value Measurement</w:t>
      </w:r>
      <w:r w:rsidRPr="00730DE4">
        <w:rPr>
          <w:color w:val="080C0F" w:themeColor="text1"/>
        </w:rPr>
        <w:t>, major plant and equipment assets are categorised as level 3.</w:t>
      </w:r>
    </w:p>
    <w:p w14:paraId="46B12556" w14:textId="77777777" w:rsidR="00730DE4" w:rsidRPr="00730DE4" w:rsidRDefault="00730DE4" w:rsidP="00E772F7">
      <w:pPr>
        <w:pStyle w:val="Heading6"/>
      </w:pPr>
      <w:r w:rsidRPr="00730DE4">
        <w:t xml:space="preserve">Infrastructure </w:t>
      </w:r>
    </w:p>
    <w:p w14:paraId="14F237FA" w14:textId="77777777" w:rsidR="00730DE4" w:rsidRPr="00730DE4" w:rsidRDefault="00730DE4" w:rsidP="003C13D4">
      <w:pPr>
        <w:rPr>
          <w:rStyle w:val="Strong"/>
        </w:rPr>
      </w:pPr>
      <w:r w:rsidRPr="00730DE4">
        <w:rPr>
          <w:color w:val="080C0F" w:themeColor="text1"/>
        </w:rPr>
        <w:t>A full management valuation of the road infrastructure network asset as at 31 March 2024 was completed by suitably qualified and experienced departmental engineers and staff. The valuation methodology adopted to calculate fair value is based on the cost to acquire the service potential embodied in an asset and adjusted to reflect the asset’s present condition, functionality, technological and economic obsolescence. This is the estimated cost to replace an asset with an appropriate modern equivalent using current construction materials and standards, adjusted for changes in utility and service level.</w:t>
      </w:r>
    </w:p>
    <w:p w14:paraId="2B5A1C3B" w14:textId="77777777" w:rsidR="00730DE4" w:rsidRPr="00730DE4" w:rsidRDefault="00730DE4" w:rsidP="003C13D4">
      <w:pPr>
        <w:rPr>
          <w:color w:val="080C0F" w:themeColor="text1"/>
        </w:rPr>
      </w:pPr>
      <w:r w:rsidRPr="00730DE4">
        <w:rPr>
          <w:color w:val="080C0F" w:themeColor="text1"/>
        </w:rPr>
        <w:t>The valuation involves a resource-based assessment to develop unit rates that provide a sound representation of the cost of replacing the service potential embodied in the asset. This process utilises the following key assumptions and judgements:</w:t>
      </w:r>
    </w:p>
    <w:p w14:paraId="3AF9D5EE" w14:textId="77777777" w:rsidR="00730DE4" w:rsidRPr="00730DE4" w:rsidRDefault="00730DE4" w:rsidP="003C13D4">
      <w:pPr>
        <w:pStyle w:val="ListBullet"/>
        <w:rPr>
          <w:color w:val="080C0F" w:themeColor="text1"/>
        </w:rPr>
      </w:pPr>
      <w:r w:rsidRPr="00730DE4">
        <w:t>Stereotypical roads – The road network is broken down into stereotypical roads as a way of standardising the</w:t>
      </w:r>
      <w:r w:rsidRPr="00730DE4">
        <w:rPr>
          <w:color w:val="080C0F" w:themeColor="text1"/>
        </w:rPr>
        <w:t xml:space="preserve"> complexities involved in road construction. The department estimates 13 different road stereotypes based on the road segments' complexity in relation to the number and width of traffic lanes, standard of construction (based on date), number of carriageways, age of construction, and location (rural or urban). Stereotypes range from unformed roads through to major motorways and busways and are further defined by complex category and sub-category mapping (for example, terrain – rolling, level, mountainous).</w:t>
      </w:r>
      <w:r w:rsidRPr="00730DE4">
        <w:rPr>
          <w:color w:val="080C0F" w:themeColor="text1"/>
        </w:rPr>
        <w:br/>
      </w:r>
    </w:p>
    <w:p w14:paraId="2110A220" w14:textId="77777777" w:rsidR="005B60B8" w:rsidRDefault="00730DE4" w:rsidP="004E3892">
      <w:pPr>
        <w:pStyle w:val="ListBullet"/>
      </w:pPr>
      <w:r w:rsidRPr="00730DE4">
        <w:t>Project work breakdown structure (WBS) – Each stereotype is supported by a complex breakdown of WBS schedules representing the types of projects that would be undertaken to replace and renew relevant asset components. As WBS represent a standardised road construction, assumptions are made on the area used for each WBS. The areas have been determined by a firm of consultant engineers and are reviewed and updated as necessary. There is a small number of derived WBS schedules that are based on other similar WBS instead of their own schedule of work activities.</w:t>
      </w:r>
      <w:r w:rsidR="005B60B8">
        <w:br w:type="page"/>
      </w:r>
    </w:p>
    <w:p w14:paraId="5AA56D8C" w14:textId="77777777" w:rsidR="00730DE4" w:rsidRPr="00730DE4" w:rsidRDefault="00730DE4" w:rsidP="004E3892">
      <w:pPr>
        <w:pStyle w:val="ListBullet"/>
        <w:rPr>
          <w:rStyle w:val="Strong"/>
        </w:rPr>
      </w:pPr>
      <w:r w:rsidRPr="00730DE4">
        <w:t xml:space="preserve">Unit rates – The unit rates applied to stereotypical roads are priced by an expert estimating firm using current market rates of inputs such as raw materials, plant and labour to underpin the detailed WBS schedules representing the way in which certain stereotypical roads would be replaced. Inputs are sourced directly from suppliers and subcontractors competing in the marketplace in Queensland. </w:t>
      </w:r>
      <w:r w:rsidRPr="00730DE4">
        <w:br/>
      </w:r>
      <w:r w:rsidRPr="00730DE4">
        <w:br/>
        <w:t>The unit rates, including underlying assumptions and specific details contained in the stereotypes, are ratified annually by an expert panel consisting of engineers and staff from a range of disciplines across the department in conjunction with local government and industry.</w:t>
      </w:r>
    </w:p>
    <w:p w14:paraId="17688A19" w14:textId="77777777" w:rsidR="00730DE4" w:rsidRPr="00730DE4" w:rsidRDefault="00730DE4" w:rsidP="003C13D4">
      <w:pPr>
        <w:rPr>
          <w:color w:val="080C0F" w:themeColor="text1"/>
        </w:rPr>
      </w:pPr>
      <w:r w:rsidRPr="00730DE4">
        <w:rPr>
          <w:color w:val="080C0F" w:themeColor="text1"/>
        </w:rPr>
        <w:t>Remaining useful lives are estimated using past experience as detailed in the department's road condition models and in the extensive rule set that is applied to determine when an appropriate works intervention will occur. Consideration is also given to planned replacement programs as a result of observation of road use deterioration and environmental factors such as:</w:t>
      </w:r>
    </w:p>
    <w:p w14:paraId="2086ACB0" w14:textId="77777777" w:rsidR="00730DE4" w:rsidRPr="00730DE4" w:rsidRDefault="00730DE4" w:rsidP="004E3892">
      <w:pPr>
        <w:pStyle w:val="ListBullet"/>
      </w:pPr>
      <w:r w:rsidRPr="00730DE4">
        <w:t>Traffic volume</w:t>
      </w:r>
    </w:p>
    <w:p w14:paraId="699B99FA" w14:textId="77777777" w:rsidR="00730DE4" w:rsidRPr="00730DE4" w:rsidRDefault="00730DE4" w:rsidP="004E3892">
      <w:pPr>
        <w:pStyle w:val="ListBullet"/>
      </w:pPr>
      <w:r w:rsidRPr="00730DE4">
        <w:t>Rutting</w:t>
      </w:r>
    </w:p>
    <w:p w14:paraId="116EF4F3" w14:textId="77777777" w:rsidR="00730DE4" w:rsidRPr="00730DE4" w:rsidRDefault="00730DE4" w:rsidP="004E3892">
      <w:pPr>
        <w:pStyle w:val="ListBullet"/>
      </w:pPr>
      <w:r w:rsidRPr="00730DE4">
        <w:t>Cracking</w:t>
      </w:r>
    </w:p>
    <w:p w14:paraId="68B7BBAF" w14:textId="77777777" w:rsidR="00730DE4" w:rsidRPr="00730DE4" w:rsidRDefault="00730DE4" w:rsidP="004E3892">
      <w:pPr>
        <w:pStyle w:val="ListBullet"/>
      </w:pPr>
      <w:r w:rsidRPr="00730DE4">
        <w:t>Roughness</w:t>
      </w:r>
    </w:p>
    <w:p w14:paraId="6BA80542" w14:textId="77777777" w:rsidR="00730DE4" w:rsidRPr="00730DE4" w:rsidRDefault="00730DE4" w:rsidP="004E3892">
      <w:pPr>
        <w:pStyle w:val="ListBullet"/>
      </w:pPr>
      <w:r w:rsidRPr="00730DE4">
        <w:t>Safety</w:t>
      </w:r>
    </w:p>
    <w:p w14:paraId="27DEA944" w14:textId="77777777" w:rsidR="00730DE4" w:rsidRPr="00730DE4" w:rsidRDefault="00730DE4" w:rsidP="004E3892">
      <w:pPr>
        <w:pStyle w:val="ListBullet"/>
      </w:pPr>
      <w:r w:rsidRPr="00730DE4">
        <w:t>Number of years in use.</w:t>
      </w:r>
    </w:p>
    <w:p w14:paraId="24106BF3" w14:textId="77777777" w:rsidR="00730DE4" w:rsidRPr="00730DE4" w:rsidRDefault="00730DE4" w:rsidP="003C13D4">
      <w:pPr>
        <w:rPr>
          <w:color w:val="080C0F" w:themeColor="text1"/>
        </w:rPr>
      </w:pPr>
      <w:r w:rsidRPr="00730DE4">
        <w:rPr>
          <w:color w:val="080C0F" w:themeColor="text1"/>
        </w:rPr>
        <w:t>To ensure the reported carrying amount of the department's road infrastructure assets are not materially different from their market value at reporting date, market sensitivity assessments were undertaken between the valuation date and 30 June.</w:t>
      </w:r>
    </w:p>
    <w:p w14:paraId="2509FF61" w14:textId="77777777" w:rsidR="00730DE4" w:rsidRPr="00730DE4" w:rsidRDefault="00730DE4" w:rsidP="003C13D4">
      <w:pPr>
        <w:rPr>
          <w:color w:val="080C0F" w:themeColor="text1"/>
        </w:rPr>
      </w:pPr>
      <w:r w:rsidRPr="00730DE4">
        <w:rPr>
          <w:color w:val="080C0F" w:themeColor="text1"/>
        </w:rPr>
        <w:t>As there is no active market for the department's infrastructure assets, the valuation approach used is current replacement cost. This is the assets’ measurement of their highest and best use. While the unit rates database consists of market derived component costs which includes raw materials and other costs of construction (level 2 inputs), there are also significant level 3 unobservable inputs such as useful life and asset condition which require extensive professional judgement. Differences in the assessment of these level 3 inputs would not result in material changes in the reported fair value.</w:t>
      </w:r>
    </w:p>
    <w:p w14:paraId="0B96E543" w14:textId="77777777" w:rsidR="00730DE4" w:rsidRPr="00730DE4" w:rsidRDefault="00730DE4" w:rsidP="003C13D4">
      <w:pPr>
        <w:rPr>
          <w:color w:val="080C0F" w:themeColor="text1"/>
        </w:rPr>
      </w:pPr>
      <w:r w:rsidRPr="00730DE4">
        <w:rPr>
          <w:color w:val="080C0F" w:themeColor="text1"/>
        </w:rPr>
        <w:t>The department determines the current replacement cost of structures on the infrastructure network through an approach that takes into consideration an expert review of actual construction costs and resource rates to replace existing bridges, tunnels and major culverts. This is achieved by referencing past works of similar construction method and moderating for changes in market movements through a combination of market indexation and referencing of recent actual construction costs and resource rates.</w:t>
      </w:r>
    </w:p>
    <w:p w14:paraId="36E5F795" w14:textId="77777777" w:rsidR="00730DE4" w:rsidRPr="00730DE4" w:rsidRDefault="00730DE4" w:rsidP="003C13D4">
      <w:pPr>
        <w:rPr>
          <w:color w:val="080C0F" w:themeColor="text1"/>
        </w:rPr>
      </w:pPr>
      <w:r w:rsidRPr="00730DE4">
        <w:rPr>
          <w:color w:val="080C0F" w:themeColor="text1"/>
        </w:rPr>
        <w:t>Unit rates for the current replacement cost of bridges and tunnels are derived from a combination of the current and prior four years' project costs and other departmental system reports, and market indexation, moderated by internal engineering experts. Unit rates for the current replacement cost of major culverts are derived from resource rates and use of the Expert Estimation tool, moderated by internal engineering experts. These unit rates are then certified by the department's Deputy Chief Engineer (Structures).</w:t>
      </w:r>
    </w:p>
    <w:p w14:paraId="2F57EA78" w14:textId="77777777" w:rsidR="00730DE4" w:rsidRPr="00730DE4" w:rsidRDefault="00730DE4" w:rsidP="003C13D4">
      <w:pPr>
        <w:rPr>
          <w:color w:val="080C0F" w:themeColor="text1"/>
        </w:rPr>
      </w:pPr>
      <w:r w:rsidRPr="00730DE4">
        <w:rPr>
          <w:color w:val="080C0F" w:themeColor="text1"/>
        </w:rPr>
        <w:t>Other infrastructure assets included in the rolling comprehensive revaluation schedule were revalued as of September 2023 by an external valuer. This specific appraisal used a costing database similar to the unit rates process used for road infrastructure.</w:t>
      </w:r>
    </w:p>
    <w:p w14:paraId="5ACAC12E" w14:textId="77777777" w:rsidR="00730DE4" w:rsidRPr="00730DE4" w:rsidRDefault="00730DE4" w:rsidP="003C13D4">
      <w:pPr>
        <w:rPr>
          <w:color w:val="080C0F" w:themeColor="text1"/>
        </w:rPr>
      </w:pPr>
      <w:r w:rsidRPr="00730DE4">
        <w:rPr>
          <w:color w:val="080C0F" w:themeColor="text1"/>
        </w:rPr>
        <w:t>As with the department’s infrastructure assets, there is no active market for other infrastructure. Therefore current replacement cost is the measurement of the other infrastructure assets highest and best use.</w:t>
      </w:r>
    </w:p>
    <w:p w14:paraId="2F61D568" w14:textId="77777777" w:rsidR="00730DE4" w:rsidRPr="00730DE4" w:rsidRDefault="00730DE4" w:rsidP="003C13D4">
      <w:pPr>
        <w:rPr>
          <w:color w:val="080C0F" w:themeColor="text1"/>
        </w:rPr>
      </w:pPr>
      <w:r w:rsidRPr="00730DE4">
        <w:rPr>
          <w:color w:val="080C0F" w:themeColor="text1"/>
        </w:rPr>
        <w:t>The remaining infrastructure assets were revalued in 2024 based on indexation information provided by various external valuers.</w:t>
      </w:r>
    </w:p>
    <w:p w14:paraId="5744CC80" w14:textId="77777777" w:rsidR="00730DE4" w:rsidRPr="00730DE4" w:rsidRDefault="00730DE4" w:rsidP="003C13D4">
      <w:pPr>
        <w:rPr>
          <w:color w:val="080C0F" w:themeColor="text1"/>
        </w:rPr>
      </w:pPr>
      <w:r w:rsidRPr="00730DE4">
        <w:rPr>
          <w:color w:val="080C0F" w:themeColor="text1"/>
        </w:rPr>
        <w:t xml:space="preserve">In accordance with AASB 13 </w:t>
      </w:r>
      <w:r w:rsidRPr="00730DE4">
        <w:rPr>
          <w:i/>
          <w:iCs/>
          <w:color w:val="080C0F" w:themeColor="text1"/>
        </w:rPr>
        <w:t>Fair Value Measurement</w:t>
      </w:r>
      <w:r w:rsidRPr="00730DE4">
        <w:rPr>
          <w:color w:val="080C0F" w:themeColor="text1"/>
        </w:rPr>
        <w:t>, the department's infrastructure assets are categorised as level 3.</w:t>
      </w:r>
    </w:p>
    <w:p w14:paraId="05661C8D" w14:textId="77777777" w:rsidR="00730DE4" w:rsidRPr="00730DE4" w:rsidRDefault="00730DE4" w:rsidP="003C13D4">
      <w:pPr>
        <w:rPr>
          <w:color w:val="080C0F" w:themeColor="text1"/>
        </w:rPr>
      </w:pPr>
      <w:r w:rsidRPr="00730DE4">
        <w:rPr>
          <w:color w:val="080C0F" w:themeColor="text1"/>
        </w:rPr>
        <w:t xml:space="preserve">As the department is a not-for-profit entity with no cash generating units, impairment under AASB 136 </w:t>
      </w:r>
      <w:r w:rsidRPr="00730DE4">
        <w:rPr>
          <w:i/>
          <w:iCs/>
          <w:color w:val="080C0F" w:themeColor="text1"/>
        </w:rPr>
        <w:t>Impairment of Assets</w:t>
      </w:r>
      <w:r w:rsidRPr="00730DE4">
        <w:rPr>
          <w:color w:val="080C0F" w:themeColor="text1"/>
        </w:rPr>
        <w:t xml:space="preserve"> is unlikely to arise, since property, plant and equipment is carried at fair value or an amount that approximates fair value in rare circumstances.</w:t>
      </w:r>
    </w:p>
    <w:p w14:paraId="3961FCBA" w14:textId="77777777" w:rsidR="00730DE4" w:rsidRPr="00730DE4" w:rsidRDefault="00730DE4" w:rsidP="003C13D4">
      <w:pPr>
        <w:rPr>
          <w:rStyle w:val="Strong"/>
        </w:rPr>
        <w:sectPr w:rsidR="00730DE4" w:rsidRPr="00730DE4" w:rsidSect="00730DE4">
          <w:pgSz w:w="11906" w:h="16838" w:code="9"/>
          <w:pgMar w:top="1134" w:right="1134" w:bottom="1418" w:left="1134" w:header="227" w:footer="227" w:gutter="0"/>
          <w:cols w:space="708"/>
          <w:docGrid w:linePitch="360"/>
        </w:sectPr>
      </w:pPr>
    </w:p>
    <w:p w14:paraId="7F294B8D" w14:textId="77777777" w:rsidR="00730DE4" w:rsidRPr="00730DE4" w:rsidRDefault="00730DE4" w:rsidP="005265FC">
      <w:pPr>
        <w:pStyle w:val="Heading4"/>
      </w:pPr>
      <w:bookmarkStart w:id="1528" w:name="_Hlk172876298"/>
      <w:bookmarkStart w:id="1529" w:name="_Toc179365611"/>
      <w:bookmarkStart w:id="1530" w:name="_Toc180490938"/>
      <w:bookmarkStart w:id="1531" w:name="_Toc180491971"/>
      <w:r w:rsidRPr="00730DE4">
        <w:t>16 Public private partnerships</w:t>
      </w:r>
      <w:bookmarkStart w:id="1532" w:name="_Hlk133274324"/>
      <w:bookmarkEnd w:id="1528"/>
      <w:bookmarkEnd w:id="1529"/>
      <w:bookmarkEnd w:id="1530"/>
      <w:bookmarkEnd w:id="1531"/>
    </w:p>
    <w:p w14:paraId="6E445436" w14:textId="77777777" w:rsidR="00730DE4" w:rsidRPr="00730DE4" w:rsidRDefault="00730DE4" w:rsidP="004A5032">
      <w:pPr>
        <w:pStyle w:val="Heading5"/>
      </w:pPr>
      <w:bookmarkStart w:id="1533" w:name="_Toc180487734"/>
      <w:bookmarkStart w:id="1534" w:name="_Toc180490939"/>
      <w:bookmarkStart w:id="1535" w:name="_Toc180491972"/>
      <w:r w:rsidRPr="00730DE4">
        <w:t>Service Concession Arrangements under AASB 1059</w:t>
      </w:r>
      <w:bookmarkEnd w:id="1533"/>
      <w:bookmarkEnd w:id="1534"/>
      <w:bookmarkEnd w:id="1535"/>
    </w:p>
    <w:p w14:paraId="4E5F7C59" w14:textId="77777777" w:rsidR="00730DE4" w:rsidRPr="00730DE4" w:rsidRDefault="00730DE4" w:rsidP="000F0A47">
      <w:pPr>
        <w:pStyle w:val="NoSpacing"/>
        <w:rPr>
          <w:rStyle w:val="Strong"/>
        </w:rPr>
      </w:pPr>
    </w:p>
    <w:tbl>
      <w:tblPr>
        <w:tblW w:w="5000" w:type="pct"/>
        <w:tblCellMar>
          <w:top w:w="23" w:type="dxa"/>
          <w:left w:w="23" w:type="dxa"/>
          <w:bottom w:w="23" w:type="dxa"/>
          <w:right w:w="23" w:type="dxa"/>
        </w:tblCellMar>
        <w:tblLook w:val="04A0" w:firstRow="1" w:lastRow="0" w:firstColumn="1" w:lastColumn="0" w:noHBand="0" w:noVBand="1"/>
      </w:tblPr>
      <w:tblGrid>
        <w:gridCol w:w="5098"/>
        <w:gridCol w:w="1766"/>
        <w:gridCol w:w="1766"/>
        <w:gridCol w:w="1766"/>
        <w:gridCol w:w="1766"/>
        <w:gridCol w:w="1766"/>
        <w:gridCol w:w="1766"/>
        <w:gridCol w:w="1766"/>
        <w:gridCol w:w="1766"/>
        <w:gridCol w:w="1749"/>
      </w:tblGrid>
      <w:tr w:rsidR="00730DE4" w:rsidRPr="00730DE4" w14:paraId="41D4BE75" w14:textId="77777777" w:rsidTr="00253FBD">
        <w:trPr>
          <w:trHeight w:val="23"/>
        </w:trPr>
        <w:tc>
          <w:tcPr>
            <w:tcW w:w="1215" w:type="pct"/>
            <w:tcBorders>
              <w:top w:val="nil"/>
              <w:left w:val="nil"/>
              <w:bottom w:val="single" w:sz="4" w:space="0" w:color="080C0F" w:themeColor="text1"/>
              <w:right w:val="nil"/>
            </w:tcBorders>
            <w:shd w:val="clear" w:color="auto" w:fill="auto"/>
            <w:noWrap/>
            <w:vAlign w:val="bottom"/>
            <w:hideMark/>
          </w:tcPr>
          <w:p w14:paraId="40324F5A" w14:textId="77777777" w:rsidR="00730DE4" w:rsidRPr="00730DE4" w:rsidRDefault="00730DE4" w:rsidP="00DB56E6">
            <w:pPr>
              <w:pStyle w:val="NoSpacing"/>
              <w:rPr>
                <w:b/>
                <w:bCs/>
              </w:rPr>
            </w:pPr>
            <w:r w:rsidRPr="00730DE4">
              <w:rPr>
                <w:rStyle w:val="Strong"/>
              </w:rPr>
              <w:t>Service concession assets</w:t>
            </w:r>
          </w:p>
        </w:tc>
        <w:tc>
          <w:tcPr>
            <w:tcW w:w="421" w:type="pct"/>
            <w:tcBorders>
              <w:top w:val="nil"/>
              <w:left w:val="nil"/>
              <w:bottom w:val="single" w:sz="4" w:space="0" w:color="080C0F" w:themeColor="text1"/>
              <w:right w:val="nil"/>
            </w:tcBorders>
            <w:shd w:val="clear" w:color="auto" w:fill="auto"/>
            <w:noWrap/>
            <w:vAlign w:val="bottom"/>
            <w:hideMark/>
          </w:tcPr>
          <w:p w14:paraId="651B148C" w14:textId="77777777" w:rsidR="00730DE4" w:rsidRPr="00730DE4" w:rsidRDefault="00730DE4" w:rsidP="00DB56E6">
            <w:pPr>
              <w:pStyle w:val="NoSpacing"/>
              <w:jc w:val="right"/>
              <w:rPr>
                <w:b/>
                <w:bCs/>
              </w:rPr>
            </w:pPr>
            <w:r w:rsidRPr="00730DE4">
              <w:rPr>
                <w:rStyle w:val="Strong"/>
              </w:rPr>
              <w:t xml:space="preserve">Gold Coast </w:t>
            </w:r>
            <w:r w:rsidRPr="00730DE4">
              <w:rPr>
                <w:rStyle w:val="Strong"/>
              </w:rPr>
              <w:br/>
              <w:t xml:space="preserve">Light Rail – G:link </w:t>
            </w:r>
            <w:r w:rsidRPr="00730DE4">
              <w:rPr>
                <w:rStyle w:val="Strong"/>
              </w:rPr>
              <w:br/>
            </w:r>
            <w:r w:rsidRPr="00730DE4">
              <w:rPr>
                <w:rStyle w:val="Strong"/>
              </w:rPr>
              <w:br/>
              <w:t xml:space="preserve">2024 </w:t>
            </w:r>
            <w:r w:rsidRPr="00730DE4">
              <w:rPr>
                <w:rStyle w:val="Strong"/>
              </w:rPr>
              <w:br/>
              <w:t>$'000</w:t>
            </w:r>
          </w:p>
        </w:tc>
        <w:tc>
          <w:tcPr>
            <w:tcW w:w="421" w:type="pct"/>
            <w:tcBorders>
              <w:top w:val="nil"/>
              <w:left w:val="nil"/>
              <w:bottom w:val="single" w:sz="4" w:space="0" w:color="080C0F" w:themeColor="text1"/>
              <w:right w:val="nil"/>
            </w:tcBorders>
            <w:shd w:val="clear" w:color="auto" w:fill="auto"/>
            <w:noWrap/>
            <w:vAlign w:val="bottom"/>
            <w:hideMark/>
          </w:tcPr>
          <w:p w14:paraId="5AF02B6E" w14:textId="77777777" w:rsidR="00730DE4" w:rsidRPr="00730DE4" w:rsidRDefault="00730DE4" w:rsidP="00DB56E6">
            <w:pPr>
              <w:pStyle w:val="NoSpacing"/>
              <w:jc w:val="right"/>
              <w:rPr>
                <w:b/>
                <w:bCs/>
              </w:rPr>
            </w:pPr>
            <w:r w:rsidRPr="00730DE4">
              <w:rPr>
                <w:rStyle w:val="Strong"/>
              </w:rPr>
              <w:t xml:space="preserve">Toowoomba </w:t>
            </w:r>
            <w:r w:rsidRPr="00730DE4">
              <w:rPr>
                <w:rStyle w:val="Strong"/>
              </w:rPr>
              <w:br/>
              <w:t xml:space="preserve">Bypass </w:t>
            </w:r>
            <w:r w:rsidRPr="00730DE4">
              <w:rPr>
                <w:rStyle w:val="Strong"/>
              </w:rPr>
              <w:br/>
            </w:r>
            <w:r w:rsidRPr="00730DE4">
              <w:rPr>
                <w:rStyle w:val="Strong"/>
              </w:rPr>
              <w:br/>
              <w:t xml:space="preserve">2024 </w:t>
            </w:r>
            <w:r w:rsidRPr="00730DE4">
              <w:rPr>
                <w:rStyle w:val="Strong"/>
              </w:rPr>
              <w:br/>
              <w:t>$'000</w:t>
            </w:r>
          </w:p>
        </w:tc>
        <w:tc>
          <w:tcPr>
            <w:tcW w:w="421" w:type="pct"/>
            <w:tcBorders>
              <w:top w:val="nil"/>
              <w:left w:val="nil"/>
              <w:bottom w:val="single" w:sz="4" w:space="0" w:color="080C0F" w:themeColor="text1"/>
              <w:right w:val="nil"/>
            </w:tcBorders>
            <w:shd w:val="clear" w:color="auto" w:fill="auto"/>
            <w:noWrap/>
            <w:vAlign w:val="bottom"/>
            <w:hideMark/>
          </w:tcPr>
          <w:p w14:paraId="4ABEFC5E" w14:textId="77777777" w:rsidR="00730DE4" w:rsidRPr="00730DE4" w:rsidRDefault="00730DE4" w:rsidP="00DB56E6">
            <w:pPr>
              <w:pStyle w:val="NoSpacing"/>
              <w:jc w:val="right"/>
              <w:rPr>
                <w:b/>
                <w:bCs/>
              </w:rPr>
            </w:pPr>
            <w:r w:rsidRPr="00730DE4">
              <w:rPr>
                <w:rStyle w:val="Strong"/>
              </w:rPr>
              <w:t>Airportlink M7</w:t>
            </w:r>
            <w:r w:rsidRPr="00730DE4">
              <w:rPr>
                <w:rStyle w:val="Strong"/>
              </w:rPr>
              <w:br/>
              <w:t xml:space="preserve"> </w:t>
            </w:r>
            <w:r w:rsidRPr="00730DE4">
              <w:rPr>
                <w:rStyle w:val="Strong"/>
              </w:rPr>
              <w:br/>
            </w:r>
            <w:r w:rsidRPr="00730DE4">
              <w:rPr>
                <w:rStyle w:val="Strong"/>
              </w:rPr>
              <w:br/>
              <w:t xml:space="preserve">2024 </w:t>
            </w:r>
            <w:r w:rsidRPr="00730DE4">
              <w:rPr>
                <w:rStyle w:val="Strong"/>
              </w:rPr>
              <w:br/>
              <w:t>$'000</w:t>
            </w:r>
          </w:p>
        </w:tc>
        <w:tc>
          <w:tcPr>
            <w:tcW w:w="421" w:type="pct"/>
            <w:tcBorders>
              <w:top w:val="nil"/>
              <w:left w:val="nil"/>
              <w:bottom w:val="single" w:sz="4" w:space="0" w:color="080C0F" w:themeColor="text1"/>
              <w:right w:val="nil"/>
            </w:tcBorders>
            <w:shd w:val="clear" w:color="auto" w:fill="auto"/>
            <w:noWrap/>
            <w:vAlign w:val="bottom"/>
            <w:hideMark/>
          </w:tcPr>
          <w:p w14:paraId="1BE48116" w14:textId="77777777" w:rsidR="00730DE4" w:rsidRPr="00730DE4" w:rsidRDefault="00730DE4" w:rsidP="00DB56E6">
            <w:pPr>
              <w:pStyle w:val="NoSpacing"/>
              <w:jc w:val="right"/>
              <w:rPr>
                <w:b/>
                <w:bCs/>
              </w:rPr>
            </w:pPr>
            <w:r w:rsidRPr="00730DE4">
              <w:rPr>
                <w:rStyle w:val="Strong"/>
              </w:rPr>
              <w:t xml:space="preserve">Gateway </w:t>
            </w:r>
            <w:r w:rsidRPr="00730DE4">
              <w:rPr>
                <w:rStyle w:val="Strong"/>
              </w:rPr>
              <w:br/>
              <w:t xml:space="preserve">Motorway </w:t>
            </w:r>
            <w:r w:rsidRPr="00730DE4">
              <w:rPr>
                <w:rStyle w:val="Strong"/>
              </w:rPr>
              <w:br/>
            </w:r>
            <w:r w:rsidRPr="00730DE4">
              <w:rPr>
                <w:rStyle w:val="Strong"/>
              </w:rPr>
              <w:br/>
              <w:t xml:space="preserve">2024 </w:t>
            </w:r>
            <w:r w:rsidRPr="00730DE4">
              <w:rPr>
                <w:rStyle w:val="Strong"/>
              </w:rPr>
              <w:br/>
              <w:t>$'000</w:t>
            </w:r>
          </w:p>
        </w:tc>
        <w:tc>
          <w:tcPr>
            <w:tcW w:w="421" w:type="pct"/>
            <w:tcBorders>
              <w:top w:val="nil"/>
              <w:left w:val="nil"/>
              <w:bottom w:val="single" w:sz="4" w:space="0" w:color="080C0F" w:themeColor="text1"/>
              <w:right w:val="nil"/>
            </w:tcBorders>
            <w:shd w:val="clear" w:color="auto" w:fill="auto"/>
            <w:noWrap/>
            <w:vAlign w:val="bottom"/>
            <w:hideMark/>
          </w:tcPr>
          <w:p w14:paraId="2838E1CA" w14:textId="77777777" w:rsidR="00730DE4" w:rsidRPr="00730DE4" w:rsidRDefault="00730DE4" w:rsidP="00DB56E6">
            <w:pPr>
              <w:pStyle w:val="NoSpacing"/>
              <w:jc w:val="right"/>
              <w:rPr>
                <w:b/>
                <w:bCs/>
              </w:rPr>
            </w:pPr>
            <w:r w:rsidRPr="00730DE4">
              <w:rPr>
                <w:rStyle w:val="Strong"/>
              </w:rPr>
              <w:t xml:space="preserve">Logan </w:t>
            </w:r>
            <w:r w:rsidRPr="00730DE4">
              <w:rPr>
                <w:rStyle w:val="Strong"/>
              </w:rPr>
              <w:br/>
              <w:t xml:space="preserve">Motorway </w:t>
            </w:r>
            <w:r w:rsidRPr="00730DE4">
              <w:rPr>
                <w:rStyle w:val="Strong"/>
              </w:rPr>
              <w:br/>
            </w:r>
            <w:r w:rsidRPr="00730DE4">
              <w:rPr>
                <w:rStyle w:val="Strong"/>
              </w:rPr>
              <w:br/>
              <w:t xml:space="preserve">2024 </w:t>
            </w:r>
            <w:r w:rsidRPr="00730DE4">
              <w:rPr>
                <w:rStyle w:val="Strong"/>
              </w:rPr>
              <w:br/>
              <w:t>$'000</w:t>
            </w:r>
          </w:p>
        </w:tc>
        <w:tc>
          <w:tcPr>
            <w:tcW w:w="421" w:type="pct"/>
            <w:tcBorders>
              <w:top w:val="nil"/>
              <w:left w:val="nil"/>
              <w:bottom w:val="single" w:sz="4" w:space="0" w:color="080C0F" w:themeColor="text1"/>
              <w:right w:val="nil"/>
            </w:tcBorders>
            <w:shd w:val="clear" w:color="auto" w:fill="auto"/>
            <w:noWrap/>
            <w:vAlign w:val="bottom"/>
            <w:hideMark/>
          </w:tcPr>
          <w:p w14:paraId="293AD016" w14:textId="77777777" w:rsidR="00730DE4" w:rsidRPr="00730DE4" w:rsidRDefault="00730DE4" w:rsidP="00DB56E6">
            <w:pPr>
              <w:pStyle w:val="NoSpacing"/>
              <w:jc w:val="right"/>
              <w:rPr>
                <w:b/>
                <w:bCs/>
              </w:rPr>
            </w:pPr>
            <w:r w:rsidRPr="00730DE4">
              <w:rPr>
                <w:rStyle w:val="Strong"/>
              </w:rPr>
              <w:t>Port Drive</w:t>
            </w:r>
            <w:r w:rsidRPr="00730DE4">
              <w:rPr>
                <w:rStyle w:val="Strong"/>
              </w:rPr>
              <w:br/>
              <w:t xml:space="preserve"> </w:t>
            </w:r>
            <w:r w:rsidRPr="00730DE4">
              <w:rPr>
                <w:rStyle w:val="Strong"/>
              </w:rPr>
              <w:br/>
            </w:r>
            <w:r w:rsidRPr="00730DE4">
              <w:rPr>
                <w:rStyle w:val="Strong"/>
              </w:rPr>
              <w:br/>
              <w:t xml:space="preserve">2024 </w:t>
            </w:r>
            <w:r w:rsidRPr="00730DE4">
              <w:rPr>
                <w:rStyle w:val="Strong"/>
              </w:rPr>
              <w:br/>
              <w:t>$'000</w:t>
            </w:r>
          </w:p>
        </w:tc>
        <w:tc>
          <w:tcPr>
            <w:tcW w:w="421" w:type="pct"/>
            <w:tcBorders>
              <w:top w:val="nil"/>
              <w:left w:val="nil"/>
              <w:bottom w:val="single" w:sz="4" w:space="0" w:color="080C0F" w:themeColor="text1"/>
              <w:right w:val="nil"/>
            </w:tcBorders>
            <w:shd w:val="clear" w:color="auto" w:fill="auto"/>
            <w:noWrap/>
            <w:vAlign w:val="bottom"/>
            <w:hideMark/>
          </w:tcPr>
          <w:p w14:paraId="504D9D54" w14:textId="77777777" w:rsidR="00730DE4" w:rsidRPr="00730DE4" w:rsidRDefault="00730DE4" w:rsidP="00DB56E6">
            <w:pPr>
              <w:pStyle w:val="NoSpacing"/>
              <w:jc w:val="right"/>
              <w:rPr>
                <w:b/>
                <w:bCs/>
              </w:rPr>
            </w:pPr>
            <w:r w:rsidRPr="00730DE4">
              <w:rPr>
                <w:rStyle w:val="Strong"/>
              </w:rPr>
              <w:t xml:space="preserve">Brisbane </w:t>
            </w:r>
            <w:r w:rsidRPr="00730DE4">
              <w:rPr>
                <w:rStyle w:val="Strong"/>
              </w:rPr>
              <w:br/>
              <w:t xml:space="preserve">Airport Rail Link </w:t>
            </w:r>
            <w:r w:rsidRPr="00730DE4">
              <w:rPr>
                <w:rStyle w:val="Strong"/>
              </w:rPr>
              <w:br/>
            </w:r>
            <w:r w:rsidRPr="00730DE4">
              <w:rPr>
                <w:rStyle w:val="Strong"/>
              </w:rPr>
              <w:br/>
              <w:t xml:space="preserve">2024 </w:t>
            </w:r>
            <w:r w:rsidRPr="00730DE4">
              <w:rPr>
                <w:rStyle w:val="Strong"/>
              </w:rPr>
              <w:br/>
              <w:t>$'000</w:t>
            </w:r>
          </w:p>
        </w:tc>
        <w:tc>
          <w:tcPr>
            <w:tcW w:w="421" w:type="pct"/>
            <w:tcBorders>
              <w:top w:val="nil"/>
              <w:left w:val="nil"/>
              <w:bottom w:val="single" w:sz="4" w:space="0" w:color="080C0F" w:themeColor="text1"/>
              <w:right w:val="nil"/>
            </w:tcBorders>
            <w:shd w:val="clear" w:color="auto" w:fill="auto"/>
            <w:noWrap/>
            <w:vAlign w:val="bottom"/>
            <w:hideMark/>
          </w:tcPr>
          <w:p w14:paraId="4C998857" w14:textId="77777777" w:rsidR="00730DE4" w:rsidRPr="00730DE4" w:rsidRDefault="00730DE4" w:rsidP="00DB56E6">
            <w:pPr>
              <w:pStyle w:val="NoSpacing"/>
              <w:jc w:val="right"/>
              <w:rPr>
                <w:b/>
                <w:bCs/>
              </w:rPr>
            </w:pPr>
            <w:r w:rsidRPr="00730DE4">
              <w:rPr>
                <w:rStyle w:val="Strong"/>
              </w:rPr>
              <w:t xml:space="preserve">Work in </w:t>
            </w:r>
            <w:r w:rsidRPr="00730DE4">
              <w:rPr>
                <w:rStyle w:val="Strong"/>
              </w:rPr>
              <w:br/>
              <w:t xml:space="preserve">progress * </w:t>
            </w:r>
            <w:r w:rsidRPr="00730DE4">
              <w:rPr>
                <w:rStyle w:val="Strong"/>
              </w:rPr>
              <w:br/>
            </w:r>
            <w:r w:rsidRPr="00730DE4">
              <w:rPr>
                <w:rStyle w:val="Strong"/>
              </w:rPr>
              <w:br/>
              <w:t xml:space="preserve">2024 </w:t>
            </w:r>
            <w:r w:rsidRPr="00730DE4">
              <w:rPr>
                <w:rStyle w:val="Strong"/>
              </w:rPr>
              <w:br/>
              <w:t>$'000</w:t>
            </w:r>
          </w:p>
        </w:tc>
        <w:tc>
          <w:tcPr>
            <w:tcW w:w="421" w:type="pct"/>
            <w:tcBorders>
              <w:top w:val="nil"/>
              <w:left w:val="nil"/>
              <w:bottom w:val="single" w:sz="4" w:space="0" w:color="080C0F" w:themeColor="text1"/>
              <w:right w:val="nil"/>
            </w:tcBorders>
            <w:shd w:val="clear" w:color="auto" w:fill="auto"/>
            <w:noWrap/>
            <w:vAlign w:val="bottom"/>
            <w:hideMark/>
          </w:tcPr>
          <w:p w14:paraId="39104FDE" w14:textId="77777777" w:rsidR="00730DE4" w:rsidRPr="00730DE4" w:rsidRDefault="00730DE4" w:rsidP="00DB56E6">
            <w:pPr>
              <w:pStyle w:val="NoSpacing"/>
              <w:jc w:val="right"/>
              <w:rPr>
                <w:rStyle w:val="Strong"/>
              </w:rPr>
            </w:pPr>
            <w:r w:rsidRPr="00730DE4">
              <w:rPr>
                <w:rStyle w:val="Strong"/>
              </w:rPr>
              <w:t>Total</w:t>
            </w:r>
            <w:r w:rsidRPr="00730DE4">
              <w:rPr>
                <w:rStyle w:val="Strong"/>
              </w:rPr>
              <w:br/>
              <w:t xml:space="preserve"> </w:t>
            </w:r>
            <w:r w:rsidRPr="00730DE4">
              <w:rPr>
                <w:rStyle w:val="Strong"/>
              </w:rPr>
              <w:br/>
            </w:r>
            <w:r w:rsidRPr="00730DE4">
              <w:rPr>
                <w:rStyle w:val="Strong"/>
              </w:rPr>
              <w:br/>
              <w:t xml:space="preserve">2024 </w:t>
            </w:r>
            <w:r w:rsidRPr="00730DE4">
              <w:rPr>
                <w:rStyle w:val="Strong"/>
              </w:rPr>
              <w:br/>
              <w:t>$'000</w:t>
            </w:r>
          </w:p>
        </w:tc>
      </w:tr>
      <w:tr w:rsidR="00730DE4" w:rsidRPr="00730DE4" w14:paraId="6AE4BCAD" w14:textId="77777777" w:rsidTr="00772E6C">
        <w:trPr>
          <w:trHeight w:val="23"/>
        </w:trPr>
        <w:tc>
          <w:tcPr>
            <w:tcW w:w="1215" w:type="pct"/>
            <w:tcBorders>
              <w:top w:val="single" w:sz="4" w:space="0" w:color="080C0F" w:themeColor="text1"/>
              <w:left w:val="nil"/>
              <w:bottom w:val="dotted" w:sz="4" w:space="0" w:color="BFBFBF" w:themeColor="background1" w:themeShade="BF"/>
              <w:right w:val="dotted" w:sz="4" w:space="0" w:color="BFBFBF" w:themeColor="background1" w:themeShade="BF"/>
            </w:tcBorders>
            <w:shd w:val="clear" w:color="auto" w:fill="auto"/>
            <w:vAlign w:val="bottom"/>
            <w:hideMark/>
          </w:tcPr>
          <w:p w14:paraId="199B5AEF" w14:textId="77777777" w:rsidR="00730DE4" w:rsidRPr="00730DE4" w:rsidRDefault="00730DE4" w:rsidP="00DB56E6">
            <w:pPr>
              <w:pStyle w:val="NoSpacing"/>
            </w:pPr>
            <w:r w:rsidRPr="00730DE4">
              <w:t>Gross value</w:t>
            </w:r>
          </w:p>
        </w:tc>
        <w:tc>
          <w:tcPr>
            <w:tcW w:w="421" w:type="pct"/>
            <w:tcBorders>
              <w:top w:val="single" w:sz="4" w:space="0" w:color="080C0F" w:themeColor="text1"/>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7FC40C9" w14:textId="77777777" w:rsidR="00730DE4" w:rsidRPr="00730DE4" w:rsidRDefault="00730DE4" w:rsidP="00DB56E6">
            <w:pPr>
              <w:pStyle w:val="NoSpacing"/>
              <w:jc w:val="right"/>
            </w:pPr>
            <w:r w:rsidRPr="00730DE4">
              <w:t xml:space="preserve">955,688 </w:t>
            </w:r>
          </w:p>
        </w:tc>
        <w:tc>
          <w:tcPr>
            <w:tcW w:w="421" w:type="pct"/>
            <w:tcBorders>
              <w:top w:val="single" w:sz="4" w:space="0" w:color="080C0F" w:themeColor="text1"/>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34E678A" w14:textId="77777777" w:rsidR="00730DE4" w:rsidRPr="00730DE4" w:rsidRDefault="00730DE4" w:rsidP="00DB56E6">
            <w:pPr>
              <w:pStyle w:val="NoSpacing"/>
              <w:jc w:val="right"/>
            </w:pPr>
            <w:r w:rsidRPr="00730DE4">
              <w:t xml:space="preserve">1,706,327 </w:t>
            </w:r>
          </w:p>
        </w:tc>
        <w:tc>
          <w:tcPr>
            <w:tcW w:w="421" w:type="pct"/>
            <w:tcBorders>
              <w:top w:val="single" w:sz="4" w:space="0" w:color="080C0F" w:themeColor="text1"/>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1E6F12D" w14:textId="77777777" w:rsidR="00730DE4" w:rsidRPr="00730DE4" w:rsidRDefault="00730DE4" w:rsidP="00DB56E6">
            <w:pPr>
              <w:pStyle w:val="NoSpacing"/>
              <w:jc w:val="right"/>
            </w:pPr>
            <w:r w:rsidRPr="00730DE4">
              <w:t xml:space="preserve">7,650,679 </w:t>
            </w:r>
          </w:p>
        </w:tc>
        <w:tc>
          <w:tcPr>
            <w:tcW w:w="421" w:type="pct"/>
            <w:tcBorders>
              <w:top w:val="single" w:sz="4" w:space="0" w:color="080C0F" w:themeColor="text1"/>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3BF0F3B" w14:textId="77777777" w:rsidR="00730DE4" w:rsidRPr="00730DE4" w:rsidRDefault="00730DE4" w:rsidP="00DB56E6">
            <w:pPr>
              <w:pStyle w:val="NoSpacing"/>
              <w:jc w:val="right"/>
            </w:pPr>
            <w:r w:rsidRPr="00730DE4">
              <w:t xml:space="preserve">4,218,990 </w:t>
            </w:r>
          </w:p>
        </w:tc>
        <w:tc>
          <w:tcPr>
            <w:tcW w:w="421" w:type="pct"/>
            <w:tcBorders>
              <w:top w:val="single" w:sz="4" w:space="0" w:color="080C0F" w:themeColor="text1"/>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3B83A01" w14:textId="77777777" w:rsidR="00730DE4" w:rsidRPr="00730DE4" w:rsidRDefault="00730DE4" w:rsidP="00DB56E6">
            <w:pPr>
              <w:pStyle w:val="NoSpacing"/>
              <w:jc w:val="right"/>
            </w:pPr>
            <w:r w:rsidRPr="00730DE4">
              <w:t xml:space="preserve">2,236,511 </w:t>
            </w:r>
          </w:p>
        </w:tc>
        <w:tc>
          <w:tcPr>
            <w:tcW w:w="421" w:type="pct"/>
            <w:tcBorders>
              <w:top w:val="single" w:sz="4" w:space="0" w:color="080C0F" w:themeColor="text1"/>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D95FD99" w14:textId="77777777" w:rsidR="00730DE4" w:rsidRPr="00730DE4" w:rsidRDefault="00730DE4" w:rsidP="00DB56E6">
            <w:pPr>
              <w:pStyle w:val="NoSpacing"/>
              <w:jc w:val="right"/>
            </w:pPr>
            <w:r w:rsidRPr="00730DE4">
              <w:t xml:space="preserve">69,722 </w:t>
            </w:r>
          </w:p>
        </w:tc>
        <w:tc>
          <w:tcPr>
            <w:tcW w:w="421" w:type="pct"/>
            <w:tcBorders>
              <w:top w:val="single" w:sz="4" w:space="0" w:color="080C0F" w:themeColor="text1"/>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E2EAA21" w14:textId="77777777" w:rsidR="00730DE4" w:rsidRPr="00730DE4" w:rsidRDefault="00730DE4" w:rsidP="00DB56E6">
            <w:pPr>
              <w:pStyle w:val="NoSpacing"/>
              <w:jc w:val="right"/>
            </w:pPr>
            <w:r w:rsidRPr="00730DE4">
              <w:t xml:space="preserve">566,479 </w:t>
            </w:r>
          </w:p>
        </w:tc>
        <w:tc>
          <w:tcPr>
            <w:tcW w:w="421" w:type="pct"/>
            <w:tcBorders>
              <w:top w:val="single" w:sz="4" w:space="0" w:color="080C0F" w:themeColor="text1"/>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F417BC6" w14:textId="77777777" w:rsidR="00730DE4" w:rsidRPr="00730DE4" w:rsidRDefault="00730DE4" w:rsidP="00DB56E6">
            <w:pPr>
              <w:pStyle w:val="NoSpacing"/>
              <w:jc w:val="right"/>
            </w:pPr>
            <w:r w:rsidRPr="00730DE4">
              <w:t xml:space="preserve">446,606 </w:t>
            </w:r>
          </w:p>
        </w:tc>
        <w:tc>
          <w:tcPr>
            <w:tcW w:w="421" w:type="pct"/>
            <w:tcBorders>
              <w:top w:val="single" w:sz="4" w:space="0" w:color="080C0F" w:themeColor="text1"/>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2E360EDB" w14:textId="77777777" w:rsidR="00730DE4" w:rsidRPr="00730DE4" w:rsidRDefault="00730DE4" w:rsidP="00DB56E6">
            <w:pPr>
              <w:pStyle w:val="NoSpacing"/>
              <w:jc w:val="right"/>
              <w:rPr>
                <w:rStyle w:val="Strong"/>
              </w:rPr>
            </w:pPr>
            <w:r w:rsidRPr="00730DE4">
              <w:rPr>
                <w:rStyle w:val="Strong"/>
              </w:rPr>
              <w:t xml:space="preserve">17,851,002 </w:t>
            </w:r>
          </w:p>
        </w:tc>
      </w:tr>
      <w:tr w:rsidR="00730DE4" w:rsidRPr="00730DE4" w14:paraId="5CFE8F0F" w14:textId="77777777" w:rsidTr="00772E6C">
        <w:trPr>
          <w:trHeight w:val="23"/>
        </w:trPr>
        <w:tc>
          <w:tcPr>
            <w:tcW w:w="1215"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64271FDF" w14:textId="77777777" w:rsidR="00730DE4" w:rsidRPr="00730DE4" w:rsidRDefault="00730DE4" w:rsidP="00DB56E6">
            <w:pPr>
              <w:pStyle w:val="NoSpacing"/>
            </w:pPr>
            <w:r w:rsidRPr="00730DE4">
              <w:t>Less: Accumulated depreciation</w:t>
            </w:r>
          </w:p>
        </w:tc>
        <w:tc>
          <w:tcPr>
            <w:tcW w:w="421"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4BFEA4EC" w14:textId="77777777" w:rsidR="00730DE4" w:rsidRPr="00730DE4" w:rsidRDefault="00730DE4" w:rsidP="00DB56E6">
            <w:pPr>
              <w:pStyle w:val="NoSpacing"/>
              <w:jc w:val="right"/>
            </w:pPr>
            <w:r w:rsidRPr="00730DE4">
              <w:t>(222,478)</w:t>
            </w:r>
          </w:p>
        </w:tc>
        <w:tc>
          <w:tcPr>
            <w:tcW w:w="421"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0309D5B1" w14:textId="77777777" w:rsidR="00730DE4" w:rsidRPr="00730DE4" w:rsidRDefault="00730DE4" w:rsidP="00DB56E6">
            <w:pPr>
              <w:pStyle w:val="NoSpacing"/>
              <w:jc w:val="right"/>
            </w:pPr>
            <w:r w:rsidRPr="00730DE4">
              <w:t>(118,427)</w:t>
            </w:r>
          </w:p>
        </w:tc>
        <w:tc>
          <w:tcPr>
            <w:tcW w:w="421"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2B57A69E" w14:textId="77777777" w:rsidR="00730DE4" w:rsidRPr="00730DE4" w:rsidRDefault="00730DE4" w:rsidP="00DB56E6">
            <w:pPr>
              <w:pStyle w:val="NoSpacing"/>
              <w:jc w:val="right"/>
            </w:pPr>
            <w:r w:rsidRPr="00730DE4">
              <w:t>(1,251,779)</w:t>
            </w:r>
          </w:p>
        </w:tc>
        <w:tc>
          <w:tcPr>
            <w:tcW w:w="421"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5C9FC188" w14:textId="77777777" w:rsidR="00730DE4" w:rsidRPr="00730DE4" w:rsidRDefault="00730DE4" w:rsidP="00DB56E6">
            <w:pPr>
              <w:pStyle w:val="NoSpacing"/>
              <w:jc w:val="right"/>
            </w:pPr>
            <w:r w:rsidRPr="00730DE4">
              <w:t>(678,571)</w:t>
            </w:r>
          </w:p>
        </w:tc>
        <w:tc>
          <w:tcPr>
            <w:tcW w:w="421"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77D06FD8" w14:textId="77777777" w:rsidR="00730DE4" w:rsidRPr="00730DE4" w:rsidRDefault="00730DE4" w:rsidP="00DB56E6">
            <w:pPr>
              <w:pStyle w:val="NoSpacing"/>
              <w:jc w:val="right"/>
            </w:pPr>
            <w:r w:rsidRPr="00730DE4">
              <w:t>(295,797)</w:t>
            </w:r>
          </w:p>
        </w:tc>
        <w:tc>
          <w:tcPr>
            <w:tcW w:w="421"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125FB1D3" w14:textId="77777777" w:rsidR="00730DE4" w:rsidRPr="00730DE4" w:rsidRDefault="00730DE4" w:rsidP="00DB56E6">
            <w:pPr>
              <w:pStyle w:val="NoSpacing"/>
              <w:jc w:val="right"/>
            </w:pPr>
            <w:r w:rsidRPr="00730DE4">
              <w:t>(4,620)</w:t>
            </w:r>
          </w:p>
        </w:tc>
        <w:tc>
          <w:tcPr>
            <w:tcW w:w="421"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7C35A4F8" w14:textId="77777777" w:rsidR="00730DE4" w:rsidRPr="00730DE4" w:rsidRDefault="00730DE4" w:rsidP="00DB56E6">
            <w:pPr>
              <w:pStyle w:val="NoSpacing"/>
              <w:jc w:val="right"/>
            </w:pPr>
            <w:r w:rsidRPr="00730DE4">
              <w:t>(201,417)</w:t>
            </w:r>
          </w:p>
        </w:tc>
        <w:tc>
          <w:tcPr>
            <w:tcW w:w="421"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3106BC93" w14:textId="77777777" w:rsidR="00730DE4" w:rsidRPr="00730DE4" w:rsidRDefault="00730DE4" w:rsidP="00DB56E6">
            <w:pPr>
              <w:pStyle w:val="NoSpacing"/>
              <w:jc w:val="right"/>
            </w:pPr>
            <w:r w:rsidRPr="00730DE4">
              <w:t xml:space="preserve">- </w:t>
            </w:r>
          </w:p>
        </w:tc>
        <w:tc>
          <w:tcPr>
            <w:tcW w:w="421"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F2F2F2" w:themeFill="background1" w:themeFillShade="F2"/>
            <w:noWrap/>
            <w:vAlign w:val="bottom"/>
            <w:hideMark/>
          </w:tcPr>
          <w:p w14:paraId="6A7D1E41" w14:textId="77777777" w:rsidR="00730DE4" w:rsidRPr="00730DE4" w:rsidRDefault="00730DE4" w:rsidP="00DB56E6">
            <w:pPr>
              <w:pStyle w:val="NoSpacing"/>
              <w:jc w:val="right"/>
              <w:rPr>
                <w:rStyle w:val="Strong"/>
              </w:rPr>
            </w:pPr>
            <w:r w:rsidRPr="00730DE4">
              <w:rPr>
                <w:rStyle w:val="Strong"/>
              </w:rPr>
              <w:t>(2,773,089)</w:t>
            </w:r>
          </w:p>
        </w:tc>
      </w:tr>
      <w:tr w:rsidR="00730DE4" w:rsidRPr="00730DE4" w14:paraId="1DC7B6AD" w14:textId="77777777" w:rsidTr="00772E6C">
        <w:tc>
          <w:tcPr>
            <w:tcW w:w="1215"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2CC31E6C" w14:textId="77777777" w:rsidR="00730DE4" w:rsidRPr="00730DE4" w:rsidRDefault="00730DE4" w:rsidP="000A3AFE">
            <w:pPr>
              <w:pStyle w:val="NoSpacing"/>
              <w:rPr>
                <w:b/>
                <w:bCs/>
              </w:rPr>
            </w:pPr>
            <w:r w:rsidRPr="00730DE4">
              <w:rPr>
                <w:rStyle w:val="Strong"/>
              </w:rPr>
              <w:t>Carrying amount at 30 June</w:t>
            </w:r>
          </w:p>
        </w:tc>
        <w:tc>
          <w:tcPr>
            <w:tcW w:w="421"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5472E542" w14:textId="77777777" w:rsidR="00730DE4" w:rsidRPr="00730DE4" w:rsidRDefault="00730DE4" w:rsidP="000A3AFE">
            <w:pPr>
              <w:pStyle w:val="NoSpacing"/>
              <w:jc w:val="right"/>
              <w:rPr>
                <w:b/>
                <w:bCs/>
              </w:rPr>
            </w:pPr>
            <w:r w:rsidRPr="00730DE4">
              <w:rPr>
                <w:rStyle w:val="Strong"/>
              </w:rPr>
              <w:t xml:space="preserve">733,210 </w:t>
            </w:r>
          </w:p>
        </w:tc>
        <w:tc>
          <w:tcPr>
            <w:tcW w:w="421"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56D1EE84" w14:textId="77777777" w:rsidR="00730DE4" w:rsidRPr="00730DE4" w:rsidRDefault="00730DE4" w:rsidP="000A3AFE">
            <w:pPr>
              <w:pStyle w:val="NoSpacing"/>
              <w:jc w:val="right"/>
              <w:rPr>
                <w:b/>
                <w:bCs/>
              </w:rPr>
            </w:pPr>
            <w:r w:rsidRPr="00730DE4">
              <w:rPr>
                <w:rStyle w:val="Strong"/>
              </w:rPr>
              <w:t xml:space="preserve">1,587,900 </w:t>
            </w:r>
          </w:p>
        </w:tc>
        <w:tc>
          <w:tcPr>
            <w:tcW w:w="421"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4EB81A1D" w14:textId="77777777" w:rsidR="00730DE4" w:rsidRPr="00730DE4" w:rsidRDefault="00730DE4" w:rsidP="000A3AFE">
            <w:pPr>
              <w:pStyle w:val="NoSpacing"/>
              <w:jc w:val="right"/>
              <w:rPr>
                <w:b/>
                <w:bCs/>
              </w:rPr>
            </w:pPr>
            <w:r w:rsidRPr="00730DE4">
              <w:rPr>
                <w:rStyle w:val="Strong"/>
              </w:rPr>
              <w:t xml:space="preserve">6,398,900 </w:t>
            </w:r>
          </w:p>
        </w:tc>
        <w:tc>
          <w:tcPr>
            <w:tcW w:w="421"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07CEB46A" w14:textId="77777777" w:rsidR="00730DE4" w:rsidRPr="00730DE4" w:rsidRDefault="00730DE4" w:rsidP="000A3AFE">
            <w:pPr>
              <w:pStyle w:val="NoSpacing"/>
              <w:jc w:val="right"/>
              <w:rPr>
                <w:b/>
                <w:bCs/>
              </w:rPr>
            </w:pPr>
            <w:r w:rsidRPr="00730DE4">
              <w:rPr>
                <w:rStyle w:val="Strong"/>
              </w:rPr>
              <w:t xml:space="preserve">3,540,419 </w:t>
            </w:r>
          </w:p>
        </w:tc>
        <w:tc>
          <w:tcPr>
            <w:tcW w:w="421"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1FEBECE0" w14:textId="77777777" w:rsidR="00730DE4" w:rsidRPr="00730DE4" w:rsidRDefault="00730DE4" w:rsidP="000A3AFE">
            <w:pPr>
              <w:pStyle w:val="NoSpacing"/>
              <w:jc w:val="right"/>
              <w:rPr>
                <w:b/>
                <w:bCs/>
              </w:rPr>
            </w:pPr>
            <w:r w:rsidRPr="00730DE4">
              <w:rPr>
                <w:rStyle w:val="Strong"/>
              </w:rPr>
              <w:t xml:space="preserve">1,940,714 </w:t>
            </w:r>
          </w:p>
        </w:tc>
        <w:tc>
          <w:tcPr>
            <w:tcW w:w="421"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38EB00DA" w14:textId="77777777" w:rsidR="00730DE4" w:rsidRPr="00730DE4" w:rsidRDefault="00730DE4" w:rsidP="000A3AFE">
            <w:pPr>
              <w:pStyle w:val="NoSpacing"/>
              <w:jc w:val="right"/>
              <w:rPr>
                <w:b/>
                <w:bCs/>
              </w:rPr>
            </w:pPr>
            <w:r w:rsidRPr="00730DE4">
              <w:rPr>
                <w:rStyle w:val="Strong"/>
              </w:rPr>
              <w:t xml:space="preserve">65,102 </w:t>
            </w:r>
          </w:p>
        </w:tc>
        <w:tc>
          <w:tcPr>
            <w:tcW w:w="421"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2A8C7CDE" w14:textId="77777777" w:rsidR="00730DE4" w:rsidRPr="00730DE4" w:rsidRDefault="00730DE4" w:rsidP="000A3AFE">
            <w:pPr>
              <w:pStyle w:val="NoSpacing"/>
              <w:jc w:val="right"/>
              <w:rPr>
                <w:b/>
                <w:bCs/>
              </w:rPr>
            </w:pPr>
            <w:r w:rsidRPr="00730DE4">
              <w:rPr>
                <w:rStyle w:val="Strong"/>
              </w:rPr>
              <w:t xml:space="preserve">365,062 </w:t>
            </w:r>
          </w:p>
        </w:tc>
        <w:tc>
          <w:tcPr>
            <w:tcW w:w="421"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6A9F2A09" w14:textId="77777777" w:rsidR="00730DE4" w:rsidRPr="00730DE4" w:rsidRDefault="00730DE4" w:rsidP="000A3AFE">
            <w:pPr>
              <w:pStyle w:val="NoSpacing"/>
              <w:jc w:val="right"/>
              <w:rPr>
                <w:b/>
                <w:bCs/>
              </w:rPr>
            </w:pPr>
            <w:r w:rsidRPr="00730DE4">
              <w:rPr>
                <w:rStyle w:val="Strong"/>
              </w:rPr>
              <w:t xml:space="preserve">446,606 </w:t>
            </w:r>
          </w:p>
        </w:tc>
        <w:tc>
          <w:tcPr>
            <w:tcW w:w="421" w:type="pct"/>
            <w:tcBorders>
              <w:top w:val="single" w:sz="4" w:space="0" w:color="auto"/>
              <w:left w:val="dotted" w:sz="4" w:space="0" w:color="BFBFBF" w:themeColor="background1" w:themeShade="BF"/>
              <w:bottom w:val="double" w:sz="4" w:space="0" w:color="auto"/>
              <w:right w:val="nil"/>
            </w:tcBorders>
            <w:shd w:val="clear" w:color="auto" w:fill="F2F2F2" w:themeFill="background1" w:themeFillShade="F2"/>
            <w:noWrap/>
            <w:hideMark/>
          </w:tcPr>
          <w:p w14:paraId="771C8FDB" w14:textId="77777777" w:rsidR="00730DE4" w:rsidRPr="00730DE4" w:rsidRDefault="00730DE4" w:rsidP="000A3AFE">
            <w:pPr>
              <w:pStyle w:val="NoSpacing"/>
              <w:jc w:val="right"/>
              <w:rPr>
                <w:rStyle w:val="Strong"/>
              </w:rPr>
            </w:pPr>
            <w:r w:rsidRPr="00730DE4">
              <w:rPr>
                <w:rStyle w:val="Strong"/>
              </w:rPr>
              <w:t xml:space="preserve">15,077,913 </w:t>
            </w:r>
          </w:p>
        </w:tc>
      </w:tr>
      <w:tr w:rsidR="00730DE4" w:rsidRPr="00730DE4" w14:paraId="1ABB2DE6" w14:textId="77777777" w:rsidTr="00772E6C">
        <w:trPr>
          <w:trHeight w:val="454"/>
        </w:trPr>
        <w:tc>
          <w:tcPr>
            <w:tcW w:w="1215" w:type="pct"/>
            <w:tcBorders>
              <w:top w:val="doub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11B7D6E7" w14:textId="77777777" w:rsidR="00730DE4" w:rsidRPr="00730DE4" w:rsidRDefault="00730DE4" w:rsidP="00DB56E6">
            <w:pPr>
              <w:pStyle w:val="NoSpacing"/>
              <w:rPr>
                <w:b/>
                <w:bCs/>
              </w:rPr>
            </w:pPr>
            <w:r w:rsidRPr="00730DE4">
              <w:rPr>
                <w:rStyle w:val="Strong"/>
              </w:rPr>
              <w:t>Reconciliation</w:t>
            </w:r>
          </w:p>
        </w:tc>
        <w:tc>
          <w:tcPr>
            <w:tcW w:w="421"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4BC1D68" w14:textId="77777777" w:rsidR="00730DE4" w:rsidRPr="00730DE4" w:rsidRDefault="00730DE4" w:rsidP="00DB56E6">
            <w:pPr>
              <w:pStyle w:val="NoSpacing"/>
              <w:jc w:val="right"/>
              <w:rPr>
                <w:rStyle w:val="Strong"/>
              </w:rPr>
            </w:pPr>
          </w:p>
        </w:tc>
        <w:tc>
          <w:tcPr>
            <w:tcW w:w="421"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FC0EF2E" w14:textId="77777777" w:rsidR="00730DE4" w:rsidRPr="00730DE4" w:rsidRDefault="00730DE4" w:rsidP="00DB56E6">
            <w:pPr>
              <w:pStyle w:val="NoSpacing"/>
              <w:jc w:val="right"/>
            </w:pPr>
          </w:p>
        </w:tc>
        <w:tc>
          <w:tcPr>
            <w:tcW w:w="421"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7A48DBB" w14:textId="77777777" w:rsidR="00730DE4" w:rsidRPr="00730DE4" w:rsidRDefault="00730DE4" w:rsidP="00DB56E6">
            <w:pPr>
              <w:pStyle w:val="NoSpacing"/>
              <w:jc w:val="right"/>
            </w:pPr>
          </w:p>
        </w:tc>
        <w:tc>
          <w:tcPr>
            <w:tcW w:w="421"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EDE067E" w14:textId="77777777" w:rsidR="00730DE4" w:rsidRPr="00730DE4" w:rsidRDefault="00730DE4" w:rsidP="00DB56E6">
            <w:pPr>
              <w:pStyle w:val="NoSpacing"/>
              <w:jc w:val="right"/>
            </w:pPr>
          </w:p>
        </w:tc>
        <w:tc>
          <w:tcPr>
            <w:tcW w:w="421"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6ABD528" w14:textId="77777777" w:rsidR="00730DE4" w:rsidRPr="00730DE4" w:rsidRDefault="00730DE4" w:rsidP="00DB56E6">
            <w:pPr>
              <w:pStyle w:val="NoSpacing"/>
              <w:jc w:val="right"/>
            </w:pPr>
          </w:p>
        </w:tc>
        <w:tc>
          <w:tcPr>
            <w:tcW w:w="421"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91D4103" w14:textId="77777777" w:rsidR="00730DE4" w:rsidRPr="00730DE4" w:rsidRDefault="00730DE4" w:rsidP="00DB56E6">
            <w:pPr>
              <w:pStyle w:val="NoSpacing"/>
              <w:jc w:val="right"/>
            </w:pPr>
          </w:p>
        </w:tc>
        <w:tc>
          <w:tcPr>
            <w:tcW w:w="421"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253F5FF" w14:textId="77777777" w:rsidR="00730DE4" w:rsidRPr="00730DE4" w:rsidRDefault="00730DE4" w:rsidP="00DB56E6">
            <w:pPr>
              <w:pStyle w:val="NoSpacing"/>
              <w:jc w:val="right"/>
            </w:pPr>
          </w:p>
        </w:tc>
        <w:tc>
          <w:tcPr>
            <w:tcW w:w="421"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A10EC51" w14:textId="77777777" w:rsidR="00730DE4" w:rsidRPr="00730DE4" w:rsidRDefault="00730DE4" w:rsidP="00DB56E6">
            <w:pPr>
              <w:pStyle w:val="NoSpacing"/>
              <w:jc w:val="right"/>
            </w:pPr>
          </w:p>
        </w:tc>
        <w:tc>
          <w:tcPr>
            <w:tcW w:w="421" w:type="pct"/>
            <w:tcBorders>
              <w:top w:val="double" w:sz="4" w:space="0" w:color="auto"/>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46468723" w14:textId="77777777" w:rsidR="00730DE4" w:rsidRPr="00730DE4" w:rsidRDefault="00730DE4" w:rsidP="00DB56E6">
            <w:pPr>
              <w:pStyle w:val="NoSpacing"/>
              <w:jc w:val="right"/>
            </w:pPr>
          </w:p>
        </w:tc>
      </w:tr>
      <w:tr w:rsidR="00730DE4" w:rsidRPr="00730DE4" w14:paraId="6A1DF6BB" w14:textId="77777777" w:rsidTr="00253FBD">
        <w:trPr>
          <w:trHeight w:val="23"/>
        </w:trPr>
        <w:tc>
          <w:tcPr>
            <w:tcW w:w="1215"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hideMark/>
          </w:tcPr>
          <w:p w14:paraId="19DC7E6A" w14:textId="77777777" w:rsidR="00730DE4" w:rsidRPr="00730DE4" w:rsidRDefault="00730DE4" w:rsidP="00DB56E6">
            <w:pPr>
              <w:pStyle w:val="NoSpacing"/>
            </w:pPr>
            <w:r w:rsidRPr="00730DE4">
              <w:t>Carrying amount at 1 July</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AEA6247" w14:textId="77777777" w:rsidR="00730DE4" w:rsidRPr="00730DE4" w:rsidRDefault="00730DE4" w:rsidP="00DB56E6">
            <w:pPr>
              <w:pStyle w:val="NoSpacing"/>
              <w:jc w:val="right"/>
            </w:pPr>
            <w:r w:rsidRPr="00730DE4">
              <w:t xml:space="preserve">738,241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CC9195B" w14:textId="77777777" w:rsidR="00730DE4" w:rsidRPr="00730DE4" w:rsidRDefault="00730DE4" w:rsidP="00DB56E6">
            <w:pPr>
              <w:pStyle w:val="NoSpacing"/>
              <w:jc w:val="right"/>
            </w:pPr>
            <w:r w:rsidRPr="00730DE4">
              <w:t xml:space="preserve">1,514,464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9DE908C" w14:textId="77777777" w:rsidR="00730DE4" w:rsidRPr="00730DE4" w:rsidRDefault="00730DE4" w:rsidP="00DB56E6">
            <w:pPr>
              <w:pStyle w:val="NoSpacing"/>
              <w:jc w:val="right"/>
            </w:pPr>
            <w:r w:rsidRPr="00730DE4">
              <w:t xml:space="preserve">6,120,353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A5C388E" w14:textId="77777777" w:rsidR="00730DE4" w:rsidRPr="00730DE4" w:rsidRDefault="00730DE4" w:rsidP="00DB56E6">
            <w:pPr>
              <w:pStyle w:val="NoSpacing"/>
              <w:jc w:val="right"/>
            </w:pPr>
            <w:r w:rsidRPr="00730DE4">
              <w:t xml:space="preserve">3,276,859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EF2766D" w14:textId="77777777" w:rsidR="00730DE4" w:rsidRPr="00730DE4" w:rsidRDefault="00730DE4" w:rsidP="00DB56E6">
            <w:pPr>
              <w:pStyle w:val="NoSpacing"/>
              <w:jc w:val="right"/>
            </w:pPr>
            <w:r w:rsidRPr="00730DE4">
              <w:t xml:space="preserve">1,756,236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6B62171" w14:textId="77777777" w:rsidR="00730DE4" w:rsidRPr="00730DE4" w:rsidRDefault="00730DE4" w:rsidP="00DB56E6">
            <w:pPr>
              <w:pStyle w:val="NoSpacing"/>
              <w:jc w:val="right"/>
            </w:pPr>
            <w:r w:rsidRPr="00730DE4">
              <w:t xml:space="preserve">58,699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42DD0D4" w14:textId="77777777" w:rsidR="00730DE4" w:rsidRPr="00730DE4" w:rsidRDefault="00730DE4" w:rsidP="00DB56E6">
            <w:pPr>
              <w:pStyle w:val="NoSpacing"/>
              <w:jc w:val="right"/>
            </w:pPr>
            <w:r w:rsidRPr="00730DE4">
              <w:t xml:space="preserve">359,988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CB13A9D" w14:textId="77777777" w:rsidR="00730DE4" w:rsidRPr="00730DE4" w:rsidRDefault="00730DE4" w:rsidP="00DB56E6">
            <w:pPr>
              <w:pStyle w:val="NoSpacing"/>
              <w:jc w:val="right"/>
            </w:pPr>
            <w:r w:rsidRPr="00730DE4">
              <w:t xml:space="preserve">272,805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3622A4ED" w14:textId="77777777" w:rsidR="00730DE4" w:rsidRPr="00730DE4" w:rsidRDefault="00730DE4" w:rsidP="00DB56E6">
            <w:pPr>
              <w:pStyle w:val="NoSpacing"/>
              <w:jc w:val="right"/>
              <w:rPr>
                <w:rStyle w:val="Strong"/>
              </w:rPr>
            </w:pPr>
            <w:r w:rsidRPr="00730DE4">
              <w:rPr>
                <w:rStyle w:val="Strong"/>
              </w:rPr>
              <w:t xml:space="preserve">14,097,645 </w:t>
            </w:r>
          </w:p>
        </w:tc>
      </w:tr>
      <w:tr w:rsidR="00730DE4" w:rsidRPr="00730DE4" w14:paraId="2E2F593C" w14:textId="77777777" w:rsidTr="00253FBD">
        <w:trPr>
          <w:trHeight w:val="23"/>
        </w:trPr>
        <w:tc>
          <w:tcPr>
            <w:tcW w:w="1215"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hideMark/>
          </w:tcPr>
          <w:p w14:paraId="1A8F4D96" w14:textId="77777777" w:rsidR="00730DE4" w:rsidRPr="00730DE4" w:rsidRDefault="00730DE4" w:rsidP="00DB56E6">
            <w:pPr>
              <w:pStyle w:val="NoSpacing"/>
            </w:pPr>
            <w:r w:rsidRPr="00730DE4">
              <w:t>Acquisitions (including upgrades)</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6A02B51" w14:textId="77777777" w:rsidR="00730DE4" w:rsidRPr="00730DE4" w:rsidRDefault="00730DE4" w:rsidP="00DB56E6">
            <w:pPr>
              <w:pStyle w:val="NoSpacing"/>
              <w:jc w:val="right"/>
            </w:pPr>
            <w:r w:rsidRPr="00730DE4">
              <w:t xml:space="preserve">-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9AA8244" w14:textId="77777777" w:rsidR="00730DE4" w:rsidRPr="00730DE4" w:rsidRDefault="00730DE4" w:rsidP="00DB56E6">
            <w:pPr>
              <w:pStyle w:val="NoSpacing"/>
              <w:jc w:val="right"/>
            </w:pPr>
            <w:r w:rsidRPr="00730DE4">
              <w:t xml:space="preserve">-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D543B41" w14:textId="77777777" w:rsidR="00730DE4" w:rsidRPr="00730DE4" w:rsidRDefault="00730DE4" w:rsidP="00DB56E6">
            <w:pPr>
              <w:pStyle w:val="NoSpacing"/>
              <w:jc w:val="right"/>
            </w:pPr>
            <w:r w:rsidRPr="00730DE4">
              <w:t xml:space="preserve">-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371EA35" w14:textId="77777777" w:rsidR="00730DE4" w:rsidRPr="00730DE4" w:rsidRDefault="00730DE4" w:rsidP="00DB56E6">
            <w:pPr>
              <w:pStyle w:val="NoSpacing"/>
              <w:jc w:val="right"/>
            </w:pPr>
            <w:r w:rsidRPr="00730DE4">
              <w:t xml:space="preserve">-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432B292" w14:textId="77777777" w:rsidR="00730DE4" w:rsidRPr="00730DE4" w:rsidRDefault="00730DE4" w:rsidP="00DB56E6">
            <w:pPr>
              <w:pStyle w:val="NoSpacing"/>
              <w:jc w:val="right"/>
            </w:pPr>
            <w:r w:rsidRPr="00730DE4">
              <w:t xml:space="preserve">-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7F9512B" w14:textId="77777777" w:rsidR="00730DE4" w:rsidRPr="00730DE4" w:rsidRDefault="00730DE4" w:rsidP="00DB56E6">
            <w:pPr>
              <w:pStyle w:val="NoSpacing"/>
              <w:jc w:val="right"/>
            </w:pPr>
            <w:r w:rsidRPr="00730DE4">
              <w:t xml:space="preserve">-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2ABDF6D" w14:textId="77777777" w:rsidR="00730DE4" w:rsidRPr="00730DE4" w:rsidRDefault="00730DE4" w:rsidP="00DB56E6">
            <w:pPr>
              <w:pStyle w:val="NoSpacing"/>
              <w:jc w:val="right"/>
            </w:pPr>
            <w:r w:rsidRPr="00730DE4">
              <w:t xml:space="preserve">-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6A7155E" w14:textId="77777777" w:rsidR="00730DE4" w:rsidRPr="00730DE4" w:rsidRDefault="00730DE4" w:rsidP="00DB56E6">
            <w:pPr>
              <w:pStyle w:val="NoSpacing"/>
              <w:jc w:val="right"/>
            </w:pPr>
            <w:r w:rsidRPr="00730DE4">
              <w:t xml:space="preserve">173,011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52EB7689" w14:textId="77777777" w:rsidR="00730DE4" w:rsidRPr="00730DE4" w:rsidRDefault="00730DE4" w:rsidP="00DB56E6">
            <w:pPr>
              <w:pStyle w:val="NoSpacing"/>
              <w:jc w:val="right"/>
              <w:rPr>
                <w:rStyle w:val="Strong"/>
              </w:rPr>
            </w:pPr>
            <w:r w:rsidRPr="00730DE4">
              <w:rPr>
                <w:rStyle w:val="Strong"/>
              </w:rPr>
              <w:t xml:space="preserve">173,011 </w:t>
            </w:r>
          </w:p>
        </w:tc>
      </w:tr>
      <w:tr w:rsidR="00730DE4" w:rsidRPr="00730DE4" w14:paraId="2C85FB68" w14:textId="77777777" w:rsidTr="00253FBD">
        <w:trPr>
          <w:trHeight w:val="23"/>
        </w:trPr>
        <w:tc>
          <w:tcPr>
            <w:tcW w:w="1215"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hideMark/>
          </w:tcPr>
          <w:p w14:paraId="697F291D" w14:textId="77777777" w:rsidR="00730DE4" w:rsidRPr="00730DE4" w:rsidRDefault="00730DE4" w:rsidP="00DB56E6">
            <w:pPr>
              <w:pStyle w:val="NoSpacing"/>
            </w:pPr>
            <w:r w:rsidRPr="00730DE4">
              <w:t>Transfers from property, plant and equipment (refer to Note 15)</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E5920F7" w14:textId="77777777" w:rsidR="00730DE4" w:rsidRPr="00730DE4" w:rsidRDefault="00730DE4" w:rsidP="00DB56E6">
            <w:pPr>
              <w:pStyle w:val="NoSpacing"/>
              <w:jc w:val="right"/>
            </w:pPr>
            <w:r w:rsidRPr="00730DE4">
              <w:t xml:space="preserve">-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C527EFE" w14:textId="77777777" w:rsidR="00730DE4" w:rsidRPr="00730DE4" w:rsidRDefault="00730DE4" w:rsidP="00DB56E6">
            <w:pPr>
              <w:pStyle w:val="NoSpacing"/>
              <w:jc w:val="right"/>
            </w:pPr>
            <w:r w:rsidRPr="00730DE4">
              <w:t xml:space="preserve">-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3DEB942" w14:textId="77777777" w:rsidR="00730DE4" w:rsidRPr="00730DE4" w:rsidRDefault="00730DE4" w:rsidP="00DB56E6">
            <w:pPr>
              <w:pStyle w:val="NoSpacing"/>
              <w:jc w:val="right"/>
            </w:pPr>
            <w:r w:rsidRPr="00730DE4">
              <w:t xml:space="preserve">-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275CA6D" w14:textId="77777777" w:rsidR="00730DE4" w:rsidRPr="00730DE4" w:rsidRDefault="00730DE4" w:rsidP="00DB56E6">
            <w:pPr>
              <w:pStyle w:val="NoSpacing"/>
              <w:jc w:val="right"/>
            </w:pPr>
            <w:r w:rsidRPr="00730DE4">
              <w:t xml:space="preserve">-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BE3B34E" w14:textId="77777777" w:rsidR="00730DE4" w:rsidRPr="00730DE4" w:rsidRDefault="00730DE4" w:rsidP="00DB56E6">
            <w:pPr>
              <w:pStyle w:val="NoSpacing"/>
              <w:jc w:val="right"/>
            </w:pPr>
            <w:r w:rsidRPr="00730DE4">
              <w:t xml:space="preserve">-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9628CE7" w14:textId="77777777" w:rsidR="00730DE4" w:rsidRPr="00730DE4" w:rsidRDefault="00730DE4" w:rsidP="00DB56E6">
            <w:pPr>
              <w:pStyle w:val="NoSpacing"/>
              <w:jc w:val="right"/>
            </w:pPr>
            <w:r w:rsidRPr="00730DE4">
              <w:t xml:space="preserve">-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4C46464" w14:textId="77777777" w:rsidR="00730DE4" w:rsidRPr="00730DE4" w:rsidRDefault="00730DE4" w:rsidP="00DB56E6">
            <w:pPr>
              <w:pStyle w:val="NoSpacing"/>
              <w:jc w:val="right"/>
            </w:pPr>
            <w:r w:rsidRPr="00730DE4">
              <w:t xml:space="preserve">-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D4C2E70" w14:textId="77777777" w:rsidR="00730DE4" w:rsidRPr="00730DE4" w:rsidRDefault="00730DE4" w:rsidP="00DB56E6">
            <w:pPr>
              <w:pStyle w:val="NoSpacing"/>
              <w:jc w:val="right"/>
            </w:pPr>
            <w:r w:rsidRPr="00730DE4">
              <w:t xml:space="preserve">21,780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4E9E5DEC" w14:textId="77777777" w:rsidR="00730DE4" w:rsidRPr="00730DE4" w:rsidRDefault="00730DE4" w:rsidP="00DB56E6">
            <w:pPr>
              <w:pStyle w:val="NoSpacing"/>
              <w:jc w:val="right"/>
              <w:rPr>
                <w:rStyle w:val="Strong"/>
              </w:rPr>
            </w:pPr>
            <w:r w:rsidRPr="00730DE4">
              <w:rPr>
                <w:rStyle w:val="Strong"/>
              </w:rPr>
              <w:t xml:space="preserve">21,780 </w:t>
            </w:r>
          </w:p>
        </w:tc>
      </w:tr>
      <w:tr w:rsidR="00730DE4" w:rsidRPr="00730DE4" w14:paraId="4DE82A5C" w14:textId="77777777" w:rsidTr="00253FBD">
        <w:trPr>
          <w:trHeight w:val="23"/>
        </w:trPr>
        <w:tc>
          <w:tcPr>
            <w:tcW w:w="1215"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hideMark/>
          </w:tcPr>
          <w:p w14:paraId="2B0A8200" w14:textId="77777777" w:rsidR="00730DE4" w:rsidRPr="00730DE4" w:rsidRDefault="00730DE4" w:rsidP="00DB56E6">
            <w:pPr>
              <w:pStyle w:val="NoSpacing"/>
            </w:pPr>
            <w:r w:rsidRPr="00730DE4">
              <w:t>Assets provided to third parties at below fair value</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D29FCD6" w14:textId="77777777" w:rsidR="00730DE4" w:rsidRPr="00730DE4" w:rsidRDefault="00730DE4" w:rsidP="00DB56E6">
            <w:pPr>
              <w:pStyle w:val="NoSpacing"/>
              <w:jc w:val="right"/>
            </w:pPr>
            <w:r w:rsidRPr="00730DE4">
              <w:t xml:space="preserve">-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ED5787B" w14:textId="77777777" w:rsidR="00730DE4" w:rsidRPr="00730DE4" w:rsidRDefault="00730DE4" w:rsidP="00DB56E6">
            <w:pPr>
              <w:pStyle w:val="NoSpacing"/>
              <w:jc w:val="right"/>
            </w:pPr>
            <w:r w:rsidRPr="00730DE4">
              <w:t xml:space="preserve">-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E7BDF40" w14:textId="77777777" w:rsidR="00730DE4" w:rsidRPr="00730DE4" w:rsidRDefault="00730DE4" w:rsidP="00DB56E6">
            <w:pPr>
              <w:pStyle w:val="NoSpacing"/>
              <w:jc w:val="right"/>
            </w:pPr>
            <w:r w:rsidRPr="00730DE4">
              <w:t xml:space="preserve">-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130688D" w14:textId="77777777" w:rsidR="00730DE4" w:rsidRPr="00730DE4" w:rsidRDefault="00730DE4" w:rsidP="00DB56E6">
            <w:pPr>
              <w:pStyle w:val="NoSpacing"/>
              <w:jc w:val="right"/>
            </w:pPr>
            <w:r w:rsidRPr="00730DE4">
              <w:t xml:space="preserve">-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927BBF2" w14:textId="77777777" w:rsidR="00730DE4" w:rsidRPr="00730DE4" w:rsidRDefault="00730DE4" w:rsidP="00DB56E6">
            <w:pPr>
              <w:pStyle w:val="NoSpacing"/>
              <w:jc w:val="right"/>
            </w:pPr>
            <w:r w:rsidRPr="00730DE4">
              <w:t xml:space="preserve">-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461FAC4" w14:textId="77777777" w:rsidR="00730DE4" w:rsidRPr="00730DE4" w:rsidRDefault="00730DE4" w:rsidP="00DB56E6">
            <w:pPr>
              <w:pStyle w:val="NoSpacing"/>
              <w:jc w:val="right"/>
            </w:pPr>
            <w:r w:rsidRPr="00730DE4">
              <w:t xml:space="preserve">-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DDE38D2" w14:textId="77777777" w:rsidR="00730DE4" w:rsidRPr="00730DE4" w:rsidRDefault="00730DE4" w:rsidP="00DB56E6">
            <w:pPr>
              <w:pStyle w:val="NoSpacing"/>
              <w:jc w:val="right"/>
            </w:pPr>
            <w:r w:rsidRPr="00730DE4">
              <w:t xml:space="preserve">-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136C7CE" w14:textId="77777777" w:rsidR="00730DE4" w:rsidRPr="00730DE4" w:rsidRDefault="00730DE4" w:rsidP="00DB56E6">
            <w:pPr>
              <w:pStyle w:val="NoSpacing"/>
              <w:jc w:val="right"/>
            </w:pPr>
            <w:r w:rsidRPr="00730DE4">
              <w:t>(20,990)</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2D9BD286" w14:textId="77777777" w:rsidR="00730DE4" w:rsidRPr="00730DE4" w:rsidRDefault="00730DE4" w:rsidP="00DB56E6">
            <w:pPr>
              <w:pStyle w:val="NoSpacing"/>
              <w:jc w:val="right"/>
              <w:rPr>
                <w:rStyle w:val="Strong"/>
              </w:rPr>
            </w:pPr>
            <w:r w:rsidRPr="00730DE4">
              <w:rPr>
                <w:rStyle w:val="Strong"/>
              </w:rPr>
              <w:t>(20,990)</w:t>
            </w:r>
          </w:p>
        </w:tc>
      </w:tr>
      <w:tr w:rsidR="00730DE4" w:rsidRPr="00730DE4" w14:paraId="0593981F" w14:textId="77777777" w:rsidTr="00772E6C">
        <w:trPr>
          <w:trHeight w:val="23"/>
        </w:trPr>
        <w:tc>
          <w:tcPr>
            <w:tcW w:w="1215"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5EADDBEE" w14:textId="77777777" w:rsidR="00730DE4" w:rsidRPr="00730DE4" w:rsidRDefault="00730DE4" w:rsidP="00DB56E6">
            <w:pPr>
              <w:pStyle w:val="NoSpacing"/>
            </w:pPr>
            <w:r w:rsidRPr="00730DE4">
              <w:t>Net revaluation increments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EDB2D26" w14:textId="77777777" w:rsidR="00730DE4" w:rsidRPr="00730DE4" w:rsidRDefault="00730DE4" w:rsidP="00DB56E6">
            <w:pPr>
              <w:pStyle w:val="NoSpacing"/>
              <w:jc w:val="right"/>
            </w:pPr>
            <w:r w:rsidRPr="00730DE4">
              <w:t xml:space="preserve">20,120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95FF607" w14:textId="77777777" w:rsidR="00730DE4" w:rsidRPr="00730DE4" w:rsidRDefault="00730DE4" w:rsidP="00DB56E6">
            <w:pPr>
              <w:pStyle w:val="NoSpacing"/>
              <w:jc w:val="right"/>
            </w:pPr>
            <w:r w:rsidRPr="00730DE4">
              <w:t xml:space="preserve">95,463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16E419D" w14:textId="77777777" w:rsidR="00730DE4" w:rsidRPr="00730DE4" w:rsidRDefault="00730DE4" w:rsidP="00DB56E6">
            <w:pPr>
              <w:pStyle w:val="NoSpacing"/>
              <w:jc w:val="right"/>
            </w:pPr>
            <w:r w:rsidRPr="00730DE4">
              <w:t xml:space="preserve">378,830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DD7DA0E" w14:textId="77777777" w:rsidR="00730DE4" w:rsidRPr="00730DE4" w:rsidRDefault="00730DE4" w:rsidP="00DB56E6">
            <w:pPr>
              <w:pStyle w:val="NoSpacing"/>
              <w:jc w:val="right"/>
            </w:pPr>
            <w:r w:rsidRPr="00730DE4">
              <w:t xml:space="preserve">298,497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CD549DD" w14:textId="77777777" w:rsidR="00730DE4" w:rsidRPr="00730DE4" w:rsidRDefault="00730DE4" w:rsidP="00DB56E6">
            <w:pPr>
              <w:pStyle w:val="NoSpacing"/>
              <w:jc w:val="right"/>
            </w:pPr>
            <w:r w:rsidRPr="00730DE4">
              <w:t xml:space="preserve">199,617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D7F958C" w14:textId="77777777" w:rsidR="00730DE4" w:rsidRPr="00730DE4" w:rsidRDefault="00730DE4" w:rsidP="00DB56E6">
            <w:pPr>
              <w:pStyle w:val="NoSpacing"/>
              <w:jc w:val="right"/>
            </w:pPr>
            <w:r w:rsidRPr="00730DE4">
              <w:t xml:space="preserve">7,031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2991C24" w14:textId="77777777" w:rsidR="00730DE4" w:rsidRPr="00730DE4" w:rsidRDefault="00730DE4" w:rsidP="00DB56E6">
            <w:pPr>
              <w:pStyle w:val="NoSpacing"/>
              <w:jc w:val="right"/>
            </w:pPr>
            <w:r w:rsidRPr="00730DE4">
              <w:t xml:space="preserve">11,937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6D9435A" w14:textId="77777777" w:rsidR="00730DE4" w:rsidRPr="00730DE4" w:rsidRDefault="00730DE4" w:rsidP="00DB56E6">
            <w:pPr>
              <w:pStyle w:val="NoSpacing"/>
              <w:jc w:val="right"/>
            </w:pPr>
            <w:r w:rsidRPr="00730DE4">
              <w:t xml:space="preserve">-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37F9CF54" w14:textId="77777777" w:rsidR="00730DE4" w:rsidRPr="00730DE4" w:rsidRDefault="00730DE4" w:rsidP="00DB56E6">
            <w:pPr>
              <w:pStyle w:val="NoSpacing"/>
              <w:jc w:val="right"/>
              <w:rPr>
                <w:rStyle w:val="Strong"/>
              </w:rPr>
            </w:pPr>
            <w:r w:rsidRPr="00730DE4">
              <w:rPr>
                <w:rStyle w:val="Strong"/>
              </w:rPr>
              <w:t xml:space="preserve">1,011,495 </w:t>
            </w:r>
          </w:p>
        </w:tc>
      </w:tr>
      <w:tr w:rsidR="00730DE4" w:rsidRPr="00730DE4" w14:paraId="7CC6FB51" w14:textId="77777777" w:rsidTr="00772E6C">
        <w:trPr>
          <w:trHeight w:val="23"/>
        </w:trPr>
        <w:tc>
          <w:tcPr>
            <w:tcW w:w="1215"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vAlign w:val="bottom"/>
            <w:hideMark/>
          </w:tcPr>
          <w:p w14:paraId="0A3F7F22" w14:textId="77777777" w:rsidR="00730DE4" w:rsidRPr="00730DE4" w:rsidRDefault="00730DE4" w:rsidP="00DB56E6">
            <w:pPr>
              <w:pStyle w:val="NoSpacing"/>
            </w:pPr>
            <w:r w:rsidRPr="00730DE4">
              <w:t>Depreciation</w:t>
            </w:r>
          </w:p>
        </w:tc>
        <w:tc>
          <w:tcPr>
            <w:tcW w:w="421"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40FCF2B9" w14:textId="77777777" w:rsidR="00730DE4" w:rsidRPr="00730DE4" w:rsidRDefault="00730DE4" w:rsidP="00DB56E6">
            <w:pPr>
              <w:pStyle w:val="NoSpacing"/>
              <w:jc w:val="right"/>
            </w:pPr>
            <w:r w:rsidRPr="00730DE4">
              <w:t>(25,151)</w:t>
            </w:r>
          </w:p>
        </w:tc>
        <w:tc>
          <w:tcPr>
            <w:tcW w:w="421"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42F885F6" w14:textId="77777777" w:rsidR="00730DE4" w:rsidRPr="00730DE4" w:rsidRDefault="00730DE4" w:rsidP="00DB56E6">
            <w:pPr>
              <w:pStyle w:val="NoSpacing"/>
              <w:jc w:val="right"/>
            </w:pPr>
            <w:r w:rsidRPr="00730DE4">
              <w:t>(22,027)</w:t>
            </w:r>
          </w:p>
        </w:tc>
        <w:tc>
          <w:tcPr>
            <w:tcW w:w="421"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533817A4" w14:textId="77777777" w:rsidR="00730DE4" w:rsidRPr="00730DE4" w:rsidRDefault="00730DE4" w:rsidP="00DB56E6">
            <w:pPr>
              <w:pStyle w:val="NoSpacing"/>
              <w:jc w:val="right"/>
            </w:pPr>
            <w:r w:rsidRPr="00730DE4">
              <w:t>(100,283)</w:t>
            </w:r>
          </w:p>
        </w:tc>
        <w:tc>
          <w:tcPr>
            <w:tcW w:w="421"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29EFD049" w14:textId="77777777" w:rsidR="00730DE4" w:rsidRPr="00730DE4" w:rsidRDefault="00730DE4" w:rsidP="00DB56E6">
            <w:pPr>
              <w:pStyle w:val="NoSpacing"/>
              <w:jc w:val="right"/>
            </w:pPr>
            <w:r w:rsidRPr="00730DE4">
              <w:t>(34,937)</w:t>
            </w:r>
          </w:p>
        </w:tc>
        <w:tc>
          <w:tcPr>
            <w:tcW w:w="421"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701654F6" w14:textId="77777777" w:rsidR="00730DE4" w:rsidRPr="00730DE4" w:rsidRDefault="00730DE4" w:rsidP="00DB56E6">
            <w:pPr>
              <w:pStyle w:val="NoSpacing"/>
              <w:jc w:val="right"/>
            </w:pPr>
            <w:r w:rsidRPr="00730DE4">
              <w:t>(15,139)</w:t>
            </w:r>
          </w:p>
        </w:tc>
        <w:tc>
          <w:tcPr>
            <w:tcW w:w="421"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23C65668" w14:textId="77777777" w:rsidR="00730DE4" w:rsidRPr="00730DE4" w:rsidRDefault="00730DE4" w:rsidP="00DB56E6">
            <w:pPr>
              <w:pStyle w:val="NoSpacing"/>
              <w:jc w:val="right"/>
            </w:pPr>
            <w:r w:rsidRPr="00730DE4">
              <w:t>(628)</w:t>
            </w:r>
          </w:p>
        </w:tc>
        <w:tc>
          <w:tcPr>
            <w:tcW w:w="421"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0AEDA322" w14:textId="77777777" w:rsidR="00730DE4" w:rsidRPr="00730DE4" w:rsidRDefault="00730DE4" w:rsidP="00DB56E6">
            <w:pPr>
              <w:pStyle w:val="NoSpacing"/>
              <w:jc w:val="right"/>
            </w:pPr>
            <w:r w:rsidRPr="00730DE4">
              <w:t>(6,863)</w:t>
            </w:r>
          </w:p>
        </w:tc>
        <w:tc>
          <w:tcPr>
            <w:tcW w:w="421"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5998108A" w14:textId="77777777" w:rsidR="00730DE4" w:rsidRPr="00730DE4" w:rsidRDefault="00730DE4" w:rsidP="00DB56E6">
            <w:pPr>
              <w:pStyle w:val="NoSpacing"/>
              <w:jc w:val="right"/>
            </w:pPr>
            <w:r w:rsidRPr="00730DE4">
              <w:t xml:space="preserve">- </w:t>
            </w:r>
          </w:p>
        </w:tc>
        <w:tc>
          <w:tcPr>
            <w:tcW w:w="421"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F2F2F2" w:themeFill="background1" w:themeFillShade="F2"/>
            <w:noWrap/>
            <w:vAlign w:val="bottom"/>
            <w:hideMark/>
          </w:tcPr>
          <w:p w14:paraId="39BF5906" w14:textId="77777777" w:rsidR="00730DE4" w:rsidRPr="00730DE4" w:rsidRDefault="00730DE4" w:rsidP="00DB56E6">
            <w:pPr>
              <w:pStyle w:val="NoSpacing"/>
              <w:jc w:val="right"/>
              <w:rPr>
                <w:rStyle w:val="Strong"/>
              </w:rPr>
            </w:pPr>
            <w:r w:rsidRPr="00730DE4">
              <w:rPr>
                <w:rStyle w:val="Strong"/>
              </w:rPr>
              <w:t>(205,028)</w:t>
            </w:r>
          </w:p>
        </w:tc>
      </w:tr>
      <w:tr w:rsidR="00730DE4" w:rsidRPr="00730DE4" w14:paraId="3E814AB4" w14:textId="77777777" w:rsidTr="00772E6C">
        <w:tc>
          <w:tcPr>
            <w:tcW w:w="1215"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78A43ED8" w14:textId="77777777" w:rsidR="00730DE4" w:rsidRPr="00730DE4" w:rsidRDefault="00730DE4" w:rsidP="000A3AFE">
            <w:pPr>
              <w:pStyle w:val="NoSpacing"/>
              <w:rPr>
                <w:b/>
                <w:bCs/>
              </w:rPr>
            </w:pPr>
            <w:r w:rsidRPr="00730DE4">
              <w:rPr>
                <w:rStyle w:val="Strong"/>
              </w:rPr>
              <w:t>Carrying amount at 30 June</w:t>
            </w:r>
          </w:p>
        </w:tc>
        <w:tc>
          <w:tcPr>
            <w:tcW w:w="421"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500BDE60" w14:textId="77777777" w:rsidR="00730DE4" w:rsidRPr="00730DE4" w:rsidRDefault="00730DE4" w:rsidP="000A3AFE">
            <w:pPr>
              <w:pStyle w:val="NoSpacing"/>
              <w:jc w:val="right"/>
              <w:rPr>
                <w:b/>
                <w:bCs/>
              </w:rPr>
            </w:pPr>
            <w:r w:rsidRPr="00730DE4">
              <w:rPr>
                <w:rStyle w:val="Strong"/>
              </w:rPr>
              <w:t xml:space="preserve">733,210 </w:t>
            </w:r>
          </w:p>
        </w:tc>
        <w:tc>
          <w:tcPr>
            <w:tcW w:w="421"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725EF717" w14:textId="77777777" w:rsidR="00730DE4" w:rsidRPr="00730DE4" w:rsidRDefault="00730DE4" w:rsidP="000A3AFE">
            <w:pPr>
              <w:pStyle w:val="NoSpacing"/>
              <w:jc w:val="right"/>
              <w:rPr>
                <w:b/>
                <w:bCs/>
              </w:rPr>
            </w:pPr>
            <w:r w:rsidRPr="00730DE4">
              <w:rPr>
                <w:rStyle w:val="Strong"/>
              </w:rPr>
              <w:t xml:space="preserve">1,587,900 </w:t>
            </w:r>
          </w:p>
        </w:tc>
        <w:tc>
          <w:tcPr>
            <w:tcW w:w="421"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403A34FA" w14:textId="77777777" w:rsidR="00730DE4" w:rsidRPr="00730DE4" w:rsidRDefault="00730DE4" w:rsidP="000A3AFE">
            <w:pPr>
              <w:pStyle w:val="NoSpacing"/>
              <w:jc w:val="right"/>
              <w:rPr>
                <w:b/>
                <w:bCs/>
              </w:rPr>
            </w:pPr>
            <w:r w:rsidRPr="00730DE4">
              <w:rPr>
                <w:rStyle w:val="Strong"/>
              </w:rPr>
              <w:t xml:space="preserve">6,398,900 </w:t>
            </w:r>
          </w:p>
        </w:tc>
        <w:tc>
          <w:tcPr>
            <w:tcW w:w="421"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140F2BF8" w14:textId="77777777" w:rsidR="00730DE4" w:rsidRPr="00730DE4" w:rsidRDefault="00730DE4" w:rsidP="000A3AFE">
            <w:pPr>
              <w:pStyle w:val="NoSpacing"/>
              <w:jc w:val="right"/>
              <w:rPr>
                <w:b/>
                <w:bCs/>
              </w:rPr>
            </w:pPr>
            <w:r w:rsidRPr="00730DE4">
              <w:rPr>
                <w:rStyle w:val="Strong"/>
              </w:rPr>
              <w:t xml:space="preserve">3,540,419 </w:t>
            </w:r>
          </w:p>
        </w:tc>
        <w:tc>
          <w:tcPr>
            <w:tcW w:w="421"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25169812" w14:textId="77777777" w:rsidR="00730DE4" w:rsidRPr="00730DE4" w:rsidRDefault="00730DE4" w:rsidP="000A3AFE">
            <w:pPr>
              <w:pStyle w:val="NoSpacing"/>
              <w:jc w:val="right"/>
              <w:rPr>
                <w:b/>
                <w:bCs/>
              </w:rPr>
            </w:pPr>
            <w:r w:rsidRPr="00730DE4">
              <w:rPr>
                <w:rStyle w:val="Strong"/>
              </w:rPr>
              <w:t xml:space="preserve">1,940,714 </w:t>
            </w:r>
          </w:p>
        </w:tc>
        <w:tc>
          <w:tcPr>
            <w:tcW w:w="421"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6ED4AF3F" w14:textId="77777777" w:rsidR="00730DE4" w:rsidRPr="00730DE4" w:rsidRDefault="00730DE4" w:rsidP="000A3AFE">
            <w:pPr>
              <w:pStyle w:val="NoSpacing"/>
              <w:jc w:val="right"/>
              <w:rPr>
                <w:b/>
                <w:bCs/>
              </w:rPr>
            </w:pPr>
            <w:r w:rsidRPr="00730DE4">
              <w:rPr>
                <w:rStyle w:val="Strong"/>
              </w:rPr>
              <w:t xml:space="preserve">65,102 </w:t>
            </w:r>
          </w:p>
        </w:tc>
        <w:tc>
          <w:tcPr>
            <w:tcW w:w="421"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7053F361" w14:textId="77777777" w:rsidR="00730DE4" w:rsidRPr="00730DE4" w:rsidRDefault="00730DE4" w:rsidP="000A3AFE">
            <w:pPr>
              <w:pStyle w:val="NoSpacing"/>
              <w:jc w:val="right"/>
              <w:rPr>
                <w:b/>
                <w:bCs/>
              </w:rPr>
            </w:pPr>
            <w:r w:rsidRPr="00730DE4">
              <w:rPr>
                <w:rStyle w:val="Strong"/>
              </w:rPr>
              <w:t xml:space="preserve">365,062 </w:t>
            </w:r>
          </w:p>
        </w:tc>
        <w:tc>
          <w:tcPr>
            <w:tcW w:w="421"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5FACB4DE" w14:textId="77777777" w:rsidR="00730DE4" w:rsidRPr="00730DE4" w:rsidRDefault="00730DE4" w:rsidP="000A3AFE">
            <w:pPr>
              <w:pStyle w:val="NoSpacing"/>
              <w:jc w:val="right"/>
              <w:rPr>
                <w:b/>
                <w:bCs/>
              </w:rPr>
            </w:pPr>
            <w:r w:rsidRPr="00730DE4">
              <w:rPr>
                <w:rStyle w:val="Strong"/>
              </w:rPr>
              <w:t xml:space="preserve">446,606 </w:t>
            </w:r>
          </w:p>
        </w:tc>
        <w:tc>
          <w:tcPr>
            <w:tcW w:w="421" w:type="pct"/>
            <w:tcBorders>
              <w:top w:val="single" w:sz="4" w:space="0" w:color="auto"/>
              <w:left w:val="dotted" w:sz="4" w:space="0" w:color="BFBFBF" w:themeColor="background1" w:themeShade="BF"/>
              <w:bottom w:val="double" w:sz="4" w:space="0" w:color="auto"/>
              <w:right w:val="nil"/>
            </w:tcBorders>
            <w:shd w:val="clear" w:color="auto" w:fill="F2F2F2" w:themeFill="background1" w:themeFillShade="F2"/>
            <w:noWrap/>
            <w:hideMark/>
          </w:tcPr>
          <w:p w14:paraId="7FA38063" w14:textId="77777777" w:rsidR="00730DE4" w:rsidRPr="00730DE4" w:rsidRDefault="00730DE4" w:rsidP="000A3AFE">
            <w:pPr>
              <w:pStyle w:val="NoSpacing"/>
              <w:jc w:val="right"/>
              <w:rPr>
                <w:rStyle w:val="Strong"/>
              </w:rPr>
            </w:pPr>
            <w:r w:rsidRPr="00730DE4">
              <w:rPr>
                <w:rStyle w:val="Strong"/>
              </w:rPr>
              <w:t xml:space="preserve">15,077,913 </w:t>
            </w:r>
          </w:p>
        </w:tc>
      </w:tr>
      <w:tr w:rsidR="00730DE4" w:rsidRPr="00730DE4" w14:paraId="2B463C6B" w14:textId="77777777" w:rsidTr="00772E6C">
        <w:trPr>
          <w:trHeight w:val="454"/>
        </w:trPr>
        <w:tc>
          <w:tcPr>
            <w:tcW w:w="1215" w:type="pct"/>
            <w:tcBorders>
              <w:top w:val="doub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011BB53C" w14:textId="77777777" w:rsidR="00730DE4" w:rsidRPr="00730DE4" w:rsidRDefault="00730DE4" w:rsidP="00DB56E6">
            <w:pPr>
              <w:pStyle w:val="NoSpacing"/>
              <w:rPr>
                <w:b/>
                <w:bCs/>
              </w:rPr>
            </w:pPr>
            <w:r w:rsidRPr="00730DE4">
              <w:rPr>
                <w:rStyle w:val="Strong"/>
              </w:rPr>
              <w:t>Liabilities</w:t>
            </w:r>
          </w:p>
        </w:tc>
        <w:tc>
          <w:tcPr>
            <w:tcW w:w="421"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F046A1C" w14:textId="77777777" w:rsidR="00730DE4" w:rsidRPr="00730DE4" w:rsidRDefault="00730DE4" w:rsidP="00DB56E6">
            <w:pPr>
              <w:pStyle w:val="NoSpacing"/>
              <w:jc w:val="right"/>
              <w:rPr>
                <w:rStyle w:val="Strong"/>
              </w:rPr>
            </w:pPr>
          </w:p>
        </w:tc>
        <w:tc>
          <w:tcPr>
            <w:tcW w:w="421"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7676734" w14:textId="77777777" w:rsidR="00730DE4" w:rsidRPr="00730DE4" w:rsidRDefault="00730DE4" w:rsidP="00DB56E6">
            <w:pPr>
              <w:pStyle w:val="NoSpacing"/>
              <w:jc w:val="right"/>
            </w:pPr>
          </w:p>
        </w:tc>
        <w:tc>
          <w:tcPr>
            <w:tcW w:w="421"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4EEE942" w14:textId="77777777" w:rsidR="00730DE4" w:rsidRPr="00730DE4" w:rsidRDefault="00730DE4" w:rsidP="00DB56E6">
            <w:pPr>
              <w:pStyle w:val="NoSpacing"/>
              <w:jc w:val="right"/>
            </w:pPr>
          </w:p>
        </w:tc>
        <w:tc>
          <w:tcPr>
            <w:tcW w:w="421"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C773D03" w14:textId="77777777" w:rsidR="00730DE4" w:rsidRPr="00730DE4" w:rsidRDefault="00730DE4" w:rsidP="00DB56E6">
            <w:pPr>
              <w:pStyle w:val="NoSpacing"/>
              <w:jc w:val="right"/>
            </w:pPr>
          </w:p>
        </w:tc>
        <w:tc>
          <w:tcPr>
            <w:tcW w:w="421"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56C8ED9" w14:textId="77777777" w:rsidR="00730DE4" w:rsidRPr="00730DE4" w:rsidRDefault="00730DE4" w:rsidP="00DB56E6">
            <w:pPr>
              <w:pStyle w:val="NoSpacing"/>
              <w:jc w:val="right"/>
            </w:pPr>
          </w:p>
        </w:tc>
        <w:tc>
          <w:tcPr>
            <w:tcW w:w="421"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0B0C22C" w14:textId="77777777" w:rsidR="00730DE4" w:rsidRPr="00730DE4" w:rsidRDefault="00730DE4" w:rsidP="00DB56E6">
            <w:pPr>
              <w:pStyle w:val="NoSpacing"/>
              <w:jc w:val="right"/>
            </w:pPr>
          </w:p>
        </w:tc>
        <w:tc>
          <w:tcPr>
            <w:tcW w:w="421"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815D353" w14:textId="77777777" w:rsidR="00730DE4" w:rsidRPr="00730DE4" w:rsidRDefault="00730DE4" w:rsidP="00DB56E6">
            <w:pPr>
              <w:pStyle w:val="NoSpacing"/>
              <w:jc w:val="right"/>
            </w:pPr>
          </w:p>
        </w:tc>
        <w:tc>
          <w:tcPr>
            <w:tcW w:w="421"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858D99D" w14:textId="77777777" w:rsidR="00730DE4" w:rsidRPr="00730DE4" w:rsidRDefault="00730DE4" w:rsidP="00DB56E6">
            <w:pPr>
              <w:pStyle w:val="NoSpacing"/>
              <w:jc w:val="right"/>
            </w:pPr>
          </w:p>
        </w:tc>
        <w:tc>
          <w:tcPr>
            <w:tcW w:w="421" w:type="pct"/>
            <w:tcBorders>
              <w:top w:val="double" w:sz="4" w:space="0" w:color="auto"/>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13A13A4C" w14:textId="77777777" w:rsidR="00730DE4" w:rsidRPr="00730DE4" w:rsidRDefault="00730DE4" w:rsidP="00DB56E6">
            <w:pPr>
              <w:pStyle w:val="NoSpacing"/>
              <w:jc w:val="right"/>
            </w:pPr>
          </w:p>
        </w:tc>
      </w:tr>
      <w:tr w:rsidR="00730DE4" w:rsidRPr="00730DE4" w14:paraId="065350C2" w14:textId="77777777" w:rsidTr="00772E6C">
        <w:trPr>
          <w:trHeight w:val="23"/>
        </w:trPr>
        <w:tc>
          <w:tcPr>
            <w:tcW w:w="1215"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hideMark/>
          </w:tcPr>
          <w:p w14:paraId="4088A14C" w14:textId="77777777" w:rsidR="00730DE4" w:rsidRPr="00730DE4" w:rsidRDefault="00730DE4" w:rsidP="00DB56E6">
            <w:pPr>
              <w:pStyle w:val="NoSpacing"/>
            </w:pPr>
            <w:r w:rsidRPr="00730DE4">
              <w:t>Financial liabilities (refer to Note 19)</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4A0C4F0" w14:textId="77777777" w:rsidR="00730DE4" w:rsidRPr="00730DE4" w:rsidRDefault="00730DE4" w:rsidP="00DB56E6">
            <w:pPr>
              <w:pStyle w:val="NoSpacing"/>
              <w:jc w:val="right"/>
            </w:pPr>
            <w:r w:rsidRPr="00730DE4">
              <w:t xml:space="preserve">199,836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6B00D58" w14:textId="77777777" w:rsidR="00730DE4" w:rsidRPr="00730DE4" w:rsidRDefault="00730DE4" w:rsidP="00DB56E6">
            <w:pPr>
              <w:pStyle w:val="NoSpacing"/>
              <w:jc w:val="right"/>
            </w:pPr>
            <w:r w:rsidRPr="00730DE4">
              <w:t xml:space="preserve">383,909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AFCC0DD" w14:textId="77777777" w:rsidR="00730DE4" w:rsidRPr="00730DE4" w:rsidRDefault="00730DE4" w:rsidP="00DB56E6">
            <w:pPr>
              <w:pStyle w:val="NoSpacing"/>
              <w:jc w:val="right"/>
            </w:pPr>
            <w:r w:rsidRPr="00730DE4">
              <w:t xml:space="preserve">-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D7F943B" w14:textId="77777777" w:rsidR="00730DE4" w:rsidRPr="00730DE4" w:rsidRDefault="00730DE4" w:rsidP="00DB56E6">
            <w:pPr>
              <w:pStyle w:val="NoSpacing"/>
              <w:jc w:val="right"/>
            </w:pPr>
            <w:r w:rsidRPr="00730DE4">
              <w:t xml:space="preserve">-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266933E" w14:textId="77777777" w:rsidR="00730DE4" w:rsidRPr="00730DE4" w:rsidRDefault="00730DE4" w:rsidP="00DB56E6">
            <w:pPr>
              <w:pStyle w:val="NoSpacing"/>
              <w:jc w:val="right"/>
            </w:pPr>
            <w:r w:rsidRPr="00730DE4">
              <w:t xml:space="preserve">-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42B9C72" w14:textId="77777777" w:rsidR="00730DE4" w:rsidRPr="00730DE4" w:rsidRDefault="00730DE4" w:rsidP="00DB56E6">
            <w:pPr>
              <w:pStyle w:val="NoSpacing"/>
              <w:jc w:val="right"/>
            </w:pPr>
            <w:r w:rsidRPr="00730DE4">
              <w:t xml:space="preserve">-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81DA2F8" w14:textId="77777777" w:rsidR="00730DE4" w:rsidRPr="00730DE4" w:rsidRDefault="00730DE4" w:rsidP="00DB56E6">
            <w:pPr>
              <w:pStyle w:val="NoSpacing"/>
              <w:jc w:val="right"/>
            </w:pPr>
            <w:r w:rsidRPr="00730DE4">
              <w:t xml:space="preserve">-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401F0F8" w14:textId="77777777" w:rsidR="00730DE4" w:rsidRPr="00730DE4" w:rsidRDefault="00730DE4" w:rsidP="00DB56E6">
            <w:pPr>
              <w:pStyle w:val="NoSpacing"/>
              <w:jc w:val="right"/>
            </w:pPr>
            <w:r w:rsidRPr="00730DE4">
              <w:t xml:space="preserve">-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F2F2F2" w:themeFill="background1" w:themeFillShade="F2"/>
            <w:noWrap/>
            <w:vAlign w:val="bottom"/>
            <w:hideMark/>
          </w:tcPr>
          <w:p w14:paraId="59860AA5" w14:textId="77777777" w:rsidR="00730DE4" w:rsidRPr="00730DE4" w:rsidRDefault="00730DE4" w:rsidP="00DB56E6">
            <w:pPr>
              <w:pStyle w:val="NoSpacing"/>
              <w:jc w:val="right"/>
              <w:rPr>
                <w:rStyle w:val="Strong"/>
              </w:rPr>
            </w:pPr>
            <w:r w:rsidRPr="00730DE4">
              <w:rPr>
                <w:rStyle w:val="Strong"/>
              </w:rPr>
              <w:t xml:space="preserve">583,745 </w:t>
            </w:r>
          </w:p>
        </w:tc>
      </w:tr>
      <w:tr w:rsidR="00730DE4" w:rsidRPr="00730DE4" w14:paraId="2734A8A8" w14:textId="77777777" w:rsidTr="00772E6C">
        <w:trPr>
          <w:trHeight w:val="23"/>
        </w:trPr>
        <w:tc>
          <w:tcPr>
            <w:tcW w:w="1215"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vAlign w:val="bottom"/>
            <w:hideMark/>
          </w:tcPr>
          <w:p w14:paraId="454DDCC5" w14:textId="77777777" w:rsidR="00730DE4" w:rsidRPr="00730DE4" w:rsidRDefault="00730DE4" w:rsidP="00DB56E6">
            <w:pPr>
              <w:pStyle w:val="NoSpacing"/>
            </w:pPr>
            <w:r w:rsidRPr="00730DE4">
              <w:t>Unearned revenue</w:t>
            </w:r>
          </w:p>
        </w:tc>
        <w:tc>
          <w:tcPr>
            <w:tcW w:w="421"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571B578B" w14:textId="77777777" w:rsidR="00730DE4" w:rsidRPr="00730DE4" w:rsidRDefault="00730DE4" w:rsidP="00DB56E6">
            <w:pPr>
              <w:pStyle w:val="NoSpacing"/>
              <w:jc w:val="right"/>
            </w:pPr>
            <w:r w:rsidRPr="00730DE4">
              <w:t xml:space="preserve">- </w:t>
            </w:r>
          </w:p>
        </w:tc>
        <w:tc>
          <w:tcPr>
            <w:tcW w:w="421"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4EFA5180" w14:textId="77777777" w:rsidR="00730DE4" w:rsidRPr="00730DE4" w:rsidRDefault="00730DE4" w:rsidP="00DB56E6">
            <w:pPr>
              <w:pStyle w:val="NoSpacing"/>
              <w:jc w:val="right"/>
            </w:pPr>
            <w:r w:rsidRPr="00730DE4">
              <w:t xml:space="preserve">- </w:t>
            </w:r>
          </w:p>
        </w:tc>
        <w:tc>
          <w:tcPr>
            <w:tcW w:w="421"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74158BD1" w14:textId="77777777" w:rsidR="00730DE4" w:rsidRPr="00730DE4" w:rsidRDefault="00730DE4" w:rsidP="00DB56E6">
            <w:pPr>
              <w:pStyle w:val="NoSpacing"/>
              <w:jc w:val="right"/>
            </w:pPr>
            <w:r w:rsidRPr="00730DE4">
              <w:t xml:space="preserve">3,876,709 </w:t>
            </w:r>
          </w:p>
        </w:tc>
        <w:tc>
          <w:tcPr>
            <w:tcW w:w="421"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79A1B57A" w14:textId="77777777" w:rsidR="00730DE4" w:rsidRPr="00730DE4" w:rsidRDefault="00730DE4" w:rsidP="00DB56E6">
            <w:pPr>
              <w:pStyle w:val="NoSpacing"/>
              <w:jc w:val="right"/>
            </w:pPr>
            <w:r w:rsidRPr="00730DE4">
              <w:t xml:space="preserve">1,619,524 </w:t>
            </w:r>
          </w:p>
        </w:tc>
        <w:tc>
          <w:tcPr>
            <w:tcW w:w="421"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4BBC0088" w14:textId="77777777" w:rsidR="00730DE4" w:rsidRPr="00730DE4" w:rsidRDefault="00730DE4" w:rsidP="00DB56E6">
            <w:pPr>
              <w:pStyle w:val="NoSpacing"/>
              <w:jc w:val="right"/>
            </w:pPr>
            <w:r w:rsidRPr="00730DE4">
              <w:t xml:space="preserve">1,278,000 </w:t>
            </w:r>
          </w:p>
        </w:tc>
        <w:tc>
          <w:tcPr>
            <w:tcW w:w="421"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066D3AF3" w14:textId="77777777" w:rsidR="00730DE4" w:rsidRPr="00730DE4" w:rsidRDefault="00730DE4" w:rsidP="00DB56E6">
            <w:pPr>
              <w:pStyle w:val="NoSpacing"/>
              <w:jc w:val="right"/>
            </w:pPr>
            <w:r w:rsidRPr="00730DE4">
              <w:t xml:space="preserve">40,503 </w:t>
            </w:r>
          </w:p>
        </w:tc>
        <w:tc>
          <w:tcPr>
            <w:tcW w:w="421"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277B3214" w14:textId="77777777" w:rsidR="00730DE4" w:rsidRPr="00730DE4" w:rsidRDefault="00730DE4" w:rsidP="00DB56E6">
            <w:pPr>
              <w:pStyle w:val="NoSpacing"/>
              <w:jc w:val="right"/>
            </w:pPr>
            <w:r w:rsidRPr="00730DE4">
              <w:t xml:space="preserve">108,399 </w:t>
            </w:r>
          </w:p>
        </w:tc>
        <w:tc>
          <w:tcPr>
            <w:tcW w:w="421"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3C3CECC7" w14:textId="77777777" w:rsidR="00730DE4" w:rsidRPr="00730DE4" w:rsidRDefault="00730DE4" w:rsidP="00DB56E6">
            <w:pPr>
              <w:pStyle w:val="NoSpacing"/>
              <w:jc w:val="right"/>
            </w:pPr>
            <w:r w:rsidRPr="00730DE4">
              <w:t xml:space="preserve">- </w:t>
            </w:r>
          </w:p>
        </w:tc>
        <w:tc>
          <w:tcPr>
            <w:tcW w:w="421"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F2F2F2" w:themeFill="background1" w:themeFillShade="F2"/>
            <w:noWrap/>
            <w:vAlign w:val="bottom"/>
            <w:hideMark/>
          </w:tcPr>
          <w:p w14:paraId="08545B06" w14:textId="77777777" w:rsidR="00730DE4" w:rsidRPr="00730DE4" w:rsidRDefault="00730DE4" w:rsidP="00DB56E6">
            <w:pPr>
              <w:pStyle w:val="NoSpacing"/>
              <w:jc w:val="right"/>
              <w:rPr>
                <w:rStyle w:val="Strong"/>
              </w:rPr>
            </w:pPr>
            <w:r w:rsidRPr="00730DE4">
              <w:rPr>
                <w:rStyle w:val="Strong"/>
              </w:rPr>
              <w:t xml:space="preserve">6,923,135 </w:t>
            </w:r>
          </w:p>
        </w:tc>
      </w:tr>
      <w:tr w:rsidR="00730DE4" w:rsidRPr="00730DE4" w14:paraId="0DADB173" w14:textId="77777777" w:rsidTr="00772E6C">
        <w:tc>
          <w:tcPr>
            <w:tcW w:w="1215"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2A3706B4" w14:textId="77777777" w:rsidR="00730DE4" w:rsidRPr="00730DE4" w:rsidRDefault="00730DE4" w:rsidP="000A3AFE">
            <w:pPr>
              <w:pStyle w:val="NoSpacing"/>
              <w:rPr>
                <w:b/>
                <w:bCs/>
              </w:rPr>
            </w:pPr>
            <w:r w:rsidRPr="00730DE4">
              <w:rPr>
                <w:rStyle w:val="Strong"/>
              </w:rPr>
              <w:t>Total</w:t>
            </w:r>
          </w:p>
        </w:tc>
        <w:tc>
          <w:tcPr>
            <w:tcW w:w="421"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1C0900C8" w14:textId="77777777" w:rsidR="00730DE4" w:rsidRPr="00730DE4" w:rsidRDefault="00730DE4" w:rsidP="000A3AFE">
            <w:pPr>
              <w:pStyle w:val="NoSpacing"/>
              <w:jc w:val="right"/>
              <w:rPr>
                <w:b/>
                <w:bCs/>
              </w:rPr>
            </w:pPr>
            <w:r w:rsidRPr="00730DE4">
              <w:rPr>
                <w:rStyle w:val="Strong"/>
              </w:rPr>
              <w:t xml:space="preserve">199,836 </w:t>
            </w:r>
          </w:p>
        </w:tc>
        <w:tc>
          <w:tcPr>
            <w:tcW w:w="421"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206FC6E2" w14:textId="77777777" w:rsidR="00730DE4" w:rsidRPr="00730DE4" w:rsidRDefault="00730DE4" w:rsidP="000A3AFE">
            <w:pPr>
              <w:pStyle w:val="NoSpacing"/>
              <w:jc w:val="right"/>
              <w:rPr>
                <w:b/>
                <w:bCs/>
              </w:rPr>
            </w:pPr>
            <w:r w:rsidRPr="00730DE4">
              <w:rPr>
                <w:rStyle w:val="Strong"/>
              </w:rPr>
              <w:t xml:space="preserve">383,909 </w:t>
            </w:r>
          </w:p>
        </w:tc>
        <w:tc>
          <w:tcPr>
            <w:tcW w:w="421"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7B2D97DA" w14:textId="77777777" w:rsidR="00730DE4" w:rsidRPr="00730DE4" w:rsidRDefault="00730DE4" w:rsidP="000A3AFE">
            <w:pPr>
              <w:pStyle w:val="NoSpacing"/>
              <w:jc w:val="right"/>
              <w:rPr>
                <w:b/>
                <w:bCs/>
              </w:rPr>
            </w:pPr>
            <w:r w:rsidRPr="00730DE4">
              <w:rPr>
                <w:rStyle w:val="Strong"/>
              </w:rPr>
              <w:t xml:space="preserve">3,876,709 </w:t>
            </w:r>
          </w:p>
        </w:tc>
        <w:tc>
          <w:tcPr>
            <w:tcW w:w="421"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1F27788A" w14:textId="77777777" w:rsidR="00730DE4" w:rsidRPr="00730DE4" w:rsidRDefault="00730DE4" w:rsidP="000A3AFE">
            <w:pPr>
              <w:pStyle w:val="NoSpacing"/>
              <w:jc w:val="right"/>
              <w:rPr>
                <w:b/>
                <w:bCs/>
              </w:rPr>
            </w:pPr>
            <w:r w:rsidRPr="00730DE4">
              <w:rPr>
                <w:rStyle w:val="Strong"/>
              </w:rPr>
              <w:t xml:space="preserve">1,619,524 </w:t>
            </w:r>
          </w:p>
        </w:tc>
        <w:tc>
          <w:tcPr>
            <w:tcW w:w="421"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484800CD" w14:textId="77777777" w:rsidR="00730DE4" w:rsidRPr="00730DE4" w:rsidRDefault="00730DE4" w:rsidP="000A3AFE">
            <w:pPr>
              <w:pStyle w:val="NoSpacing"/>
              <w:jc w:val="right"/>
              <w:rPr>
                <w:b/>
                <w:bCs/>
              </w:rPr>
            </w:pPr>
            <w:r w:rsidRPr="00730DE4">
              <w:rPr>
                <w:rStyle w:val="Strong"/>
              </w:rPr>
              <w:t xml:space="preserve">1,278,000 </w:t>
            </w:r>
          </w:p>
        </w:tc>
        <w:tc>
          <w:tcPr>
            <w:tcW w:w="421"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0D539AEF" w14:textId="77777777" w:rsidR="00730DE4" w:rsidRPr="00730DE4" w:rsidRDefault="00730DE4" w:rsidP="000A3AFE">
            <w:pPr>
              <w:pStyle w:val="NoSpacing"/>
              <w:jc w:val="right"/>
              <w:rPr>
                <w:b/>
                <w:bCs/>
              </w:rPr>
            </w:pPr>
            <w:r w:rsidRPr="00730DE4">
              <w:rPr>
                <w:rStyle w:val="Strong"/>
              </w:rPr>
              <w:t xml:space="preserve">40,503 </w:t>
            </w:r>
          </w:p>
        </w:tc>
        <w:tc>
          <w:tcPr>
            <w:tcW w:w="421"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5B6B69DC" w14:textId="77777777" w:rsidR="00730DE4" w:rsidRPr="00730DE4" w:rsidRDefault="00730DE4" w:rsidP="000A3AFE">
            <w:pPr>
              <w:pStyle w:val="NoSpacing"/>
              <w:jc w:val="right"/>
              <w:rPr>
                <w:b/>
                <w:bCs/>
              </w:rPr>
            </w:pPr>
            <w:r w:rsidRPr="00730DE4">
              <w:rPr>
                <w:rStyle w:val="Strong"/>
              </w:rPr>
              <w:t xml:space="preserve">108,399 </w:t>
            </w:r>
          </w:p>
        </w:tc>
        <w:tc>
          <w:tcPr>
            <w:tcW w:w="421"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42C90F1D" w14:textId="77777777" w:rsidR="00730DE4" w:rsidRPr="00730DE4" w:rsidRDefault="00730DE4" w:rsidP="000A3AFE">
            <w:pPr>
              <w:pStyle w:val="NoSpacing"/>
              <w:jc w:val="right"/>
              <w:rPr>
                <w:b/>
                <w:bCs/>
              </w:rPr>
            </w:pPr>
            <w:r w:rsidRPr="00730DE4">
              <w:rPr>
                <w:rStyle w:val="Strong"/>
              </w:rPr>
              <w:t xml:space="preserve">- </w:t>
            </w:r>
          </w:p>
        </w:tc>
        <w:tc>
          <w:tcPr>
            <w:tcW w:w="421" w:type="pct"/>
            <w:tcBorders>
              <w:top w:val="single" w:sz="4" w:space="0" w:color="auto"/>
              <w:left w:val="dotted" w:sz="4" w:space="0" w:color="BFBFBF" w:themeColor="background1" w:themeShade="BF"/>
              <w:bottom w:val="double" w:sz="4" w:space="0" w:color="auto"/>
              <w:right w:val="nil"/>
            </w:tcBorders>
            <w:shd w:val="clear" w:color="auto" w:fill="F2F2F2" w:themeFill="background1" w:themeFillShade="F2"/>
            <w:noWrap/>
            <w:hideMark/>
          </w:tcPr>
          <w:p w14:paraId="36559E7B" w14:textId="77777777" w:rsidR="00730DE4" w:rsidRPr="00730DE4" w:rsidRDefault="00730DE4" w:rsidP="000A3AFE">
            <w:pPr>
              <w:pStyle w:val="NoSpacing"/>
              <w:jc w:val="right"/>
              <w:rPr>
                <w:rStyle w:val="Strong"/>
              </w:rPr>
            </w:pPr>
            <w:r w:rsidRPr="00730DE4">
              <w:rPr>
                <w:rStyle w:val="Strong"/>
              </w:rPr>
              <w:t xml:space="preserve">7,506,880 </w:t>
            </w:r>
          </w:p>
        </w:tc>
      </w:tr>
    </w:tbl>
    <w:p w14:paraId="5B7D374E" w14:textId="77777777" w:rsidR="00730DE4" w:rsidRPr="00730DE4" w:rsidRDefault="00730DE4" w:rsidP="00217B19">
      <w:pPr>
        <w:pStyle w:val="List0"/>
      </w:pPr>
      <w:r w:rsidRPr="00730DE4">
        <w:t>* Work in progress relates to the Gold Coast Light Rail Stage 3 assets.</w:t>
      </w:r>
    </w:p>
    <w:p w14:paraId="6DBFA3D1" w14:textId="77777777" w:rsidR="00730DE4" w:rsidRPr="00730DE4" w:rsidRDefault="00730DE4" w:rsidP="00217B19">
      <w:pPr>
        <w:pStyle w:val="List1"/>
      </w:pPr>
      <w:r w:rsidRPr="00730DE4">
        <w:t>** The department has assessed market sensitivity and fair value movements from the valuation date to 30 June 2024 for its significant assets. Based on the analysis undertaken it was determined that no adjustment to the carrying amount of service concession assets was required at 30 June 2024</w:t>
      </w:r>
      <w:bookmarkEnd w:id="1532"/>
      <w:r w:rsidRPr="00730DE4">
        <w:br w:type="page"/>
      </w:r>
    </w:p>
    <w:p w14:paraId="6BFC8C1F" w14:textId="77777777" w:rsidR="00730DE4" w:rsidRPr="00730DE4" w:rsidRDefault="00730DE4" w:rsidP="000F0A47">
      <w:pPr>
        <w:pStyle w:val="NoSpacing"/>
      </w:pPr>
    </w:p>
    <w:tbl>
      <w:tblPr>
        <w:tblW w:w="5000" w:type="pct"/>
        <w:tblLayout w:type="fixed"/>
        <w:tblCellMar>
          <w:top w:w="23" w:type="dxa"/>
          <w:left w:w="23" w:type="dxa"/>
          <w:bottom w:w="23" w:type="dxa"/>
          <w:right w:w="23" w:type="dxa"/>
        </w:tblCellMar>
        <w:tblLook w:val="04A0" w:firstRow="1" w:lastRow="0" w:firstColumn="1" w:lastColumn="0" w:noHBand="0" w:noVBand="1"/>
      </w:tblPr>
      <w:tblGrid>
        <w:gridCol w:w="4963"/>
        <w:gridCol w:w="1900"/>
        <w:gridCol w:w="1766"/>
        <w:gridCol w:w="1766"/>
        <w:gridCol w:w="1762"/>
        <w:gridCol w:w="1766"/>
        <w:gridCol w:w="1766"/>
        <w:gridCol w:w="1762"/>
        <w:gridCol w:w="1766"/>
        <w:gridCol w:w="1758"/>
      </w:tblGrid>
      <w:tr w:rsidR="00730DE4" w:rsidRPr="00730DE4" w14:paraId="5214ECBD" w14:textId="77777777" w:rsidTr="00253FBD">
        <w:trPr>
          <w:trHeight w:val="23"/>
        </w:trPr>
        <w:tc>
          <w:tcPr>
            <w:tcW w:w="1183" w:type="pct"/>
            <w:tcBorders>
              <w:top w:val="nil"/>
              <w:left w:val="nil"/>
              <w:bottom w:val="single" w:sz="4" w:space="0" w:color="080C0F" w:themeColor="text1"/>
              <w:right w:val="nil"/>
            </w:tcBorders>
            <w:shd w:val="clear" w:color="auto" w:fill="auto"/>
            <w:noWrap/>
            <w:vAlign w:val="bottom"/>
            <w:hideMark/>
          </w:tcPr>
          <w:p w14:paraId="52988390" w14:textId="77777777" w:rsidR="00730DE4" w:rsidRPr="00730DE4" w:rsidRDefault="00730DE4" w:rsidP="00E7372D">
            <w:pPr>
              <w:pStyle w:val="NoSpacing"/>
              <w:rPr>
                <w:b/>
                <w:bCs/>
              </w:rPr>
            </w:pPr>
            <w:r w:rsidRPr="00730DE4">
              <w:rPr>
                <w:rStyle w:val="Strong"/>
              </w:rPr>
              <w:t>Service concession assets</w:t>
            </w:r>
          </w:p>
        </w:tc>
        <w:tc>
          <w:tcPr>
            <w:tcW w:w="453" w:type="pct"/>
            <w:tcBorders>
              <w:top w:val="nil"/>
              <w:left w:val="nil"/>
              <w:bottom w:val="single" w:sz="4" w:space="0" w:color="080C0F" w:themeColor="text1"/>
              <w:right w:val="nil"/>
            </w:tcBorders>
            <w:shd w:val="clear" w:color="auto" w:fill="auto"/>
            <w:noWrap/>
            <w:vAlign w:val="bottom"/>
          </w:tcPr>
          <w:p w14:paraId="3FFC005B" w14:textId="77777777" w:rsidR="00730DE4" w:rsidRPr="00730DE4" w:rsidRDefault="00730DE4" w:rsidP="00E7372D">
            <w:pPr>
              <w:pStyle w:val="NoSpacing"/>
              <w:jc w:val="right"/>
              <w:rPr>
                <w:b/>
                <w:bCs/>
              </w:rPr>
            </w:pPr>
            <w:r w:rsidRPr="00730DE4">
              <w:rPr>
                <w:rStyle w:val="Strong"/>
              </w:rPr>
              <w:t xml:space="preserve">Gold Coast </w:t>
            </w:r>
            <w:r w:rsidRPr="00730DE4">
              <w:rPr>
                <w:rStyle w:val="Strong"/>
              </w:rPr>
              <w:br/>
              <w:t xml:space="preserve">Light Rail – G:link </w:t>
            </w:r>
            <w:r w:rsidRPr="00730DE4">
              <w:rPr>
                <w:rStyle w:val="Strong"/>
              </w:rPr>
              <w:br/>
            </w:r>
            <w:r w:rsidRPr="00730DE4">
              <w:rPr>
                <w:rStyle w:val="Strong"/>
              </w:rPr>
              <w:br/>
              <w:t xml:space="preserve">2023 </w:t>
            </w:r>
            <w:r w:rsidRPr="00730DE4">
              <w:rPr>
                <w:rStyle w:val="Strong"/>
              </w:rPr>
              <w:br/>
              <w:t>$'000</w:t>
            </w:r>
          </w:p>
        </w:tc>
        <w:tc>
          <w:tcPr>
            <w:tcW w:w="421" w:type="pct"/>
            <w:tcBorders>
              <w:top w:val="nil"/>
              <w:left w:val="nil"/>
              <w:bottom w:val="single" w:sz="4" w:space="0" w:color="080C0F" w:themeColor="text1"/>
              <w:right w:val="nil"/>
            </w:tcBorders>
            <w:shd w:val="clear" w:color="auto" w:fill="auto"/>
            <w:noWrap/>
            <w:vAlign w:val="bottom"/>
          </w:tcPr>
          <w:p w14:paraId="41A6831E" w14:textId="77777777" w:rsidR="00730DE4" w:rsidRPr="00730DE4" w:rsidRDefault="00730DE4" w:rsidP="00E7372D">
            <w:pPr>
              <w:pStyle w:val="NoSpacing"/>
              <w:jc w:val="right"/>
              <w:rPr>
                <w:b/>
                <w:bCs/>
              </w:rPr>
            </w:pPr>
            <w:r w:rsidRPr="00730DE4">
              <w:rPr>
                <w:rStyle w:val="Strong"/>
              </w:rPr>
              <w:t xml:space="preserve">Toowoomba Bypass </w:t>
            </w:r>
            <w:r w:rsidRPr="00730DE4">
              <w:rPr>
                <w:rStyle w:val="Strong"/>
              </w:rPr>
              <w:br/>
            </w:r>
            <w:r w:rsidRPr="00730DE4">
              <w:rPr>
                <w:rStyle w:val="Strong"/>
              </w:rPr>
              <w:br/>
              <w:t xml:space="preserve">2023 </w:t>
            </w:r>
            <w:r w:rsidRPr="00730DE4">
              <w:rPr>
                <w:rStyle w:val="Strong"/>
              </w:rPr>
              <w:br/>
              <w:t>$'000</w:t>
            </w:r>
          </w:p>
        </w:tc>
        <w:tc>
          <w:tcPr>
            <w:tcW w:w="421" w:type="pct"/>
            <w:tcBorders>
              <w:top w:val="nil"/>
              <w:left w:val="nil"/>
              <w:bottom w:val="single" w:sz="4" w:space="0" w:color="080C0F" w:themeColor="text1"/>
              <w:right w:val="nil"/>
            </w:tcBorders>
            <w:shd w:val="clear" w:color="auto" w:fill="auto"/>
            <w:noWrap/>
            <w:vAlign w:val="bottom"/>
          </w:tcPr>
          <w:p w14:paraId="2C00EA7E" w14:textId="77777777" w:rsidR="00730DE4" w:rsidRPr="00730DE4" w:rsidRDefault="00730DE4" w:rsidP="00E7372D">
            <w:pPr>
              <w:pStyle w:val="NoSpacing"/>
              <w:jc w:val="right"/>
              <w:rPr>
                <w:b/>
                <w:bCs/>
              </w:rPr>
            </w:pPr>
            <w:r w:rsidRPr="00730DE4">
              <w:rPr>
                <w:rStyle w:val="Strong"/>
              </w:rPr>
              <w:t>Airportlink M7</w:t>
            </w:r>
            <w:r w:rsidRPr="00730DE4">
              <w:rPr>
                <w:rStyle w:val="Strong"/>
              </w:rPr>
              <w:br/>
              <w:t xml:space="preserve"> </w:t>
            </w:r>
            <w:r w:rsidRPr="00730DE4">
              <w:rPr>
                <w:rStyle w:val="Strong"/>
              </w:rPr>
              <w:br/>
            </w:r>
            <w:r w:rsidRPr="00730DE4">
              <w:rPr>
                <w:rStyle w:val="Strong"/>
              </w:rPr>
              <w:br/>
              <w:t xml:space="preserve">2023 </w:t>
            </w:r>
            <w:r w:rsidRPr="00730DE4">
              <w:rPr>
                <w:rStyle w:val="Strong"/>
              </w:rPr>
              <w:br/>
              <w:t>$'000</w:t>
            </w:r>
          </w:p>
        </w:tc>
        <w:tc>
          <w:tcPr>
            <w:tcW w:w="420" w:type="pct"/>
            <w:tcBorders>
              <w:top w:val="nil"/>
              <w:left w:val="nil"/>
              <w:bottom w:val="single" w:sz="4" w:space="0" w:color="080C0F" w:themeColor="text1"/>
              <w:right w:val="nil"/>
            </w:tcBorders>
            <w:shd w:val="clear" w:color="auto" w:fill="auto"/>
            <w:noWrap/>
            <w:vAlign w:val="bottom"/>
          </w:tcPr>
          <w:p w14:paraId="3A30C063" w14:textId="77777777" w:rsidR="00730DE4" w:rsidRPr="00730DE4" w:rsidRDefault="00730DE4" w:rsidP="00E7372D">
            <w:pPr>
              <w:pStyle w:val="NoSpacing"/>
              <w:jc w:val="right"/>
              <w:rPr>
                <w:b/>
                <w:bCs/>
              </w:rPr>
            </w:pPr>
            <w:r w:rsidRPr="00730DE4">
              <w:rPr>
                <w:rStyle w:val="Strong"/>
              </w:rPr>
              <w:t xml:space="preserve">Gateway </w:t>
            </w:r>
            <w:r w:rsidRPr="00730DE4">
              <w:rPr>
                <w:rStyle w:val="Strong"/>
              </w:rPr>
              <w:br/>
              <w:t xml:space="preserve">Motorway </w:t>
            </w:r>
            <w:r w:rsidRPr="00730DE4">
              <w:rPr>
                <w:rStyle w:val="Strong"/>
              </w:rPr>
              <w:br/>
            </w:r>
            <w:r w:rsidRPr="00730DE4">
              <w:rPr>
                <w:rStyle w:val="Strong"/>
              </w:rPr>
              <w:br/>
              <w:t xml:space="preserve">2023 </w:t>
            </w:r>
            <w:r w:rsidRPr="00730DE4">
              <w:rPr>
                <w:rStyle w:val="Strong"/>
              </w:rPr>
              <w:br/>
              <w:t>$'000</w:t>
            </w:r>
          </w:p>
        </w:tc>
        <w:tc>
          <w:tcPr>
            <w:tcW w:w="421" w:type="pct"/>
            <w:tcBorders>
              <w:top w:val="nil"/>
              <w:left w:val="nil"/>
              <w:bottom w:val="single" w:sz="4" w:space="0" w:color="080C0F" w:themeColor="text1"/>
              <w:right w:val="nil"/>
            </w:tcBorders>
            <w:shd w:val="clear" w:color="auto" w:fill="auto"/>
            <w:noWrap/>
            <w:vAlign w:val="bottom"/>
          </w:tcPr>
          <w:p w14:paraId="7B515CEB" w14:textId="77777777" w:rsidR="00730DE4" w:rsidRPr="00730DE4" w:rsidRDefault="00730DE4" w:rsidP="00E7372D">
            <w:pPr>
              <w:pStyle w:val="NoSpacing"/>
              <w:jc w:val="right"/>
              <w:rPr>
                <w:b/>
                <w:bCs/>
              </w:rPr>
            </w:pPr>
            <w:r w:rsidRPr="00730DE4">
              <w:rPr>
                <w:rStyle w:val="Strong"/>
              </w:rPr>
              <w:t xml:space="preserve">Logan </w:t>
            </w:r>
            <w:r w:rsidRPr="00730DE4">
              <w:rPr>
                <w:rStyle w:val="Strong"/>
              </w:rPr>
              <w:br/>
              <w:t xml:space="preserve">Motorway </w:t>
            </w:r>
            <w:r w:rsidRPr="00730DE4">
              <w:rPr>
                <w:rStyle w:val="Strong"/>
              </w:rPr>
              <w:br/>
            </w:r>
            <w:r w:rsidRPr="00730DE4">
              <w:rPr>
                <w:rStyle w:val="Strong"/>
              </w:rPr>
              <w:br/>
              <w:t xml:space="preserve">2023 </w:t>
            </w:r>
            <w:r w:rsidRPr="00730DE4">
              <w:rPr>
                <w:rStyle w:val="Strong"/>
              </w:rPr>
              <w:br/>
              <w:t>$'000</w:t>
            </w:r>
          </w:p>
        </w:tc>
        <w:tc>
          <w:tcPr>
            <w:tcW w:w="421" w:type="pct"/>
            <w:tcBorders>
              <w:top w:val="nil"/>
              <w:left w:val="nil"/>
              <w:bottom w:val="single" w:sz="4" w:space="0" w:color="080C0F" w:themeColor="text1"/>
              <w:right w:val="nil"/>
            </w:tcBorders>
            <w:shd w:val="clear" w:color="auto" w:fill="auto"/>
            <w:noWrap/>
            <w:vAlign w:val="bottom"/>
          </w:tcPr>
          <w:p w14:paraId="7B66A418" w14:textId="77777777" w:rsidR="00730DE4" w:rsidRPr="00730DE4" w:rsidRDefault="00730DE4" w:rsidP="00E7372D">
            <w:pPr>
              <w:pStyle w:val="NoSpacing"/>
              <w:jc w:val="right"/>
              <w:rPr>
                <w:b/>
                <w:bCs/>
              </w:rPr>
            </w:pPr>
            <w:r w:rsidRPr="00730DE4">
              <w:rPr>
                <w:rStyle w:val="Strong"/>
              </w:rPr>
              <w:t>Port Drive</w:t>
            </w:r>
            <w:r w:rsidRPr="00730DE4">
              <w:rPr>
                <w:rStyle w:val="Strong"/>
              </w:rPr>
              <w:br/>
              <w:t xml:space="preserve"> </w:t>
            </w:r>
            <w:r w:rsidRPr="00730DE4">
              <w:rPr>
                <w:rStyle w:val="Strong"/>
              </w:rPr>
              <w:br/>
            </w:r>
            <w:r w:rsidRPr="00730DE4">
              <w:rPr>
                <w:rStyle w:val="Strong"/>
              </w:rPr>
              <w:br/>
              <w:t xml:space="preserve">2023 </w:t>
            </w:r>
            <w:r w:rsidRPr="00730DE4">
              <w:rPr>
                <w:rStyle w:val="Strong"/>
              </w:rPr>
              <w:br/>
              <w:t>$'000</w:t>
            </w:r>
          </w:p>
        </w:tc>
        <w:tc>
          <w:tcPr>
            <w:tcW w:w="420" w:type="pct"/>
            <w:tcBorders>
              <w:top w:val="nil"/>
              <w:left w:val="nil"/>
              <w:bottom w:val="single" w:sz="4" w:space="0" w:color="080C0F" w:themeColor="text1"/>
              <w:right w:val="nil"/>
            </w:tcBorders>
            <w:shd w:val="clear" w:color="auto" w:fill="auto"/>
            <w:noWrap/>
            <w:vAlign w:val="bottom"/>
          </w:tcPr>
          <w:p w14:paraId="2BB22F52" w14:textId="77777777" w:rsidR="00730DE4" w:rsidRPr="00730DE4" w:rsidRDefault="00730DE4" w:rsidP="00E7372D">
            <w:pPr>
              <w:pStyle w:val="NoSpacing"/>
              <w:jc w:val="right"/>
              <w:rPr>
                <w:b/>
                <w:bCs/>
              </w:rPr>
            </w:pPr>
            <w:r w:rsidRPr="00730DE4">
              <w:rPr>
                <w:rStyle w:val="Strong"/>
              </w:rPr>
              <w:t xml:space="preserve">Brisbane </w:t>
            </w:r>
            <w:r w:rsidRPr="00730DE4">
              <w:rPr>
                <w:rStyle w:val="Strong"/>
              </w:rPr>
              <w:br/>
              <w:t xml:space="preserve">Airport Rail Link </w:t>
            </w:r>
            <w:r w:rsidRPr="00730DE4">
              <w:rPr>
                <w:rStyle w:val="Strong"/>
              </w:rPr>
              <w:br/>
            </w:r>
            <w:r w:rsidRPr="00730DE4">
              <w:rPr>
                <w:rStyle w:val="Strong"/>
              </w:rPr>
              <w:br/>
              <w:t xml:space="preserve">2023 </w:t>
            </w:r>
            <w:r w:rsidRPr="00730DE4">
              <w:rPr>
                <w:rStyle w:val="Strong"/>
              </w:rPr>
              <w:br/>
              <w:t>$'000</w:t>
            </w:r>
          </w:p>
        </w:tc>
        <w:tc>
          <w:tcPr>
            <w:tcW w:w="421" w:type="pct"/>
            <w:tcBorders>
              <w:top w:val="nil"/>
              <w:left w:val="nil"/>
              <w:bottom w:val="single" w:sz="4" w:space="0" w:color="080C0F" w:themeColor="text1"/>
              <w:right w:val="nil"/>
            </w:tcBorders>
            <w:shd w:val="clear" w:color="auto" w:fill="auto"/>
            <w:noWrap/>
            <w:vAlign w:val="bottom"/>
          </w:tcPr>
          <w:p w14:paraId="6DCE2757" w14:textId="77777777" w:rsidR="00730DE4" w:rsidRPr="00730DE4" w:rsidRDefault="00730DE4" w:rsidP="00E7372D">
            <w:pPr>
              <w:pStyle w:val="NoSpacing"/>
              <w:jc w:val="right"/>
              <w:rPr>
                <w:b/>
                <w:bCs/>
              </w:rPr>
            </w:pPr>
            <w:r w:rsidRPr="00730DE4">
              <w:rPr>
                <w:rStyle w:val="Strong"/>
              </w:rPr>
              <w:t xml:space="preserve">Work in </w:t>
            </w:r>
            <w:r w:rsidRPr="00730DE4">
              <w:rPr>
                <w:rStyle w:val="Strong"/>
              </w:rPr>
              <w:br/>
              <w:t xml:space="preserve">progress * </w:t>
            </w:r>
            <w:r w:rsidRPr="00730DE4">
              <w:rPr>
                <w:rStyle w:val="Strong"/>
              </w:rPr>
              <w:br/>
            </w:r>
            <w:r w:rsidRPr="00730DE4">
              <w:rPr>
                <w:rStyle w:val="Strong"/>
              </w:rPr>
              <w:br/>
              <w:t xml:space="preserve">2023 </w:t>
            </w:r>
            <w:r w:rsidRPr="00730DE4">
              <w:rPr>
                <w:rStyle w:val="Strong"/>
              </w:rPr>
              <w:br/>
              <w:t>$'000</w:t>
            </w:r>
          </w:p>
        </w:tc>
        <w:tc>
          <w:tcPr>
            <w:tcW w:w="419" w:type="pct"/>
            <w:tcBorders>
              <w:top w:val="nil"/>
              <w:left w:val="nil"/>
              <w:bottom w:val="single" w:sz="4" w:space="0" w:color="080C0F" w:themeColor="text1"/>
              <w:right w:val="nil"/>
            </w:tcBorders>
            <w:shd w:val="clear" w:color="auto" w:fill="auto"/>
            <w:noWrap/>
            <w:vAlign w:val="bottom"/>
          </w:tcPr>
          <w:p w14:paraId="18C82A8C" w14:textId="77777777" w:rsidR="00730DE4" w:rsidRPr="00730DE4" w:rsidRDefault="00730DE4" w:rsidP="00E7372D">
            <w:pPr>
              <w:pStyle w:val="NoSpacing"/>
              <w:jc w:val="right"/>
              <w:rPr>
                <w:rStyle w:val="Strong"/>
              </w:rPr>
            </w:pPr>
            <w:r w:rsidRPr="00730DE4">
              <w:rPr>
                <w:rStyle w:val="Strong"/>
              </w:rPr>
              <w:t>Total</w:t>
            </w:r>
            <w:r w:rsidRPr="00730DE4">
              <w:rPr>
                <w:rStyle w:val="Strong"/>
              </w:rPr>
              <w:br/>
              <w:t xml:space="preserve"> </w:t>
            </w:r>
            <w:r w:rsidRPr="00730DE4">
              <w:rPr>
                <w:rStyle w:val="Strong"/>
              </w:rPr>
              <w:br/>
            </w:r>
            <w:r w:rsidRPr="00730DE4">
              <w:rPr>
                <w:rStyle w:val="Strong"/>
              </w:rPr>
              <w:br/>
              <w:t xml:space="preserve">2024 </w:t>
            </w:r>
            <w:r w:rsidRPr="00730DE4">
              <w:rPr>
                <w:rStyle w:val="Strong"/>
              </w:rPr>
              <w:br/>
              <w:t>$'000</w:t>
            </w:r>
          </w:p>
        </w:tc>
      </w:tr>
      <w:tr w:rsidR="00730DE4" w:rsidRPr="00730DE4" w14:paraId="1193528E" w14:textId="77777777" w:rsidTr="00772E6C">
        <w:trPr>
          <w:trHeight w:val="23"/>
        </w:trPr>
        <w:tc>
          <w:tcPr>
            <w:tcW w:w="1183" w:type="pct"/>
            <w:tcBorders>
              <w:top w:val="single" w:sz="4" w:space="0" w:color="080C0F" w:themeColor="text1"/>
              <w:left w:val="nil"/>
              <w:bottom w:val="dotted" w:sz="4" w:space="0" w:color="BFBFBF" w:themeColor="background1" w:themeShade="BF"/>
              <w:right w:val="dotted" w:sz="4" w:space="0" w:color="BFBFBF" w:themeColor="background1" w:themeShade="BF"/>
            </w:tcBorders>
            <w:shd w:val="clear" w:color="auto" w:fill="auto"/>
            <w:vAlign w:val="bottom"/>
            <w:hideMark/>
          </w:tcPr>
          <w:p w14:paraId="07CAEB20" w14:textId="77777777" w:rsidR="00730DE4" w:rsidRPr="00730DE4" w:rsidRDefault="00730DE4" w:rsidP="00E7372D">
            <w:pPr>
              <w:pStyle w:val="NoSpacing"/>
            </w:pPr>
            <w:r w:rsidRPr="00730DE4">
              <w:t>Gross value</w:t>
            </w:r>
          </w:p>
        </w:tc>
        <w:tc>
          <w:tcPr>
            <w:tcW w:w="453" w:type="pct"/>
            <w:tcBorders>
              <w:top w:val="single" w:sz="4" w:space="0" w:color="080C0F" w:themeColor="text1"/>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EAAE3A6" w14:textId="77777777" w:rsidR="00730DE4" w:rsidRPr="00730DE4" w:rsidRDefault="00730DE4" w:rsidP="00E7372D">
            <w:pPr>
              <w:pStyle w:val="NoSpacing"/>
              <w:jc w:val="right"/>
            </w:pPr>
            <w:r w:rsidRPr="00730DE4">
              <w:t xml:space="preserve">930,977 </w:t>
            </w:r>
          </w:p>
        </w:tc>
        <w:tc>
          <w:tcPr>
            <w:tcW w:w="421" w:type="pct"/>
            <w:tcBorders>
              <w:top w:val="single" w:sz="4" w:space="0" w:color="080C0F" w:themeColor="text1"/>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CEC138C" w14:textId="77777777" w:rsidR="00730DE4" w:rsidRPr="00730DE4" w:rsidRDefault="00730DE4" w:rsidP="00E7372D">
            <w:pPr>
              <w:pStyle w:val="NoSpacing"/>
              <w:jc w:val="right"/>
            </w:pPr>
            <w:r w:rsidRPr="00730DE4">
              <w:t xml:space="preserve">1,604,033 </w:t>
            </w:r>
          </w:p>
        </w:tc>
        <w:tc>
          <w:tcPr>
            <w:tcW w:w="421" w:type="pct"/>
            <w:tcBorders>
              <w:top w:val="single" w:sz="4" w:space="0" w:color="080C0F" w:themeColor="text1"/>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7B6BD33" w14:textId="77777777" w:rsidR="00730DE4" w:rsidRPr="00730DE4" w:rsidRDefault="00730DE4" w:rsidP="00E7372D">
            <w:pPr>
              <w:pStyle w:val="NoSpacing"/>
              <w:jc w:val="right"/>
            </w:pPr>
            <w:r w:rsidRPr="00730DE4">
              <w:t xml:space="preserve">7,204,517 </w:t>
            </w:r>
          </w:p>
        </w:tc>
        <w:tc>
          <w:tcPr>
            <w:tcW w:w="420" w:type="pct"/>
            <w:tcBorders>
              <w:top w:val="single" w:sz="4" w:space="0" w:color="080C0F" w:themeColor="text1"/>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885111D" w14:textId="77777777" w:rsidR="00730DE4" w:rsidRPr="00730DE4" w:rsidRDefault="00730DE4" w:rsidP="00E7372D">
            <w:pPr>
              <w:pStyle w:val="NoSpacing"/>
              <w:jc w:val="right"/>
            </w:pPr>
            <w:r w:rsidRPr="00730DE4">
              <w:t xml:space="preserve">3,866,852 </w:t>
            </w:r>
          </w:p>
        </w:tc>
        <w:tc>
          <w:tcPr>
            <w:tcW w:w="421" w:type="pct"/>
            <w:tcBorders>
              <w:top w:val="single" w:sz="4" w:space="0" w:color="080C0F" w:themeColor="text1"/>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3EE593C" w14:textId="77777777" w:rsidR="00730DE4" w:rsidRPr="00730DE4" w:rsidRDefault="00730DE4" w:rsidP="00E7372D">
            <w:pPr>
              <w:pStyle w:val="NoSpacing"/>
              <w:jc w:val="right"/>
            </w:pPr>
            <w:r w:rsidRPr="00730DE4">
              <w:t xml:space="preserve">1,999,571 </w:t>
            </w:r>
          </w:p>
        </w:tc>
        <w:tc>
          <w:tcPr>
            <w:tcW w:w="421" w:type="pct"/>
            <w:tcBorders>
              <w:top w:val="single" w:sz="4" w:space="0" w:color="080C0F" w:themeColor="text1"/>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9E20226" w14:textId="77777777" w:rsidR="00730DE4" w:rsidRPr="00730DE4" w:rsidRDefault="00730DE4" w:rsidP="00E7372D">
            <w:pPr>
              <w:pStyle w:val="NoSpacing"/>
              <w:jc w:val="right"/>
            </w:pPr>
            <w:r w:rsidRPr="00730DE4">
              <w:t xml:space="preserve">62,243 </w:t>
            </w:r>
          </w:p>
        </w:tc>
        <w:tc>
          <w:tcPr>
            <w:tcW w:w="420" w:type="pct"/>
            <w:tcBorders>
              <w:top w:val="single" w:sz="4" w:space="0" w:color="080C0F" w:themeColor="text1"/>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E796438" w14:textId="77777777" w:rsidR="00730DE4" w:rsidRPr="00730DE4" w:rsidRDefault="00730DE4" w:rsidP="00E7372D">
            <w:pPr>
              <w:pStyle w:val="NoSpacing"/>
              <w:jc w:val="right"/>
            </w:pPr>
            <w:r w:rsidRPr="00730DE4">
              <w:t xml:space="preserve">548,584 </w:t>
            </w:r>
          </w:p>
        </w:tc>
        <w:tc>
          <w:tcPr>
            <w:tcW w:w="421" w:type="pct"/>
            <w:tcBorders>
              <w:top w:val="single" w:sz="4" w:space="0" w:color="080C0F" w:themeColor="text1"/>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20667D9" w14:textId="77777777" w:rsidR="00730DE4" w:rsidRPr="00730DE4" w:rsidRDefault="00730DE4" w:rsidP="00E7372D">
            <w:pPr>
              <w:pStyle w:val="NoSpacing"/>
              <w:jc w:val="right"/>
            </w:pPr>
            <w:r w:rsidRPr="00730DE4">
              <w:t xml:space="preserve">272,805 </w:t>
            </w:r>
          </w:p>
        </w:tc>
        <w:tc>
          <w:tcPr>
            <w:tcW w:w="419" w:type="pct"/>
            <w:tcBorders>
              <w:top w:val="single" w:sz="4" w:space="0" w:color="080C0F" w:themeColor="text1"/>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ACACFD1" w14:textId="77777777" w:rsidR="00730DE4" w:rsidRPr="00730DE4" w:rsidRDefault="00730DE4" w:rsidP="00E7372D">
            <w:pPr>
              <w:pStyle w:val="NoSpacing"/>
              <w:jc w:val="right"/>
              <w:rPr>
                <w:rStyle w:val="Strong"/>
              </w:rPr>
            </w:pPr>
            <w:r w:rsidRPr="00730DE4">
              <w:rPr>
                <w:rStyle w:val="Strong"/>
              </w:rPr>
              <w:t xml:space="preserve">16,489,582 </w:t>
            </w:r>
          </w:p>
        </w:tc>
      </w:tr>
      <w:tr w:rsidR="00730DE4" w:rsidRPr="00730DE4" w14:paraId="785B5E9B" w14:textId="77777777" w:rsidTr="00772E6C">
        <w:trPr>
          <w:trHeight w:val="23"/>
        </w:trPr>
        <w:tc>
          <w:tcPr>
            <w:tcW w:w="1183"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5BD2CBF4" w14:textId="77777777" w:rsidR="00730DE4" w:rsidRPr="00730DE4" w:rsidRDefault="00730DE4" w:rsidP="00E7372D">
            <w:pPr>
              <w:pStyle w:val="NoSpacing"/>
            </w:pPr>
            <w:r w:rsidRPr="00730DE4">
              <w:t>Less: Accumulated depreciation</w:t>
            </w:r>
          </w:p>
        </w:tc>
        <w:tc>
          <w:tcPr>
            <w:tcW w:w="453"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40E73C96" w14:textId="77777777" w:rsidR="00730DE4" w:rsidRPr="00730DE4" w:rsidRDefault="00730DE4" w:rsidP="00E7372D">
            <w:pPr>
              <w:pStyle w:val="NoSpacing"/>
              <w:jc w:val="right"/>
            </w:pPr>
            <w:r w:rsidRPr="00730DE4">
              <w:t>(192,736)</w:t>
            </w:r>
          </w:p>
        </w:tc>
        <w:tc>
          <w:tcPr>
            <w:tcW w:w="421"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020C2462" w14:textId="77777777" w:rsidR="00730DE4" w:rsidRPr="00730DE4" w:rsidRDefault="00730DE4" w:rsidP="00E7372D">
            <w:pPr>
              <w:pStyle w:val="NoSpacing"/>
              <w:jc w:val="right"/>
            </w:pPr>
            <w:r w:rsidRPr="00730DE4">
              <w:t>(89,569)</w:t>
            </w:r>
          </w:p>
        </w:tc>
        <w:tc>
          <w:tcPr>
            <w:tcW w:w="421"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26DC6792" w14:textId="77777777" w:rsidR="00730DE4" w:rsidRPr="00730DE4" w:rsidRDefault="00730DE4" w:rsidP="00E7372D">
            <w:pPr>
              <w:pStyle w:val="NoSpacing"/>
              <w:jc w:val="right"/>
            </w:pPr>
            <w:r w:rsidRPr="00730DE4">
              <w:t>(1,084,164)</w:t>
            </w:r>
          </w:p>
        </w:tc>
        <w:tc>
          <w:tcPr>
            <w:tcW w:w="420"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707E06B5" w14:textId="77777777" w:rsidR="00730DE4" w:rsidRPr="00730DE4" w:rsidRDefault="00730DE4" w:rsidP="00E7372D">
            <w:pPr>
              <w:pStyle w:val="NoSpacing"/>
              <w:jc w:val="right"/>
            </w:pPr>
            <w:r w:rsidRPr="00730DE4">
              <w:t>(589,993)</w:t>
            </w:r>
          </w:p>
        </w:tc>
        <w:tc>
          <w:tcPr>
            <w:tcW w:w="421"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2DD44737" w14:textId="77777777" w:rsidR="00730DE4" w:rsidRPr="00730DE4" w:rsidRDefault="00730DE4" w:rsidP="00E7372D">
            <w:pPr>
              <w:pStyle w:val="NoSpacing"/>
              <w:jc w:val="right"/>
            </w:pPr>
            <w:r w:rsidRPr="00730DE4">
              <w:t>(243,335)</w:t>
            </w:r>
          </w:p>
        </w:tc>
        <w:tc>
          <w:tcPr>
            <w:tcW w:w="421"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43BCCD64" w14:textId="77777777" w:rsidR="00730DE4" w:rsidRPr="00730DE4" w:rsidRDefault="00730DE4" w:rsidP="00E7372D">
            <w:pPr>
              <w:pStyle w:val="NoSpacing"/>
              <w:jc w:val="right"/>
            </w:pPr>
            <w:r w:rsidRPr="00730DE4">
              <w:t>(3,544)</w:t>
            </w:r>
          </w:p>
        </w:tc>
        <w:tc>
          <w:tcPr>
            <w:tcW w:w="420"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3D2048F3" w14:textId="77777777" w:rsidR="00730DE4" w:rsidRPr="00730DE4" w:rsidRDefault="00730DE4" w:rsidP="00E7372D">
            <w:pPr>
              <w:pStyle w:val="NoSpacing"/>
              <w:jc w:val="right"/>
            </w:pPr>
            <w:r w:rsidRPr="00730DE4">
              <w:t>(188,596)</w:t>
            </w:r>
          </w:p>
        </w:tc>
        <w:tc>
          <w:tcPr>
            <w:tcW w:w="421"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1A9B6108" w14:textId="77777777" w:rsidR="00730DE4" w:rsidRPr="00730DE4" w:rsidRDefault="00730DE4" w:rsidP="00E7372D">
            <w:pPr>
              <w:pStyle w:val="NoSpacing"/>
              <w:jc w:val="right"/>
            </w:pPr>
            <w:r w:rsidRPr="00730DE4">
              <w:t xml:space="preserve">- </w:t>
            </w:r>
          </w:p>
        </w:tc>
        <w:tc>
          <w:tcPr>
            <w:tcW w:w="419"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55E61FB6" w14:textId="77777777" w:rsidR="00730DE4" w:rsidRPr="00730DE4" w:rsidRDefault="00730DE4" w:rsidP="00E7372D">
            <w:pPr>
              <w:pStyle w:val="NoSpacing"/>
              <w:jc w:val="right"/>
              <w:rPr>
                <w:rStyle w:val="Strong"/>
              </w:rPr>
            </w:pPr>
            <w:r w:rsidRPr="00730DE4">
              <w:rPr>
                <w:rStyle w:val="Strong"/>
              </w:rPr>
              <w:t>(2,391,937)</w:t>
            </w:r>
          </w:p>
        </w:tc>
      </w:tr>
      <w:tr w:rsidR="00730DE4" w:rsidRPr="00730DE4" w14:paraId="068CCA64" w14:textId="77777777" w:rsidTr="00772E6C">
        <w:tc>
          <w:tcPr>
            <w:tcW w:w="1183"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64496A2D" w14:textId="77777777" w:rsidR="00730DE4" w:rsidRPr="00730DE4" w:rsidRDefault="00730DE4" w:rsidP="000A3AFE">
            <w:pPr>
              <w:pStyle w:val="NoSpacing"/>
              <w:rPr>
                <w:b/>
                <w:bCs/>
              </w:rPr>
            </w:pPr>
            <w:r w:rsidRPr="00730DE4">
              <w:rPr>
                <w:rStyle w:val="Strong"/>
              </w:rPr>
              <w:t>Carrying amount at 30 June</w:t>
            </w:r>
          </w:p>
        </w:tc>
        <w:tc>
          <w:tcPr>
            <w:tcW w:w="453"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6F7B2293" w14:textId="77777777" w:rsidR="00730DE4" w:rsidRPr="00730DE4" w:rsidRDefault="00730DE4" w:rsidP="000A3AFE">
            <w:pPr>
              <w:pStyle w:val="NoSpacing"/>
              <w:jc w:val="right"/>
              <w:rPr>
                <w:b/>
                <w:bCs/>
              </w:rPr>
            </w:pPr>
            <w:r w:rsidRPr="00730DE4">
              <w:rPr>
                <w:rStyle w:val="Strong"/>
              </w:rPr>
              <w:t xml:space="preserve">738,241 </w:t>
            </w:r>
          </w:p>
        </w:tc>
        <w:tc>
          <w:tcPr>
            <w:tcW w:w="421"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61EA66A0" w14:textId="77777777" w:rsidR="00730DE4" w:rsidRPr="00730DE4" w:rsidRDefault="00730DE4" w:rsidP="000A3AFE">
            <w:pPr>
              <w:pStyle w:val="NoSpacing"/>
              <w:jc w:val="right"/>
              <w:rPr>
                <w:b/>
                <w:bCs/>
              </w:rPr>
            </w:pPr>
            <w:r w:rsidRPr="00730DE4">
              <w:rPr>
                <w:rStyle w:val="Strong"/>
              </w:rPr>
              <w:t xml:space="preserve">1,514,464 </w:t>
            </w:r>
          </w:p>
        </w:tc>
        <w:tc>
          <w:tcPr>
            <w:tcW w:w="421"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786FE076" w14:textId="77777777" w:rsidR="00730DE4" w:rsidRPr="00730DE4" w:rsidRDefault="00730DE4" w:rsidP="000A3AFE">
            <w:pPr>
              <w:pStyle w:val="NoSpacing"/>
              <w:jc w:val="right"/>
              <w:rPr>
                <w:b/>
                <w:bCs/>
              </w:rPr>
            </w:pPr>
            <w:r w:rsidRPr="00730DE4">
              <w:rPr>
                <w:rStyle w:val="Strong"/>
              </w:rPr>
              <w:t xml:space="preserve">6,120,353 </w:t>
            </w:r>
          </w:p>
        </w:tc>
        <w:tc>
          <w:tcPr>
            <w:tcW w:w="420"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770314FC" w14:textId="77777777" w:rsidR="00730DE4" w:rsidRPr="00730DE4" w:rsidRDefault="00730DE4" w:rsidP="000A3AFE">
            <w:pPr>
              <w:pStyle w:val="NoSpacing"/>
              <w:jc w:val="right"/>
              <w:rPr>
                <w:b/>
                <w:bCs/>
              </w:rPr>
            </w:pPr>
            <w:r w:rsidRPr="00730DE4">
              <w:rPr>
                <w:rStyle w:val="Strong"/>
              </w:rPr>
              <w:t xml:space="preserve">3,276,859 </w:t>
            </w:r>
          </w:p>
        </w:tc>
        <w:tc>
          <w:tcPr>
            <w:tcW w:w="421"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4C490D25" w14:textId="77777777" w:rsidR="00730DE4" w:rsidRPr="00730DE4" w:rsidRDefault="00730DE4" w:rsidP="000A3AFE">
            <w:pPr>
              <w:pStyle w:val="NoSpacing"/>
              <w:jc w:val="right"/>
              <w:rPr>
                <w:b/>
                <w:bCs/>
              </w:rPr>
            </w:pPr>
            <w:r w:rsidRPr="00730DE4">
              <w:rPr>
                <w:rStyle w:val="Strong"/>
              </w:rPr>
              <w:t xml:space="preserve">1,756,236 </w:t>
            </w:r>
          </w:p>
        </w:tc>
        <w:tc>
          <w:tcPr>
            <w:tcW w:w="421"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298A1930" w14:textId="77777777" w:rsidR="00730DE4" w:rsidRPr="00730DE4" w:rsidRDefault="00730DE4" w:rsidP="000A3AFE">
            <w:pPr>
              <w:pStyle w:val="NoSpacing"/>
              <w:jc w:val="right"/>
              <w:rPr>
                <w:b/>
                <w:bCs/>
              </w:rPr>
            </w:pPr>
            <w:r w:rsidRPr="00730DE4">
              <w:rPr>
                <w:rStyle w:val="Strong"/>
              </w:rPr>
              <w:t xml:space="preserve">58,699 </w:t>
            </w:r>
          </w:p>
        </w:tc>
        <w:tc>
          <w:tcPr>
            <w:tcW w:w="420"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31F50AA0" w14:textId="77777777" w:rsidR="00730DE4" w:rsidRPr="00730DE4" w:rsidRDefault="00730DE4" w:rsidP="000A3AFE">
            <w:pPr>
              <w:pStyle w:val="NoSpacing"/>
              <w:jc w:val="right"/>
              <w:rPr>
                <w:b/>
                <w:bCs/>
              </w:rPr>
            </w:pPr>
            <w:r w:rsidRPr="00730DE4">
              <w:rPr>
                <w:rStyle w:val="Strong"/>
              </w:rPr>
              <w:t xml:space="preserve">359,988 </w:t>
            </w:r>
          </w:p>
        </w:tc>
        <w:tc>
          <w:tcPr>
            <w:tcW w:w="421"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20A55AD8" w14:textId="77777777" w:rsidR="00730DE4" w:rsidRPr="00730DE4" w:rsidRDefault="00730DE4" w:rsidP="000A3AFE">
            <w:pPr>
              <w:pStyle w:val="NoSpacing"/>
              <w:jc w:val="right"/>
              <w:rPr>
                <w:b/>
                <w:bCs/>
              </w:rPr>
            </w:pPr>
            <w:r w:rsidRPr="00730DE4">
              <w:rPr>
                <w:rStyle w:val="Strong"/>
              </w:rPr>
              <w:t xml:space="preserve">272,805 </w:t>
            </w:r>
          </w:p>
        </w:tc>
        <w:tc>
          <w:tcPr>
            <w:tcW w:w="419" w:type="pct"/>
            <w:tcBorders>
              <w:top w:val="single" w:sz="4" w:space="0" w:color="auto"/>
              <w:left w:val="dotted" w:sz="4" w:space="0" w:color="BFBFBF" w:themeColor="background1" w:themeShade="BF"/>
              <w:bottom w:val="double" w:sz="4" w:space="0" w:color="auto"/>
              <w:right w:val="nil"/>
            </w:tcBorders>
            <w:shd w:val="clear" w:color="auto" w:fill="auto"/>
            <w:noWrap/>
            <w:hideMark/>
          </w:tcPr>
          <w:p w14:paraId="029AC539" w14:textId="77777777" w:rsidR="00730DE4" w:rsidRPr="00730DE4" w:rsidRDefault="00730DE4" w:rsidP="000A3AFE">
            <w:pPr>
              <w:pStyle w:val="NoSpacing"/>
              <w:jc w:val="right"/>
              <w:rPr>
                <w:rStyle w:val="Strong"/>
              </w:rPr>
            </w:pPr>
            <w:r w:rsidRPr="00730DE4">
              <w:rPr>
                <w:rStyle w:val="Strong"/>
              </w:rPr>
              <w:t xml:space="preserve">14,097,645 </w:t>
            </w:r>
          </w:p>
        </w:tc>
      </w:tr>
      <w:tr w:rsidR="00730DE4" w:rsidRPr="00730DE4" w14:paraId="4C83E40E" w14:textId="77777777" w:rsidTr="00772E6C">
        <w:trPr>
          <w:trHeight w:val="454"/>
        </w:trPr>
        <w:tc>
          <w:tcPr>
            <w:tcW w:w="1183" w:type="pct"/>
            <w:tcBorders>
              <w:top w:val="doub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623D1806" w14:textId="77777777" w:rsidR="00730DE4" w:rsidRPr="00730DE4" w:rsidRDefault="00730DE4" w:rsidP="00E7372D">
            <w:pPr>
              <w:pStyle w:val="NoSpacing"/>
              <w:rPr>
                <w:b/>
                <w:bCs/>
              </w:rPr>
            </w:pPr>
            <w:r w:rsidRPr="00730DE4">
              <w:rPr>
                <w:rStyle w:val="Strong"/>
              </w:rPr>
              <w:t>Reconciliation</w:t>
            </w:r>
          </w:p>
        </w:tc>
        <w:tc>
          <w:tcPr>
            <w:tcW w:w="453"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CCF89C4" w14:textId="77777777" w:rsidR="00730DE4" w:rsidRPr="00730DE4" w:rsidRDefault="00730DE4" w:rsidP="00E7372D">
            <w:pPr>
              <w:pStyle w:val="NoSpacing"/>
              <w:jc w:val="right"/>
              <w:rPr>
                <w:rStyle w:val="Strong"/>
              </w:rPr>
            </w:pPr>
          </w:p>
        </w:tc>
        <w:tc>
          <w:tcPr>
            <w:tcW w:w="421"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0E50ED4" w14:textId="77777777" w:rsidR="00730DE4" w:rsidRPr="00730DE4" w:rsidRDefault="00730DE4" w:rsidP="00E7372D">
            <w:pPr>
              <w:pStyle w:val="NoSpacing"/>
              <w:jc w:val="right"/>
            </w:pPr>
          </w:p>
        </w:tc>
        <w:tc>
          <w:tcPr>
            <w:tcW w:w="421"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E76A0B4" w14:textId="77777777" w:rsidR="00730DE4" w:rsidRPr="00730DE4" w:rsidRDefault="00730DE4" w:rsidP="00E7372D">
            <w:pPr>
              <w:pStyle w:val="NoSpacing"/>
              <w:jc w:val="right"/>
            </w:pPr>
          </w:p>
        </w:tc>
        <w:tc>
          <w:tcPr>
            <w:tcW w:w="420"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7FFCA04" w14:textId="77777777" w:rsidR="00730DE4" w:rsidRPr="00730DE4" w:rsidRDefault="00730DE4" w:rsidP="00E7372D">
            <w:pPr>
              <w:pStyle w:val="NoSpacing"/>
              <w:jc w:val="right"/>
            </w:pPr>
          </w:p>
        </w:tc>
        <w:tc>
          <w:tcPr>
            <w:tcW w:w="421"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AF5F73C" w14:textId="77777777" w:rsidR="00730DE4" w:rsidRPr="00730DE4" w:rsidRDefault="00730DE4" w:rsidP="00E7372D">
            <w:pPr>
              <w:pStyle w:val="NoSpacing"/>
              <w:jc w:val="right"/>
            </w:pPr>
          </w:p>
        </w:tc>
        <w:tc>
          <w:tcPr>
            <w:tcW w:w="421"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91A9556" w14:textId="77777777" w:rsidR="00730DE4" w:rsidRPr="00730DE4" w:rsidRDefault="00730DE4" w:rsidP="00E7372D">
            <w:pPr>
              <w:pStyle w:val="NoSpacing"/>
              <w:jc w:val="right"/>
            </w:pPr>
          </w:p>
        </w:tc>
        <w:tc>
          <w:tcPr>
            <w:tcW w:w="420"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BDFC43B" w14:textId="77777777" w:rsidR="00730DE4" w:rsidRPr="00730DE4" w:rsidRDefault="00730DE4" w:rsidP="00E7372D">
            <w:pPr>
              <w:pStyle w:val="NoSpacing"/>
              <w:jc w:val="right"/>
            </w:pPr>
          </w:p>
        </w:tc>
        <w:tc>
          <w:tcPr>
            <w:tcW w:w="421"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277E9EB" w14:textId="77777777" w:rsidR="00730DE4" w:rsidRPr="00730DE4" w:rsidRDefault="00730DE4" w:rsidP="00E7372D">
            <w:pPr>
              <w:pStyle w:val="NoSpacing"/>
              <w:jc w:val="right"/>
            </w:pPr>
          </w:p>
        </w:tc>
        <w:tc>
          <w:tcPr>
            <w:tcW w:w="419" w:type="pct"/>
            <w:tcBorders>
              <w:top w:val="double" w:sz="4" w:space="0" w:color="auto"/>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D55B816" w14:textId="77777777" w:rsidR="00730DE4" w:rsidRPr="00730DE4" w:rsidRDefault="00730DE4" w:rsidP="00E7372D">
            <w:pPr>
              <w:pStyle w:val="NoSpacing"/>
              <w:jc w:val="right"/>
            </w:pPr>
          </w:p>
        </w:tc>
      </w:tr>
      <w:tr w:rsidR="00730DE4" w:rsidRPr="00730DE4" w14:paraId="4543AE42" w14:textId="77777777" w:rsidTr="00253FBD">
        <w:trPr>
          <w:trHeight w:val="23"/>
        </w:trPr>
        <w:tc>
          <w:tcPr>
            <w:tcW w:w="1183"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hideMark/>
          </w:tcPr>
          <w:p w14:paraId="7AD0D289" w14:textId="77777777" w:rsidR="00730DE4" w:rsidRPr="00730DE4" w:rsidRDefault="00730DE4" w:rsidP="00E7372D">
            <w:pPr>
              <w:pStyle w:val="NoSpacing"/>
            </w:pPr>
            <w:r w:rsidRPr="00730DE4">
              <w:t>Carrying amount at 1 July</w:t>
            </w:r>
          </w:p>
        </w:tc>
        <w:tc>
          <w:tcPr>
            <w:tcW w:w="45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829CFBA" w14:textId="77777777" w:rsidR="00730DE4" w:rsidRPr="00730DE4" w:rsidRDefault="00730DE4" w:rsidP="00E7372D">
            <w:pPr>
              <w:pStyle w:val="NoSpacing"/>
              <w:jc w:val="right"/>
            </w:pPr>
            <w:r w:rsidRPr="00730DE4">
              <w:t xml:space="preserve">729,019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712D316" w14:textId="77777777" w:rsidR="00730DE4" w:rsidRPr="00730DE4" w:rsidRDefault="00730DE4" w:rsidP="00E7372D">
            <w:pPr>
              <w:pStyle w:val="NoSpacing"/>
              <w:jc w:val="right"/>
            </w:pPr>
            <w:r w:rsidRPr="00730DE4">
              <w:t xml:space="preserve">1,436,529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838B587" w14:textId="77777777" w:rsidR="00730DE4" w:rsidRPr="00730DE4" w:rsidRDefault="00730DE4" w:rsidP="00E7372D">
            <w:pPr>
              <w:pStyle w:val="NoSpacing"/>
              <w:jc w:val="right"/>
            </w:pPr>
            <w:r w:rsidRPr="00730DE4">
              <w:t xml:space="preserve">5,806,788 </w:t>
            </w:r>
          </w:p>
        </w:tc>
        <w:tc>
          <w:tcPr>
            <w:tcW w:w="42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298E145" w14:textId="77777777" w:rsidR="00730DE4" w:rsidRPr="00730DE4" w:rsidRDefault="00730DE4" w:rsidP="00E7372D">
            <w:pPr>
              <w:pStyle w:val="NoSpacing"/>
              <w:jc w:val="right"/>
            </w:pPr>
            <w:r w:rsidRPr="00730DE4">
              <w:t xml:space="preserve">2,866,453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E06FD1E" w14:textId="77777777" w:rsidR="00730DE4" w:rsidRPr="00730DE4" w:rsidRDefault="00730DE4" w:rsidP="00E7372D">
            <w:pPr>
              <w:pStyle w:val="NoSpacing"/>
              <w:jc w:val="right"/>
            </w:pPr>
            <w:r w:rsidRPr="00730DE4">
              <w:t xml:space="preserve">1,472,727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D2934B4" w14:textId="77777777" w:rsidR="00730DE4" w:rsidRPr="00730DE4" w:rsidRDefault="00730DE4" w:rsidP="00E7372D">
            <w:pPr>
              <w:pStyle w:val="NoSpacing"/>
              <w:jc w:val="right"/>
            </w:pPr>
            <w:r w:rsidRPr="00730DE4">
              <w:t xml:space="preserve">46,569 </w:t>
            </w:r>
          </w:p>
        </w:tc>
        <w:tc>
          <w:tcPr>
            <w:tcW w:w="42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0D797D7" w14:textId="77777777" w:rsidR="00730DE4" w:rsidRPr="00730DE4" w:rsidRDefault="00730DE4" w:rsidP="00E7372D">
            <w:pPr>
              <w:pStyle w:val="NoSpacing"/>
              <w:jc w:val="right"/>
            </w:pPr>
            <w:r w:rsidRPr="00730DE4">
              <w:t xml:space="preserve">330,583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9E8BA4A" w14:textId="77777777" w:rsidR="00730DE4" w:rsidRPr="00730DE4" w:rsidRDefault="00730DE4" w:rsidP="00E7372D">
            <w:pPr>
              <w:pStyle w:val="NoSpacing"/>
              <w:jc w:val="right"/>
            </w:pPr>
            <w:r w:rsidRPr="00730DE4">
              <w:t xml:space="preserve">228,784 </w:t>
            </w:r>
          </w:p>
        </w:tc>
        <w:tc>
          <w:tcPr>
            <w:tcW w:w="419"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03FA903" w14:textId="77777777" w:rsidR="00730DE4" w:rsidRPr="00730DE4" w:rsidRDefault="00730DE4" w:rsidP="00E7372D">
            <w:pPr>
              <w:pStyle w:val="NoSpacing"/>
              <w:jc w:val="right"/>
              <w:rPr>
                <w:rStyle w:val="Strong"/>
              </w:rPr>
            </w:pPr>
            <w:r w:rsidRPr="00730DE4">
              <w:rPr>
                <w:rStyle w:val="Strong"/>
              </w:rPr>
              <w:t xml:space="preserve">12,917,452 </w:t>
            </w:r>
          </w:p>
        </w:tc>
      </w:tr>
      <w:tr w:rsidR="00730DE4" w:rsidRPr="00730DE4" w14:paraId="5D7C3120" w14:textId="77777777" w:rsidTr="00253FBD">
        <w:trPr>
          <w:trHeight w:val="23"/>
        </w:trPr>
        <w:tc>
          <w:tcPr>
            <w:tcW w:w="1183"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hideMark/>
          </w:tcPr>
          <w:p w14:paraId="5080EF78" w14:textId="77777777" w:rsidR="00730DE4" w:rsidRPr="00730DE4" w:rsidRDefault="00730DE4" w:rsidP="00E7372D">
            <w:pPr>
              <w:pStyle w:val="NoSpacing"/>
            </w:pPr>
            <w:r w:rsidRPr="00730DE4">
              <w:t>Acquisitions (including upgrades)</w:t>
            </w:r>
          </w:p>
        </w:tc>
        <w:tc>
          <w:tcPr>
            <w:tcW w:w="45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D6FB218" w14:textId="77777777" w:rsidR="00730DE4" w:rsidRPr="00730DE4" w:rsidRDefault="00730DE4" w:rsidP="00E7372D">
            <w:pPr>
              <w:pStyle w:val="NoSpacing"/>
              <w:jc w:val="right"/>
            </w:pPr>
            <w:r w:rsidRPr="00730DE4">
              <w:t xml:space="preserve">-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1104B50" w14:textId="77777777" w:rsidR="00730DE4" w:rsidRPr="00730DE4" w:rsidRDefault="00730DE4" w:rsidP="00E7372D">
            <w:pPr>
              <w:pStyle w:val="NoSpacing"/>
              <w:jc w:val="right"/>
            </w:pPr>
            <w:r w:rsidRPr="00730DE4">
              <w:t xml:space="preserve">-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9261B00" w14:textId="77777777" w:rsidR="00730DE4" w:rsidRPr="00730DE4" w:rsidRDefault="00730DE4" w:rsidP="00E7372D">
            <w:pPr>
              <w:pStyle w:val="NoSpacing"/>
              <w:jc w:val="right"/>
            </w:pPr>
            <w:r w:rsidRPr="00730DE4">
              <w:t xml:space="preserve">- </w:t>
            </w:r>
          </w:p>
        </w:tc>
        <w:tc>
          <w:tcPr>
            <w:tcW w:w="42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5E687CC" w14:textId="77777777" w:rsidR="00730DE4" w:rsidRPr="00730DE4" w:rsidRDefault="00730DE4" w:rsidP="00E7372D">
            <w:pPr>
              <w:pStyle w:val="NoSpacing"/>
              <w:jc w:val="right"/>
            </w:pPr>
            <w:r w:rsidRPr="00730DE4">
              <w:t xml:space="preserve">-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7F46ACF" w14:textId="77777777" w:rsidR="00730DE4" w:rsidRPr="00730DE4" w:rsidRDefault="00730DE4" w:rsidP="00E7372D">
            <w:pPr>
              <w:pStyle w:val="NoSpacing"/>
              <w:jc w:val="right"/>
            </w:pPr>
            <w:r w:rsidRPr="00730DE4">
              <w:t xml:space="preserve">-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6B26EE7" w14:textId="77777777" w:rsidR="00730DE4" w:rsidRPr="00730DE4" w:rsidRDefault="00730DE4" w:rsidP="00E7372D">
            <w:pPr>
              <w:pStyle w:val="NoSpacing"/>
              <w:jc w:val="right"/>
            </w:pPr>
            <w:r w:rsidRPr="00730DE4">
              <w:t xml:space="preserve">- </w:t>
            </w:r>
          </w:p>
        </w:tc>
        <w:tc>
          <w:tcPr>
            <w:tcW w:w="42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6555662" w14:textId="77777777" w:rsidR="00730DE4" w:rsidRPr="00730DE4" w:rsidRDefault="00730DE4" w:rsidP="00E7372D">
            <w:pPr>
              <w:pStyle w:val="NoSpacing"/>
              <w:jc w:val="right"/>
            </w:pPr>
            <w:r w:rsidRPr="00730DE4">
              <w:t xml:space="preserve">-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2DFA580" w14:textId="77777777" w:rsidR="00730DE4" w:rsidRPr="00730DE4" w:rsidRDefault="00730DE4" w:rsidP="00E7372D">
            <w:pPr>
              <w:pStyle w:val="NoSpacing"/>
              <w:jc w:val="right"/>
            </w:pPr>
            <w:r w:rsidRPr="00730DE4">
              <w:t xml:space="preserve">91,288 </w:t>
            </w:r>
          </w:p>
        </w:tc>
        <w:tc>
          <w:tcPr>
            <w:tcW w:w="419"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48DCE64F" w14:textId="77777777" w:rsidR="00730DE4" w:rsidRPr="00730DE4" w:rsidRDefault="00730DE4" w:rsidP="00E7372D">
            <w:pPr>
              <w:pStyle w:val="NoSpacing"/>
              <w:jc w:val="right"/>
              <w:rPr>
                <w:rStyle w:val="Strong"/>
              </w:rPr>
            </w:pPr>
            <w:r w:rsidRPr="00730DE4">
              <w:rPr>
                <w:rStyle w:val="Strong"/>
              </w:rPr>
              <w:t xml:space="preserve">91,288 </w:t>
            </w:r>
          </w:p>
        </w:tc>
      </w:tr>
      <w:tr w:rsidR="00730DE4" w:rsidRPr="00730DE4" w14:paraId="57A8D8C4" w14:textId="77777777" w:rsidTr="00253FBD">
        <w:trPr>
          <w:trHeight w:val="23"/>
        </w:trPr>
        <w:tc>
          <w:tcPr>
            <w:tcW w:w="1183"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hideMark/>
          </w:tcPr>
          <w:p w14:paraId="00757CF5" w14:textId="77777777" w:rsidR="00730DE4" w:rsidRPr="00730DE4" w:rsidRDefault="00730DE4" w:rsidP="00E7372D">
            <w:pPr>
              <w:pStyle w:val="NoSpacing"/>
            </w:pPr>
            <w:r w:rsidRPr="00730DE4">
              <w:t>Transfers to property, plant and equipment (refer to Note 15)</w:t>
            </w:r>
          </w:p>
        </w:tc>
        <w:tc>
          <w:tcPr>
            <w:tcW w:w="45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6477ECC" w14:textId="77777777" w:rsidR="00730DE4" w:rsidRPr="00730DE4" w:rsidRDefault="00730DE4" w:rsidP="00E7372D">
            <w:pPr>
              <w:pStyle w:val="NoSpacing"/>
              <w:jc w:val="right"/>
            </w:pPr>
            <w:r w:rsidRPr="00730DE4">
              <w:t xml:space="preserve">-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FD83000" w14:textId="77777777" w:rsidR="00730DE4" w:rsidRPr="00730DE4" w:rsidRDefault="00730DE4" w:rsidP="00E7372D">
            <w:pPr>
              <w:pStyle w:val="NoSpacing"/>
              <w:jc w:val="right"/>
            </w:pPr>
            <w:r w:rsidRPr="00730DE4">
              <w:t xml:space="preserve">-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3B657C6" w14:textId="77777777" w:rsidR="00730DE4" w:rsidRPr="00730DE4" w:rsidRDefault="00730DE4" w:rsidP="00E7372D">
            <w:pPr>
              <w:pStyle w:val="NoSpacing"/>
              <w:jc w:val="right"/>
            </w:pPr>
            <w:r w:rsidRPr="00730DE4">
              <w:t xml:space="preserve">- </w:t>
            </w:r>
          </w:p>
        </w:tc>
        <w:tc>
          <w:tcPr>
            <w:tcW w:w="42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55236CD" w14:textId="77777777" w:rsidR="00730DE4" w:rsidRPr="00730DE4" w:rsidRDefault="00730DE4" w:rsidP="00E7372D">
            <w:pPr>
              <w:pStyle w:val="NoSpacing"/>
              <w:jc w:val="right"/>
            </w:pPr>
            <w:r w:rsidRPr="00730DE4">
              <w:t xml:space="preserve">-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E0D1138" w14:textId="77777777" w:rsidR="00730DE4" w:rsidRPr="00730DE4" w:rsidRDefault="00730DE4" w:rsidP="00E7372D">
            <w:pPr>
              <w:pStyle w:val="NoSpacing"/>
              <w:jc w:val="right"/>
            </w:pPr>
            <w:r w:rsidRPr="00730DE4">
              <w:t xml:space="preserve">-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65A5468" w14:textId="77777777" w:rsidR="00730DE4" w:rsidRPr="00730DE4" w:rsidRDefault="00730DE4" w:rsidP="00E7372D">
            <w:pPr>
              <w:pStyle w:val="NoSpacing"/>
              <w:jc w:val="right"/>
            </w:pPr>
            <w:r w:rsidRPr="00730DE4">
              <w:t>.</w:t>
            </w:r>
          </w:p>
        </w:tc>
        <w:tc>
          <w:tcPr>
            <w:tcW w:w="42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264E30F" w14:textId="77777777" w:rsidR="00730DE4" w:rsidRPr="00730DE4" w:rsidRDefault="00730DE4" w:rsidP="00E7372D">
            <w:pPr>
              <w:pStyle w:val="NoSpacing"/>
              <w:jc w:val="right"/>
            </w:pPr>
            <w:r w:rsidRPr="00730DE4">
              <w:t xml:space="preserve">-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367A904" w14:textId="77777777" w:rsidR="00730DE4" w:rsidRPr="00730DE4" w:rsidRDefault="00730DE4" w:rsidP="00E7372D">
            <w:pPr>
              <w:pStyle w:val="NoSpacing"/>
              <w:jc w:val="right"/>
            </w:pPr>
            <w:r w:rsidRPr="00730DE4">
              <w:t>(40,182)</w:t>
            </w:r>
          </w:p>
        </w:tc>
        <w:tc>
          <w:tcPr>
            <w:tcW w:w="419"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ACBCDF3" w14:textId="77777777" w:rsidR="00730DE4" w:rsidRPr="00730DE4" w:rsidRDefault="00730DE4" w:rsidP="00E7372D">
            <w:pPr>
              <w:pStyle w:val="NoSpacing"/>
              <w:jc w:val="right"/>
              <w:rPr>
                <w:rStyle w:val="Strong"/>
              </w:rPr>
            </w:pPr>
            <w:r w:rsidRPr="00730DE4">
              <w:rPr>
                <w:rStyle w:val="Strong"/>
              </w:rPr>
              <w:t>(40,182)</w:t>
            </w:r>
          </w:p>
        </w:tc>
      </w:tr>
      <w:tr w:rsidR="00730DE4" w:rsidRPr="00730DE4" w14:paraId="0094875F" w14:textId="77777777" w:rsidTr="00253FBD">
        <w:trPr>
          <w:trHeight w:val="23"/>
        </w:trPr>
        <w:tc>
          <w:tcPr>
            <w:tcW w:w="1183"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hideMark/>
          </w:tcPr>
          <w:p w14:paraId="0390A9DA" w14:textId="77777777" w:rsidR="00730DE4" w:rsidRPr="00730DE4" w:rsidRDefault="00730DE4" w:rsidP="00E7372D">
            <w:pPr>
              <w:pStyle w:val="NoSpacing"/>
            </w:pPr>
            <w:r w:rsidRPr="00730DE4">
              <w:t>Assets provided to third parties at below fair value</w:t>
            </w:r>
          </w:p>
        </w:tc>
        <w:tc>
          <w:tcPr>
            <w:tcW w:w="45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FD0D115" w14:textId="77777777" w:rsidR="00730DE4" w:rsidRPr="00730DE4" w:rsidRDefault="00730DE4" w:rsidP="00E7372D">
            <w:pPr>
              <w:pStyle w:val="NoSpacing"/>
              <w:jc w:val="right"/>
            </w:pPr>
            <w:r w:rsidRPr="00730DE4">
              <w:t xml:space="preserve">-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8F1F801" w14:textId="77777777" w:rsidR="00730DE4" w:rsidRPr="00730DE4" w:rsidRDefault="00730DE4" w:rsidP="00E7372D">
            <w:pPr>
              <w:pStyle w:val="NoSpacing"/>
              <w:jc w:val="right"/>
            </w:pPr>
            <w:r w:rsidRPr="00730DE4">
              <w:t xml:space="preserve">-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5C4355A" w14:textId="77777777" w:rsidR="00730DE4" w:rsidRPr="00730DE4" w:rsidRDefault="00730DE4" w:rsidP="00E7372D">
            <w:pPr>
              <w:pStyle w:val="NoSpacing"/>
              <w:jc w:val="right"/>
            </w:pPr>
            <w:r w:rsidRPr="00730DE4">
              <w:t xml:space="preserve">- </w:t>
            </w:r>
          </w:p>
        </w:tc>
        <w:tc>
          <w:tcPr>
            <w:tcW w:w="42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33F8240" w14:textId="77777777" w:rsidR="00730DE4" w:rsidRPr="00730DE4" w:rsidRDefault="00730DE4" w:rsidP="00E7372D">
            <w:pPr>
              <w:pStyle w:val="NoSpacing"/>
              <w:jc w:val="right"/>
            </w:pPr>
            <w:r w:rsidRPr="00730DE4">
              <w:t xml:space="preserve">-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674D92B" w14:textId="77777777" w:rsidR="00730DE4" w:rsidRPr="00730DE4" w:rsidRDefault="00730DE4" w:rsidP="00E7372D">
            <w:pPr>
              <w:pStyle w:val="NoSpacing"/>
              <w:jc w:val="right"/>
            </w:pPr>
            <w:r w:rsidRPr="00730DE4">
              <w:t xml:space="preserve">-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BBC33A5" w14:textId="77777777" w:rsidR="00730DE4" w:rsidRPr="00730DE4" w:rsidRDefault="00730DE4" w:rsidP="00E7372D">
            <w:pPr>
              <w:pStyle w:val="NoSpacing"/>
              <w:jc w:val="right"/>
            </w:pPr>
            <w:r w:rsidRPr="00730DE4">
              <w:t xml:space="preserve">- </w:t>
            </w:r>
          </w:p>
        </w:tc>
        <w:tc>
          <w:tcPr>
            <w:tcW w:w="42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E15FF6E" w14:textId="77777777" w:rsidR="00730DE4" w:rsidRPr="00730DE4" w:rsidRDefault="00730DE4" w:rsidP="00E7372D">
            <w:pPr>
              <w:pStyle w:val="NoSpacing"/>
              <w:jc w:val="right"/>
            </w:pPr>
            <w:r w:rsidRPr="00730DE4">
              <w:t xml:space="preserve">-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CF50B88" w14:textId="77777777" w:rsidR="00730DE4" w:rsidRPr="00730DE4" w:rsidRDefault="00730DE4" w:rsidP="00E7372D">
            <w:pPr>
              <w:pStyle w:val="NoSpacing"/>
              <w:jc w:val="right"/>
            </w:pPr>
            <w:r w:rsidRPr="00730DE4">
              <w:t>(7,085)</w:t>
            </w:r>
          </w:p>
        </w:tc>
        <w:tc>
          <w:tcPr>
            <w:tcW w:w="419"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FC841E3" w14:textId="77777777" w:rsidR="00730DE4" w:rsidRPr="00730DE4" w:rsidRDefault="00730DE4" w:rsidP="00E7372D">
            <w:pPr>
              <w:pStyle w:val="NoSpacing"/>
              <w:jc w:val="right"/>
              <w:rPr>
                <w:rStyle w:val="Strong"/>
              </w:rPr>
            </w:pPr>
            <w:r w:rsidRPr="00730DE4">
              <w:rPr>
                <w:rStyle w:val="Strong"/>
              </w:rPr>
              <w:t>(7,085)</w:t>
            </w:r>
          </w:p>
        </w:tc>
      </w:tr>
      <w:tr w:rsidR="00730DE4" w:rsidRPr="00730DE4" w14:paraId="236F3216" w14:textId="77777777" w:rsidTr="00772E6C">
        <w:trPr>
          <w:trHeight w:val="23"/>
        </w:trPr>
        <w:tc>
          <w:tcPr>
            <w:tcW w:w="1183"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hideMark/>
          </w:tcPr>
          <w:p w14:paraId="5D19FC2F" w14:textId="77777777" w:rsidR="00730DE4" w:rsidRPr="00730DE4" w:rsidRDefault="00730DE4" w:rsidP="00E7372D">
            <w:pPr>
              <w:pStyle w:val="NoSpacing"/>
            </w:pPr>
            <w:r w:rsidRPr="00730DE4">
              <w:t>Net revaluation increments **</w:t>
            </w:r>
          </w:p>
        </w:tc>
        <w:tc>
          <w:tcPr>
            <w:tcW w:w="45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8EC8B84" w14:textId="77777777" w:rsidR="00730DE4" w:rsidRPr="00730DE4" w:rsidRDefault="00730DE4" w:rsidP="00E7372D">
            <w:pPr>
              <w:pStyle w:val="NoSpacing"/>
              <w:jc w:val="right"/>
            </w:pPr>
            <w:r w:rsidRPr="00730DE4">
              <w:t xml:space="preserve">33,595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5B1103C" w14:textId="77777777" w:rsidR="00730DE4" w:rsidRPr="00730DE4" w:rsidRDefault="00730DE4" w:rsidP="00E7372D">
            <w:pPr>
              <w:pStyle w:val="NoSpacing"/>
              <w:jc w:val="right"/>
            </w:pPr>
            <w:r w:rsidRPr="00730DE4">
              <w:t xml:space="preserve">98,618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4C899FF" w14:textId="77777777" w:rsidR="00730DE4" w:rsidRPr="00730DE4" w:rsidRDefault="00730DE4" w:rsidP="00E7372D">
            <w:pPr>
              <w:pStyle w:val="NoSpacing"/>
              <w:jc w:val="right"/>
            </w:pPr>
            <w:r w:rsidRPr="00730DE4">
              <w:t xml:space="preserve">407,308 </w:t>
            </w:r>
          </w:p>
        </w:tc>
        <w:tc>
          <w:tcPr>
            <w:tcW w:w="42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EC8C16C" w14:textId="77777777" w:rsidR="00730DE4" w:rsidRPr="00730DE4" w:rsidRDefault="00730DE4" w:rsidP="00E7372D">
            <w:pPr>
              <w:pStyle w:val="NoSpacing"/>
              <w:jc w:val="right"/>
            </w:pPr>
            <w:r w:rsidRPr="00730DE4">
              <w:t xml:space="preserve">440,779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6B13AC0" w14:textId="77777777" w:rsidR="00730DE4" w:rsidRPr="00730DE4" w:rsidRDefault="00730DE4" w:rsidP="00E7372D">
            <w:pPr>
              <w:pStyle w:val="NoSpacing"/>
              <w:jc w:val="right"/>
            </w:pPr>
            <w:r w:rsidRPr="00730DE4">
              <w:t xml:space="preserve">295,618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827D4F5" w14:textId="77777777" w:rsidR="00730DE4" w:rsidRPr="00730DE4" w:rsidRDefault="00730DE4" w:rsidP="00E7372D">
            <w:pPr>
              <w:pStyle w:val="NoSpacing"/>
              <w:jc w:val="right"/>
            </w:pPr>
            <w:r w:rsidRPr="00730DE4">
              <w:t xml:space="preserve">12,653 </w:t>
            </w:r>
          </w:p>
        </w:tc>
        <w:tc>
          <w:tcPr>
            <w:tcW w:w="42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B21828F" w14:textId="77777777" w:rsidR="00730DE4" w:rsidRPr="00730DE4" w:rsidRDefault="00730DE4" w:rsidP="00E7372D">
            <w:pPr>
              <w:pStyle w:val="NoSpacing"/>
              <w:jc w:val="right"/>
            </w:pPr>
            <w:r w:rsidRPr="00730DE4">
              <w:t xml:space="preserve">35,634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F9A93B2" w14:textId="77777777" w:rsidR="00730DE4" w:rsidRPr="00730DE4" w:rsidRDefault="00730DE4" w:rsidP="00E7372D">
            <w:pPr>
              <w:pStyle w:val="NoSpacing"/>
              <w:jc w:val="right"/>
            </w:pPr>
            <w:r w:rsidRPr="00730DE4">
              <w:t xml:space="preserve">- </w:t>
            </w:r>
          </w:p>
        </w:tc>
        <w:tc>
          <w:tcPr>
            <w:tcW w:w="419"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820F54B" w14:textId="77777777" w:rsidR="00730DE4" w:rsidRPr="00730DE4" w:rsidRDefault="00730DE4" w:rsidP="00E7372D">
            <w:pPr>
              <w:pStyle w:val="NoSpacing"/>
              <w:jc w:val="right"/>
              <w:rPr>
                <w:rStyle w:val="Strong"/>
              </w:rPr>
            </w:pPr>
            <w:r w:rsidRPr="00730DE4">
              <w:rPr>
                <w:rStyle w:val="Strong"/>
              </w:rPr>
              <w:t xml:space="preserve">1,324,205 </w:t>
            </w:r>
          </w:p>
        </w:tc>
      </w:tr>
      <w:tr w:rsidR="00730DE4" w:rsidRPr="00730DE4" w14:paraId="4E92073B" w14:textId="77777777" w:rsidTr="00772E6C">
        <w:trPr>
          <w:trHeight w:val="23"/>
        </w:trPr>
        <w:tc>
          <w:tcPr>
            <w:tcW w:w="1183"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vAlign w:val="bottom"/>
            <w:hideMark/>
          </w:tcPr>
          <w:p w14:paraId="7BE148EF" w14:textId="77777777" w:rsidR="00730DE4" w:rsidRPr="00730DE4" w:rsidRDefault="00730DE4" w:rsidP="00E7372D">
            <w:pPr>
              <w:pStyle w:val="NoSpacing"/>
            </w:pPr>
            <w:r w:rsidRPr="00730DE4">
              <w:t>Depreciation</w:t>
            </w:r>
          </w:p>
        </w:tc>
        <w:tc>
          <w:tcPr>
            <w:tcW w:w="453"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0CB7FBF4" w14:textId="77777777" w:rsidR="00730DE4" w:rsidRPr="00730DE4" w:rsidRDefault="00730DE4" w:rsidP="00E7372D">
            <w:pPr>
              <w:pStyle w:val="NoSpacing"/>
              <w:jc w:val="right"/>
            </w:pPr>
            <w:r w:rsidRPr="00730DE4">
              <w:t>(24,373)</w:t>
            </w:r>
          </w:p>
        </w:tc>
        <w:tc>
          <w:tcPr>
            <w:tcW w:w="421"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09496E53" w14:textId="77777777" w:rsidR="00730DE4" w:rsidRPr="00730DE4" w:rsidRDefault="00730DE4" w:rsidP="00E7372D">
            <w:pPr>
              <w:pStyle w:val="NoSpacing"/>
              <w:jc w:val="right"/>
            </w:pPr>
            <w:r w:rsidRPr="00730DE4">
              <w:t>(20,683)</w:t>
            </w:r>
          </w:p>
        </w:tc>
        <w:tc>
          <w:tcPr>
            <w:tcW w:w="421"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611A1FD8" w14:textId="77777777" w:rsidR="00730DE4" w:rsidRPr="00730DE4" w:rsidRDefault="00730DE4" w:rsidP="00E7372D">
            <w:pPr>
              <w:pStyle w:val="NoSpacing"/>
              <w:jc w:val="right"/>
            </w:pPr>
            <w:r w:rsidRPr="00730DE4">
              <w:t>(93,743)</w:t>
            </w:r>
          </w:p>
        </w:tc>
        <w:tc>
          <w:tcPr>
            <w:tcW w:w="420"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42449C6D" w14:textId="77777777" w:rsidR="00730DE4" w:rsidRPr="00730DE4" w:rsidRDefault="00730DE4" w:rsidP="00E7372D">
            <w:pPr>
              <w:pStyle w:val="NoSpacing"/>
              <w:jc w:val="right"/>
            </w:pPr>
            <w:r w:rsidRPr="00730DE4">
              <w:t>(30,373)</w:t>
            </w:r>
          </w:p>
        </w:tc>
        <w:tc>
          <w:tcPr>
            <w:tcW w:w="421"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5D31DE35" w14:textId="77777777" w:rsidR="00730DE4" w:rsidRPr="00730DE4" w:rsidRDefault="00730DE4" w:rsidP="00E7372D">
            <w:pPr>
              <w:pStyle w:val="NoSpacing"/>
              <w:jc w:val="right"/>
            </w:pPr>
            <w:r w:rsidRPr="00730DE4">
              <w:t>(12,109)</w:t>
            </w:r>
          </w:p>
        </w:tc>
        <w:tc>
          <w:tcPr>
            <w:tcW w:w="421"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5D268493" w14:textId="77777777" w:rsidR="00730DE4" w:rsidRPr="00730DE4" w:rsidRDefault="00730DE4" w:rsidP="00E7372D">
            <w:pPr>
              <w:pStyle w:val="NoSpacing"/>
              <w:jc w:val="right"/>
            </w:pPr>
            <w:r w:rsidRPr="00730DE4">
              <w:t>(523)</w:t>
            </w:r>
          </w:p>
        </w:tc>
        <w:tc>
          <w:tcPr>
            <w:tcW w:w="420"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29B8D5C4" w14:textId="77777777" w:rsidR="00730DE4" w:rsidRPr="00730DE4" w:rsidRDefault="00730DE4" w:rsidP="00E7372D">
            <w:pPr>
              <w:pStyle w:val="NoSpacing"/>
              <w:jc w:val="right"/>
            </w:pPr>
            <w:r w:rsidRPr="00730DE4">
              <w:t>(6,229)</w:t>
            </w:r>
          </w:p>
        </w:tc>
        <w:tc>
          <w:tcPr>
            <w:tcW w:w="421"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32ED9C4B" w14:textId="77777777" w:rsidR="00730DE4" w:rsidRPr="00730DE4" w:rsidRDefault="00730DE4" w:rsidP="00E7372D">
            <w:pPr>
              <w:pStyle w:val="NoSpacing"/>
              <w:jc w:val="right"/>
            </w:pPr>
            <w:r w:rsidRPr="00730DE4">
              <w:t xml:space="preserve">- </w:t>
            </w:r>
          </w:p>
        </w:tc>
        <w:tc>
          <w:tcPr>
            <w:tcW w:w="419"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6091A5C9" w14:textId="77777777" w:rsidR="00730DE4" w:rsidRPr="00730DE4" w:rsidRDefault="00730DE4" w:rsidP="00E7372D">
            <w:pPr>
              <w:pStyle w:val="NoSpacing"/>
              <w:jc w:val="right"/>
              <w:rPr>
                <w:rStyle w:val="Strong"/>
              </w:rPr>
            </w:pPr>
            <w:r w:rsidRPr="00730DE4">
              <w:rPr>
                <w:rStyle w:val="Strong"/>
              </w:rPr>
              <w:t>(188,033)</w:t>
            </w:r>
          </w:p>
        </w:tc>
      </w:tr>
      <w:tr w:rsidR="00730DE4" w:rsidRPr="00730DE4" w14:paraId="0EE4276A" w14:textId="77777777" w:rsidTr="00772E6C">
        <w:tc>
          <w:tcPr>
            <w:tcW w:w="1183"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532C3BE6" w14:textId="77777777" w:rsidR="00730DE4" w:rsidRPr="00730DE4" w:rsidRDefault="00730DE4" w:rsidP="000A3AFE">
            <w:pPr>
              <w:pStyle w:val="NoSpacing"/>
              <w:rPr>
                <w:b/>
                <w:bCs/>
              </w:rPr>
            </w:pPr>
            <w:r w:rsidRPr="00730DE4">
              <w:rPr>
                <w:rStyle w:val="Strong"/>
              </w:rPr>
              <w:t>Carrying amount at 30 June</w:t>
            </w:r>
          </w:p>
        </w:tc>
        <w:tc>
          <w:tcPr>
            <w:tcW w:w="453"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6302BBBF" w14:textId="77777777" w:rsidR="00730DE4" w:rsidRPr="00730DE4" w:rsidRDefault="00730DE4" w:rsidP="000A3AFE">
            <w:pPr>
              <w:pStyle w:val="NoSpacing"/>
              <w:jc w:val="right"/>
              <w:rPr>
                <w:b/>
                <w:bCs/>
              </w:rPr>
            </w:pPr>
            <w:r w:rsidRPr="00730DE4">
              <w:rPr>
                <w:rStyle w:val="Strong"/>
              </w:rPr>
              <w:t xml:space="preserve">738,241 </w:t>
            </w:r>
          </w:p>
        </w:tc>
        <w:tc>
          <w:tcPr>
            <w:tcW w:w="421"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7AE97C61" w14:textId="77777777" w:rsidR="00730DE4" w:rsidRPr="00730DE4" w:rsidRDefault="00730DE4" w:rsidP="000A3AFE">
            <w:pPr>
              <w:pStyle w:val="NoSpacing"/>
              <w:jc w:val="right"/>
              <w:rPr>
                <w:b/>
                <w:bCs/>
              </w:rPr>
            </w:pPr>
            <w:r w:rsidRPr="00730DE4">
              <w:rPr>
                <w:rStyle w:val="Strong"/>
              </w:rPr>
              <w:t xml:space="preserve">1,514,464 </w:t>
            </w:r>
          </w:p>
        </w:tc>
        <w:tc>
          <w:tcPr>
            <w:tcW w:w="421"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6A5587F4" w14:textId="77777777" w:rsidR="00730DE4" w:rsidRPr="00730DE4" w:rsidRDefault="00730DE4" w:rsidP="000A3AFE">
            <w:pPr>
              <w:pStyle w:val="NoSpacing"/>
              <w:jc w:val="right"/>
              <w:rPr>
                <w:b/>
                <w:bCs/>
              </w:rPr>
            </w:pPr>
            <w:r w:rsidRPr="00730DE4">
              <w:rPr>
                <w:rStyle w:val="Strong"/>
              </w:rPr>
              <w:t xml:space="preserve">6,120,353 </w:t>
            </w:r>
          </w:p>
        </w:tc>
        <w:tc>
          <w:tcPr>
            <w:tcW w:w="420"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6E4D7913" w14:textId="77777777" w:rsidR="00730DE4" w:rsidRPr="00730DE4" w:rsidRDefault="00730DE4" w:rsidP="000A3AFE">
            <w:pPr>
              <w:pStyle w:val="NoSpacing"/>
              <w:jc w:val="right"/>
              <w:rPr>
                <w:b/>
                <w:bCs/>
              </w:rPr>
            </w:pPr>
            <w:r w:rsidRPr="00730DE4">
              <w:rPr>
                <w:rStyle w:val="Strong"/>
              </w:rPr>
              <w:t xml:space="preserve">3,276,859 </w:t>
            </w:r>
          </w:p>
        </w:tc>
        <w:tc>
          <w:tcPr>
            <w:tcW w:w="421"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2D2ABB26" w14:textId="77777777" w:rsidR="00730DE4" w:rsidRPr="00730DE4" w:rsidRDefault="00730DE4" w:rsidP="000A3AFE">
            <w:pPr>
              <w:pStyle w:val="NoSpacing"/>
              <w:jc w:val="right"/>
              <w:rPr>
                <w:b/>
                <w:bCs/>
              </w:rPr>
            </w:pPr>
            <w:r w:rsidRPr="00730DE4">
              <w:rPr>
                <w:rStyle w:val="Strong"/>
              </w:rPr>
              <w:t xml:space="preserve">1,756,236 </w:t>
            </w:r>
          </w:p>
        </w:tc>
        <w:tc>
          <w:tcPr>
            <w:tcW w:w="421"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5B5A7459" w14:textId="77777777" w:rsidR="00730DE4" w:rsidRPr="00730DE4" w:rsidRDefault="00730DE4" w:rsidP="000A3AFE">
            <w:pPr>
              <w:pStyle w:val="NoSpacing"/>
              <w:jc w:val="right"/>
              <w:rPr>
                <w:b/>
                <w:bCs/>
              </w:rPr>
            </w:pPr>
            <w:r w:rsidRPr="00730DE4">
              <w:rPr>
                <w:rStyle w:val="Strong"/>
              </w:rPr>
              <w:t xml:space="preserve">58,699 </w:t>
            </w:r>
          </w:p>
        </w:tc>
        <w:tc>
          <w:tcPr>
            <w:tcW w:w="420"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382E687A" w14:textId="77777777" w:rsidR="00730DE4" w:rsidRPr="00730DE4" w:rsidRDefault="00730DE4" w:rsidP="000A3AFE">
            <w:pPr>
              <w:pStyle w:val="NoSpacing"/>
              <w:jc w:val="right"/>
              <w:rPr>
                <w:b/>
                <w:bCs/>
              </w:rPr>
            </w:pPr>
            <w:r w:rsidRPr="00730DE4">
              <w:rPr>
                <w:rStyle w:val="Strong"/>
              </w:rPr>
              <w:t xml:space="preserve">359,988 </w:t>
            </w:r>
          </w:p>
        </w:tc>
        <w:tc>
          <w:tcPr>
            <w:tcW w:w="421"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676AEA9B" w14:textId="77777777" w:rsidR="00730DE4" w:rsidRPr="00730DE4" w:rsidRDefault="00730DE4" w:rsidP="000A3AFE">
            <w:pPr>
              <w:pStyle w:val="NoSpacing"/>
              <w:jc w:val="right"/>
              <w:rPr>
                <w:b/>
                <w:bCs/>
              </w:rPr>
            </w:pPr>
            <w:r w:rsidRPr="00730DE4">
              <w:rPr>
                <w:rStyle w:val="Strong"/>
              </w:rPr>
              <w:t xml:space="preserve">272,805 </w:t>
            </w:r>
          </w:p>
        </w:tc>
        <w:tc>
          <w:tcPr>
            <w:tcW w:w="419" w:type="pct"/>
            <w:tcBorders>
              <w:top w:val="single" w:sz="4" w:space="0" w:color="auto"/>
              <w:left w:val="dotted" w:sz="4" w:space="0" w:color="BFBFBF" w:themeColor="background1" w:themeShade="BF"/>
              <w:bottom w:val="double" w:sz="4" w:space="0" w:color="auto"/>
              <w:right w:val="nil"/>
            </w:tcBorders>
            <w:shd w:val="clear" w:color="auto" w:fill="auto"/>
            <w:noWrap/>
            <w:hideMark/>
          </w:tcPr>
          <w:p w14:paraId="0BB737CB" w14:textId="77777777" w:rsidR="00730DE4" w:rsidRPr="00730DE4" w:rsidRDefault="00730DE4" w:rsidP="000A3AFE">
            <w:pPr>
              <w:pStyle w:val="NoSpacing"/>
              <w:jc w:val="right"/>
              <w:rPr>
                <w:rStyle w:val="Strong"/>
              </w:rPr>
            </w:pPr>
            <w:r w:rsidRPr="00730DE4">
              <w:rPr>
                <w:rStyle w:val="Strong"/>
              </w:rPr>
              <w:t xml:space="preserve">14,097,645 </w:t>
            </w:r>
          </w:p>
        </w:tc>
      </w:tr>
      <w:tr w:rsidR="00730DE4" w:rsidRPr="00730DE4" w14:paraId="1CB7306E" w14:textId="77777777" w:rsidTr="00772E6C">
        <w:trPr>
          <w:trHeight w:val="454"/>
        </w:trPr>
        <w:tc>
          <w:tcPr>
            <w:tcW w:w="1183" w:type="pct"/>
            <w:tcBorders>
              <w:top w:val="doub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61C8B79E" w14:textId="77777777" w:rsidR="00730DE4" w:rsidRPr="00730DE4" w:rsidRDefault="00730DE4" w:rsidP="00E7372D">
            <w:pPr>
              <w:pStyle w:val="NoSpacing"/>
              <w:rPr>
                <w:b/>
                <w:bCs/>
              </w:rPr>
            </w:pPr>
            <w:r w:rsidRPr="00730DE4">
              <w:rPr>
                <w:rStyle w:val="Strong"/>
              </w:rPr>
              <w:t>Liabilities</w:t>
            </w:r>
          </w:p>
        </w:tc>
        <w:tc>
          <w:tcPr>
            <w:tcW w:w="453"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C390562" w14:textId="77777777" w:rsidR="00730DE4" w:rsidRPr="00730DE4" w:rsidRDefault="00730DE4" w:rsidP="00E7372D">
            <w:pPr>
              <w:pStyle w:val="NoSpacing"/>
              <w:jc w:val="right"/>
              <w:rPr>
                <w:rStyle w:val="Strong"/>
              </w:rPr>
            </w:pPr>
          </w:p>
        </w:tc>
        <w:tc>
          <w:tcPr>
            <w:tcW w:w="421"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2906A66" w14:textId="77777777" w:rsidR="00730DE4" w:rsidRPr="00730DE4" w:rsidRDefault="00730DE4" w:rsidP="00E7372D">
            <w:pPr>
              <w:pStyle w:val="NoSpacing"/>
              <w:jc w:val="right"/>
            </w:pPr>
          </w:p>
        </w:tc>
        <w:tc>
          <w:tcPr>
            <w:tcW w:w="421"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94EB72D" w14:textId="77777777" w:rsidR="00730DE4" w:rsidRPr="00730DE4" w:rsidRDefault="00730DE4" w:rsidP="00E7372D">
            <w:pPr>
              <w:pStyle w:val="NoSpacing"/>
              <w:jc w:val="right"/>
            </w:pPr>
          </w:p>
        </w:tc>
        <w:tc>
          <w:tcPr>
            <w:tcW w:w="420"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BD6174F" w14:textId="77777777" w:rsidR="00730DE4" w:rsidRPr="00730DE4" w:rsidRDefault="00730DE4" w:rsidP="00E7372D">
            <w:pPr>
              <w:pStyle w:val="NoSpacing"/>
              <w:jc w:val="right"/>
            </w:pPr>
          </w:p>
        </w:tc>
        <w:tc>
          <w:tcPr>
            <w:tcW w:w="421"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F490300" w14:textId="77777777" w:rsidR="00730DE4" w:rsidRPr="00730DE4" w:rsidRDefault="00730DE4" w:rsidP="00E7372D">
            <w:pPr>
              <w:pStyle w:val="NoSpacing"/>
              <w:jc w:val="right"/>
            </w:pPr>
          </w:p>
        </w:tc>
        <w:tc>
          <w:tcPr>
            <w:tcW w:w="421"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F04CD8C" w14:textId="77777777" w:rsidR="00730DE4" w:rsidRPr="00730DE4" w:rsidRDefault="00730DE4" w:rsidP="00E7372D">
            <w:pPr>
              <w:pStyle w:val="NoSpacing"/>
              <w:jc w:val="right"/>
            </w:pPr>
          </w:p>
        </w:tc>
        <w:tc>
          <w:tcPr>
            <w:tcW w:w="420"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64E56B2" w14:textId="77777777" w:rsidR="00730DE4" w:rsidRPr="00730DE4" w:rsidRDefault="00730DE4" w:rsidP="00E7372D">
            <w:pPr>
              <w:pStyle w:val="NoSpacing"/>
              <w:jc w:val="right"/>
            </w:pPr>
          </w:p>
        </w:tc>
        <w:tc>
          <w:tcPr>
            <w:tcW w:w="421"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6608E2F" w14:textId="77777777" w:rsidR="00730DE4" w:rsidRPr="00730DE4" w:rsidRDefault="00730DE4" w:rsidP="00E7372D">
            <w:pPr>
              <w:pStyle w:val="NoSpacing"/>
              <w:jc w:val="right"/>
            </w:pPr>
          </w:p>
        </w:tc>
        <w:tc>
          <w:tcPr>
            <w:tcW w:w="419" w:type="pct"/>
            <w:tcBorders>
              <w:top w:val="double" w:sz="4" w:space="0" w:color="auto"/>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413B584C" w14:textId="77777777" w:rsidR="00730DE4" w:rsidRPr="00730DE4" w:rsidRDefault="00730DE4" w:rsidP="00E7372D">
            <w:pPr>
              <w:pStyle w:val="NoSpacing"/>
              <w:jc w:val="right"/>
            </w:pPr>
          </w:p>
        </w:tc>
      </w:tr>
      <w:tr w:rsidR="00730DE4" w:rsidRPr="00730DE4" w14:paraId="798EDDB6" w14:textId="77777777" w:rsidTr="00772E6C">
        <w:trPr>
          <w:trHeight w:val="23"/>
        </w:trPr>
        <w:tc>
          <w:tcPr>
            <w:tcW w:w="1183"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vAlign w:val="bottom"/>
            <w:hideMark/>
          </w:tcPr>
          <w:p w14:paraId="3AC9B71D" w14:textId="77777777" w:rsidR="00730DE4" w:rsidRPr="00730DE4" w:rsidRDefault="00730DE4" w:rsidP="00E7372D">
            <w:pPr>
              <w:pStyle w:val="NoSpacing"/>
            </w:pPr>
            <w:r w:rsidRPr="00730DE4">
              <w:t>Financial liabilities (refer to Note 19)</w:t>
            </w:r>
          </w:p>
        </w:tc>
        <w:tc>
          <w:tcPr>
            <w:tcW w:w="45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782B47E" w14:textId="77777777" w:rsidR="00730DE4" w:rsidRPr="00730DE4" w:rsidRDefault="00730DE4" w:rsidP="00E7372D">
            <w:pPr>
              <w:pStyle w:val="NoSpacing"/>
              <w:jc w:val="right"/>
            </w:pPr>
            <w:r w:rsidRPr="00730DE4">
              <w:t xml:space="preserve">229,522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C532143" w14:textId="77777777" w:rsidR="00730DE4" w:rsidRPr="00730DE4" w:rsidRDefault="00730DE4" w:rsidP="00E7372D">
            <w:pPr>
              <w:pStyle w:val="NoSpacing"/>
              <w:jc w:val="right"/>
            </w:pPr>
            <w:r w:rsidRPr="00730DE4">
              <w:t xml:space="preserve">394,693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C2FD8DD" w14:textId="77777777" w:rsidR="00730DE4" w:rsidRPr="00730DE4" w:rsidRDefault="00730DE4" w:rsidP="00E7372D">
            <w:pPr>
              <w:pStyle w:val="NoSpacing"/>
              <w:jc w:val="right"/>
            </w:pPr>
            <w:r w:rsidRPr="00730DE4">
              <w:t xml:space="preserve">- </w:t>
            </w:r>
          </w:p>
        </w:tc>
        <w:tc>
          <w:tcPr>
            <w:tcW w:w="42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29F61BE" w14:textId="77777777" w:rsidR="00730DE4" w:rsidRPr="00730DE4" w:rsidRDefault="00730DE4" w:rsidP="00E7372D">
            <w:pPr>
              <w:pStyle w:val="NoSpacing"/>
              <w:jc w:val="right"/>
            </w:pPr>
            <w:r w:rsidRPr="00730DE4">
              <w:t xml:space="preserve">-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7756622" w14:textId="77777777" w:rsidR="00730DE4" w:rsidRPr="00730DE4" w:rsidRDefault="00730DE4" w:rsidP="00E7372D">
            <w:pPr>
              <w:pStyle w:val="NoSpacing"/>
              <w:jc w:val="right"/>
            </w:pPr>
            <w:r w:rsidRPr="00730DE4">
              <w:t xml:space="preserve">-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DDBCAFE" w14:textId="77777777" w:rsidR="00730DE4" w:rsidRPr="00730DE4" w:rsidRDefault="00730DE4" w:rsidP="00E7372D">
            <w:pPr>
              <w:pStyle w:val="NoSpacing"/>
              <w:jc w:val="right"/>
            </w:pPr>
            <w:r w:rsidRPr="00730DE4">
              <w:t xml:space="preserve">- </w:t>
            </w:r>
          </w:p>
        </w:tc>
        <w:tc>
          <w:tcPr>
            <w:tcW w:w="42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407454C" w14:textId="77777777" w:rsidR="00730DE4" w:rsidRPr="00730DE4" w:rsidRDefault="00730DE4" w:rsidP="00E7372D">
            <w:pPr>
              <w:pStyle w:val="NoSpacing"/>
              <w:jc w:val="right"/>
            </w:pPr>
            <w:r w:rsidRPr="00730DE4">
              <w:t xml:space="preserve">- </w:t>
            </w:r>
          </w:p>
        </w:tc>
        <w:tc>
          <w:tcPr>
            <w:tcW w:w="42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5FA31FB" w14:textId="77777777" w:rsidR="00730DE4" w:rsidRPr="00730DE4" w:rsidRDefault="00730DE4" w:rsidP="00E7372D">
            <w:pPr>
              <w:pStyle w:val="NoSpacing"/>
              <w:jc w:val="right"/>
            </w:pPr>
            <w:r w:rsidRPr="00730DE4">
              <w:t xml:space="preserve">5,851 </w:t>
            </w:r>
          </w:p>
        </w:tc>
        <w:tc>
          <w:tcPr>
            <w:tcW w:w="419"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A5C1498" w14:textId="77777777" w:rsidR="00730DE4" w:rsidRPr="00730DE4" w:rsidRDefault="00730DE4" w:rsidP="00E7372D">
            <w:pPr>
              <w:pStyle w:val="NoSpacing"/>
              <w:jc w:val="right"/>
              <w:rPr>
                <w:rStyle w:val="Strong"/>
              </w:rPr>
            </w:pPr>
            <w:r w:rsidRPr="00730DE4">
              <w:rPr>
                <w:rStyle w:val="Strong"/>
              </w:rPr>
              <w:t xml:space="preserve">630,066 </w:t>
            </w:r>
          </w:p>
        </w:tc>
      </w:tr>
      <w:tr w:rsidR="00730DE4" w:rsidRPr="00730DE4" w14:paraId="0B16B06E" w14:textId="77777777" w:rsidTr="00772E6C">
        <w:trPr>
          <w:trHeight w:val="23"/>
        </w:trPr>
        <w:tc>
          <w:tcPr>
            <w:tcW w:w="1183"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vAlign w:val="bottom"/>
            <w:hideMark/>
          </w:tcPr>
          <w:p w14:paraId="78DC8ECB" w14:textId="77777777" w:rsidR="00730DE4" w:rsidRPr="00730DE4" w:rsidRDefault="00730DE4" w:rsidP="00E7372D">
            <w:pPr>
              <w:pStyle w:val="NoSpacing"/>
            </w:pPr>
            <w:r w:rsidRPr="00730DE4">
              <w:t>Unearned revenue</w:t>
            </w:r>
          </w:p>
        </w:tc>
        <w:tc>
          <w:tcPr>
            <w:tcW w:w="453"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405EEF5E" w14:textId="77777777" w:rsidR="00730DE4" w:rsidRPr="00730DE4" w:rsidRDefault="00730DE4" w:rsidP="00E7372D">
            <w:pPr>
              <w:pStyle w:val="NoSpacing"/>
              <w:jc w:val="right"/>
            </w:pPr>
            <w:r w:rsidRPr="00730DE4">
              <w:t xml:space="preserve">- </w:t>
            </w:r>
          </w:p>
        </w:tc>
        <w:tc>
          <w:tcPr>
            <w:tcW w:w="421"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1511B91A" w14:textId="77777777" w:rsidR="00730DE4" w:rsidRPr="00730DE4" w:rsidRDefault="00730DE4" w:rsidP="00E7372D">
            <w:pPr>
              <w:pStyle w:val="NoSpacing"/>
              <w:jc w:val="right"/>
            </w:pPr>
            <w:r w:rsidRPr="00730DE4">
              <w:t xml:space="preserve">- </w:t>
            </w:r>
          </w:p>
        </w:tc>
        <w:tc>
          <w:tcPr>
            <w:tcW w:w="421"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63F6C6A7" w14:textId="77777777" w:rsidR="00730DE4" w:rsidRPr="00730DE4" w:rsidRDefault="00730DE4" w:rsidP="00E7372D">
            <w:pPr>
              <w:pStyle w:val="NoSpacing"/>
              <w:jc w:val="right"/>
            </w:pPr>
            <w:r w:rsidRPr="00730DE4">
              <w:t xml:space="preserve">3,993,889 </w:t>
            </w:r>
          </w:p>
        </w:tc>
        <w:tc>
          <w:tcPr>
            <w:tcW w:w="420"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0D2FD4F4" w14:textId="77777777" w:rsidR="00730DE4" w:rsidRPr="00730DE4" w:rsidRDefault="00730DE4" w:rsidP="00E7372D">
            <w:pPr>
              <w:pStyle w:val="NoSpacing"/>
              <w:jc w:val="right"/>
            </w:pPr>
            <w:r w:rsidRPr="00730DE4">
              <w:t xml:space="preserve">1,678,413 </w:t>
            </w:r>
          </w:p>
        </w:tc>
        <w:tc>
          <w:tcPr>
            <w:tcW w:w="421"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7F0957C6" w14:textId="77777777" w:rsidR="00730DE4" w:rsidRPr="00730DE4" w:rsidRDefault="00730DE4" w:rsidP="00E7372D">
            <w:pPr>
              <w:pStyle w:val="NoSpacing"/>
              <w:jc w:val="right"/>
            </w:pPr>
            <w:r w:rsidRPr="00730DE4">
              <w:t xml:space="preserve">1,324,476 </w:t>
            </w:r>
          </w:p>
        </w:tc>
        <w:tc>
          <w:tcPr>
            <w:tcW w:w="421"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24793D8B" w14:textId="77777777" w:rsidR="00730DE4" w:rsidRPr="00730DE4" w:rsidRDefault="00730DE4" w:rsidP="00E7372D">
            <w:pPr>
              <w:pStyle w:val="NoSpacing"/>
              <w:jc w:val="right"/>
            </w:pPr>
            <w:r w:rsidRPr="00730DE4">
              <w:t xml:space="preserve">40,977 </w:t>
            </w:r>
          </w:p>
        </w:tc>
        <w:tc>
          <w:tcPr>
            <w:tcW w:w="420"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5A3AC5A7" w14:textId="77777777" w:rsidR="00730DE4" w:rsidRPr="00730DE4" w:rsidRDefault="00730DE4" w:rsidP="00E7372D">
            <w:pPr>
              <w:pStyle w:val="NoSpacing"/>
              <w:jc w:val="right"/>
            </w:pPr>
            <w:r w:rsidRPr="00730DE4">
              <w:t xml:space="preserve">117,559 </w:t>
            </w:r>
          </w:p>
        </w:tc>
        <w:tc>
          <w:tcPr>
            <w:tcW w:w="421"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1BBD6E70" w14:textId="77777777" w:rsidR="00730DE4" w:rsidRPr="00730DE4" w:rsidRDefault="00730DE4" w:rsidP="00E7372D">
            <w:pPr>
              <w:pStyle w:val="NoSpacing"/>
              <w:jc w:val="right"/>
            </w:pPr>
            <w:r w:rsidRPr="00730DE4">
              <w:t xml:space="preserve">- </w:t>
            </w:r>
          </w:p>
        </w:tc>
        <w:tc>
          <w:tcPr>
            <w:tcW w:w="419"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4D427F33" w14:textId="77777777" w:rsidR="00730DE4" w:rsidRPr="00730DE4" w:rsidRDefault="00730DE4" w:rsidP="00E7372D">
            <w:pPr>
              <w:pStyle w:val="NoSpacing"/>
              <w:jc w:val="right"/>
              <w:rPr>
                <w:rStyle w:val="Strong"/>
              </w:rPr>
            </w:pPr>
            <w:r w:rsidRPr="00730DE4">
              <w:rPr>
                <w:rStyle w:val="Strong"/>
              </w:rPr>
              <w:t xml:space="preserve">7,155,314 </w:t>
            </w:r>
          </w:p>
        </w:tc>
      </w:tr>
      <w:tr w:rsidR="00730DE4" w:rsidRPr="00730DE4" w14:paraId="6199925E" w14:textId="77777777" w:rsidTr="00772E6C">
        <w:tc>
          <w:tcPr>
            <w:tcW w:w="1183"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007B2AD4" w14:textId="77777777" w:rsidR="00730DE4" w:rsidRPr="00730DE4" w:rsidRDefault="00730DE4" w:rsidP="000A3AFE">
            <w:pPr>
              <w:pStyle w:val="NoSpacing"/>
              <w:rPr>
                <w:b/>
                <w:bCs/>
              </w:rPr>
            </w:pPr>
            <w:r w:rsidRPr="00730DE4">
              <w:rPr>
                <w:rStyle w:val="Strong"/>
              </w:rPr>
              <w:t>Total</w:t>
            </w:r>
          </w:p>
        </w:tc>
        <w:tc>
          <w:tcPr>
            <w:tcW w:w="453"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1026C9B4" w14:textId="77777777" w:rsidR="00730DE4" w:rsidRPr="00730DE4" w:rsidRDefault="00730DE4" w:rsidP="000A3AFE">
            <w:pPr>
              <w:pStyle w:val="NoSpacing"/>
              <w:jc w:val="right"/>
              <w:rPr>
                <w:b/>
                <w:bCs/>
              </w:rPr>
            </w:pPr>
            <w:r w:rsidRPr="00730DE4">
              <w:rPr>
                <w:rStyle w:val="Strong"/>
              </w:rPr>
              <w:t xml:space="preserve">229,522 </w:t>
            </w:r>
          </w:p>
        </w:tc>
        <w:tc>
          <w:tcPr>
            <w:tcW w:w="421"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3B14CB32" w14:textId="77777777" w:rsidR="00730DE4" w:rsidRPr="00730DE4" w:rsidRDefault="00730DE4" w:rsidP="000A3AFE">
            <w:pPr>
              <w:pStyle w:val="NoSpacing"/>
              <w:jc w:val="right"/>
              <w:rPr>
                <w:b/>
                <w:bCs/>
              </w:rPr>
            </w:pPr>
            <w:r w:rsidRPr="00730DE4">
              <w:rPr>
                <w:rStyle w:val="Strong"/>
              </w:rPr>
              <w:t xml:space="preserve">394,693 </w:t>
            </w:r>
          </w:p>
        </w:tc>
        <w:tc>
          <w:tcPr>
            <w:tcW w:w="421"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27C4031D" w14:textId="77777777" w:rsidR="00730DE4" w:rsidRPr="00730DE4" w:rsidRDefault="00730DE4" w:rsidP="000A3AFE">
            <w:pPr>
              <w:pStyle w:val="NoSpacing"/>
              <w:jc w:val="right"/>
              <w:rPr>
                <w:b/>
                <w:bCs/>
              </w:rPr>
            </w:pPr>
            <w:r w:rsidRPr="00730DE4">
              <w:rPr>
                <w:rStyle w:val="Strong"/>
              </w:rPr>
              <w:t xml:space="preserve">3,993,889 </w:t>
            </w:r>
          </w:p>
        </w:tc>
        <w:tc>
          <w:tcPr>
            <w:tcW w:w="420"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25B82556" w14:textId="77777777" w:rsidR="00730DE4" w:rsidRPr="00730DE4" w:rsidRDefault="00730DE4" w:rsidP="000A3AFE">
            <w:pPr>
              <w:pStyle w:val="NoSpacing"/>
              <w:jc w:val="right"/>
              <w:rPr>
                <w:b/>
                <w:bCs/>
              </w:rPr>
            </w:pPr>
            <w:r w:rsidRPr="00730DE4">
              <w:rPr>
                <w:rStyle w:val="Strong"/>
              </w:rPr>
              <w:t xml:space="preserve">1,678,413 </w:t>
            </w:r>
          </w:p>
        </w:tc>
        <w:tc>
          <w:tcPr>
            <w:tcW w:w="421"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247D17C1" w14:textId="77777777" w:rsidR="00730DE4" w:rsidRPr="00730DE4" w:rsidRDefault="00730DE4" w:rsidP="000A3AFE">
            <w:pPr>
              <w:pStyle w:val="NoSpacing"/>
              <w:jc w:val="right"/>
              <w:rPr>
                <w:b/>
                <w:bCs/>
              </w:rPr>
            </w:pPr>
            <w:r w:rsidRPr="00730DE4">
              <w:rPr>
                <w:rStyle w:val="Strong"/>
              </w:rPr>
              <w:t xml:space="preserve">1,324,476 </w:t>
            </w:r>
          </w:p>
        </w:tc>
        <w:tc>
          <w:tcPr>
            <w:tcW w:w="421"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6E0513D6" w14:textId="77777777" w:rsidR="00730DE4" w:rsidRPr="00730DE4" w:rsidRDefault="00730DE4" w:rsidP="000A3AFE">
            <w:pPr>
              <w:pStyle w:val="NoSpacing"/>
              <w:jc w:val="right"/>
              <w:rPr>
                <w:b/>
                <w:bCs/>
              </w:rPr>
            </w:pPr>
            <w:r w:rsidRPr="00730DE4">
              <w:rPr>
                <w:rStyle w:val="Strong"/>
              </w:rPr>
              <w:t xml:space="preserve">40,977 </w:t>
            </w:r>
          </w:p>
        </w:tc>
        <w:tc>
          <w:tcPr>
            <w:tcW w:w="420"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53D6F8F2" w14:textId="77777777" w:rsidR="00730DE4" w:rsidRPr="00730DE4" w:rsidRDefault="00730DE4" w:rsidP="000A3AFE">
            <w:pPr>
              <w:pStyle w:val="NoSpacing"/>
              <w:jc w:val="right"/>
              <w:rPr>
                <w:b/>
                <w:bCs/>
              </w:rPr>
            </w:pPr>
            <w:r w:rsidRPr="00730DE4">
              <w:rPr>
                <w:rStyle w:val="Strong"/>
              </w:rPr>
              <w:t xml:space="preserve">117,559 </w:t>
            </w:r>
          </w:p>
        </w:tc>
        <w:tc>
          <w:tcPr>
            <w:tcW w:w="421"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79192DA8" w14:textId="77777777" w:rsidR="00730DE4" w:rsidRPr="00730DE4" w:rsidRDefault="00730DE4" w:rsidP="000A3AFE">
            <w:pPr>
              <w:pStyle w:val="NoSpacing"/>
              <w:jc w:val="right"/>
              <w:rPr>
                <w:b/>
                <w:bCs/>
              </w:rPr>
            </w:pPr>
            <w:r w:rsidRPr="00730DE4">
              <w:rPr>
                <w:rStyle w:val="Strong"/>
              </w:rPr>
              <w:t xml:space="preserve">5,851 </w:t>
            </w:r>
          </w:p>
        </w:tc>
        <w:tc>
          <w:tcPr>
            <w:tcW w:w="419" w:type="pct"/>
            <w:tcBorders>
              <w:top w:val="single" w:sz="4" w:space="0" w:color="auto"/>
              <w:left w:val="dotted" w:sz="4" w:space="0" w:color="BFBFBF" w:themeColor="background1" w:themeShade="BF"/>
              <w:bottom w:val="double" w:sz="4" w:space="0" w:color="auto"/>
              <w:right w:val="nil"/>
            </w:tcBorders>
            <w:shd w:val="clear" w:color="auto" w:fill="auto"/>
            <w:noWrap/>
            <w:hideMark/>
          </w:tcPr>
          <w:p w14:paraId="55F98CC0" w14:textId="77777777" w:rsidR="00730DE4" w:rsidRPr="00730DE4" w:rsidRDefault="00730DE4" w:rsidP="000A3AFE">
            <w:pPr>
              <w:pStyle w:val="NoSpacing"/>
              <w:jc w:val="right"/>
              <w:rPr>
                <w:rStyle w:val="Strong"/>
              </w:rPr>
            </w:pPr>
            <w:r w:rsidRPr="00730DE4">
              <w:rPr>
                <w:rStyle w:val="Strong"/>
              </w:rPr>
              <w:t xml:space="preserve">7,785,380 </w:t>
            </w:r>
          </w:p>
        </w:tc>
      </w:tr>
    </w:tbl>
    <w:p w14:paraId="5B90FA36" w14:textId="77777777" w:rsidR="00730DE4" w:rsidRPr="00730DE4" w:rsidRDefault="00730DE4" w:rsidP="00217B19">
      <w:pPr>
        <w:pStyle w:val="List0"/>
      </w:pPr>
      <w:r w:rsidRPr="00730DE4">
        <w:t>* Work in progress relates to the Gold Coast Light Rail Stage 3 assets.</w:t>
      </w:r>
    </w:p>
    <w:p w14:paraId="63DBD031" w14:textId="77777777" w:rsidR="00730DE4" w:rsidRPr="00730DE4" w:rsidRDefault="00730DE4" w:rsidP="00217B19">
      <w:pPr>
        <w:pStyle w:val="List1"/>
        <w:rPr>
          <w:rStyle w:val="Strong"/>
        </w:rPr>
        <w:sectPr w:rsidR="00730DE4" w:rsidRPr="00730DE4" w:rsidSect="00730DE4">
          <w:headerReference w:type="default" r:id="rId149"/>
          <w:footerReference w:type="default" r:id="rId150"/>
          <w:pgSz w:w="23811" w:h="16838" w:orient="landscape" w:code="8"/>
          <w:pgMar w:top="1134" w:right="1418" w:bottom="1134" w:left="1418" w:header="227" w:footer="227" w:gutter="0"/>
          <w:cols w:space="708"/>
          <w:docGrid w:linePitch="360"/>
        </w:sectPr>
      </w:pPr>
      <w:r w:rsidRPr="00730DE4">
        <w:t>** The department has assessed market sensitivity and fair value movements from the valuation date to 30 June 2023 for its significant assets. Based on the analysis undertaken it was determined that no adjustment to the carrying amount of service concession assets was required at 30 June 2023.</w:t>
      </w:r>
    </w:p>
    <w:p w14:paraId="02CEDB32" w14:textId="77777777" w:rsidR="00730DE4" w:rsidRPr="00730DE4" w:rsidRDefault="00730DE4" w:rsidP="004A5032">
      <w:pPr>
        <w:pStyle w:val="Heading6"/>
      </w:pPr>
      <w:r w:rsidRPr="00730DE4">
        <w:t>Accounting policy</w:t>
      </w:r>
    </w:p>
    <w:p w14:paraId="54BBB626" w14:textId="77777777" w:rsidR="00730DE4" w:rsidRPr="00730DE4" w:rsidRDefault="00730DE4" w:rsidP="003C13D4">
      <w:pPr>
        <w:rPr>
          <w:color w:val="080C0F" w:themeColor="text1"/>
        </w:rPr>
      </w:pPr>
      <w:r w:rsidRPr="00730DE4">
        <w:rPr>
          <w:color w:val="080C0F" w:themeColor="text1"/>
        </w:rPr>
        <w:t>Service concession assets are measured at current replacement cost on initial recognition or reclassification and are subsequently measured at fair value determined using current replacement cost.</w:t>
      </w:r>
    </w:p>
    <w:p w14:paraId="4047B75C" w14:textId="77777777" w:rsidR="00730DE4" w:rsidRPr="00730DE4" w:rsidRDefault="00730DE4" w:rsidP="003C13D4">
      <w:pPr>
        <w:rPr>
          <w:color w:val="080C0F" w:themeColor="text1"/>
        </w:rPr>
      </w:pPr>
      <w:r w:rsidRPr="00730DE4">
        <w:rPr>
          <w:color w:val="080C0F" w:themeColor="text1"/>
        </w:rPr>
        <w:t xml:space="preserve">Assets under service concession arrangements were last revalued by suitably qualified and experienced departmental engineers and various external valuers during the 2020–21 financial year. Assets under service concession arrangements consist of major plant and equipment, plant and equipment, buildings and infrastructure asset classes. </w:t>
      </w:r>
    </w:p>
    <w:p w14:paraId="1A520FF4" w14:textId="77777777" w:rsidR="00730DE4" w:rsidRPr="00730DE4" w:rsidRDefault="00730DE4" w:rsidP="003C13D4">
      <w:pPr>
        <w:rPr>
          <w:color w:val="080C0F" w:themeColor="text1"/>
        </w:rPr>
      </w:pPr>
      <w:r w:rsidRPr="00730DE4">
        <w:rPr>
          <w:color w:val="080C0F" w:themeColor="text1"/>
        </w:rPr>
        <w:t>During 2024 the fair values of assets for the Gold Coast Light Rail – G:link, Toowoomba Bypass, Airportlink and Brisbane Airport Rail Link were remeasured using suitable indices. A full management valuation as at 31 March 2024 was completed by suitably qualified and experienced departmental engineers and staff for Gateway Motorway, Logan Motorway and Port Drive assets.</w:t>
      </w:r>
    </w:p>
    <w:p w14:paraId="593ABAB6" w14:textId="77777777" w:rsidR="00730DE4" w:rsidRPr="00730DE4" w:rsidRDefault="00730DE4" w:rsidP="003C13D4">
      <w:pPr>
        <w:rPr>
          <w:color w:val="080C0F" w:themeColor="text1"/>
        </w:rPr>
      </w:pPr>
      <w:r w:rsidRPr="00730DE4">
        <w:rPr>
          <w:color w:val="080C0F" w:themeColor="text1"/>
        </w:rPr>
        <w:t>Major plant and equipment, plant and equipment, buildings and infrastructure asset measurement and valuation methodologies are disclosed in Note 15.</w:t>
      </w:r>
    </w:p>
    <w:p w14:paraId="3D19C55D" w14:textId="77777777" w:rsidR="00730DE4" w:rsidRPr="00730DE4" w:rsidRDefault="00730DE4" w:rsidP="003C13D4">
      <w:pPr>
        <w:rPr>
          <w:color w:val="080C0F" w:themeColor="text1"/>
        </w:rPr>
      </w:pPr>
      <w:r w:rsidRPr="00730DE4">
        <w:rPr>
          <w:color w:val="080C0F" w:themeColor="text1"/>
        </w:rPr>
        <w:t>The current replacement cost valuation of infrastructure assets undertaken by external valuers takes into consideration the cost of a similar standard asset providing the same functionality in the same location. The new asset is assumed to be constructed to current standards however with no additional functionality.</w:t>
      </w:r>
    </w:p>
    <w:p w14:paraId="20B5542F" w14:textId="77777777" w:rsidR="00730DE4" w:rsidRPr="00730DE4" w:rsidRDefault="00730DE4" w:rsidP="003C13D4">
      <w:pPr>
        <w:rPr>
          <w:color w:val="080C0F" w:themeColor="text1"/>
        </w:rPr>
      </w:pPr>
      <w:r w:rsidRPr="00730DE4">
        <w:rPr>
          <w:color w:val="080C0F" w:themeColor="text1"/>
        </w:rPr>
        <w:t>To ensure the reported carrying amount of the department's service concession assets are not materially different from their market value at reporting date, market sensitivity assessments were undertaken between the valuation date and 30 June.</w:t>
      </w:r>
    </w:p>
    <w:p w14:paraId="676B48EB" w14:textId="77777777" w:rsidR="00730DE4" w:rsidRPr="00730DE4" w:rsidRDefault="00730DE4" w:rsidP="003C13D4">
      <w:pPr>
        <w:rPr>
          <w:color w:val="080C0F" w:themeColor="text1"/>
        </w:rPr>
      </w:pPr>
      <w:r w:rsidRPr="00730DE4">
        <w:rPr>
          <w:color w:val="080C0F" w:themeColor="text1"/>
        </w:rPr>
        <w:t xml:space="preserve">In accordance with AASB 13 </w:t>
      </w:r>
      <w:r w:rsidRPr="00730DE4">
        <w:rPr>
          <w:i/>
          <w:iCs/>
          <w:color w:val="080C0F" w:themeColor="text1"/>
        </w:rPr>
        <w:t>Fair Value Measurement</w:t>
      </w:r>
      <w:r w:rsidRPr="00730DE4">
        <w:rPr>
          <w:color w:val="080C0F" w:themeColor="text1"/>
        </w:rPr>
        <w:t>, the department's service concession assets are categorised as level 3.</w:t>
      </w:r>
    </w:p>
    <w:p w14:paraId="19D941E8" w14:textId="2927F27F" w:rsidR="00730DE4" w:rsidRPr="00730DE4" w:rsidRDefault="00730DE4" w:rsidP="003C13D4">
      <w:pPr>
        <w:rPr>
          <w:color w:val="080C0F" w:themeColor="text1"/>
        </w:rPr>
      </w:pPr>
    </w:p>
    <w:p w14:paraId="3EC20F4A" w14:textId="77777777" w:rsidR="00730DE4" w:rsidRPr="00730DE4" w:rsidRDefault="00730DE4" w:rsidP="003C13D4">
      <w:pPr>
        <w:rPr>
          <w:color w:val="080C0F" w:themeColor="text1"/>
        </w:rPr>
      </w:pPr>
      <w:r w:rsidRPr="00730DE4">
        <w:rPr>
          <w:color w:val="080C0F" w:themeColor="text1"/>
        </w:rPr>
        <w:t>Straight-line depreciation has been applied to all depreciable asset components and the following depreciation rates are applied in each arrangement:</w:t>
      </w:r>
    </w:p>
    <w:tbl>
      <w:tblPr>
        <w:tblW w:w="5000" w:type="pct"/>
        <w:tblCellMar>
          <w:top w:w="23" w:type="dxa"/>
          <w:left w:w="23" w:type="dxa"/>
          <w:bottom w:w="23" w:type="dxa"/>
          <w:right w:w="23" w:type="dxa"/>
        </w:tblCellMar>
        <w:tblLook w:val="04A0" w:firstRow="1" w:lastRow="0" w:firstColumn="1" w:lastColumn="0" w:noHBand="0" w:noVBand="1"/>
      </w:tblPr>
      <w:tblGrid>
        <w:gridCol w:w="3019"/>
        <w:gridCol w:w="3909"/>
        <w:gridCol w:w="2142"/>
      </w:tblGrid>
      <w:tr w:rsidR="00730DE4" w:rsidRPr="00730DE4" w14:paraId="36FA9096" w14:textId="77777777" w:rsidTr="00253FBD">
        <w:trPr>
          <w:cantSplit/>
          <w:trHeight w:val="23"/>
          <w:tblHeader/>
        </w:trPr>
        <w:tc>
          <w:tcPr>
            <w:tcW w:w="1664" w:type="pct"/>
            <w:tcBorders>
              <w:bottom w:val="single" w:sz="4" w:space="0" w:color="080C0F" w:themeColor="text1"/>
            </w:tcBorders>
            <w:shd w:val="clear" w:color="auto" w:fill="auto"/>
            <w:noWrap/>
            <w:vAlign w:val="center"/>
            <w:hideMark/>
          </w:tcPr>
          <w:p w14:paraId="3A33E12D" w14:textId="77777777" w:rsidR="00730DE4" w:rsidRPr="00730DE4" w:rsidRDefault="00730DE4" w:rsidP="000F0A47">
            <w:pPr>
              <w:pStyle w:val="NoSpacing"/>
              <w:rPr>
                <w:color w:val="080C0F" w:themeColor="text1"/>
              </w:rPr>
            </w:pPr>
            <w:r w:rsidRPr="00730DE4">
              <w:rPr>
                <w:rStyle w:val="Strong"/>
              </w:rPr>
              <w:t>Component</w:t>
            </w:r>
          </w:p>
        </w:tc>
        <w:tc>
          <w:tcPr>
            <w:tcW w:w="2155" w:type="pct"/>
            <w:tcBorders>
              <w:bottom w:val="single" w:sz="4" w:space="0" w:color="080C0F" w:themeColor="text1"/>
            </w:tcBorders>
            <w:shd w:val="clear" w:color="auto" w:fill="auto"/>
            <w:noWrap/>
            <w:vAlign w:val="center"/>
            <w:hideMark/>
          </w:tcPr>
          <w:p w14:paraId="73525496" w14:textId="77777777" w:rsidR="00730DE4" w:rsidRPr="00730DE4" w:rsidRDefault="00730DE4" w:rsidP="000F0A47">
            <w:pPr>
              <w:pStyle w:val="NoSpacing"/>
              <w:rPr>
                <w:color w:val="080C0F" w:themeColor="text1"/>
              </w:rPr>
            </w:pPr>
            <w:r w:rsidRPr="00730DE4">
              <w:rPr>
                <w:rStyle w:val="Strong"/>
              </w:rPr>
              <w:t>Service concession arrangement</w:t>
            </w:r>
          </w:p>
        </w:tc>
        <w:tc>
          <w:tcPr>
            <w:tcW w:w="1181" w:type="pct"/>
            <w:tcBorders>
              <w:bottom w:val="single" w:sz="4" w:space="0" w:color="080C0F" w:themeColor="text1"/>
            </w:tcBorders>
            <w:shd w:val="clear" w:color="auto" w:fill="auto"/>
            <w:vAlign w:val="center"/>
            <w:hideMark/>
          </w:tcPr>
          <w:p w14:paraId="3883E525" w14:textId="77777777" w:rsidR="00730DE4" w:rsidRPr="00730DE4" w:rsidRDefault="00730DE4" w:rsidP="000F0A47">
            <w:pPr>
              <w:pStyle w:val="NoSpacing"/>
              <w:rPr>
                <w:rStyle w:val="Strong"/>
              </w:rPr>
            </w:pPr>
            <w:r w:rsidRPr="00730DE4">
              <w:rPr>
                <w:rStyle w:val="Strong"/>
              </w:rPr>
              <w:t>Average useful life</w:t>
            </w:r>
          </w:p>
        </w:tc>
      </w:tr>
      <w:tr w:rsidR="00730DE4" w:rsidRPr="00730DE4" w14:paraId="0AA00770" w14:textId="77777777" w:rsidTr="00253FBD">
        <w:trPr>
          <w:cantSplit/>
          <w:trHeight w:val="23"/>
        </w:trPr>
        <w:tc>
          <w:tcPr>
            <w:tcW w:w="1664" w:type="pct"/>
            <w:tcBorders>
              <w:top w:val="single" w:sz="4" w:space="0" w:color="080C0F" w:themeColor="text1"/>
              <w:bottom w:val="dotted" w:sz="4" w:space="0" w:color="BFBFBF" w:themeColor="background1" w:themeShade="BF"/>
              <w:right w:val="dotted" w:sz="4" w:space="0" w:color="BFBFBF" w:themeColor="background1" w:themeShade="BF"/>
            </w:tcBorders>
            <w:shd w:val="clear" w:color="auto" w:fill="auto"/>
            <w:noWrap/>
            <w:vAlign w:val="center"/>
            <w:hideMark/>
          </w:tcPr>
          <w:p w14:paraId="4589A3A8" w14:textId="77777777" w:rsidR="00730DE4" w:rsidRPr="00730DE4" w:rsidRDefault="00730DE4" w:rsidP="000F0A47">
            <w:pPr>
              <w:pStyle w:val="NoSpacing"/>
              <w:rPr>
                <w:color w:val="080C0F" w:themeColor="text1"/>
              </w:rPr>
            </w:pPr>
            <w:r w:rsidRPr="00730DE4">
              <w:rPr>
                <w:color w:val="080C0F" w:themeColor="text1"/>
              </w:rPr>
              <w:t>Buildings</w:t>
            </w:r>
          </w:p>
        </w:tc>
        <w:tc>
          <w:tcPr>
            <w:tcW w:w="2155" w:type="pct"/>
            <w:tcBorders>
              <w:top w:val="single" w:sz="4" w:space="0" w:color="080C0F" w:themeColor="text1"/>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center"/>
            <w:hideMark/>
          </w:tcPr>
          <w:p w14:paraId="4C5843B7" w14:textId="77777777" w:rsidR="00730DE4" w:rsidRPr="00730DE4" w:rsidRDefault="00730DE4" w:rsidP="000F0A47">
            <w:pPr>
              <w:pStyle w:val="NoSpacing"/>
              <w:rPr>
                <w:color w:val="080C0F" w:themeColor="text1"/>
              </w:rPr>
            </w:pPr>
            <w:r w:rsidRPr="00730DE4">
              <w:rPr>
                <w:color w:val="080C0F" w:themeColor="text1"/>
              </w:rPr>
              <w:t xml:space="preserve">Gold Coast Light Rail </w:t>
            </w:r>
            <w:r w:rsidRPr="00730DE4">
              <w:rPr>
                <w:rStyle w:val="Strong"/>
              </w:rPr>
              <w:t xml:space="preserve">– </w:t>
            </w:r>
            <w:r w:rsidRPr="00730DE4">
              <w:rPr>
                <w:color w:val="080C0F" w:themeColor="text1"/>
              </w:rPr>
              <w:t>G:link</w:t>
            </w:r>
          </w:p>
        </w:tc>
        <w:tc>
          <w:tcPr>
            <w:tcW w:w="1181" w:type="pct"/>
            <w:tcBorders>
              <w:top w:val="single" w:sz="4" w:space="0" w:color="080C0F" w:themeColor="text1"/>
              <w:left w:val="dotted" w:sz="4" w:space="0" w:color="BFBFBF" w:themeColor="background1" w:themeShade="BF"/>
              <w:bottom w:val="dotted" w:sz="4" w:space="0" w:color="BFBFBF" w:themeColor="background1" w:themeShade="BF"/>
            </w:tcBorders>
            <w:shd w:val="clear" w:color="auto" w:fill="auto"/>
            <w:vAlign w:val="center"/>
          </w:tcPr>
          <w:p w14:paraId="712A9B98" w14:textId="77777777" w:rsidR="00730DE4" w:rsidRPr="00730DE4" w:rsidRDefault="00730DE4" w:rsidP="000F0A47">
            <w:pPr>
              <w:pStyle w:val="NoSpacing"/>
              <w:rPr>
                <w:color w:val="080C0F" w:themeColor="text1"/>
              </w:rPr>
            </w:pPr>
            <w:r w:rsidRPr="00730DE4">
              <w:rPr>
                <w:color w:val="080C0F" w:themeColor="text1"/>
              </w:rPr>
              <w:t>29</w:t>
            </w:r>
          </w:p>
        </w:tc>
      </w:tr>
      <w:tr w:rsidR="00730DE4" w:rsidRPr="00730DE4" w14:paraId="2F301F46" w14:textId="77777777" w:rsidTr="00253FBD">
        <w:trPr>
          <w:cantSplit/>
          <w:trHeight w:val="23"/>
        </w:trPr>
        <w:tc>
          <w:tcPr>
            <w:tcW w:w="1664" w:type="pct"/>
            <w:tcBorders>
              <w:top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center"/>
          </w:tcPr>
          <w:p w14:paraId="384A18D9" w14:textId="77777777" w:rsidR="00730DE4" w:rsidRPr="00730DE4" w:rsidRDefault="00730DE4" w:rsidP="000F0A47">
            <w:pPr>
              <w:pStyle w:val="NoSpacing"/>
              <w:rPr>
                <w:color w:val="080C0F" w:themeColor="text1"/>
              </w:rPr>
            </w:pPr>
            <w:r w:rsidRPr="00730DE4">
              <w:rPr>
                <w:color w:val="080C0F" w:themeColor="text1"/>
              </w:rPr>
              <w:t>Plant and equipment</w:t>
            </w:r>
          </w:p>
        </w:tc>
        <w:tc>
          <w:tcPr>
            <w:tcW w:w="215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center"/>
          </w:tcPr>
          <w:p w14:paraId="0DA8096A" w14:textId="77777777" w:rsidR="00730DE4" w:rsidRPr="00730DE4" w:rsidRDefault="00730DE4" w:rsidP="000F0A47">
            <w:pPr>
              <w:pStyle w:val="NoSpacing"/>
              <w:rPr>
                <w:color w:val="080C0F" w:themeColor="text1"/>
              </w:rPr>
            </w:pPr>
            <w:r w:rsidRPr="00730DE4">
              <w:rPr>
                <w:color w:val="080C0F" w:themeColor="text1"/>
              </w:rPr>
              <w:t xml:space="preserve">Gold Coast Light Rail </w:t>
            </w:r>
            <w:r w:rsidRPr="00730DE4">
              <w:rPr>
                <w:rStyle w:val="Strong"/>
              </w:rPr>
              <w:t xml:space="preserve">– </w:t>
            </w:r>
            <w:r w:rsidRPr="00730DE4">
              <w:rPr>
                <w:color w:val="080C0F" w:themeColor="text1"/>
              </w:rPr>
              <w:t>G:link</w:t>
            </w:r>
          </w:p>
        </w:tc>
        <w:tc>
          <w:tcPr>
            <w:tcW w:w="1181" w:type="pct"/>
            <w:tcBorders>
              <w:top w:val="dotted" w:sz="4" w:space="0" w:color="BFBFBF" w:themeColor="background1" w:themeShade="BF"/>
              <w:left w:val="dotted" w:sz="4" w:space="0" w:color="BFBFBF" w:themeColor="background1" w:themeShade="BF"/>
              <w:bottom w:val="dotted" w:sz="4" w:space="0" w:color="BFBFBF" w:themeColor="background1" w:themeShade="BF"/>
            </w:tcBorders>
            <w:shd w:val="clear" w:color="auto" w:fill="auto"/>
            <w:vAlign w:val="center"/>
          </w:tcPr>
          <w:p w14:paraId="027DCD0D" w14:textId="77777777" w:rsidR="00730DE4" w:rsidRPr="00730DE4" w:rsidRDefault="00730DE4" w:rsidP="000F0A47">
            <w:pPr>
              <w:pStyle w:val="NoSpacing"/>
              <w:rPr>
                <w:color w:val="080C0F" w:themeColor="text1"/>
              </w:rPr>
            </w:pPr>
            <w:r w:rsidRPr="00730DE4">
              <w:rPr>
                <w:color w:val="080C0F" w:themeColor="text1"/>
              </w:rPr>
              <w:t>29</w:t>
            </w:r>
          </w:p>
        </w:tc>
      </w:tr>
      <w:tr w:rsidR="00730DE4" w:rsidRPr="00730DE4" w14:paraId="101D2024" w14:textId="77777777" w:rsidTr="00253FBD">
        <w:trPr>
          <w:cantSplit/>
          <w:trHeight w:val="23"/>
        </w:trPr>
        <w:tc>
          <w:tcPr>
            <w:tcW w:w="1664" w:type="pct"/>
            <w:tcBorders>
              <w:top w:val="dotted" w:sz="4" w:space="0" w:color="BFBFBF" w:themeColor="background1" w:themeShade="BF"/>
              <w:right w:val="dotted" w:sz="4" w:space="0" w:color="BFBFBF" w:themeColor="background1" w:themeShade="BF"/>
            </w:tcBorders>
            <w:shd w:val="clear" w:color="auto" w:fill="auto"/>
            <w:noWrap/>
            <w:vAlign w:val="center"/>
          </w:tcPr>
          <w:p w14:paraId="642C9912" w14:textId="77777777" w:rsidR="00730DE4" w:rsidRPr="00730DE4" w:rsidRDefault="00730DE4" w:rsidP="000F0A47">
            <w:pPr>
              <w:pStyle w:val="NoSpacing"/>
              <w:rPr>
                <w:color w:val="080C0F" w:themeColor="text1"/>
              </w:rPr>
            </w:pPr>
            <w:r w:rsidRPr="00730DE4">
              <w:rPr>
                <w:color w:val="080C0F" w:themeColor="text1"/>
              </w:rPr>
              <w:t>Major plant and equipment</w:t>
            </w:r>
          </w:p>
        </w:tc>
        <w:tc>
          <w:tcPr>
            <w:tcW w:w="215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center"/>
          </w:tcPr>
          <w:p w14:paraId="1DF933D0" w14:textId="77777777" w:rsidR="00730DE4" w:rsidRPr="00730DE4" w:rsidRDefault="00730DE4" w:rsidP="000F0A47">
            <w:pPr>
              <w:pStyle w:val="NoSpacing"/>
              <w:rPr>
                <w:color w:val="080C0F" w:themeColor="text1"/>
              </w:rPr>
            </w:pPr>
            <w:r w:rsidRPr="00730DE4">
              <w:rPr>
                <w:color w:val="080C0F" w:themeColor="text1"/>
              </w:rPr>
              <w:t xml:space="preserve">Gold Coast Light Rail </w:t>
            </w:r>
            <w:r w:rsidRPr="00730DE4">
              <w:rPr>
                <w:rStyle w:val="Strong"/>
              </w:rPr>
              <w:t>–</w:t>
            </w:r>
            <w:r w:rsidRPr="00730DE4">
              <w:rPr>
                <w:color w:val="080C0F" w:themeColor="text1"/>
              </w:rPr>
              <w:t xml:space="preserve"> G:link</w:t>
            </w:r>
          </w:p>
        </w:tc>
        <w:tc>
          <w:tcPr>
            <w:tcW w:w="1181" w:type="pct"/>
            <w:tcBorders>
              <w:top w:val="dotted" w:sz="4" w:space="0" w:color="BFBFBF" w:themeColor="background1" w:themeShade="BF"/>
              <w:left w:val="dotted" w:sz="4" w:space="0" w:color="BFBFBF" w:themeColor="background1" w:themeShade="BF"/>
              <w:bottom w:val="dotted" w:sz="4" w:space="0" w:color="BFBFBF" w:themeColor="background1" w:themeShade="BF"/>
            </w:tcBorders>
            <w:shd w:val="clear" w:color="auto" w:fill="auto"/>
            <w:vAlign w:val="center"/>
          </w:tcPr>
          <w:p w14:paraId="7C457818" w14:textId="77777777" w:rsidR="00730DE4" w:rsidRPr="00730DE4" w:rsidRDefault="00730DE4" w:rsidP="000F0A47">
            <w:pPr>
              <w:pStyle w:val="NoSpacing"/>
              <w:rPr>
                <w:color w:val="080C0F" w:themeColor="text1"/>
              </w:rPr>
            </w:pPr>
            <w:r w:rsidRPr="00730DE4">
              <w:rPr>
                <w:color w:val="080C0F" w:themeColor="text1"/>
              </w:rPr>
              <w:t>32</w:t>
            </w:r>
          </w:p>
        </w:tc>
      </w:tr>
      <w:tr w:rsidR="00730DE4" w:rsidRPr="00730DE4" w14:paraId="70E810EA" w14:textId="77777777" w:rsidTr="00253FBD">
        <w:trPr>
          <w:cantSplit/>
          <w:trHeight w:val="23"/>
        </w:trPr>
        <w:tc>
          <w:tcPr>
            <w:tcW w:w="1664" w:type="pct"/>
            <w:tcBorders>
              <w:top w:val="dotted" w:sz="4" w:space="0" w:color="BFBFBF" w:themeColor="background1" w:themeShade="BF"/>
              <w:right w:val="dotted" w:sz="4" w:space="0" w:color="BFBFBF" w:themeColor="background1" w:themeShade="BF"/>
            </w:tcBorders>
            <w:shd w:val="clear" w:color="auto" w:fill="auto"/>
            <w:noWrap/>
            <w:vAlign w:val="center"/>
          </w:tcPr>
          <w:p w14:paraId="4866BC73" w14:textId="77777777" w:rsidR="00730DE4" w:rsidRPr="00730DE4" w:rsidRDefault="00730DE4" w:rsidP="00217B19">
            <w:pPr>
              <w:pStyle w:val="NoSpacing"/>
              <w:rPr>
                <w:color w:val="080C0F" w:themeColor="text1"/>
              </w:rPr>
            </w:pPr>
            <w:r w:rsidRPr="00730DE4">
              <w:rPr>
                <w:color w:val="080C0F" w:themeColor="text1"/>
              </w:rPr>
              <w:t>Infrastructure</w:t>
            </w:r>
          </w:p>
        </w:tc>
        <w:tc>
          <w:tcPr>
            <w:tcW w:w="215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center"/>
          </w:tcPr>
          <w:p w14:paraId="28586A89" w14:textId="77777777" w:rsidR="00730DE4" w:rsidRPr="00730DE4" w:rsidRDefault="00730DE4" w:rsidP="00217B19">
            <w:pPr>
              <w:pStyle w:val="NoSpacing"/>
              <w:rPr>
                <w:color w:val="080C0F" w:themeColor="text1"/>
              </w:rPr>
            </w:pPr>
            <w:r w:rsidRPr="00730DE4">
              <w:rPr>
                <w:color w:val="080C0F" w:themeColor="text1"/>
              </w:rPr>
              <w:t xml:space="preserve">Gold Coast Light Rail </w:t>
            </w:r>
            <w:r w:rsidRPr="00730DE4">
              <w:rPr>
                <w:rStyle w:val="Strong"/>
              </w:rPr>
              <w:t xml:space="preserve">– </w:t>
            </w:r>
            <w:r w:rsidRPr="00730DE4">
              <w:rPr>
                <w:color w:val="080C0F" w:themeColor="text1"/>
              </w:rPr>
              <w:t>G:link</w:t>
            </w:r>
          </w:p>
        </w:tc>
        <w:tc>
          <w:tcPr>
            <w:tcW w:w="1181" w:type="pct"/>
            <w:tcBorders>
              <w:top w:val="dotted" w:sz="4" w:space="0" w:color="BFBFBF" w:themeColor="background1" w:themeShade="BF"/>
              <w:left w:val="dotted" w:sz="4" w:space="0" w:color="BFBFBF" w:themeColor="background1" w:themeShade="BF"/>
              <w:bottom w:val="dotted" w:sz="4" w:space="0" w:color="BFBFBF" w:themeColor="background1" w:themeShade="BF"/>
            </w:tcBorders>
            <w:shd w:val="clear" w:color="auto" w:fill="auto"/>
            <w:vAlign w:val="center"/>
          </w:tcPr>
          <w:p w14:paraId="62FBCCAE" w14:textId="77777777" w:rsidR="00730DE4" w:rsidRPr="00730DE4" w:rsidRDefault="00730DE4" w:rsidP="00217B19">
            <w:pPr>
              <w:pStyle w:val="NoSpacing"/>
              <w:rPr>
                <w:color w:val="080C0F" w:themeColor="text1"/>
              </w:rPr>
            </w:pPr>
            <w:r w:rsidRPr="00730DE4">
              <w:rPr>
                <w:color w:val="080C0F" w:themeColor="text1"/>
              </w:rPr>
              <w:t>78</w:t>
            </w:r>
          </w:p>
        </w:tc>
      </w:tr>
      <w:tr w:rsidR="00730DE4" w:rsidRPr="00730DE4" w14:paraId="2FC6ACF3" w14:textId="77777777" w:rsidTr="00253FBD">
        <w:trPr>
          <w:cantSplit/>
          <w:trHeight w:val="23"/>
        </w:trPr>
        <w:tc>
          <w:tcPr>
            <w:tcW w:w="1664" w:type="pct"/>
            <w:tcBorders>
              <w:top w:val="dotted" w:sz="4" w:space="0" w:color="BFBFBF" w:themeColor="background1" w:themeShade="BF"/>
              <w:right w:val="dotted" w:sz="4" w:space="0" w:color="BFBFBF" w:themeColor="background1" w:themeShade="BF"/>
            </w:tcBorders>
            <w:shd w:val="clear" w:color="auto" w:fill="auto"/>
            <w:noWrap/>
            <w:vAlign w:val="center"/>
          </w:tcPr>
          <w:p w14:paraId="11DDDBD2" w14:textId="77777777" w:rsidR="00730DE4" w:rsidRPr="00730DE4" w:rsidRDefault="00730DE4" w:rsidP="00217B19">
            <w:pPr>
              <w:pStyle w:val="NoSpacing"/>
              <w:rPr>
                <w:color w:val="080C0F" w:themeColor="text1"/>
              </w:rPr>
            </w:pPr>
            <w:r w:rsidRPr="00730DE4">
              <w:rPr>
                <w:color w:val="080C0F" w:themeColor="text1"/>
              </w:rPr>
              <w:t>Infrastructure</w:t>
            </w:r>
          </w:p>
        </w:tc>
        <w:tc>
          <w:tcPr>
            <w:tcW w:w="215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center"/>
          </w:tcPr>
          <w:p w14:paraId="0746AFAE" w14:textId="77777777" w:rsidR="00730DE4" w:rsidRPr="00730DE4" w:rsidRDefault="00730DE4" w:rsidP="00217B19">
            <w:pPr>
              <w:pStyle w:val="NoSpacing"/>
              <w:rPr>
                <w:color w:val="080C0F" w:themeColor="text1"/>
              </w:rPr>
            </w:pPr>
            <w:r w:rsidRPr="00730DE4">
              <w:rPr>
                <w:color w:val="080C0F" w:themeColor="text1"/>
              </w:rPr>
              <w:t>Toowoomba Bypass *</w:t>
            </w:r>
          </w:p>
        </w:tc>
        <w:tc>
          <w:tcPr>
            <w:tcW w:w="1181" w:type="pct"/>
            <w:tcBorders>
              <w:top w:val="dotted" w:sz="4" w:space="0" w:color="BFBFBF" w:themeColor="background1" w:themeShade="BF"/>
              <w:left w:val="dotted" w:sz="4" w:space="0" w:color="BFBFBF" w:themeColor="background1" w:themeShade="BF"/>
              <w:bottom w:val="dotted" w:sz="4" w:space="0" w:color="BFBFBF" w:themeColor="background1" w:themeShade="BF"/>
            </w:tcBorders>
            <w:shd w:val="clear" w:color="auto" w:fill="auto"/>
            <w:vAlign w:val="center"/>
          </w:tcPr>
          <w:p w14:paraId="3DCE5604" w14:textId="77777777" w:rsidR="00730DE4" w:rsidRPr="00730DE4" w:rsidRDefault="00730DE4" w:rsidP="00217B19">
            <w:pPr>
              <w:pStyle w:val="NoSpacing"/>
              <w:rPr>
                <w:color w:val="080C0F" w:themeColor="text1"/>
              </w:rPr>
            </w:pPr>
            <w:r w:rsidRPr="00730DE4">
              <w:rPr>
                <w:color w:val="080C0F" w:themeColor="text1"/>
              </w:rPr>
              <w:t>82</w:t>
            </w:r>
          </w:p>
        </w:tc>
      </w:tr>
      <w:tr w:rsidR="00730DE4" w:rsidRPr="00730DE4" w14:paraId="69524E65" w14:textId="77777777" w:rsidTr="00253FBD">
        <w:trPr>
          <w:cantSplit/>
          <w:trHeight w:val="23"/>
        </w:trPr>
        <w:tc>
          <w:tcPr>
            <w:tcW w:w="1664" w:type="pct"/>
            <w:tcBorders>
              <w:top w:val="dotted" w:sz="4" w:space="0" w:color="BFBFBF" w:themeColor="background1" w:themeShade="BF"/>
              <w:right w:val="dotted" w:sz="4" w:space="0" w:color="BFBFBF" w:themeColor="background1" w:themeShade="BF"/>
            </w:tcBorders>
            <w:shd w:val="clear" w:color="auto" w:fill="auto"/>
            <w:noWrap/>
            <w:vAlign w:val="center"/>
          </w:tcPr>
          <w:p w14:paraId="73E5A36A" w14:textId="77777777" w:rsidR="00730DE4" w:rsidRPr="00730DE4" w:rsidRDefault="00730DE4" w:rsidP="00217B19">
            <w:pPr>
              <w:pStyle w:val="NoSpacing"/>
              <w:rPr>
                <w:color w:val="080C0F" w:themeColor="text1"/>
              </w:rPr>
            </w:pPr>
            <w:r w:rsidRPr="00730DE4">
              <w:rPr>
                <w:color w:val="080C0F" w:themeColor="text1"/>
              </w:rPr>
              <w:t>Infrastructure</w:t>
            </w:r>
          </w:p>
        </w:tc>
        <w:tc>
          <w:tcPr>
            <w:tcW w:w="215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center"/>
          </w:tcPr>
          <w:p w14:paraId="4BBB221A" w14:textId="77777777" w:rsidR="00730DE4" w:rsidRPr="00730DE4" w:rsidRDefault="00730DE4" w:rsidP="00217B19">
            <w:pPr>
              <w:pStyle w:val="NoSpacing"/>
              <w:rPr>
                <w:color w:val="080C0F" w:themeColor="text1"/>
              </w:rPr>
            </w:pPr>
            <w:r w:rsidRPr="00730DE4">
              <w:rPr>
                <w:color w:val="080C0F" w:themeColor="text1"/>
              </w:rPr>
              <w:t>Airportlink M7 *</w:t>
            </w:r>
          </w:p>
        </w:tc>
        <w:tc>
          <w:tcPr>
            <w:tcW w:w="1181" w:type="pct"/>
            <w:tcBorders>
              <w:top w:val="dotted" w:sz="4" w:space="0" w:color="BFBFBF" w:themeColor="background1" w:themeShade="BF"/>
              <w:left w:val="dotted" w:sz="4" w:space="0" w:color="BFBFBF" w:themeColor="background1" w:themeShade="BF"/>
              <w:bottom w:val="dotted" w:sz="4" w:space="0" w:color="BFBFBF" w:themeColor="background1" w:themeShade="BF"/>
            </w:tcBorders>
            <w:shd w:val="clear" w:color="auto" w:fill="auto"/>
            <w:vAlign w:val="center"/>
          </w:tcPr>
          <w:p w14:paraId="65181E61" w14:textId="77777777" w:rsidR="00730DE4" w:rsidRPr="00730DE4" w:rsidRDefault="00730DE4" w:rsidP="00217B19">
            <w:pPr>
              <w:pStyle w:val="NoSpacing"/>
              <w:rPr>
                <w:color w:val="080C0F" w:themeColor="text1"/>
              </w:rPr>
            </w:pPr>
            <w:r w:rsidRPr="00730DE4">
              <w:rPr>
                <w:color w:val="080C0F" w:themeColor="text1"/>
              </w:rPr>
              <w:t>46</w:t>
            </w:r>
          </w:p>
        </w:tc>
      </w:tr>
      <w:tr w:rsidR="00730DE4" w:rsidRPr="00730DE4" w14:paraId="1B04BF3A" w14:textId="77777777" w:rsidTr="00253FBD">
        <w:trPr>
          <w:cantSplit/>
          <w:trHeight w:val="23"/>
        </w:trPr>
        <w:tc>
          <w:tcPr>
            <w:tcW w:w="1664" w:type="pct"/>
            <w:tcBorders>
              <w:top w:val="dotted" w:sz="4" w:space="0" w:color="BFBFBF" w:themeColor="background1" w:themeShade="BF"/>
              <w:right w:val="dotted" w:sz="4" w:space="0" w:color="BFBFBF" w:themeColor="background1" w:themeShade="BF"/>
            </w:tcBorders>
            <w:shd w:val="clear" w:color="auto" w:fill="auto"/>
            <w:noWrap/>
            <w:vAlign w:val="center"/>
          </w:tcPr>
          <w:p w14:paraId="15966CC2" w14:textId="77777777" w:rsidR="00730DE4" w:rsidRPr="00730DE4" w:rsidRDefault="00730DE4" w:rsidP="00217B19">
            <w:pPr>
              <w:pStyle w:val="NoSpacing"/>
              <w:rPr>
                <w:color w:val="080C0F" w:themeColor="text1"/>
              </w:rPr>
            </w:pPr>
            <w:r w:rsidRPr="00730DE4">
              <w:rPr>
                <w:color w:val="080C0F" w:themeColor="text1"/>
              </w:rPr>
              <w:t>Infrastructure</w:t>
            </w:r>
          </w:p>
        </w:tc>
        <w:tc>
          <w:tcPr>
            <w:tcW w:w="215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center"/>
          </w:tcPr>
          <w:p w14:paraId="46D70FD0" w14:textId="77777777" w:rsidR="00730DE4" w:rsidRPr="00730DE4" w:rsidRDefault="00730DE4" w:rsidP="00217B19">
            <w:pPr>
              <w:pStyle w:val="NoSpacing"/>
              <w:rPr>
                <w:color w:val="080C0F" w:themeColor="text1"/>
              </w:rPr>
            </w:pPr>
            <w:r w:rsidRPr="00730DE4">
              <w:rPr>
                <w:color w:val="080C0F" w:themeColor="text1"/>
              </w:rPr>
              <w:t>Gateway Motorway *</w:t>
            </w:r>
          </w:p>
        </w:tc>
        <w:tc>
          <w:tcPr>
            <w:tcW w:w="1181" w:type="pct"/>
            <w:tcBorders>
              <w:top w:val="dotted" w:sz="4" w:space="0" w:color="BFBFBF" w:themeColor="background1" w:themeShade="BF"/>
              <w:left w:val="dotted" w:sz="4" w:space="0" w:color="BFBFBF" w:themeColor="background1" w:themeShade="BF"/>
              <w:bottom w:val="dotted" w:sz="4" w:space="0" w:color="BFBFBF" w:themeColor="background1" w:themeShade="BF"/>
            </w:tcBorders>
            <w:shd w:val="clear" w:color="auto" w:fill="auto"/>
            <w:vAlign w:val="center"/>
          </w:tcPr>
          <w:p w14:paraId="43868763" w14:textId="77777777" w:rsidR="00730DE4" w:rsidRPr="00730DE4" w:rsidRDefault="00730DE4" w:rsidP="00217B19">
            <w:pPr>
              <w:pStyle w:val="NoSpacing"/>
              <w:rPr>
                <w:color w:val="080C0F" w:themeColor="text1"/>
              </w:rPr>
            </w:pPr>
            <w:r w:rsidRPr="00730DE4">
              <w:rPr>
                <w:color w:val="080C0F" w:themeColor="text1"/>
              </w:rPr>
              <w:t>83</w:t>
            </w:r>
          </w:p>
        </w:tc>
      </w:tr>
      <w:tr w:rsidR="00730DE4" w:rsidRPr="00730DE4" w14:paraId="2E2B55A6" w14:textId="77777777" w:rsidTr="00253FBD">
        <w:trPr>
          <w:cantSplit/>
          <w:trHeight w:val="23"/>
        </w:trPr>
        <w:tc>
          <w:tcPr>
            <w:tcW w:w="1664" w:type="pct"/>
            <w:tcBorders>
              <w:top w:val="dotted" w:sz="4" w:space="0" w:color="BFBFBF" w:themeColor="background1" w:themeShade="BF"/>
              <w:right w:val="dotted" w:sz="4" w:space="0" w:color="BFBFBF" w:themeColor="background1" w:themeShade="BF"/>
            </w:tcBorders>
            <w:shd w:val="clear" w:color="auto" w:fill="auto"/>
            <w:noWrap/>
            <w:vAlign w:val="center"/>
          </w:tcPr>
          <w:p w14:paraId="2028DAE1" w14:textId="77777777" w:rsidR="00730DE4" w:rsidRPr="00730DE4" w:rsidRDefault="00730DE4" w:rsidP="00217B19">
            <w:pPr>
              <w:pStyle w:val="NoSpacing"/>
              <w:rPr>
                <w:color w:val="080C0F" w:themeColor="text1"/>
              </w:rPr>
            </w:pPr>
            <w:r w:rsidRPr="00730DE4">
              <w:rPr>
                <w:color w:val="080C0F" w:themeColor="text1"/>
              </w:rPr>
              <w:t>Infrastructure</w:t>
            </w:r>
          </w:p>
        </w:tc>
        <w:tc>
          <w:tcPr>
            <w:tcW w:w="215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center"/>
          </w:tcPr>
          <w:p w14:paraId="5A61B62A" w14:textId="77777777" w:rsidR="00730DE4" w:rsidRPr="00730DE4" w:rsidRDefault="00730DE4" w:rsidP="00217B19">
            <w:pPr>
              <w:pStyle w:val="NoSpacing"/>
              <w:rPr>
                <w:color w:val="080C0F" w:themeColor="text1"/>
              </w:rPr>
            </w:pPr>
            <w:r w:rsidRPr="00730DE4">
              <w:rPr>
                <w:color w:val="080C0F" w:themeColor="text1"/>
              </w:rPr>
              <w:t>Logan Motorway *</w:t>
            </w:r>
          </w:p>
        </w:tc>
        <w:tc>
          <w:tcPr>
            <w:tcW w:w="1181" w:type="pct"/>
            <w:tcBorders>
              <w:top w:val="dotted" w:sz="4" w:space="0" w:color="BFBFBF" w:themeColor="background1" w:themeShade="BF"/>
              <w:left w:val="dotted" w:sz="4" w:space="0" w:color="BFBFBF" w:themeColor="background1" w:themeShade="BF"/>
              <w:bottom w:val="dotted" w:sz="4" w:space="0" w:color="BFBFBF" w:themeColor="background1" w:themeShade="BF"/>
            </w:tcBorders>
            <w:shd w:val="clear" w:color="auto" w:fill="auto"/>
            <w:vAlign w:val="center"/>
          </w:tcPr>
          <w:p w14:paraId="71964D96" w14:textId="77777777" w:rsidR="00730DE4" w:rsidRPr="00730DE4" w:rsidRDefault="00730DE4" w:rsidP="00217B19">
            <w:pPr>
              <w:pStyle w:val="NoSpacing"/>
              <w:rPr>
                <w:color w:val="080C0F" w:themeColor="text1"/>
              </w:rPr>
            </w:pPr>
            <w:r w:rsidRPr="00730DE4">
              <w:rPr>
                <w:color w:val="080C0F" w:themeColor="text1"/>
              </w:rPr>
              <w:t>66</w:t>
            </w:r>
          </w:p>
        </w:tc>
      </w:tr>
      <w:tr w:rsidR="00730DE4" w:rsidRPr="00730DE4" w14:paraId="7141A674" w14:textId="77777777" w:rsidTr="00217B19">
        <w:trPr>
          <w:cantSplit/>
          <w:trHeight w:val="23"/>
        </w:trPr>
        <w:tc>
          <w:tcPr>
            <w:tcW w:w="1664" w:type="pct"/>
            <w:tcBorders>
              <w:top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center"/>
          </w:tcPr>
          <w:p w14:paraId="4F819958" w14:textId="77777777" w:rsidR="00730DE4" w:rsidRPr="00730DE4" w:rsidRDefault="00730DE4" w:rsidP="00217B19">
            <w:pPr>
              <w:pStyle w:val="NoSpacing"/>
              <w:rPr>
                <w:color w:val="080C0F" w:themeColor="text1"/>
              </w:rPr>
            </w:pPr>
            <w:r w:rsidRPr="00730DE4">
              <w:rPr>
                <w:color w:val="080C0F" w:themeColor="text1"/>
              </w:rPr>
              <w:t>Infrastructure</w:t>
            </w:r>
          </w:p>
        </w:tc>
        <w:tc>
          <w:tcPr>
            <w:tcW w:w="215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center"/>
          </w:tcPr>
          <w:p w14:paraId="39E4AF38" w14:textId="77777777" w:rsidR="00730DE4" w:rsidRPr="00730DE4" w:rsidRDefault="00730DE4" w:rsidP="00217B19">
            <w:pPr>
              <w:pStyle w:val="NoSpacing"/>
              <w:rPr>
                <w:color w:val="080C0F" w:themeColor="text1"/>
              </w:rPr>
            </w:pPr>
            <w:r w:rsidRPr="00730DE4">
              <w:rPr>
                <w:color w:val="080C0F" w:themeColor="text1"/>
              </w:rPr>
              <w:t>Port Drive *</w:t>
            </w:r>
          </w:p>
        </w:tc>
        <w:tc>
          <w:tcPr>
            <w:tcW w:w="1181" w:type="pct"/>
            <w:tcBorders>
              <w:top w:val="dotted" w:sz="4" w:space="0" w:color="BFBFBF" w:themeColor="background1" w:themeShade="BF"/>
              <w:left w:val="dotted" w:sz="4" w:space="0" w:color="BFBFBF" w:themeColor="background1" w:themeShade="BF"/>
              <w:bottom w:val="dotted" w:sz="4" w:space="0" w:color="BFBFBF" w:themeColor="background1" w:themeShade="BF"/>
            </w:tcBorders>
            <w:shd w:val="clear" w:color="auto" w:fill="auto"/>
            <w:vAlign w:val="center"/>
          </w:tcPr>
          <w:p w14:paraId="1522C08D" w14:textId="77777777" w:rsidR="00730DE4" w:rsidRPr="00730DE4" w:rsidRDefault="00730DE4" w:rsidP="00217B19">
            <w:pPr>
              <w:pStyle w:val="NoSpacing"/>
              <w:rPr>
                <w:color w:val="080C0F" w:themeColor="text1"/>
              </w:rPr>
            </w:pPr>
            <w:r w:rsidRPr="00730DE4">
              <w:rPr>
                <w:color w:val="080C0F" w:themeColor="text1"/>
              </w:rPr>
              <w:t>47</w:t>
            </w:r>
          </w:p>
        </w:tc>
      </w:tr>
      <w:tr w:rsidR="00730DE4" w:rsidRPr="00730DE4" w14:paraId="42C3660C" w14:textId="77777777" w:rsidTr="00217B19">
        <w:trPr>
          <w:cantSplit/>
          <w:trHeight w:val="23"/>
        </w:trPr>
        <w:tc>
          <w:tcPr>
            <w:tcW w:w="1664" w:type="pct"/>
            <w:tcBorders>
              <w:top w:val="dotted" w:sz="4" w:space="0" w:color="BFBFBF" w:themeColor="background1" w:themeShade="BF"/>
              <w:bottom w:val="single" w:sz="4" w:space="0" w:color="auto"/>
              <w:right w:val="dotted" w:sz="4" w:space="0" w:color="BFBFBF" w:themeColor="background1" w:themeShade="BF"/>
            </w:tcBorders>
            <w:shd w:val="clear" w:color="auto" w:fill="auto"/>
            <w:noWrap/>
            <w:vAlign w:val="center"/>
          </w:tcPr>
          <w:p w14:paraId="7E9BAA0C" w14:textId="77777777" w:rsidR="00730DE4" w:rsidRPr="00730DE4" w:rsidRDefault="00730DE4" w:rsidP="00217B19">
            <w:pPr>
              <w:pStyle w:val="NoSpacing"/>
              <w:rPr>
                <w:color w:val="080C0F" w:themeColor="text1"/>
              </w:rPr>
            </w:pPr>
            <w:r w:rsidRPr="00730DE4">
              <w:rPr>
                <w:color w:val="080C0F" w:themeColor="text1"/>
              </w:rPr>
              <w:t>Infrastructure</w:t>
            </w:r>
          </w:p>
        </w:tc>
        <w:tc>
          <w:tcPr>
            <w:tcW w:w="2155"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center"/>
          </w:tcPr>
          <w:p w14:paraId="34D77C94" w14:textId="77777777" w:rsidR="00730DE4" w:rsidRPr="00730DE4" w:rsidRDefault="00730DE4" w:rsidP="00217B19">
            <w:pPr>
              <w:pStyle w:val="NoSpacing"/>
              <w:rPr>
                <w:color w:val="080C0F" w:themeColor="text1"/>
              </w:rPr>
            </w:pPr>
            <w:r w:rsidRPr="00730DE4">
              <w:rPr>
                <w:color w:val="080C0F" w:themeColor="text1"/>
              </w:rPr>
              <w:t>Brisbane Airport Rail Link</w:t>
            </w:r>
          </w:p>
        </w:tc>
        <w:tc>
          <w:tcPr>
            <w:tcW w:w="1181" w:type="pct"/>
            <w:tcBorders>
              <w:top w:val="dotted" w:sz="4" w:space="0" w:color="BFBFBF" w:themeColor="background1" w:themeShade="BF"/>
              <w:left w:val="dotted" w:sz="4" w:space="0" w:color="BFBFBF" w:themeColor="background1" w:themeShade="BF"/>
              <w:bottom w:val="single" w:sz="4" w:space="0" w:color="auto"/>
            </w:tcBorders>
            <w:shd w:val="clear" w:color="auto" w:fill="auto"/>
            <w:vAlign w:val="center"/>
          </w:tcPr>
          <w:p w14:paraId="49D31B19" w14:textId="77777777" w:rsidR="00730DE4" w:rsidRPr="00730DE4" w:rsidRDefault="00730DE4" w:rsidP="00217B19">
            <w:pPr>
              <w:pStyle w:val="NoSpacing"/>
              <w:rPr>
                <w:color w:val="080C0F" w:themeColor="text1"/>
              </w:rPr>
            </w:pPr>
            <w:r w:rsidRPr="00730DE4">
              <w:rPr>
                <w:color w:val="080C0F" w:themeColor="text1"/>
              </w:rPr>
              <w:t>46</w:t>
            </w:r>
          </w:p>
        </w:tc>
      </w:tr>
    </w:tbl>
    <w:p w14:paraId="5D2EBDA3" w14:textId="77777777" w:rsidR="00730DE4" w:rsidRPr="00730DE4" w:rsidRDefault="00730DE4" w:rsidP="000F0A47">
      <w:pPr>
        <w:pStyle w:val="Caption"/>
      </w:pPr>
      <w:r w:rsidRPr="00730DE4">
        <w:t>* Arrangements containing formation earthworks asset components which are non-depreciable.</w:t>
      </w:r>
    </w:p>
    <w:p w14:paraId="652E09E7" w14:textId="77777777" w:rsidR="00730DE4" w:rsidRPr="00730DE4" w:rsidRDefault="00730DE4" w:rsidP="004A5032">
      <w:pPr>
        <w:pStyle w:val="Heading6"/>
      </w:pPr>
      <w:r w:rsidRPr="00730DE4">
        <w:t>Gold Coast Light Rail – G:link</w:t>
      </w:r>
    </w:p>
    <w:p w14:paraId="323ECE24" w14:textId="77777777" w:rsidR="00730DE4" w:rsidRPr="00730DE4" w:rsidRDefault="00730DE4" w:rsidP="003C13D4">
      <w:pPr>
        <w:rPr>
          <w:color w:val="080C0F" w:themeColor="text1"/>
        </w:rPr>
      </w:pPr>
      <w:r w:rsidRPr="00730DE4">
        <w:rPr>
          <w:color w:val="080C0F" w:themeColor="text1"/>
        </w:rPr>
        <w:t xml:space="preserve">In May 2011 the department entered into a contractual arrangement with GoldLinQ Consortium to finance, design, build, operate and maintain a 13 kilometre light rail system linking key activity centres from Griffith University (Gold Coast Campus) and the Gold Coast University Hospital to Broadbeach via Southport. On 20 July 2014 construction was completed and the G:link commenced operations. </w:t>
      </w:r>
    </w:p>
    <w:p w14:paraId="2E771225" w14:textId="77777777" w:rsidR="00730DE4" w:rsidRPr="00730DE4" w:rsidRDefault="00730DE4" w:rsidP="003C13D4">
      <w:pPr>
        <w:rPr>
          <w:color w:val="080C0F" w:themeColor="text1"/>
        </w:rPr>
      </w:pPr>
      <w:r w:rsidRPr="00730DE4">
        <w:rPr>
          <w:color w:val="080C0F" w:themeColor="text1"/>
        </w:rPr>
        <w:t>On 28 April 2016 the department entered into a contractual arrangement with GoldLinQ for Stage 2 of the Gold Coast Light Rail system. The 7.3km Stage 2 route connects the existing light rail system at Gold Coast University Hospital to heavy rail at Helensvale station. Stage 2 of the system commenced operations on 18 December 2017.</w:t>
      </w:r>
    </w:p>
    <w:p w14:paraId="28FFF1D4" w14:textId="77777777" w:rsidR="00730DE4" w:rsidRPr="00730DE4" w:rsidRDefault="00730DE4" w:rsidP="003C13D4">
      <w:pPr>
        <w:rPr>
          <w:color w:val="080C0F" w:themeColor="text1"/>
        </w:rPr>
      </w:pPr>
      <w:r w:rsidRPr="00730DE4">
        <w:rPr>
          <w:color w:val="080C0F" w:themeColor="text1"/>
        </w:rPr>
        <w:t xml:space="preserve">During the 15 year operations period, at an implicit rate of 9.23%, GoldLinQ is paid monthly performance based payments for operations, maintenance and repayment of the debt finance used to construct the light rail system. The state receives fare-box and advertising revenue generated by the light rail system. </w:t>
      </w:r>
    </w:p>
    <w:p w14:paraId="7DED2A6D" w14:textId="77777777" w:rsidR="00730DE4" w:rsidRPr="00730DE4" w:rsidRDefault="00730DE4" w:rsidP="003C13D4">
      <w:pPr>
        <w:rPr>
          <w:color w:val="080C0F" w:themeColor="text1"/>
        </w:rPr>
      </w:pPr>
      <w:r w:rsidRPr="00730DE4">
        <w:rPr>
          <w:color w:val="080C0F" w:themeColor="text1"/>
        </w:rPr>
        <w:t>In March 2022 the department entered into a contractual arrangement with GoldLinQ for Stage 3 of the Gold Coast Light Rail system. Early works have been completed and construction on Stage 3 of the system has commenced. Stage 3 will extend the light rail from Broadbeach to Burleigh Heads. The 6.7km extension south of the existing tram network will link Helensvale to Burleigh Heads and provide eight additional stations and five new light rail vehicles.</w:t>
      </w:r>
    </w:p>
    <w:p w14:paraId="0E81A4B1" w14:textId="77777777" w:rsidR="00730DE4" w:rsidRPr="00730DE4" w:rsidRDefault="00730DE4" w:rsidP="003C13D4">
      <w:pPr>
        <w:rPr>
          <w:color w:val="080C0F" w:themeColor="text1"/>
        </w:rPr>
      </w:pPr>
      <w:r w:rsidRPr="00730DE4">
        <w:rPr>
          <w:color w:val="080C0F" w:themeColor="text1"/>
        </w:rPr>
        <w:t>Planning has begun for the Gold Coast Light Rail Stage 4, a 13km extension south of the light rail Stage 3, linking Burleigh Heads to Coolangatta via the Gold Coast Airport.</w:t>
      </w:r>
    </w:p>
    <w:p w14:paraId="1E97CEFA" w14:textId="77777777" w:rsidR="00730DE4" w:rsidRPr="00730DE4" w:rsidRDefault="00730DE4" w:rsidP="003C13D4">
      <w:pPr>
        <w:rPr>
          <w:color w:val="080C0F" w:themeColor="text1"/>
        </w:rPr>
      </w:pPr>
      <w:r w:rsidRPr="00730DE4">
        <w:rPr>
          <w:color w:val="080C0F" w:themeColor="text1"/>
        </w:rPr>
        <w:t>At the expiry of the concession period the department will retain ownership of the light rail system.</w:t>
      </w:r>
    </w:p>
    <w:p w14:paraId="40EC1AE5" w14:textId="77777777" w:rsidR="00730DE4" w:rsidRPr="00730DE4" w:rsidRDefault="00730DE4" w:rsidP="003C13D4">
      <w:pPr>
        <w:rPr>
          <w:color w:val="080C0F" w:themeColor="text1"/>
        </w:rPr>
      </w:pPr>
      <w:r w:rsidRPr="00730DE4">
        <w:rPr>
          <w:color w:val="080C0F" w:themeColor="text1"/>
        </w:rPr>
        <w:t>The estimated future cash flows excluding GST are detailed below:</w:t>
      </w:r>
    </w:p>
    <w:p w14:paraId="3CD0A75F" w14:textId="77777777" w:rsidR="00730DE4" w:rsidRPr="00730DE4" w:rsidRDefault="00730DE4" w:rsidP="000F0A47">
      <w:pPr>
        <w:pStyle w:val="NoSpacing"/>
      </w:pPr>
    </w:p>
    <w:tbl>
      <w:tblPr>
        <w:tblW w:w="5000" w:type="pct"/>
        <w:tblCellMar>
          <w:top w:w="23" w:type="dxa"/>
          <w:left w:w="23" w:type="dxa"/>
          <w:bottom w:w="23" w:type="dxa"/>
          <w:right w:w="23" w:type="dxa"/>
        </w:tblCellMar>
        <w:tblLook w:val="04A0" w:firstRow="1" w:lastRow="0" w:firstColumn="1" w:lastColumn="0" w:noHBand="0" w:noVBand="1"/>
      </w:tblPr>
      <w:tblGrid>
        <w:gridCol w:w="5224"/>
        <w:gridCol w:w="1282"/>
        <w:gridCol w:w="1282"/>
        <w:gridCol w:w="1282"/>
      </w:tblGrid>
      <w:tr w:rsidR="00730DE4" w:rsidRPr="00730DE4" w14:paraId="285F4680" w14:textId="77777777" w:rsidTr="008A2F83">
        <w:trPr>
          <w:trHeight w:val="23"/>
        </w:trPr>
        <w:tc>
          <w:tcPr>
            <w:tcW w:w="2879" w:type="pct"/>
            <w:tcBorders>
              <w:top w:val="nil"/>
              <w:left w:val="nil"/>
              <w:bottom w:val="single" w:sz="4" w:space="0" w:color="auto"/>
              <w:right w:val="nil"/>
            </w:tcBorders>
            <w:shd w:val="clear" w:color="auto" w:fill="auto"/>
            <w:noWrap/>
            <w:vAlign w:val="bottom"/>
          </w:tcPr>
          <w:p w14:paraId="2BB1BBBC" w14:textId="77777777" w:rsidR="00730DE4" w:rsidRPr="00730DE4" w:rsidRDefault="00730DE4" w:rsidP="004A5032">
            <w:pPr>
              <w:pStyle w:val="NoSpacing"/>
              <w:rPr>
                <w:rStyle w:val="Strong"/>
              </w:rPr>
            </w:pPr>
            <w:r w:rsidRPr="00730DE4">
              <w:rPr>
                <w:rStyle w:val="Strong"/>
              </w:rPr>
              <w:t>Estimated cash flows</w:t>
            </w:r>
          </w:p>
        </w:tc>
        <w:tc>
          <w:tcPr>
            <w:tcW w:w="707" w:type="pct"/>
            <w:tcBorders>
              <w:top w:val="nil"/>
              <w:left w:val="nil"/>
              <w:bottom w:val="single" w:sz="4" w:space="0" w:color="auto"/>
              <w:right w:val="nil"/>
            </w:tcBorders>
            <w:shd w:val="clear" w:color="auto" w:fill="auto"/>
            <w:noWrap/>
            <w:vAlign w:val="bottom"/>
          </w:tcPr>
          <w:p w14:paraId="5C7BD511" w14:textId="77777777" w:rsidR="00730DE4" w:rsidRPr="00730DE4" w:rsidRDefault="00730DE4" w:rsidP="005265FC">
            <w:pPr>
              <w:pStyle w:val="NoSpacing"/>
              <w:jc w:val="right"/>
              <w:rPr>
                <w:rStyle w:val="Strong"/>
              </w:rPr>
            </w:pPr>
            <w:r w:rsidRPr="00730DE4">
              <w:rPr>
                <w:rStyle w:val="Strong"/>
              </w:rPr>
              <w:t>Note</w:t>
            </w:r>
          </w:p>
        </w:tc>
        <w:tc>
          <w:tcPr>
            <w:tcW w:w="707" w:type="pct"/>
            <w:tcBorders>
              <w:top w:val="nil"/>
              <w:left w:val="nil"/>
              <w:bottom w:val="single" w:sz="4" w:space="0" w:color="auto"/>
              <w:right w:val="nil"/>
            </w:tcBorders>
            <w:shd w:val="clear" w:color="auto" w:fill="auto"/>
            <w:noWrap/>
            <w:vAlign w:val="bottom"/>
          </w:tcPr>
          <w:p w14:paraId="15A9C8BE" w14:textId="77777777" w:rsidR="00730DE4" w:rsidRPr="00730DE4" w:rsidRDefault="00730DE4" w:rsidP="005265FC">
            <w:pPr>
              <w:pStyle w:val="NoSpacing"/>
              <w:jc w:val="right"/>
              <w:rPr>
                <w:color w:val="080C0F" w:themeColor="text1"/>
              </w:rPr>
            </w:pPr>
            <w:r w:rsidRPr="00730DE4">
              <w:rPr>
                <w:rStyle w:val="Strong"/>
              </w:rPr>
              <w:t xml:space="preserve">2024 </w:t>
            </w:r>
            <w:r w:rsidRPr="00730DE4">
              <w:rPr>
                <w:rStyle w:val="Strong"/>
              </w:rPr>
              <w:br/>
              <w:t>$'000</w:t>
            </w:r>
          </w:p>
        </w:tc>
        <w:tc>
          <w:tcPr>
            <w:tcW w:w="707" w:type="pct"/>
            <w:tcBorders>
              <w:top w:val="nil"/>
              <w:left w:val="nil"/>
              <w:bottom w:val="single" w:sz="4" w:space="0" w:color="auto"/>
              <w:right w:val="nil"/>
            </w:tcBorders>
            <w:shd w:val="clear" w:color="auto" w:fill="auto"/>
            <w:noWrap/>
            <w:vAlign w:val="bottom"/>
          </w:tcPr>
          <w:p w14:paraId="2D86D327" w14:textId="77777777" w:rsidR="00730DE4" w:rsidRPr="00730DE4" w:rsidRDefault="00730DE4" w:rsidP="005265FC">
            <w:pPr>
              <w:pStyle w:val="NoSpacing"/>
              <w:jc w:val="right"/>
              <w:rPr>
                <w:color w:val="080C0F" w:themeColor="text1"/>
              </w:rPr>
            </w:pPr>
            <w:r w:rsidRPr="00730DE4">
              <w:rPr>
                <w:rStyle w:val="Strong"/>
              </w:rPr>
              <w:t xml:space="preserve">2023 </w:t>
            </w:r>
            <w:r w:rsidRPr="00730DE4">
              <w:rPr>
                <w:rStyle w:val="Strong"/>
              </w:rPr>
              <w:br/>
              <w:t>$'000</w:t>
            </w:r>
          </w:p>
        </w:tc>
      </w:tr>
      <w:tr w:rsidR="00730DE4" w:rsidRPr="00730DE4" w14:paraId="69B325D5" w14:textId="77777777" w:rsidTr="008A2F83">
        <w:trPr>
          <w:trHeight w:val="23"/>
        </w:trPr>
        <w:tc>
          <w:tcPr>
            <w:tcW w:w="2879"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6A207357" w14:textId="77777777" w:rsidR="00730DE4" w:rsidRPr="00730DE4" w:rsidRDefault="00730DE4" w:rsidP="004A5032">
            <w:pPr>
              <w:pStyle w:val="NoSpacing"/>
              <w:rPr>
                <w:i/>
                <w:iCs/>
                <w:color w:val="080C0F" w:themeColor="text1"/>
              </w:rPr>
            </w:pPr>
            <w:r w:rsidRPr="00730DE4">
              <w:rPr>
                <w:i/>
                <w:iCs/>
                <w:color w:val="080C0F" w:themeColor="text1"/>
              </w:rPr>
              <w:t>Inflows:</w:t>
            </w:r>
          </w:p>
        </w:tc>
        <w:tc>
          <w:tcPr>
            <w:tcW w:w="707"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9F5BE72" w14:textId="77777777" w:rsidR="00730DE4" w:rsidRPr="00730DE4" w:rsidRDefault="00730DE4" w:rsidP="005265FC">
            <w:pPr>
              <w:pStyle w:val="NoSpacing"/>
              <w:jc w:val="right"/>
              <w:rPr>
                <w:i/>
                <w:iCs/>
                <w:color w:val="080C0F" w:themeColor="text1"/>
              </w:rPr>
            </w:pPr>
          </w:p>
        </w:tc>
        <w:tc>
          <w:tcPr>
            <w:tcW w:w="707"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398268E" w14:textId="77777777" w:rsidR="00730DE4" w:rsidRPr="00730DE4" w:rsidRDefault="00730DE4" w:rsidP="005265FC">
            <w:pPr>
              <w:pStyle w:val="NoSpacing"/>
              <w:jc w:val="right"/>
              <w:rPr>
                <w:color w:val="080C0F" w:themeColor="text1"/>
              </w:rPr>
            </w:pPr>
          </w:p>
        </w:tc>
        <w:tc>
          <w:tcPr>
            <w:tcW w:w="707"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F0BFB43" w14:textId="77777777" w:rsidR="00730DE4" w:rsidRPr="00730DE4" w:rsidRDefault="00730DE4" w:rsidP="005265FC">
            <w:pPr>
              <w:pStyle w:val="NoSpacing"/>
              <w:jc w:val="right"/>
              <w:rPr>
                <w:color w:val="080C0F" w:themeColor="text1"/>
              </w:rPr>
            </w:pPr>
          </w:p>
        </w:tc>
      </w:tr>
      <w:tr w:rsidR="00730DE4" w:rsidRPr="00730DE4" w14:paraId="5CF5A0AE" w14:textId="77777777" w:rsidTr="008A2F83">
        <w:trPr>
          <w:trHeight w:val="23"/>
        </w:trPr>
        <w:tc>
          <w:tcPr>
            <w:tcW w:w="2879"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18BF5D2F" w14:textId="77777777" w:rsidR="00730DE4" w:rsidRPr="00730DE4" w:rsidRDefault="00730DE4" w:rsidP="004A5032">
            <w:pPr>
              <w:pStyle w:val="NoSpacing"/>
              <w:rPr>
                <w:color w:val="080C0F" w:themeColor="text1"/>
              </w:rPr>
            </w:pPr>
            <w:r w:rsidRPr="00730DE4">
              <w:rPr>
                <w:color w:val="080C0F" w:themeColor="text1"/>
              </w:rPr>
              <w:t>Not later than one year *</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06690C5" w14:textId="77777777" w:rsidR="00730DE4" w:rsidRPr="00730DE4" w:rsidRDefault="00730DE4" w:rsidP="005265FC">
            <w:pPr>
              <w:pStyle w:val="NoSpacing"/>
              <w:jc w:val="right"/>
              <w:rPr>
                <w:color w:val="080C0F" w:themeColor="text1"/>
              </w:rPr>
            </w:pP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9CC8DFC" w14:textId="77777777" w:rsidR="00730DE4" w:rsidRPr="00730DE4" w:rsidRDefault="00730DE4" w:rsidP="005265FC">
            <w:pPr>
              <w:pStyle w:val="NoSpacing"/>
              <w:jc w:val="right"/>
              <w:rPr>
                <w:color w:val="080C0F" w:themeColor="text1"/>
              </w:rPr>
            </w:pPr>
            <w:r w:rsidRPr="00730DE4">
              <w:rPr>
                <w:color w:val="080C0F" w:themeColor="text1"/>
              </w:rPr>
              <w:t xml:space="preserve">14,069 </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76FF422" w14:textId="77777777" w:rsidR="00730DE4" w:rsidRPr="00730DE4" w:rsidRDefault="00730DE4" w:rsidP="005265FC">
            <w:pPr>
              <w:pStyle w:val="NoSpacing"/>
              <w:jc w:val="right"/>
              <w:rPr>
                <w:color w:val="080C0F" w:themeColor="text1"/>
              </w:rPr>
            </w:pPr>
            <w:r w:rsidRPr="00730DE4">
              <w:rPr>
                <w:color w:val="080C0F" w:themeColor="text1"/>
              </w:rPr>
              <w:t xml:space="preserve">23,207 </w:t>
            </w:r>
          </w:p>
        </w:tc>
      </w:tr>
      <w:tr w:rsidR="00730DE4" w:rsidRPr="00730DE4" w14:paraId="653E9345" w14:textId="77777777" w:rsidTr="008A2F83">
        <w:trPr>
          <w:trHeight w:val="23"/>
        </w:trPr>
        <w:tc>
          <w:tcPr>
            <w:tcW w:w="2879"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5622155E" w14:textId="77777777" w:rsidR="00730DE4" w:rsidRPr="00730DE4" w:rsidRDefault="00730DE4" w:rsidP="004A5032">
            <w:pPr>
              <w:pStyle w:val="NoSpacing"/>
              <w:rPr>
                <w:color w:val="080C0F" w:themeColor="text1"/>
              </w:rPr>
            </w:pPr>
            <w:r w:rsidRPr="00730DE4">
              <w:rPr>
                <w:color w:val="080C0F" w:themeColor="text1"/>
              </w:rPr>
              <w:t>Later than one year but not later than five years</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49A8F09" w14:textId="77777777" w:rsidR="00730DE4" w:rsidRPr="00730DE4" w:rsidRDefault="00730DE4" w:rsidP="005265FC">
            <w:pPr>
              <w:pStyle w:val="NoSpacing"/>
              <w:jc w:val="right"/>
              <w:rPr>
                <w:color w:val="080C0F" w:themeColor="text1"/>
              </w:rPr>
            </w:pP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86E4EF1" w14:textId="77777777" w:rsidR="00730DE4" w:rsidRPr="00730DE4" w:rsidRDefault="00730DE4" w:rsidP="005265FC">
            <w:pPr>
              <w:pStyle w:val="NoSpacing"/>
              <w:jc w:val="right"/>
              <w:rPr>
                <w:color w:val="080C0F" w:themeColor="text1"/>
              </w:rPr>
            </w:pPr>
            <w:r w:rsidRPr="00730DE4">
              <w:rPr>
                <w:color w:val="080C0F" w:themeColor="text1"/>
              </w:rPr>
              <w:t xml:space="preserve">101,656 </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AD76B5C" w14:textId="77777777" w:rsidR="00730DE4" w:rsidRPr="00730DE4" w:rsidRDefault="00730DE4" w:rsidP="005265FC">
            <w:pPr>
              <w:pStyle w:val="NoSpacing"/>
              <w:jc w:val="right"/>
              <w:rPr>
                <w:color w:val="080C0F" w:themeColor="text1"/>
              </w:rPr>
            </w:pPr>
            <w:r w:rsidRPr="00730DE4">
              <w:rPr>
                <w:color w:val="080C0F" w:themeColor="text1"/>
              </w:rPr>
              <w:t xml:space="preserve">99,254 </w:t>
            </w:r>
          </w:p>
        </w:tc>
      </w:tr>
      <w:tr w:rsidR="00730DE4" w:rsidRPr="00730DE4" w14:paraId="4C5CC388" w14:textId="77777777" w:rsidTr="008A2F83">
        <w:trPr>
          <w:trHeight w:val="23"/>
        </w:trPr>
        <w:tc>
          <w:tcPr>
            <w:tcW w:w="2879"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CA498CE" w14:textId="77777777" w:rsidR="00730DE4" w:rsidRPr="00730DE4" w:rsidRDefault="00730DE4" w:rsidP="004A5032">
            <w:pPr>
              <w:pStyle w:val="NoSpacing"/>
              <w:rPr>
                <w:color w:val="080C0F" w:themeColor="text1"/>
              </w:rPr>
            </w:pPr>
            <w:r w:rsidRPr="00730DE4">
              <w:rPr>
                <w:color w:val="080C0F" w:themeColor="text1"/>
              </w:rPr>
              <w:t>Later than five years but not later than ten years</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186EF67" w14:textId="77777777" w:rsidR="00730DE4" w:rsidRPr="00730DE4" w:rsidRDefault="00730DE4" w:rsidP="005265FC">
            <w:pPr>
              <w:pStyle w:val="NoSpacing"/>
              <w:jc w:val="right"/>
              <w:rPr>
                <w:color w:val="080C0F" w:themeColor="text1"/>
              </w:rPr>
            </w:pP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09B10B7" w14:textId="77777777" w:rsidR="00730DE4" w:rsidRPr="00730DE4" w:rsidRDefault="00730DE4" w:rsidP="005265FC">
            <w:pPr>
              <w:pStyle w:val="NoSpacing"/>
              <w:jc w:val="right"/>
              <w:rPr>
                <w:color w:val="080C0F" w:themeColor="text1"/>
              </w:rPr>
            </w:pPr>
            <w:r w:rsidRPr="00730DE4">
              <w:rPr>
                <w:color w:val="080C0F" w:themeColor="text1"/>
              </w:rPr>
              <w:t xml:space="preserve">- </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7DD3591" w14:textId="77777777" w:rsidR="00730DE4" w:rsidRPr="00730DE4" w:rsidRDefault="00730DE4" w:rsidP="005265FC">
            <w:pPr>
              <w:pStyle w:val="NoSpacing"/>
              <w:jc w:val="right"/>
              <w:rPr>
                <w:color w:val="080C0F" w:themeColor="text1"/>
              </w:rPr>
            </w:pPr>
            <w:r w:rsidRPr="00730DE4">
              <w:rPr>
                <w:color w:val="080C0F" w:themeColor="text1"/>
              </w:rPr>
              <w:t xml:space="preserve">26,271 </w:t>
            </w:r>
          </w:p>
        </w:tc>
      </w:tr>
      <w:tr w:rsidR="00730DE4" w:rsidRPr="00730DE4" w14:paraId="7FF3D6BC" w14:textId="77777777" w:rsidTr="008A2F83">
        <w:trPr>
          <w:trHeight w:val="23"/>
        </w:trPr>
        <w:tc>
          <w:tcPr>
            <w:tcW w:w="2879"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1DC619AA" w14:textId="77777777" w:rsidR="00730DE4" w:rsidRPr="00730DE4" w:rsidRDefault="00730DE4" w:rsidP="004A5032">
            <w:pPr>
              <w:pStyle w:val="NoSpacing"/>
              <w:rPr>
                <w:i/>
                <w:iCs/>
                <w:color w:val="080C0F" w:themeColor="text1"/>
              </w:rPr>
            </w:pPr>
            <w:r w:rsidRPr="00730DE4">
              <w:rPr>
                <w:i/>
                <w:iCs/>
                <w:color w:val="080C0F" w:themeColor="text1"/>
              </w:rPr>
              <w:t>Outflows:</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3D35FC1" w14:textId="77777777" w:rsidR="00730DE4" w:rsidRPr="00730DE4" w:rsidRDefault="00730DE4" w:rsidP="005265FC">
            <w:pPr>
              <w:pStyle w:val="NoSpacing"/>
              <w:jc w:val="right"/>
              <w:rPr>
                <w:i/>
                <w:iCs/>
                <w:color w:val="080C0F" w:themeColor="text1"/>
              </w:rPr>
            </w:pP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F0D5683" w14:textId="77777777" w:rsidR="00730DE4" w:rsidRPr="00730DE4" w:rsidRDefault="00730DE4" w:rsidP="005265FC">
            <w:pPr>
              <w:pStyle w:val="NoSpacing"/>
              <w:jc w:val="right"/>
              <w:rPr>
                <w:i/>
                <w:iCs/>
                <w:color w:val="080C0F" w:themeColor="text1"/>
              </w:rPr>
            </w:pPr>
            <w:r w:rsidRPr="00730DE4">
              <w:rPr>
                <w:i/>
                <w:iCs/>
                <w:color w:val="080C0F" w:themeColor="text1"/>
              </w:rPr>
              <w:t> </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DBCD2E7" w14:textId="77777777" w:rsidR="00730DE4" w:rsidRPr="00730DE4" w:rsidRDefault="00730DE4" w:rsidP="005265FC">
            <w:pPr>
              <w:pStyle w:val="NoSpacing"/>
              <w:jc w:val="right"/>
              <w:rPr>
                <w:color w:val="080C0F" w:themeColor="text1"/>
              </w:rPr>
            </w:pPr>
          </w:p>
        </w:tc>
      </w:tr>
      <w:tr w:rsidR="00730DE4" w:rsidRPr="00730DE4" w14:paraId="01F322FC" w14:textId="77777777" w:rsidTr="008A2F83">
        <w:trPr>
          <w:trHeight w:val="23"/>
        </w:trPr>
        <w:tc>
          <w:tcPr>
            <w:tcW w:w="2879"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4881DD03" w14:textId="77777777" w:rsidR="00730DE4" w:rsidRPr="00730DE4" w:rsidRDefault="00730DE4" w:rsidP="004A5032">
            <w:pPr>
              <w:pStyle w:val="NoSpacing"/>
              <w:rPr>
                <w:color w:val="080C0F" w:themeColor="text1"/>
              </w:rPr>
            </w:pPr>
            <w:r w:rsidRPr="00730DE4">
              <w:rPr>
                <w:color w:val="080C0F" w:themeColor="text1"/>
              </w:rPr>
              <w:t>Not later than one year</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9089987" w14:textId="77777777" w:rsidR="00730DE4" w:rsidRPr="00730DE4" w:rsidRDefault="00730DE4" w:rsidP="005265FC">
            <w:pPr>
              <w:pStyle w:val="NoSpacing"/>
              <w:jc w:val="right"/>
              <w:rPr>
                <w:color w:val="080C0F" w:themeColor="text1"/>
              </w:rPr>
            </w:pP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9F696EE" w14:textId="77777777" w:rsidR="00730DE4" w:rsidRPr="00730DE4" w:rsidRDefault="00730DE4" w:rsidP="005265FC">
            <w:pPr>
              <w:pStyle w:val="NoSpacing"/>
              <w:jc w:val="right"/>
              <w:rPr>
                <w:color w:val="080C0F" w:themeColor="text1"/>
              </w:rPr>
            </w:pPr>
            <w:r w:rsidRPr="00730DE4">
              <w:rPr>
                <w:color w:val="080C0F" w:themeColor="text1"/>
              </w:rPr>
              <w:t>(119,530)</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408D57F" w14:textId="77777777" w:rsidR="00730DE4" w:rsidRPr="00730DE4" w:rsidRDefault="00730DE4" w:rsidP="005265FC">
            <w:pPr>
              <w:pStyle w:val="NoSpacing"/>
              <w:jc w:val="right"/>
              <w:rPr>
                <w:color w:val="080C0F" w:themeColor="text1"/>
              </w:rPr>
            </w:pPr>
            <w:r w:rsidRPr="00730DE4">
              <w:rPr>
                <w:color w:val="080C0F" w:themeColor="text1"/>
              </w:rPr>
              <w:t>(122,573)</w:t>
            </w:r>
          </w:p>
        </w:tc>
      </w:tr>
      <w:tr w:rsidR="00730DE4" w:rsidRPr="00730DE4" w14:paraId="4C8BF1D5" w14:textId="77777777" w:rsidTr="007844E9">
        <w:trPr>
          <w:trHeight w:val="23"/>
        </w:trPr>
        <w:tc>
          <w:tcPr>
            <w:tcW w:w="2879"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6791D9B6" w14:textId="77777777" w:rsidR="00730DE4" w:rsidRPr="00730DE4" w:rsidRDefault="00730DE4" w:rsidP="004A5032">
            <w:pPr>
              <w:pStyle w:val="NoSpacing"/>
              <w:rPr>
                <w:color w:val="080C0F" w:themeColor="text1"/>
              </w:rPr>
            </w:pPr>
            <w:r w:rsidRPr="00730DE4">
              <w:rPr>
                <w:color w:val="080C0F" w:themeColor="text1"/>
              </w:rPr>
              <w:t xml:space="preserve">Later than one year but not later than five years </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15A15DA" w14:textId="77777777" w:rsidR="00730DE4" w:rsidRPr="00730DE4" w:rsidRDefault="00730DE4" w:rsidP="005265FC">
            <w:pPr>
              <w:pStyle w:val="NoSpacing"/>
              <w:jc w:val="right"/>
              <w:rPr>
                <w:color w:val="080C0F" w:themeColor="text1"/>
              </w:rPr>
            </w:pP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8052AE7" w14:textId="77777777" w:rsidR="00730DE4" w:rsidRPr="00730DE4" w:rsidRDefault="00730DE4" w:rsidP="005265FC">
            <w:pPr>
              <w:pStyle w:val="NoSpacing"/>
              <w:jc w:val="right"/>
              <w:rPr>
                <w:color w:val="080C0F" w:themeColor="text1"/>
              </w:rPr>
            </w:pPr>
            <w:r w:rsidRPr="00730DE4">
              <w:rPr>
                <w:color w:val="080C0F" w:themeColor="text1"/>
              </w:rPr>
              <w:t>(905,557)</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94BD089" w14:textId="77777777" w:rsidR="00730DE4" w:rsidRPr="00730DE4" w:rsidRDefault="00730DE4" w:rsidP="005265FC">
            <w:pPr>
              <w:pStyle w:val="NoSpacing"/>
              <w:jc w:val="right"/>
              <w:rPr>
                <w:color w:val="080C0F" w:themeColor="text1"/>
              </w:rPr>
            </w:pPr>
            <w:r w:rsidRPr="00730DE4">
              <w:rPr>
                <w:color w:val="080C0F" w:themeColor="text1"/>
              </w:rPr>
              <w:t>(880,957)</w:t>
            </w:r>
          </w:p>
        </w:tc>
      </w:tr>
      <w:tr w:rsidR="00730DE4" w:rsidRPr="00730DE4" w14:paraId="2D93FB26" w14:textId="77777777" w:rsidTr="007844E9">
        <w:trPr>
          <w:trHeight w:val="23"/>
        </w:trPr>
        <w:tc>
          <w:tcPr>
            <w:tcW w:w="2879"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2FC95EF5" w14:textId="77777777" w:rsidR="00730DE4" w:rsidRPr="00730DE4" w:rsidRDefault="00730DE4" w:rsidP="004A5032">
            <w:pPr>
              <w:pStyle w:val="NoSpacing"/>
              <w:rPr>
                <w:color w:val="080C0F" w:themeColor="text1"/>
              </w:rPr>
            </w:pPr>
            <w:r w:rsidRPr="00730DE4">
              <w:rPr>
                <w:color w:val="080C0F" w:themeColor="text1"/>
              </w:rPr>
              <w:t>Later than five years but not later than ten years</w:t>
            </w:r>
          </w:p>
        </w:tc>
        <w:tc>
          <w:tcPr>
            <w:tcW w:w="707"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5B4CAA07" w14:textId="77777777" w:rsidR="00730DE4" w:rsidRPr="00730DE4" w:rsidRDefault="00730DE4" w:rsidP="005265FC">
            <w:pPr>
              <w:pStyle w:val="NoSpacing"/>
              <w:jc w:val="right"/>
              <w:rPr>
                <w:color w:val="080C0F" w:themeColor="text1"/>
              </w:rPr>
            </w:pPr>
          </w:p>
        </w:tc>
        <w:tc>
          <w:tcPr>
            <w:tcW w:w="707"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2723C442" w14:textId="77777777" w:rsidR="00730DE4" w:rsidRPr="00730DE4" w:rsidRDefault="00730DE4" w:rsidP="005265FC">
            <w:pPr>
              <w:pStyle w:val="NoSpacing"/>
              <w:jc w:val="right"/>
              <w:rPr>
                <w:color w:val="080C0F" w:themeColor="text1"/>
              </w:rPr>
            </w:pPr>
            <w:r w:rsidRPr="00730DE4">
              <w:rPr>
                <w:color w:val="080C0F" w:themeColor="text1"/>
              </w:rPr>
              <w:t>(621)</w:t>
            </w:r>
          </w:p>
        </w:tc>
        <w:tc>
          <w:tcPr>
            <w:tcW w:w="707"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222CD92B" w14:textId="77777777" w:rsidR="00730DE4" w:rsidRPr="00730DE4" w:rsidRDefault="00730DE4" w:rsidP="005265FC">
            <w:pPr>
              <w:pStyle w:val="NoSpacing"/>
              <w:jc w:val="right"/>
              <w:rPr>
                <w:color w:val="080C0F" w:themeColor="text1"/>
              </w:rPr>
            </w:pPr>
            <w:r w:rsidRPr="00730DE4">
              <w:rPr>
                <w:color w:val="080C0F" w:themeColor="text1"/>
              </w:rPr>
              <w:t>(141,135)</w:t>
            </w:r>
          </w:p>
        </w:tc>
      </w:tr>
      <w:tr w:rsidR="00730DE4" w:rsidRPr="00730DE4" w14:paraId="06A04296" w14:textId="77777777" w:rsidTr="007844E9">
        <w:tc>
          <w:tcPr>
            <w:tcW w:w="2879"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2116A0F2" w14:textId="77777777" w:rsidR="00730DE4" w:rsidRPr="00730DE4" w:rsidRDefault="00730DE4" w:rsidP="000A3AFE">
            <w:pPr>
              <w:pStyle w:val="NoSpacing"/>
              <w:rPr>
                <w:rStyle w:val="Strong"/>
              </w:rPr>
            </w:pPr>
            <w:r w:rsidRPr="00730DE4">
              <w:rPr>
                <w:rStyle w:val="Strong"/>
              </w:rPr>
              <w:t>Estimated net cash flow</w:t>
            </w:r>
          </w:p>
        </w:tc>
        <w:tc>
          <w:tcPr>
            <w:tcW w:w="707"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7C2929F8" w14:textId="77777777" w:rsidR="00730DE4" w:rsidRPr="00730DE4" w:rsidRDefault="00730DE4" w:rsidP="000A3AFE">
            <w:pPr>
              <w:pStyle w:val="NoSpacing"/>
              <w:jc w:val="right"/>
              <w:rPr>
                <w:color w:val="080C0F" w:themeColor="text1"/>
              </w:rPr>
            </w:pPr>
            <w:r w:rsidRPr="00730DE4">
              <w:rPr>
                <w:color w:val="080C0F" w:themeColor="text1"/>
              </w:rPr>
              <w:t> </w:t>
            </w:r>
          </w:p>
        </w:tc>
        <w:tc>
          <w:tcPr>
            <w:tcW w:w="707"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523C08ED" w14:textId="77777777" w:rsidR="00730DE4" w:rsidRPr="00730DE4" w:rsidRDefault="00730DE4" w:rsidP="000A3AFE">
            <w:pPr>
              <w:pStyle w:val="NoSpacing"/>
              <w:jc w:val="right"/>
              <w:rPr>
                <w:rStyle w:val="Strong"/>
              </w:rPr>
            </w:pPr>
            <w:r w:rsidRPr="00730DE4">
              <w:rPr>
                <w:rStyle w:val="Strong"/>
              </w:rPr>
              <w:t>(909,983)</w:t>
            </w:r>
          </w:p>
        </w:tc>
        <w:tc>
          <w:tcPr>
            <w:tcW w:w="707" w:type="pct"/>
            <w:tcBorders>
              <w:top w:val="single" w:sz="4" w:space="0" w:color="auto"/>
              <w:left w:val="dotted" w:sz="4" w:space="0" w:color="BFBFBF" w:themeColor="background1" w:themeShade="BF"/>
              <w:bottom w:val="double" w:sz="4" w:space="0" w:color="auto"/>
              <w:right w:val="nil"/>
            </w:tcBorders>
            <w:shd w:val="clear" w:color="auto" w:fill="auto"/>
            <w:noWrap/>
            <w:hideMark/>
          </w:tcPr>
          <w:p w14:paraId="642F536C" w14:textId="77777777" w:rsidR="00730DE4" w:rsidRPr="00730DE4" w:rsidRDefault="00730DE4" w:rsidP="000A3AFE">
            <w:pPr>
              <w:pStyle w:val="NoSpacing"/>
              <w:jc w:val="right"/>
              <w:rPr>
                <w:rStyle w:val="Strong"/>
              </w:rPr>
            </w:pPr>
            <w:r w:rsidRPr="00730DE4">
              <w:rPr>
                <w:rStyle w:val="Strong"/>
              </w:rPr>
              <w:t>(995,933)</w:t>
            </w:r>
          </w:p>
        </w:tc>
      </w:tr>
    </w:tbl>
    <w:p w14:paraId="70357DC8" w14:textId="7C8EB379" w:rsidR="00730DE4" w:rsidRPr="00730DE4" w:rsidRDefault="00730DE4" w:rsidP="005B60B8">
      <w:pPr>
        <w:pStyle w:val="List0"/>
      </w:pPr>
      <w:r w:rsidRPr="00730DE4">
        <w:t>* The reduction is due to the planned implementation of the Queensland Government's Cost of Living Action package to reduce public transport fares to 50 cents for six months from 5 August 2024.</w:t>
      </w:r>
    </w:p>
    <w:tbl>
      <w:tblPr>
        <w:tblW w:w="5000" w:type="pct"/>
        <w:tblCellMar>
          <w:top w:w="23" w:type="dxa"/>
          <w:left w:w="23" w:type="dxa"/>
          <w:bottom w:w="23" w:type="dxa"/>
          <w:right w:w="23" w:type="dxa"/>
        </w:tblCellMar>
        <w:tblLook w:val="04A0" w:firstRow="1" w:lastRow="0" w:firstColumn="1" w:lastColumn="0" w:noHBand="0" w:noVBand="1"/>
      </w:tblPr>
      <w:tblGrid>
        <w:gridCol w:w="5224"/>
        <w:gridCol w:w="1282"/>
        <w:gridCol w:w="1282"/>
        <w:gridCol w:w="1282"/>
      </w:tblGrid>
      <w:tr w:rsidR="00730DE4" w:rsidRPr="00730DE4" w14:paraId="57D6243F" w14:textId="77777777" w:rsidTr="008A2F83">
        <w:trPr>
          <w:trHeight w:val="23"/>
        </w:trPr>
        <w:tc>
          <w:tcPr>
            <w:tcW w:w="2879" w:type="pct"/>
            <w:tcBorders>
              <w:top w:val="nil"/>
              <w:left w:val="nil"/>
              <w:bottom w:val="single" w:sz="4" w:space="0" w:color="auto"/>
              <w:right w:val="nil"/>
            </w:tcBorders>
            <w:shd w:val="clear" w:color="auto" w:fill="auto"/>
            <w:noWrap/>
            <w:vAlign w:val="bottom"/>
            <w:hideMark/>
          </w:tcPr>
          <w:p w14:paraId="4F27660E" w14:textId="77777777" w:rsidR="00730DE4" w:rsidRPr="00730DE4" w:rsidRDefault="00730DE4" w:rsidP="004A5032">
            <w:pPr>
              <w:pStyle w:val="NoSpacing"/>
              <w:rPr>
                <w:color w:val="080C0F" w:themeColor="text1"/>
              </w:rPr>
            </w:pPr>
            <w:r w:rsidRPr="00730DE4">
              <w:rPr>
                <w:rStyle w:val="Strong"/>
              </w:rPr>
              <w:t>Operating statement impact</w:t>
            </w:r>
          </w:p>
        </w:tc>
        <w:tc>
          <w:tcPr>
            <w:tcW w:w="707" w:type="pct"/>
            <w:tcBorders>
              <w:top w:val="nil"/>
              <w:left w:val="nil"/>
              <w:bottom w:val="single" w:sz="4" w:space="0" w:color="auto"/>
              <w:right w:val="nil"/>
            </w:tcBorders>
            <w:shd w:val="clear" w:color="auto" w:fill="auto"/>
            <w:noWrap/>
            <w:vAlign w:val="bottom"/>
            <w:hideMark/>
          </w:tcPr>
          <w:p w14:paraId="3582FF6D" w14:textId="77777777" w:rsidR="00730DE4" w:rsidRPr="00730DE4" w:rsidRDefault="00730DE4" w:rsidP="004A5032">
            <w:pPr>
              <w:pStyle w:val="NoSpacing"/>
              <w:jc w:val="right"/>
              <w:rPr>
                <w:rStyle w:val="Strong"/>
              </w:rPr>
            </w:pPr>
            <w:r w:rsidRPr="00730DE4">
              <w:rPr>
                <w:rStyle w:val="Strong"/>
              </w:rPr>
              <w:t>Note</w:t>
            </w:r>
          </w:p>
        </w:tc>
        <w:tc>
          <w:tcPr>
            <w:tcW w:w="707" w:type="pct"/>
            <w:tcBorders>
              <w:top w:val="nil"/>
              <w:left w:val="nil"/>
              <w:bottom w:val="single" w:sz="4" w:space="0" w:color="auto"/>
              <w:right w:val="nil"/>
            </w:tcBorders>
            <w:shd w:val="clear" w:color="auto" w:fill="auto"/>
            <w:noWrap/>
            <w:vAlign w:val="bottom"/>
            <w:hideMark/>
          </w:tcPr>
          <w:p w14:paraId="7D8DD85A" w14:textId="77777777" w:rsidR="00730DE4" w:rsidRPr="00730DE4" w:rsidRDefault="00730DE4" w:rsidP="004A5032">
            <w:pPr>
              <w:pStyle w:val="NoSpacing"/>
              <w:jc w:val="right"/>
              <w:rPr>
                <w:color w:val="080C0F" w:themeColor="text1"/>
              </w:rPr>
            </w:pPr>
            <w:r w:rsidRPr="00730DE4">
              <w:rPr>
                <w:rStyle w:val="Strong"/>
              </w:rPr>
              <w:t xml:space="preserve">2024 </w:t>
            </w:r>
            <w:r w:rsidRPr="00730DE4">
              <w:rPr>
                <w:rStyle w:val="Strong"/>
              </w:rPr>
              <w:br/>
              <w:t>$'000</w:t>
            </w:r>
          </w:p>
        </w:tc>
        <w:tc>
          <w:tcPr>
            <w:tcW w:w="707" w:type="pct"/>
            <w:tcBorders>
              <w:top w:val="nil"/>
              <w:left w:val="nil"/>
              <w:bottom w:val="single" w:sz="4" w:space="0" w:color="auto"/>
              <w:right w:val="nil"/>
            </w:tcBorders>
            <w:shd w:val="clear" w:color="auto" w:fill="auto"/>
            <w:noWrap/>
            <w:vAlign w:val="bottom"/>
            <w:hideMark/>
          </w:tcPr>
          <w:p w14:paraId="45B1FA25" w14:textId="77777777" w:rsidR="00730DE4" w:rsidRPr="00730DE4" w:rsidRDefault="00730DE4" w:rsidP="004A5032">
            <w:pPr>
              <w:pStyle w:val="NoSpacing"/>
              <w:jc w:val="right"/>
              <w:rPr>
                <w:color w:val="080C0F" w:themeColor="text1"/>
              </w:rPr>
            </w:pPr>
            <w:r w:rsidRPr="00730DE4">
              <w:rPr>
                <w:rStyle w:val="Strong"/>
              </w:rPr>
              <w:t xml:space="preserve">2023 </w:t>
            </w:r>
            <w:r w:rsidRPr="00730DE4">
              <w:rPr>
                <w:rStyle w:val="Strong"/>
              </w:rPr>
              <w:br/>
              <w:t>$'000</w:t>
            </w:r>
          </w:p>
        </w:tc>
      </w:tr>
      <w:tr w:rsidR="00730DE4" w:rsidRPr="00730DE4" w14:paraId="04BFA06E" w14:textId="77777777" w:rsidTr="007844E9">
        <w:trPr>
          <w:trHeight w:val="454"/>
        </w:trPr>
        <w:tc>
          <w:tcPr>
            <w:tcW w:w="2879"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4D3977AD" w14:textId="77777777" w:rsidR="00730DE4" w:rsidRPr="00730DE4" w:rsidRDefault="00730DE4" w:rsidP="004A5032">
            <w:pPr>
              <w:pStyle w:val="NoSpacing"/>
              <w:rPr>
                <w:color w:val="080C0F" w:themeColor="text1"/>
              </w:rPr>
            </w:pPr>
            <w:r w:rsidRPr="00730DE4">
              <w:rPr>
                <w:rStyle w:val="Strong"/>
              </w:rPr>
              <w:t>Revenue</w:t>
            </w:r>
          </w:p>
        </w:tc>
        <w:tc>
          <w:tcPr>
            <w:tcW w:w="707"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0B10C2E" w14:textId="77777777" w:rsidR="00730DE4" w:rsidRPr="00730DE4" w:rsidRDefault="00730DE4" w:rsidP="004A5032">
            <w:pPr>
              <w:pStyle w:val="NoSpacing"/>
              <w:jc w:val="right"/>
              <w:rPr>
                <w:rStyle w:val="Strong"/>
              </w:rPr>
            </w:pPr>
          </w:p>
        </w:tc>
        <w:tc>
          <w:tcPr>
            <w:tcW w:w="707"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32CFC82" w14:textId="77777777" w:rsidR="00730DE4" w:rsidRPr="00730DE4" w:rsidRDefault="00730DE4" w:rsidP="004A5032">
            <w:pPr>
              <w:pStyle w:val="NoSpacing"/>
              <w:jc w:val="right"/>
              <w:rPr>
                <w:color w:val="080C0F" w:themeColor="text1"/>
              </w:rPr>
            </w:pPr>
          </w:p>
        </w:tc>
        <w:tc>
          <w:tcPr>
            <w:tcW w:w="707"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FDFB8C1" w14:textId="77777777" w:rsidR="00730DE4" w:rsidRPr="00730DE4" w:rsidRDefault="00730DE4" w:rsidP="004A5032">
            <w:pPr>
              <w:pStyle w:val="NoSpacing"/>
              <w:jc w:val="right"/>
              <w:rPr>
                <w:color w:val="080C0F" w:themeColor="text1"/>
              </w:rPr>
            </w:pPr>
          </w:p>
        </w:tc>
      </w:tr>
      <w:tr w:rsidR="00730DE4" w:rsidRPr="00730DE4" w14:paraId="1FC6FFCF" w14:textId="77777777" w:rsidTr="007844E9">
        <w:trPr>
          <w:trHeight w:val="23"/>
        </w:trPr>
        <w:tc>
          <w:tcPr>
            <w:tcW w:w="2879"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467A470B" w14:textId="77777777" w:rsidR="00730DE4" w:rsidRPr="00730DE4" w:rsidRDefault="00730DE4" w:rsidP="004A5032">
            <w:pPr>
              <w:pStyle w:val="NoSpacing"/>
              <w:rPr>
                <w:color w:val="080C0F" w:themeColor="text1"/>
              </w:rPr>
            </w:pPr>
            <w:r w:rsidRPr="00730DE4">
              <w:rPr>
                <w:color w:val="080C0F" w:themeColor="text1"/>
              </w:rPr>
              <w:t>Advertising</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C045BD8" w14:textId="77777777" w:rsidR="00730DE4" w:rsidRPr="00730DE4" w:rsidRDefault="00730DE4" w:rsidP="004A5032">
            <w:pPr>
              <w:pStyle w:val="NoSpacing"/>
              <w:jc w:val="right"/>
              <w:rPr>
                <w:color w:val="080C0F" w:themeColor="text1"/>
              </w:rPr>
            </w:pP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E44480F" w14:textId="77777777" w:rsidR="00730DE4" w:rsidRPr="00730DE4" w:rsidRDefault="00730DE4" w:rsidP="004A5032">
            <w:pPr>
              <w:pStyle w:val="NoSpacing"/>
              <w:jc w:val="right"/>
              <w:rPr>
                <w:color w:val="080C0F" w:themeColor="text1"/>
              </w:rPr>
            </w:pPr>
            <w:r w:rsidRPr="00730DE4">
              <w:rPr>
                <w:color w:val="080C0F" w:themeColor="text1"/>
              </w:rPr>
              <w:t xml:space="preserve">492 </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C8D3215" w14:textId="77777777" w:rsidR="00730DE4" w:rsidRPr="00730DE4" w:rsidRDefault="00730DE4" w:rsidP="004A5032">
            <w:pPr>
              <w:pStyle w:val="NoSpacing"/>
              <w:jc w:val="right"/>
              <w:rPr>
                <w:color w:val="080C0F" w:themeColor="text1"/>
              </w:rPr>
            </w:pPr>
            <w:r w:rsidRPr="00730DE4">
              <w:rPr>
                <w:color w:val="080C0F" w:themeColor="text1"/>
              </w:rPr>
              <w:t xml:space="preserve">515 </w:t>
            </w:r>
          </w:p>
        </w:tc>
      </w:tr>
      <w:tr w:rsidR="00730DE4" w:rsidRPr="00730DE4" w14:paraId="74A8291D" w14:textId="77777777" w:rsidTr="007844E9">
        <w:tc>
          <w:tcPr>
            <w:tcW w:w="2879" w:type="pct"/>
            <w:tcBorders>
              <w:top w:val="dotted" w:sz="4" w:space="0" w:color="BFBFBF" w:themeColor="background1" w:themeShade="BF"/>
              <w:left w:val="nil"/>
              <w:right w:val="dotted" w:sz="4" w:space="0" w:color="BFBFBF" w:themeColor="background1" w:themeShade="BF"/>
            </w:tcBorders>
            <w:shd w:val="clear" w:color="auto" w:fill="auto"/>
            <w:noWrap/>
            <w:hideMark/>
          </w:tcPr>
          <w:p w14:paraId="30507A2C" w14:textId="77777777" w:rsidR="00730DE4" w:rsidRPr="00730DE4" w:rsidRDefault="00730DE4" w:rsidP="00297DCD">
            <w:pPr>
              <w:pStyle w:val="NoSpacing"/>
              <w:rPr>
                <w:color w:val="080C0F" w:themeColor="text1"/>
              </w:rPr>
            </w:pPr>
            <w:r w:rsidRPr="00730DE4">
              <w:rPr>
                <w:color w:val="080C0F" w:themeColor="text1"/>
              </w:rPr>
              <w:t>Fare revenue</w:t>
            </w:r>
          </w:p>
        </w:tc>
        <w:tc>
          <w:tcPr>
            <w:tcW w:w="707" w:type="pct"/>
            <w:tcBorders>
              <w:top w:val="dotted" w:sz="4" w:space="0" w:color="BFBFBF" w:themeColor="background1" w:themeShade="BF"/>
              <w:left w:val="dotted" w:sz="4" w:space="0" w:color="BFBFBF" w:themeColor="background1" w:themeShade="BF"/>
              <w:right w:val="dotted" w:sz="4" w:space="0" w:color="BFBFBF" w:themeColor="background1" w:themeShade="BF"/>
            </w:tcBorders>
            <w:shd w:val="clear" w:color="auto" w:fill="auto"/>
            <w:noWrap/>
            <w:hideMark/>
          </w:tcPr>
          <w:p w14:paraId="1A6BB8E3" w14:textId="77777777" w:rsidR="00730DE4" w:rsidRPr="00730DE4" w:rsidRDefault="00730DE4" w:rsidP="00297DCD">
            <w:pPr>
              <w:pStyle w:val="NoSpacing"/>
              <w:jc w:val="right"/>
              <w:rPr>
                <w:color w:val="080C0F" w:themeColor="text1"/>
              </w:rPr>
            </w:pPr>
            <w:r w:rsidRPr="00730DE4">
              <w:rPr>
                <w:color w:val="080C0F" w:themeColor="text1"/>
              </w:rPr>
              <w:t>3</w:t>
            </w:r>
          </w:p>
        </w:tc>
        <w:tc>
          <w:tcPr>
            <w:tcW w:w="707" w:type="pct"/>
            <w:tcBorders>
              <w:top w:val="dotted" w:sz="4" w:space="0" w:color="BFBFBF" w:themeColor="background1" w:themeShade="BF"/>
              <w:left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31A09A35" w14:textId="77777777" w:rsidR="00730DE4" w:rsidRPr="00730DE4" w:rsidRDefault="00730DE4" w:rsidP="00297DCD">
            <w:pPr>
              <w:pStyle w:val="NoSpacing"/>
              <w:jc w:val="right"/>
              <w:rPr>
                <w:color w:val="080C0F" w:themeColor="text1"/>
              </w:rPr>
            </w:pPr>
            <w:r w:rsidRPr="00730DE4">
              <w:rPr>
                <w:color w:val="080C0F" w:themeColor="text1"/>
              </w:rPr>
              <w:t xml:space="preserve">22,213 </w:t>
            </w:r>
          </w:p>
        </w:tc>
        <w:tc>
          <w:tcPr>
            <w:tcW w:w="707" w:type="pct"/>
            <w:tcBorders>
              <w:top w:val="dotted" w:sz="4" w:space="0" w:color="BFBFBF" w:themeColor="background1" w:themeShade="BF"/>
              <w:left w:val="dotted" w:sz="4" w:space="0" w:color="BFBFBF" w:themeColor="background1" w:themeShade="BF"/>
              <w:right w:val="nil"/>
            </w:tcBorders>
            <w:shd w:val="clear" w:color="auto" w:fill="auto"/>
            <w:noWrap/>
            <w:hideMark/>
          </w:tcPr>
          <w:p w14:paraId="7948B080" w14:textId="77777777" w:rsidR="00730DE4" w:rsidRPr="00730DE4" w:rsidRDefault="00730DE4" w:rsidP="00297DCD">
            <w:pPr>
              <w:pStyle w:val="NoSpacing"/>
              <w:jc w:val="right"/>
              <w:rPr>
                <w:color w:val="080C0F" w:themeColor="text1"/>
              </w:rPr>
            </w:pPr>
            <w:r w:rsidRPr="00730DE4">
              <w:rPr>
                <w:color w:val="080C0F" w:themeColor="text1"/>
              </w:rPr>
              <w:t xml:space="preserve">20,513 </w:t>
            </w:r>
          </w:p>
        </w:tc>
      </w:tr>
      <w:tr w:rsidR="00730DE4" w:rsidRPr="00730DE4" w14:paraId="343F4E79" w14:textId="77777777" w:rsidTr="007844E9">
        <w:trPr>
          <w:trHeight w:val="454"/>
        </w:trPr>
        <w:tc>
          <w:tcPr>
            <w:tcW w:w="2879" w:type="pct"/>
            <w:tcBorders>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23E3F3C" w14:textId="77777777" w:rsidR="00730DE4" w:rsidRPr="00730DE4" w:rsidRDefault="00730DE4" w:rsidP="004A5032">
            <w:pPr>
              <w:pStyle w:val="NoSpacing"/>
              <w:rPr>
                <w:color w:val="080C0F" w:themeColor="text1"/>
              </w:rPr>
            </w:pPr>
            <w:r w:rsidRPr="00730DE4">
              <w:rPr>
                <w:rStyle w:val="Strong"/>
              </w:rPr>
              <w:t>Expenses</w:t>
            </w:r>
          </w:p>
        </w:tc>
        <w:tc>
          <w:tcPr>
            <w:tcW w:w="707"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90CCAD2" w14:textId="77777777" w:rsidR="00730DE4" w:rsidRPr="00730DE4" w:rsidRDefault="00730DE4" w:rsidP="004A5032">
            <w:pPr>
              <w:pStyle w:val="NoSpacing"/>
              <w:jc w:val="right"/>
              <w:rPr>
                <w:rStyle w:val="Strong"/>
              </w:rPr>
            </w:pPr>
          </w:p>
        </w:tc>
        <w:tc>
          <w:tcPr>
            <w:tcW w:w="707"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ACDB507" w14:textId="77777777" w:rsidR="00730DE4" w:rsidRPr="00730DE4" w:rsidRDefault="00730DE4" w:rsidP="004A5032">
            <w:pPr>
              <w:pStyle w:val="NoSpacing"/>
              <w:jc w:val="right"/>
              <w:rPr>
                <w:color w:val="080C0F" w:themeColor="text1"/>
              </w:rPr>
            </w:pPr>
            <w:r w:rsidRPr="00730DE4">
              <w:rPr>
                <w:color w:val="080C0F" w:themeColor="text1"/>
              </w:rPr>
              <w:t> </w:t>
            </w:r>
          </w:p>
        </w:tc>
        <w:tc>
          <w:tcPr>
            <w:tcW w:w="707" w:type="pct"/>
            <w:tcBorders>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0A6A61C" w14:textId="77777777" w:rsidR="00730DE4" w:rsidRPr="00730DE4" w:rsidRDefault="00730DE4" w:rsidP="004A5032">
            <w:pPr>
              <w:pStyle w:val="NoSpacing"/>
              <w:jc w:val="right"/>
              <w:rPr>
                <w:color w:val="080C0F" w:themeColor="text1"/>
              </w:rPr>
            </w:pPr>
          </w:p>
        </w:tc>
      </w:tr>
      <w:tr w:rsidR="00730DE4" w:rsidRPr="00730DE4" w14:paraId="13E8BF16" w14:textId="77777777" w:rsidTr="008A2F83">
        <w:trPr>
          <w:trHeight w:val="23"/>
        </w:trPr>
        <w:tc>
          <w:tcPr>
            <w:tcW w:w="2879"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BB24AAD" w14:textId="77777777" w:rsidR="00730DE4" w:rsidRPr="00730DE4" w:rsidRDefault="00730DE4" w:rsidP="004A5032">
            <w:pPr>
              <w:pStyle w:val="NoSpacing"/>
              <w:rPr>
                <w:color w:val="080C0F" w:themeColor="text1"/>
              </w:rPr>
            </w:pPr>
            <w:r w:rsidRPr="00730DE4">
              <w:rPr>
                <w:color w:val="080C0F" w:themeColor="text1"/>
              </w:rPr>
              <w:t>Depreciation</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1E7BD12" w14:textId="77777777" w:rsidR="00730DE4" w:rsidRPr="00730DE4" w:rsidRDefault="00730DE4" w:rsidP="004A5032">
            <w:pPr>
              <w:pStyle w:val="NoSpacing"/>
              <w:jc w:val="right"/>
              <w:rPr>
                <w:color w:val="080C0F" w:themeColor="text1"/>
              </w:rPr>
            </w:pPr>
            <w:r w:rsidRPr="00730DE4">
              <w:rPr>
                <w:color w:val="080C0F" w:themeColor="text1"/>
              </w:rPr>
              <w:t>10</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24D1682" w14:textId="77777777" w:rsidR="00730DE4" w:rsidRPr="00730DE4" w:rsidRDefault="00730DE4" w:rsidP="004A5032">
            <w:pPr>
              <w:pStyle w:val="NoSpacing"/>
              <w:jc w:val="right"/>
              <w:rPr>
                <w:color w:val="080C0F" w:themeColor="text1"/>
              </w:rPr>
            </w:pPr>
            <w:r w:rsidRPr="00730DE4">
              <w:rPr>
                <w:color w:val="080C0F" w:themeColor="text1"/>
              </w:rPr>
              <w:t xml:space="preserve">25,151 </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2655132" w14:textId="77777777" w:rsidR="00730DE4" w:rsidRPr="00730DE4" w:rsidRDefault="00730DE4" w:rsidP="004A5032">
            <w:pPr>
              <w:pStyle w:val="NoSpacing"/>
              <w:jc w:val="right"/>
              <w:rPr>
                <w:color w:val="080C0F" w:themeColor="text1"/>
              </w:rPr>
            </w:pPr>
            <w:r w:rsidRPr="00730DE4">
              <w:rPr>
                <w:color w:val="080C0F" w:themeColor="text1"/>
              </w:rPr>
              <w:t xml:space="preserve">24,373 </w:t>
            </w:r>
          </w:p>
        </w:tc>
      </w:tr>
      <w:tr w:rsidR="00730DE4" w:rsidRPr="00730DE4" w14:paraId="0CA66D53" w14:textId="77777777" w:rsidTr="007844E9">
        <w:trPr>
          <w:trHeight w:val="23"/>
        </w:trPr>
        <w:tc>
          <w:tcPr>
            <w:tcW w:w="2879"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62F77340" w14:textId="77777777" w:rsidR="00730DE4" w:rsidRPr="00730DE4" w:rsidRDefault="00730DE4" w:rsidP="004A5032">
            <w:pPr>
              <w:pStyle w:val="NoSpacing"/>
              <w:rPr>
                <w:color w:val="080C0F" w:themeColor="text1"/>
              </w:rPr>
            </w:pPr>
            <w:r w:rsidRPr="00730DE4">
              <w:rPr>
                <w:color w:val="080C0F" w:themeColor="text1"/>
              </w:rPr>
              <w:t>Interest</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A0D4A4C" w14:textId="77777777" w:rsidR="00730DE4" w:rsidRPr="00730DE4" w:rsidRDefault="00730DE4" w:rsidP="004A5032">
            <w:pPr>
              <w:pStyle w:val="NoSpacing"/>
              <w:jc w:val="right"/>
              <w:rPr>
                <w:color w:val="080C0F" w:themeColor="text1"/>
              </w:rPr>
            </w:pPr>
            <w:r w:rsidRPr="00730DE4">
              <w:rPr>
                <w:color w:val="080C0F" w:themeColor="text1"/>
              </w:rPr>
              <w:t>9</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AE81C99" w14:textId="77777777" w:rsidR="00730DE4" w:rsidRPr="00730DE4" w:rsidRDefault="00730DE4" w:rsidP="004A5032">
            <w:pPr>
              <w:pStyle w:val="NoSpacing"/>
              <w:jc w:val="right"/>
              <w:rPr>
                <w:color w:val="080C0F" w:themeColor="text1"/>
              </w:rPr>
            </w:pPr>
            <w:r w:rsidRPr="00730DE4">
              <w:rPr>
                <w:color w:val="080C0F" w:themeColor="text1"/>
              </w:rPr>
              <w:t xml:space="preserve">20,963 </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59E155D" w14:textId="77777777" w:rsidR="00730DE4" w:rsidRPr="00730DE4" w:rsidRDefault="00730DE4" w:rsidP="004A5032">
            <w:pPr>
              <w:pStyle w:val="NoSpacing"/>
              <w:jc w:val="right"/>
              <w:rPr>
                <w:color w:val="080C0F" w:themeColor="text1"/>
              </w:rPr>
            </w:pPr>
            <w:r w:rsidRPr="00730DE4">
              <w:rPr>
                <w:color w:val="080C0F" w:themeColor="text1"/>
              </w:rPr>
              <w:t xml:space="preserve">25,457 </w:t>
            </w:r>
          </w:p>
        </w:tc>
      </w:tr>
      <w:tr w:rsidR="00730DE4" w:rsidRPr="00730DE4" w14:paraId="10DB93D7" w14:textId="77777777" w:rsidTr="007844E9">
        <w:trPr>
          <w:trHeight w:val="23"/>
        </w:trPr>
        <w:tc>
          <w:tcPr>
            <w:tcW w:w="2879"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67BCC924" w14:textId="77777777" w:rsidR="00730DE4" w:rsidRPr="00730DE4" w:rsidRDefault="00730DE4" w:rsidP="004A5032">
            <w:pPr>
              <w:pStyle w:val="NoSpacing"/>
              <w:rPr>
                <w:color w:val="080C0F" w:themeColor="text1"/>
              </w:rPr>
            </w:pPr>
            <w:r w:rsidRPr="00730DE4">
              <w:rPr>
                <w:color w:val="080C0F" w:themeColor="text1"/>
              </w:rPr>
              <w:t>Service expenses</w:t>
            </w:r>
          </w:p>
        </w:tc>
        <w:tc>
          <w:tcPr>
            <w:tcW w:w="707"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507D4890" w14:textId="77777777" w:rsidR="00730DE4" w:rsidRPr="00730DE4" w:rsidRDefault="00730DE4" w:rsidP="004A5032">
            <w:pPr>
              <w:pStyle w:val="NoSpacing"/>
              <w:jc w:val="right"/>
              <w:rPr>
                <w:color w:val="080C0F" w:themeColor="text1"/>
              </w:rPr>
            </w:pPr>
          </w:p>
        </w:tc>
        <w:tc>
          <w:tcPr>
            <w:tcW w:w="707"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71559806" w14:textId="77777777" w:rsidR="00730DE4" w:rsidRPr="00730DE4" w:rsidRDefault="00730DE4" w:rsidP="004A5032">
            <w:pPr>
              <w:pStyle w:val="NoSpacing"/>
              <w:jc w:val="right"/>
              <w:rPr>
                <w:color w:val="080C0F" w:themeColor="text1"/>
              </w:rPr>
            </w:pPr>
            <w:r w:rsidRPr="00730DE4">
              <w:rPr>
                <w:color w:val="080C0F" w:themeColor="text1"/>
              </w:rPr>
              <w:t xml:space="preserve">67,918 </w:t>
            </w:r>
          </w:p>
        </w:tc>
        <w:tc>
          <w:tcPr>
            <w:tcW w:w="707"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7BB6049A" w14:textId="77777777" w:rsidR="00730DE4" w:rsidRPr="00730DE4" w:rsidRDefault="00730DE4" w:rsidP="004A5032">
            <w:pPr>
              <w:pStyle w:val="NoSpacing"/>
              <w:jc w:val="right"/>
              <w:rPr>
                <w:color w:val="080C0F" w:themeColor="text1"/>
              </w:rPr>
            </w:pPr>
            <w:r w:rsidRPr="00730DE4">
              <w:rPr>
                <w:color w:val="080C0F" w:themeColor="text1"/>
              </w:rPr>
              <w:t xml:space="preserve">62,640 </w:t>
            </w:r>
          </w:p>
        </w:tc>
      </w:tr>
      <w:tr w:rsidR="00730DE4" w:rsidRPr="00730DE4" w14:paraId="055A84F6" w14:textId="77777777" w:rsidTr="007844E9">
        <w:tc>
          <w:tcPr>
            <w:tcW w:w="2879"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52C35760" w14:textId="77777777" w:rsidR="00730DE4" w:rsidRPr="00730DE4" w:rsidRDefault="00730DE4" w:rsidP="000A3AFE">
            <w:pPr>
              <w:pStyle w:val="NoSpacing"/>
              <w:rPr>
                <w:rStyle w:val="Strong"/>
              </w:rPr>
            </w:pPr>
            <w:r w:rsidRPr="00730DE4">
              <w:rPr>
                <w:rStyle w:val="Strong"/>
              </w:rPr>
              <w:t>Net impact on operating result</w:t>
            </w:r>
          </w:p>
        </w:tc>
        <w:tc>
          <w:tcPr>
            <w:tcW w:w="707"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2AFBE787" w14:textId="77777777" w:rsidR="00730DE4" w:rsidRPr="00730DE4" w:rsidRDefault="00730DE4" w:rsidP="000A3AFE">
            <w:pPr>
              <w:pStyle w:val="NoSpacing"/>
              <w:jc w:val="right"/>
              <w:rPr>
                <w:color w:val="080C0F" w:themeColor="text1"/>
              </w:rPr>
            </w:pPr>
            <w:r w:rsidRPr="00730DE4">
              <w:rPr>
                <w:color w:val="080C0F" w:themeColor="text1"/>
              </w:rPr>
              <w:t> </w:t>
            </w:r>
          </w:p>
        </w:tc>
        <w:tc>
          <w:tcPr>
            <w:tcW w:w="707"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1CEDDDDE" w14:textId="77777777" w:rsidR="00730DE4" w:rsidRPr="00730DE4" w:rsidRDefault="00730DE4" w:rsidP="000A3AFE">
            <w:pPr>
              <w:pStyle w:val="NoSpacing"/>
              <w:jc w:val="right"/>
              <w:rPr>
                <w:rStyle w:val="Strong"/>
              </w:rPr>
            </w:pPr>
            <w:r w:rsidRPr="00730DE4">
              <w:rPr>
                <w:rStyle w:val="Strong"/>
              </w:rPr>
              <w:t>(91,327)</w:t>
            </w:r>
          </w:p>
        </w:tc>
        <w:tc>
          <w:tcPr>
            <w:tcW w:w="707" w:type="pct"/>
            <w:tcBorders>
              <w:top w:val="single" w:sz="4" w:space="0" w:color="auto"/>
              <w:left w:val="dotted" w:sz="4" w:space="0" w:color="BFBFBF" w:themeColor="background1" w:themeShade="BF"/>
              <w:bottom w:val="double" w:sz="4" w:space="0" w:color="auto"/>
              <w:right w:val="nil"/>
            </w:tcBorders>
            <w:shd w:val="clear" w:color="auto" w:fill="auto"/>
            <w:noWrap/>
            <w:hideMark/>
          </w:tcPr>
          <w:p w14:paraId="6C654D7C" w14:textId="77777777" w:rsidR="00730DE4" w:rsidRPr="00730DE4" w:rsidRDefault="00730DE4" w:rsidP="000A3AFE">
            <w:pPr>
              <w:pStyle w:val="NoSpacing"/>
              <w:jc w:val="right"/>
              <w:rPr>
                <w:rStyle w:val="Strong"/>
              </w:rPr>
            </w:pPr>
            <w:r w:rsidRPr="00730DE4">
              <w:rPr>
                <w:rStyle w:val="Strong"/>
              </w:rPr>
              <w:t>(91,442)</w:t>
            </w:r>
          </w:p>
        </w:tc>
      </w:tr>
    </w:tbl>
    <w:p w14:paraId="7CAB8F08" w14:textId="77777777" w:rsidR="00730DE4" w:rsidRPr="00730DE4" w:rsidRDefault="00730DE4" w:rsidP="004A5032">
      <w:pPr>
        <w:pStyle w:val="Heading6"/>
      </w:pPr>
      <w:r w:rsidRPr="00730DE4">
        <w:t>Toowoomba Bypass</w:t>
      </w:r>
    </w:p>
    <w:p w14:paraId="5C9B128D" w14:textId="77777777" w:rsidR="00730DE4" w:rsidRPr="00730DE4" w:rsidRDefault="00730DE4" w:rsidP="003C13D4">
      <w:pPr>
        <w:rPr>
          <w:color w:val="080C0F" w:themeColor="text1"/>
        </w:rPr>
      </w:pPr>
      <w:r w:rsidRPr="00730DE4">
        <w:rPr>
          <w:color w:val="080C0F" w:themeColor="text1"/>
        </w:rPr>
        <w:t>In August 2015 the department entered into a contractual arrangement with Nexus Infrastructure Consortium to finance, design, build, operate and maintain a range crossing connecting the Warrego Highway at Helidon Spa in the east with the Gore Highway at Athol in the west, via Charlton. The bypass opened to traffic in September 2019 and toll collection commenced in December 2019, with Transurban Queensland contracted to provide the tolling collection service on behalf of the department.</w:t>
      </w:r>
      <w:r w:rsidRPr="00730DE4">
        <w:rPr>
          <w:color w:val="080C0F" w:themeColor="text1"/>
        </w:rPr>
        <w:tab/>
      </w:r>
    </w:p>
    <w:p w14:paraId="442393BF" w14:textId="77777777" w:rsidR="00730DE4" w:rsidRPr="00730DE4" w:rsidRDefault="00730DE4" w:rsidP="003C13D4">
      <w:pPr>
        <w:rPr>
          <w:color w:val="080C0F" w:themeColor="text1"/>
        </w:rPr>
      </w:pPr>
      <w:r w:rsidRPr="00730DE4">
        <w:rPr>
          <w:color w:val="080C0F" w:themeColor="text1"/>
        </w:rPr>
        <w:t xml:space="preserve">The department will make ongoing quarterly service payments over the 25 year operation and maintenance period at an implicit interest rate of 5.32%, which includes repayment of the debt finance used to construct the bypass. Maintenance payments are expensed during the relevant year. </w:t>
      </w:r>
    </w:p>
    <w:p w14:paraId="23E7EF23" w14:textId="77777777" w:rsidR="00730DE4" w:rsidRPr="00730DE4" w:rsidRDefault="00730DE4" w:rsidP="003C13D4">
      <w:pPr>
        <w:rPr>
          <w:color w:val="080C0F" w:themeColor="text1"/>
        </w:rPr>
      </w:pPr>
      <w:r w:rsidRPr="00730DE4">
        <w:rPr>
          <w:color w:val="080C0F" w:themeColor="text1"/>
        </w:rPr>
        <w:t>At the expiry of the concession period the department will retain ownership of the road infrastructure.</w:t>
      </w:r>
    </w:p>
    <w:p w14:paraId="13CDE902" w14:textId="77777777" w:rsidR="00730DE4" w:rsidRPr="00730DE4" w:rsidRDefault="00730DE4" w:rsidP="003C13D4">
      <w:pPr>
        <w:rPr>
          <w:color w:val="080C0F" w:themeColor="text1"/>
        </w:rPr>
      </w:pPr>
      <w:r w:rsidRPr="00730DE4">
        <w:rPr>
          <w:color w:val="080C0F" w:themeColor="text1"/>
        </w:rPr>
        <w:t>The estimated future cash flows excluding GST are detailed below:</w:t>
      </w:r>
    </w:p>
    <w:p w14:paraId="5D70BCA7" w14:textId="77777777" w:rsidR="00730DE4" w:rsidRPr="00730DE4" w:rsidRDefault="00730DE4" w:rsidP="000F0A47">
      <w:pPr>
        <w:pStyle w:val="NoSpacing"/>
      </w:pPr>
    </w:p>
    <w:tbl>
      <w:tblPr>
        <w:tblW w:w="5000" w:type="pct"/>
        <w:tblCellMar>
          <w:top w:w="23" w:type="dxa"/>
          <w:left w:w="23" w:type="dxa"/>
          <w:bottom w:w="23" w:type="dxa"/>
          <w:right w:w="23" w:type="dxa"/>
        </w:tblCellMar>
        <w:tblLook w:val="04A0" w:firstRow="1" w:lastRow="0" w:firstColumn="1" w:lastColumn="0" w:noHBand="0" w:noVBand="1"/>
      </w:tblPr>
      <w:tblGrid>
        <w:gridCol w:w="5225"/>
        <w:gridCol w:w="1282"/>
        <w:gridCol w:w="1282"/>
        <w:gridCol w:w="1281"/>
      </w:tblGrid>
      <w:tr w:rsidR="00730DE4" w:rsidRPr="00730DE4" w14:paraId="1A59C3BC" w14:textId="77777777" w:rsidTr="0033617E">
        <w:trPr>
          <w:trHeight w:val="198"/>
        </w:trPr>
        <w:tc>
          <w:tcPr>
            <w:tcW w:w="2880" w:type="pct"/>
            <w:tcBorders>
              <w:top w:val="nil"/>
              <w:left w:val="nil"/>
              <w:bottom w:val="single" w:sz="4" w:space="0" w:color="auto"/>
              <w:right w:val="nil"/>
            </w:tcBorders>
            <w:shd w:val="clear" w:color="auto" w:fill="auto"/>
            <w:noWrap/>
            <w:vAlign w:val="bottom"/>
            <w:hideMark/>
          </w:tcPr>
          <w:p w14:paraId="49024515" w14:textId="77777777" w:rsidR="00730DE4" w:rsidRPr="00730DE4" w:rsidRDefault="00730DE4" w:rsidP="004A5032">
            <w:pPr>
              <w:pStyle w:val="NoSpacing"/>
              <w:rPr>
                <w:color w:val="080C0F" w:themeColor="text1"/>
              </w:rPr>
            </w:pPr>
          </w:p>
        </w:tc>
        <w:tc>
          <w:tcPr>
            <w:tcW w:w="707" w:type="pct"/>
            <w:tcBorders>
              <w:top w:val="nil"/>
              <w:left w:val="nil"/>
              <w:bottom w:val="single" w:sz="4" w:space="0" w:color="auto"/>
              <w:right w:val="nil"/>
            </w:tcBorders>
            <w:shd w:val="clear" w:color="auto" w:fill="auto"/>
            <w:noWrap/>
            <w:vAlign w:val="bottom"/>
            <w:hideMark/>
          </w:tcPr>
          <w:p w14:paraId="77211E7A" w14:textId="77777777" w:rsidR="00730DE4" w:rsidRPr="00730DE4" w:rsidRDefault="00730DE4" w:rsidP="004A5032">
            <w:pPr>
              <w:pStyle w:val="NoSpacing"/>
              <w:jc w:val="right"/>
              <w:rPr>
                <w:rStyle w:val="Strong"/>
              </w:rPr>
            </w:pPr>
            <w:r w:rsidRPr="00730DE4">
              <w:rPr>
                <w:rStyle w:val="Strong"/>
              </w:rPr>
              <w:t>Note</w:t>
            </w:r>
          </w:p>
        </w:tc>
        <w:tc>
          <w:tcPr>
            <w:tcW w:w="707" w:type="pct"/>
            <w:tcBorders>
              <w:top w:val="nil"/>
              <w:left w:val="nil"/>
              <w:bottom w:val="single" w:sz="4" w:space="0" w:color="auto"/>
              <w:right w:val="nil"/>
            </w:tcBorders>
            <w:shd w:val="clear" w:color="auto" w:fill="auto"/>
            <w:noWrap/>
            <w:vAlign w:val="bottom"/>
            <w:hideMark/>
          </w:tcPr>
          <w:p w14:paraId="4C9B2515" w14:textId="77777777" w:rsidR="00730DE4" w:rsidRPr="00730DE4" w:rsidRDefault="00730DE4" w:rsidP="004A5032">
            <w:pPr>
              <w:pStyle w:val="NoSpacing"/>
              <w:jc w:val="right"/>
              <w:rPr>
                <w:color w:val="080C0F" w:themeColor="text1"/>
              </w:rPr>
            </w:pPr>
            <w:r w:rsidRPr="00730DE4">
              <w:rPr>
                <w:rStyle w:val="Strong"/>
              </w:rPr>
              <w:t xml:space="preserve">2024 </w:t>
            </w:r>
            <w:r w:rsidRPr="00730DE4">
              <w:rPr>
                <w:rStyle w:val="Strong"/>
              </w:rPr>
              <w:br/>
              <w:t>$'000</w:t>
            </w:r>
          </w:p>
        </w:tc>
        <w:tc>
          <w:tcPr>
            <w:tcW w:w="707" w:type="pct"/>
            <w:tcBorders>
              <w:top w:val="nil"/>
              <w:left w:val="nil"/>
              <w:bottom w:val="single" w:sz="4" w:space="0" w:color="auto"/>
              <w:right w:val="nil"/>
            </w:tcBorders>
            <w:shd w:val="clear" w:color="auto" w:fill="auto"/>
            <w:noWrap/>
            <w:vAlign w:val="bottom"/>
            <w:hideMark/>
          </w:tcPr>
          <w:p w14:paraId="76EA6CB8" w14:textId="77777777" w:rsidR="00730DE4" w:rsidRPr="00730DE4" w:rsidRDefault="00730DE4" w:rsidP="004A5032">
            <w:pPr>
              <w:pStyle w:val="NoSpacing"/>
              <w:jc w:val="right"/>
              <w:rPr>
                <w:color w:val="080C0F" w:themeColor="text1"/>
              </w:rPr>
            </w:pPr>
            <w:r w:rsidRPr="00730DE4">
              <w:rPr>
                <w:rStyle w:val="Strong"/>
              </w:rPr>
              <w:t xml:space="preserve">2023 </w:t>
            </w:r>
            <w:r w:rsidRPr="00730DE4">
              <w:rPr>
                <w:rStyle w:val="Strong"/>
              </w:rPr>
              <w:br/>
              <w:t>$'000</w:t>
            </w:r>
          </w:p>
        </w:tc>
      </w:tr>
      <w:tr w:rsidR="00730DE4" w:rsidRPr="00730DE4" w14:paraId="4A218832" w14:textId="77777777" w:rsidTr="0033617E">
        <w:trPr>
          <w:trHeight w:val="454"/>
        </w:trPr>
        <w:tc>
          <w:tcPr>
            <w:tcW w:w="2880"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vAlign w:val="bottom"/>
          </w:tcPr>
          <w:p w14:paraId="00B6C490" w14:textId="77777777" w:rsidR="00730DE4" w:rsidRPr="00730DE4" w:rsidRDefault="00730DE4" w:rsidP="004A5032">
            <w:pPr>
              <w:pStyle w:val="NoSpacing"/>
              <w:rPr>
                <w:rStyle w:val="Strong"/>
              </w:rPr>
            </w:pPr>
            <w:r w:rsidRPr="00730DE4">
              <w:rPr>
                <w:rStyle w:val="Strong"/>
              </w:rPr>
              <w:t>Estimated cash flows</w:t>
            </w:r>
          </w:p>
        </w:tc>
        <w:tc>
          <w:tcPr>
            <w:tcW w:w="707"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7E9F83CD" w14:textId="77777777" w:rsidR="00730DE4" w:rsidRPr="00730DE4" w:rsidRDefault="00730DE4" w:rsidP="004A5032">
            <w:pPr>
              <w:pStyle w:val="NoSpacing"/>
              <w:jc w:val="right"/>
              <w:rPr>
                <w:rStyle w:val="Strong"/>
              </w:rPr>
            </w:pPr>
          </w:p>
        </w:tc>
        <w:tc>
          <w:tcPr>
            <w:tcW w:w="707"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48905838" w14:textId="77777777" w:rsidR="00730DE4" w:rsidRPr="00730DE4" w:rsidRDefault="00730DE4" w:rsidP="004A5032">
            <w:pPr>
              <w:pStyle w:val="NoSpacing"/>
              <w:jc w:val="right"/>
              <w:rPr>
                <w:rStyle w:val="Strong"/>
              </w:rPr>
            </w:pPr>
          </w:p>
        </w:tc>
        <w:tc>
          <w:tcPr>
            <w:tcW w:w="707"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vAlign w:val="bottom"/>
          </w:tcPr>
          <w:p w14:paraId="64952E63" w14:textId="77777777" w:rsidR="00730DE4" w:rsidRPr="00730DE4" w:rsidRDefault="00730DE4" w:rsidP="004A5032">
            <w:pPr>
              <w:pStyle w:val="NoSpacing"/>
              <w:jc w:val="right"/>
              <w:rPr>
                <w:rStyle w:val="Strong"/>
              </w:rPr>
            </w:pPr>
          </w:p>
        </w:tc>
      </w:tr>
      <w:tr w:rsidR="00730DE4" w:rsidRPr="00730DE4" w14:paraId="546872C5" w14:textId="77777777" w:rsidTr="0033617E">
        <w:trPr>
          <w:trHeight w:val="198"/>
        </w:trPr>
        <w:tc>
          <w:tcPr>
            <w:tcW w:w="288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0372C627" w14:textId="77777777" w:rsidR="00730DE4" w:rsidRPr="00730DE4" w:rsidRDefault="00730DE4" w:rsidP="004A5032">
            <w:pPr>
              <w:pStyle w:val="NoSpacing"/>
              <w:rPr>
                <w:i/>
                <w:iCs/>
                <w:color w:val="080C0F" w:themeColor="text1"/>
              </w:rPr>
            </w:pPr>
            <w:r w:rsidRPr="00730DE4">
              <w:rPr>
                <w:i/>
                <w:iCs/>
                <w:color w:val="080C0F" w:themeColor="text1"/>
              </w:rPr>
              <w:t>Inflows:</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5286D6E" w14:textId="77777777" w:rsidR="00730DE4" w:rsidRPr="00730DE4" w:rsidRDefault="00730DE4" w:rsidP="004A5032">
            <w:pPr>
              <w:pStyle w:val="NoSpacing"/>
              <w:jc w:val="right"/>
              <w:rPr>
                <w:i/>
                <w:iCs/>
                <w:color w:val="080C0F" w:themeColor="text1"/>
              </w:rPr>
            </w:pP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AFAF5B1" w14:textId="77777777" w:rsidR="00730DE4" w:rsidRPr="00730DE4" w:rsidRDefault="00730DE4" w:rsidP="004A5032">
            <w:pPr>
              <w:pStyle w:val="NoSpacing"/>
              <w:jc w:val="right"/>
              <w:rPr>
                <w:color w:val="080C0F" w:themeColor="text1"/>
              </w:rPr>
            </w:pP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8B0743F" w14:textId="77777777" w:rsidR="00730DE4" w:rsidRPr="00730DE4" w:rsidRDefault="00730DE4" w:rsidP="004A5032">
            <w:pPr>
              <w:pStyle w:val="NoSpacing"/>
              <w:jc w:val="right"/>
              <w:rPr>
                <w:color w:val="080C0F" w:themeColor="text1"/>
              </w:rPr>
            </w:pPr>
          </w:p>
        </w:tc>
      </w:tr>
      <w:tr w:rsidR="00730DE4" w:rsidRPr="00730DE4" w14:paraId="75592C25" w14:textId="77777777" w:rsidTr="0033617E">
        <w:trPr>
          <w:trHeight w:val="198"/>
        </w:trPr>
        <w:tc>
          <w:tcPr>
            <w:tcW w:w="288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4607E042" w14:textId="77777777" w:rsidR="00730DE4" w:rsidRPr="00730DE4" w:rsidRDefault="00730DE4" w:rsidP="004A5032">
            <w:pPr>
              <w:pStyle w:val="NoSpacing"/>
              <w:rPr>
                <w:color w:val="080C0F" w:themeColor="text1"/>
              </w:rPr>
            </w:pPr>
            <w:r w:rsidRPr="00730DE4">
              <w:rPr>
                <w:color w:val="080C0F" w:themeColor="text1"/>
              </w:rPr>
              <w:t>Not later than one year</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7332502" w14:textId="77777777" w:rsidR="00730DE4" w:rsidRPr="00730DE4" w:rsidRDefault="00730DE4" w:rsidP="004A5032">
            <w:pPr>
              <w:pStyle w:val="NoSpacing"/>
              <w:jc w:val="right"/>
              <w:rPr>
                <w:color w:val="080C0F" w:themeColor="text1"/>
              </w:rPr>
            </w:pP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01FA02F" w14:textId="77777777" w:rsidR="00730DE4" w:rsidRPr="00730DE4" w:rsidRDefault="00730DE4" w:rsidP="004A5032">
            <w:pPr>
              <w:pStyle w:val="NoSpacing"/>
              <w:jc w:val="right"/>
              <w:rPr>
                <w:color w:val="080C0F" w:themeColor="text1"/>
              </w:rPr>
            </w:pPr>
            <w:r w:rsidRPr="00730DE4">
              <w:rPr>
                <w:color w:val="080C0F" w:themeColor="text1"/>
              </w:rPr>
              <w:t xml:space="preserve">23,694 </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850F87A" w14:textId="77777777" w:rsidR="00730DE4" w:rsidRPr="00730DE4" w:rsidRDefault="00730DE4" w:rsidP="004A5032">
            <w:pPr>
              <w:pStyle w:val="NoSpacing"/>
              <w:jc w:val="right"/>
              <w:rPr>
                <w:color w:val="080C0F" w:themeColor="text1"/>
              </w:rPr>
            </w:pPr>
            <w:r w:rsidRPr="00730DE4">
              <w:rPr>
                <w:color w:val="080C0F" w:themeColor="text1"/>
              </w:rPr>
              <w:t xml:space="preserve">19,853 </w:t>
            </w:r>
          </w:p>
        </w:tc>
      </w:tr>
      <w:tr w:rsidR="00730DE4" w:rsidRPr="00730DE4" w14:paraId="076DA36D" w14:textId="77777777" w:rsidTr="0033617E">
        <w:trPr>
          <w:trHeight w:val="198"/>
        </w:trPr>
        <w:tc>
          <w:tcPr>
            <w:tcW w:w="288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8FF80BF" w14:textId="77777777" w:rsidR="00730DE4" w:rsidRPr="00730DE4" w:rsidRDefault="00730DE4" w:rsidP="004A5032">
            <w:pPr>
              <w:pStyle w:val="NoSpacing"/>
              <w:rPr>
                <w:color w:val="080C0F" w:themeColor="text1"/>
              </w:rPr>
            </w:pPr>
            <w:r w:rsidRPr="00730DE4">
              <w:rPr>
                <w:color w:val="080C0F" w:themeColor="text1"/>
              </w:rPr>
              <w:t>Later than one year but not later than five years</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CFB2295" w14:textId="77777777" w:rsidR="00730DE4" w:rsidRPr="00730DE4" w:rsidRDefault="00730DE4" w:rsidP="004A5032">
            <w:pPr>
              <w:pStyle w:val="NoSpacing"/>
              <w:jc w:val="right"/>
              <w:rPr>
                <w:color w:val="080C0F" w:themeColor="text1"/>
              </w:rPr>
            </w:pP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96AB06E" w14:textId="77777777" w:rsidR="00730DE4" w:rsidRPr="00730DE4" w:rsidRDefault="00730DE4" w:rsidP="004A5032">
            <w:pPr>
              <w:pStyle w:val="NoSpacing"/>
              <w:jc w:val="right"/>
              <w:rPr>
                <w:color w:val="080C0F" w:themeColor="text1"/>
              </w:rPr>
            </w:pPr>
            <w:r w:rsidRPr="00730DE4">
              <w:rPr>
                <w:color w:val="080C0F" w:themeColor="text1"/>
              </w:rPr>
              <w:t xml:space="preserve">108,754 </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CFF4102" w14:textId="77777777" w:rsidR="00730DE4" w:rsidRPr="00730DE4" w:rsidRDefault="00730DE4" w:rsidP="004A5032">
            <w:pPr>
              <w:pStyle w:val="NoSpacing"/>
              <w:jc w:val="right"/>
              <w:rPr>
                <w:color w:val="080C0F" w:themeColor="text1"/>
              </w:rPr>
            </w:pPr>
            <w:r w:rsidRPr="00730DE4">
              <w:rPr>
                <w:color w:val="080C0F" w:themeColor="text1"/>
              </w:rPr>
              <w:t xml:space="preserve">88,536 </w:t>
            </w:r>
          </w:p>
        </w:tc>
      </w:tr>
      <w:tr w:rsidR="00730DE4" w:rsidRPr="00730DE4" w14:paraId="43C85F61" w14:textId="77777777" w:rsidTr="0033617E">
        <w:trPr>
          <w:trHeight w:val="198"/>
        </w:trPr>
        <w:tc>
          <w:tcPr>
            <w:tcW w:w="288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14233AD5" w14:textId="77777777" w:rsidR="00730DE4" w:rsidRPr="00730DE4" w:rsidRDefault="00730DE4" w:rsidP="004A5032">
            <w:pPr>
              <w:pStyle w:val="NoSpacing"/>
              <w:rPr>
                <w:color w:val="080C0F" w:themeColor="text1"/>
              </w:rPr>
            </w:pPr>
            <w:r w:rsidRPr="00730DE4">
              <w:rPr>
                <w:color w:val="080C0F" w:themeColor="text1"/>
              </w:rPr>
              <w:t>Later than five years but not later than ten years</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694B3A1" w14:textId="77777777" w:rsidR="00730DE4" w:rsidRPr="00730DE4" w:rsidRDefault="00730DE4" w:rsidP="004A5032">
            <w:pPr>
              <w:pStyle w:val="NoSpacing"/>
              <w:jc w:val="right"/>
              <w:rPr>
                <w:color w:val="080C0F" w:themeColor="text1"/>
              </w:rPr>
            </w:pP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1BBEE72" w14:textId="77777777" w:rsidR="00730DE4" w:rsidRPr="00730DE4" w:rsidRDefault="00730DE4" w:rsidP="004A5032">
            <w:pPr>
              <w:pStyle w:val="NoSpacing"/>
              <w:jc w:val="right"/>
              <w:rPr>
                <w:color w:val="080C0F" w:themeColor="text1"/>
              </w:rPr>
            </w:pPr>
            <w:r w:rsidRPr="00730DE4">
              <w:rPr>
                <w:color w:val="080C0F" w:themeColor="text1"/>
              </w:rPr>
              <w:t xml:space="preserve">176,125 </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1B765C8" w14:textId="77777777" w:rsidR="00730DE4" w:rsidRPr="00730DE4" w:rsidRDefault="00730DE4" w:rsidP="004A5032">
            <w:pPr>
              <w:pStyle w:val="NoSpacing"/>
              <w:jc w:val="right"/>
              <w:rPr>
                <w:color w:val="080C0F" w:themeColor="text1"/>
              </w:rPr>
            </w:pPr>
            <w:r w:rsidRPr="00730DE4">
              <w:rPr>
                <w:color w:val="080C0F" w:themeColor="text1"/>
              </w:rPr>
              <w:t xml:space="preserve">137,305 </w:t>
            </w:r>
          </w:p>
        </w:tc>
      </w:tr>
      <w:tr w:rsidR="00730DE4" w:rsidRPr="00730DE4" w14:paraId="1B9D66B8" w14:textId="77777777" w:rsidTr="0033617E">
        <w:trPr>
          <w:trHeight w:val="198"/>
        </w:trPr>
        <w:tc>
          <w:tcPr>
            <w:tcW w:w="288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8FFEF24" w14:textId="77777777" w:rsidR="00730DE4" w:rsidRPr="00730DE4" w:rsidRDefault="00730DE4" w:rsidP="004A5032">
            <w:pPr>
              <w:pStyle w:val="NoSpacing"/>
              <w:rPr>
                <w:color w:val="080C0F" w:themeColor="text1"/>
              </w:rPr>
            </w:pPr>
            <w:r w:rsidRPr="00730DE4">
              <w:rPr>
                <w:color w:val="080C0F" w:themeColor="text1"/>
              </w:rPr>
              <w:t>Later than ten years</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D862F4B" w14:textId="77777777" w:rsidR="00730DE4" w:rsidRPr="00730DE4" w:rsidRDefault="00730DE4" w:rsidP="004A5032">
            <w:pPr>
              <w:pStyle w:val="NoSpacing"/>
              <w:jc w:val="right"/>
              <w:rPr>
                <w:color w:val="080C0F" w:themeColor="text1"/>
              </w:rPr>
            </w:pP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FD1036B" w14:textId="77777777" w:rsidR="00730DE4" w:rsidRPr="00730DE4" w:rsidRDefault="00730DE4" w:rsidP="004A5032">
            <w:pPr>
              <w:pStyle w:val="NoSpacing"/>
              <w:jc w:val="right"/>
              <w:rPr>
                <w:color w:val="080C0F" w:themeColor="text1"/>
              </w:rPr>
            </w:pPr>
            <w:r w:rsidRPr="00730DE4">
              <w:rPr>
                <w:color w:val="080C0F" w:themeColor="text1"/>
              </w:rPr>
              <w:t xml:space="preserve">501,763 </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407D2266" w14:textId="77777777" w:rsidR="00730DE4" w:rsidRPr="00730DE4" w:rsidRDefault="00730DE4" w:rsidP="004A5032">
            <w:pPr>
              <w:pStyle w:val="NoSpacing"/>
              <w:jc w:val="right"/>
              <w:rPr>
                <w:color w:val="080C0F" w:themeColor="text1"/>
              </w:rPr>
            </w:pPr>
            <w:r w:rsidRPr="00730DE4">
              <w:rPr>
                <w:color w:val="080C0F" w:themeColor="text1"/>
              </w:rPr>
              <w:t xml:space="preserve">414,826 </w:t>
            </w:r>
          </w:p>
        </w:tc>
      </w:tr>
      <w:tr w:rsidR="00730DE4" w:rsidRPr="00730DE4" w14:paraId="6A0410C9" w14:textId="77777777" w:rsidTr="0033617E">
        <w:trPr>
          <w:trHeight w:val="198"/>
        </w:trPr>
        <w:tc>
          <w:tcPr>
            <w:tcW w:w="288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007A5526" w14:textId="77777777" w:rsidR="00730DE4" w:rsidRPr="00730DE4" w:rsidRDefault="00730DE4" w:rsidP="004A5032">
            <w:pPr>
              <w:pStyle w:val="NoSpacing"/>
              <w:rPr>
                <w:i/>
                <w:iCs/>
                <w:color w:val="080C0F" w:themeColor="text1"/>
              </w:rPr>
            </w:pPr>
            <w:r w:rsidRPr="00730DE4">
              <w:rPr>
                <w:i/>
                <w:iCs/>
                <w:color w:val="080C0F" w:themeColor="text1"/>
              </w:rPr>
              <w:t>Outflows:</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0213E09" w14:textId="77777777" w:rsidR="00730DE4" w:rsidRPr="00730DE4" w:rsidRDefault="00730DE4" w:rsidP="004A5032">
            <w:pPr>
              <w:pStyle w:val="NoSpacing"/>
              <w:jc w:val="right"/>
              <w:rPr>
                <w:i/>
                <w:iCs/>
                <w:color w:val="080C0F" w:themeColor="text1"/>
              </w:rPr>
            </w:pP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655D80E" w14:textId="77777777" w:rsidR="00730DE4" w:rsidRPr="00730DE4" w:rsidRDefault="00730DE4" w:rsidP="004A5032">
            <w:pPr>
              <w:pStyle w:val="NoSpacing"/>
              <w:jc w:val="right"/>
              <w:rPr>
                <w:i/>
                <w:iCs/>
                <w:color w:val="080C0F" w:themeColor="text1"/>
              </w:rPr>
            </w:pPr>
            <w:r w:rsidRPr="00730DE4">
              <w:rPr>
                <w:i/>
                <w:iCs/>
                <w:color w:val="080C0F" w:themeColor="text1"/>
              </w:rPr>
              <w:t> </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64E6EF8" w14:textId="77777777" w:rsidR="00730DE4" w:rsidRPr="00730DE4" w:rsidRDefault="00730DE4" w:rsidP="004A5032">
            <w:pPr>
              <w:pStyle w:val="NoSpacing"/>
              <w:jc w:val="right"/>
              <w:rPr>
                <w:color w:val="080C0F" w:themeColor="text1"/>
              </w:rPr>
            </w:pPr>
          </w:p>
        </w:tc>
      </w:tr>
      <w:tr w:rsidR="00730DE4" w:rsidRPr="00730DE4" w14:paraId="3FDD91BB" w14:textId="77777777" w:rsidTr="0033617E">
        <w:trPr>
          <w:trHeight w:val="198"/>
        </w:trPr>
        <w:tc>
          <w:tcPr>
            <w:tcW w:w="288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3904D00D" w14:textId="77777777" w:rsidR="00730DE4" w:rsidRPr="00730DE4" w:rsidRDefault="00730DE4" w:rsidP="004A5032">
            <w:pPr>
              <w:pStyle w:val="NoSpacing"/>
              <w:rPr>
                <w:color w:val="080C0F" w:themeColor="text1"/>
              </w:rPr>
            </w:pPr>
            <w:r w:rsidRPr="00730DE4">
              <w:rPr>
                <w:color w:val="080C0F" w:themeColor="text1"/>
              </w:rPr>
              <w:t>Not later than one year</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8AE652F" w14:textId="77777777" w:rsidR="00730DE4" w:rsidRPr="00730DE4" w:rsidRDefault="00730DE4" w:rsidP="004A5032">
            <w:pPr>
              <w:pStyle w:val="NoSpacing"/>
              <w:jc w:val="right"/>
              <w:rPr>
                <w:color w:val="080C0F" w:themeColor="text1"/>
              </w:rPr>
            </w:pP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56C631D" w14:textId="77777777" w:rsidR="00730DE4" w:rsidRPr="00730DE4" w:rsidRDefault="00730DE4" w:rsidP="004A5032">
            <w:pPr>
              <w:pStyle w:val="NoSpacing"/>
              <w:jc w:val="right"/>
              <w:rPr>
                <w:color w:val="080C0F" w:themeColor="text1"/>
              </w:rPr>
            </w:pPr>
            <w:r w:rsidRPr="00730DE4">
              <w:rPr>
                <w:color w:val="080C0F" w:themeColor="text1"/>
              </w:rPr>
              <w:t>(51,275)</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4A231B5D" w14:textId="77777777" w:rsidR="00730DE4" w:rsidRPr="00730DE4" w:rsidRDefault="00730DE4" w:rsidP="004A5032">
            <w:pPr>
              <w:pStyle w:val="NoSpacing"/>
              <w:jc w:val="right"/>
              <w:rPr>
                <w:color w:val="080C0F" w:themeColor="text1"/>
              </w:rPr>
            </w:pPr>
            <w:r w:rsidRPr="00730DE4">
              <w:rPr>
                <w:color w:val="080C0F" w:themeColor="text1"/>
              </w:rPr>
              <w:t>(49,221)</w:t>
            </w:r>
          </w:p>
        </w:tc>
      </w:tr>
      <w:tr w:rsidR="00730DE4" w:rsidRPr="00730DE4" w14:paraId="1197B5BE" w14:textId="77777777" w:rsidTr="0033617E">
        <w:trPr>
          <w:trHeight w:val="198"/>
        </w:trPr>
        <w:tc>
          <w:tcPr>
            <w:tcW w:w="288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322C8FB2" w14:textId="77777777" w:rsidR="00730DE4" w:rsidRPr="00730DE4" w:rsidRDefault="00730DE4" w:rsidP="004A5032">
            <w:pPr>
              <w:pStyle w:val="NoSpacing"/>
              <w:rPr>
                <w:color w:val="080C0F" w:themeColor="text1"/>
              </w:rPr>
            </w:pPr>
            <w:r w:rsidRPr="00730DE4">
              <w:rPr>
                <w:color w:val="080C0F" w:themeColor="text1"/>
              </w:rPr>
              <w:t>Later than one year but not later than five years</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291748E" w14:textId="77777777" w:rsidR="00730DE4" w:rsidRPr="00730DE4" w:rsidRDefault="00730DE4" w:rsidP="004A5032">
            <w:pPr>
              <w:pStyle w:val="NoSpacing"/>
              <w:jc w:val="right"/>
              <w:rPr>
                <w:color w:val="080C0F" w:themeColor="text1"/>
              </w:rPr>
            </w:pP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1316412" w14:textId="77777777" w:rsidR="00730DE4" w:rsidRPr="00730DE4" w:rsidRDefault="00730DE4" w:rsidP="004A5032">
            <w:pPr>
              <w:pStyle w:val="NoSpacing"/>
              <w:jc w:val="right"/>
              <w:rPr>
                <w:color w:val="080C0F" w:themeColor="text1"/>
              </w:rPr>
            </w:pPr>
            <w:r w:rsidRPr="00730DE4">
              <w:rPr>
                <w:color w:val="080C0F" w:themeColor="text1"/>
              </w:rPr>
              <w:t>(214,131)</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ED8E35F" w14:textId="77777777" w:rsidR="00730DE4" w:rsidRPr="00730DE4" w:rsidRDefault="00730DE4" w:rsidP="004A5032">
            <w:pPr>
              <w:pStyle w:val="NoSpacing"/>
              <w:jc w:val="right"/>
              <w:rPr>
                <w:color w:val="080C0F" w:themeColor="text1"/>
              </w:rPr>
            </w:pPr>
            <w:r w:rsidRPr="00730DE4">
              <w:rPr>
                <w:color w:val="080C0F" w:themeColor="text1"/>
              </w:rPr>
              <w:t>(206,447)</w:t>
            </w:r>
          </w:p>
        </w:tc>
      </w:tr>
      <w:tr w:rsidR="00730DE4" w:rsidRPr="00730DE4" w14:paraId="5C375681" w14:textId="77777777" w:rsidTr="0033617E">
        <w:trPr>
          <w:trHeight w:val="198"/>
        </w:trPr>
        <w:tc>
          <w:tcPr>
            <w:tcW w:w="288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0423E1D0" w14:textId="77777777" w:rsidR="00730DE4" w:rsidRPr="00730DE4" w:rsidRDefault="00730DE4" w:rsidP="004A5032">
            <w:pPr>
              <w:pStyle w:val="NoSpacing"/>
              <w:rPr>
                <w:color w:val="080C0F" w:themeColor="text1"/>
              </w:rPr>
            </w:pPr>
            <w:r w:rsidRPr="00730DE4">
              <w:rPr>
                <w:color w:val="080C0F" w:themeColor="text1"/>
              </w:rPr>
              <w:t>Later than five years but not later than ten years</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F9AAD58" w14:textId="77777777" w:rsidR="00730DE4" w:rsidRPr="00730DE4" w:rsidRDefault="00730DE4" w:rsidP="004A5032">
            <w:pPr>
              <w:pStyle w:val="NoSpacing"/>
              <w:jc w:val="right"/>
              <w:rPr>
                <w:color w:val="080C0F" w:themeColor="text1"/>
              </w:rPr>
            </w:pP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BF8FF6F" w14:textId="77777777" w:rsidR="00730DE4" w:rsidRPr="00730DE4" w:rsidRDefault="00730DE4" w:rsidP="004A5032">
            <w:pPr>
              <w:pStyle w:val="NoSpacing"/>
              <w:jc w:val="right"/>
              <w:rPr>
                <w:color w:val="080C0F" w:themeColor="text1"/>
              </w:rPr>
            </w:pPr>
            <w:r w:rsidRPr="00730DE4">
              <w:rPr>
                <w:color w:val="080C0F" w:themeColor="text1"/>
              </w:rPr>
              <w:t>(297,667)</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A6BFF8B" w14:textId="77777777" w:rsidR="00730DE4" w:rsidRPr="00730DE4" w:rsidRDefault="00730DE4" w:rsidP="004A5032">
            <w:pPr>
              <w:pStyle w:val="NoSpacing"/>
              <w:jc w:val="right"/>
              <w:rPr>
                <w:color w:val="080C0F" w:themeColor="text1"/>
              </w:rPr>
            </w:pPr>
            <w:r w:rsidRPr="00730DE4">
              <w:rPr>
                <w:color w:val="080C0F" w:themeColor="text1"/>
              </w:rPr>
              <w:t>(299,612)</w:t>
            </w:r>
          </w:p>
        </w:tc>
      </w:tr>
      <w:tr w:rsidR="00730DE4" w:rsidRPr="00730DE4" w14:paraId="7E51722A" w14:textId="77777777" w:rsidTr="0033617E">
        <w:trPr>
          <w:trHeight w:val="198"/>
        </w:trPr>
        <w:tc>
          <w:tcPr>
            <w:tcW w:w="2880"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51FE78FD" w14:textId="77777777" w:rsidR="00730DE4" w:rsidRPr="00730DE4" w:rsidRDefault="00730DE4" w:rsidP="004A5032">
            <w:pPr>
              <w:pStyle w:val="NoSpacing"/>
              <w:rPr>
                <w:color w:val="080C0F" w:themeColor="text1"/>
              </w:rPr>
            </w:pPr>
            <w:r w:rsidRPr="00730DE4">
              <w:rPr>
                <w:color w:val="080C0F" w:themeColor="text1"/>
              </w:rPr>
              <w:t>Later than ten years</w:t>
            </w:r>
          </w:p>
        </w:tc>
        <w:tc>
          <w:tcPr>
            <w:tcW w:w="707"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2A7471DB" w14:textId="77777777" w:rsidR="00730DE4" w:rsidRPr="00730DE4" w:rsidRDefault="00730DE4" w:rsidP="004A5032">
            <w:pPr>
              <w:pStyle w:val="NoSpacing"/>
              <w:jc w:val="right"/>
              <w:rPr>
                <w:color w:val="080C0F" w:themeColor="text1"/>
              </w:rPr>
            </w:pPr>
          </w:p>
        </w:tc>
        <w:tc>
          <w:tcPr>
            <w:tcW w:w="707"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5040A045" w14:textId="77777777" w:rsidR="00730DE4" w:rsidRPr="00730DE4" w:rsidRDefault="00730DE4" w:rsidP="004A5032">
            <w:pPr>
              <w:pStyle w:val="NoSpacing"/>
              <w:jc w:val="right"/>
              <w:rPr>
                <w:color w:val="080C0F" w:themeColor="text1"/>
              </w:rPr>
            </w:pPr>
            <w:r w:rsidRPr="00730DE4">
              <w:rPr>
                <w:color w:val="080C0F" w:themeColor="text1"/>
              </w:rPr>
              <w:t>(636,155)</w:t>
            </w:r>
          </w:p>
        </w:tc>
        <w:tc>
          <w:tcPr>
            <w:tcW w:w="707"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5A515C5E" w14:textId="77777777" w:rsidR="00730DE4" w:rsidRPr="00730DE4" w:rsidRDefault="00730DE4" w:rsidP="004A5032">
            <w:pPr>
              <w:pStyle w:val="NoSpacing"/>
              <w:jc w:val="right"/>
              <w:rPr>
                <w:color w:val="080C0F" w:themeColor="text1"/>
              </w:rPr>
            </w:pPr>
            <w:r w:rsidRPr="00730DE4">
              <w:rPr>
                <w:color w:val="080C0F" w:themeColor="text1"/>
              </w:rPr>
              <w:t>(692,275)</w:t>
            </w:r>
          </w:p>
        </w:tc>
      </w:tr>
      <w:tr w:rsidR="00730DE4" w:rsidRPr="00730DE4" w14:paraId="0E07E6F1" w14:textId="77777777" w:rsidTr="0033617E">
        <w:tc>
          <w:tcPr>
            <w:tcW w:w="2880"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1595A44E" w14:textId="77777777" w:rsidR="00730DE4" w:rsidRPr="00730DE4" w:rsidRDefault="00730DE4" w:rsidP="000A3AFE">
            <w:pPr>
              <w:pStyle w:val="NoSpacing"/>
              <w:rPr>
                <w:rStyle w:val="Strong"/>
              </w:rPr>
            </w:pPr>
            <w:r w:rsidRPr="00730DE4">
              <w:rPr>
                <w:rStyle w:val="Strong"/>
              </w:rPr>
              <w:t>Estimated net cash flow</w:t>
            </w:r>
          </w:p>
        </w:tc>
        <w:tc>
          <w:tcPr>
            <w:tcW w:w="707"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28CCFF4E" w14:textId="77777777" w:rsidR="00730DE4" w:rsidRPr="00730DE4" w:rsidRDefault="00730DE4" w:rsidP="000A3AFE">
            <w:pPr>
              <w:pStyle w:val="NoSpacing"/>
              <w:jc w:val="right"/>
              <w:rPr>
                <w:color w:val="080C0F" w:themeColor="text1"/>
              </w:rPr>
            </w:pPr>
            <w:r w:rsidRPr="00730DE4">
              <w:rPr>
                <w:color w:val="080C0F" w:themeColor="text1"/>
              </w:rPr>
              <w:t> </w:t>
            </w:r>
          </w:p>
        </w:tc>
        <w:tc>
          <w:tcPr>
            <w:tcW w:w="707"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5B6B2B4D" w14:textId="77777777" w:rsidR="00730DE4" w:rsidRPr="00730DE4" w:rsidRDefault="00730DE4" w:rsidP="000A3AFE">
            <w:pPr>
              <w:pStyle w:val="NoSpacing"/>
              <w:jc w:val="right"/>
              <w:rPr>
                <w:rStyle w:val="Strong"/>
              </w:rPr>
            </w:pPr>
            <w:r w:rsidRPr="00730DE4">
              <w:rPr>
                <w:rStyle w:val="Strong"/>
              </w:rPr>
              <w:t>(388,892)</w:t>
            </w:r>
          </w:p>
        </w:tc>
        <w:tc>
          <w:tcPr>
            <w:tcW w:w="707" w:type="pct"/>
            <w:tcBorders>
              <w:top w:val="single" w:sz="4" w:space="0" w:color="auto"/>
              <w:left w:val="dotted" w:sz="4" w:space="0" w:color="BFBFBF" w:themeColor="background1" w:themeShade="BF"/>
              <w:bottom w:val="double" w:sz="4" w:space="0" w:color="auto"/>
              <w:right w:val="nil"/>
            </w:tcBorders>
            <w:shd w:val="clear" w:color="auto" w:fill="auto"/>
            <w:noWrap/>
            <w:hideMark/>
          </w:tcPr>
          <w:p w14:paraId="39690C41" w14:textId="77777777" w:rsidR="00730DE4" w:rsidRPr="00730DE4" w:rsidRDefault="00730DE4" w:rsidP="000A3AFE">
            <w:pPr>
              <w:pStyle w:val="NoSpacing"/>
              <w:jc w:val="right"/>
              <w:rPr>
                <w:rStyle w:val="Strong"/>
              </w:rPr>
            </w:pPr>
            <w:r w:rsidRPr="00730DE4">
              <w:rPr>
                <w:rStyle w:val="Strong"/>
              </w:rPr>
              <w:t>(587,035)</w:t>
            </w:r>
          </w:p>
        </w:tc>
      </w:tr>
    </w:tbl>
    <w:p w14:paraId="60337069" w14:textId="77777777" w:rsidR="00730DE4" w:rsidRPr="00730DE4" w:rsidRDefault="00730DE4" w:rsidP="0033617E">
      <w:pPr>
        <w:pStyle w:val="NoSpacingIndent"/>
      </w:pPr>
    </w:p>
    <w:tbl>
      <w:tblPr>
        <w:tblW w:w="5000" w:type="pct"/>
        <w:tblCellMar>
          <w:top w:w="23" w:type="dxa"/>
          <w:left w:w="23" w:type="dxa"/>
          <w:bottom w:w="23" w:type="dxa"/>
          <w:right w:w="23" w:type="dxa"/>
        </w:tblCellMar>
        <w:tblLook w:val="04A0" w:firstRow="1" w:lastRow="0" w:firstColumn="1" w:lastColumn="0" w:noHBand="0" w:noVBand="1"/>
      </w:tblPr>
      <w:tblGrid>
        <w:gridCol w:w="5317"/>
        <w:gridCol w:w="889"/>
        <w:gridCol w:w="1432"/>
        <w:gridCol w:w="1432"/>
      </w:tblGrid>
      <w:tr w:rsidR="00730DE4" w:rsidRPr="00730DE4" w14:paraId="2122B4DB" w14:textId="77777777" w:rsidTr="0033617E">
        <w:tc>
          <w:tcPr>
            <w:tcW w:w="0" w:type="auto"/>
            <w:tcBorders>
              <w:left w:val="nil"/>
              <w:bottom w:val="single" w:sz="4" w:space="0" w:color="auto"/>
            </w:tcBorders>
            <w:shd w:val="clear" w:color="auto" w:fill="auto"/>
            <w:noWrap/>
            <w:vAlign w:val="bottom"/>
            <w:hideMark/>
          </w:tcPr>
          <w:p w14:paraId="306C4336" w14:textId="77777777" w:rsidR="00730DE4" w:rsidRPr="00730DE4" w:rsidRDefault="00730DE4" w:rsidP="0033617E">
            <w:pPr>
              <w:pStyle w:val="NoSpacing"/>
              <w:rPr>
                <w:color w:val="080C0F" w:themeColor="text1"/>
              </w:rPr>
            </w:pPr>
          </w:p>
        </w:tc>
        <w:tc>
          <w:tcPr>
            <w:tcW w:w="0" w:type="auto"/>
            <w:tcBorders>
              <w:bottom w:val="single" w:sz="4" w:space="0" w:color="auto"/>
            </w:tcBorders>
            <w:shd w:val="clear" w:color="auto" w:fill="auto"/>
            <w:noWrap/>
            <w:vAlign w:val="bottom"/>
            <w:hideMark/>
          </w:tcPr>
          <w:p w14:paraId="445B4B01" w14:textId="77777777" w:rsidR="00730DE4" w:rsidRPr="00730DE4" w:rsidRDefault="00730DE4" w:rsidP="0033617E">
            <w:pPr>
              <w:pStyle w:val="NoSpacing"/>
              <w:jc w:val="right"/>
              <w:rPr>
                <w:rStyle w:val="Strong"/>
              </w:rPr>
            </w:pPr>
            <w:r w:rsidRPr="00730DE4">
              <w:rPr>
                <w:rStyle w:val="Strong"/>
              </w:rPr>
              <w:t>Note</w:t>
            </w:r>
          </w:p>
        </w:tc>
        <w:tc>
          <w:tcPr>
            <w:tcW w:w="0" w:type="auto"/>
            <w:tcBorders>
              <w:bottom w:val="single" w:sz="4" w:space="0" w:color="auto"/>
            </w:tcBorders>
            <w:shd w:val="clear" w:color="auto" w:fill="auto"/>
            <w:noWrap/>
            <w:vAlign w:val="bottom"/>
            <w:hideMark/>
          </w:tcPr>
          <w:p w14:paraId="7D593DC6" w14:textId="77777777" w:rsidR="00730DE4" w:rsidRPr="00730DE4" w:rsidRDefault="00730DE4" w:rsidP="0033617E">
            <w:pPr>
              <w:pStyle w:val="NoSpacing"/>
              <w:jc w:val="right"/>
              <w:rPr>
                <w:color w:val="080C0F" w:themeColor="text1"/>
              </w:rPr>
            </w:pPr>
            <w:r w:rsidRPr="00730DE4">
              <w:rPr>
                <w:rStyle w:val="Strong"/>
              </w:rPr>
              <w:t xml:space="preserve">2024 </w:t>
            </w:r>
            <w:r w:rsidRPr="00730DE4">
              <w:rPr>
                <w:rStyle w:val="Strong"/>
              </w:rPr>
              <w:br/>
              <w:t>$'000</w:t>
            </w:r>
          </w:p>
        </w:tc>
        <w:tc>
          <w:tcPr>
            <w:tcW w:w="0" w:type="auto"/>
            <w:tcBorders>
              <w:bottom w:val="single" w:sz="4" w:space="0" w:color="auto"/>
              <w:right w:val="nil"/>
            </w:tcBorders>
            <w:shd w:val="clear" w:color="auto" w:fill="auto"/>
            <w:noWrap/>
            <w:vAlign w:val="bottom"/>
            <w:hideMark/>
          </w:tcPr>
          <w:p w14:paraId="63A3E205" w14:textId="77777777" w:rsidR="00730DE4" w:rsidRPr="00730DE4" w:rsidRDefault="00730DE4" w:rsidP="0033617E">
            <w:pPr>
              <w:pStyle w:val="NoSpacing"/>
              <w:jc w:val="right"/>
              <w:rPr>
                <w:color w:val="080C0F" w:themeColor="text1"/>
              </w:rPr>
            </w:pPr>
            <w:r w:rsidRPr="00730DE4">
              <w:rPr>
                <w:rStyle w:val="Strong"/>
              </w:rPr>
              <w:t xml:space="preserve">2023 </w:t>
            </w:r>
            <w:r w:rsidRPr="00730DE4">
              <w:rPr>
                <w:rStyle w:val="Strong"/>
              </w:rPr>
              <w:br/>
              <w:t>$'000</w:t>
            </w:r>
          </w:p>
        </w:tc>
      </w:tr>
      <w:tr w:rsidR="00730DE4" w:rsidRPr="00730DE4" w14:paraId="50FFD60A" w14:textId="77777777" w:rsidTr="0033617E">
        <w:trPr>
          <w:trHeight w:val="454"/>
        </w:trPr>
        <w:tc>
          <w:tcPr>
            <w:tcW w:w="0" w:type="auto"/>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vAlign w:val="bottom"/>
          </w:tcPr>
          <w:p w14:paraId="4B8103A2" w14:textId="77777777" w:rsidR="00730DE4" w:rsidRPr="00730DE4" w:rsidRDefault="00730DE4" w:rsidP="004A5032">
            <w:pPr>
              <w:pStyle w:val="NoSpacing"/>
              <w:rPr>
                <w:rStyle w:val="Strong"/>
              </w:rPr>
            </w:pPr>
            <w:r w:rsidRPr="00730DE4">
              <w:rPr>
                <w:rStyle w:val="Strong"/>
              </w:rPr>
              <w:t>Operating statement impact</w:t>
            </w:r>
          </w:p>
        </w:tc>
        <w:tc>
          <w:tcPr>
            <w:tcW w:w="0" w:type="auto"/>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2F754208" w14:textId="77777777" w:rsidR="00730DE4" w:rsidRPr="00730DE4" w:rsidRDefault="00730DE4" w:rsidP="004A5032">
            <w:pPr>
              <w:pStyle w:val="NoSpacing"/>
              <w:jc w:val="right"/>
              <w:rPr>
                <w:rStyle w:val="Strong"/>
              </w:rPr>
            </w:pPr>
          </w:p>
        </w:tc>
        <w:tc>
          <w:tcPr>
            <w:tcW w:w="0" w:type="auto"/>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40730120" w14:textId="77777777" w:rsidR="00730DE4" w:rsidRPr="00730DE4" w:rsidRDefault="00730DE4" w:rsidP="004A5032">
            <w:pPr>
              <w:pStyle w:val="NoSpacing"/>
              <w:jc w:val="right"/>
              <w:rPr>
                <w:color w:val="080C0F" w:themeColor="text1"/>
              </w:rPr>
            </w:pPr>
          </w:p>
        </w:tc>
        <w:tc>
          <w:tcPr>
            <w:tcW w:w="0" w:type="auto"/>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vAlign w:val="bottom"/>
          </w:tcPr>
          <w:p w14:paraId="16FF08C3" w14:textId="77777777" w:rsidR="00730DE4" w:rsidRPr="00730DE4" w:rsidRDefault="00730DE4" w:rsidP="004A5032">
            <w:pPr>
              <w:pStyle w:val="NoSpacing"/>
              <w:jc w:val="right"/>
              <w:rPr>
                <w:color w:val="080C0F" w:themeColor="text1"/>
              </w:rPr>
            </w:pPr>
          </w:p>
        </w:tc>
      </w:tr>
      <w:tr w:rsidR="00730DE4" w:rsidRPr="00730DE4" w14:paraId="1ECF7B24" w14:textId="77777777" w:rsidTr="0033617E">
        <w:tc>
          <w:tcPr>
            <w:tcW w:w="0" w:type="auto"/>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tcPr>
          <w:p w14:paraId="01C31621" w14:textId="77777777" w:rsidR="00730DE4" w:rsidRPr="00730DE4" w:rsidRDefault="00730DE4" w:rsidP="004A5032">
            <w:pPr>
              <w:pStyle w:val="NoSpacing"/>
              <w:rPr>
                <w:rStyle w:val="Strong"/>
              </w:rPr>
            </w:pPr>
            <w:r w:rsidRPr="00730DE4">
              <w:rPr>
                <w:rStyle w:val="Strong"/>
              </w:rPr>
              <w:t>Revenue</w:t>
            </w:r>
          </w:p>
        </w:tc>
        <w:tc>
          <w:tcPr>
            <w:tcW w:w="0" w:type="auto"/>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343490F5" w14:textId="77777777" w:rsidR="00730DE4" w:rsidRPr="00730DE4" w:rsidRDefault="00730DE4" w:rsidP="004A5032">
            <w:pPr>
              <w:pStyle w:val="NoSpacing"/>
              <w:jc w:val="right"/>
              <w:rPr>
                <w:rStyle w:val="Strong"/>
              </w:rPr>
            </w:pPr>
          </w:p>
        </w:tc>
        <w:tc>
          <w:tcPr>
            <w:tcW w:w="0" w:type="auto"/>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5FA9DDD9" w14:textId="77777777" w:rsidR="00730DE4" w:rsidRPr="00730DE4" w:rsidRDefault="00730DE4" w:rsidP="004A5032">
            <w:pPr>
              <w:pStyle w:val="NoSpacing"/>
              <w:jc w:val="right"/>
              <w:rPr>
                <w:color w:val="080C0F" w:themeColor="text1"/>
              </w:rPr>
            </w:pPr>
          </w:p>
        </w:tc>
        <w:tc>
          <w:tcPr>
            <w:tcW w:w="0" w:type="auto"/>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tcPr>
          <w:p w14:paraId="12B0AC52" w14:textId="77777777" w:rsidR="00730DE4" w:rsidRPr="00730DE4" w:rsidRDefault="00730DE4" w:rsidP="004A5032">
            <w:pPr>
              <w:pStyle w:val="NoSpacing"/>
              <w:jc w:val="right"/>
              <w:rPr>
                <w:color w:val="080C0F" w:themeColor="text1"/>
              </w:rPr>
            </w:pPr>
          </w:p>
        </w:tc>
      </w:tr>
      <w:tr w:rsidR="00730DE4" w:rsidRPr="00730DE4" w14:paraId="02B1B19F" w14:textId="77777777" w:rsidTr="0033617E">
        <w:trPr>
          <w:trHeight w:val="23"/>
        </w:trPr>
        <w:tc>
          <w:tcPr>
            <w:tcW w:w="0" w:type="auto"/>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18B3D425" w14:textId="77777777" w:rsidR="00730DE4" w:rsidRPr="00730DE4" w:rsidRDefault="00730DE4" w:rsidP="004A5032">
            <w:pPr>
              <w:pStyle w:val="NoSpacing"/>
              <w:rPr>
                <w:color w:val="080C0F" w:themeColor="text1"/>
              </w:rPr>
            </w:pPr>
            <w:r w:rsidRPr="00730DE4">
              <w:rPr>
                <w:color w:val="080C0F" w:themeColor="text1"/>
              </w:rPr>
              <w:t>Interest rate adjustment</w:t>
            </w:r>
          </w:p>
        </w:tc>
        <w:tc>
          <w:tcPr>
            <w:tcW w:w="0" w:type="auto"/>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5DE4E88" w14:textId="77777777" w:rsidR="00730DE4" w:rsidRPr="00730DE4" w:rsidRDefault="00730DE4" w:rsidP="004A5032">
            <w:pPr>
              <w:pStyle w:val="NoSpacing"/>
              <w:jc w:val="right"/>
              <w:rPr>
                <w:color w:val="080C0F" w:themeColor="text1"/>
              </w:rPr>
            </w:pPr>
          </w:p>
        </w:tc>
        <w:tc>
          <w:tcPr>
            <w:tcW w:w="0" w:type="auto"/>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C778EFE" w14:textId="77777777" w:rsidR="00730DE4" w:rsidRPr="00730DE4" w:rsidRDefault="00730DE4" w:rsidP="004A5032">
            <w:pPr>
              <w:pStyle w:val="NoSpacing"/>
              <w:jc w:val="right"/>
              <w:rPr>
                <w:color w:val="080C0F" w:themeColor="text1"/>
              </w:rPr>
            </w:pPr>
            <w:r w:rsidRPr="00730DE4">
              <w:rPr>
                <w:color w:val="080C0F" w:themeColor="text1"/>
              </w:rPr>
              <w:t xml:space="preserve">- </w:t>
            </w:r>
          </w:p>
        </w:tc>
        <w:tc>
          <w:tcPr>
            <w:tcW w:w="0" w:type="auto"/>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1B5B371" w14:textId="77777777" w:rsidR="00730DE4" w:rsidRPr="00730DE4" w:rsidRDefault="00730DE4" w:rsidP="004A5032">
            <w:pPr>
              <w:pStyle w:val="NoSpacing"/>
              <w:jc w:val="right"/>
              <w:rPr>
                <w:color w:val="080C0F" w:themeColor="text1"/>
              </w:rPr>
            </w:pPr>
            <w:r w:rsidRPr="00730DE4">
              <w:rPr>
                <w:color w:val="080C0F" w:themeColor="text1"/>
              </w:rPr>
              <w:t xml:space="preserve">2,690 </w:t>
            </w:r>
          </w:p>
        </w:tc>
      </w:tr>
      <w:tr w:rsidR="00730DE4" w:rsidRPr="00730DE4" w14:paraId="1EAC4151" w14:textId="77777777" w:rsidTr="0033617E">
        <w:trPr>
          <w:trHeight w:val="23"/>
        </w:trPr>
        <w:tc>
          <w:tcPr>
            <w:tcW w:w="0" w:type="auto"/>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5F7E3BF" w14:textId="77777777" w:rsidR="00730DE4" w:rsidRPr="00730DE4" w:rsidRDefault="00730DE4" w:rsidP="004A5032">
            <w:pPr>
              <w:pStyle w:val="NoSpacing"/>
              <w:rPr>
                <w:color w:val="080C0F" w:themeColor="text1"/>
              </w:rPr>
            </w:pPr>
            <w:r w:rsidRPr="00730DE4">
              <w:rPr>
                <w:color w:val="080C0F" w:themeColor="text1"/>
              </w:rPr>
              <w:t>Toll revenue</w:t>
            </w:r>
          </w:p>
        </w:tc>
        <w:tc>
          <w:tcPr>
            <w:tcW w:w="0" w:type="auto"/>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1E8FF10" w14:textId="77777777" w:rsidR="00730DE4" w:rsidRPr="00730DE4" w:rsidRDefault="00730DE4" w:rsidP="004A5032">
            <w:pPr>
              <w:pStyle w:val="NoSpacing"/>
              <w:jc w:val="right"/>
              <w:rPr>
                <w:color w:val="080C0F" w:themeColor="text1"/>
              </w:rPr>
            </w:pPr>
            <w:r w:rsidRPr="00730DE4">
              <w:rPr>
                <w:color w:val="080C0F" w:themeColor="text1"/>
              </w:rPr>
              <w:t>3</w:t>
            </w:r>
          </w:p>
        </w:tc>
        <w:tc>
          <w:tcPr>
            <w:tcW w:w="0" w:type="auto"/>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28DF024" w14:textId="77777777" w:rsidR="00730DE4" w:rsidRPr="00730DE4" w:rsidRDefault="00730DE4" w:rsidP="004A5032">
            <w:pPr>
              <w:pStyle w:val="NoSpacing"/>
              <w:jc w:val="right"/>
              <w:rPr>
                <w:color w:val="080C0F" w:themeColor="text1"/>
              </w:rPr>
            </w:pPr>
            <w:r w:rsidRPr="00730DE4">
              <w:rPr>
                <w:color w:val="080C0F" w:themeColor="text1"/>
              </w:rPr>
              <w:t xml:space="preserve">22,998 </w:t>
            </w:r>
          </w:p>
        </w:tc>
        <w:tc>
          <w:tcPr>
            <w:tcW w:w="0" w:type="auto"/>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A425B10" w14:textId="77777777" w:rsidR="00730DE4" w:rsidRPr="00730DE4" w:rsidRDefault="00730DE4" w:rsidP="004A5032">
            <w:pPr>
              <w:pStyle w:val="NoSpacing"/>
              <w:jc w:val="right"/>
              <w:rPr>
                <w:color w:val="080C0F" w:themeColor="text1"/>
              </w:rPr>
            </w:pPr>
            <w:r w:rsidRPr="00730DE4">
              <w:rPr>
                <w:color w:val="080C0F" w:themeColor="text1"/>
              </w:rPr>
              <w:t xml:space="preserve">19,958 </w:t>
            </w:r>
          </w:p>
        </w:tc>
      </w:tr>
      <w:tr w:rsidR="00730DE4" w:rsidRPr="00730DE4" w14:paraId="520AE443" w14:textId="77777777" w:rsidTr="0033617E">
        <w:trPr>
          <w:trHeight w:val="454"/>
        </w:trPr>
        <w:tc>
          <w:tcPr>
            <w:tcW w:w="0" w:type="auto"/>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5152855C" w14:textId="77777777" w:rsidR="00730DE4" w:rsidRPr="00730DE4" w:rsidRDefault="00730DE4" w:rsidP="004A5032">
            <w:pPr>
              <w:pStyle w:val="NoSpacing"/>
              <w:rPr>
                <w:color w:val="080C0F" w:themeColor="text1"/>
              </w:rPr>
            </w:pPr>
            <w:r w:rsidRPr="00730DE4">
              <w:rPr>
                <w:rStyle w:val="Strong"/>
              </w:rPr>
              <w:t>Expenses</w:t>
            </w:r>
          </w:p>
        </w:tc>
        <w:tc>
          <w:tcPr>
            <w:tcW w:w="0" w:type="auto"/>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5D2F874" w14:textId="77777777" w:rsidR="00730DE4" w:rsidRPr="00730DE4" w:rsidRDefault="00730DE4" w:rsidP="004A5032">
            <w:pPr>
              <w:pStyle w:val="NoSpacing"/>
              <w:jc w:val="right"/>
              <w:rPr>
                <w:rStyle w:val="Strong"/>
              </w:rPr>
            </w:pPr>
          </w:p>
        </w:tc>
        <w:tc>
          <w:tcPr>
            <w:tcW w:w="0" w:type="auto"/>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99278C4" w14:textId="77777777" w:rsidR="00730DE4" w:rsidRPr="00730DE4" w:rsidRDefault="00730DE4" w:rsidP="004A5032">
            <w:pPr>
              <w:pStyle w:val="NoSpacing"/>
              <w:jc w:val="right"/>
              <w:rPr>
                <w:color w:val="080C0F" w:themeColor="text1"/>
              </w:rPr>
            </w:pPr>
            <w:r w:rsidRPr="00730DE4">
              <w:rPr>
                <w:color w:val="080C0F" w:themeColor="text1"/>
              </w:rPr>
              <w:t> </w:t>
            </w:r>
          </w:p>
        </w:tc>
        <w:tc>
          <w:tcPr>
            <w:tcW w:w="0" w:type="auto"/>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32FF65C" w14:textId="77777777" w:rsidR="00730DE4" w:rsidRPr="00730DE4" w:rsidRDefault="00730DE4" w:rsidP="004A5032">
            <w:pPr>
              <w:pStyle w:val="NoSpacing"/>
              <w:jc w:val="right"/>
              <w:rPr>
                <w:color w:val="080C0F" w:themeColor="text1"/>
              </w:rPr>
            </w:pPr>
          </w:p>
        </w:tc>
      </w:tr>
      <w:tr w:rsidR="00730DE4" w:rsidRPr="00730DE4" w14:paraId="526F0F1C" w14:textId="77777777" w:rsidTr="0033617E">
        <w:trPr>
          <w:trHeight w:val="23"/>
        </w:trPr>
        <w:tc>
          <w:tcPr>
            <w:tcW w:w="0" w:type="auto"/>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06E3CB11" w14:textId="77777777" w:rsidR="00730DE4" w:rsidRPr="00730DE4" w:rsidRDefault="00730DE4" w:rsidP="004A5032">
            <w:pPr>
              <w:pStyle w:val="NoSpacing"/>
              <w:rPr>
                <w:color w:val="080C0F" w:themeColor="text1"/>
              </w:rPr>
            </w:pPr>
            <w:r w:rsidRPr="00730DE4">
              <w:rPr>
                <w:color w:val="080C0F" w:themeColor="text1"/>
              </w:rPr>
              <w:t>Depreciation</w:t>
            </w:r>
          </w:p>
        </w:tc>
        <w:tc>
          <w:tcPr>
            <w:tcW w:w="0" w:type="auto"/>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BF1EDCA" w14:textId="77777777" w:rsidR="00730DE4" w:rsidRPr="00730DE4" w:rsidRDefault="00730DE4" w:rsidP="004A5032">
            <w:pPr>
              <w:pStyle w:val="NoSpacing"/>
              <w:jc w:val="right"/>
              <w:rPr>
                <w:color w:val="080C0F" w:themeColor="text1"/>
              </w:rPr>
            </w:pPr>
            <w:r w:rsidRPr="00730DE4">
              <w:rPr>
                <w:color w:val="080C0F" w:themeColor="text1"/>
              </w:rPr>
              <w:t>10</w:t>
            </w:r>
          </w:p>
        </w:tc>
        <w:tc>
          <w:tcPr>
            <w:tcW w:w="0" w:type="auto"/>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B3C5B70" w14:textId="77777777" w:rsidR="00730DE4" w:rsidRPr="00730DE4" w:rsidRDefault="00730DE4" w:rsidP="004A5032">
            <w:pPr>
              <w:pStyle w:val="NoSpacing"/>
              <w:jc w:val="right"/>
              <w:rPr>
                <w:color w:val="080C0F" w:themeColor="text1"/>
              </w:rPr>
            </w:pPr>
            <w:r w:rsidRPr="00730DE4">
              <w:rPr>
                <w:color w:val="080C0F" w:themeColor="text1"/>
              </w:rPr>
              <w:t xml:space="preserve">22,027 </w:t>
            </w:r>
          </w:p>
        </w:tc>
        <w:tc>
          <w:tcPr>
            <w:tcW w:w="0" w:type="auto"/>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58CB7AC" w14:textId="77777777" w:rsidR="00730DE4" w:rsidRPr="00730DE4" w:rsidRDefault="00730DE4" w:rsidP="004A5032">
            <w:pPr>
              <w:pStyle w:val="NoSpacing"/>
              <w:jc w:val="right"/>
              <w:rPr>
                <w:color w:val="080C0F" w:themeColor="text1"/>
              </w:rPr>
            </w:pPr>
            <w:r w:rsidRPr="00730DE4">
              <w:rPr>
                <w:color w:val="080C0F" w:themeColor="text1"/>
              </w:rPr>
              <w:t xml:space="preserve">20,683 </w:t>
            </w:r>
          </w:p>
        </w:tc>
      </w:tr>
      <w:tr w:rsidR="00730DE4" w:rsidRPr="00730DE4" w14:paraId="52969B18" w14:textId="77777777" w:rsidTr="0033617E">
        <w:trPr>
          <w:trHeight w:val="23"/>
        </w:trPr>
        <w:tc>
          <w:tcPr>
            <w:tcW w:w="0" w:type="auto"/>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09A385E8" w14:textId="77777777" w:rsidR="00730DE4" w:rsidRPr="00730DE4" w:rsidRDefault="00730DE4" w:rsidP="004A5032">
            <w:pPr>
              <w:pStyle w:val="NoSpacing"/>
              <w:rPr>
                <w:color w:val="080C0F" w:themeColor="text1"/>
              </w:rPr>
            </w:pPr>
            <w:r w:rsidRPr="00730DE4">
              <w:rPr>
                <w:color w:val="080C0F" w:themeColor="text1"/>
              </w:rPr>
              <w:t>Interest</w:t>
            </w:r>
          </w:p>
        </w:tc>
        <w:tc>
          <w:tcPr>
            <w:tcW w:w="0" w:type="auto"/>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154DBDD" w14:textId="77777777" w:rsidR="00730DE4" w:rsidRPr="00730DE4" w:rsidRDefault="00730DE4" w:rsidP="004A5032">
            <w:pPr>
              <w:pStyle w:val="NoSpacing"/>
              <w:jc w:val="right"/>
              <w:rPr>
                <w:color w:val="080C0F" w:themeColor="text1"/>
              </w:rPr>
            </w:pPr>
            <w:r w:rsidRPr="00730DE4">
              <w:rPr>
                <w:color w:val="080C0F" w:themeColor="text1"/>
              </w:rPr>
              <w:t>9</w:t>
            </w:r>
          </w:p>
        </w:tc>
        <w:tc>
          <w:tcPr>
            <w:tcW w:w="0" w:type="auto"/>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F838B2C" w14:textId="77777777" w:rsidR="00730DE4" w:rsidRPr="00730DE4" w:rsidRDefault="00730DE4" w:rsidP="004A5032">
            <w:pPr>
              <w:pStyle w:val="NoSpacing"/>
              <w:jc w:val="right"/>
              <w:rPr>
                <w:color w:val="080C0F" w:themeColor="text1"/>
              </w:rPr>
            </w:pPr>
            <w:r w:rsidRPr="00730DE4">
              <w:rPr>
                <w:color w:val="080C0F" w:themeColor="text1"/>
              </w:rPr>
              <w:t xml:space="preserve">20,589 </w:t>
            </w:r>
          </w:p>
        </w:tc>
        <w:tc>
          <w:tcPr>
            <w:tcW w:w="0" w:type="auto"/>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447EE150" w14:textId="77777777" w:rsidR="00730DE4" w:rsidRPr="00730DE4" w:rsidRDefault="00730DE4" w:rsidP="004A5032">
            <w:pPr>
              <w:pStyle w:val="NoSpacing"/>
              <w:jc w:val="right"/>
              <w:rPr>
                <w:color w:val="080C0F" w:themeColor="text1"/>
              </w:rPr>
            </w:pPr>
            <w:r w:rsidRPr="00730DE4">
              <w:rPr>
                <w:color w:val="080C0F" w:themeColor="text1"/>
              </w:rPr>
              <w:t xml:space="preserve">21,147 </w:t>
            </w:r>
          </w:p>
        </w:tc>
      </w:tr>
      <w:tr w:rsidR="00730DE4" w:rsidRPr="00730DE4" w14:paraId="2A0206C5" w14:textId="77777777" w:rsidTr="0033617E">
        <w:trPr>
          <w:trHeight w:val="23"/>
        </w:trPr>
        <w:tc>
          <w:tcPr>
            <w:tcW w:w="0" w:type="auto"/>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6C8CA2C" w14:textId="77777777" w:rsidR="00730DE4" w:rsidRPr="00730DE4" w:rsidRDefault="00730DE4" w:rsidP="004A5032">
            <w:pPr>
              <w:pStyle w:val="NoSpacing"/>
              <w:rPr>
                <w:color w:val="080C0F" w:themeColor="text1"/>
              </w:rPr>
            </w:pPr>
            <w:r w:rsidRPr="00730DE4">
              <w:rPr>
                <w:color w:val="080C0F" w:themeColor="text1"/>
              </w:rPr>
              <w:t>Service expenses</w:t>
            </w:r>
          </w:p>
        </w:tc>
        <w:tc>
          <w:tcPr>
            <w:tcW w:w="0" w:type="auto"/>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000EDC0" w14:textId="77777777" w:rsidR="00730DE4" w:rsidRPr="00730DE4" w:rsidRDefault="00730DE4" w:rsidP="004A5032">
            <w:pPr>
              <w:pStyle w:val="NoSpacing"/>
              <w:jc w:val="right"/>
              <w:rPr>
                <w:color w:val="080C0F" w:themeColor="text1"/>
              </w:rPr>
            </w:pPr>
          </w:p>
        </w:tc>
        <w:tc>
          <w:tcPr>
            <w:tcW w:w="0" w:type="auto"/>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EADAAA8" w14:textId="77777777" w:rsidR="00730DE4" w:rsidRPr="00730DE4" w:rsidRDefault="00730DE4" w:rsidP="004A5032">
            <w:pPr>
              <w:pStyle w:val="NoSpacing"/>
              <w:jc w:val="right"/>
              <w:rPr>
                <w:color w:val="080C0F" w:themeColor="text1"/>
              </w:rPr>
            </w:pPr>
            <w:r w:rsidRPr="00730DE4">
              <w:rPr>
                <w:color w:val="080C0F" w:themeColor="text1"/>
              </w:rPr>
              <w:t xml:space="preserve">24,168 </w:t>
            </w:r>
          </w:p>
        </w:tc>
        <w:tc>
          <w:tcPr>
            <w:tcW w:w="0" w:type="auto"/>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778A295" w14:textId="77777777" w:rsidR="00730DE4" w:rsidRPr="00730DE4" w:rsidRDefault="00730DE4" w:rsidP="004A5032">
            <w:pPr>
              <w:pStyle w:val="NoSpacing"/>
              <w:jc w:val="right"/>
              <w:rPr>
                <w:color w:val="080C0F" w:themeColor="text1"/>
              </w:rPr>
            </w:pPr>
            <w:r w:rsidRPr="00730DE4">
              <w:rPr>
                <w:color w:val="080C0F" w:themeColor="text1"/>
              </w:rPr>
              <w:t xml:space="preserve">18,127 </w:t>
            </w:r>
          </w:p>
        </w:tc>
      </w:tr>
      <w:tr w:rsidR="00730DE4" w:rsidRPr="00730DE4" w14:paraId="1B434719" w14:textId="77777777" w:rsidTr="0033617E">
        <w:trPr>
          <w:trHeight w:val="23"/>
        </w:trPr>
        <w:tc>
          <w:tcPr>
            <w:tcW w:w="0" w:type="auto"/>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2ACA88D6" w14:textId="77777777" w:rsidR="00730DE4" w:rsidRPr="00730DE4" w:rsidRDefault="00730DE4" w:rsidP="004A5032">
            <w:pPr>
              <w:pStyle w:val="NoSpacing"/>
              <w:rPr>
                <w:color w:val="080C0F" w:themeColor="text1"/>
              </w:rPr>
            </w:pPr>
            <w:r w:rsidRPr="00730DE4">
              <w:rPr>
                <w:color w:val="080C0F" w:themeColor="text1"/>
              </w:rPr>
              <w:t>Tolling operations</w:t>
            </w:r>
          </w:p>
        </w:tc>
        <w:tc>
          <w:tcPr>
            <w:tcW w:w="0" w:type="auto"/>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36F04858" w14:textId="77777777" w:rsidR="00730DE4" w:rsidRPr="00730DE4" w:rsidRDefault="00730DE4" w:rsidP="004A5032">
            <w:pPr>
              <w:pStyle w:val="NoSpacing"/>
              <w:jc w:val="right"/>
              <w:rPr>
                <w:color w:val="080C0F" w:themeColor="text1"/>
              </w:rPr>
            </w:pPr>
          </w:p>
        </w:tc>
        <w:tc>
          <w:tcPr>
            <w:tcW w:w="0" w:type="auto"/>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3B142033" w14:textId="77777777" w:rsidR="00730DE4" w:rsidRPr="00730DE4" w:rsidRDefault="00730DE4" w:rsidP="004A5032">
            <w:pPr>
              <w:pStyle w:val="NoSpacing"/>
              <w:jc w:val="right"/>
              <w:rPr>
                <w:color w:val="080C0F" w:themeColor="text1"/>
              </w:rPr>
            </w:pPr>
            <w:r w:rsidRPr="00730DE4">
              <w:rPr>
                <w:color w:val="080C0F" w:themeColor="text1"/>
              </w:rPr>
              <w:t xml:space="preserve">1,904 </w:t>
            </w:r>
          </w:p>
        </w:tc>
        <w:tc>
          <w:tcPr>
            <w:tcW w:w="0" w:type="auto"/>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0E242244" w14:textId="77777777" w:rsidR="00730DE4" w:rsidRPr="00730DE4" w:rsidRDefault="00730DE4" w:rsidP="004A5032">
            <w:pPr>
              <w:pStyle w:val="NoSpacing"/>
              <w:jc w:val="right"/>
              <w:rPr>
                <w:color w:val="080C0F" w:themeColor="text1"/>
              </w:rPr>
            </w:pPr>
            <w:r w:rsidRPr="00730DE4">
              <w:rPr>
                <w:color w:val="080C0F" w:themeColor="text1"/>
              </w:rPr>
              <w:t xml:space="preserve">1,771 </w:t>
            </w:r>
          </w:p>
        </w:tc>
      </w:tr>
      <w:tr w:rsidR="00730DE4" w:rsidRPr="00730DE4" w14:paraId="15164755" w14:textId="77777777" w:rsidTr="0033617E">
        <w:tc>
          <w:tcPr>
            <w:tcW w:w="0" w:type="auto"/>
            <w:tcBorders>
              <w:top w:val="single" w:sz="4" w:space="0" w:color="auto"/>
              <w:left w:val="nil"/>
              <w:bottom w:val="double" w:sz="4" w:space="0" w:color="auto"/>
              <w:right w:val="dotted" w:sz="4" w:space="0" w:color="BFBFBF" w:themeColor="background1" w:themeShade="BF"/>
            </w:tcBorders>
            <w:shd w:val="clear" w:color="auto" w:fill="auto"/>
            <w:noWrap/>
            <w:hideMark/>
          </w:tcPr>
          <w:p w14:paraId="7F0B4CFD" w14:textId="77777777" w:rsidR="00730DE4" w:rsidRPr="00730DE4" w:rsidRDefault="00730DE4" w:rsidP="000A3AFE">
            <w:pPr>
              <w:pStyle w:val="NoSpacing"/>
              <w:rPr>
                <w:rStyle w:val="Strong"/>
              </w:rPr>
            </w:pPr>
            <w:r w:rsidRPr="00730DE4">
              <w:rPr>
                <w:rStyle w:val="Strong"/>
              </w:rPr>
              <w:t>Net impact on operating result</w:t>
            </w:r>
          </w:p>
        </w:tc>
        <w:tc>
          <w:tcPr>
            <w:tcW w:w="0" w:type="auto"/>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6F958DFA" w14:textId="77777777" w:rsidR="00730DE4" w:rsidRPr="00730DE4" w:rsidRDefault="00730DE4" w:rsidP="000A3AFE">
            <w:pPr>
              <w:pStyle w:val="NoSpacing"/>
              <w:jc w:val="right"/>
              <w:rPr>
                <w:color w:val="080C0F" w:themeColor="text1"/>
              </w:rPr>
            </w:pPr>
            <w:r w:rsidRPr="00730DE4">
              <w:rPr>
                <w:color w:val="080C0F" w:themeColor="text1"/>
              </w:rPr>
              <w:t> </w:t>
            </w:r>
          </w:p>
        </w:tc>
        <w:tc>
          <w:tcPr>
            <w:tcW w:w="0" w:type="auto"/>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5774AAA0" w14:textId="77777777" w:rsidR="00730DE4" w:rsidRPr="00730DE4" w:rsidRDefault="00730DE4" w:rsidP="000A3AFE">
            <w:pPr>
              <w:pStyle w:val="NoSpacing"/>
              <w:jc w:val="right"/>
              <w:rPr>
                <w:rStyle w:val="Strong"/>
              </w:rPr>
            </w:pPr>
            <w:r w:rsidRPr="00730DE4">
              <w:rPr>
                <w:rStyle w:val="Strong"/>
              </w:rPr>
              <w:t>(45,690)</w:t>
            </w:r>
          </w:p>
        </w:tc>
        <w:tc>
          <w:tcPr>
            <w:tcW w:w="0" w:type="auto"/>
            <w:tcBorders>
              <w:top w:val="single" w:sz="4" w:space="0" w:color="auto"/>
              <w:left w:val="dotted" w:sz="4" w:space="0" w:color="BFBFBF" w:themeColor="background1" w:themeShade="BF"/>
              <w:bottom w:val="double" w:sz="4" w:space="0" w:color="auto"/>
              <w:right w:val="nil"/>
            </w:tcBorders>
            <w:shd w:val="clear" w:color="auto" w:fill="auto"/>
            <w:noWrap/>
            <w:hideMark/>
          </w:tcPr>
          <w:p w14:paraId="31C2B13D" w14:textId="77777777" w:rsidR="00730DE4" w:rsidRPr="00730DE4" w:rsidRDefault="00730DE4" w:rsidP="000A3AFE">
            <w:pPr>
              <w:pStyle w:val="NoSpacing"/>
              <w:jc w:val="right"/>
              <w:rPr>
                <w:rStyle w:val="Strong"/>
              </w:rPr>
            </w:pPr>
            <w:r w:rsidRPr="00730DE4">
              <w:rPr>
                <w:rStyle w:val="Strong"/>
              </w:rPr>
              <w:t>(39,080)</w:t>
            </w:r>
          </w:p>
        </w:tc>
      </w:tr>
    </w:tbl>
    <w:p w14:paraId="12BB3703" w14:textId="77777777" w:rsidR="00730DE4" w:rsidRPr="00730DE4" w:rsidRDefault="00730DE4" w:rsidP="004A5032">
      <w:pPr>
        <w:pStyle w:val="Heading6"/>
      </w:pPr>
      <w:r w:rsidRPr="00730DE4">
        <w:t>Airportlink M7</w:t>
      </w:r>
    </w:p>
    <w:p w14:paraId="333A2B3C" w14:textId="77777777" w:rsidR="00730DE4" w:rsidRPr="00730DE4" w:rsidRDefault="00730DE4" w:rsidP="003C13D4">
      <w:pPr>
        <w:rPr>
          <w:color w:val="080C0F" w:themeColor="text1"/>
        </w:rPr>
      </w:pPr>
      <w:r w:rsidRPr="00730DE4">
        <w:rPr>
          <w:color w:val="080C0F" w:themeColor="text1"/>
        </w:rPr>
        <w:t>In 2008 the state entered into a 45 year service concession arrangement with BrisConnections to design, construct and maintain Airportlink, a 6.7km toll road, connecting the Clem 7 Tunnel, Inner City Bypass and local road network at Bowen Hills, to the northern arterials of Gympie Road and Stafford Road at Kedron, Sandgate Road and the East West Arterial leading to the airport. Airport link commenced operations on 24 July 2012. In April 2016 Transurban Queensland assumed responsibility for Airportlink and now operates Airportlink under a service concession arrangement.</w:t>
      </w:r>
    </w:p>
    <w:p w14:paraId="599958AA" w14:textId="77777777" w:rsidR="00730DE4" w:rsidRPr="00730DE4" w:rsidRDefault="00730DE4" w:rsidP="003C13D4">
      <w:pPr>
        <w:rPr>
          <w:color w:val="080C0F" w:themeColor="text1"/>
        </w:rPr>
      </w:pPr>
      <w:r w:rsidRPr="00730DE4">
        <w:rPr>
          <w:color w:val="080C0F" w:themeColor="text1"/>
        </w:rPr>
        <w:t>In return for collecting the tolls, Transurban Queensland must maintain, operate and manage the toll road for the concession period and also assume the demand and patronage risk.</w:t>
      </w:r>
    </w:p>
    <w:p w14:paraId="6AEB509D" w14:textId="77777777" w:rsidR="00730DE4" w:rsidRPr="00730DE4" w:rsidRDefault="00730DE4" w:rsidP="003C13D4">
      <w:pPr>
        <w:rPr>
          <w:color w:val="080C0F" w:themeColor="text1"/>
        </w:rPr>
      </w:pPr>
      <w:r w:rsidRPr="00730DE4">
        <w:rPr>
          <w:color w:val="080C0F" w:themeColor="text1"/>
        </w:rPr>
        <w:t>At the expiry of the concession period, the department will retain ownership of the toll road assets.</w:t>
      </w:r>
    </w:p>
    <w:p w14:paraId="60809596" w14:textId="77777777" w:rsidR="00730DE4" w:rsidRPr="00730DE4" w:rsidRDefault="00730DE4" w:rsidP="00792E55">
      <w:pPr>
        <w:pStyle w:val="NoSpacing"/>
      </w:pPr>
    </w:p>
    <w:tbl>
      <w:tblPr>
        <w:tblW w:w="5000" w:type="pct"/>
        <w:tblCellMar>
          <w:top w:w="23" w:type="dxa"/>
          <w:left w:w="23" w:type="dxa"/>
          <w:bottom w:w="23" w:type="dxa"/>
          <w:right w:w="23" w:type="dxa"/>
        </w:tblCellMar>
        <w:tblLook w:val="04A0" w:firstRow="1" w:lastRow="0" w:firstColumn="1" w:lastColumn="0" w:noHBand="0" w:noVBand="1"/>
      </w:tblPr>
      <w:tblGrid>
        <w:gridCol w:w="5227"/>
        <w:gridCol w:w="1281"/>
        <w:gridCol w:w="1281"/>
        <w:gridCol w:w="1281"/>
      </w:tblGrid>
      <w:tr w:rsidR="00730DE4" w:rsidRPr="00730DE4" w14:paraId="39C5DBE8" w14:textId="77777777" w:rsidTr="000A2C0E">
        <w:trPr>
          <w:trHeight w:val="275"/>
        </w:trPr>
        <w:tc>
          <w:tcPr>
            <w:tcW w:w="2882" w:type="pct"/>
            <w:tcBorders>
              <w:top w:val="nil"/>
              <w:left w:val="nil"/>
              <w:bottom w:val="single" w:sz="4" w:space="0" w:color="auto"/>
              <w:right w:val="nil"/>
            </w:tcBorders>
            <w:shd w:val="clear" w:color="auto" w:fill="auto"/>
            <w:noWrap/>
            <w:vAlign w:val="bottom"/>
            <w:hideMark/>
          </w:tcPr>
          <w:p w14:paraId="3FF793C1" w14:textId="77777777" w:rsidR="00730DE4" w:rsidRPr="00730DE4" w:rsidRDefault="00730DE4" w:rsidP="004A5032">
            <w:pPr>
              <w:pStyle w:val="NoSpacing"/>
              <w:rPr>
                <w:color w:val="080C0F" w:themeColor="text1"/>
              </w:rPr>
            </w:pPr>
          </w:p>
        </w:tc>
        <w:tc>
          <w:tcPr>
            <w:tcW w:w="706" w:type="pct"/>
            <w:tcBorders>
              <w:top w:val="nil"/>
              <w:left w:val="nil"/>
              <w:bottom w:val="single" w:sz="4" w:space="0" w:color="auto"/>
              <w:right w:val="nil"/>
            </w:tcBorders>
            <w:shd w:val="clear" w:color="auto" w:fill="auto"/>
            <w:noWrap/>
            <w:vAlign w:val="bottom"/>
            <w:hideMark/>
          </w:tcPr>
          <w:p w14:paraId="17EC1B0C" w14:textId="77777777" w:rsidR="00730DE4" w:rsidRPr="00730DE4" w:rsidRDefault="00730DE4" w:rsidP="004A5032">
            <w:pPr>
              <w:pStyle w:val="NoSpacing"/>
              <w:jc w:val="right"/>
              <w:rPr>
                <w:rStyle w:val="Strong"/>
              </w:rPr>
            </w:pPr>
            <w:r w:rsidRPr="00730DE4">
              <w:rPr>
                <w:rStyle w:val="Strong"/>
              </w:rPr>
              <w:t>Note</w:t>
            </w:r>
          </w:p>
        </w:tc>
        <w:tc>
          <w:tcPr>
            <w:tcW w:w="706" w:type="pct"/>
            <w:tcBorders>
              <w:top w:val="nil"/>
              <w:left w:val="nil"/>
              <w:bottom w:val="single" w:sz="4" w:space="0" w:color="auto"/>
              <w:right w:val="nil"/>
            </w:tcBorders>
            <w:shd w:val="clear" w:color="auto" w:fill="auto"/>
            <w:noWrap/>
            <w:vAlign w:val="bottom"/>
            <w:hideMark/>
          </w:tcPr>
          <w:p w14:paraId="57D65D38" w14:textId="77777777" w:rsidR="00730DE4" w:rsidRPr="00730DE4" w:rsidRDefault="00730DE4" w:rsidP="004A5032">
            <w:pPr>
              <w:pStyle w:val="NoSpacing"/>
              <w:jc w:val="right"/>
              <w:rPr>
                <w:color w:val="080C0F" w:themeColor="text1"/>
              </w:rPr>
            </w:pPr>
            <w:r w:rsidRPr="00730DE4">
              <w:rPr>
                <w:rStyle w:val="Strong"/>
              </w:rPr>
              <w:t xml:space="preserve">2024 </w:t>
            </w:r>
            <w:r w:rsidRPr="00730DE4">
              <w:rPr>
                <w:rStyle w:val="Strong"/>
              </w:rPr>
              <w:br/>
              <w:t>$'000</w:t>
            </w:r>
          </w:p>
        </w:tc>
        <w:tc>
          <w:tcPr>
            <w:tcW w:w="706" w:type="pct"/>
            <w:tcBorders>
              <w:top w:val="nil"/>
              <w:left w:val="nil"/>
              <w:bottom w:val="single" w:sz="4" w:space="0" w:color="auto"/>
              <w:right w:val="nil"/>
            </w:tcBorders>
            <w:shd w:val="clear" w:color="auto" w:fill="auto"/>
            <w:noWrap/>
            <w:vAlign w:val="bottom"/>
            <w:hideMark/>
          </w:tcPr>
          <w:p w14:paraId="55C32095" w14:textId="77777777" w:rsidR="00730DE4" w:rsidRPr="00730DE4" w:rsidRDefault="00730DE4" w:rsidP="004A5032">
            <w:pPr>
              <w:pStyle w:val="NoSpacing"/>
              <w:jc w:val="right"/>
              <w:rPr>
                <w:color w:val="080C0F" w:themeColor="text1"/>
              </w:rPr>
            </w:pPr>
            <w:r w:rsidRPr="00730DE4">
              <w:rPr>
                <w:rStyle w:val="Strong"/>
              </w:rPr>
              <w:t xml:space="preserve">2023 </w:t>
            </w:r>
            <w:r w:rsidRPr="00730DE4">
              <w:rPr>
                <w:rStyle w:val="Strong"/>
              </w:rPr>
              <w:br/>
              <w:t>$'000</w:t>
            </w:r>
          </w:p>
        </w:tc>
      </w:tr>
      <w:tr w:rsidR="00730DE4" w:rsidRPr="00730DE4" w14:paraId="1BE0CA17" w14:textId="77777777" w:rsidTr="000A2C0E">
        <w:trPr>
          <w:trHeight w:val="454"/>
        </w:trPr>
        <w:tc>
          <w:tcPr>
            <w:tcW w:w="2882"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6921CB5" w14:textId="77777777" w:rsidR="00730DE4" w:rsidRPr="00730DE4" w:rsidRDefault="00730DE4" w:rsidP="004A5032">
            <w:pPr>
              <w:pStyle w:val="NoSpacing"/>
              <w:rPr>
                <w:color w:val="080C0F" w:themeColor="text1"/>
              </w:rPr>
            </w:pPr>
            <w:r w:rsidRPr="00730DE4">
              <w:rPr>
                <w:rStyle w:val="Strong"/>
              </w:rPr>
              <w:t>Operating statement impact</w:t>
            </w:r>
          </w:p>
        </w:tc>
        <w:tc>
          <w:tcPr>
            <w:tcW w:w="706"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E644C41" w14:textId="77777777" w:rsidR="00730DE4" w:rsidRPr="00730DE4" w:rsidRDefault="00730DE4" w:rsidP="004A5032">
            <w:pPr>
              <w:pStyle w:val="NoSpacing"/>
              <w:jc w:val="right"/>
              <w:rPr>
                <w:rStyle w:val="Strong"/>
              </w:rPr>
            </w:pPr>
          </w:p>
        </w:tc>
        <w:tc>
          <w:tcPr>
            <w:tcW w:w="706"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8CE473C" w14:textId="77777777" w:rsidR="00730DE4" w:rsidRPr="00730DE4" w:rsidRDefault="00730DE4" w:rsidP="004A5032">
            <w:pPr>
              <w:pStyle w:val="NoSpacing"/>
              <w:jc w:val="right"/>
              <w:rPr>
                <w:color w:val="080C0F" w:themeColor="text1"/>
              </w:rPr>
            </w:pPr>
          </w:p>
        </w:tc>
        <w:tc>
          <w:tcPr>
            <w:tcW w:w="706"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C8F98AC" w14:textId="77777777" w:rsidR="00730DE4" w:rsidRPr="00730DE4" w:rsidRDefault="00730DE4" w:rsidP="004A5032">
            <w:pPr>
              <w:pStyle w:val="NoSpacing"/>
              <w:jc w:val="right"/>
              <w:rPr>
                <w:color w:val="080C0F" w:themeColor="text1"/>
              </w:rPr>
            </w:pPr>
          </w:p>
        </w:tc>
      </w:tr>
      <w:tr w:rsidR="00730DE4" w:rsidRPr="00730DE4" w14:paraId="2AE5859F" w14:textId="77777777" w:rsidTr="00650967">
        <w:tc>
          <w:tcPr>
            <w:tcW w:w="288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tcPr>
          <w:p w14:paraId="19B59266" w14:textId="77777777" w:rsidR="00730DE4" w:rsidRPr="00730DE4" w:rsidRDefault="00730DE4" w:rsidP="004A5032">
            <w:pPr>
              <w:pStyle w:val="NoSpacing"/>
              <w:rPr>
                <w:rStyle w:val="Strong"/>
              </w:rPr>
            </w:pPr>
            <w:r w:rsidRPr="00730DE4">
              <w:rPr>
                <w:rStyle w:val="Strong"/>
              </w:rPr>
              <w:t>Revenue</w:t>
            </w:r>
          </w:p>
        </w:tc>
        <w:tc>
          <w:tcPr>
            <w:tcW w:w="706"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65BE15D0" w14:textId="77777777" w:rsidR="00730DE4" w:rsidRPr="00730DE4" w:rsidRDefault="00730DE4" w:rsidP="004A5032">
            <w:pPr>
              <w:pStyle w:val="NoSpacing"/>
              <w:jc w:val="right"/>
              <w:rPr>
                <w:rStyle w:val="Strong"/>
              </w:rPr>
            </w:pPr>
          </w:p>
        </w:tc>
        <w:tc>
          <w:tcPr>
            <w:tcW w:w="706"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4857C6B2" w14:textId="77777777" w:rsidR="00730DE4" w:rsidRPr="00730DE4" w:rsidRDefault="00730DE4" w:rsidP="004A5032">
            <w:pPr>
              <w:pStyle w:val="NoSpacing"/>
              <w:jc w:val="right"/>
              <w:rPr>
                <w:color w:val="080C0F" w:themeColor="text1"/>
              </w:rPr>
            </w:pPr>
          </w:p>
        </w:tc>
        <w:tc>
          <w:tcPr>
            <w:tcW w:w="706"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tcPr>
          <w:p w14:paraId="6A6E7759" w14:textId="77777777" w:rsidR="00730DE4" w:rsidRPr="00730DE4" w:rsidRDefault="00730DE4" w:rsidP="004A5032">
            <w:pPr>
              <w:pStyle w:val="NoSpacing"/>
              <w:jc w:val="right"/>
              <w:rPr>
                <w:color w:val="080C0F" w:themeColor="text1"/>
              </w:rPr>
            </w:pPr>
          </w:p>
        </w:tc>
      </w:tr>
      <w:tr w:rsidR="00730DE4" w:rsidRPr="00730DE4" w14:paraId="675EBEB6" w14:textId="77777777" w:rsidTr="00650967">
        <w:tc>
          <w:tcPr>
            <w:tcW w:w="288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hideMark/>
          </w:tcPr>
          <w:p w14:paraId="4243FB01" w14:textId="77777777" w:rsidR="00730DE4" w:rsidRPr="00730DE4" w:rsidRDefault="00730DE4" w:rsidP="00175BFF">
            <w:pPr>
              <w:pStyle w:val="NoSpacing"/>
              <w:rPr>
                <w:color w:val="080C0F" w:themeColor="text1"/>
              </w:rPr>
            </w:pPr>
            <w:r w:rsidRPr="00730DE4">
              <w:rPr>
                <w:color w:val="080C0F" w:themeColor="text1"/>
              </w:rPr>
              <w:t xml:space="preserve">Amortisation of unearned revenue * </w:t>
            </w:r>
          </w:p>
        </w:tc>
        <w:tc>
          <w:tcPr>
            <w:tcW w:w="706"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hideMark/>
          </w:tcPr>
          <w:p w14:paraId="450131D3" w14:textId="77777777" w:rsidR="00730DE4" w:rsidRPr="00730DE4" w:rsidRDefault="00730DE4" w:rsidP="00175BFF">
            <w:pPr>
              <w:pStyle w:val="NoSpacing"/>
              <w:jc w:val="right"/>
              <w:rPr>
                <w:color w:val="080C0F" w:themeColor="text1"/>
              </w:rPr>
            </w:pPr>
          </w:p>
        </w:tc>
        <w:tc>
          <w:tcPr>
            <w:tcW w:w="706"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59E14B09" w14:textId="77777777" w:rsidR="00730DE4" w:rsidRPr="00730DE4" w:rsidRDefault="00730DE4" w:rsidP="00175BFF">
            <w:pPr>
              <w:pStyle w:val="NoSpacing"/>
              <w:jc w:val="right"/>
              <w:rPr>
                <w:color w:val="080C0F" w:themeColor="text1"/>
              </w:rPr>
            </w:pPr>
            <w:r w:rsidRPr="00730DE4">
              <w:rPr>
                <w:color w:val="080C0F" w:themeColor="text1"/>
              </w:rPr>
              <w:t xml:space="preserve">117,181 </w:t>
            </w:r>
          </w:p>
        </w:tc>
        <w:tc>
          <w:tcPr>
            <w:tcW w:w="706"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hideMark/>
          </w:tcPr>
          <w:p w14:paraId="33087AE0" w14:textId="77777777" w:rsidR="00730DE4" w:rsidRPr="00730DE4" w:rsidRDefault="00730DE4" w:rsidP="00175BFF">
            <w:pPr>
              <w:pStyle w:val="NoSpacing"/>
              <w:jc w:val="right"/>
              <w:rPr>
                <w:color w:val="080C0F" w:themeColor="text1"/>
              </w:rPr>
            </w:pPr>
            <w:r w:rsidRPr="00730DE4">
              <w:rPr>
                <w:color w:val="080C0F" w:themeColor="text1"/>
              </w:rPr>
              <w:t xml:space="preserve">117,181 </w:t>
            </w:r>
          </w:p>
        </w:tc>
      </w:tr>
      <w:tr w:rsidR="00730DE4" w:rsidRPr="00730DE4" w14:paraId="5D64BF0D" w14:textId="77777777" w:rsidTr="000A2C0E">
        <w:trPr>
          <w:trHeight w:val="454"/>
        </w:trPr>
        <w:tc>
          <w:tcPr>
            <w:tcW w:w="288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38C73611" w14:textId="77777777" w:rsidR="00730DE4" w:rsidRPr="00730DE4" w:rsidRDefault="00730DE4" w:rsidP="004A5032">
            <w:pPr>
              <w:pStyle w:val="NoSpacing"/>
              <w:rPr>
                <w:color w:val="080C0F" w:themeColor="text1"/>
              </w:rPr>
            </w:pPr>
            <w:r w:rsidRPr="00730DE4">
              <w:rPr>
                <w:rStyle w:val="Strong"/>
              </w:rPr>
              <w:t>Expenses</w:t>
            </w:r>
          </w:p>
        </w:tc>
        <w:tc>
          <w:tcPr>
            <w:tcW w:w="706"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D71FDDF" w14:textId="77777777" w:rsidR="00730DE4" w:rsidRPr="00730DE4" w:rsidRDefault="00730DE4" w:rsidP="004A5032">
            <w:pPr>
              <w:pStyle w:val="NoSpacing"/>
              <w:jc w:val="right"/>
              <w:rPr>
                <w:rStyle w:val="Strong"/>
              </w:rPr>
            </w:pPr>
          </w:p>
        </w:tc>
        <w:tc>
          <w:tcPr>
            <w:tcW w:w="706"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92529BB" w14:textId="77777777" w:rsidR="00730DE4" w:rsidRPr="00730DE4" w:rsidRDefault="00730DE4" w:rsidP="004A5032">
            <w:pPr>
              <w:pStyle w:val="NoSpacing"/>
              <w:jc w:val="right"/>
              <w:rPr>
                <w:color w:val="080C0F" w:themeColor="text1"/>
              </w:rPr>
            </w:pPr>
            <w:r w:rsidRPr="00730DE4">
              <w:rPr>
                <w:color w:val="080C0F" w:themeColor="text1"/>
              </w:rPr>
              <w:t> </w:t>
            </w:r>
          </w:p>
        </w:tc>
        <w:tc>
          <w:tcPr>
            <w:tcW w:w="706"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1BEBCFC" w14:textId="77777777" w:rsidR="00730DE4" w:rsidRPr="00730DE4" w:rsidRDefault="00730DE4" w:rsidP="004A5032">
            <w:pPr>
              <w:pStyle w:val="NoSpacing"/>
              <w:jc w:val="right"/>
              <w:rPr>
                <w:color w:val="080C0F" w:themeColor="text1"/>
              </w:rPr>
            </w:pPr>
          </w:p>
        </w:tc>
      </w:tr>
      <w:tr w:rsidR="00730DE4" w:rsidRPr="00730DE4" w14:paraId="69C50F84" w14:textId="77777777" w:rsidTr="007E6EF9">
        <w:trPr>
          <w:trHeight w:val="23"/>
        </w:trPr>
        <w:tc>
          <w:tcPr>
            <w:tcW w:w="2882"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7D0235B4" w14:textId="77777777" w:rsidR="00730DE4" w:rsidRPr="00730DE4" w:rsidRDefault="00730DE4" w:rsidP="004A5032">
            <w:pPr>
              <w:pStyle w:val="NoSpacing"/>
              <w:rPr>
                <w:color w:val="080C0F" w:themeColor="text1"/>
              </w:rPr>
            </w:pPr>
            <w:r w:rsidRPr="00730DE4">
              <w:rPr>
                <w:color w:val="080C0F" w:themeColor="text1"/>
              </w:rPr>
              <w:t>Depreciation</w:t>
            </w:r>
          </w:p>
        </w:tc>
        <w:tc>
          <w:tcPr>
            <w:tcW w:w="706"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58D32E61" w14:textId="77777777" w:rsidR="00730DE4" w:rsidRPr="00730DE4" w:rsidRDefault="00730DE4" w:rsidP="004A5032">
            <w:pPr>
              <w:pStyle w:val="NoSpacing"/>
              <w:jc w:val="right"/>
              <w:rPr>
                <w:color w:val="080C0F" w:themeColor="text1"/>
              </w:rPr>
            </w:pPr>
            <w:r w:rsidRPr="00730DE4">
              <w:rPr>
                <w:color w:val="080C0F" w:themeColor="text1"/>
              </w:rPr>
              <w:t>10</w:t>
            </w:r>
          </w:p>
        </w:tc>
        <w:tc>
          <w:tcPr>
            <w:tcW w:w="706"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38A71FF9" w14:textId="77777777" w:rsidR="00730DE4" w:rsidRPr="00730DE4" w:rsidRDefault="00730DE4" w:rsidP="004A5032">
            <w:pPr>
              <w:pStyle w:val="NoSpacing"/>
              <w:jc w:val="right"/>
              <w:rPr>
                <w:color w:val="080C0F" w:themeColor="text1"/>
              </w:rPr>
            </w:pPr>
            <w:r w:rsidRPr="00730DE4">
              <w:rPr>
                <w:color w:val="080C0F" w:themeColor="text1"/>
              </w:rPr>
              <w:t xml:space="preserve">100,283 </w:t>
            </w:r>
          </w:p>
        </w:tc>
        <w:tc>
          <w:tcPr>
            <w:tcW w:w="706"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7E825A09" w14:textId="77777777" w:rsidR="00730DE4" w:rsidRPr="00730DE4" w:rsidRDefault="00730DE4" w:rsidP="004A5032">
            <w:pPr>
              <w:pStyle w:val="NoSpacing"/>
              <w:jc w:val="right"/>
              <w:rPr>
                <w:color w:val="080C0F" w:themeColor="text1"/>
              </w:rPr>
            </w:pPr>
            <w:r w:rsidRPr="00730DE4">
              <w:rPr>
                <w:color w:val="080C0F" w:themeColor="text1"/>
              </w:rPr>
              <w:t xml:space="preserve">93,743 </w:t>
            </w:r>
          </w:p>
        </w:tc>
      </w:tr>
      <w:tr w:rsidR="00730DE4" w:rsidRPr="00730DE4" w14:paraId="4EA56457" w14:textId="77777777" w:rsidTr="007E6EF9">
        <w:tc>
          <w:tcPr>
            <w:tcW w:w="2882"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47F12BB8" w14:textId="77777777" w:rsidR="00730DE4" w:rsidRPr="00730DE4" w:rsidRDefault="00730DE4" w:rsidP="000A3AFE">
            <w:pPr>
              <w:pStyle w:val="NoSpacing"/>
              <w:rPr>
                <w:rStyle w:val="Strong"/>
              </w:rPr>
            </w:pPr>
            <w:r w:rsidRPr="00730DE4">
              <w:rPr>
                <w:rStyle w:val="Strong"/>
              </w:rPr>
              <w:t>Net impact on operating result</w:t>
            </w:r>
          </w:p>
        </w:tc>
        <w:tc>
          <w:tcPr>
            <w:tcW w:w="706"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0A2719D9" w14:textId="77777777" w:rsidR="00730DE4" w:rsidRPr="00730DE4" w:rsidRDefault="00730DE4" w:rsidP="000A3AFE">
            <w:pPr>
              <w:pStyle w:val="NoSpacing"/>
              <w:jc w:val="right"/>
              <w:rPr>
                <w:color w:val="080C0F" w:themeColor="text1"/>
              </w:rPr>
            </w:pPr>
            <w:r w:rsidRPr="00730DE4">
              <w:rPr>
                <w:color w:val="080C0F" w:themeColor="text1"/>
              </w:rPr>
              <w:t> </w:t>
            </w:r>
          </w:p>
        </w:tc>
        <w:tc>
          <w:tcPr>
            <w:tcW w:w="706"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191751CE" w14:textId="77777777" w:rsidR="00730DE4" w:rsidRPr="00730DE4" w:rsidRDefault="00730DE4" w:rsidP="000A3AFE">
            <w:pPr>
              <w:pStyle w:val="NoSpacing"/>
              <w:jc w:val="right"/>
              <w:rPr>
                <w:rStyle w:val="Strong"/>
              </w:rPr>
            </w:pPr>
            <w:r w:rsidRPr="00730DE4">
              <w:rPr>
                <w:rStyle w:val="Strong"/>
              </w:rPr>
              <w:t xml:space="preserve">16,898 </w:t>
            </w:r>
          </w:p>
        </w:tc>
        <w:tc>
          <w:tcPr>
            <w:tcW w:w="706" w:type="pct"/>
            <w:tcBorders>
              <w:top w:val="single" w:sz="4" w:space="0" w:color="auto"/>
              <w:left w:val="dotted" w:sz="4" w:space="0" w:color="BFBFBF" w:themeColor="background1" w:themeShade="BF"/>
              <w:bottom w:val="double" w:sz="4" w:space="0" w:color="auto"/>
              <w:right w:val="nil"/>
            </w:tcBorders>
            <w:shd w:val="clear" w:color="auto" w:fill="auto"/>
            <w:noWrap/>
            <w:hideMark/>
          </w:tcPr>
          <w:p w14:paraId="2EAA199D" w14:textId="77777777" w:rsidR="00730DE4" w:rsidRPr="00730DE4" w:rsidRDefault="00730DE4" w:rsidP="000A3AFE">
            <w:pPr>
              <w:pStyle w:val="NoSpacing"/>
              <w:jc w:val="right"/>
              <w:rPr>
                <w:rStyle w:val="Strong"/>
              </w:rPr>
            </w:pPr>
            <w:r w:rsidRPr="00730DE4">
              <w:rPr>
                <w:rStyle w:val="Strong"/>
              </w:rPr>
              <w:t xml:space="preserve">23,438 </w:t>
            </w:r>
          </w:p>
        </w:tc>
      </w:tr>
    </w:tbl>
    <w:p w14:paraId="3A07424F" w14:textId="77777777" w:rsidR="00730DE4" w:rsidRPr="00730DE4" w:rsidRDefault="00730DE4" w:rsidP="0033617E">
      <w:pPr>
        <w:pStyle w:val="List0"/>
      </w:pPr>
      <w:r w:rsidRPr="00730DE4">
        <w:t>* Revenue relating to service concession arrangements represents the progressive unwinding of unearned revenue which is amortised over the 45 year concession period with 33 years remaining at 30 June 2024.</w:t>
      </w:r>
    </w:p>
    <w:p w14:paraId="4387AF55" w14:textId="77777777" w:rsidR="00730DE4" w:rsidRPr="00730DE4" w:rsidRDefault="00730DE4" w:rsidP="004A5032">
      <w:pPr>
        <w:pStyle w:val="Heading6"/>
      </w:pPr>
      <w:r w:rsidRPr="00730DE4">
        <w:t>Gateway and Logan Motorways</w:t>
      </w:r>
    </w:p>
    <w:p w14:paraId="475E3987" w14:textId="77777777" w:rsidR="00730DE4" w:rsidRPr="00730DE4" w:rsidRDefault="00730DE4" w:rsidP="003C13D4">
      <w:pPr>
        <w:rPr>
          <w:color w:val="080C0F" w:themeColor="text1"/>
        </w:rPr>
      </w:pPr>
      <w:r w:rsidRPr="00730DE4">
        <w:rPr>
          <w:color w:val="080C0F" w:themeColor="text1"/>
        </w:rPr>
        <w:t>A Road Franchise Agreement (RFA) was established between the state and Queensland Motorways Limited (QML) in 2011 to operate, maintain and manage the Gateway and Logan motorways including the Gateway Extension for a period of 40 years. In 2014, Transurban Queensland acquired QML and now operates the Gateway Motorway and Logan Motorway toll roads under the RFA with the state.</w:t>
      </w:r>
    </w:p>
    <w:p w14:paraId="04D1CE3B" w14:textId="77777777" w:rsidR="00730DE4" w:rsidRPr="00730DE4" w:rsidRDefault="00730DE4" w:rsidP="003C13D4">
      <w:pPr>
        <w:rPr>
          <w:color w:val="080C0F" w:themeColor="text1"/>
        </w:rPr>
      </w:pPr>
      <w:r w:rsidRPr="00730DE4">
        <w:rPr>
          <w:color w:val="080C0F" w:themeColor="text1"/>
        </w:rPr>
        <w:t>In return for collecting the tolls, Transurban Queensland must maintain, operate and manage the toll roads for the period of the franchise and also assume the demand and patronage risk for the franchise period.</w:t>
      </w:r>
    </w:p>
    <w:p w14:paraId="7FE16D45" w14:textId="77777777" w:rsidR="00730DE4" w:rsidRPr="00730DE4" w:rsidRDefault="00730DE4" w:rsidP="00E2235A">
      <w:r w:rsidRPr="00730DE4">
        <w:rPr>
          <w:color w:val="080C0F" w:themeColor="text1"/>
        </w:rPr>
        <w:t>At the expiry of the concession period, the department will retain ownership of the toll road assets.</w:t>
      </w:r>
    </w:p>
    <w:tbl>
      <w:tblPr>
        <w:tblW w:w="5000" w:type="pct"/>
        <w:tblCellMar>
          <w:top w:w="23" w:type="dxa"/>
          <w:left w:w="23" w:type="dxa"/>
          <w:bottom w:w="23" w:type="dxa"/>
          <w:right w:w="23" w:type="dxa"/>
        </w:tblCellMar>
        <w:tblLook w:val="04A0" w:firstRow="1" w:lastRow="0" w:firstColumn="1" w:lastColumn="0" w:noHBand="0" w:noVBand="1"/>
      </w:tblPr>
      <w:tblGrid>
        <w:gridCol w:w="5224"/>
        <w:gridCol w:w="1282"/>
        <w:gridCol w:w="1282"/>
        <w:gridCol w:w="1282"/>
      </w:tblGrid>
      <w:tr w:rsidR="00730DE4" w:rsidRPr="00730DE4" w14:paraId="78C13879" w14:textId="77777777" w:rsidTr="000A2C0E">
        <w:trPr>
          <w:trHeight w:val="23"/>
        </w:trPr>
        <w:tc>
          <w:tcPr>
            <w:tcW w:w="2879" w:type="pct"/>
            <w:tcBorders>
              <w:top w:val="nil"/>
              <w:left w:val="nil"/>
              <w:bottom w:val="single" w:sz="4" w:space="0" w:color="auto"/>
              <w:right w:val="nil"/>
            </w:tcBorders>
            <w:shd w:val="clear" w:color="auto" w:fill="auto"/>
            <w:noWrap/>
            <w:vAlign w:val="bottom"/>
            <w:hideMark/>
          </w:tcPr>
          <w:p w14:paraId="0629E6FB" w14:textId="77777777" w:rsidR="00730DE4" w:rsidRPr="00730DE4" w:rsidRDefault="00730DE4" w:rsidP="004A5032">
            <w:pPr>
              <w:pStyle w:val="NoSpacing"/>
              <w:rPr>
                <w:color w:val="080C0F" w:themeColor="text1"/>
              </w:rPr>
            </w:pPr>
          </w:p>
        </w:tc>
        <w:tc>
          <w:tcPr>
            <w:tcW w:w="707" w:type="pct"/>
            <w:tcBorders>
              <w:top w:val="nil"/>
              <w:left w:val="nil"/>
              <w:bottom w:val="single" w:sz="4" w:space="0" w:color="auto"/>
              <w:right w:val="nil"/>
            </w:tcBorders>
            <w:shd w:val="clear" w:color="auto" w:fill="auto"/>
            <w:noWrap/>
            <w:vAlign w:val="bottom"/>
            <w:hideMark/>
          </w:tcPr>
          <w:p w14:paraId="108EE8DA" w14:textId="77777777" w:rsidR="00730DE4" w:rsidRPr="00730DE4" w:rsidRDefault="00730DE4" w:rsidP="004A5032">
            <w:pPr>
              <w:pStyle w:val="NoSpacing"/>
              <w:jc w:val="right"/>
              <w:rPr>
                <w:rStyle w:val="Strong"/>
              </w:rPr>
            </w:pPr>
            <w:r w:rsidRPr="00730DE4">
              <w:rPr>
                <w:rStyle w:val="Strong"/>
              </w:rPr>
              <w:t>Note</w:t>
            </w:r>
          </w:p>
        </w:tc>
        <w:tc>
          <w:tcPr>
            <w:tcW w:w="707" w:type="pct"/>
            <w:tcBorders>
              <w:top w:val="nil"/>
              <w:left w:val="nil"/>
              <w:bottom w:val="single" w:sz="4" w:space="0" w:color="auto"/>
              <w:right w:val="nil"/>
            </w:tcBorders>
            <w:shd w:val="clear" w:color="auto" w:fill="auto"/>
            <w:noWrap/>
            <w:vAlign w:val="bottom"/>
            <w:hideMark/>
          </w:tcPr>
          <w:p w14:paraId="5587B97A" w14:textId="77777777" w:rsidR="00730DE4" w:rsidRPr="00730DE4" w:rsidRDefault="00730DE4" w:rsidP="004A5032">
            <w:pPr>
              <w:pStyle w:val="NoSpacing"/>
              <w:jc w:val="right"/>
              <w:rPr>
                <w:color w:val="080C0F" w:themeColor="text1"/>
              </w:rPr>
            </w:pPr>
            <w:r w:rsidRPr="00730DE4">
              <w:rPr>
                <w:rStyle w:val="Strong"/>
              </w:rPr>
              <w:t xml:space="preserve">2024 </w:t>
            </w:r>
            <w:r w:rsidRPr="00730DE4">
              <w:rPr>
                <w:rStyle w:val="Strong"/>
              </w:rPr>
              <w:br/>
              <w:t>$'000</w:t>
            </w:r>
          </w:p>
        </w:tc>
        <w:tc>
          <w:tcPr>
            <w:tcW w:w="707" w:type="pct"/>
            <w:tcBorders>
              <w:top w:val="nil"/>
              <w:left w:val="nil"/>
              <w:bottom w:val="single" w:sz="4" w:space="0" w:color="auto"/>
              <w:right w:val="nil"/>
            </w:tcBorders>
            <w:shd w:val="clear" w:color="auto" w:fill="auto"/>
            <w:noWrap/>
            <w:vAlign w:val="bottom"/>
            <w:hideMark/>
          </w:tcPr>
          <w:p w14:paraId="52E365B2" w14:textId="77777777" w:rsidR="00730DE4" w:rsidRPr="00730DE4" w:rsidRDefault="00730DE4" w:rsidP="004A5032">
            <w:pPr>
              <w:pStyle w:val="NoSpacing"/>
              <w:jc w:val="right"/>
              <w:rPr>
                <w:color w:val="080C0F" w:themeColor="text1"/>
              </w:rPr>
            </w:pPr>
            <w:r w:rsidRPr="00730DE4">
              <w:rPr>
                <w:rStyle w:val="Strong"/>
              </w:rPr>
              <w:t xml:space="preserve">2023 </w:t>
            </w:r>
            <w:r w:rsidRPr="00730DE4">
              <w:rPr>
                <w:rStyle w:val="Strong"/>
              </w:rPr>
              <w:br/>
              <w:t>$'000</w:t>
            </w:r>
          </w:p>
        </w:tc>
      </w:tr>
      <w:tr w:rsidR="00730DE4" w:rsidRPr="00730DE4" w14:paraId="382AC96B" w14:textId="77777777" w:rsidTr="000A2C0E">
        <w:trPr>
          <w:trHeight w:val="454"/>
        </w:trPr>
        <w:tc>
          <w:tcPr>
            <w:tcW w:w="2879"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7A07FDB" w14:textId="77777777" w:rsidR="00730DE4" w:rsidRPr="00730DE4" w:rsidRDefault="00730DE4" w:rsidP="004A5032">
            <w:pPr>
              <w:pStyle w:val="NoSpacing"/>
              <w:rPr>
                <w:color w:val="080C0F" w:themeColor="text1"/>
              </w:rPr>
            </w:pPr>
            <w:r w:rsidRPr="00730DE4">
              <w:rPr>
                <w:rStyle w:val="Strong"/>
              </w:rPr>
              <w:t>Operating statement impact</w:t>
            </w:r>
          </w:p>
        </w:tc>
        <w:tc>
          <w:tcPr>
            <w:tcW w:w="707"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355BED0" w14:textId="77777777" w:rsidR="00730DE4" w:rsidRPr="00730DE4" w:rsidRDefault="00730DE4" w:rsidP="004A5032">
            <w:pPr>
              <w:pStyle w:val="NoSpacing"/>
              <w:jc w:val="right"/>
              <w:rPr>
                <w:rStyle w:val="Strong"/>
              </w:rPr>
            </w:pPr>
          </w:p>
        </w:tc>
        <w:tc>
          <w:tcPr>
            <w:tcW w:w="707"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B860BA1" w14:textId="77777777" w:rsidR="00730DE4" w:rsidRPr="00730DE4" w:rsidRDefault="00730DE4" w:rsidP="004A5032">
            <w:pPr>
              <w:pStyle w:val="NoSpacing"/>
              <w:jc w:val="right"/>
              <w:rPr>
                <w:color w:val="080C0F" w:themeColor="text1"/>
              </w:rPr>
            </w:pPr>
          </w:p>
        </w:tc>
        <w:tc>
          <w:tcPr>
            <w:tcW w:w="707"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078DFB5" w14:textId="77777777" w:rsidR="00730DE4" w:rsidRPr="00730DE4" w:rsidRDefault="00730DE4" w:rsidP="004A5032">
            <w:pPr>
              <w:pStyle w:val="NoSpacing"/>
              <w:jc w:val="right"/>
              <w:rPr>
                <w:color w:val="080C0F" w:themeColor="text1"/>
              </w:rPr>
            </w:pPr>
          </w:p>
        </w:tc>
      </w:tr>
      <w:tr w:rsidR="00730DE4" w:rsidRPr="00730DE4" w14:paraId="05BEDBA7" w14:textId="77777777" w:rsidTr="00650967">
        <w:tc>
          <w:tcPr>
            <w:tcW w:w="2879"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tcPr>
          <w:p w14:paraId="5C7DDD38" w14:textId="77777777" w:rsidR="00730DE4" w:rsidRPr="00730DE4" w:rsidRDefault="00730DE4" w:rsidP="004A5032">
            <w:pPr>
              <w:pStyle w:val="NoSpacing"/>
              <w:rPr>
                <w:rStyle w:val="Strong"/>
              </w:rPr>
            </w:pPr>
            <w:r w:rsidRPr="00730DE4">
              <w:rPr>
                <w:rStyle w:val="Strong"/>
              </w:rPr>
              <w:t>Revenue</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639CA05B" w14:textId="77777777" w:rsidR="00730DE4" w:rsidRPr="00730DE4" w:rsidRDefault="00730DE4" w:rsidP="004A5032">
            <w:pPr>
              <w:pStyle w:val="NoSpacing"/>
              <w:jc w:val="right"/>
              <w:rPr>
                <w:rStyle w:val="Strong"/>
              </w:rPr>
            </w:pP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0AC0BC4C" w14:textId="77777777" w:rsidR="00730DE4" w:rsidRPr="00730DE4" w:rsidRDefault="00730DE4" w:rsidP="004A5032">
            <w:pPr>
              <w:pStyle w:val="NoSpacing"/>
              <w:jc w:val="right"/>
              <w:rPr>
                <w:color w:val="080C0F" w:themeColor="text1"/>
              </w:rPr>
            </w:pP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tcPr>
          <w:p w14:paraId="1F045F0B" w14:textId="77777777" w:rsidR="00730DE4" w:rsidRPr="00730DE4" w:rsidRDefault="00730DE4" w:rsidP="004A5032">
            <w:pPr>
              <w:pStyle w:val="NoSpacing"/>
              <w:jc w:val="right"/>
              <w:rPr>
                <w:color w:val="080C0F" w:themeColor="text1"/>
              </w:rPr>
            </w:pPr>
          </w:p>
        </w:tc>
      </w:tr>
      <w:tr w:rsidR="00730DE4" w:rsidRPr="00730DE4" w14:paraId="4FD00D0D" w14:textId="77777777" w:rsidTr="00650967">
        <w:tc>
          <w:tcPr>
            <w:tcW w:w="2879"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hideMark/>
          </w:tcPr>
          <w:p w14:paraId="05FD410E" w14:textId="77777777" w:rsidR="00730DE4" w:rsidRPr="00730DE4" w:rsidRDefault="00730DE4" w:rsidP="00A5676F">
            <w:pPr>
              <w:pStyle w:val="NoSpacing"/>
              <w:rPr>
                <w:color w:val="080C0F" w:themeColor="text1"/>
              </w:rPr>
            </w:pPr>
            <w:r w:rsidRPr="00730DE4">
              <w:rPr>
                <w:color w:val="080C0F" w:themeColor="text1"/>
              </w:rPr>
              <w:t>Amortisation of unearned revenue *</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hideMark/>
          </w:tcPr>
          <w:p w14:paraId="5FB57014" w14:textId="77777777" w:rsidR="00730DE4" w:rsidRPr="00730DE4" w:rsidRDefault="00730DE4" w:rsidP="00A5676F">
            <w:pPr>
              <w:pStyle w:val="NoSpacing"/>
              <w:jc w:val="right"/>
              <w:rPr>
                <w:color w:val="080C0F" w:themeColor="text1"/>
              </w:rPr>
            </w:pP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4E999FBC" w14:textId="77777777" w:rsidR="00730DE4" w:rsidRPr="00730DE4" w:rsidRDefault="00730DE4" w:rsidP="00A5676F">
            <w:pPr>
              <w:pStyle w:val="NoSpacing"/>
              <w:jc w:val="right"/>
              <w:rPr>
                <w:color w:val="080C0F" w:themeColor="text1"/>
              </w:rPr>
            </w:pPr>
            <w:r w:rsidRPr="00730DE4">
              <w:rPr>
                <w:color w:val="080C0F" w:themeColor="text1"/>
              </w:rPr>
              <w:t xml:space="preserve">105,365 </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hideMark/>
          </w:tcPr>
          <w:p w14:paraId="7691BB6C" w14:textId="77777777" w:rsidR="00730DE4" w:rsidRPr="00730DE4" w:rsidRDefault="00730DE4" w:rsidP="00A5676F">
            <w:pPr>
              <w:pStyle w:val="NoSpacing"/>
              <w:jc w:val="right"/>
              <w:rPr>
                <w:color w:val="080C0F" w:themeColor="text1"/>
              </w:rPr>
            </w:pPr>
            <w:r w:rsidRPr="00730DE4">
              <w:rPr>
                <w:color w:val="080C0F" w:themeColor="text1"/>
              </w:rPr>
              <w:t xml:space="preserve">105,365 </w:t>
            </w:r>
          </w:p>
        </w:tc>
      </w:tr>
      <w:tr w:rsidR="00730DE4" w:rsidRPr="00730DE4" w14:paraId="7E036B8B" w14:textId="77777777" w:rsidTr="000A2C0E">
        <w:trPr>
          <w:trHeight w:val="454"/>
        </w:trPr>
        <w:tc>
          <w:tcPr>
            <w:tcW w:w="2879"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B919E6F" w14:textId="77777777" w:rsidR="00730DE4" w:rsidRPr="00730DE4" w:rsidRDefault="00730DE4" w:rsidP="004A5032">
            <w:pPr>
              <w:pStyle w:val="NoSpacing"/>
              <w:rPr>
                <w:color w:val="080C0F" w:themeColor="text1"/>
              </w:rPr>
            </w:pPr>
            <w:r w:rsidRPr="00730DE4">
              <w:rPr>
                <w:rStyle w:val="Strong"/>
              </w:rPr>
              <w:t>Expenses</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C780C0D" w14:textId="77777777" w:rsidR="00730DE4" w:rsidRPr="00730DE4" w:rsidRDefault="00730DE4" w:rsidP="004A5032">
            <w:pPr>
              <w:pStyle w:val="NoSpacing"/>
              <w:jc w:val="right"/>
              <w:rPr>
                <w:rStyle w:val="Strong"/>
              </w:rPr>
            </w:pP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4730EC9" w14:textId="77777777" w:rsidR="00730DE4" w:rsidRPr="00730DE4" w:rsidRDefault="00730DE4" w:rsidP="004A5032">
            <w:pPr>
              <w:pStyle w:val="NoSpacing"/>
              <w:jc w:val="right"/>
              <w:rPr>
                <w:color w:val="080C0F" w:themeColor="text1"/>
              </w:rPr>
            </w:pPr>
            <w:r w:rsidRPr="00730DE4">
              <w:rPr>
                <w:color w:val="080C0F" w:themeColor="text1"/>
              </w:rPr>
              <w:t> </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D0B1A7A" w14:textId="77777777" w:rsidR="00730DE4" w:rsidRPr="00730DE4" w:rsidRDefault="00730DE4" w:rsidP="004A5032">
            <w:pPr>
              <w:pStyle w:val="NoSpacing"/>
              <w:jc w:val="right"/>
              <w:rPr>
                <w:color w:val="080C0F" w:themeColor="text1"/>
              </w:rPr>
            </w:pPr>
          </w:p>
        </w:tc>
      </w:tr>
      <w:tr w:rsidR="00730DE4" w:rsidRPr="00730DE4" w14:paraId="7BD693AB" w14:textId="77777777" w:rsidTr="00650967">
        <w:trPr>
          <w:trHeight w:val="23"/>
        </w:trPr>
        <w:tc>
          <w:tcPr>
            <w:tcW w:w="2879"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6441C0A9" w14:textId="77777777" w:rsidR="00730DE4" w:rsidRPr="00730DE4" w:rsidRDefault="00730DE4" w:rsidP="004A5032">
            <w:pPr>
              <w:pStyle w:val="NoSpacing"/>
              <w:rPr>
                <w:color w:val="080C0F" w:themeColor="text1"/>
              </w:rPr>
            </w:pPr>
            <w:r w:rsidRPr="00730DE4">
              <w:rPr>
                <w:color w:val="080C0F" w:themeColor="text1"/>
              </w:rPr>
              <w:t>Depreciation</w:t>
            </w:r>
          </w:p>
        </w:tc>
        <w:tc>
          <w:tcPr>
            <w:tcW w:w="707"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4988F553" w14:textId="77777777" w:rsidR="00730DE4" w:rsidRPr="00730DE4" w:rsidRDefault="00730DE4" w:rsidP="004A5032">
            <w:pPr>
              <w:pStyle w:val="NoSpacing"/>
              <w:jc w:val="right"/>
              <w:rPr>
                <w:color w:val="080C0F" w:themeColor="text1"/>
              </w:rPr>
            </w:pPr>
            <w:r w:rsidRPr="00730DE4">
              <w:rPr>
                <w:color w:val="080C0F" w:themeColor="text1"/>
              </w:rPr>
              <w:t>10</w:t>
            </w:r>
          </w:p>
        </w:tc>
        <w:tc>
          <w:tcPr>
            <w:tcW w:w="707"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26385A81" w14:textId="77777777" w:rsidR="00730DE4" w:rsidRPr="00730DE4" w:rsidRDefault="00730DE4" w:rsidP="004A5032">
            <w:pPr>
              <w:pStyle w:val="NoSpacing"/>
              <w:jc w:val="right"/>
              <w:rPr>
                <w:color w:val="080C0F" w:themeColor="text1"/>
              </w:rPr>
            </w:pPr>
            <w:r w:rsidRPr="00730DE4">
              <w:rPr>
                <w:color w:val="080C0F" w:themeColor="text1"/>
              </w:rPr>
              <w:t xml:space="preserve">50,076 </w:t>
            </w:r>
          </w:p>
        </w:tc>
        <w:tc>
          <w:tcPr>
            <w:tcW w:w="707"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5AF4C92C" w14:textId="77777777" w:rsidR="00730DE4" w:rsidRPr="00730DE4" w:rsidRDefault="00730DE4" w:rsidP="004A5032">
            <w:pPr>
              <w:pStyle w:val="NoSpacing"/>
              <w:jc w:val="right"/>
              <w:rPr>
                <w:color w:val="080C0F" w:themeColor="text1"/>
              </w:rPr>
            </w:pPr>
            <w:r w:rsidRPr="00730DE4">
              <w:rPr>
                <w:color w:val="080C0F" w:themeColor="text1"/>
              </w:rPr>
              <w:t xml:space="preserve">42,482 </w:t>
            </w:r>
          </w:p>
        </w:tc>
      </w:tr>
      <w:tr w:rsidR="00730DE4" w:rsidRPr="00730DE4" w14:paraId="2BF2436B" w14:textId="77777777" w:rsidTr="00650967">
        <w:tc>
          <w:tcPr>
            <w:tcW w:w="2879"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71EBFC88" w14:textId="77777777" w:rsidR="00730DE4" w:rsidRPr="00730DE4" w:rsidRDefault="00730DE4" w:rsidP="000A3AFE">
            <w:pPr>
              <w:pStyle w:val="NoSpacing"/>
              <w:rPr>
                <w:rStyle w:val="Strong"/>
              </w:rPr>
            </w:pPr>
            <w:r w:rsidRPr="00730DE4">
              <w:rPr>
                <w:rStyle w:val="Strong"/>
              </w:rPr>
              <w:t>Net impact on operating result</w:t>
            </w:r>
          </w:p>
        </w:tc>
        <w:tc>
          <w:tcPr>
            <w:tcW w:w="707"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0543DF87" w14:textId="77777777" w:rsidR="00730DE4" w:rsidRPr="00730DE4" w:rsidRDefault="00730DE4" w:rsidP="000A3AFE">
            <w:pPr>
              <w:pStyle w:val="NoSpacing"/>
              <w:jc w:val="right"/>
              <w:rPr>
                <w:color w:val="080C0F" w:themeColor="text1"/>
              </w:rPr>
            </w:pPr>
            <w:r w:rsidRPr="00730DE4">
              <w:rPr>
                <w:color w:val="080C0F" w:themeColor="text1"/>
              </w:rPr>
              <w:t> </w:t>
            </w:r>
          </w:p>
        </w:tc>
        <w:tc>
          <w:tcPr>
            <w:tcW w:w="707"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17E2E3BC" w14:textId="77777777" w:rsidR="00730DE4" w:rsidRPr="00730DE4" w:rsidRDefault="00730DE4" w:rsidP="000A3AFE">
            <w:pPr>
              <w:pStyle w:val="NoSpacing"/>
              <w:jc w:val="right"/>
              <w:rPr>
                <w:rStyle w:val="Strong"/>
              </w:rPr>
            </w:pPr>
            <w:r w:rsidRPr="00730DE4">
              <w:rPr>
                <w:rStyle w:val="Strong"/>
              </w:rPr>
              <w:t xml:space="preserve">55,289 </w:t>
            </w:r>
          </w:p>
        </w:tc>
        <w:tc>
          <w:tcPr>
            <w:tcW w:w="707" w:type="pct"/>
            <w:tcBorders>
              <w:top w:val="single" w:sz="4" w:space="0" w:color="auto"/>
              <w:left w:val="dotted" w:sz="4" w:space="0" w:color="BFBFBF" w:themeColor="background1" w:themeShade="BF"/>
              <w:bottom w:val="double" w:sz="4" w:space="0" w:color="auto"/>
              <w:right w:val="nil"/>
            </w:tcBorders>
            <w:shd w:val="clear" w:color="auto" w:fill="auto"/>
            <w:noWrap/>
            <w:hideMark/>
          </w:tcPr>
          <w:p w14:paraId="764764C8" w14:textId="77777777" w:rsidR="00730DE4" w:rsidRPr="00730DE4" w:rsidRDefault="00730DE4" w:rsidP="000A3AFE">
            <w:pPr>
              <w:pStyle w:val="NoSpacing"/>
              <w:jc w:val="right"/>
              <w:rPr>
                <w:rStyle w:val="Strong"/>
              </w:rPr>
            </w:pPr>
            <w:r w:rsidRPr="00730DE4">
              <w:rPr>
                <w:rStyle w:val="Strong"/>
              </w:rPr>
              <w:t xml:space="preserve">62,883 </w:t>
            </w:r>
          </w:p>
        </w:tc>
      </w:tr>
    </w:tbl>
    <w:p w14:paraId="081135F8" w14:textId="77777777" w:rsidR="00730DE4" w:rsidRPr="00730DE4" w:rsidRDefault="00730DE4" w:rsidP="0033617E">
      <w:pPr>
        <w:pStyle w:val="List0"/>
      </w:pPr>
      <w:r w:rsidRPr="00730DE4">
        <w:t>* Revenue relating to service concession arrangements represents the progressive unwinding of unearned revenue which is amortised over the 40 year concession period with 27 years remaining at 30 June 2024.</w:t>
      </w:r>
    </w:p>
    <w:p w14:paraId="17501342" w14:textId="77777777" w:rsidR="00730DE4" w:rsidRPr="00730DE4" w:rsidRDefault="00730DE4" w:rsidP="004A5032">
      <w:pPr>
        <w:pStyle w:val="Heading6"/>
      </w:pPr>
      <w:r w:rsidRPr="00730DE4">
        <w:t>Port Drive</w:t>
      </w:r>
    </w:p>
    <w:p w14:paraId="75FF8C3C" w14:textId="77777777" w:rsidR="00730DE4" w:rsidRPr="00730DE4" w:rsidRDefault="00730DE4" w:rsidP="003C13D4">
      <w:pPr>
        <w:rPr>
          <w:color w:val="080C0F" w:themeColor="text1"/>
        </w:rPr>
      </w:pPr>
      <w:r w:rsidRPr="00730DE4">
        <w:rPr>
          <w:color w:val="080C0F" w:themeColor="text1"/>
        </w:rPr>
        <w:t>A Road Franchise Agreement (RFA) was established between the state and Port of Brisbane Pty Ltd in November 2000 to maintain and manage the Port Drive motorway. In 2010, APH Consortium signed a 99 year lease over the port, which included an agreement to fund a major upgrade to the motorway.</w:t>
      </w:r>
    </w:p>
    <w:p w14:paraId="67B3E204" w14:textId="77777777" w:rsidR="00730DE4" w:rsidRPr="00730DE4" w:rsidRDefault="00730DE4" w:rsidP="003C13D4">
      <w:pPr>
        <w:rPr>
          <w:color w:val="080C0F" w:themeColor="text1"/>
        </w:rPr>
      </w:pPr>
      <w:r w:rsidRPr="00730DE4">
        <w:rPr>
          <w:color w:val="080C0F" w:themeColor="text1"/>
        </w:rPr>
        <w:t>The Port Drive motorway is a franchised road, but is not a toll road. The operator obtains indirect benefits of ongoing maintenance of the road infrastructure through increased capacity and access to the port precinct.</w:t>
      </w:r>
    </w:p>
    <w:p w14:paraId="74E8F50C" w14:textId="77777777" w:rsidR="005B60B8" w:rsidRDefault="005B60B8" w:rsidP="00BF3C78">
      <w:pPr>
        <w:rPr>
          <w:color w:val="080C0F" w:themeColor="text1"/>
        </w:rPr>
      </w:pPr>
      <w:r>
        <w:rPr>
          <w:color w:val="080C0F" w:themeColor="text1"/>
        </w:rPr>
        <w:br w:type="page"/>
      </w:r>
    </w:p>
    <w:p w14:paraId="7AF295FB" w14:textId="441F03FE" w:rsidR="00730DE4" w:rsidRPr="00730DE4" w:rsidRDefault="00730DE4" w:rsidP="00BF3C78">
      <w:pPr>
        <w:rPr>
          <w:color w:val="080C0F" w:themeColor="text1"/>
        </w:rPr>
      </w:pPr>
      <w:r w:rsidRPr="00730DE4">
        <w:rPr>
          <w:color w:val="080C0F" w:themeColor="text1"/>
        </w:rPr>
        <w:t>At the expiry of the concession period the department will retain ownership of the motorway assets.</w:t>
      </w:r>
    </w:p>
    <w:tbl>
      <w:tblPr>
        <w:tblW w:w="5000" w:type="pct"/>
        <w:tblCellMar>
          <w:top w:w="23" w:type="dxa"/>
          <w:left w:w="23" w:type="dxa"/>
          <w:bottom w:w="23" w:type="dxa"/>
          <w:right w:w="23" w:type="dxa"/>
        </w:tblCellMar>
        <w:tblLook w:val="04A0" w:firstRow="1" w:lastRow="0" w:firstColumn="1" w:lastColumn="0" w:noHBand="0" w:noVBand="1"/>
      </w:tblPr>
      <w:tblGrid>
        <w:gridCol w:w="5224"/>
        <w:gridCol w:w="1282"/>
        <w:gridCol w:w="1282"/>
        <w:gridCol w:w="1282"/>
      </w:tblGrid>
      <w:tr w:rsidR="00730DE4" w:rsidRPr="00730DE4" w14:paraId="3894C8FE" w14:textId="77777777" w:rsidTr="000A2C0E">
        <w:trPr>
          <w:trHeight w:val="270"/>
        </w:trPr>
        <w:tc>
          <w:tcPr>
            <w:tcW w:w="2879" w:type="pct"/>
            <w:tcBorders>
              <w:top w:val="nil"/>
              <w:left w:val="nil"/>
              <w:bottom w:val="single" w:sz="4" w:space="0" w:color="auto"/>
              <w:right w:val="nil"/>
            </w:tcBorders>
            <w:shd w:val="clear" w:color="auto" w:fill="auto"/>
            <w:noWrap/>
            <w:vAlign w:val="bottom"/>
            <w:hideMark/>
          </w:tcPr>
          <w:p w14:paraId="4770B8EB" w14:textId="77777777" w:rsidR="00730DE4" w:rsidRPr="00730DE4" w:rsidRDefault="00730DE4" w:rsidP="004A5032">
            <w:pPr>
              <w:pStyle w:val="NoSpacing"/>
              <w:rPr>
                <w:color w:val="080C0F" w:themeColor="text1"/>
              </w:rPr>
            </w:pPr>
          </w:p>
        </w:tc>
        <w:tc>
          <w:tcPr>
            <w:tcW w:w="707" w:type="pct"/>
            <w:tcBorders>
              <w:top w:val="nil"/>
              <w:left w:val="nil"/>
              <w:bottom w:val="single" w:sz="4" w:space="0" w:color="auto"/>
              <w:right w:val="nil"/>
            </w:tcBorders>
            <w:shd w:val="clear" w:color="auto" w:fill="auto"/>
            <w:noWrap/>
            <w:vAlign w:val="bottom"/>
            <w:hideMark/>
          </w:tcPr>
          <w:p w14:paraId="4A72D73A" w14:textId="77777777" w:rsidR="00730DE4" w:rsidRPr="00730DE4" w:rsidRDefault="00730DE4" w:rsidP="004A5032">
            <w:pPr>
              <w:pStyle w:val="NoSpacing"/>
              <w:jc w:val="right"/>
              <w:rPr>
                <w:rStyle w:val="Strong"/>
              </w:rPr>
            </w:pPr>
            <w:r w:rsidRPr="00730DE4">
              <w:rPr>
                <w:rStyle w:val="Strong"/>
              </w:rPr>
              <w:t>Note</w:t>
            </w:r>
          </w:p>
        </w:tc>
        <w:tc>
          <w:tcPr>
            <w:tcW w:w="707" w:type="pct"/>
            <w:tcBorders>
              <w:top w:val="nil"/>
              <w:left w:val="nil"/>
              <w:bottom w:val="single" w:sz="4" w:space="0" w:color="auto"/>
              <w:right w:val="nil"/>
            </w:tcBorders>
            <w:shd w:val="clear" w:color="auto" w:fill="auto"/>
            <w:noWrap/>
            <w:vAlign w:val="bottom"/>
            <w:hideMark/>
          </w:tcPr>
          <w:p w14:paraId="32B7AD54" w14:textId="77777777" w:rsidR="00730DE4" w:rsidRPr="00730DE4" w:rsidRDefault="00730DE4" w:rsidP="004A5032">
            <w:pPr>
              <w:pStyle w:val="NoSpacing"/>
              <w:jc w:val="right"/>
              <w:rPr>
                <w:color w:val="080C0F" w:themeColor="text1"/>
              </w:rPr>
            </w:pPr>
            <w:r w:rsidRPr="00730DE4">
              <w:rPr>
                <w:rStyle w:val="Strong"/>
              </w:rPr>
              <w:t xml:space="preserve">2024 </w:t>
            </w:r>
            <w:r w:rsidRPr="00730DE4">
              <w:rPr>
                <w:rStyle w:val="Strong"/>
              </w:rPr>
              <w:br/>
              <w:t>$'000</w:t>
            </w:r>
          </w:p>
        </w:tc>
        <w:tc>
          <w:tcPr>
            <w:tcW w:w="707" w:type="pct"/>
            <w:tcBorders>
              <w:top w:val="nil"/>
              <w:left w:val="nil"/>
              <w:bottom w:val="single" w:sz="4" w:space="0" w:color="auto"/>
              <w:right w:val="nil"/>
            </w:tcBorders>
            <w:shd w:val="clear" w:color="auto" w:fill="auto"/>
            <w:noWrap/>
            <w:vAlign w:val="bottom"/>
            <w:hideMark/>
          </w:tcPr>
          <w:p w14:paraId="4B814083" w14:textId="77777777" w:rsidR="00730DE4" w:rsidRPr="00730DE4" w:rsidRDefault="00730DE4" w:rsidP="004A5032">
            <w:pPr>
              <w:pStyle w:val="NoSpacing"/>
              <w:jc w:val="right"/>
              <w:rPr>
                <w:color w:val="080C0F" w:themeColor="text1"/>
              </w:rPr>
            </w:pPr>
            <w:r w:rsidRPr="00730DE4">
              <w:rPr>
                <w:rStyle w:val="Strong"/>
              </w:rPr>
              <w:t xml:space="preserve">2023 </w:t>
            </w:r>
            <w:r w:rsidRPr="00730DE4">
              <w:rPr>
                <w:rStyle w:val="Strong"/>
              </w:rPr>
              <w:br/>
              <w:t>$'000</w:t>
            </w:r>
          </w:p>
        </w:tc>
      </w:tr>
      <w:tr w:rsidR="00730DE4" w:rsidRPr="00730DE4" w14:paraId="7BC38FE7" w14:textId="77777777" w:rsidTr="000A2C0E">
        <w:trPr>
          <w:trHeight w:val="454"/>
        </w:trPr>
        <w:tc>
          <w:tcPr>
            <w:tcW w:w="2879"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3EEF853A" w14:textId="77777777" w:rsidR="00730DE4" w:rsidRPr="00730DE4" w:rsidRDefault="00730DE4" w:rsidP="004A5032">
            <w:pPr>
              <w:pStyle w:val="NoSpacing"/>
              <w:rPr>
                <w:color w:val="080C0F" w:themeColor="text1"/>
              </w:rPr>
            </w:pPr>
            <w:r w:rsidRPr="00730DE4">
              <w:rPr>
                <w:rStyle w:val="Strong"/>
              </w:rPr>
              <w:t>Operating statement impact</w:t>
            </w:r>
          </w:p>
        </w:tc>
        <w:tc>
          <w:tcPr>
            <w:tcW w:w="707"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5D6CA74" w14:textId="77777777" w:rsidR="00730DE4" w:rsidRPr="00730DE4" w:rsidRDefault="00730DE4" w:rsidP="004A5032">
            <w:pPr>
              <w:pStyle w:val="NoSpacing"/>
              <w:jc w:val="right"/>
              <w:rPr>
                <w:rStyle w:val="Strong"/>
              </w:rPr>
            </w:pPr>
          </w:p>
        </w:tc>
        <w:tc>
          <w:tcPr>
            <w:tcW w:w="707"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C218974" w14:textId="77777777" w:rsidR="00730DE4" w:rsidRPr="00730DE4" w:rsidRDefault="00730DE4" w:rsidP="004A5032">
            <w:pPr>
              <w:pStyle w:val="NoSpacing"/>
              <w:jc w:val="right"/>
              <w:rPr>
                <w:color w:val="080C0F" w:themeColor="text1"/>
              </w:rPr>
            </w:pPr>
          </w:p>
        </w:tc>
        <w:tc>
          <w:tcPr>
            <w:tcW w:w="707"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4DA2DB4A" w14:textId="77777777" w:rsidR="00730DE4" w:rsidRPr="00730DE4" w:rsidRDefault="00730DE4" w:rsidP="004A5032">
            <w:pPr>
              <w:pStyle w:val="NoSpacing"/>
              <w:jc w:val="right"/>
              <w:rPr>
                <w:color w:val="080C0F" w:themeColor="text1"/>
              </w:rPr>
            </w:pPr>
          </w:p>
        </w:tc>
      </w:tr>
      <w:tr w:rsidR="00730DE4" w:rsidRPr="00730DE4" w14:paraId="68C42378" w14:textId="77777777" w:rsidTr="00F1695D">
        <w:tc>
          <w:tcPr>
            <w:tcW w:w="2879"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tcPr>
          <w:p w14:paraId="187491F2" w14:textId="77777777" w:rsidR="00730DE4" w:rsidRPr="00730DE4" w:rsidRDefault="00730DE4" w:rsidP="004A5032">
            <w:pPr>
              <w:pStyle w:val="NoSpacing"/>
              <w:rPr>
                <w:rStyle w:val="Strong"/>
              </w:rPr>
            </w:pPr>
            <w:r w:rsidRPr="00730DE4">
              <w:rPr>
                <w:rStyle w:val="Strong"/>
              </w:rPr>
              <w:t>Revenue</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4B0FC2A9" w14:textId="77777777" w:rsidR="00730DE4" w:rsidRPr="00730DE4" w:rsidRDefault="00730DE4" w:rsidP="004A5032">
            <w:pPr>
              <w:pStyle w:val="NoSpacing"/>
              <w:jc w:val="right"/>
              <w:rPr>
                <w:rStyle w:val="Strong"/>
              </w:rPr>
            </w:pP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36ABADC1" w14:textId="77777777" w:rsidR="00730DE4" w:rsidRPr="00730DE4" w:rsidRDefault="00730DE4" w:rsidP="004A5032">
            <w:pPr>
              <w:pStyle w:val="NoSpacing"/>
              <w:jc w:val="right"/>
              <w:rPr>
                <w:color w:val="080C0F" w:themeColor="text1"/>
              </w:rPr>
            </w:pP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tcPr>
          <w:p w14:paraId="73358F37" w14:textId="77777777" w:rsidR="00730DE4" w:rsidRPr="00730DE4" w:rsidRDefault="00730DE4" w:rsidP="004A5032">
            <w:pPr>
              <w:pStyle w:val="NoSpacing"/>
              <w:jc w:val="right"/>
              <w:rPr>
                <w:color w:val="080C0F" w:themeColor="text1"/>
              </w:rPr>
            </w:pPr>
          </w:p>
        </w:tc>
      </w:tr>
      <w:tr w:rsidR="00730DE4" w:rsidRPr="00730DE4" w14:paraId="0AF42DA4" w14:textId="77777777" w:rsidTr="00F1695D">
        <w:tc>
          <w:tcPr>
            <w:tcW w:w="2879"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hideMark/>
          </w:tcPr>
          <w:p w14:paraId="4791A16A" w14:textId="77777777" w:rsidR="00730DE4" w:rsidRPr="00730DE4" w:rsidRDefault="00730DE4" w:rsidP="00144838">
            <w:pPr>
              <w:pStyle w:val="NoSpacing"/>
              <w:rPr>
                <w:color w:val="080C0F" w:themeColor="text1"/>
              </w:rPr>
            </w:pPr>
            <w:r w:rsidRPr="00730DE4">
              <w:rPr>
                <w:color w:val="080C0F" w:themeColor="text1"/>
              </w:rPr>
              <w:t xml:space="preserve">Amortisation of unearned revenue * </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hideMark/>
          </w:tcPr>
          <w:p w14:paraId="38EA2BC9" w14:textId="77777777" w:rsidR="00730DE4" w:rsidRPr="00730DE4" w:rsidRDefault="00730DE4" w:rsidP="00144838">
            <w:pPr>
              <w:pStyle w:val="NoSpacing"/>
              <w:jc w:val="right"/>
              <w:rPr>
                <w:color w:val="080C0F" w:themeColor="text1"/>
              </w:rPr>
            </w:pP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0A9E946A" w14:textId="77777777" w:rsidR="00730DE4" w:rsidRPr="00730DE4" w:rsidRDefault="00730DE4" w:rsidP="00144838">
            <w:pPr>
              <w:pStyle w:val="NoSpacing"/>
              <w:jc w:val="right"/>
              <w:rPr>
                <w:color w:val="080C0F" w:themeColor="text1"/>
              </w:rPr>
            </w:pPr>
            <w:r w:rsidRPr="00730DE4">
              <w:rPr>
                <w:color w:val="080C0F" w:themeColor="text1"/>
              </w:rPr>
              <w:t xml:space="preserve">474 </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hideMark/>
          </w:tcPr>
          <w:p w14:paraId="00B06A8C" w14:textId="77777777" w:rsidR="00730DE4" w:rsidRPr="00730DE4" w:rsidRDefault="00730DE4" w:rsidP="00144838">
            <w:pPr>
              <w:pStyle w:val="NoSpacing"/>
              <w:jc w:val="right"/>
              <w:rPr>
                <w:color w:val="080C0F" w:themeColor="text1"/>
              </w:rPr>
            </w:pPr>
            <w:r w:rsidRPr="00730DE4">
              <w:rPr>
                <w:color w:val="080C0F" w:themeColor="text1"/>
              </w:rPr>
              <w:t xml:space="preserve">474 </w:t>
            </w:r>
          </w:p>
        </w:tc>
      </w:tr>
      <w:tr w:rsidR="00730DE4" w:rsidRPr="00730DE4" w14:paraId="4863C00F" w14:textId="77777777" w:rsidTr="000A2C0E">
        <w:trPr>
          <w:trHeight w:val="454"/>
        </w:trPr>
        <w:tc>
          <w:tcPr>
            <w:tcW w:w="2879"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5487A992" w14:textId="77777777" w:rsidR="00730DE4" w:rsidRPr="00730DE4" w:rsidRDefault="00730DE4" w:rsidP="004A5032">
            <w:pPr>
              <w:pStyle w:val="NoSpacing"/>
              <w:rPr>
                <w:color w:val="080C0F" w:themeColor="text1"/>
              </w:rPr>
            </w:pPr>
            <w:r w:rsidRPr="00730DE4">
              <w:rPr>
                <w:rStyle w:val="Strong"/>
              </w:rPr>
              <w:t>Expenses</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38125D5" w14:textId="77777777" w:rsidR="00730DE4" w:rsidRPr="00730DE4" w:rsidRDefault="00730DE4" w:rsidP="004A5032">
            <w:pPr>
              <w:pStyle w:val="NoSpacing"/>
              <w:jc w:val="right"/>
              <w:rPr>
                <w:rStyle w:val="Strong"/>
              </w:rPr>
            </w:pP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C95522B" w14:textId="77777777" w:rsidR="00730DE4" w:rsidRPr="00730DE4" w:rsidRDefault="00730DE4" w:rsidP="004A5032">
            <w:pPr>
              <w:pStyle w:val="NoSpacing"/>
              <w:jc w:val="right"/>
              <w:rPr>
                <w:color w:val="080C0F" w:themeColor="text1"/>
              </w:rPr>
            </w:pPr>
            <w:r w:rsidRPr="00730DE4">
              <w:rPr>
                <w:color w:val="080C0F" w:themeColor="text1"/>
              </w:rPr>
              <w:t> </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477E03C7" w14:textId="77777777" w:rsidR="00730DE4" w:rsidRPr="00730DE4" w:rsidRDefault="00730DE4" w:rsidP="004A5032">
            <w:pPr>
              <w:pStyle w:val="NoSpacing"/>
              <w:jc w:val="right"/>
              <w:rPr>
                <w:color w:val="080C0F" w:themeColor="text1"/>
              </w:rPr>
            </w:pPr>
          </w:p>
        </w:tc>
      </w:tr>
      <w:tr w:rsidR="00730DE4" w:rsidRPr="00730DE4" w14:paraId="4FBFDC51" w14:textId="77777777" w:rsidTr="00F1695D">
        <w:trPr>
          <w:trHeight w:val="23"/>
        </w:trPr>
        <w:tc>
          <w:tcPr>
            <w:tcW w:w="2879"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35CBE654" w14:textId="77777777" w:rsidR="00730DE4" w:rsidRPr="00730DE4" w:rsidRDefault="00730DE4" w:rsidP="004A5032">
            <w:pPr>
              <w:pStyle w:val="NoSpacing"/>
              <w:rPr>
                <w:color w:val="080C0F" w:themeColor="text1"/>
              </w:rPr>
            </w:pPr>
            <w:r w:rsidRPr="00730DE4">
              <w:rPr>
                <w:color w:val="080C0F" w:themeColor="text1"/>
              </w:rPr>
              <w:t>Depreciation</w:t>
            </w:r>
          </w:p>
        </w:tc>
        <w:tc>
          <w:tcPr>
            <w:tcW w:w="707"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6A4FE70D" w14:textId="77777777" w:rsidR="00730DE4" w:rsidRPr="00730DE4" w:rsidRDefault="00730DE4" w:rsidP="004A5032">
            <w:pPr>
              <w:pStyle w:val="NoSpacing"/>
              <w:jc w:val="right"/>
              <w:rPr>
                <w:color w:val="080C0F" w:themeColor="text1"/>
              </w:rPr>
            </w:pPr>
            <w:r w:rsidRPr="00730DE4">
              <w:rPr>
                <w:color w:val="080C0F" w:themeColor="text1"/>
              </w:rPr>
              <w:t>10</w:t>
            </w:r>
          </w:p>
        </w:tc>
        <w:tc>
          <w:tcPr>
            <w:tcW w:w="707"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165FC2F4" w14:textId="77777777" w:rsidR="00730DE4" w:rsidRPr="00730DE4" w:rsidRDefault="00730DE4" w:rsidP="004A5032">
            <w:pPr>
              <w:pStyle w:val="NoSpacing"/>
              <w:jc w:val="right"/>
              <w:rPr>
                <w:color w:val="080C0F" w:themeColor="text1"/>
              </w:rPr>
            </w:pPr>
            <w:r w:rsidRPr="00730DE4">
              <w:rPr>
                <w:color w:val="080C0F" w:themeColor="text1"/>
              </w:rPr>
              <w:t xml:space="preserve">628 </w:t>
            </w:r>
          </w:p>
        </w:tc>
        <w:tc>
          <w:tcPr>
            <w:tcW w:w="707"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72C6CD53" w14:textId="77777777" w:rsidR="00730DE4" w:rsidRPr="00730DE4" w:rsidRDefault="00730DE4" w:rsidP="004A5032">
            <w:pPr>
              <w:pStyle w:val="NoSpacing"/>
              <w:jc w:val="right"/>
              <w:rPr>
                <w:color w:val="080C0F" w:themeColor="text1"/>
              </w:rPr>
            </w:pPr>
            <w:r w:rsidRPr="00730DE4">
              <w:rPr>
                <w:color w:val="080C0F" w:themeColor="text1"/>
              </w:rPr>
              <w:t xml:space="preserve">523 </w:t>
            </w:r>
          </w:p>
        </w:tc>
      </w:tr>
      <w:tr w:rsidR="00730DE4" w:rsidRPr="00730DE4" w14:paraId="295F2FE7" w14:textId="77777777" w:rsidTr="00F1695D">
        <w:tc>
          <w:tcPr>
            <w:tcW w:w="2879"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0E73F050" w14:textId="77777777" w:rsidR="00730DE4" w:rsidRPr="00730DE4" w:rsidRDefault="00730DE4" w:rsidP="000A3AFE">
            <w:pPr>
              <w:pStyle w:val="NoSpacing"/>
              <w:rPr>
                <w:rStyle w:val="Strong"/>
              </w:rPr>
            </w:pPr>
            <w:r w:rsidRPr="00730DE4">
              <w:rPr>
                <w:rStyle w:val="Strong"/>
              </w:rPr>
              <w:t>Net impact on operating result</w:t>
            </w:r>
          </w:p>
        </w:tc>
        <w:tc>
          <w:tcPr>
            <w:tcW w:w="707"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10D6DB39" w14:textId="77777777" w:rsidR="00730DE4" w:rsidRPr="00730DE4" w:rsidRDefault="00730DE4" w:rsidP="000A3AFE">
            <w:pPr>
              <w:pStyle w:val="NoSpacing"/>
              <w:jc w:val="right"/>
              <w:rPr>
                <w:color w:val="080C0F" w:themeColor="text1"/>
              </w:rPr>
            </w:pPr>
            <w:r w:rsidRPr="00730DE4">
              <w:rPr>
                <w:color w:val="080C0F" w:themeColor="text1"/>
              </w:rPr>
              <w:t> </w:t>
            </w:r>
          </w:p>
        </w:tc>
        <w:tc>
          <w:tcPr>
            <w:tcW w:w="707"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1DA4C8FD" w14:textId="77777777" w:rsidR="00730DE4" w:rsidRPr="00730DE4" w:rsidRDefault="00730DE4" w:rsidP="000A3AFE">
            <w:pPr>
              <w:pStyle w:val="NoSpacing"/>
              <w:jc w:val="right"/>
              <w:rPr>
                <w:rStyle w:val="Strong"/>
              </w:rPr>
            </w:pPr>
            <w:r w:rsidRPr="00730DE4">
              <w:rPr>
                <w:rStyle w:val="Strong"/>
              </w:rPr>
              <w:t>(154)</w:t>
            </w:r>
          </w:p>
        </w:tc>
        <w:tc>
          <w:tcPr>
            <w:tcW w:w="707" w:type="pct"/>
            <w:tcBorders>
              <w:top w:val="single" w:sz="4" w:space="0" w:color="auto"/>
              <w:left w:val="dotted" w:sz="4" w:space="0" w:color="BFBFBF" w:themeColor="background1" w:themeShade="BF"/>
              <w:bottom w:val="double" w:sz="4" w:space="0" w:color="auto"/>
              <w:right w:val="nil"/>
            </w:tcBorders>
            <w:shd w:val="clear" w:color="auto" w:fill="auto"/>
            <w:noWrap/>
            <w:hideMark/>
          </w:tcPr>
          <w:p w14:paraId="55BF5CFD" w14:textId="77777777" w:rsidR="00730DE4" w:rsidRPr="00730DE4" w:rsidRDefault="00730DE4" w:rsidP="000A3AFE">
            <w:pPr>
              <w:pStyle w:val="NoSpacing"/>
              <w:jc w:val="right"/>
              <w:rPr>
                <w:rStyle w:val="Strong"/>
              </w:rPr>
            </w:pPr>
            <w:r w:rsidRPr="00730DE4">
              <w:rPr>
                <w:rStyle w:val="Strong"/>
              </w:rPr>
              <w:t>(49)</w:t>
            </w:r>
          </w:p>
        </w:tc>
      </w:tr>
    </w:tbl>
    <w:p w14:paraId="43BD6A2A" w14:textId="77777777" w:rsidR="00730DE4" w:rsidRPr="00730DE4" w:rsidRDefault="00730DE4" w:rsidP="000A2C0E">
      <w:pPr>
        <w:pStyle w:val="List0"/>
        <w:rPr>
          <w:rStyle w:val="Strong"/>
        </w:rPr>
      </w:pPr>
      <w:r w:rsidRPr="00730DE4">
        <w:t>* Revenue relating to service concession arrangements represents the progressive unwinding of unearned revenue which is amortised over the 99 year concession period with 85 years remaining at 30 June 2024.</w:t>
      </w:r>
    </w:p>
    <w:p w14:paraId="642FCAC1" w14:textId="77777777" w:rsidR="00730DE4" w:rsidRPr="00730DE4" w:rsidRDefault="00730DE4" w:rsidP="004A5032">
      <w:pPr>
        <w:pStyle w:val="Heading6"/>
      </w:pPr>
      <w:r w:rsidRPr="00730DE4">
        <w:t>Brisbane Airport Rail Link (Airtrain)</w:t>
      </w:r>
    </w:p>
    <w:p w14:paraId="18823930" w14:textId="77777777" w:rsidR="00730DE4" w:rsidRPr="00730DE4" w:rsidRDefault="00730DE4" w:rsidP="003C13D4">
      <w:pPr>
        <w:rPr>
          <w:color w:val="080C0F" w:themeColor="text1"/>
        </w:rPr>
      </w:pPr>
      <w:r w:rsidRPr="00730DE4">
        <w:rPr>
          <w:color w:val="080C0F" w:themeColor="text1"/>
        </w:rPr>
        <w:t>In 1998, the state entered into a 35 year concession arrangement with Airtrain Citylink Limited to design, construct, maintain and operate the Brisbane Airport Rail Link (BARL), a public passenger rail system connecting the Queensland Rail City network to the Brisbane Domestic and International Airports. The BARL is currently in the maintain and operate phase of the agreement after the commencement of operations on 7 May 2001.</w:t>
      </w:r>
    </w:p>
    <w:p w14:paraId="56D8AF91" w14:textId="77777777" w:rsidR="00730DE4" w:rsidRPr="00730DE4" w:rsidRDefault="00730DE4" w:rsidP="003C13D4">
      <w:pPr>
        <w:rPr>
          <w:color w:val="080C0F" w:themeColor="text1"/>
        </w:rPr>
      </w:pPr>
      <w:r w:rsidRPr="00730DE4">
        <w:rPr>
          <w:color w:val="080C0F" w:themeColor="text1"/>
        </w:rPr>
        <w:t>In return for collecting passenger fares, Airtrain Citylink Limited must maintain, operate and manage the rail link for the period of the concession and also assume the demand and patronage risk for the concession period.</w:t>
      </w:r>
      <w:r w:rsidRPr="00730DE4">
        <w:rPr>
          <w:color w:val="080C0F" w:themeColor="text1"/>
        </w:rPr>
        <w:tab/>
      </w:r>
    </w:p>
    <w:p w14:paraId="51D4324E" w14:textId="77777777" w:rsidR="00730DE4" w:rsidRPr="00730DE4" w:rsidRDefault="00730DE4" w:rsidP="003C13D4">
      <w:pPr>
        <w:rPr>
          <w:color w:val="080C0F" w:themeColor="text1"/>
        </w:rPr>
      </w:pPr>
      <w:r w:rsidRPr="00730DE4">
        <w:rPr>
          <w:color w:val="080C0F" w:themeColor="text1"/>
        </w:rPr>
        <w:t>At the expiry of the concession period, the BARL assets revert to the state at no cost.</w:t>
      </w:r>
    </w:p>
    <w:p w14:paraId="549AB200" w14:textId="77777777" w:rsidR="00730DE4" w:rsidRPr="00730DE4" w:rsidRDefault="00730DE4" w:rsidP="00792E55">
      <w:pPr>
        <w:pStyle w:val="NoSpacing"/>
      </w:pPr>
    </w:p>
    <w:tbl>
      <w:tblPr>
        <w:tblW w:w="5000" w:type="pct"/>
        <w:tblCellMar>
          <w:top w:w="23" w:type="dxa"/>
          <w:left w:w="23" w:type="dxa"/>
          <w:bottom w:w="23" w:type="dxa"/>
          <w:right w:w="23" w:type="dxa"/>
        </w:tblCellMar>
        <w:tblLook w:val="04A0" w:firstRow="1" w:lastRow="0" w:firstColumn="1" w:lastColumn="0" w:noHBand="0" w:noVBand="1"/>
      </w:tblPr>
      <w:tblGrid>
        <w:gridCol w:w="5224"/>
        <w:gridCol w:w="1282"/>
        <w:gridCol w:w="1282"/>
        <w:gridCol w:w="1282"/>
      </w:tblGrid>
      <w:tr w:rsidR="00730DE4" w:rsidRPr="00730DE4" w14:paraId="7CE63A60" w14:textId="77777777" w:rsidTr="000A2C0E">
        <w:trPr>
          <w:trHeight w:val="270"/>
        </w:trPr>
        <w:tc>
          <w:tcPr>
            <w:tcW w:w="2879" w:type="pct"/>
            <w:tcBorders>
              <w:top w:val="nil"/>
              <w:left w:val="nil"/>
              <w:bottom w:val="single" w:sz="4" w:space="0" w:color="080C0F" w:themeColor="text1"/>
              <w:right w:val="nil"/>
            </w:tcBorders>
            <w:shd w:val="clear" w:color="auto" w:fill="auto"/>
            <w:noWrap/>
            <w:vAlign w:val="bottom"/>
            <w:hideMark/>
          </w:tcPr>
          <w:p w14:paraId="4DAB97C5" w14:textId="77777777" w:rsidR="00730DE4" w:rsidRPr="00730DE4" w:rsidRDefault="00730DE4" w:rsidP="00C3362D">
            <w:pPr>
              <w:pStyle w:val="NoSpacing"/>
              <w:rPr>
                <w:color w:val="080C0F" w:themeColor="text1"/>
              </w:rPr>
            </w:pPr>
          </w:p>
        </w:tc>
        <w:tc>
          <w:tcPr>
            <w:tcW w:w="707" w:type="pct"/>
            <w:tcBorders>
              <w:top w:val="nil"/>
              <w:left w:val="nil"/>
              <w:bottom w:val="single" w:sz="4" w:space="0" w:color="080C0F" w:themeColor="text1"/>
              <w:right w:val="nil"/>
            </w:tcBorders>
            <w:shd w:val="clear" w:color="auto" w:fill="auto"/>
            <w:noWrap/>
            <w:vAlign w:val="bottom"/>
            <w:hideMark/>
          </w:tcPr>
          <w:p w14:paraId="4AEA3E60" w14:textId="77777777" w:rsidR="00730DE4" w:rsidRPr="00730DE4" w:rsidRDefault="00730DE4" w:rsidP="00C3362D">
            <w:pPr>
              <w:pStyle w:val="NoSpacing"/>
              <w:jc w:val="right"/>
              <w:rPr>
                <w:rStyle w:val="Strong"/>
              </w:rPr>
            </w:pPr>
            <w:r w:rsidRPr="00730DE4">
              <w:rPr>
                <w:rStyle w:val="Strong"/>
              </w:rPr>
              <w:t>Note</w:t>
            </w:r>
          </w:p>
        </w:tc>
        <w:tc>
          <w:tcPr>
            <w:tcW w:w="707" w:type="pct"/>
            <w:tcBorders>
              <w:top w:val="nil"/>
              <w:left w:val="nil"/>
              <w:bottom w:val="single" w:sz="4" w:space="0" w:color="080C0F" w:themeColor="text1"/>
              <w:right w:val="nil"/>
            </w:tcBorders>
            <w:shd w:val="clear" w:color="auto" w:fill="auto"/>
            <w:noWrap/>
            <w:vAlign w:val="bottom"/>
            <w:hideMark/>
          </w:tcPr>
          <w:p w14:paraId="1767D29A" w14:textId="77777777" w:rsidR="00730DE4" w:rsidRPr="00730DE4" w:rsidRDefault="00730DE4" w:rsidP="00C3362D">
            <w:pPr>
              <w:pStyle w:val="NoSpacing"/>
              <w:jc w:val="right"/>
              <w:rPr>
                <w:color w:val="080C0F" w:themeColor="text1"/>
              </w:rPr>
            </w:pPr>
            <w:r w:rsidRPr="00730DE4">
              <w:rPr>
                <w:rStyle w:val="Strong"/>
              </w:rPr>
              <w:t xml:space="preserve">2024 </w:t>
            </w:r>
            <w:r w:rsidRPr="00730DE4">
              <w:rPr>
                <w:rStyle w:val="Strong"/>
              </w:rPr>
              <w:br/>
              <w:t>$'000</w:t>
            </w:r>
          </w:p>
        </w:tc>
        <w:tc>
          <w:tcPr>
            <w:tcW w:w="707" w:type="pct"/>
            <w:tcBorders>
              <w:top w:val="nil"/>
              <w:left w:val="nil"/>
              <w:bottom w:val="single" w:sz="4" w:space="0" w:color="080C0F" w:themeColor="text1"/>
              <w:right w:val="nil"/>
            </w:tcBorders>
            <w:shd w:val="clear" w:color="auto" w:fill="auto"/>
            <w:noWrap/>
            <w:vAlign w:val="bottom"/>
            <w:hideMark/>
          </w:tcPr>
          <w:p w14:paraId="05071CBD" w14:textId="77777777" w:rsidR="00730DE4" w:rsidRPr="00730DE4" w:rsidRDefault="00730DE4" w:rsidP="00C3362D">
            <w:pPr>
              <w:pStyle w:val="NoSpacing"/>
              <w:jc w:val="right"/>
              <w:rPr>
                <w:color w:val="080C0F" w:themeColor="text1"/>
              </w:rPr>
            </w:pPr>
            <w:r w:rsidRPr="00730DE4">
              <w:rPr>
                <w:rStyle w:val="Strong"/>
              </w:rPr>
              <w:t xml:space="preserve">2023 </w:t>
            </w:r>
            <w:r w:rsidRPr="00730DE4">
              <w:rPr>
                <w:rStyle w:val="Strong"/>
              </w:rPr>
              <w:br/>
              <w:t>$'000</w:t>
            </w:r>
          </w:p>
        </w:tc>
      </w:tr>
      <w:tr w:rsidR="00730DE4" w:rsidRPr="00730DE4" w14:paraId="1E04D331" w14:textId="77777777" w:rsidTr="000A2C0E">
        <w:trPr>
          <w:trHeight w:val="454"/>
        </w:trPr>
        <w:tc>
          <w:tcPr>
            <w:tcW w:w="2879" w:type="pct"/>
            <w:tcBorders>
              <w:top w:val="single" w:sz="4" w:space="0" w:color="080C0F" w:themeColor="text1"/>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75A6C2A" w14:textId="77777777" w:rsidR="00730DE4" w:rsidRPr="00730DE4" w:rsidRDefault="00730DE4" w:rsidP="00C3362D">
            <w:pPr>
              <w:pStyle w:val="NoSpacing"/>
              <w:rPr>
                <w:color w:val="080C0F" w:themeColor="text1"/>
              </w:rPr>
            </w:pPr>
            <w:r w:rsidRPr="00730DE4">
              <w:rPr>
                <w:rStyle w:val="Strong"/>
              </w:rPr>
              <w:t>Operating statement impact</w:t>
            </w:r>
          </w:p>
        </w:tc>
        <w:tc>
          <w:tcPr>
            <w:tcW w:w="707" w:type="pct"/>
            <w:tcBorders>
              <w:top w:val="single" w:sz="4" w:space="0" w:color="080C0F" w:themeColor="text1"/>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2F44154" w14:textId="77777777" w:rsidR="00730DE4" w:rsidRPr="00730DE4" w:rsidRDefault="00730DE4" w:rsidP="00C3362D">
            <w:pPr>
              <w:pStyle w:val="NoSpacing"/>
              <w:jc w:val="right"/>
              <w:rPr>
                <w:rStyle w:val="Strong"/>
              </w:rPr>
            </w:pPr>
          </w:p>
        </w:tc>
        <w:tc>
          <w:tcPr>
            <w:tcW w:w="707" w:type="pct"/>
            <w:tcBorders>
              <w:top w:val="single" w:sz="4" w:space="0" w:color="080C0F" w:themeColor="text1"/>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F7B0496" w14:textId="77777777" w:rsidR="00730DE4" w:rsidRPr="00730DE4" w:rsidRDefault="00730DE4" w:rsidP="00C3362D">
            <w:pPr>
              <w:pStyle w:val="NoSpacing"/>
              <w:jc w:val="right"/>
              <w:rPr>
                <w:color w:val="080C0F" w:themeColor="text1"/>
              </w:rPr>
            </w:pPr>
          </w:p>
        </w:tc>
        <w:tc>
          <w:tcPr>
            <w:tcW w:w="707" w:type="pct"/>
            <w:tcBorders>
              <w:top w:val="single" w:sz="4" w:space="0" w:color="080C0F" w:themeColor="text1"/>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D6BDCDD" w14:textId="77777777" w:rsidR="00730DE4" w:rsidRPr="00730DE4" w:rsidRDefault="00730DE4" w:rsidP="00C3362D">
            <w:pPr>
              <w:pStyle w:val="NoSpacing"/>
              <w:jc w:val="right"/>
              <w:rPr>
                <w:color w:val="080C0F" w:themeColor="text1"/>
              </w:rPr>
            </w:pPr>
          </w:p>
        </w:tc>
      </w:tr>
      <w:tr w:rsidR="00730DE4" w:rsidRPr="00730DE4" w14:paraId="02E95585" w14:textId="77777777" w:rsidTr="00864105">
        <w:tc>
          <w:tcPr>
            <w:tcW w:w="2879"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tcPr>
          <w:p w14:paraId="3A26CE86" w14:textId="77777777" w:rsidR="00730DE4" w:rsidRPr="00730DE4" w:rsidRDefault="00730DE4" w:rsidP="00C3362D">
            <w:pPr>
              <w:pStyle w:val="NoSpacing"/>
              <w:rPr>
                <w:rStyle w:val="Strong"/>
              </w:rPr>
            </w:pPr>
            <w:r w:rsidRPr="00730DE4">
              <w:rPr>
                <w:rStyle w:val="Strong"/>
              </w:rPr>
              <w:t>Revenue</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7DCDCEB5" w14:textId="77777777" w:rsidR="00730DE4" w:rsidRPr="00730DE4" w:rsidRDefault="00730DE4" w:rsidP="00C3362D">
            <w:pPr>
              <w:pStyle w:val="NoSpacing"/>
              <w:jc w:val="right"/>
              <w:rPr>
                <w:rStyle w:val="Strong"/>
              </w:rPr>
            </w:pP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5B7FE266" w14:textId="77777777" w:rsidR="00730DE4" w:rsidRPr="00730DE4" w:rsidRDefault="00730DE4" w:rsidP="00C3362D">
            <w:pPr>
              <w:pStyle w:val="NoSpacing"/>
              <w:jc w:val="right"/>
              <w:rPr>
                <w:color w:val="080C0F" w:themeColor="text1"/>
              </w:rPr>
            </w:pP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tcPr>
          <w:p w14:paraId="541D4B94" w14:textId="77777777" w:rsidR="00730DE4" w:rsidRPr="00730DE4" w:rsidRDefault="00730DE4" w:rsidP="00C3362D">
            <w:pPr>
              <w:pStyle w:val="NoSpacing"/>
              <w:jc w:val="right"/>
              <w:rPr>
                <w:color w:val="080C0F" w:themeColor="text1"/>
              </w:rPr>
            </w:pPr>
          </w:p>
        </w:tc>
      </w:tr>
      <w:tr w:rsidR="00730DE4" w:rsidRPr="00730DE4" w14:paraId="3D752551" w14:textId="77777777" w:rsidTr="00864105">
        <w:tc>
          <w:tcPr>
            <w:tcW w:w="2879"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hideMark/>
          </w:tcPr>
          <w:p w14:paraId="4C82803F" w14:textId="77777777" w:rsidR="00730DE4" w:rsidRPr="00730DE4" w:rsidRDefault="00730DE4" w:rsidP="00144838">
            <w:pPr>
              <w:pStyle w:val="NoSpacing"/>
              <w:rPr>
                <w:color w:val="080C0F" w:themeColor="text1"/>
              </w:rPr>
            </w:pPr>
            <w:r w:rsidRPr="00730DE4">
              <w:rPr>
                <w:color w:val="080C0F" w:themeColor="text1"/>
              </w:rPr>
              <w:t xml:space="preserve">Amortisation of unearned revenue * </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hideMark/>
          </w:tcPr>
          <w:p w14:paraId="457EBBD1" w14:textId="77777777" w:rsidR="00730DE4" w:rsidRPr="00730DE4" w:rsidRDefault="00730DE4" w:rsidP="00144838">
            <w:pPr>
              <w:pStyle w:val="NoSpacing"/>
              <w:jc w:val="right"/>
              <w:rPr>
                <w:color w:val="080C0F" w:themeColor="text1"/>
              </w:rPr>
            </w:pP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29F823FC" w14:textId="77777777" w:rsidR="00730DE4" w:rsidRPr="00730DE4" w:rsidRDefault="00730DE4" w:rsidP="00144838">
            <w:pPr>
              <w:pStyle w:val="NoSpacing"/>
              <w:jc w:val="right"/>
              <w:rPr>
                <w:color w:val="080C0F" w:themeColor="text1"/>
              </w:rPr>
            </w:pPr>
            <w:r w:rsidRPr="00730DE4">
              <w:rPr>
                <w:color w:val="080C0F" w:themeColor="text1"/>
              </w:rPr>
              <w:t xml:space="preserve">9,160 </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hideMark/>
          </w:tcPr>
          <w:p w14:paraId="2F8932F8" w14:textId="77777777" w:rsidR="00730DE4" w:rsidRPr="00730DE4" w:rsidRDefault="00730DE4" w:rsidP="00144838">
            <w:pPr>
              <w:pStyle w:val="NoSpacing"/>
              <w:jc w:val="right"/>
              <w:rPr>
                <w:color w:val="080C0F" w:themeColor="text1"/>
              </w:rPr>
            </w:pPr>
            <w:r w:rsidRPr="00730DE4">
              <w:rPr>
                <w:color w:val="080C0F" w:themeColor="text1"/>
              </w:rPr>
              <w:t xml:space="preserve">9,160 </w:t>
            </w:r>
          </w:p>
        </w:tc>
      </w:tr>
      <w:tr w:rsidR="00730DE4" w:rsidRPr="00730DE4" w14:paraId="3214FC87" w14:textId="77777777" w:rsidTr="000A2C0E">
        <w:trPr>
          <w:trHeight w:val="454"/>
        </w:trPr>
        <w:tc>
          <w:tcPr>
            <w:tcW w:w="2879"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52256A5E" w14:textId="77777777" w:rsidR="00730DE4" w:rsidRPr="00730DE4" w:rsidRDefault="00730DE4" w:rsidP="00C3362D">
            <w:pPr>
              <w:pStyle w:val="NoSpacing"/>
              <w:rPr>
                <w:color w:val="080C0F" w:themeColor="text1"/>
              </w:rPr>
            </w:pPr>
            <w:r w:rsidRPr="00730DE4">
              <w:rPr>
                <w:rStyle w:val="Strong"/>
              </w:rPr>
              <w:t>Expenses</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06E7F1B" w14:textId="77777777" w:rsidR="00730DE4" w:rsidRPr="00730DE4" w:rsidRDefault="00730DE4" w:rsidP="00C3362D">
            <w:pPr>
              <w:pStyle w:val="NoSpacing"/>
              <w:jc w:val="right"/>
              <w:rPr>
                <w:rStyle w:val="Strong"/>
              </w:rPr>
            </w:pP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A0ED1F4" w14:textId="77777777" w:rsidR="00730DE4" w:rsidRPr="00730DE4" w:rsidRDefault="00730DE4" w:rsidP="00C3362D">
            <w:pPr>
              <w:pStyle w:val="NoSpacing"/>
              <w:jc w:val="right"/>
              <w:rPr>
                <w:color w:val="080C0F" w:themeColor="text1"/>
              </w:rPr>
            </w:pPr>
            <w:r w:rsidRPr="00730DE4">
              <w:rPr>
                <w:color w:val="080C0F" w:themeColor="text1"/>
              </w:rPr>
              <w:t> </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5993863" w14:textId="77777777" w:rsidR="00730DE4" w:rsidRPr="00730DE4" w:rsidRDefault="00730DE4" w:rsidP="00C3362D">
            <w:pPr>
              <w:pStyle w:val="NoSpacing"/>
              <w:jc w:val="right"/>
              <w:rPr>
                <w:color w:val="080C0F" w:themeColor="text1"/>
              </w:rPr>
            </w:pPr>
          </w:p>
        </w:tc>
      </w:tr>
      <w:tr w:rsidR="00730DE4" w:rsidRPr="00730DE4" w14:paraId="6F98563D" w14:textId="77777777" w:rsidTr="00864105">
        <w:trPr>
          <w:trHeight w:val="23"/>
        </w:trPr>
        <w:tc>
          <w:tcPr>
            <w:tcW w:w="2879"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6A289EF8" w14:textId="77777777" w:rsidR="00730DE4" w:rsidRPr="00730DE4" w:rsidRDefault="00730DE4" w:rsidP="00C3362D">
            <w:pPr>
              <w:pStyle w:val="NoSpacing"/>
              <w:rPr>
                <w:color w:val="080C0F" w:themeColor="text1"/>
              </w:rPr>
            </w:pPr>
            <w:r w:rsidRPr="00730DE4">
              <w:rPr>
                <w:color w:val="080C0F" w:themeColor="text1"/>
              </w:rPr>
              <w:t>Depreciation</w:t>
            </w:r>
          </w:p>
        </w:tc>
        <w:tc>
          <w:tcPr>
            <w:tcW w:w="707"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33678313" w14:textId="77777777" w:rsidR="00730DE4" w:rsidRPr="00730DE4" w:rsidRDefault="00730DE4" w:rsidP="00C3362D">
            <w:pPr>
              <w:pStyle w:val="NoSpacing"/>
              <w:jc w:val="right"/>
              <w:rPr>
                <w:color w:val="080C0F" w:themeColor="text1"/>
              </w:rPr>
            </w:pPr>
            <w:r w:rsidRPr="00730DE4">
              <w:rPr>
                <w:color w:val="080C0F" w:themeColor="text1"/>
              </w:rPr>
              <w:t>10</w:t>
            </w:r>
          </w:p>
        </w:tc>
        <w:tc>
          <w:tcPr>
            <w:tcW w:w="707"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251C2C26" w14:textId="77777777" w:rsidR="00730DE4" w:rsidRPr="00730DE4" w:rsidRDefault="00730DE4" w:rsidP="00C3362D">
            <w:pPr>
              <w:pStyle w:val="NoSpacing"/>
              <w:jc w:val="right"/>
              <w:rPr>
                <w:color w:val="080C0F" w:themeColor="text1"/>
              </w:rPr>
            </w:pPr>
            <w:r w:rsidRPr="00730DE4">
              <w:rPr>
                <w:color w:val="080C0F" w:themeColor="text1"/>
              </w:rPr>
              <w:t xml:space="preserve">6,863 </w:t>
            </w:r>
          </w:p>
        </w:tc>
        <w:tc>
          <w:tcPr>
            <w:tcW w:w="707"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44D662C7" w14:textId="77777777" w:rsidR="00730DE4" w:rsidRPr="00730DE4" w:rsidRDefault="00730DE4" w:rsidP="00C3362D">
            <w:pPr>
              <w:pStyle w:val="NoSpacing"/>
              <w:jc w:val="right"/>
              <w:rPr>
                <w:color w:val="080C0F" w:themeColor="text1"/>
              </w:rPr>
            </w:pPr>
            <w:r w:rsidRPr="00730DE4">
              <w:rPr>
                <w:color w:val="080C0F" w:themeColor="text1"/>
              </w:rPr>
              <w:t xml:space="preserve">6,229 </w:t>
            </w:r>
          </w:p>
        </w:tc>
      </w:tr>
      <w:tr w:rsidR="00730DE4" w:rsidRPr="00730DE4" w14:paraId="1F205B92" w14:textId="77777777" w:rsidTr="00864105">
        <w:tc>
          <w:tcPr>
            <w:tcW w:w="2879"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42315C38" w14:textId="77777777" w:rsidR="00730DE4" w:rsidRPr="00730DE4" w:rsidRDefault="00730DE4" w:rsidP="000A3AFE">
            <w:pPr>
              <w:pStyle w:val="NoSpacing"/>
              <w:rPr>
                <w:rStyle w:val="Strong"/>
              </w:rPr>
            </w:pPr>
            <w:r w:rsidRPr="00730DE4">
              <w:rPr>
                <w:rStyle w:val="Strong"/>
              </w:rPr>
              <w:t>Net impact on operating result</w:t>
            </w:r>
          </w:p>
        </w:tc>
        <w:tc>
          <w:tcPr>
            <w:tcW w:w="707"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7AABA622" w14:textId="77777777" w:rsidR="00730DE4" w:rsidRPr="00730DE4" w:rsidRDefault="00730DE4" w:rsidP="000A3AFE">
            <w:pPr>
              <w:pStyle w:val="NoSpacing"/>
              <w:jc w:val="right"/>
              <w:rPr>
                <w:color w:val="080C0F" w:themeColor="text1"/>
              </w:rPr>
            </w:pPr>
            <w:r w:rsidRPr="00730DE4">
              <w:rPr>
                <w:color w:val="080C0F" w:themeColor="text1"/>
              </w:rPr>
              <w:t> </w:t>
            </w:r>
          </w:p>
        </w:tc>
        <w:tc>
          <w:tcPr>
            <w:tcW w:w="707"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261165BB" w14:textId="77777777" w:rsidR="00730DE4" w:rsidRPr="00730DE4" w:rsidRDefault="00730DE4" w:rsidP="000A3AFE">
            <w:pPr>
              <w:pStyle w:val="NoSpacing"/>
              <w:jc w:val="right"/>
              <w:rPr>
                <w:rStyle w:val="Strong"/>
              </w:rPr>
            </w:pPr>
            <w:r w:rsidRPr="00730DE4">
              <w:rPr>
                <w:rStyle w:val="Strong"/>
              </w:rPr>
              <w:t xml:space="preserve">2,297 </w:t>
            </w:r>
          </w:p>
        </w:tc>
        <w:tc>
          <w:tcPr>
            <w:tcW w:w="707" w:type="pct"/>
            <w:tcBorders>
              <w:top w:val="single" w:sz="4" w:space="0" w:color="auto"/>
              <w:left w:val="dotted" w:sz="4" w:space="0" w:color="BFBFBF" w:themeColor="background1" w:themeShade="BF"/>
              <w:bottom w:val="double" w:sz="4" w:space="0" w:color="auto"/>
              <w:right w:val="nil"/>
            </w:tcBorders>
            <w:shd w:val="clear" w:color="auto" w:fill="auto"/>
            <w:noWrap/>
            <w:hideMark/>
          </w:tcPr>
          <w:p w14:paraId="047888AF" w14:textId="77777777" w:rsidR="00730DE4" w:rsidRPr="00730DE4" w:rsidRDefault="00730DE4" w:rsidP="000A3AFE">
            <w:pPr>
              <w:pStyle w:val="NoSpacing"/>
              <w:jc w:val="right"/>
              <w:rPr>
                <w:rStyle w:val="Strong"/>
              </w:rPr>
            </w:pPr>
            <w:r w:rsidRPr="00730DE4">
              <w:rPr>
                <w:rStyle w:val="Strong"/>
              </w:rPr>
              <w:t xml:space="preserve">2,931 </w:t>
            </w:r>
          </w:p>
        </w:tc>
      </w:tr>
    </w:tbl>
    <w:p w14:paraId="3765BA25" w14:textId="77777777" w:rsidR="00730DE4" w:rsidRPr="00730DE4" w:rsidRDefault="00730DE4" w:rsidP="000A2C0E">
      <w:pPr>
        <w:pStyle w:val="List0"/>
      </w:pPr>
      <w:r w:rsidRPr="00730DE4">
        <w:t>* Revenue relating to service concession arrangements represents the progressive unwinding of unearned revenue which is amortised over the 35 year concession period with 12 years remaining at 30 June 2024.</w:t>
      </w:r>
    </w:p>
    <w:p w14:paraId="54A2E991" w14:textId="77777777" w:rsidR="00730DE4" w:rsidRPr="00730DE4" w:rsidRDefault="00730DE4" w:rsidP="004A5032">
      <w:pPr>
        <w:pStyle w:val="Heading5"/>
      </w:pPr>
      <w:bookmarkStart w:id="1536" w:name="_Toc180487735"/>
      <w:bookmarkStart w:id="1537" w:name="_Toc180490940"/>
      <w:bookmarkStart w:id="1538" w:name="_Toc180491973"/>
      <w:r w:rsidRPr="00730DE4">
        <w:t>Public Private Partnerships outside of the scope of AASB 1059</w:t>
      </w:r>
      <w:bookmarkEnd w:id="1536"/>
      <w:bookmarkEnd w:id="1537"/>
      <w:bookmarkEnd w:id="1538"/>
    </w:p>
    <w:p w14:paraId="08E74E80" w14:textId="77777777" w:rsidR="00730DE4" w:rsidRPr="00730DE4" w:rsidRDefault="00730DE4" w:rsidP="004A5032">
      <w:pPr>
        <w:pStyle w:val="Heading6"/>
      </w:pPr>
      <w:r w:rsidRPr="00730DE4">
        <w:t>New Generation Rollingstock (NGR)</w:t>
      </w:r>
    </w:p>
    <w:p w14:paraId="2CBB2A6A" w14:textId="77777777" w:rsidR="00730DE4" w:rsidRPr="00730DE4" w:rsidRDefault="00730DE4" w:rsidP="003C13D4">
      <w:pPr>
        <w:rPr>
          <w:color w:val="080C0F" w:themeColor="text1"/>
        </w:rPr>
      </w:pPr>
      <w:r w:rsidRPr="00730DE4">
        <w:rPr>
          <w:color w:val="080C0F" w:themeColor="text1"/>
        </w:rPr>
        <w:t>In January 2014 the department entered into a contractual arrangement with NGR Project Company Pty Ltd (Bombardier NGR Consortium) for the design, construction and maintenance of 75 new six-car train sets for south-east Queensland and a new purpose-built maintenance centre at Wulkuraka in Ipswich, over 32 years at an implicit rate of 12.32%. The arrangement involves the department paying the consortium a series of availability payments over the concession period. The project was refinanced from July 2021 to a floating interest rate. The interest rates for 2023–24 ranged from 9.87% to 10.59%. Alstom acquired Bombardier Transportation in January 2021.</w:t>
      </w:r>
    </w:p>
    <w:p w14:paraId="2356FAE7" w14:textId="77777777" w:rsidR="00730DE4" w:rsidRPr="00730DE4" w:rsidRDefault="00730DE4" w:rsidP="003C13D4">
      <w:pPr>
        <w:rPr>
          <w:color w:val="080C0F" w:themeColor="text1"/>
        </w:rPr>
      </w:pPr>
      <w:r w:rsidRPr="00730DE4">
        <w:rPr>
          <w:color w:val="080C0F" w:themeColor="text1"/>
        </w:rPr>
        <w:t>In June 2016 the maintenance centre was accepted by the department and a lease asset and lease liability was recognised. All 75 train sets were accepted and recognised by December 2019.</w:t>
      </w:r>
    </w:p>
    <w:p w14:paraId="5AE433F4" w14:textId="77777777" w:rsidR="00730DE4" w:rsidRPr="00730DE4" w:rsidRDefault="00730DE4" w:rsidP="003C13D4">
      <w:pPr>
        <w:rPr>
          <w:color w:val="080C0F" w:themeColor="text1"/>
        </w:rPr>
      </w:pPr>
      <w:r w:rsidRPr="00730DE4">
        <w:rPr>
          <w:color w:val="080C0F" w:themeColor="text1"/>
        </w:rPr>
        <w:t xml:space="preserve">Upon the application of AASB 1059 </w:t>
      </w:r>
      <w:r w:rsidRPr="00730DE4">
        <w:rPr>
          <w:i/>
          <w:iCs/>
          <w:color w:val="080C0F" w:themeColor="text1"/>
        </w:rPr>
        <w:t>Service Concession Arrangements: Grantors</w:t>
      </w:r>
      <w:r w:rsidRPr="00730DE4">
        <w:rPr>
          <w:color w:val="080C0F" w:themeColor="text1"/>
        </w:rPr>
        <w:t>, the NGR public private partnership was assessed and determined to be out of scope of the accounting standard, as the provider of the assets does not operate or manage the passenger train services provided by the train sets. Accordingly, the department accounts for the arrangement as an outsourced service contract with the payment stream representing availability payments and borrowing repayments.</w:t>
      </w:r>
    </w:p>
    <w:p w14:paraId="7FA9EEC7" w14:textId="77777777" w:rsidR="00730DE4" w:rsidRPr="00730DE4" w:rsidRDefault="00730DE4" w:rsidP="00BF3C78">
      <w:r w:rsidRPr="00730DE4">
        <w:rPr>
          <w:color w:val="080C0F" w:themeColor="text1"/>
        </w:rPr>
        <w:t xml:space="preserve">The train sets are recognised as major plant and equipment assets, while the maintenance centre, associated rail infrastructure and technical equipment are classified as buildings, infrastructure, plant and equipment and work in progress respectively in </w:t>
      </w:r>
      <w:r w:rsidRPr="00730DE4">
        <w:t>Note 15.</w:t>
      </w:r>
    </w:p>
    <w:tbl>
      <w:tblPr>
        <w:tblW w:w="5000" w:type="pct"/>
        <w:tblCellMar>
          <w:top w:w="23" w:type="dxa"/>
          <w:left w:w="23" w:type="dxa"/>
          <w:bottom w:w="23" w:type="dxa"/>
          <w:right w:w="23" w:type="dxa"/>
        </w:tblCellMar>
        <w:tblLook w:val="04A0" w:firstRow="1" w:lastRow="0" w:firstColumn="1" w:lastColumn="0" w:noHBand="0" w:noVBand="1"/>
      </w:tblPr>
      <w:tblGrid>
        <w:gridCol w:w="5224"/>
        <w:gridCol w:w="1282"/>
        <w:gridCol w:w="1282"/>
        <w:gridCol w:w="1282"/>
      </w:tblGrid>
      <w:tr w:rsidR="00730DE4" w:rsidRPr="00730DE4" w14:paraId="0FD80FBA" w14:textId="77777777" w:rsidTr="000A2C0E">
        <w:trPr>
          <w:trHeight w:val="272"/>
        </w:trPr>
        <w:tc>
          <w:tcPr>
            <w:tcW w:w="2879" w:type="pct"/>
            <w:tcBorders>
              <w:top w:val="nil"/>
              <w:left w:val="nil"/>
              <w:bottom w:val="single" w:sz="4" w:space="0" w:color="080C0F" w:themeColor="text1"/>
              <w:right w:val="nil"/>
            </w:tcBorders>
            <w:shd w:val="clear" w:color="auto" w:fill="auto"/>
            <w:noWrap/>
            <w:vAlign w:val="bottom"/>
            <w:hideMark/>
          </w:tcPr>
          <w:p w14:paraId="353A5203" w14:textId="77777777" w:rsidR="00730DE4" w:rsidRPr="00730DE4" w:rsidRDefault="00730DE4" w:rsidP="004A5032">
            <w:pPr>
              <w:pStyle w:val="NoSpacing"/>
              <w:rPr>
                <w:color w:val="080C0F" w:themeColor="text1"/>
              </w:rPr>
            </w:pPr>
          </w:p>
        </w:tc>
        <w:tc>
          <w:tcPr>
            <w:tcW w:w="707" w:type="pct"/>
            <w:tcBorders>
              <w:top w:val="nil"/>
              <w:left w:val="nil"/>
              <w:bottom w:val="single" w:sz="4" w:space="0" w:color="080C0F" w:themeColor="text1"/>
              <w:right w:val="nil"/>
            </w:tcBorders>
            <w:shd w:val="clear" w:color="auto" w:fill="auto"/>
            <w:noWrap/>
            <w:vAlign w:val="bottom"/>
            <w:hideMark/>
          </w:tcPr>
          <w:p w14:paraId="19691189" w14:textId="77777777" w:rsidR="00730DE4" w:rsidRPr="00730DE4" w:rsidRDefault="00730DE4" w:rsidP="004A5032">
            <w:pPr>
              <w:pStyle w:val="NoSpacing"/>
              <w:jc w:val="right"/>
              <w:rPr>
                <w:rStyle w:val="Strong"/>
              </w:rPr>
            </w:pPr>
            <w:r w:rsidRPr="00730DE4">
              <w:rPr>
                <w:rStyle w:val="Strong"/>
              </w:rPr>
              <w:t>Note</w:t>
            </w:r>
          </w:p>
        </w:tc>
        <w:tc>
          <w:tcPr>
            <w:tcW w:w="707" w:type="pct"/>
            <w:tcBorders>
              <w:top w:val="nil"/>
              <w:left w:val="nil"/>
              <w:bottom w:val="single" w:sz="4" w:space="0" w:color="080C0F" w:themeColor="text1"/>
              <w:right w:val="nil"/>
            </w:tcBorders>
            <w:shd w:val="clear" w:color="auto" w:fill="auto"/>
            <w:noWrap/>
            <w:vAlign w:val="bottom"/>
            <w:hideMark/>
          </w:tcPr>
          <w:p w14:paraId="6ED28371" w14:textId="77777777" w:rsidR="00730DE4" w:rsidRPr="00730DE4" w:rsidRDefault="00730DE4" w:rsidP="004A5032">
            <w:pPr>
              <w:pStyle w:val="NoSpacing"/>
              <w:jc w:val="right"/>
              <w:rPr>
                <w:color w:val="080C0F" w:themeColor="text1"/>
              </w:rPr>
            </w:pPr>
            <w:r w:rsidRPr="00730DE4">
              <w:rPr>
                <w:rStyle w:val="Strong"/>
              </w:rPr>
              <w:t xml:space="preserve">2024 </w:t>
            </w:r>
            <w:r w:rsidRPr="00730DE4">
              <w:rPr>
                <w:rStyle w:val="Strong"/>
              </w:rPr>
              <w:br/>
              <w:t>$'000</w:t>
            </w:r>
          </w:p>
        </w:tc>
        <w:tc>
          <w:tcPr>
            <w:tcW w:w="707" w:type="pct"/>
            <w:tcBorders>
              <w:top w:val="nil"/>
              <w:left w:val="nil"/>
              <w:bottom w:val="single" w:sz="4" w:space="0" w:color="080C0F" w:themeColor="text1"/>
              <w:right w:val="nil"/>
            </w:tcBorders>
            <w:shd w:val="clear" w:color="auto" w:fill="auto"/>
            <w:noWrap/>
            <w:vAlign w:val="bottom"/>
            <w:hideMark/>
          </w:tcPr>
          <w:p w14:paraId="1D097B9E" w14:textId="77777777" w:rsidR="00730DE4" w:rsidRPr="00730DE4" w:rsidRDefault="00730DE4" w:rsidP="004A5032">
            <w:pPr>
              <w:pStyle w:val="NoSpacing"/>
              <w:jc w:val="right"/>
              <w:rPr>
                <w:color w:val="080C0F" w:themeColor="text1"/>
              </w:rPr>
            </w:pPr>
            <w:r w:rsidRPr="00730DE4">
              <w:rPr>
                <w:rStyle w:val="Strong"/>
              </w:rPr>
              <w:t xml:space="preserve">2023 </w:t>
            </w:r>
            <w:r w:rsidRPr="00730DE4">
              <w:rPr>
                <w:rStyle w:val="Strong"/>
              </w:rPr>
              <w:br/>
              <w:t>$'000</w:t>
            </w:r>
          </w:p>
        </w:tc>
      </w:tr>
      <w:tr w:rsidR="00730DE4" w:rsidRPr="00730DE4" w14:paraId="3BC50B76" w14:textId="77777777" w:rsidTr="000A2C0E">
        <w:trPr>
          <w:trHeight w:val="454"/>
        </w:trPr>
        <w:tc>
          <w:tcPr>
            <w:tcW w:w="2879" w:type="pct"/>
            <w:tcBorders>
              <w:top w:val="single" w:sz="4" w:space="0" w:color="080C0F" w:themeColor="text1"/>
              <w:left w:val="nil"/>
              <w:bottom w:val="dotted" w:sz="4" w:space="0" w:color="BFBFBF" w:themeColor="background1" w:themeShade="BF"/>
              <w:right w:val="dotted" w:sz="4" w:space="0" w:color="BFBFBF" w:themeColor="background1" w:themeShade="BF"/>
            </w:tcBorders>
            <w:shd w:val="clear" w:color="auto" w:fill="auto"/>
            <w:noWrap/>
            <w:vAlign w:val="bottom"/>
          </w:tcPr>
          <w:p w14:paraId="6EE0164E" w14:textId="77777777" w:rsidR="00730DE4" w:rsidRPr="00730DE4" w:rsidRDefault="00730DE4" w:rsidP="004A5032">
            <w:pPr>
              <w:pStyle w:val="NoSpacing"/>
              <w:rPr>
                <w:rStyle w:val="Strong"/>
              </w:rPr>
            </w:pPr>
            <w:r w:rsidRPr="00730DE4">
              <w:rPr>
                <w:rStyle w:val="Strong"/>
              </w:rPr>
              <w:t>Assets</w:t>
            </w:r>
          </w:p>
        </w:tc>
        <w:tc>
          <w:tcPr>
            <w:tcW w:w="707" w:type="pct"/>
            <w:tcBorders>
              <w:top w:val="single" w:sz="4" w:space="0" w:color="080C0F" w:themeColor="text1"/>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25C48FF8" w14:textId="77777777" w:rsidR="00730DE4" w:rsidRPr="00730DE4" w:rsidRDefault="00730DE4" w:rsidP="004A5032">
            <w:pPr>
              <w:pStyle w:val="NoSpacing"/>
              <w:jc w:val="right"/>
              <w:rPr>
                <w:rStyle w:val="Strong"/>
              </w:rPr>
            </w:pPr>
          </w:p>
        </w:tc>
        <w:tc>
          <w:tcPr>
            <w:tcW w:w="707" w:type="pct"/>
            <w:tcBorders>
              <w:top w:val="single" w:sz="4" w:space="0" w:color="080C0F" w:themeColor="text1"/>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00D3EAA6" w14:textId="77777777" w:rsidR="00730DE4" w:rsidRPr="00730DE4" w:rsidRDefault="00730DE4" w:rsidP="004A5032">
            <w:pPr>
              <w:pStyle w:val="NoSpacing"/>
              <w:jc w:val="right"/>
              <w:rPr>
                <w:rStyle w:val="Strong"/>
              </w:rPr>
            </w:pPr>
          </w:p>
        </w:tc>
        <w:tc>
          <w:tcPr>
            <w:tcW w:w="707" w:type="pct"/>
            <w:tcBorders>
              <w:top w:val="single" w:sz="4" w:space="0" w:color="080C0F" w:themeColor="text1"/>
              <w:left w:val="dotted" w:sz="4" w:space="0" w:color="BFBFBF" w:themeColor="background1" w:themeShade="BF"/>
              <w:bottom w:val="dotted" w:sz="4" w:space="0" w:color="BFBFBF" w:themeColor="background1" w:themeShade="BF"/>
              <w:right w:val="nil"/>
            </w:tcBorders>
            <w:shd w:val="clear" w:color="auto" w:fill="auto"/>
            <w:noWrap/>
            <w:vAlign w:val="bottom"/>
          </w:tcPr>
          <w:p w14:paraId="5CDD95B4" w14:textId="77777777" w:rsidR="00730DE4" w:rsidRPr="00730DE4" w:rsidRDefault="00730DE4" w:rsidP="004A5032">
            <w:pPr>
              <w:pStyle w:val="NoSpacing"/>
              <w:jc w:val="right"/>
              <w:rPr>
                <w:rStyle w:val="Strong"/>
              </w:rPr>
            </w:pPr>
          </w:p>
        </w:tc>
      </w:tr>
      <w:tr w:rsidR="00730DE4" w:rsidRPr="00730DE4" w14:paraId="731D2013" w14:textId="77777777" w:rsidTr="000A2C0E">
        <w:trPr>
          <w:trHeight w:val="23"/>
        </w:trPr>
        <w:tc>
          <w:tcPr>
            <w:tcW w:w="2879"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1155707B" w14:textId="77777777" w:rsidR="00730DE4" w:rsidRPr="00730DE4" w:rsidRDefault="00730DE4" w:rsidP="004A5032">
            <w:pPr>
              <w:pStyle w:val="NoSpacing"/>
              <w:rPr>
                <w:color w:val="080C0F" w:themeColor="text1"/>
              </w:rPr>
            </w:pPr>
            <w:r w:rsidRPr="00730DE4">
              <w:rPr>
                <w:color w:val="080C0F" w:themeColor="text1"/>
              </w:rPr>
              <w:t>Buildings</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5C8E485" w14:textId="77777777" w:rsidR="00730DE4" w:rsidRPr="00730DE4" w:rsidRDefault="00730DE4" w:rsidP="004A5032">
            <w:pPr>
              <w:pStyle w:val="NoSpacing"/>
              <w:jc w:val="right"/>
              <w:rPr>
                <w:color w:val="080C0F" w:themeColor="text1"/>
              </w:rPr>
            </w:pP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6F380E1" w14:textId="77777777" w:rsidR="00730DE4" w:rsidRPr="00730DE4" w:rsidRDefault="00730DE4" w:rsidP="004A5032">
            <w:pPr>
              <w:pStyle w:val="NoSpacing"/>
              <w:jc w:val="right"/>
              <w:rPr>
                <w:color w:val="080C0F" w:themeColor="text1"/>
              </w:rPr>
            </w:pPr>
            <w:r w:rsidRPr="00730DE4">
              <w:rPr>
                <w:color w:val="080C0F" w:themeColor="text1"/>
              </w:rPr>
              <w:t xml:space="preserve">199,550 </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6A42B47" w14:textId="77777777" w:rsidR="00730DE4" w:rsidRPr="00730DE4" w:rsidRDefault="00730DE4" w:rsidP="004A5032">
            <w:pPr>
              <w:pStyle w:val="NoSpacing"/>
              <w:jc w:val="right"/>
              <w:rPr>
                <w:color w:val="080C0F" w:themeColor="text1"/>
              </w:rPr>
            </w:pPr>
            <w:r w:rsidRPr="00730DE4">
              <w:rPr>
                <w:color w:val="080C0F" w:themeColor="text1"/>
              </w:rPr>
              <w:t xml:space="preserve">190,625 </w:t>
            </w:r>
          </w:p>
        </w:tc>
      </w:tr>
      <w:tr w:rsidR="00730DE4" w:rsidRPr="00730DE4" w14:paraId="6AD274AD" w14:textId="77777777" w:rsidTr="000A2C0E">
        <w:trPr>
          <w:trHeight w:val="23"/>
        </w:trPr>
        <w:tc>
          <w:tcPr>
            <w:tcW w:w="2879"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3F647E93" w14:textId="77777777" w:rsidR="00730DE4" w:rsidRPr="00730DE4" w:rsidRDefault="00730DE4" w:rsidP="004A5032">
            <w:pPr>
              <w:pStyle w:val="NoSpacing"/>
              <w:rPr>
                <w:color w:val="080C0F" w:themeColor="text1"/>
              </w:rPr>
            </w:pPr>
            <w:r w:rsidRPr="00730DE4">
              <w:rPr>
                <w:color w:val="080C0F" w:themeColor="text1"/>
              </w:rPr>
              <w:t>Plant and equipment</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D58A90B" w14:textId="77777777" w:rsidR="00730DE4" w:rsidRPr="00730DE4" w:rsidRDefault="00730DE4" w:rsidP="004A5032">
            <w:pPr>
              <w:pStyle w:val="NoSpacing"/>
              <w:jc w:val="right"/>
              <w:rPr>
                <w:color w:val="080C0F" w:themeColor="text1"/>
              </w:rPr>
            </w:pP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D59C418" w14:textId="77777777" w:rsidR="00730DE4" w:rsidRPr="00730DE4" w:rsidRDefault="00730DE4" w:rsidP="004A5032">
            <w:pPr>
              <w:pStyle w:val="NoSpacing"/>
              <w:jc w:val="right"/>
              <w:rPr>
                <w:color w:val="080C0F" w:themeColor="text1"/>
              </w:rPr>
            </w:pPr>
            <w:r w:rsidRPr="00730DE4">
              <w:rPr>
                <w:color w:val="080C0F" w:themeColor="text1"/>
              </w:rPr>
              <w:t xml:space="preserve">7,613 </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7C48FEF" w14:textId="77777777" w:rsidR="00730DE4" w:rsidRPr="00730DE4" w:rsidRDefault="00730DE4" w:rsidP="004A5032">
            <w:pPr>
              <w:pStyle w:val="NoSpacing"/>
              <w:jc w:val="right"/>
              <w:rPr>
                <w:color w:val="080C0F" w:themeColor="text1"/>
              </w:rPr>
            </w:pPr>
            <w:r w:rsidRPr="00730DE4">
              <w:rPr>
                <w:color w:val="080C0F" w:themeColor="text1"/>
              </w:rPr>
              <w:t xml:space="preserve">9,573 </w:t>
            </w:r>
          </w:p>
        </w:tc>
      </w:tr>
      <w:tr w:rsidR="00730DE4" w:rsidRPr="00730DE4" w14:paraId="12781DC5" w14:textId="77777777" w:rsidTr="000A2C0E">
        <w:trPr>
          <w:trHeight w:val="23"/>
        </w:trPr>
        <w:tc>
          <w:tcPr>
            <w:tcW w:w="2879"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6D2FB2C" w14:textId="77777777" w:rsidR="00730DE4" w:rsidRPr="00730DE4" w:rsidRDefault="00730DE4" w:rsidP="004A5032">
            <w:pPr>
              <w:pStyle w:val="NoSpacing"/>
              <w:rPr>
                <w:color w:val="080C0F" w:themeColor="text1"/>
              </w:rPr>
            </w:pPr>
            <w:r w:rsidRPr="00730DE4">
              <w:rPr>
                <w:color w:val="080C0F" w:themeColor="text1"/>
              </w:rPr>
              <w:t>Major plant and equipment</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6FA973D" w14:textId="77777777" w:rsidR="00730DE4" w:rsidRPr="00730DE4" w:rsidRDefault="00730DE4" w:rsidP="004A5032">
            <w:pPr>
              <w:pStyle w:val="NoSpacing"/>
              <w:jc w:val="right"/>
              <w:rPr>
                <w:color w:val="080C0F" w:themeColor="text1"/>
              </w:rPr>
            </w:pP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688A0E0" w14:textId="77777777" w:rsidR="00730DE4" w:rsidRPr="00730DE4" w:rsidRDefault="00730DE4" w:rsidP="004A5032">
            <w:pPr>
              <w:pStyle w:val="NoSpacing"/>
              <w:jc w:val="right"/>
              <w:rPr>
                <w:color w:val="080C0F" w:themeColor="text1"/>
              </w:rPr>
            </w:pPr>
            <w:r w:rsidRPr="00730DE4">
              <w:rPr>
                <w:color w:val="080C0F" w:themeColor="text1"/>
              </w:rPr>
              <w:t xml:space="preserve">1,327,870 </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290A789" w14:textId="77777777" w:rsidR="00730DE4" w:rsidRPr="00730DE4" w:rsidRDefault="00730DE4" w:rsidP="004A5032">
            <w:pPr>
              <w:pStyle w:val="NoSpacing"/>
              <w:jc w:val="right"/>
              <w:rPr>
                <w:color w:val="080C0F" w:themeColor="text1"/>
              </w:rPr>
            </w:pPr>
            <w:r w:rsidRPr="00730DE4">
              <w:rPr>
                <w:color w:val="080C0F" w:themeColor="text1"/>
              </w:rPr>
              <w:t xml:space="preserve">1,260,168 </w:t>
            </w:r>
          </w:p>
        </w:tc>
      </w:tr>
      <w:tr w:rsidR="00730DE4" w:rsidRPr="00730DE4" w14:paraId="11440B01" w14:textId="77777777" w:rsidTr="000A2C0E">
        <w:trPr>
          <w:trHeight w:val="23"/>
        </w:trPr>
        <w:tc>
          <w:tcPr>
            <w:tcW w:w="2879"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51AD0BB" w14:textId="77777777" w:rsidR="00730DE4" w:rsidRPr="00730DE4" w:rsidRDefault="00730DE4" w:rsidP="004A5032">
            <w:pPr>
              <w:pStyle w:val="NoSpacing"/>
              <w:rPr>
                <w:color w:val="080C0F" w:themeColor="text1"/>
              </w:rPr>
            </w:pPr>
            <w:r w:rsidRPr="00730DE4">
              <w:rPr>
                <w:color w:val="080C0F" w:themeColor="text1"/>
              </w:rPr>
              <w:t>Infrastructure</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0C65853" w14:textId="77777777" w:rsidR="00730DE4" w:rsidRPr="00730DE4" w:rsidRDefault="00730DE4" w:rsidP="004A5032">
            <w:pPr>
              <w:pStyle w:val="NoSpacing"/>
              <w:jc w:val="right"/>
              <w:rPr>
                <w:color w:val="080C0F" w:themeColor="text1"/>
              </w:rPr>
            </w:pP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4371915" w14:textId="77777777" w:rsidR="00730DE4" w:rsidRPr="00730DE4" w:rsidRDefault="00730DE4" w:rsidP="004A5032">
            <w:pPr>
              <w:pStyle w:val="NoSpacing"/>
              <w:jc w:val="right"/>
              <w:rPr>
                <w:color w:val="080C0F" w:themeColor="text1"/>
              </w:rPr>
            </w:pPr>
            <w:r w:rsidRPr="00730DE4">
              <w:rPr>
                <w:color w:val="080C0F" w:themeColor="text1"/>
              </w:rPr>
              <w:t xml:space="preserve">39,970 </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0CA058E" w14:textId="77777777" w:rsidR="00730DE4" w:rsidRPr="00730DE4" w:rsidRDefault="00730DE4" w:rsidP="004A5032">
            <w:pPr>
              <w:pStyle w:val="NoSpacing"/>
              <w:jc w:val="right"/>
              <w:rPr>
                <w:color w:val="080C0F" w:themeColor="text1"/>
              </w:rPr>
            </w:pPr>
            <w:r w:rsidRPr="00730DE4">
              <w:rPr>
                <w:color w:val="080C0F" w:themeColor="text1"/>
              </w:rPr>
              <w:t xml:space="preserve">41,341 </w:t>
            </w:r>
          </w:p>
        </w:tc>
      </w:tr>
      <w:tr w:rsidR="00730DE4" w:rsidRPr="00730DE4" w14:paraId="5894D460" w14:textId="77777777" w:rsidTr="000A2C0E">
        <w:trPr>
          <w:trHeight w:val="23"/>
        </w:trPr>
        <w:tc>
          <w:tcPr>
            <w:tcW w:w="2879"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7A66E6EC" w14:textId="77777777" w:rsidR="00730DE4" w:rsidRPr="00730DE4" w:rsidRDefault="00730DE4" w:rsidP="004A5032">
            <w:pPr>
              <w:pStyle w:val="NoSpacing"/>
              <w:rPr>
                <w:color w:val="080C0F" w:themeColor="text1"/>
              </w:rPr>
            </w:pPr>
            <w:r w:rsidRPr="00730DE4">
              <w:rPr>
                <w:color w:val="080C0F" w:themeColor="text1"/>
              </w:rPr>
              <w:t>Work in progress</w:t>
            </w:r>
          </w:p>
        </w:tc>
        <w:tc>
          <w:tcPr>
            <w:tcW w:w="707"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58B5E976" w14:textId="77777777" w:rsidR="00730DE4" w:rsidRPr="00730DE4" w:rsidRDefault="00730DE4" w:rsidP="004A5032">
            <w:pPr>
              <w:pStyle w:val="NoSpacing"/>
              <w:jc w:val="right"/>
              <w:rPr>
                <w:color w:val="080C0F" w:themeColor="text1"/>
              </w:rPr>
            </w:pPr>
          </w:p>
        </w:tc>
        <w:tc>
          <w:tcPr>
            <w:tcW w:w="707"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55CA4C47" w14:textId="77777777" w:rsidR="00730DE4" w:rsidRPr="00730DE4" w:rsidRDefault="00730DE4" w:rsidP="004A5032">
            <w:pPr>
              <w:pStyle w:val="NoSpacing"/>
              <w:jc w:val="right"/>
              <w:rPr>
                <w:color w:val="080C0F" w:themeColor="text1"/>
              </w:rPr>
            </w:pPr>
            <w:r w:rsidRPr="00730DE4">
              <w:rPr>
                <w:color w:val="080C0F" w:themeColor="text1"/>
              </w:rPr>
              <w:t xml:space="preserve">38,427 </w:t>
            </w:r>
          </w:p>
        </w:tc>
        <w:tc>
          <w:tcPr>
            <w:tcW w:w="707"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4CDD15A9" w14:textId="77777777" w:rsidR="00730DE4" w:rsidRPr="00730DE4" w:rsidRDefault="00730DE4" w:rsidP="004A5032">
            <w:pPr>
              <w:pStyle w:val="NoSpacing"/>
              <w:jc w:val="right"/>
              <w:rPr>
                <w:color w:val="080C0F" w:themeColor="text1"/>
              </w:rPr>
            </w:pPr>
            <w:r w:rsidRPr="00730DE4">
              <w:rPr>
                <w:color w:val="080C0F" w:themeColor="text1"/>
              </w:rPr>
              <w:t xml:space="preserve">36,651 </w:t>
            </w:r>
          </w:p>
        </w:tc>
      </w:tr>
      <w:tr w:rsidR="00730DE4" w:rsidRPr="00730DE4" w14:paraId="401C60E1" w14:textId="77777777" w:rsidTr="000A2C0E">
        <w:tc>
          <w:tcPr>
            <w:tcW w:w="2879" w:type="pct"/>
            <w:tcBorders>
              <w:top w:val="single" w:sz="4" w:space="0" w:color="auto"/>
              <w:left w:val="nil"/>
              <w:bottom w:val="double" w:sz="4" w:space="0" w:color="auto"/>
              <w:right w:val="nil"/>
            </w:tcBorders>
            <w:shd w:val="clear" w:color="auto" w:fill="auto"/>
            <w:noWrap/>
            <w:hideMark/>
          </w:tcPr>
          <w:p w14:paraId="60A45ADD" w14:textId="77777777" w:rsidR="00730DE4" w:rsidRPr="00730DE4" w:rsidRDefault="00730DE4" w:rsidP="007E2686">
            <w:pPr>
              <w:pStyle w:val="NoSpacing"/>
              <w:rPr>
                <w:rStyle w:val="Strong"/>
              </w:rPr>
            </w:pPr>
            <w:r w:rsidRPr="00730DE4">
              <w:rPr>
                <w:rStyle w:val="Strong"/>
              </w:rPr>
              <w:t>Closing balance</w:t>
            </w:r>
          </w:p>
        </w:tc>
        <w:tc>
          <w:tcPr>
            <w:tcW w:w="707" w:type="pct"/>
            <w:tcBorders>
              <w:top w:val="single" w:sz="4" w:space="0" w:color="auto"/>
              <w:left w:val="nil"/>
              <w:bottom w:val="double" w:sz="4" w:space="0" w:color="auto"/>
              <w:right w:val="nil"/>
            </w:tcBorders>
            <w:shd w:val="clear" w:color="auto" w:fill="auto"/>
            <w:noWrap/>
            <w:hideMark/>
          </w:tcPr>
          <w:p w14:paraId="1C3EB105" w14:textId="77777777" w:rsidR="00730DE4" w:rsidRPr="00730DE4" w:rsidRDefault="00730DE4" w:rsidP="007E2686">
            <w:pPr>
              <w:pStyle w:val="NoSpacing"/>
              <w:jc w:val="right"/>
              <w:rPr>
                <w:color w:val="080C0F" w:themeColor="text1"/>
              </w:rPr>
            </w:pPr>
            <w:r w:rsidRPr="00730DE4">
              <w:rPr>
                <w:color w:val="080C0F" w:themeColor="text1"/>
              </w:rPr>
              <w:t> </w:t>
            </w:r>
          </w:p>
        </w:tc>
        <w:tc>
          <w:tcPr>
            <w:tcW w:w="707" w:type="pct"/>
            <w:tcBorders>
              <w:top w:val="single" w:sz="4" w:space="0" w:color="auto"/>
              <w:left w:val="nil"/>
              <w:bottom w:val="double" w:sz="4" w:space="0" w:color="auto"/>
              <w:right w:val="nil"/>
            </w:tcBorders>
            <w:shd w:val="clear" w:color="auto" w:fill="F2F2F2" w:themeFill="background1" w:themeFillShade="F2"/>
            <w:noWrap/>
            <w:hideMark/>
          </w:tcPr>
          <w:p w14:paraId="2C19D367" w14:textId="77777777" w:rsidR="00730DE4" w:rsidRPr="00730DE4" w:rsidRDefault="00730DE4" w:rsidP="007E2686">
            <w:pPr>
              <w:pStyle w:val="NoSpacing"/>
              <w:jc w:val="right"/>
              <w:rPr>
                <w:rStyle w:val="Strong"/>
              </w:rPr>
            </w:pPr>
            <w:r w:rsidRPr="00730DE4">
              <w:rPr>
                <w:rStyle w:val="Strong"/>
              </w:rPr>
              <w:t xml:space="preserve">1,613,430 </w:t>
            </w:r>
          </w:p>
        </w:tc>
        <w:tc>
          <w:tcPr>
            <w:tcW w:w="707" w:type="pct"/>
            <w:tcBorders>
              <w:top w:val="single" w:sz="4" w:space="0" w:color="auto"/>
              <w:left w:val="nil"/>
              <w:bottom w:val="double" w:sz="4" w:space="0" w:color="auto"/>
              <w:right w:val="nil"/>
            </w:tcBorders>
            <w:shd w:val="clear" w:color="auto" w:fill="auto"/>
            <w:noWrap/>
            <w:hideMark/>
          </w:tcPr>
          <w:p w14:paraId="75CFCDF0" w14:textId="77777777" w:rsidR="00730DE4" w:rsidRPr="00730DE4" w:rsidRDefault="00730DE4" w:rsidP="007E2686">
            <w:pPr>
              <w:pStyle w:val="NoSpacing"/>
              <w:jc w:val="right"/>
              <w:rPr>
                <w:rStyle w:val="Strong"/>
              </w:rPr>
            </w:pPr>
            <w:r w:rsidRPr="00730DE4">
              <w:rPr>
                <w:rStyle w:val="Strong"/>
              </w:rPr>
              <w:t xml:space="preserve">1,538,358 </w:t>
            </w:r>
          </w:p>
        </w:tc>
      </w:tr>
      <w:tr w:rsidR="00730DE4" w:rsidRPr="00730DE4" w14:paraId="578157F3" w14:textId="77777777" w:rsidTr="000A2C0E">
        <w:trPr>
          <w:trHeight w:val="454"/>
        </w:trPr>
        <w:tc>
          <w:tcPr>
            <w:tcW w:w="2879" w:type="pct"/>
            <w:tcBorders>
              <w:top w:val="doub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1BBD78C6" w14:textId="77777777" w:rsidR="00730DE4" w:rsidRPr="00730DE4" w:rsidRDefault="00730DE4" w:rsidP="00144838">
            <w:pPr>
              <w:pStyle w:val="NoSpacing"/>
              <w:rPr>
                <w:color w:val="080C0F" w:themeColor="text1"/>
              </w:rPr>
            </w:pPr>
            <w:r w:rsidRPr="00730DE4">
              <w:rPr>
                <w:rStyle w:val="Strong"/>
              </w:rPr>
              <w:t>Liabilities</w:t>
            </w:r>
          </w:p>
        </w:tc>
        <w:tc>
          <w:tcPr>
            <w:tcW w:w="707"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4ECF0006" w14:textId="77777777" w:rsidR="00730DE4" w:rsidRPr="00730DE4" w:rsidRDefault="00730DE4" w:rsidP="00144838">
            <w:pPr>
              <w:pStyle w:val="NoSpacing"/>
              <w:rPr>
                <w:rStyle w:val="Strong"/>
              </w:rPr>
            </w:pPr>
          </w:p>
        </w:tc>
        <w:tc>
          <w:tcPr>
            <w:tcW w:w="707"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7640B394" w14:textId="77777777" w:rsidR="00730DE4" w:rsidRPr="00730DE4" w:rsidRDefault="00730DE4" w:rsidP="00144838">
            <w:pPr>
              <w:pStyle w:val="NoSpacing"/>
              <w:rPr>
                <w:color w:val="080C0F" w:themeColor="text1"/>
              </w:rPr>
            </w:pPr>
          </w:p>
        </w:tc>
        <w:tc>
          <w:tcPr>
            <w:tcW w:w="707" w:type="pct"/>
            <w:tcBorders>
              <w:top w:val="double" w:sz="4" w:space="0" w:color="auto"/>
              <w:left w:val="dotted" w:sz="4" w:space="0" w:color="BFBFBF" w:themeColor="background1" w:themeShade="BF"/>
              <w:bottom w:val="dotted" w:sz="4" w:space="0" w:color="BFBFBF" w:themeColor="background1" w:themeShade="BF"/>
              <w:right w:val="nil"/>
            </w:tcBorders>
            <w:shd w:val="clear" w:color="auto" w:fill="auto"/>
            <w:noWrap/>
            <w:vAlign w:val="bottom"/>
          </w:tcPr>
          <w:p w14:paraId="2B3626F5" w14:textId="77777777" w:rsidR="00730DE4" w:rsidRPr="00730DE4" w:rsidRDefault="00730DE4" w:rsidP="00144838">
            <w:pPr>
              <w:pStyle w:val="NoSpacing"/>
              <w:rPr>
                <w:color w:val="080C0F" w:themeColor="text1"/>
              </w:rPr>
            </w:pPr>
          </w:p>
        </w:tc>
      </w:tr>
      <w:tr w:rsidR="00730DE4" w:rsidRPr="00730DE4" w14:paraId="2BD75795" w14:textId="77777777" w:rsidTr="000A2C0E">
        <w:trPr>
          <w:trHeight w:val="23"/>
        </w:trPr>
        <w:tc>
          <w:tcPr>
            <w:tcW w:w="2879"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center"/>
            <w:hideMark/>
          </w:tcPr>
          <w:p w14:paraId="1817E20B" w14:textId="77777777" w:rsidR="00730DE4" w:rsidRPr="00730DE4" w:rsidRDefault="00730DE4" w:rsidP="00792E55">
            <w:pPr>
              <w:pStyle w:val="NoSpacing"/>
              <w:rPr>
                <w:color w:val="080C0F" w:themeColor="text1"/>
              </w:rPr>
            </w:pPr>
            <w:r w:rsidRPr="00730DE4">
              <w:rPr>
                <w:color w:val="080C0F" w:themeColor="text1"/>
              </w:rPr>
              <w:t>Financial liabilities</w:t>
            </w:r>
          </w:p>
        </w:tc>
        <w:tc>
          <w:tcPr>
            <w:tcW w:w="707"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67476E86" w14:textId="77777777" w:rsidR="00730DE4" w:rsidRPr="00730DE4" w:rsidRDefault="00730DE4" w:rsidP="004A5032">
            <w:pPr>
              <w:pStyle w:val="NoSpacing"/>
              <w:jc w:val="right"/>
              <w:rPr>
                <w:color w:val="080C0F" w:themeColor="text1"/>
              </w:rPr>
            </w:pPr>
            <w:r w:rsidRPr="00730DE4">
              <w:rPr>
                <w:color w:val="080C0F" w:themeColor="text1"/>
              </w:rPr>
              <w:t>19</w:t>
            </w:r>
          </w:p>
        </w:tc>
        <w:tc>
          <w:tcPr>
            <w:tcW w:w="707"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3A68032A" w14:textId="77777777" w:rsidR="00730DE4" w:rsidRPr="00730DE4" w:rsidRDefault="00730DE4" w:rsidP="004A5032">
            <w:pPr>
              <w:pStyle w:val="NoSpacing"/>
              <w:jc w:val="right"/>
              <w:rPr>
                <w:color w:val="080C0F" w:themeColor="text1"/>
              </w:rPr>
            </w:pPr>
            <w:r w:rsidRPr="00730DE4">
              <w:rPr>
                <w:color w:val="080C0F" w:themeColor="text1"/>
              </w:rPr>
              <w:t xml:space="preserve">547,692 </w:t>
            </w:r>
          </w:p>
        </w:tc>
        <w:tc>
          <w:tcPr>
            <w:tcW w:w="707"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434E3F18" w14:textId="77777777" w:rsidR="00730DE4" w:rsidRPr="00730DE4" w:rsidRDefault="00730DE4" w:rsidP="004A5032">
            <w:pPr>
              <w:pStyle w:val="NoSpacing"/>
              <w:jc w:val="right"/>
              <w:rPr>
                <w:color w:val="080C0F" w:themeColor="text1"/>
              </w:rPr>
            </w:pPr>
            <w:r w:rsidRPr="00730DE4">
              <w:rPr>
                <w:color w:val="080C0F" w:themeColor="text1"/>
              </w:rPr>
              <w:t xml:space="preserve">551,381 </w:t>
            </w:r>
          </w:p>
        </w:tc>
      </w:tr>
      <w:tr w:rsidR="00730DE4" w:rsidRPr="00730DE4" w14:paraId="2F891CD0" w14:textId="77777777" w:rsidTr="003B2075">
        <w:tc>
          <w:tcPr>
            <w:tcW w:w="2879" w:type="pct"/>
            <w:tcBorders>
              <w:top w:val="single" w:sz="4" w:space="0" w:color="auto"/>
              <w:left w:val="nil"/>
              <w:bottom w:val="double" w:sz="4" w:space="0" w:color="auto"/>
              <w:right w:val="dashSmallGap" w:sz="4" w:space="0" w:color="BFBFBF" w:themeColor="background1" w:themeShade="BF"/>
            </w:tcBorders>
            <w:shd w:val="clear" w:color="auto" w:fill="auto"/>
            <w:noWrap/>
            <w:hideMark/>
          </w:tcPr>
          <w:p w14:paraId="7F47BD20" w14:textId="77777777" w:rsidR="00730DE4" w:rsidRPr="00730DE4" w:rsidRDefault="00730DE4" w:rsidP="007E2686">
            <w:pPr>
              <w:pStyle w:val="NoSpacing"/>
              <w:rPr>
                <w:rStyle w:val="Strong"/>
              </w:rPr>
            </w:pPr>
            <w:r w:rsidRPr="00730DE4">
              <w:rPr>
                <w:rStyle w:val="Strong"/>
              </w:rPr>
              <w:t>Total</w:t>
            </w:r>
          </w:p>
        </w:tc>
        <w:tc>
          <w:tcPr>
            <w:tcW w:w="707" w:type="pct"/>
            <w:tcBorders>
              <w:top w:val="single" w:sz="4" w:space="0" w:color="auto"/>
              <w:left w:val="dashSmallGap" w:sz="4" w:space="0" w:color="BFBFBF" w:themeColor="background1" w:themeShade="BF"/>
              <w:bottom w:val="double" w:sz="4" w:space="0" w:color="auto"/>
              <w:right w:val="dashSmallGap" w:sz="4" w:space="0" w:color="BFBFBF" w:themeColor="background1" w:themeShade="BF"/>
            </w:tcBorders>
            <w:shd w:val="clear" w:color="auto" w:fill="auto"/>
            <w:noWrap/>
            <w:hideMark/>
          </w:tcPr>
          <w:p w14:paraId="7E2F7832" w14:textId="77777777" w:rsidR="00730DE4" w:rsidRPr="00730DE4" w:rsidRDefault="00730DE4" w:rsidP="007E2686">
            <w:pPr>
              <w:pStyle w:val="NoSpacing"/>
              <w:jc w:val="right"/>
              <w:rPr>
                <w:color w:val="080C0F" w:themeColor="text1"/>
              </w:rPr>
            </w:pPr>
            <w:r w:rsidRPr="00730DE4">
              <w:rPr>
                <w:color w:val="080C0F" w:themeColor="text1"/>
              </w:rPr>
              <w:t> </w:t>
            </w:r>
          </w:p>
        </w:tc>
        <w:tc>
          <w:tcPr>
            <w:tcW w:w="707" w:type="pct"/>
            <w:tcBorders>
              <w:top w:val="single" w:sz="4" w:space="0" w:color="auto"/>
              <w:left w:val="dashSmallGap" w:sz="4" w:space="0" w:color="BFBFBF" w:themeColor="background1" w:themeShade="BF"/>
              <w:bottom w:val="double" w:sz="4" w:space="0" w:color="auto"/>
              <w:right w:val="dashSmallGap" w:sz="4" w:space="0" w:color="BFBFBF" w:themeColor="background1" w:themeShade="BF"/>
            </w:tcBorders>
            <w:shd w:val="clear" w:color="auto" w:fill="F2F2F2" w:themeFill="background1" w:themeFillShade="F2"/>
            <w:noWrap/>
            <w:hideMark/>
          </w:tcPr>
          <w:p w14:paraId="7E2314DD" w14:textId="77777777" w:rsidR="00730DE4" w:rsidRPr="00730DE4" w:rsidRDefault="00730DE4" w:rsidP="007E2686">
            <w:pPr>
              <w:pStyle w:val="NoSpacing"/>
              <w:jc w:val="right"/>
              <w:rPr>
                <w:rStyle w:val="Strong"/>
              </w:rPr>
            </w:pPr>
            <w:r w:rsidRPr="00730DE4">
              <w:rPr>
                <w:rStyle w:val="Strong"/>
              </w:rPr>
              <w:t xml:space="preserve">547,692 </w:t>
            </w:r>
          </w:p>
        </w:tc>
        <w:tc>
          <w:tcPr>
            <w:tcW w:w="707" w:type="pct"/>
            <w:tcBorders>
              <w:top w:val="single" w:sz="4" w:space="0" w:color="auto"/>
              <w:left w:val="dashSmallGap" w:sz="4" w:space="0" w:color="BFBFBF" w:themeColor="background1" w:themeShade="BF"/>
              <w:bottom w:val="double" w:sz="4" w:space="0" w:color="auto"/>
              <w:right w:val="nil"/>
            </w:tcBorders>
            <w:shd w:val="clear" w:color="auto" w:fill="auto"/>
            <w:noWrap/>
            <w:hideMark/>
          </w:tcPr>
          <w:p w14:paraId="22E4687C" w14:textId="77777777" w:rsidR="00730DE4" w:rsidRPr="00730DE4" w:rsidRDefault="00730DE4" w:rsidP="007E2686">
            <w:pPr>
              <w:pStyle w:val="NoSpacing"/>
              <w:jc w:val="right"/>
              <w:rPr>
                <w:rStyle w:val="Strong"/>
              </w:rPr>
            </w:pPr>
            <w:r w:rsidRPr="00730DE4">
              <w:rPr>
                <w:rStyle w:val="Strong"/>
              </w:rPr>
              <w:t xml:space="preserve">551,381 </w:t>
            </w:r>
          </w:p>
        </w:tc>
      </w:tr>
    </w:tbl>
    <w:p w14:paraId="3A232125" w14:textId="77777777" w:rsidR="00730DE4" w:rsidRPr="00730DE4" w:rsidRDefault="00730DE4" w:rsidP="003C13D4">
      <w:pPr>
        <w:rPr>
          <w:color w:val="080C0F" w:themeColor="text1"/>
        </w:rPr>
      </w:pPr>
      <w:r w:rsidRPr="00730DE4">
        <w:rPr>
          <w:color w:val="080C0F" w:themeColor="text1"/>
        </w:rPr>
        <w:t xml:space="preserve">In March 2019, an amendment deed was signed by NGR Project Company Pty Ltd to rectify the trains in accordance with the </w:t>
      </w:r>
      <w:r w:rsidRPr="00730DE4">
        <w:rPr>
          <w:i/>
          <w:iCs/>
          <w:color w:val="080C0F" w:themeColor="text1"/>
        </w:rPr>
        <w:t>Disability Standards for Accessible Public Transport 2002 (Cth).</w:t>
      </w:r>
      <w:r w:rsidRPr="00730DE4">
        <w:rPr>
          <w:color w:val="080C0F" w:themeColor="text1"/>
        </w:rPr>
        <w:t xml:space="preserve"> Rectification of the trains is expected to be completed during the second half of 2024. Rectification works have been completed for 27 trains in 2023–24, with a total of 71 units upgraded to date under this agreement. Refer to Note 20. </w:t>
      </w:r>
    </w:p>
    <w:p w14:paraId="70BB4A27" w14:textId="77777777" w:rsidR="00730DE4" w:rsidRPr="00730DE4" w:rsidRDefault="00730DE4" w:rsidP="003C13D4">
      <w:pPr>
        <w:rPr>
          <w:color w:val="080C0F" w:themeColor="text1"/>
        </w:rPr>
      </w:pPr>
      <w:r w:rsidRPr="00730DE4">
        <w:rPr>
          <w:color w:val="080C0F" w:themeColor="text1"/>
        </w:rPr>
        <w:t xml:space="preserve">An amendment to the deed for the development and fitment of the European Train Control System (ETCS) was executed in December 2021.  An amendment to the deed for the development and fitment of Automatic Train Operation (ATO) and Platform Screen Door (PSD) systems was executed in March 2023. These upgrades will be delivered on the 75 NGR trains to meet timetabled services on the Cross River Rail infrastructure.  </w:t>
      </w:r>
    </w:p>
    <w:p w14:paraId="5C189F78" w14:textId="77777777" w:rsidR="00730DE4" w:rsidRPr="00730DE4" w:rsidRDefault="00730DE4" w:rsidP="003C13D4">
      <w:pPr>
        <w:rPr>
          <w:color w:val="080C0F" w:themeColor="text1"/>
        </w:rPr>
      </w:pPr>
      <w:r w:rsidRPr="00730DE4">
        <w:rPr>
          <w:color w:val="080C0F" w:themeColor="text1"/>
        </w:rPr>
        <w:t>Ownership of the train sets and maintenance centre resides with the department during the period of the arrangement.</w:t>
      </w:r>
    </w:p>
    <w:p w14:paraId="29F985B8" w14:textId="77777777" w:rsidR="00730DE4" w:rsidRPr="00730DE4" w:rsidRDefault="00730DE4" w:rsidP="003C13D4">
      <w:pPr>
        <w:rPr>
          <w:color w:val="080C0F" w:themeColor="text1"/>
        </w:rPr>
      </w:pPr>
      <w:r w:rsidRPr="00730DE4">
        <w:rPr>
          <w:color w:val="080C0F" w:themeColor="text1"/>
        </w:rPr>
        <w:t>The estimated future cash flows excluding GST are detailed below:</w:t>
      </w:r>
    </w:p>
    <w:p w14:paraId="648B9EA9" w14:textId="77777777" w:rsidR="00730DE4" w:rsidRPr="00730DE4" w:rsidRDefault="00730DE4" w:rsidP="00792E55">
      <w:pPr>
        <w:pStyle w:val="NoSpacing"/>
      </w:pPr>
    </w:p>
    <w:tbl>
      <w:tblPr>
        <w:tblW w:w="5000" w:type="pct"/>
        <w:tblCellMar>
          <w:top w:w="23" w:type="dxa"/>
          <w:left w:w="23" w:type="dxa"/>
          <w:bottom w:w="23" w:type="dxa"/>
          <w:right w:w="23" w:type="dxa"/>
        </w:tblCellMar>
        <w:tblLook w:val="04A0" w:firstRow="1" w:lastRow="0" w:firstColumn="1" w:lastColumn="0" w:noHBand="0" w:noVBand="1"/>
      </w:tblPr>
      <w:tblGrid>
        <w:gridCol w:w="5105"/>
        <w:gridCol w:w="1322"/>
        <w:gridCol w:w="1322"/>
        <w:gridCol w:w="1321"/>
      </w:tblGrid>
      <w:tr w:rsidR="00730DE4" w:rsidRPr="00730DE4" w14:paraId="5898E0C0" w14:textId="77777777" w:rsidTr="000A2C0E">
        <w:trPr>
          <w:trHeight w:val="272"/>
        </w:trPr>
        <w:tc>
          <w:tcPr>
            <w:tcW w:w="2814" w:type="pct"/>
            <w:tcBorders>
              <w:top w:val="nil"/>
              <w:left w:val="nil"/>
              <w:bottom w:val="single" w:sz="4" w:space="0" w:color="080C0F" w:themeColor="text1"/>
              <w:right w:val="nil"/>
            </w:tcBorders>
            <w:shd w:val="clear" w:color="auto" w:fill="auto"/>
            <w:noWrap/>
            <w:vAlign w:val="bottom"/>
            <w:hideMark/>
          </w:tcPr>
          <w:p w14:paraId="5B52A9C9" w14:textId="77777777" w:rsidR="00730DE4" w:rsidRPr="00730DE4" w:rsidRDefault="00730DE4" w:rsidP="00F70EB4">
            <w:pPr>
              <w:pStyle w:val="NoSpacing"/>
              <w:rPr>
                <w:color w:val="080C0F" w:themeColor="text1"/>
              </w:rPr>
            </w:pPr>
          </w:p>
        </w:tc>
        <w:tc>
          <w:tcPr>
            <w:tcW w:w="729" w:type="pct"/>
            <w:tcBorders>
              <w:top w:val="nil"/>
              <w:left w:val="nil"/>
              <w:bottom w:val="single" w:sz="4" w:space="0" w:color="080C0F" w:themeColor="text1"/>
              <w:right w:val="nil"/>
            </w:tcBorders>
            <w:shd w:val="clear" w:color="auto" w:fill="auto"/>
            <w:noWrap/>
            <w:vAlign w:val="bottom"/>
            <w:hideMark/>
          </w:tcPr>
          <w:p w14:paraId="0D486F8C" w14:textId="77777777" w:rsidR="00730DE4" w:rsidRPr="00730DE4" w:rsidRDefault="00730DE4" w:rsidP="00F70EB4">
            <w:pPr>
              <w:pStyle w:val="NoSpacing"/>
              <w:jc w:val="right"/>
              <w:rPr>
                <w:rStyle w:val="Strong"/>
              </w:rPr>
            </w:pPr>
            <w:r w:rsidRPr="00730DE4">
              <w:rPr>
                <w:rStyle w:val="Strong"/>
              </w:rPr>
              <w:t>Note</w:t>
            </w:r>
          </w:p>
        </w:tc>
        <w:tc>
          <w:tcPr>
            <w:tcW w:w="729" w:type="pct"/>
            <w:tcBorders>
              <w:top w:val="nil"/>
              <w:left w:val="nil"/>
              <w:bottom w:val="single" w:sz="4" w:space="0" w:color="080C0F" w:themeColor="text1"/>
              <w:right w:val="nil"/>
            </w:tcBorders>
            <w:shd w:val="clear" w:color="auto" w:fill="auto"/>
            <w:noWrap/>
            <w:vAlign w:val="bottom"/>
            <w:hideMark/>
          </w:tcPr>
          <w:p w14:paraId="2EEBF413" w14:textId="77777777" w:rsidR="00730DE4" w:rsidRPr="00730DE4" w:rsidRDefault="00730DE4" w:rsidP="00F70EB4">
            <w:pPr>
              <w:pStyle w:val="NoSpacing"/>
              <w:jc w:val="right"/>
              <w:rPr>
                <w:color w:val="080C0F" w:themeColor="text1"/>
              </w:rPr>
            </w:pPr>
            <w:r w:rsidRPr="00730DE4">
              <w:rPr>
                <w:rStyle w:val="Strong"/>
              </w:rPr>
              <w:t xml:space="preserve">2024 </w:t>
            </w:r>
            <w:r w:rsidRPr="00730DE4">
              <w:rPr>
                <w:rStyle w:val="Strong"/>
              </w:rPr>
              <w:br/>
              <w:t>$'000</w:t>
            </w:r>
          </w:p>
        </w:tc>
        <w:tc>
          <w:tcPr>
            <w:tcW w:w="729" w:type="pct"/>
            <w:tcBorders>
              <w:top w:val="nil"/>
              <w:left w:val="nil"/>
              <w:bottom w:val="single" w:sz="4" w:space="0" w:color="080C0F" w:themeColor="text1"/>
              <w:right w:val="nil"/>
            </w:tcBorders>
            <w:shd w:val="clear" w:color="auto" w:fill="auto"/>
            <w:noWrap/>
            <w:vAlign w:val="bottom"/>
            <w:hideMark/>
          </w:tcPr>
          <w:p w14:paraId="2CFF48CE" w14:textId="77777777" w:rsidR="00730DE4" w:rsidRPr="00730DE4" w:rsidRDefault="00730DE4" w:rsidP="00F70EB4">
            <w:pPr>
              <w:pStyle w:val="NoSpacing"/>
              <w:jc w:val="right"/>
              <w:rPr>
                <w:color w:val="080C0F" w:themeColor="text1"/>
              </w:rPr>
            </w:pPr>
            <w:r w:rsidRPr="00730DE4">
              <w:rPr>
                <w:rStyle w:val="Strong"/>
              </w:rPr>
              <w:t xml:space="preserve">2023 </w:t>
            </w:r>
            <w:r w:rsidRPr="00730DE4">
              <w:rPr>
                <w:rStyle w:val="Strong"/>
              </w:rPr>
              <w:br/>
              <w:t>$'000</w:t>
            </w:r>
          </w:p>
        </w:tc>
      </w:tr>
      <w:tr w:rsidR="00730DE4" w:rsidRPr="00730DE4" w14:paraId="6F6C17DA" w14:textId="77777777" w:rsidTr="000A2C0E">
        <w:trPr>
          <w:trHeight w:val="454"/>
        </w:trPr>
        <w:tc>
          <w:tcPr>
            <w:tcW w:w="2814" w:type="pct"/>
            <w:tcBorders>
              <w:top w:val="single" w:sz="4" w:space="0" w:color="080C0F" w:themeColor="text1"/>
              <w:left w:val="nil"/>
              <w:bottom w:val="dotted" w:sz="4" w:space="0" w:color="BFBFBF" w:themeColor="background1" w:themeShade="BF"/>
              <w:right w:val="dotted" w:sz="4" w:space="0" w:color="BFBFBF" w:themeColor="background1" w:themeShade="BF"/>
            </w:tcBorders>
            <w:shd w:val="clear" w:color="auto" w:fill="auto"/>
            <w:noWrap/>
            <w:vAlign w:val="bottom"/>
          </w:tcPr>
          <w:p w14:paraId="7BF2FE63" w14:textId="77777777" w:rsidR="00730DE4" w:rsidRPr="00730DE4" w:rsidRDefault="00730DE4" w:rsidP="00F70EB4">
            <w:pPr>
              <w:pStyle w:val="NoSpacing"/>
              <w:rPr>
                <w:rStyle w:val="Strong"/>
              </w:rPr>
            </w:pPr>
            <w:r w:rsidRPr="00730DE4">
              <w:rPr>
                <w:rStyle w:val="Strong"/>
              </w:rPr>
              <w:t>Estimated cash flows</w:t>
            </w:r>
          </w:p>
        </w:tc>
        <w:tc>
          <w:tcPr>
            <w:tcW w:w="729" w:type="pct"/>
            <w:tcBorders>
              <w:top w:val="single" w:sz="4" w:space="0" w:color="080C0F" w:themeColor="text1"/>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34161799" w14:textId="77777777" w:rsidR="00730DE4" w:rsidRPr="00730DE4" w:rsidRDefault="00730DE4" w:rsidP="00F70EB4">
            <w:pPr>
              <w:pStyle w:val="NoSpacing"/>
              <w:jc w:val="right"/>
              <w:rPr>
                <w:rStyle w:val="Strong"/>
              </w:rPr>
            </w:pPr>
          </w:p>
        </w:tc>
        <w:tc>
          <w:tcPr>
            <w:tcW w:w="729" w:type="pct"/>
            <w:tcBorders>
              <w:top w:val="single" w:sz="4" w:space="0" w:color="080C0F" w:themeColor="text1"/>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4E941755" w14:textId="77777777" w:rsidR="00730DE4" w:rsidRPr="00730DE4" w:rsidRDefault="00730DE4" w:rsidP="00F70EB4">
            <w:pPr>
              <w:pStyle w:val="NoSpacing"/>
              <w:jc w:val="right"/>
              <w:rPr>
                <w:rStyle w:val="Strong"/>
              </w:rPr>
            </w:pPr>
          </w:p>
        </w:tc>
        <w:tc>
          <w:tcPr>
            <w:tcW w:w="729" w:type="pct"/>
            <w:tcBorders>
              <w:top w:val="single" w:sz="4" w:space="0" w:color="080C0F" w:themeColor="text1"/>
              <w:left w:val="dotted" w:sz="4" w:space="0" w:color="BFBFBF" w:themeColor="background1" w:themeShade="BF"/>
              <w:bottom w:val="dotted" w:sz="4" w:space="0" w:color="BFBFBF" w:themeColor="background1" w:themeShade="BF"/>
              <w:right w:val="nil"/>
            </w:tcBorders>
            <w:shd w:val="clear" w:color="auto" w:fill="auto"/>
            <w:noWrap/>
            <w:vAlign w:val="bottom"/>
          </w:tcPr>
          <w:p w14:paraId="224FEE0C" w14:textId="77777777" w:rsidR="00730DE4" w:rsidRPr="00730DE4" w:rsidRDefault="00730DE4" w:rsidP="00F70EB4">
            <w:pPr>
              <w:pStyle w:val="NoSpacing"/>
              <w:jc w:val="right"/>
              <w:rPr>
                <w:rStyle w:val="Strong"/>
              </w:rPr>
            </w:pPr>
          </w:p>
        </w:tc>
      </w:tr>
      <w:tr w:rsidR="00730DE4" w:rsidRPr="00730DE4" w14:paraId="1FA65BA6" w14:textId="77777777" w:rsidTr="000A2C0E">
        <w:trPr>
          <w:trHeight w:val="23"/>
        </w:trPr>
        <w:tc>
          <w:tcPr>
            <w:tcW w:w="2814"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center"/>
            <w:hideMark/>
          </w:tcPr>
          <w:p w14:paraId="20DBE9B4" w14:textId="77777777" w:rsidR="00730DE4" w:rsidRPr="00730DE4" w:rsidRDefault="00730DE4" w:rsidP="00F571AF">
            <w:pPr>
              <w:pStyle w:val="NoSpacing"/>
              <w:rPr>
                <w:i/>
                <w:iCs/>
                <w:color w:val="080C0F" w:themeColor="text1"/>
              </w:rPr>
            </w:pPr>
            <w:r w:rsidRPr="00730DE4">
              <w:rPr>
                <w:i/>
                <w:iCs/>
                <w:color w:val="080C0F" w:themeColor="text1"/>
              </w:rPr>
              <w:t>Inflows:</w:t>
            </w:r>
          </w:p>
        </w:tc>
        <w:tc>
          <w:tcPr>
            <w:tcW w:w="72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FA15A42" w14:textId="77777777" w:rsidR="00730DE4" w:rsidRPr="00730DE4" w:rsidRDefault="00730DE4" w:rsidP="00F70EB4">
            <w:pPr>
              <w:pStyle w:val="NoSpacing"/>
              <w:jc w:val="right"/>
              <w:rPr>
                <w:i/>
                <w:iCs/>
                <w:color w:val="080C0F" w:themeColor="text1"/>
              </w:rPr>
            </w:pPr>
          </w:p>
        </w:tc>
        <w:tc>
          <w:tcPr>
            <w:tcW w:w="72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C1074D6" w14:textId="77777777" w:rsidR="00730DE4" w:rsidRPr="00730DE4" w:rsidRDefault="00730DE4" w:rsidP="00F70EB4">
            <w:pPr>
              <w:pStyle w:val="NoSpacing"/>
              <w:jc w:val="right"/>
              <w:rPr>
                <w:color w:val="080C0F" w:themeColor="text1"/>
              </w:rPr>
            </w:pPr>
          </w:p>
        </w:tc>
        <w:tc>
          <w:tcPr>
            <w:tcW w:w="729"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E5F0DEE" w14:textId="77777777" w:rsidR="00730DE4" w:rsidRPr="00730DE4" w:rsidRDefault="00730DE4" w:rsidP="00F70EB4">
            <w:pPr>
              <w:pStyle w:val="NoSpacing"/>
              <w:jc w:val="right"/>
              <w:rPr>
                <w:color w:val="080C0F" w:themeColor="text1"/>
              </w:rPr>
            </w:pPr>
          </w:p>
        </w:tc>
      </w:tr>
      <w:tr w:rsidR="00730DE4" w:rsidRPr="00730DE4" w14:paraId="00651A67" w14:textId="77777777" w:rsidTr="000A2C0E">
        <w:trPr>
          <w:trHeight w:val="23"/>
        </w:trPr>
        <w:tc>
          <w:tcPr>
            <w:tcW w:w="2814"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center"/>
            <w:hideMark/>
          </w:tcPr>
          <w:p w14:paraId="4C16B044" w14:textId="77777777" w:rsidR="00730DE4" w:rsidRPr="00730DE4" w:rsidRDefault="00730DE4" w:rsidP="00F571AF">
            <w:pPr>
              <w:pStyle w:val="NoSpacing"/>
              <w:rPr>
                <w:color w:val="080C0F" w:themeColor="text1"/>
              </w:rPr>
            </w:pPr>
            <w:r w:rsidRPr="00730DE4">
              <w:rPr>
                <w:color w:val="080C0F" w:themeColor="text1"/>
              </w:rPr>
              <w:t>Not later than one year</w:t>
            </w:r>
          </w:p>
        </w:tc>
        <w:tc>
          <w:tcPr>
            <w:tcW w:w="72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D750D0D" w14:textId="77777777" w:rsidR="00730DE4" w:rsidRPr="00730DE4" w:rsidRDefault="00730DE4" w:rsidP="00F70EB4">
            <w:pPr>
              <w:pStyle w:val="NoSpacing"/>
              <w:jc w:val="right"/>
              <w:rPr>
                <w:color w:val="080C0F" w:themeColor="text1"/>
              </w:rPr>
            </w:pPr>
          </w:p>
        </w:tc>
        <w:tc>
          <w:tcPr>
            <w:tcW w:w="72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E82783A" w14:textId="77777777" w:rsidR="00730DE4" w:rsidRPr="00730DE4" w:rsidRDefault="00730DE4" w:rsidP="00F70EB4">
            <w:pPr>
              <w:pStyle w:val="NoSpacing"/>
              <w:jc w:val="right"/>
              <w:rPr>
                <w:color w:val="080C0F" w:themeColor="text1"/>
              </w:rPr>
            </w:pPr>
            <w:r w:rsidRPr="00730DE4">
              <w:rPr>
                <w:color w:val="080C0F" w:themeColor="text1"/>
              </w:rPr>
              <w:t xml:space="preserve">- </w:t>
            </w:r>
          </w:p>
        </w:tc>
        <w:tc>
          <w:tcPr>
            <w:tcW w:w="729"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E4B0E01" w14:textId="77777777" w:rsidR="00730DE4" w:rsidRPr="00730DE4" w:rsidRDefault="00730DE4" w:rsidP="00F70EB4">
            <w:pPr>
              <w:pStyle w:val="NoSpacing"/>
              <w:jc w:val="right"/>
              <w:rPr>
                <w:color w:val="080C0F" w:themeColor="text1"/>
              </w:rPr>
            </w:pPr>
            <w:r w:rsidRPr="00730DE4">
              <w:rPr>
                <w:color w:val="080C0F" w:themeColor="text1"/>
              </w:rPr>
              <w:t xml:space="preserve">- </w:t>
            </w:r>
          </w:p>
        </w:tc>
      </w:tr>
      <w:tr w:rsidR="00730DE4" w:rsidRPr="00730DE4" w14:paraId="4DC5C0EA" w14:textId="77777777" w:rsidTr="000A2C0E">
        <w:trPr>
          <w:trHeight w:val="23"/>
        </w:trPr>
        <w:tc>
          <w:tcPr>
            <w:tcW w:w="2814"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center"/>
            <w:hideMark/>
          </w:tcPr>
          <w:p w14:paraId="41B29352" w14:textId="77777777" w:rsidR="00730DE4" w:rsidRPr="00730DE4" w:rsidRDefault="00730DE4" w:rsidP="00F571AF">
            <w:pPr>
              <w:pStyle w:val="NoSpacing"/>
              <w:rPr>
                <w:color w:val="080C0F" w:themeColor="text1"/>
              </w:rPr>
            </w:pPr>
            <w:r w:rsidRPr="00730DE4">
              <w:rPr>
                <w:color w:val="080C0F" w:themeColor="text1"/>
              </w:rPr>
              <w:t>Later than one year but not later than five years</w:t>
            </w:r>
          </w:p>
        </w:tc>
        <w:tc>
          <w:tcPr>
            <w:tcW w:w="72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ACA8994" w14:textId="77777777" w:rsidR="00730DE4" w:rsidRPr="00730DE4" w:rsidRDefault="00730DE4" w:rsidP="00F70EB4">
            <w:pPr>
              <w:pStyle w:val="NoSpacing"/>
              <w:jc w:val="right"/>
              <w:rPr>
                <w:color w:val="080C0F" w:themeColor="text1"/>
              </w:rPr>
            </w:pPr>
          </w:p>
        </w:tc>
        <w:tc>
          <w:tcPr>
            <w:tcW w:w="72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70CE45B" w14:textId="77777777" w:rsidR="00730DE4" w:rsidRPr="00730DE4" w:rsidRDefault="00730DE4" w:rsidP="00F70EB4">
            <w:pPr>
              <w:pStyle w:val="NoSpacing"/>
              <w:jc w:val="right"/>
              <w:rPr>
                <w:color w:val="080C0F" w:themeColor="text1"/>
              </w:rPr>
            </w:pPr>
            <w:r w:rsidRPr="00730DE4">
              <w:rPr>
                <w:color w:val="080C0F" w:themeColor="text1"/>
              </w:rPr>
              <w:t xml:space="preserve">- </w:t>
            </w:r>
          </w:p>
        </w:tc>
        <w:tc>
          <w:tcPr>
            <w:tcW w:w="729"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4A15EFC" w14:textId="77777777" w:rsidR="00730DE4" w:rsidRPr="00730DE4" w:rsidRDefault="00730DE4" w:rsidP="00F70EB4">
            <w:pPr>
              <w:pStyle w:val="NoSpacing"/>
              <w:jc w:val="right"/>
              <w:rPr>
                <w:color w:val="080C0F" w:themeColor="text1"/>
              </w:rPr>
            </w:pPr>
            <w:r w:rsidRPr="00730DE4">
              <w:rPr>
                <w:color w:val="080C0F" w:themeColor="text1"/>
              </w:rPr>
              <w:t xml:space="preserve">- </w:t>
            </w:r>
          </w:p>
        </w:tc>
      </w:tr>
      <w:tr w:rsidR="00730DE4" w:rsidRPr="00730DE4" w14:paraId="3409EBBF" w14:textId="77777777" w:rsidTr="000A2C0E">
        <w:trPr>
          <w:trHeight w:val="23"/>
        </w:trPr>
        <w:tc>
          <w:tcPr>
            <w:tcW w:w="2814"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center"/>
            <w:hideMark/>
          </w:tcPr>
          <w:p w14:paraId="3686A2E8" w14:textId="77777777" w:rsidR="00730DE4" w:rsidRPr="00730DE4" w:rsidRDefault="00730DE4" w:rsidP="00F571AF">
            <w:pPr>
              <w:pStyle w:val="NoSpacing"/>
              <w:rPr>
                <w:color w:val="080C0F" w:themeColor="text1"/>
              </w:rPr>
            </w:pPr>
            <w:r w:rsidRPr="00730DE4">
              <w:rPr>
                <w:color w:val="080C0F" w:themeColor="text1"/>
              </w:rPr>
              <w:t>Later than five years but not later than ten years</w:t>
            </w:r>
          </w:p>
        </w:tc>
        <w:tc>
          <w:tcPr>
            <w:tcW w:w="72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6246636" w14:textId="77777777" w:rsidR="00730DE4" w:rsidRPr="00730DE4" w:rsidRDefault="00730DE4" w:rsidP="00F70EB4">
            <w:pPr>
              <w:pStyle w:val="NoSpacing"/>
              <w:jc w:val="right"/>
              <w:rPr>
                <w:color w:val="080C0F" w:themeColor="text1"/>
              </w:rPr>
            </w:pPr>
          </w:p>
        </w:tc>
        <w:tc>
          <w:tcPr>
            <w:tcW w:w="72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D720DD8" w14:textId="77777777" w:rsidR="00730DE4" w:rsidRPr="00730DE4" w:rsidRDefault="00730DE4" w:rsidP="00F70EB4">
            <w:pPr>
              <w:pStyle w:val="NoSpacing"/>
              <w:jc w:val="right"/>
              <w:rPr>
                <w:color w:val="080C0F" w:themeColor="text1"/>
              </w:rPr>
            </w:pPr>
            <w:r w:rsidRPr="00730DE4">
              <w:rPr>
                <w:color w:val="080C0F" w:themeColor="text1"/>
              </w:rPr>
              <w:t xml:space="preserve">- </w:t>
            </w:r>
          </w:p>
        </w:tc>
        <w:tc>
          <w:tcPr>
            <w:tcW w:w="729"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B89E459" w14:textId="77777777" w:rsidR="00730DE4" w:rsidRPr="00730DE4" w:rsidRDefault="00730DE4" w:rsidP="00F70EB4">
            <w:pPr>
              <w:pStyle w:val="NoSpacing"/>
              <w:jc w:val="right"/>
              <w:rPr>
                <w:color w:val="080C0F" w:themeColor="text1"/>
              </w:rPr>
            </w:pPr>
            <w:r w:rsidRPr="00730DE4">
              <w:rPr>
                <w:color w:val="080C0F" w:themeColor="text1"/>
              </w:rPr>
              <w:t xml:space="preserve">- </w:t>
            </w:r>
          </w:p>
        </w:tc>
      </w:tr>
      <w:tr w:rsidR="00730DE4" w:rsidRPr="00730DE4" w14:paraId="23A75848" w14:textId="77777777" w:rsidTr="000A2C0E">
        <w:trPr>
          <w:trHeight w:val="23"/>
        </w:trPr>
        <w:tc>
          <w:tcPr>
            <w:tcW w:w="2814"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center"/>
            <w:hideMark/>
          </w:tcPr>
          <w:p w14:paraId="7BA5C7D0" w14:textId="77777777" w:rsidR="00730DE4" w:rsidRPr="00730DE4" w:rsidRDefault="00730DE4" w:rsidP="00F571AF">
            <w:pPr>
              <w:pStyle w:val="NoSpacing"/>
              <w:rPr>
                <w:color w:val="080C0F" w:themeColor="text1"/>
              </w:rPr>
            </w:pPr>
            <w:r w:rsidRPr="00730DE4">
              <w:rPr>
                <w:color w:val="080C0F" w:themeColor="text1"/>
              </w:rPr>
              <w:t>Later than ten years</w:t>
            </w:r>
          </w:p>
        </w:tc>
        <w:tc>
          <w:tcPr>
            <w:tcW w:w="72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1EF7711" w14:textId="77777777" w:rsidR="00730DE4" w:rsidRPr="00730DE4" w:rsidRDefault="00730DE4" w:rsidP="00F70EB4">
            <w:pPr>
              <w:pStyle w:val="NoSpacing"/>
              <w:jc w:val="right"/>
              <w:rPr>
                <w:color w:val="080C0F" w:themeColor="text1"/>
              </w:rPr>
            </w:pPr>
          </w:p>
        </w:tc>
        <w:tc>
          <w:tcPr>
            <w:tcW w:w="72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AB78E6E" w14:textId="77777777" w:rsidR="00730DE4" w:rsidRPr="00730DE4" w:rsidRDefault="00730DE4" w:rsidP="00F70EB4">
            <w:pPr>
              <w:pStyle w:val="NoSpacing"/>
              <w:jc w:val="right"/>
              <w:rPr>
                <w:color w:val="080C0F" w:themeColor="text1"/>
              </w:rPr>
            </w:pPr>
            <w:r w:rsidRPr="00730DE4">
              <w:rPr>
                <w:color w:val="080C0F" w:themeColor="text1"/>
              </w:rPr>
              <w:t xml:space="preserve">- </w:t>
            </w:r>
          </w:p>
        </w:tc>
        <w:tc>
          <w:tcPr>
            <w:tcW w:w="729"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EE00832" w14:textId="77777777" w:rsidR="00730DE4" w:rsidRPr="00730DE4" w:rsidRDefault="00730DE4" w:rsidP="00F70EB4">
            <w:pPr>
              <w:pStyle w:val="NoSpacing"/>
              <w:jc w:val="right"/>
              <w:rPr>
                <w:color w:val="080C0F" w:themeColor="text1"/>
              </w:rPr>
            </w:pPr>
            <w:r w:rsidRPr="00730DE4">
              <w:rPr>
                <w:color w:val="080C0F" w:themeColor="text1"/>
              </w:rPr>
              <w:t xml:space="preserve">- </w:t>
            </w:r>
          </w:p>
        </w:tc>
      </w:tr>
      <w:tr w:rsidR="00730DE4" w:rsidRPr="00730DE4" w14:paraId="1BEE76FD" w14:textId="77777777" w:rsidTr="000A2C0E">
        <w:trPr>
          <w:trHeight w:val="23"/>
        </w:trPr>
        <w:tc>
          <w:tcPr>
            <w:tcW w:w="2814"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center"/>
            <w:hideMark/>
          </w:tcPr>
          <w:p w14:paraId="65F28E35" w14:textId="77777777" w:rsidR="00730DE4" w:rsidRPr="00730DE4" w:rsidRDefault="00730DE4" w:rsidP="00F571AF">
            <w:pPr>
              <w:pStyle w:val="NoSpacing"/>
              <w:rPr>
                <w:i/>
                <w:iCs/>
                <w:color w:val="080C0F" w:themeColor="text1"/>
              </w:rPr>
            </w:pPr>
            <w:r w:rsidRPr="00730DE4">
              <w:rPr>
                <w:i/>
                <w:iCs/>
                <w:color w:val="080C0F" w:themeColor="text1"/>
              </w:rPr>
              <w:t>Outflows:</w:t>
            </w:r>
          </w:p>
        </w:tc>
        <w:tc>
          <w:tcPr>
            <w:tcW w:w="72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5466F1B" w14:textId="77777777" w:rsidR="00730DE4" w:rsidRPr="00730DE4" w:rsidRDefault="00730DE4" w:rsidP="00F70EB4">
            <w:pPr>
              <w:pStyle w:val="NoSpacing"/>
              <w:jc w:val="right"/>
              <w:rPr>
                <w:i/>
                <w:iCs/>
                <w:color w:val="080C0F" w:themeColor="text1"/>
              </w:rPr>
            </w:pPr>
          </w:p>
        </w:tc>
        <w:tc>
          <w:tcPr>
            <w:tcW w:w="72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A212F36" w14:textId="77777777" w:rsidR="00730DE4" w:rsidRPr="00730DE4" w:rsidRDefault="00730DE4" w:rsidP="00F70EB4">
            <w:pPr>
              <w:pStyle w:val="NoSpacing"/>
              <w:jc w:val="right"/>
              <w:rPr>
                <w:i/>
                <w:iCs/>
                <w:color w:val="080C0F" w:themeColor="text1"/>
              </w:rPr>
            </w:pPr>
            <w:r w:rsidRPr="00730DE4">
              <w:rPr>
                <w:i/>
                <w:iCs/>
                <w:color w:val="080C0F" w:themeColor="text1"/>
              </w:rPr>
              <w:t> </w:t>
            </w:r>
          </w:p>
        </w:tc>
        <w:tc>
          <w:tcPr>
            <w:tcW w:w="729"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61CDA47" w14:textId="77777777" w:rsidR="00730DE4" w:rsidRPr="00730DE4" w:rsidRDefault="00730DE4" w:rsidP="00F70EB4">
            <w:pPr>
              <w:pStyle w:val="NoSpacing"/>
              <w:jc w:val="right"/>
              <w:rPr>
                <w:color w:val="080C0F" w:themeColor="text1"/>
              </w:rPr>
            </w:pPr>
          </w:p>
        </w:tc>
      </w:tr>
      <w:tr w:rsidR="00730DE4" w:rsidRPr="00730DE4" w14:paraId="366DF0CA" w14:textId="77777777" w:rsidTr="000A2C0E">
        <w:trPr>
          <w:trHeight w:val="23"/>
        </w:trPr>
        <w:tc>
          <w:tcPr>
            <w:tcW w:w="2814"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center"/>
            <w:hideMark/>
          </w:tcPr>
          <w:p w14:paraId="26578D4C" w14:textId="77777777" w:rsidR="00730DE4" w:rsidRPr="00730DE4" w:rsidRDefault="00730DE4" w:rsidP="00F571AF">
            <w:pPr>
              <w:pStyle w:val="NoSpacing"/>
              <w:rPr>
                <w:color w:val="080C0F" w:themeColor="text1"/>
              </w:rPr>
            </w:pPr>
            <w:r w:rsidRPr="00730DE4">
              <w:rPr>
                <w:color w:val="080C0F" w:themeColor="text1"/>
              </w:rPr>
              <w:t>Not later than one year</w:t>
            </w:r>
          </w:p>
        </w:tc>
        <w:tc>
          <w:tcPr>
            <w:tcW w:w="72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7D457BB" w14:textId="77777777" w:rsidR="00730DE4" w:rsidRPr="00730DE4" w:rsidRDefault="00730DE4" w:rsidP="00F70EB4">
            <w:pPr>
              <w:pStyle w:val="NoSpacing"/>
              <w:jc w:val="right"/>
              <w:rPr>
                <w:color w:val="080C0F" w:themeColor="text1"/>
              </w:rPr>
            </w:pPr>
          </w:p>
        </w:tc>
        <w:tc>
          <w:tcPr>
            <w:tcW w:w="72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8366078" w14:textId="77777777" w:rsidR="00730DE4" w:rsidRPr="00730DE4" w:rsidRDefault="00730DE4" w:rsidP="00F70EB4">
            <w:pPr>
              <w:pStyle w:val="NoSpacing"/>
              <w:jc w:val="right"/>
              <w:rPr>
                <w:color w:val="080C0F" w:themeColor="text1"/>
              </w:rPr>
            </w:pPr>
            <w:r w:rsidRPr="00730DE4">
              <w:rPr>
                <w:color w:val="080C0F" w:themeColor="text1"/>
              </w:rPr>
              <w:t>(111,235)</w:t>
            </w:r>
          </w:p>
        </w:tc>
        <w:tc>
          <w:tcPr>
            <w:tcW w:w="729"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91FDCFE" w14:textId="77777777" w:rsidR="00730DE4" w:rsidRPr="00730DE4" w:rsidRDefault="00730DE4" w:rsidP="00F70EB4">
            <w:pPr>
              <w:pStyle w:val="NoSpacing"/>
              <w:jc w:val="right"/>
              <w:rPr>
                <w:color w:val="080C0F" w:themeColor="text1"/>
              </w:rPr>
            </w:pPr>
            <w:r w:rsidRPr="00730DE4">
              <w:rPr>
                <w:color w:val="080C0F" w:themeColor="text1"/>
              </w:rPr>
              <w:t>(74,426)</w:t>
            </w:r>
          </w:p>
        </w:tc>
      </w:tr>
      <w:tr w:rsidR="00730DE4" w:rsidRPr="00730DE4" w14:paraId="7D33848B" w14:textId="77777777" w:rsidTr="000A2C0E">
        <w:trPr>
          <w:trHeight w:val="23"/>
        </w:trPr>
        <w:tc>
          <w:tcPr>
            <w:tcW w:w="2814"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center"/>
            <w:hideMark/>
          </w:tcPr>
          <w:p w14:paraId="32BB3A2B" w14:textId="77777777" w:rsidR="00730DE4" w:rsidRPr="00730DE4" w:rsidRDefault="00730DE4" w:rsidP="00F571AF">
            <w:pPr>
              <w:pStyle w:val="NoSpacing"/>
              <w:rPr>
                <w:color w:val="080C0F" w:themeColor="text1"/>
              </w:rPr>
            </w:pPr>
            <w:r w:rsidRPr="00730DE4">
              <w:rPr>
                <w:color w:val="080C0F" w:themeColor="text1"/>
              </w:rPr>
              <w:t>Later than one year but not later than five years</w:t>
            </w:r>
          </w:p>
        </w:tc>
        <w:tc>
          <w:tcPr>
            <w:tcW w:w="72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3B353B8" w14:textId="77777777" w:rsidR="00730DE4" w:rsidRPr="00730DE4" w:rsidRDefault="00730DE4" w:rsidP="00F70EB4">
            <w:pPr>
              <w:pStyle w:val="NoSpacing"/>
              <w:jc w:val="right"/>
              <w:rPr>
                <w:color w:val="080C0F" w:themeColor="text1"/>
              </w:rPr>
            </w:pPr>
          </w:p>
        </w:tc>
        <w:tc>
          <w:tcPr>
            <w:tcW w:w="72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19F9A5B" w14:textId="77777777" w:rsidR="00730DE4" w:rsidRPr="00730DE4" w:rsidRDefault="00730DE4" w:rsidP="00F70EB4">
            <w:pPr>
              <w:pStyle w:val="NoSpacing"/>
              <w:jc w:val="right"/>
              <w:rPr>
                <w:color w:val="080C0F" w:themeColor="text1"/>
              </w:rPr>
            </w:pPr>
            <w:r w:rsidRPr="00730DE4">
              <w:rPr>
                <w:color w:val="080C0F" w:themeColor="text1"/>
              </w:rPr>
              <w:t>(618,187)</w:t>
            </w:r>
          </w:p>
        </w:tc>
        <w:tc>
          <w:tcPr>
            <w:tcW w:w="729"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2F146BD" w14:textId="77777777" w:rsidR="00730DE4" w:rsidRPr="00730DE4" w:rsidRDefault="00730DE4" w:rsidP="00F70EB4">
            <w:pPr>
              <w:pStyle w:val="NoSpacing"/>
              <w:jc w:val="right"/>
              <w:rPr>
                <w:color w:val="080C0F" w:themeColor="text1"/>
              </w:rPr>
            </w:pPr>
            <w:r w:rsidRPr="00730DE4">
              <w:rPr>
                <w:color w:val="080C0F" w:themeColor="text1"/>
              </w:rPr>
              <w:t>(519,774)</w:t>
            </w:r>
          </w:p>
        </w:tc>
      </w:tr>
      <w:tr w:rsidR="00730DE4" w:rsidRPr="00730DE4" w14:paraId="4611982B" w14:textId="77777777" w:rsidTr="000A2C0E">
        <w:trPr>
          <w:trHeight w:val="23"/>
        </w:trPr>
        <w:tc>
          <w:tcPr>
            <w:tcW w:w="2814"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center"/>
            <w:hideMark/>
          </w:tcPr>
          <w:p w14:paraId="3C70B811" w14:textId="77777777" w:rsidR="00730DE4" w:rsidRPr="00730DE4" w:rsidRDefault="00730DE4" w:rsidP="00F571AF">
            <w:pPr>
              <w:pStyle w:val="NoSpacing"/>
              <w:rPr>
                <w:color w:val="080C0F" w:themeColor="text1"/>
              </w:rPr>
            </w:pPr>
            <w:r w:rsidRPr="00730DE4">
              <w:rPr>
                <w:color w:val="080C0F" w:themeColor="text1"/>
              </w:rPr>
              <w:t>Later than five years but not later than ten years</w:t>
            </w:r>
          </w:p>
        </w:tc>
        <w:tc>
          <w:tcPr>
            <w:tcW w:w="72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B52406A" w14:textId="77777777" w:rsidR="00730DE4" w:rsidRPr="00730DE4" w:rsidRDefault="00730DE4" w:rsidP="00F70EB4">
            <w:pPr>
              <w:pStyle w:val="NoSpacing"/>
              <w:jc w:val="right"/>
              <w:rPr>
                <w:color w:val="080C0F" w:themeColor="text1"/>
              </w:rPr>
            </w:pPr>
          </w:p>
        </w:tc>
        <w:tc>
          <w:tcPr>
            <w:tcW w:w="72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D7DECFD" w14:textId="77777777" w:rsidR="00730DE4" w:rsidRPr="00730DE4" w:rsidRDefault="00730DE4" w:rsidP="00F70EB4">
            <w:pPr>
              <w:pStyle w:val="NoSpacing"/>
              <w:jc w:val="right"/>
              <w:rPr>
                <w:color w:val="080C0F" w:themeColor="text1"/>
              </w:rPr>
            </w:pPr>
            <w:r w:rsidRPr="00730DE4">
              <w:rPr>
                <w:color w:val="080C0F" w:themeColor="text1"/>
              </w:rPr>
              <w:t>(811,612)</w:t>
            </w:r>
          </w:p>
        </w:tc>
        <w:tc>
          <w:tcPr>
            <w:tcW w:w="729"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2F96E84" w14:textId="77777777" w:rsidR="00730DE4" w:rsidRPr="00730DE4" w:rsidRDefault="00730DE4" w:rsidP="00F70EB4">
            <w:pPr>
              <w:pStyle w:val="NoSpacing"/>
              <w:jc w:val="right"/>
              <w:rPr>
                <w:color w:val="080C0F" w:themeColor="text1"/>
              </w:rPr>
            </w:pPr>
            <w:r w:rsidRPr="00730DE4">
              <w:rPr>
                <w:color w:val="080C0F" w:themeColor="text1"/>
              </w:rPr>
              <w:t>(794,029)</w:t>
            </w:r>
          </w:p>
        </w:tc>
      </w:tr>
      <w:tr w:rsidR="00730DE4" w:rsidRPr="00730DE4" w14:paraId="4817DE78" w14:textId="77777777" w:rsidTr="000A2C0E">
        <w:trPr>
          <w:trHeight w:val="23"/>
        </w:trPr>
        <w:tc>
          <w:tcPr>
            <w:tcW w:w="2814"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center"/>
            <w:hideMark/>
          </w:tcPr>
          <w:p w14:paraId="2C0777C6" w14:textId="77777777" w:rsidR="00730DE4" w:rsidRPr="00730DE4" w:rsidRDefault="00730DE4" w:rsidP="00F571AF">
            <w:pPr>
              <w:pStyle w:val="NoSpacing"/>
              <w:rPr>
                <w:color w:val="080C0F" w:themeColor="text1"/>
              </w:rPr>
            </w:pPr>
            <w:r w:rsidRPr="00730DE4">
              <w:rPr>
                <w:color w:val="080C0F" w:themeColor="text1"/>
              </w:rPr>
              <w:t>Later than ten years</w:t>
            </w:r>
          </w:p>
        </w:tc>
        <w:tc>
          <w:tcPr>
            <w:tcW w:w="729"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358AABB7" w14:textId="77777777" w:rsidR="00730DE4" w:rsidRPr="00730DE4" w:rsidRDefault="00730DE4" w:rsidP="00F70EB4">
            <w:pPr>
              <w:pStyle w:val="NoSpacing"/>
              <w:jc w:val="right"/>
              <w:rPr>
                <w:color w:val="080C0F" w:themeColor="text1"/>
              </w:rPr>
            </w:pPr>
          </w:p>
        </w:tc>
        <w:tc>
          <w:tcPr>
            <w:tcW w:w="729"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23EA5B95" w14:textId="77777777" w:rsidR="00730DE4" w:rsidRPr="00730DE4" w:rsidRDefault="00730DE4" w:rsidP="00F70EB4">
            <w:pPr>
              <w:pStyle w:val="NoSpacing"/>
              <w:jc w:val="right"/>
              <w:rPr>
                <w:color w:val="080C0F" w:themeColor="text1"/>
              </w:rPr>
            </w:pPr>
            <w:r w:rsidRPr="00730DE4">
              <w:rPr>
                <w:color w:val="080C0F" w:themeColor="text1"/>
              </w:rPr>
              <w:t>(2,293,911)</w:t>
            </w:r>
          </w:p>
        </w:tc>
        <w:tc>
          <w:tcPr>
            <w:tcW w:w="729"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70C81D45" w14:textId="77777777" w:rsidR="00730DE4" w:rsidRPr="00730DE4" w:rsidRDefault="00730DE4" w:rsidP="00F70EB4">
            <w:pPr>
              <w:pStyle w:val="NoSpacing"/>
              <w:jc w:val="right"/>
              <w:rPr>
                <w:color w:val="080C0F" w:themeColor="text1"/>
              </w:rPr>
            </w:pPr>
            <w:r w:rsidRPr="00730DE4">
              <w:rPr>
                <w:color w:val="080C0F" w:themeColor="text1"/>
              </w:rPr>
              <w:t>(2,367,894)</w:t>
            </w:r>
          </w:p>
        </w:tc>
      </w:tr>
      <w:tr w:rsidR="00730DE4" w:rsidRPr="00730DE4" w14:paraId="5519D27F" w14:textId="77777777" w:rsidTr="000A2C0E">
        <w:tc>
          <w:tcPr>
            <w:tcW w:w="2814" w:type="pct"/>
            <w:tcBorders>
              <w:top w:val="single" w:sz="4" w:space="0" w:color="auto"/>
              <w:left w:val="nil"/>
              <w:bottom w:val="double" w:sz="4" w:space="0" w:color="auto"/>
              <w:right w:val="dashSmallGap" w:sz="4" w:space="0" w:color="BFBFBF" w:themeColor="background1" w:themeShade="BF"/>
            </w:tcBorders>
            <w:shd w:val="clear" w:color="auto" w:fill="auto"/>
            <w:noWrap/>
            <w:hideMark/>
          </w:tcPr>
          <w:p w14:paraId="56BE8BEA" w14:textId="77777777" w:rsidR="00730DE4" w:rsidRPr="00730DE4" w:rsidRDefault="00730DE4" w:rsidP="007E2686">
            <w:pPr>
              <w:pStyle w:val="NoSpacing"/>
              <w:rPr>
                <w:rStyle w:val="Strong"/>
              </w:rPr>
            </w:pPr>
            <w:r w:rsidRPr="00730DE4">
              <w:rPr>
                <w:rStyle w:val="Strong"/>
              </w:rPr>
              <w:t>Estimated net cash flow</w:t>
            </w:r>
          </w:p>
        </w:tc>
        <w:tc>
          <w:tcPr>
            <w:tcW w:w="729" w:type="pct"/>
            <w:tcBorders>
              <w:top w:val="single" w:sz="4" w:space="0" w:color="auto"/>
              <w:left w:val="dashSmallGap" w:sz="4" w:space="0" w:color="BFBFBF" w:themeColor="background1" w:themeShade="BF"/>
              <w:bottom w:val="double" w:sz="4" w:space="0" w:color="auto"/>
              <w:right w:val="dashSmallGap" w:sz="4" w:space="0" w:color="BFBFBF" w:themeColor="background1" w:themeShade="BF"/>
            </w:tcBorders>
            <w:shd w:val="clear" w:color="auto" w:fill="auto"/>
            <w:noWrap/>
            <w:hideMark/>
          </w:tcPr>
          <w:p w14:paraId="670A868B" w14:textId="77777777" w:rsidR="00730DE4" w:rsidRPr="00730DE4" w:rsidRDefault="00730DE4" w:rsidP="007E2686">
            <w:pPr>
              <w:pStyle w:val="NoSpacing"/>
              <w:jc w:val="right"/>
              <w:rPr>
                <w:color w:val="080C0F" w:themeColor="text1"/>
              </w:rPr>
            </w:pPr>
            <w:r w:rsidRPr="00730DE4">
              <w:rPr>
                <w:color w:val="080C0F" w:themeColor="text1"/>
              </w:rPr>
              <w:t> </w:t>
            </w:r>
          </w:p>
        </w:tc>
        <w:tc>
          <w:tcPr>
            <w:tcW w:w="729" w:type="pct"/>
            <w:tcBorders>
              <w:top w:val="single" w:sz="4" w:space="0" w:color="auto"/>
              <w:left w:val="dashSmallGap" w:sz="4" w:space="0" w:color="BFBFBF" w:themeColor="background1" w:themeShade="BF"/>
              <w:bottom w:val="double" w:sz="4" w:space="0" w:color="auto"/>
              <w:right w:val="dashSmallGap" w:sz="4" w:space="0" w:color="BFBFBF" w:themeColor="background1" w:themeShade="BF"/>
            </w:tcBorders>
            <w:shd w:val="clear" w:color="auto" w:fill="F2F2F2" w:themeFill="background1" w:themeFillShade="F2"/>
            <w:noWrap/>
            <w:hideMark/>
          </w:tcPr>
          <w:p w14:paraId="19D869FA" w14:textId="77777777" w:rsidR="00730DE4" w:rsidRPr="00730DE4" w:rsidRDefault="00730DE4" w:rsidP="007E2686">
            <w:pPr>
              <w:pStyle w:val="NoSpacing"/>
              <w:jc w:val="right"/>
              <w:rPr>
                <w:rStyle w:val="Strong"/>
              </w:rPr>
            </w:pPr>
            <w:r w:rsidRPr="00730DE4">
              <w:rPr>
                <w:rStyle w:val="Strong"/>
              </w:rPr>
              <w:t>(3,834,945)</w:t>
            </w:r>
          </w:p>
        </w:tc>
        <w:tc>
          <w:tcPr>
            <w:tcW w:w="729" w:type="pct"/>
            <w:tcBorders>
              <w:top w:val="single" w:sz="4" w:space="0" w:color="auto"/>
              <w:left w:val="dashSmallGap" w:sz="4" w:space="0" w:color="BFBFBF" w:themeColor="background1" w:themeShade="BF"/>
              <w:bottom w:val="double" w:sz="4" w:space="0" w:color="auto"/>
              <w:right w:val="nil"/>
            </w:tcBorders>
            <w:shd w:val="clear" w:color="auto" w:fill="auto"/>
            <w:noWrap/>
            <w:hideMark/>
          </w:tcPr>
          <w:p w14:paraId="1E664961" w14:textId="77777777" w:rsidR="00730DE4" w:rsidRPr="00730DE4" w:rsidRDefault="00730DE4" w:rsidP="007E2686">
            <w:pPr>
              <w:pStyle w:val="NoSpacing"/>
              <w:jc w:val="right"/>
              <w:rPr>
                <w:rStyle w:val="Strong"/>
              </w:rPr>
            </w:pPr>
            <w:r w:rsidRPr="00730DE4">
              <w:rPr>
                <w:rStyle w:val="Strong"/>
              </w:rPr>
              <w:t>(3,756,123)</w:t>
            </w:r>
          </w:p>
        </w:tc>
      </w:tr>
      <w:tr w:rsidR="00730DE4" w:rsidRPr="00730DE4" w14:paraId="0B533A78" w14:textId="77777777" w:rsidTr="000A2C0E">
        <w:trPr>
          <w:trHeight w:val="454"/>
        </w:trPr>
        <w:tc>
          <w:tcPr>
            <w:tcW w:w="2814" w:type="pct"/>
            <w:tcBorders>
              <w:top w:val="doub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5AAD3E2F" w14:textId="77777777" w:rsidR="00730DE4" w:rsidRPr="00730DE4" w:rsidRDefault="00730DE4" w:rsidP="00F70EB4">
            <w:pPr>
              <w:pStyle w:val="NoSpacing"/>
              <w:rPr>
                <w:color w:val="080C0F" w:themeColor="text1"/>
              </w:rPr>
            </w:pPr>
            <w:r w:rsidRPr="00730DE4">
              <w:rPr>
                <w:rStyle w:val="Strong"/>
              </w:rPr>
              <w:t>Operating statement impact</w:t>
            </w:r>
          </w:p>
        </w:tc>
        <w:tc>
          <w:tcPr>
            <w:tcW w:w="729"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43376811" w14:textId="77777777" w:rsidR="00730DE4" w:rsidRPr="00730DE4" w:rsidRDefault="00730DE4" w:rsidP="00F70EB4">
            <w:pPr>
              <w:pStyle w:val="NoSpacing"/>
              <w:jc w:val="right"/>
              <w:rPr>
                <w:rStyle w:val="Strong"/>
              </w:rPr>
            </w:pPr>
          </w:p>
        </w:tc>
        <w:tc>
          <w:tcPr>
            <w:tcW w:w="729"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3FA02998" w14:textId="77777777" w:rsidR="00730DE4" w:rsidRPr="00730DE4" w:rsidRDefault="00730DE4" w:rsidP="00F70EB4">
            <w:pPr>
              <w:pStyle w:val="NoSpacing"/>
              <w:jc w:val="right"/>
              <w:rPr>
                <w:color w:val="080C0F" w:themeColor="text1"/>
              </w:rPr>
            </w:pPr>
          </w:p>
        </w:tc>
        <w:tc>
          <w:tcPr>
            <w:tcW w:w="729" w:type="pct"/>
            <w:tcBorders>
              <w:top w:val="double" w:sz="4" w:space="0" w:color="auto"/>
              <w:left w:val="dotted" w:sz="4" w:space="0" w:color="BFBFBF" w:themeColor="background1" w:themeShade="BF"/>
              <w:bottom w:val="dotted" w:sz="4" w:space="0" w:color="BFBFBF" w:themeColor="background1" w:themeShade="BF"/>
              <w:right w:val="nil"/>
            </w:tcBorders>
            <w:shd w:val="clear" w:color="auto" w:fill="auto"/>
            <w:noWrap/>
            <w:vAlign w:val="bottom"/>
          </w:tcPr>
          <w:p w14:paraId="7E6888C0" w14:textId="77777777" w:rsidR="00730DE4" w:rsidRPr="00730DE4" w:rsidRDefault="00730DE4" w:rsidP="00F70EB4">
            <w:pPr>
              <w:pStyle w:val="NoSpacing"/>
              <w:jc w:val="right"/>
              <w:rPr>
                <w:color w:val="080C0F" w:themeColor="text1"/>
              </w:rPr>
            </w:pPr>
          </w:p>
        </w:tc>
      </w:tr>
      <w:tr w:rsidR="00730DE4" w:rsidRPr="00730DE4" w14:paraId="66EC0402" w14:textId="77777777" w:rsidTr="000A2C0E">
        <w:tc>
          <w:tcPr>
            <w:tcW w:w="2814"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12F6C5DE" w14:textId="77777777" w:rsidR="00730DE4" w:rsidRPr="00730DE4" w:rsidRDefault="00730DE4" w:rsidP="00144838">
            <w:pPr>
              <w:pStyle w:val="NoSpacing"/>
              <w:rPr>
                <w:color w:val="080C0F" w:themeColor="text1"/>
              </w:rPr>
            </w:pPr>
            <w:r w:rsidRPr="00730DE4">
              <w:rPr>
                <w:rStyle w:val="Strong"/>
              </w:rPr>
              <w:t>Expenses</w:t>
            </w:r>
          </w:p>
        </w:tc>
        <w:tc>
          <w:tcPr>
            <w:tcW w:w="72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01198F0" w14:textId="77777777" w:rsidR="00730DE4" w:rsidRPr="00730DE4" w:rsidRDefault="00730DE4" w:rsidP="00144838">
            <w:pPr>
              <w:pStyle w:val="NoSpacing"/>
              <w:rPr>
                <w:rStyle w:val="Strong"/>
              </w:rPr>
            </w:pPr>
          </w:p>
        </w:tc>
        <w:tc>
          <w:tcPr>
            <w:tcW w:w="72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E24E702" w14:textId="77777777" w:rsidR="00730DE4" w:rsidRPr="00730DE4" w:rsidRDefault="00730DE4" w:rsidP="00144838">
            <w:pPr>
              <w:pStyle w:val="NoSpacing"/>
              <w:rPr>
                <w:color w:val="080C0F" w:themeColor="text1"/>
              </w:rPr>
            </w:pPr>
          </w:p>
        </w:tc>
        <w:tc>
          <w:tcPr>
            <w:tcW w:w="729"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48BF1DEE" w14:textId="77777777" w:rsidR="00730DE4" w:rsidRPr="00730DE4" w:rsidRDefault="00730DE4" w:rsidP="00144838">
            <w:pPr>
              <w:pStyle w:val="NoSpacing"/>
              <w:rPr>
                <w:color w:val="080C0F" w:themeColor="text1"/>
              </w:rPr>
            </w:pPr>
          </w:p>
        </w:tc>
      </w:tr>
      <w:tr w:rsidR="00730DE4" w:rsidRPr="00730DE4" w14:paraId="057668E5" w14:textId="77777777" w:rsidTr="000A2C0E">
        <w:trPr>
          <w:trHeight w:val="23"/>
        </w:trPr>
        <w:tc>
          <w:tcPr>
            <w:tcW w:w="2814"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center"/>
            <w:hideMark/>
          </w:tcPr>
          <w:p w14:paraId="0762A4AF" w14:textId="77777777" w:rsidR="00730DE4" w:rsidRPr="00730DE4" w:rsidRDefault="00730DE4" w:rsidP="00F571AF">
            <w:pPr>
              <w:pStyle w:val="NoSpacing"/>
              <w:rPr>
                <w:color w:val="080C0F" w:themeColor="text1"/>
              </w:rPr>
            </w:pPr>
            <w:r w:rsidRPr="00730DE4">
              <w:rPr>
                <w:color w:val="080C0F" w:themeColor="text1"/>
              </w:rPr>
              <w:t>Depreciation</w:t>
            </w:r>
          </w:p>
        </w:tc>
        <w:tc>
          <w:tcPr>
            <w:tcW w:w="72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E548CE3" w14:textId="77777777" w:rsidR="00730DE4" w:rsidRPr="00730DE4" w:rsidRDefault="00730DE4" w:rsidP="00F70EB4">
            <w:pPr>
              <w:pStyle w:val="NoSpacing"/>
              <w:jc w:val="right"/>
              <w:rPr>
                <w:color w:val="080C0F" w:themeColor="text1"/>
              </w:rPr>
            </w:pPr>
            <w:r w:rsidRPr="00730DE4">
              <w:rPr>
                <w:color w:val="080C0F" w:themeColor="text1"/>
              </w:rPr>
              <w:t xml:space="preserve">10 </w:t>
            </w:r>
          </w:p>
        </w:tc>
        <w:tc>
          <w:tcPr>
            <w:tcW w:w="72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CADCCF6" w14:textId="77777777" w:rsidR="00730DE4" w:rsidRPr="00730DE4" w:rsidRDefault="00730DE4" w:rsidP="00F70EB4">
            <w:pPr>
              <w:pStyle w:val="NoSpacing"/>
              <w:jc w:val="right"/>
              <w:rPr>
                <w:color w:val="080C0F" w:themeColor="text1"/>
              </w:rPr>
            </w:pPr>
            <w:r w:rsidRPr="00730DE4">
              <w:rPr>
                <w:color w:val="080C0F" w:themeColor="text1"/>
              </w:rPr>
              <w:t xml:space="preserve">61,259 </w:t>
            </w:r>
          </w:p>
        </w:tc>
        <w:tc>
          <w:tcPr>
            <w:tcW w:w="729"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29CD3CE" w14:textId="77777777" w:rsidR="00730DE4" w:rsidRPr="00730DE4" w:rsidRDefault="00730DE4" w:rsidP="00F70EB4">
            <w:pPr>
              <w:pStyle w:val="NoSpacing"/>
              <w:jc w:val="right"/>
              <w:rPr>
                <w:color w:val="080C0F" w:themeColor="text1"/>
              </w:rPr>
            </w:pPr>
            <w:r w:rsidRPr="00730DE4">
              <w:rPr>
                <w:color w:val="080C0F" w:themeColor="text1"/>
              </w:rPr>
              <w:t xml:space="preserve">54,660 </w:t>
            </w:r>
          </w:p>
        </w:tc>
      </w:tr>
      <w:tr w:rsidR="00730DE4" w:rsidRPr="00730DE4" w14:paraId="252F6866" w14:textId="77777777" w:rsidTr="000A2C0E">
        <w:trPr>
          <w:trHeight w:val="23"/>
        </w:trPr>
        <w:tc>
          <w:tcPr>
            <w:tcW w:w="2814"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center"/>
            <w:hideMark/>
          </w:tcPr>
          <w:p w14:paraId="2AA2D1C4" w14:textId="77777777" w:rsidR="00730DE4" w:rsidRPr="00730DE4" w:rsidRDefault="00730DE4" w:rsidP="00F571AF">
            <w:pPr>
              <w:pStyle w:val="NoSpacing"/>
              <w:rPr>
                <w:color w:val="080C0F" w:themeColor="text1"/>
              </w:rPr>
            </w:pPr>
            <w:r w:rsidRPr="00730DE4">
              <w:rPr>
                <w:color w:val="080C0F" w:themeColor="text1"/>
              </w:rPr>
              <w:t>Interest</w:t>
            </w:r>
          </w:p>
        </w:tc>
        <w:tc>
          <w:tcPr>
            <w:tcW w:w="72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3560500" w14:textId="77777777" w:rsidR="00730DE4" w:rsidRPr="00730DE4" w:rsidRDefault="00730DE4" w:rsidP="00F70EB4">
            <w:pPr>
              <w:pStyle w:val="NoSpacing"/>
              <w:jc w:val="right"/>
              <w:rPr>
                <w:color w:val="080C0F" w:themeColor="text1"/>
              </w:rPr>
            </w:pPr>
            <w:r w:rsidRPr="00730DE4">
              <w:rPr>
                <w:color w:val="080C0F" w:themeColor="text1"/>
              </w:rPr>
              <w:t xml:space="preserve">9 </w:t>
            </w:r>
          </w:p>
        </w:tc>
        <w:tc>
          <w:tcPr>
            <w:tcW w:w="72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60A9EB3" w14:textId="77777777" w:rsidR="00730DE4" w:rsidRPr="00730DE4" w:rsidRDefault="00730DE4" w:rsidP="00F70EB4">
            <w:pPr>
              <w:pStyle w:val="NoSpacing"/>
              <w:jc w:val="right"/>
              <w:rPr>
                <w:color w:val="080C0F" w:themeColor="text1"/>
              </w:rPr>
            </w:pPr>
            <w:r w:rsidRPr="00730DE4">
              <w:rPr>
                <w:color w:val="080C0F" w:themeColor="text1"/>
              </w:rPr>
              <w:t xml:space="preserve">57,790 </w:t>
            </w:r>
          </w:p>
        </w:tc>
        <w:tc>
          <w:tcPr>
            <w:tcW w:w="729"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07720BA" w14:textId="77777777" w:rsidR="00730DE4" w:rsidRPr="00730DE4" w:rsidRDefault="00730DE4" w:rsidP="00F70EB4">
            <w:pPr>
              <w:pStyle w:val="NoSpacing"/>
              <w:jc w:val="right"/>
              <w:rPr>
                <w:color w:val="080C0F" w:themeColor="text1"/>
              </w:rPr>
            </w:pPr>
            <w:r w:rsidRPr="00730DE4">
              <w:rPr>
                <w:color w:val="080C0F" w:themeColor="text1"/>
              </w:rPr>
              <w:t xml:space="preserve">50,297 </w:t>
            </w:r>
          </w:p>
        </w:tc>
      </w:tr>
      <w:tr w:rsidR="00730DE4" w:rsidRPr="00730DE4" w14:paraId="14BDF3DF" w14:textId="77777777" w:rsidTr="000A2C0E">
        <w:trPr>
          <w:trHeight w:val="23"/>
        </w:trPr>
        <w:tc>
          <w:tcPr>
            <w:tcW w:w="2814"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center"/>
            <w:hideMark/>
          </w:tcPr>
          <w:p w14:paraId="26C4C907" w14:textId="77777777" w:rsidR="00730DE4" w:rsidRPr="00730DE4" w:rsidRDefault="00730DE4" w:rsidP="00F571AF">
            <w:pPr>
              <w:pStyle w:val="NoSpacing"/>
              <w:rPr>
                <w:color w:val="080C0F" w:themeColor="text1"/>
              </w:rPr>
            </w:pPr>
            <w:r w:rsidRPr="00730DE4">
              <w:rPr>
                <w:color w:val="080C0F" w:themeColor="text1"/>
              </w:rPr>
              <w:t>Service expenses</w:t>
            </w:r>
          </w:p>
        </w:tc>
        <w:tc>
          <w:tcPr>
            <w:tcW w:w="729"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6660DF51" w14:textId="77777777" w:rsidR="00730DE4" w:rsidRPr="00730DE4" w:rsidRDefault="00730DE4" w:rsidP="00F70EB4">
            <w:pPr>
              <w:pStyle w:val="NoSpacing"/>
              <w:jc w:val="right"/>
              <w:rPr>
                <w:color w:val="080C0F" w:themeColor="text1"/>
              </w:rPr>
            </w:pPr>
          </w:p>
        </w:tc>
        <w:tc>
          <w:tcPr>
            <w:tcW w:w="729"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2D641519" w14:textId="77777777" w:rsidR="00730DE4" w:rsidRPr="00730DE4" w:rsidRDefault="00730DE4" w:rsidP="00F70EB4">
            <w:pPr>
              <w:pStyle w:val="NoSpacing"/>
              <w:jc w:val="right"/>
              <w:rPr>
                <w:color w:val="080C0F" w:themeColor="text1"/>
              </w:rPr>
            </w:pPr>
            <w:r w:rsidRPr="00730DE4">
              <w:rPr>
                <w:color w:val="080C0F" w:themeColor="text1"/>
              </w:rPr>
              <w:t xml:space="preserve">45,906 </w:t>
            </w:r>
          </w:p>
        </w:tc>
        <w:tc>
          <w:tcPr>
            <w:tcW w:w="729"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738A1E6B" w14:textId="77777777" w:rsidR="00730DE4" w:rsidRPr="00730DE4" w:rsidRDefault="00730DE4" w:rsidP="00F70EB4">
            <w:pPr>
              <w:pStyle w:val="NoSpacing"/>
              <w:jc w:val="right"/>
              <w:rPr>
                <w:color w:val="080C0F" w:themeColor="text1"/>
              </w:rPr>
            </w:pPr>
            <w:r w:rsidRPr="00730DE4">
              <w:rPr>
                <w:color w:val="080C0F" w:themeColor="text1"/>
              </w:rPr>
              <w:t xml:space="preserve">48,947 </w:t>
            </w:r>
          </w:p>
        </w:tc>
      </w:tr>
      <w:tr w:rsidR="00730DE4" w:rsidRPr="00730DE4" w14:paraId="7EDFCEF9" w14:textId="77777777" w:rsidTr="001B3DCC">
        <w:tc>
          <w:tcPr>
            <w:tcW w:w="2814" w:type="pct"/>
            <w:tcBorders>
              <w:top w:val="single" w:sz="4" w:space="0" w:color="auto"/>
              <w:left w:val="nil"/>
              <w:bottom w:val="double" w:sz="4" w:space="0" w:color="auto"/>
              <w:right w:val="dashSmallGap" w:sz="4" w:space="0" w:color="BFBFBF" w:themeColor="background1" w:themeShade="BF"/>
            </w:tcBorders>
            <w:shd w:val="clear" w:color="auto" w:fill="auto"/>
            <w:noWrap/>
            <w:hideMark/>
          </w:tcPr>
          <w:p w14:paraId="5641755F" w14:textId="77777777" w:rsidR="00730DE4" w:rsidRPr="00730DE4" w:rsidRDefault="00730DE4" w:rsidP="007E2686">
            <w:pPr>
              <w:pStyle w:val="NoSpacing"/>
              <w:rPr>
                <w:rStyle w:val="Strong"/>
              </w:rPr>
            </w:pPr>
            <w:r w:rsidRPr="00730DE4">
              <w:rPr>
                <w:rStyle w:val="Strong"/>
              </w:rPr>
              <w:t>Net impact on operating result</w:t>
            </w:r>
          </w:p>
        </w:tc>
        <w:tc>
          <w:tcPr>
            <w:tcW w:w="729" w:type="pct"/>
            <w:tcBorders>
              <w:top w:val="single" w:sz="4" w:space="0" w:color="auto"/>
              <w:left w:val="dashSmallGap" w:sz="4" w:space="0" w:color="BFBFBF" w:themeColor="background1" w:themeShade="BF"/>
              <w:bottom w:val="double" w:sz="4" w:space="0" w:color="auto"/>
              <w:right w:val="dashSmallGap" w:sz="4" w:space="0" w:color="BFBFBF" w:themeColor="background1" w:themeShade="BF"/>
            </w:tcBorders>
            <w:shd w:val="clear" w:color="auto" w:fill="auto"/>
            <w:noWrap/>
            <w:hideMark/>
          </w:tcPr>
          <w:p w14:paraId="2840A2AB" w14:textId="77777777" w:rsidR="00730DE4" w:rsidRPr="00730DE4" w:rsidRDefault="00730DE4" w:rsidP="007E2686">
            <w:pPr>
              <w:pStyle w:val="NoSpacing"/>
              <w:jc w:val="right"/>
              <w:rPr>
                <w:color w:val="080C0F" w:themeColor="text1"/>
              </w:rPr>
            </w:pPr>
            <w:r w:rsidRPr="00730DE4">
              <w:rPr>
                <w:color w:val="080C0F" w:themeColor="text1"/>
              </w:rPr>
              <w:t> </w:t>
            </w:r>
          </w:p>
        </w:tc>
        <w:tc>
          <w:tcPr>
            <w:tcW w:w="729" w:type="pct"/>
            <w:tcBorders>
              <w:top w:val="single" w:sz="4" w:space="0" w:color="auto"/>
              <w:left w:val="dashSmallGap" w:sz="4" w:space="0" w:color="BFBFBF" w:themeColor="background1" w:themeShade="BF"/>
              <w:bottom w:val="double" w:sz="4" w:space="0" w:color="auto"/>
              <w:right w:val="dashSmallGap" w:sz="4" w:space="0" w:color="BFBFBF" w:themeColor="background1" w:themeShade="BF"/>
            </w:tcBorders>
            <w:shd w:val="clear" w:color="auto" w:fill="F2F2F2" w:themeFill="background1" w:themeFillShade="F2"/>
            <w:noWrap/>
            <w:hideMark/>
          </w:tcPr>
          <w:p w14:paraId="52AD35D7" w14:textId="77777777" w:rsidR="00730DE4" w:rsidRPr="00730DE4" w:rsidRDefault="00730DE4" w:rsidP="007E2686">
            <w:pPr>
              <w:pStyle w:val="NoSpacing"/>
              <w:jc w:val="right"/>
              <w:rPr>
                <w:rStyle w:val="Strong"/>
              </w:rPr>
            </w:pPr>
            <w:r w:rsidRPr="00730DE4">
              <w:rPr>
                <w:rStyle w:val="Strong"/>
              </w:rPr>
              <w:t>(164,955)</w:t>
            </w:r>
          </w:p>
        </w:tc>
        <w:tc>
          <w:tcPr>
            <w:tcW w:w="729" w:type="pct"/>
            <w:tcBorders>
              <w:top w:val="single" w:sz="4" w:space="0" w:color="auto"/>
              <w:left w:val="dashSmallGap" w:sz="4" w:space="0" w:color="BFBFBF" w:themeColor="background1" w:themeShade="BF"/>
              <w:bottom w:val="double" w:sz="4" w:space="0" w:color="auto"/>
              <w:right w:val="nil"/>
            </w:tcBorders>
            <w:shd w:val="clear" w:color="auto" w:fill="auto"/>
            <w:noWrap/>
            <w:hideMark/>
          </w:tcPr>
          <w:p w14:paraId="59F74A07" w14:textId="77777777" w:rsidR="00730DE4" w:rsidRPr="00730DE4" w:rsidRDefault="00730DE4" w:rsidP="007E2686">
            <w:pPr>
              <w:pStyle w:val="NoSpacing"/>
              <w:jc w:val="right"/>
              <w:rPr>
                <w:rStyle w:val="Strong"/>
              </w:rPr>
            </w:pPr>
            <w:r w:rsidRPr="00730DE4">
              <w:rPr>
                <w:rStyle w:val="Strong"/>
              </w:rPr>
              <w:t>(153,904)</w:t>
            </w:r>
          </w:p>
        </w:tc>
      </w:tr>
    </w:tbl>
    <w:p w14:paraId="6B141DE4" w14:textId="77777777" w:rsidR="00730DE4" w:rsidRPr="00730DE4" w:rsidRDefault="00730DE4" w:rsidP="00D16D4F">
      <w:pPr>
        <w:pStyle w:val="Heading4"/>
      </w:pPr>
      <w:r w:rsidRPr="00730DE4">
        <w:br w:type="page"/>
      </w:r>
    </w:p>
    <w:p w14:paraId="7DCBA258" w14:textId="77777777" w:rsidR="00730DE4" w:rsidRPr="00730DE4" w:rsidRDefault="00730DE4" w:rsidP="00D16D4F">
      <w:pPr>
        <w:pStyle w:val="Heading4"/>
      </w:pPr>
      <w:bookmarkStart w:id="1539" w:name="_Toc179365612"/>
      <w:bookmarkStart w:id="1540" w:name="_Toc180490941"/>
      <w:bookmarkStart w:id="1541" w:name="_Toc180491974"/>
      <w:r w:rsidRPr="00730DE4">
        <w:t>17 Leases</w:t>
      </w:r>
      <w:bookmarkEnd w:id="1539"/>
      <w:bookmarkEnd w:id="1540"/>
      <w:bookmarkEnd w:id="1541"/>
    </w:p>
    <w:p w14:paraId="0820072D" w14:textId="77777777" w:rsidR="00730DE4" w:rsidRPr="00730DE4" w:rsidRDefault="00730DE4" w:rsidP="000A2C0E">
      <w:pPr>
        <w:pStyle w:val="Heading5"/>
      </w:pPr>
      <w:bookmarkStart w:id="1542" w:name="_Toc180487737"/>
      <w:bookmarkStart w:id="1543" w:name="_Toc180490942"/>
      <w:bookmarkStart w:id="1544" w:name="_Toc180491975"/>
      <w:r w:rsidRPr="00730DE4">
        <w:t>Leases as lessee</w:t>
      </w:r>
      <w:bookmarkEnd w:id="1542"/>
      <w:bookmarkEnd w:id="1543"/>
      <w:bookmarkEnd w:id="1544"/>
    </w:p>
    <w:p w14:paraId="4FC010E7" w14:textId="77777777" w:rsidR="00730DE4" w:rsidRPr="00730DE4" w:rsidRDefault="00730DE4" w:rsidP="00F571AF">
      <w:pPr>
        <w:pStyle w:val="NoSpacing"/>
      </w:pPr>
    </w:p>
    <w:tbl>
      <w:tblPr>
        <w:tblW w:w="5000" w:type="pct"/>
        <w:tblCellMar>
          <w:top w:w="23" w:type="dxa"/>
          <w:left w:w="23" w:type="dxa"/>
          <w:bottom w:w="23" w:type="dxa"/>
          <w:right w:w="23" w:type="dxa"/>
        </w:tblCellMar>
        <w:tblLook w:val="04A0" w:firstRow="1" w:lastRow="0" w:firstColumn="1" w:lastColumn="0" w:noHBand="0" w:noVBand="1"/>
      </w:tblPr>
      <w:tblGrid>
        <w:gridCol w:w="3686"/>
        <w:gridCol w:w="1346"/>
        <w:gridCol w:w="1346"/>
        <w:gridCol w:w="1346"/>
        <w:gridCol w:w="1346"/>
      </w:tblGrid>
      <w:tr w:rsidR="00730DE4" w:rsidRPr="00730DE4" w14:paraId="4A56523F" w14:textId="77777777" w:rsidTr="00A85CE5">
        <w:tc>
          <w:tcPr>
            <w:tcW w:w="2032" w:type="pct"/>
            <w:tcBorders>
              <w:top w:val="nil"/>
              <w:left w:val="nil"/>
              <w:bottom w:val="single" w:sz="4" w:space="0" w:color="auto"/>
              <w:right w:val="nil"/>
            </w:tcBorders>
            <w:shd w:val="clear" w:color="auto" w:fill="auto"/>
            <w:noWrap/>
            <w:vAlign w:val="bottom"/>
            <w:hideMark/>
          </w:tcPr>
          <w:p w14:paraId="165559AB" w14:textId="77777777" w:rsidR="00730DE4" w:rsidRPr="00730DE4" w:rsidRDefault="00730DE4" w:rsidP="00F70EB4">
            <w:pPr>
              <w:pStyle w:val="NoSpacing"/>
              <w:rPr>
                <w:rStyle w:val="Strong"/>
              </w:rPr>
            </w:pPr>
            <w:r w:rsidRPr="00730DE4">
              <w:rPr>
                <w:rStyle w:val="Strong"/>
              </w:rPr>
              <w:t>Right-of-use assets</w:t>
            </w:r>
          </w:p>
        </w:tc>
        <w:tc>
          <w:tcPr>
            <w:tcW w:w="742" w:type="pct"/>
            <w:tcBorders>
              <w:top w:val="nil"/>
              <w:left w:val="nil"/>
              <w:bottom w:val="single" w:sz="4" w:space="0" w:color="auto"/>
              <w:right w:val="nil"/>
            </w:tcBorders>
            <w:shd w:val="clear" w:color="auto" w:fill="auto"/>
            <w:noWrap/>
            <w:vAlign w:val="bottom"/>
            <w:hideMark/>
          </w:tcPr>
          <w:p w14:paraId="635DB03D" w14:textId="77777777" w:rsidR="00730DE4" w:rsidRPr="00730DE4" w:rsidRDefault="00730DE4" w:rsidP="00F70EB4">
            <w:pPr>
              <w:pStyle w:val="NoSpacing"/>
              <w:jc w:val="right"/>
              <w:rPr>
                <w:color w:val="080C0F" w:themeColor="text1"/>
              </w:rPr>
            </w:pPr>
            <w:r w:rsidRPr="00730DE4">
              <w:rPr>
                <w:rStyle w:val="Strong"/>
              </w:rPr>
              <w:t>Note</w:t>
            </w:r>
          </w:p>
        </w:tc>
        <w:tc>
          <w:tcPr>
            <w:tcW w:w="742" w:type="pct"/>
            <w:tcBorders>
              <w:top w:val="nil"/>
              <w:left w:val="nil"/>
              <w:bottom w:val="single" w:sz="4" w:space="0" w:color="auto"/>
              <w:right w:val="nil"/>
            </w:tcBorders>
            <w:shd w:val="clear" w:color="auto" w:fill="auto"/>
            <w:vAlign w:val="bottom"/>
            <w:hideMark/>
          </w:tcPr>
          <w:p w14:paraId="1C3EFA11" w14:textId="77777777" w:rsidR="00730DE4" w:rsidRPr="00730DE4" w:rsidRDefault="00730DE4" w:rsidP="00F70EB4">
            <w:pPr>
              <w:pStyle w:val="NoSpacing"/>
              <w:jc w:val="right"/>
              <w:rPr>
                <w:color w:val="080C0F" w:themeColor="text1"/>
              </w:rPr>
            </w:pPr>
            <w:r w:rsidRPr="00730DE4">
              <w:rPr>
                <w:rStyle w:val="Strong"/>
              </w:rPr>
              <w:t>Buildings</w:t>
            </w:r>
            <w:r w:rsidRPr="00730DE4">
              <w:rPr>
                <w:rStyle w:val="Strong"/>
              </w:rPr>
              <w:br/>
              <w:t xml:space="preserve"> </w:t>
            </w:r>
            <w:r w:rsidRPr="00730DE4">
              <w:rPr>
                <w:rStyle w:val="Strong"/>
              </w:rPr>
              <w:br/>
            </w:r>
            <w:r w:rsidRPr="00730DE4">
              <w:rPr>
                <w:rStyle w:val="Strong"/>
              </w:rPr>
              <w:br/>
              <w:t xml:space="preserve">2024 </w:t>
            </w:r>
            <w:r w:rsidRPr="00730DE4">
              <w:rPr>
                <w:rStyle w:val="Strong"/>
              </w:rPr>
              <w:br/>
              <w:t>$'000</w:t>
            </w:r>
          </w:p>
        </w:tc>
        <w:tc>
          <w:tcPr>
            <w:tcW w:w="742" w:type="pct"/>
            <w:tcBorders>
              <w:top w:val="nil"/>
              <w:left w:val="nil"/>
              <w:bottom w:val="single" w:sz="4" w:space="0" w:color="auto"/>
              <w:right w:val="nil"/>
            </w:tcBorders>
            <w:shd w:val="clear" w:color="auto" w:fill="auto"/>
            <w:vAlign w:val="bottom"/>
            <w:hideMark/>
          </w:tcPr>
          <w:p w14:paraId="370C12DA" w14:textId="77777777" w:rsidR="00730DE4" w:rsidRPr="00730DE4" w:rsidRDefault="00730DE4" w:rsidP="00F70EB4">
            <w:pPr>
              <w:pStyle w:val="NoSpacing"/>
              <w:jc w:val="right"/>
              <w:rPr>
                <w:color w:val="080C0F" w:themeColor="text1"/>
              </w:rPr>
            </w:pPr>
            <w:r w:rsidRPr="00730DE4">
              <w:rPr>
                <w:rStyle w:val="Strong"/>
              </w:rPr>
              <w:t xml:space="preserve">Plant and </w:t>
            </w:r>
            <w:r w:rsidRPr="00730DE4">
              <w:rPr>
                <w:rStyle w:val="Strong"/>
              </w:rPr>
              <w:br/>
              <w:t xml:space="preserve">equipment </w:t>
            </w:r>
            <w:r w:rsidRPr="00730DE4">
              <w:rPr>
                <w:rStyle w:val="Strong"/>
              </w:rPr>
              <w:br/>
            </w:r>
            <w:r w:rsidRPr="00730DE4">
              <w:rPr>
                <w:rStyle w:val="Strong"/>
              </w:rPr>
              <w:br/>
              <w:t xml:space="preserve">2024 </w:t>
            </w:r>
            <w:r w:rsidRPr="00730DE4">
              <w:rPr>
                <w:rStyle w:val="Strong"/>
              </w:rPr>
              <w:br/>
              <w:t>$'000</w:t>
            </w:r>
          </w:p>
        </w:tc>
        <w:tc>
          <w:tcPr>
            <w:tcW w:w="742" w:type="pct"/>
            <w:tcBorders>
              <w:top w:val="nil"/>
              <w:left w:val="nil"/>
              <w:bottom w:val="single" w:sz="4" w:space="0" w:color="auto"/>
              <w:right w:val="nil"/>
            </w:tcBorders>
            <w:shd w:val="clear" w:color="auto" w:fill="auto"/>
            <w:vAlign w:val="bottom"/>
            <w:hideMark/>
          </w:tcPr>
          <w:p w14:paraId="653C0345" w14:textId="77777777" w:rsidR="00730DE4" w:rsidRPr="00730DE4" w:rsidRDefault="00730DE4" w:rsidP="00F70EB4">
            <w:pPr>
              <w:pStyle w:val="NoSpacing"/>
              <w:jc w:val="right"/>
              <w:rPr>
                <w:rStyle w:val="Strong"/>
              </w:rPr>
            </w:pPr>
            <w:r w:rsidRPr="00730DE4">
              <w:rPr>
                <w:rStyle w:val="Strong"/>
              </w:rPr>
              <w:t>Total</w:t>
            </w:r>
            <w:r w:rsidRPr="00730DE4">
              <w:rPr>
                <w:rStyle w:val="Strong"/>
              </w:rPr>
              <w:br/>
              <w:t xml:space="preserve"> </w:t>
            </w:r>
            <w:r w:rsidRPr="00730DE4">
              <w:rPr>
                <w:rStyle w:val="Strong"/>
              </w:rPr>
              <w:br/>
            </w:r>
            <w:r w:rsidRPr="00730DE4">
              <w:rPr>
                <w:rStyle w:val="Strong"/>
              </w:rPr>
              <w:br/>
              <w:t xml:space="preserve">2024 </w:t>
            </w:r>
            <w:r w:rsidRPr="00730DE4">
              <w:rPr>
                <w:rStyle w:val="Strong"/>
              </w:rPr>
              <w:br/>
              <w:t>$'000</w:t>
            </w:r>
          </w:p>
        </w:tc>
      </w:tr>
      <w:tr w:rsidR="00730DE4" w:rsidRPr="00730DE4" w14:paraId="20B0736C" w14:textId="77777777" w:rsidTr="00A85CE5">
        <w:tc>
          <w:tcPr>
            <w:tcW w:w="2032" w:type="pct"/>
            <w:tcBorders>
              <w:top w:val="single" w:sz="4" w:space="0" w:color="auto"/>
              <w:left w:val="nil"/>
              <w:bottom w:val="dashSmallGap" w:sz="4" w:space="0" w:color="BFBFBF" w:themeColor="background1" w:themeShade="BF"/>
              <w:right w:val="dashSmallGap" w:sz="4" w:space="0" w:color="BFBFBF" w:themeColor="background1" w:themeShade="BF"/>
            </w:tcBorders>
            <w:shd w:val="clear" w:color="auto" w:fill="auto"/>
            <w:noWrap/>
            <w:vAlign w:val="center"/>
            <w:hideMark/>
          </w:tcPr>
          <w:p w14:paraId="6C9E0F1B" w14:textId="77777777" w:rsidR="00730DE4" w:rsidRPr="00730DE4" w:rsidRDefault="00730DE4" w:rsidP="00F70EB4">
            <w:pPr>
              <w:pStyle w:val="NoSpacing"/>
              <w:rPr>
                <w:color w:val="080C0F" w:themeColor="text1"/>
              </w:rPr>
            </w:pPr>
            <w:r w:rsidRPr="00730DE4">
              <w:rPr>
                <w:color w:val="080C0F" w:themeColor="text1"/>
              </w:rPr>
              <w:t>Opening balance</w:t>
            </w:r>
          </w:p>
        </w:tc>
        <w:tc>
          <w:tcPr>
            <w:tcW w:w="742" w:type="pct"/>
            <w:tcBorders>
              <w:top w:val="single" w:sz="4" w:space="0" w:color="auto"/>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noWrap/>
            <w:vAlign w:val="bottom"/>
            <w:hideMark/>
          </w:tcPr>
          <w:p w14:paraId="06B65EF2" w14:textId="77777777" w:rsidR="00730DE4" w:rsidRPr="00730DE4" w:rsidRDefault="00730DE4" w:rsidP="00F70EB4">
            <w:pPr>
              <w:pStyle w:val="NoSpacing"/>
              <w:jc w:val="right"/>
              <w:rPr>
                <w:color w:val="080C0F" w:themeColor="text1"/>
              </w:rPr>
            </w:pPr>
          </w:p>
        </w:tc>
        <w:tc>
          <w:tcPr>
            <w:tcW w:w="742" w:type="pct"/>
            <w:tcBorders>
              <w:top w:val="single" w:sz="4" w:space="0" w:color="auto"/>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1D651F31" w14:textId="77777777" w:rsidR="00730DE4" w:rsidRPr="00730DE4" w:rsidRDefault="00730DE4" w:rsidP="00F70EB4">
            <w:pPr>
              <w:pStyle w:val="NoSpacing"/>
              <w:jc w:val="right"/>
              <w:rPr>
                <w:color w:val="080C0F" w:themeColor="text1"/>
              </w:rPr>
            </w:pPr>
            <w:r w:rsidRPr="00730DE4">
              <w:rPr>
                <w:color w:val="080C0F" w:themeColor="text1"/>
              </w:rPr>
              <w:t xml:space="preserve">4,124 </w:t>
            </w:r>
          </w:p>
        </w:tc>
        <w:tc>
          <w:tcPr>
            <w:tcW w:w="742" w:type="pct"/>
            <w:tcBorders>
              <w:top w:val="single" w:sz="4" w:space="0" w:color="auto"/>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4B6A53E5" w14:textId="77777777" w:rsidR="00730DE4" w:rsidRPr="00730DE4" w:rsidRDefault="00730DE4" w:rsidP="00F70EB4">
            <w:pPr>
              <w:pStyle w:val="NoSpacing"/>
              <w:jc w:val="right"/>
              <w:rPr>
                <w:color w:val="080C0F" w:themeColor="text1"/>
              </w:rPr>
            </w:pPr>
            <w:r w:rsidRPr="00730DE4">
              <w:rPr>
                <w:color w:val="080C0F" w:themeColor="text1"/>
              </w:rPr>
              <w:t xml:space="preserve">94,747 </w:t>
            </w:r>
          </w:p>
        </w:tc>
        <w:tc>
          <w:tcPr>
            <w:tcW w:w="742" w:type="pct"/>
            <w:tcBorders>
              <w:top w:val="single" w:sz="4" w:space="0" w:color="auto"/>
              <w:left w:val="dashSmallGap" w:sz="4" w:space="0" w:color="BFBFBF" w:themeColor="background1" w:themeShade="BF"/>
              <w:bottom w:val="dashSmallGap" w:sz="4" w:space="0" w:color="BFBFBF" w:themeColor="background1" w:themeShade="BF"/>
              <w:right w:val="nil"/>
            </w:tcBorders>
            <w:shd w:val="clear" w:color="auto" w:fill="F2F2F2" w:themeFill="background1" w:themeFillShade="F2"/>
            <w:noWrap/>
            <w:vAlign w:val="bottom"/>
            <w:hideMark/>
          </w:tcPr>
          <w:p w14:paraId="492161C4" w14:textId="77777777" w:rsidR="00730DE4" w:rsidRPr="00730DE4" w:rsidRDefault="00730DE4" w:rsidP="00F70EB4">
            <w:pPr>
              <w:pStyle w:val="NoSpacing"/>
              <w:jc w:val="right"/>
              <w:rPr>
                <w:rStyle w:val="Strong"/>
              </w:rPr>
            </w:pPr>
            <w:r w:rsidRPr="00730DE4">
              <w:rPr>
                <w:rStyle w:val="Strong"/>
              </w:rPr>
              <w:t xml:space="preserve">98,871 </w:t>
            </w:r>
          </w:p>
        </w:tc>
      </w:tr>
      <w:tr w:rsidR="00730DE4" w:rsidRPr="00730DE4" w14:paraId="6F1EA3CD" w14:textId="77777777" w:rsidTr="008A2F83">
        <w:tc>
          <w:tcPr>
            <w:tcW w:w="2032" w:type="pct"/>
            <w:tcBorders>
              <w:top w:val="dashSmallGap" w:sz="4" w:space="0" w:color="BFBFBF" w:themeColor="background1" w:themeShade="BF"/>
              <w:left w:val="nil"/>
              <w:bottom w:val="dashSmallGap" w:sz="4" w:space="0" w:color="BFBFBF" w:themeColor="background1" w:themeShade="BF"/>
              <w:right w:val="dashSmallGap" w:sz="4" w:space="0" w:color="BFBFBF" w:themeColor="background1" w:themeShade="BF"/>
            </w:tcBorders>
            <w:shd w:val="clear" w:color="auto" w:fill="auto"/>
            <w:noWrap/>
            <w:vAlign w:val="center"/>
            <w:hideMark/>
          </w:tcPr>
          <w:p w14:paraId="2C48BA32" w14:textId="77777777" w:rsidR="00730DE4" w:rsidRPr="00730DE4" w:rsidRDefault="00730DE4" w:rsidP="00F70EB4">
            <w:pPr>
              <w:pStyle w:val="NoSpacing"/>
              <w:rPr>
                <w:color w:val="080C0F" w:themeColor="text1"/>
              </w:rPr>
            </w:pPr>
            <w:r w:rsidRPr="00730DE4">
              <w:rPr>
                <w:color w:val="080C0F" w:themeColor="text1"/>
              </w:rPr>
              <w:t>Additions</w:t>
            </w:r>
          </w:p>
        </w:tc>
        <w:tc>
          <w:tcPr>
            <w:tcW w:w="742"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noWrap/>
            <w:vAlign w:val="bottom"/>
            <w:hideMark/>
          </w:tcPr>
          <w:p w14:paraId="7D1BE055" w14:textId="77777777" w:rsidR="00730DE4" w:rsidRPr="00730DE4" w:rsidRDefault="00730DE4" w:rsidP="00F70EB4">
            <w:pPr>
              <w:pStyle w:val="NoSpacing"/>
              <w:jc w:val="right"/>
              <w:rPr>
                <w:color w:val="080C0F" w:themeColor="text1"/>
              </w:rPr>
            </w:pPr>
          </w:p>
        </w:tc>
        <w:tc>
          <w:tcPr>
            <w:tcW w:w="742"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317A2AB8" w14:textId="77777777" w:rsidR="00730DE4" w:rsidRPr="00730DE4" w:rsidRDefault="00730DE4" w:rsidP="00F70EB4">
            <w:pPr>
              <w:pStyle w:val="NoSpacing"/>
              <w:jc w:val="right"/>
              <w:rPr>
                <w:color w:val="080C0F" w:themeColor="text1"/>
              </w:rPr>
            </w:pPr>
            <w:r w:rsidRPr="00730DE4">
              <w:rPr>
                <w:color w:val="080C0F" w:themeColor="text1"/>
              </w:rPr>
              <w:t xml:space="preserve">161 </w:t>
            </w:r>
          </w:p>
        </w:tc>
        <w:tc>
          <w:tcPr>
            <w:tcW w:w="742"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36C5A8D7" w14:textId="77777777" w:rsidR="00730DE4" w:rsidRPr="00730DE4" w:rsidRDefault="00730DE4" w:rsidP="00F70EB4">
            <w:pPr>
              <w:pStyle w:val="NoSpacing"/>
              <w:jc w:val="right"/>
              <w:rPr>
                <w:color w:val="080C0F" w:themeColor="text1"/>
              </w:rPr>
            </w:pPr>
            <w:r w:rsidRPr="00730DE4">
              <w:rPr>
                <w:color w:val="080C0F" w:themeColor="text1"/>
              </w:rPr>
              <w:t xml:space="preserve">9,278 </w:t>
            </w:r>
          </w:p>
        </w:tc>
        <w:tc>
          <w:tcPr>
            <w:tcW w:w="742"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nil"/>
            </w:tcBorders>
            <w:shd w:val="clear" w:color="auto" w:fill="F2F2F2" w:themeFill="background1" w:themeFillShade="F2"/>
            <w:noWrap/>
            <w:vAlign w:val="bottom"/>
            <w:hideMark/>
          </w:tcPr>
          <w:p w14:paraId="57EB0B55" w14:textId="77777777" w:rsidR="00730DE4" w:rsidRPr="00730DE4" w:rsidRDefault="00730DE4" w:rsidP="00F70EB4">
            <w:pPr>
              <w:pStyle w:val="NoSpacing"/>
              <w:jc w:val="right"/>
              <w:rPr>
                <w:rStyle w:val="Strong"/>
              </w:rPr>
            </w:pPr>
            <w:r w:rsidRPr="00730DE4">
              <w:rPr>
                <w:rStyle w:val="Strong"/>
              </w:rPr>
              <w:t xml:space="preserve">9,439 </w:t>
            </w:r>
          </w:p>
        </w:tc>
      </w:tr>
      <w:tr w:rsidR="00730DE4" w:rsidRPr="00730DE4" w14:paraId="1518C6C6" w14:textId="77777777" w:rsidTr="00A85CE5">
        <w:tc>
          <w:tcPr>
            <w:tcW w:w="2032" w:type="pct"/>
            <w:tcBorders>
              <w:top w:val="dashSmallGap" w:sz="4" w:space="0" w:color="BFBFBF" w:themeColor="background1" w:themeShade="BF"/>
              <w:left w:val="nil"/>
              <w:bottom w:val="dashSmallGap" w:sz="4" w:space="0" w:color="BFBFBF" w:themeColor="background1" w:themeShade="BF"/>
              <w:right w:val="dashSmallGap" w:sz="4" w:space="0" w:color="BFBFBF" w:themeColor="background1" w:themeShade="BF"/>
            </w:tcBorders>
            <w:shd w:val="clear" w:color="auto" w:fill="auto"/>
            <w:noWrap/>
            <w:vAlign w:val="center"/>
            <w:hideMark/>
          </w:tcPr>
          <w:p w14:paraId="057EED35" w14:textId="77777777" w:rsidR="00730DE4" w:rsidRPr="00730DE4" w:rsidRDefault="00730DE4" w:rsidP="00F70EB4">
            <w:pPr>
              <w:pStyle w:val="NoSpacing"/>
              <w:rPr>
                <w:color w:val="080C0F" w:themeColor="text1"/>
              </w:rPr>
            </w:pPr>
            <w:r w:rsidRPr="00730DE4">
              <w:rPr>
                <w:color w:val="080C0F" w:themeColor="text1"/>
              </w:rPr>
              <w:t>Other adjustments</w:t>
            </w:r>
          </w:p>
        </w:tc>
        <w:tc>
          <w:tcPr>
            <w:tcW w:w="742"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noWrap/>
            <w:vAlign w:val="bottom"/>
            <w:hideMark/>
          </w:tcPr>
          <w:p w14:paraId="715EB5EF" w14:textId="77777777" w:rsidR="00730DE4" w:rsidRPr="00730DE4" w:rsidRDefault="00730DE4" w:rsidP="00F70EB4">
            <w:pPr>
              <w:pStyle w:val="NoSpacing"/>
              <w:jc w:val="right"/>
              <w:rPr>
                <w:color w:val="080C0F" w:themeColor="text1"/>
              </w:rPr>
            </w:pPr>
          </w:p>
        </w:tc>
        <w:tc>
          <w:tcPr>
            <w:tcW w:w="742"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59768E0E" w14:textId="77777777" w:rsidR="00730DE4" w:rsidRPr="00730DE4" w:rsidRDefault="00730DE4" w:rsidP="00F70EB4">
            <w:pPr>
              <w:pStyle w:val="NoSpacing"/>
              <w:jc w:val="right"/>
              <w:rPr>
                <w:color w:val="080C0F" w:themeColor="text1"/>
              </w:rPr>
            </w:pPr>
            <w:r w:rsidRPr="00730DE4">
              <w:rPr>
                <w:color w:val="080C0F" w:themeColor="text1"/>
              </w:rPr>
              <w:t xml:space="preserve">- </w:t>
            </w:r>
          </w:p>
        </w:tc>
        <w:tc>
          <w:tcPr>
            <w:tcW w:w="742"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2F2F2" w:themeFill="background1" w:themeFillShade="F2"/>
            <w:noWrap/>
            <w:vAlign w:val="bottom"/>
            <w:hideMark/>
          </w:tcPr>
          <w:p w14:paraId="34348F38" w14:textId="77777777" w:rsidR="00730DE4" w:rsidRPr="00730DE4" w:rsidRDefault="00730DE4" w:rsidP="00F70EB4">
            <w:pPr>
              <w:pStyle w:val="NoSpacing"/>
              <w:jc w:val="right"/>
              <w:rPr>
                <w:color w:val="080C0F" w:themeColor="text1"/>
              </w:rPr>
            </w:pPr>
            <w:r w:rsidRPr="00730DE4">
              <w:rPr>
                <w:color w:val="080C0F" w:themeColor="text1"/>
              </w:rPr>
              <w:t xml:space="preserve">614 </w:t>
            </w:r>
          </w:p>
        </w:tc>
        <w:tc>
          <w:tcPr>
            <w:tcW w:w="742"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nil"/>
            </w:tcBorders>
            <w:shd w:val="clear" w:color="auto" w:fill="F2F2F2" w:themeFill="background1" w:themeFillShade="F2"/>
            <w:noWrap/>
            <w:vAlign w:val="bottom"/>
            <w:hideMark/>
          </w:tcPr>
          <w:p w14:paraId="5F6732E8" w14:textId="77777777" w:rsidR="00730DE4" w:rsidRPr="00730DE4" w:rsidRDefault="00730DE4" w:rsidP="00F70EB4">
            <w:pPr>
              <w:pStyle w:val="NoSpacing"/>
              <w:jc w:val="right"/>
              <w:rPr>
                <w:rStyle w:val="Strong"/>
              </w:rPr>
            </w:pPr>
            <w:r w:rsidRPr="00730DE4">
              <w:rPr>
                <w:rStyle w:val="Strong"/>
              </w:rPr>
              <w:t xml:space="preserve">614 </w:t>
            </w:r>
          </w:p>
        </w:tc>
      </w:tr>
      <w:tr w:rsidR="00730DE4" w:rsidRPr="00730DE4" w14:paraId="65C990B2" w14:textId="77777777" w:rsidTr="00A85CE5">
        <w:tc>
          <w:tcPr>
            <w:tcW w:w="2032" w:type="pct"/>
            <w:tcBorders>
              <w:top w:val="dashSmallGap" w:sz="4" w:space="0" w:color="BFBFBF" w:themeColor="background1" w:themeShade="BF"/>
              <w:left w:val="nil"/>
              <w:bottom w:val="single" w:sz="4" w:space="0" w:color="auto"/>
              <w:right w:val="dashSmallGap" w:sz="4" w:space="0" w:color="BFBFBF" w:themeColor="background1" w:themeShade="BF"/>
            </w:tcBorders>
            <w:shd w:val="clear" w:color="auto" w:fill="auto"/>
            <w:noWrap/>
            <w:vAlign w:val="center"/>
            <w:hideMark/>
          </w:tcPr>
          <w:p w14:paraId="728E6142" w14:textId="77777777" w:rsidR="00730DE4" w:rsidRPr="00730DE4" w:rsidRDefault="00730DE4" w:rsidP="00F70EB4">
            <w:pPr>
              <w:pStyle w:val="NoSpacing"/>
              <w:rPr>
                <w:color w:val="080C0F" w:themeColor="text1"/>
              </w:rPr>
            </w:pPr>
            <w:r w:rsidRPr="00730DE4">
              <w:rPr>
                <w:color w:val="080C0F" w:themeColor="text1"/>
              </w:rPr>
              <w:t>Depreciation</w:t>
            </w:r>
          </w:p>
        </w:tc>
        <w:tc>
          <w:tcPr>
            <w:tcW w:w="742" w:type="pct"/>
            <w:tcBorders>
              <w:top w:val="dashSmallGap" w:sz="4" w:space="0" w:color="BFBFBF" w:themeColor="background1" w:themeShade="BF"/>
              <w:left w:val="dashSmallGap" w:sz="4" w:space="0" w:color="BFBFBF" w:themeColor="background1" w:themeShade="BF"/>
              <w:bottom w:val="single" w:sz="4" w:space="0" w:color="auto"/>
              <w:right w:val="dashSmallGap" w:sz="4" w:space="0" w:color="BFBFBF" w:themeColor="background1" w:themeShade="BF"/>
            </w:tcBorders>
            <w:shd w:val="clear" w:color="auto" w:fill="auto"/>
            <w:noWrap/>
            <w:vAlign w:val="bottom"/>
            <w:hideMark/>
          </w:tcPr>
          <w:p w14:paraId="5B361E2E" w14:textId="77777777" w:rsidR="00730DE4" w:rsidRPr="00730DE4" w:rsidRDefault="00730DE4" w:rsidP="00F70EB4">
            <w:pPr>
              <w:pStyle w:val="NoSpacing"/>
              <w:jc w:val="right"/>
              <w:rPr>
                <w:color w:val="080C0F" w:themeColor="text1"/>
              </w:rPr>
            </w:pPr>
            <w:r w:rsidRPr="00730DE4">
              <w:rPr>
                <w:color w:val="080C0F" w:themeColor="text1"/>
              </w:rPr>
              <w:t>10</w:t>
            </w:r>
          </w:p>
        </w:tc>
        <w:tc>
          <w:tcPr>
            <w:tcW w:w="742" w:type="pct"/>
            <w:tcBorders>
              <w:top w:val="dashSmallGap" w:sz="4" w:space="0" w:color="BFBFBF" w:themeColor="background1" w:themeShade="BF"/>
              <w:left w:val="dashSmallGap" w:sz="4" w:space="0" w:color="BFBFBF" w:themeColor="background1" w:themeShade="BF"/>
              <w:bottom w:val="single" w:sz="4" w:space="0" w:color="auto"/>
              <w:right w:val="dashSmallGap" w:sz="4" w:space="0" w:color="BFBFBF" w:themeColor="background1" w:themeShade="BF"/>
            </w:tcBorders>
            <w:shd w:val="clear" w:color="auto" w:fill="F2F2F2" w:themeFill="background1" w:themeFillShade="F2"/>
            <w:noWrap/>
            <w:vAlign w:val="bottom"/>
            <w:hideMark/>
          </w:tcPr>
          <w:p w14:paraId="4630B8A1" w14:textId="77777777" w:rsidR="00730DE4" w:rsidRPr="00730DE4" w:rsidRDefault="00730DE4" w:rsidP="00F70EB4">
            <w:pPr>
              <w:pStyle w:val="NoSpacing"/>
              <w:jc w:val="right"/>
              <w:rPr>
                <w:color w:val="080C0F" w:themeColor="text1"/>
              </w:rPr>
            </w:pPr>
            <w:r w:rsidRPr="00730DE4">
              <w:rPr>
                <w:color w:val="080C0F" w:themeColor="text1"/>
              </w:rPr>
              <w:t>(4,138)</w:t>
            </w:r>
          </w:p>
        </w:tc>
        <w:tc>
          <w:tcPr>
            <w:tcW w:w="742" w:type="pct"/>
            <w:tcBorders>
              <w:top w:val="dashSmallGap" w:sz="4" w:space="0" w:color="BFBFBF" w:themeColor="background1" w:themeShade="BF"/>
              <w:left w:val="dashSmallGap" w:sz="4" w:space="0" w:color="BFBFBF" w:themeColor="background1" w:themeShade="BF"/>
              <w:bottom w:val="single" w:sz="4" w:space="0" w:color="auto"/>
              <w:right w:val="dashSmallGap" w:sz="4" w:space="0" w:color="BFBFBF" w:themeColor="background1" w:themeShade="BF"/>
            </w:tcBorders>
            <w:shd w:val="clear" w:color="auto" w:fill="F2F2F2" w:themeFill="background1" w:themeFillShade="F2"/>
            <w:noWrap/>
            <w:vAlign w:val="bottom"/>
            <w:hideMark/>
          </w:tcPr>
          <w:p w14:paraId="5627E43C" w14:textId="77777777" w:rsidR="00730DE4" w:rsidRPr="00730DE4" w:rsidRDefault="00730DE4" w:rsidP="00F70EB4">
            <w:pPr>
              <w:pStyle w:val="NoSpacing"/>
              <w:jc w:val="right"/>
              <w:rPr>
                <w:color w:val="080C0F" w:themeColor="text1"/>
              </w:rPr>
            </w:pPr>
            <w:r w:rsidRPr="00730DE4">
              <w:rPr>
                <w:color w:val="080C0F" w:themeColor="text1"/>
              </w:rPr>
              <w:t>(21,445)</w:t>
            </w:r>
          </w:p>
        </w:tc>
        <w:tc>
          <w:tcPr>
            <w:tcW w:w="742" w:type="pct"/>
            <w:tcBorders>
              <w:top w:val="dashSmallGap" w:sz="4" w:space="0" w:color="BFBFBF" w:themeColor="background1" w:themeShade="BF"/>
              <w:left w:val="dashSmallGap" w:sz="4" w:space="0" w:color="BFBFBF" w:themeColor="background1" w:themeShade="BF"/>
              <w:bottom w:val="single" w:sz="4" w:space="0" w:color="auto"/>
              <w:right w:val="nil"/>
            </w:tcBorders>
            <w:shd w:val="clear" w:color="auto" w:fill="F2F2F2" w:themeFill="background1" w:themeFillShade="F2"/>
            <w:noWrap/>
            <w:vAlign w:val="bottom"/>
            <w:hideMark/>
          </w:tcPr>
          <w:p w14:paraId="536BB347" w14:textId="77777777" w:rsidR="00730DE4" w:rsidRPr="00730DE4" w:rsidRDefault="00730DE4" w:rsidP="00F70EB4">
            <w:pPr>
              <w:pStyle w:val="NoSpacing"/>
              <w:jc w:val="right"/>
              <w:rPr>
                <w:rStyle w:val="Strong"/>
              </w:rPr>
            </w:pPr>
            <w:r w:rsidRPr="00730DE4">
              <w:rPr>
                <w:rStyle w:val="Strong"/>
              </w:rPr>
              <w:t>(25,583)</w:t>
            </w:r>
          </w:p>
        </w:tc>
      </w:tr>
      <w:tr w:rsidR="00730DE4" w:rsidRPr="00730DE4" w14:paraId="5C42EACA" w14:textId="77777777" w:rsidTr="00A85CE5">
        <w:tc>
          <w:tcPr>
            <w:tcW w:w="2032" w:type="pct"/>
            <w:tcBorders>
              <w:top w:val="single" w:sz="4" w:space="0" w:color="auto"/>
              <w:left w:val="nil"/>
              <w:bottom w:val="double" w:sz="4" w:space="0" w:color="auto"/>
              <w:right w:val="dashSmallGap" w:sz="4" w:space="0" w:color="BFBFBF" w:themeColor="background1" w:themeShade="BF"/>
            </w:tcBorders>
            <w:shd w:val="clear" w:color="auto" w:fill="auto"/>
            <w:noWrap/>
            <w:hideMark/>
          </w:tcPr>
          <w:p w14:paraId="00C0D7B5" w14:textId="77777777" w:rsidR="00730DE4" w:rsidRPr="00730DE4" w:rsidRDefault="00730DE4" w:rsidP="007E2686">
            <w:pPr>
              <w:pStyle w:val="NoSpacing"/>
              <w:rPr>
                <w:rStyle w:val="Strong"/>
              </w:rPr>
            </w:pPr>
            <w:r w:rsidRPr="00730DE4">
              <w:rPr>
                <w:rStyle w:val="Strong"/>
              </w:rPr>
              <w:t>Closing balance</w:t>
            </w:r>
          </w:p>
        </w:tc>
        <w:tc>
          <w:tcPr>
            <w:tcW w:w="742" w:type="pct"/>
            <w:tcBorders>
              <w:top w:val="single" w:sz="4" w:space="0" w:color="auto"/>
              <w:left w:val="dashSmallGap" w:sz="4" w:space="0" w:color="BFBFBF" w:themeColor="background1" w:themeShade="BF"/>
              <w:bottom w:val="double" w:sz="4" w:space="0" w:color="auto"/>
              <w:right w:val="dashSmallGap" w:sz="4" w:space="0" w:color="BFBFBF" w:themeColor="background1" w:themeShade="BF"/>
            </w:tcBorders>
            <w:shd w:val="clear" w:color="auto" w:fill="auto"/>
            <w:noWrap/>
            <w:hideMark/>
          </w:tcPr>
          <w:p w14:paraId="011FE278" w14:textId="77777777" w:rsidR="00730DE4" w:rsidRPr="00730DE4" w:rsidRDefault="00730DE4" w:rsidP="007E2686">
            <w:pPr>
              <w:pStyle w:val="NoSpacing"/>
              <w:jc w:val="right"/>
              <w:rPr>
                <w:color w:val="080C0F" w:themeColor="text1"/>
              </w:rPr>
            </w:pPr>
            <w:r w:rsidRPr="00730DE4">
              <w:rPr>
                <w:color w:val="080C0F" w:themeColor="text1"/>
              </w:rPr>
              <w:t> </w:t>
            </w:r>
          </w:p>
        </w:tc>
        <w:tc>
          <w:tcPr>
            <w:tcW w:w="742" w:type="pct"/>
            <w:tcBorders>
              <w:top w:val="single" w:sz="4" w:space="0" w:color="auto"/>
              <w:left w:val="dashSmallGap" w:sz="4" w:space="0" w:color="BFBFBF" w:themeColor="background1" w:themeShade="BF"/>
              <w:bottom w:val="double" w:sz="4" w:space="0" w:color="auto"/>
              <w:right w:val="dashSmallGap" w:sz="4" w:space="0" w:color="BFBFBF" w:themeColor="background1" w:themeShade="BF"/>
            </w:tcBorders>
            <w:shd w:val="clear" w:color="auto" w:fill="F2F2F2" w:themeFill="background1" w:themeFillShade="F2"/>
            <w:noWrap/>
            <w:hideMark/>
          </w:tcPr>
          <w:p w14:paraId="3F3FD369" w14:textId="77777777" w:rsidR="00730DE4" w:rsidRPr="00730DE4" w:rsidRDefault="00730DE4" w:rsidP="007E2686">
            <w:pPr>
              <w:pStyle w:val="NoSpacing"/>
              <w:jc w:val="right"/>
              <w:rPr>
                <w:rStyle w:val="Strong"/>
              </w:rPr>
            </w:pPr>
            <w:r w:rsidRPr="00730DE4">
              <w:rPr>
                <w:rStyle w:val="Strong"/>
              </w:rPr>
              <w:t xml:space="preserve">147 </w:t>
            </w:r>
          </w:p>
        </w:tc>
        <w:tc>
          <w:tcPr>
            <w:tcW w:w="742" w:type="pct"/>
            <w:tcBorders>
              <w:top w:val="single" w:sz="4" w:space="0" w:color="auto"/>
              <w:left w:val="dashSmallGap" w:sz="4" w:space="0" w:color="BFBFBF" w:themeColor="background1" w:themeShade="BF"/>
              <w:bottom w:val="double" w:sz="4" w:space="0" w:color="auto"/>
              <w:right w:val="dashSmallGap" w:sz="4" w:space="0" w:color="BFBFBF" w:themeColor="background1" w:themeShade="BF"/>
            </w:tcBorders>
            <w:shd w:val="clear" w:color="auto" w:fill="F2F2F2" w:themeFill="background1" w:themeFillShade="F2"/>
            <w:noWrap/>
            <w:hideMark/>
          </w:tcPr>
          <w:p w14:paraId="0E9E42DE" w14:textId="77777777" w:rsidR="00730DE4" w:rsidRPr="00730DE4" w:rsidRDefault="00730DE4" w:rsidP="007E2686">
            <w:pPr>
              <w:pStyle w:val="NoSpacing"/>
              <w:jc w:val="right"/>
              <w:rPr>
                <w:rStyle w:val="Strong"/>
              </w:rPr>
            </w:pPr>
            <w:r w:rsidRPr="00730DE4">
              <w:rPr>
                <w:rStyle w:val="Strong"/>
              </w:rPr>
              <w:t xml:space="preserve">83,194 </w:t>
            </w:r>
          </w:p>
        </w:tc>
        <w:tc>
          <w:tcPr>
            <w:tcW w:w="742" w:type="pct"/>
            <w:tcBorders>
              <w:top w:val="single" w:sz="4" w:space="0" w:color="auto"/>
              <w:left w:val="dashSmallGap" w:sz="4" w:space="0" w:color="BFBFBF" w:themeColor="background1" w:themeShade="BF"/>
              <w:bottom w:val="double" w:sz="4" w:space="0" w:color="auto"/>
              <w:right w:val="nil"/>
            </w:tcBorders>
            <w:shd w:val="clear" w:color="auto" w:fill="F2F2F2" w:themeFill="background1" w:themeFillShade="F2"/>
            <w:noWrap/>
            <w:hideMark/>
          </w:tcPr>
          <w:p w14:paraId="6877F019" w14:textId="77777777" w:rsidR="00730DE4" w:rsidRPr="00730DE4" w:rsidRDefault="00730DE4" w:rsidP="007E2686">
            <w:pPr>
              <w:pStyle w:val="NoSpacing"/>
              <w:jc w:val="right"/>
              <w:rPr>
                <w:rStyle w:val="Strong"/>
              </w:rPr>
            </w:pPr>
            <w:r w:rsidRPr="00730DE4">
              <w:rPr>
                <w:rStyle w:val="Strong"/>
              </w:rPr>
              <w:t xml:space="preserve">83,341 </w:t>
            </w:r>
          </w:p>
        </w:tc>
      </w:tr>
    </w:tbl>
    <w:p w14:paraId="0E361CF4" w14:textId="77777777" w:rsidR="00730DE4" w:rsidRPr="00730DE4" w:rsidRDefault="00730DE4"/>
    <w:tbl>
      <w:tblPr>
        <w:tblW w:w="5000" w:type="pct"/>
        <w:tblCellMar>
          <w:top w:w="23" w:type="dxa"/>
          <w:left w:w="23" w:type="dxa"/>
          <w:bottom w:w="23" w:type="dxa"/>
          <w:right w:w="23" w:type="dxa"/>
        </w:tblCellMar>
        <w:tblLook w:val="04A0" w:firstRow="1" w:lastRow="0" w:firstColumn="1" w:lastColumn="0" w:noHBand="0" w:noVBand="1"/>
      </w:tblPr>
      <w:tblGrid>
        <w:gridCol w:w="3686"/>
        <w:gridCol w:w="1346"/>
        <w:gridCol w:w="1346"/>
        <w:gridCol w:w="1346"/>
        <w:gridCol w:w="1346"/>
      </w:tblGrid>
      <w:tr w:rsidR="00730DE4" w:rsidRPr="00730DE4" w14:paraId="5118CE02" w14:textId="77777777" w:rsidTr="00A85CE5">
        <w:tc>
          <w:tcPr>
            <w:tcW w:w="2032" w:type="pct"/>
            <w:tcBorders>
              <w:left w:val="nil"/>
              <w:bottom w:val="single" w:sz="4" w:space="0" w:color="auto"/>
            </w:tcBorders>
            <w:shd w:val="clear" w:color="auto" w:fill="auto"/>
            <w:noWrap/>
            <w:vAlign w:val="bottom"/>
          </w:tcPr>
          <w:p w14:paraId="4D0180C0" w14:textId="77777777" w:rsidR="00730DE4" w:rsidRPr="00730DE4" w:rsidRDefault="00730DE4" w:rsidP="00A85CE5">
            <w:pPr>
              <w:pStyle w:val="NoSpacing"/>
            </w:pPr>
            <w:r w:rsidRPr="00730DE4">
              <w:rPr>
                <w:rStyle w:val="Strong"/>
              </w:rPr>
              <w:t>Right-of-use assets</w:t>
            </w:r>
          </w:p>
        </w:tc>
        <w:tc>
          <w:tcPr>
            <w:tcW w:w="742" w:type="pct"/>
            <w:tcBorders>
              <w:bottom w:val="single" w:sz="4" w:space="0" w:color="auto"/>
            </w:tcBorders>
            <w:shd w:val="clear" w:color="auto" w:fill="auto"/>
            <w:noWrap/>
            <w:vAlign w:val="bottom"/>
          </w:tcPr>
          <w:p w14:paraId="4DB523DC" w14:textId="77777777" w:rsidR="00730DE4" w:rsidRPr="00730DE4" w:rsidRDefault="00730DE4" w:rsidP="000C5BE8">
            <w:pPr>
              <w:pStyle w:val="NoSpacing"/>
              <w:jc w:val="right"/>
            </w:pPr>
            <w:r w:rsidRPr="00730DE4">
              <w:rPr>
                <w:rStyle w:val="Strong"/>
              </w:rPr>
              <w:t>Note</w:t>
            </w:r>
          </w:p>
        </w:tc>
        <w:tc>
          <w:tcPr>
            <w:tcW w:w="742" w:type="pct"/>
            <w:tcBorders>
              <w:bottom w:val="single" w:sz="4" w:space="0" w:color="auto"/>
            </w:tcBorders>
            <w:shd w:val="clear" w:color="auto" w:fill="auto"/>
            <w:noWrap/>
            <w:vAlign w:val="bottom"/>
          </w:tcPr>
          <w:p w14:paraId="392D8E28" w14:textId="77777777" w:rsidR="00730DE4" w:rsidRPr="00730DE4" w:rsidRDefault="00730DE4" w:rsidP="000C5BE8">
            <w:pPr>
              <w:pStyle w:val="NoSpacing"/>
              <w:jc w:val="right"/>
            </w:pPr>
            <w:r w:rsidRPr="00730DE4">
              <w:rPr>
                <w:rStyle w:val="Strong"/>
              </w:rPr>
              <w:t>Buildings</w:t>
            </w:r>
            <w:r w:rsidRPr="00730DE4">
              <w:rPr>
                <w:rStyle w:val="Strong"/>
              </w:rPr>
              <w:br/>
              <w:t xml:space="preserve"> </w:t>
            </w:r>
            <w:r w:rsidRPr="00730DE4">
              <w:rPr>
                <w:rStyle w:val="Strong"/>
              </w:rPr>
              <w:br/>
            </w:r>
            <w:r w:rsidRPr="00730DE4">
              <w:rPr>
                <w:rStyle w:val="Strong"/>
              </w:rPr>
              <w:br/>
              <w:t xml:space="preserve">2023 </w:t>
            </w:r>
            <w:r w:rsidRPr="00730DE4">
              <w:rPr>
                <w:rStyle w:val="Strong"/>
              </w:rPr>
              <w:br/>
              <w:t>$'000</w:t>
            </w:r>
          </w:p>
        </w:tc>
        <w:tc>
          <w:tcPr>
            <w:tcW w:w="742" w:type="pct"/>
            <w:tcBorders>
              <w:bottom w:val="single" w:sz="4" w:space="0" w:color="auto"/>
            </w:tcBorders>
            <w:shd w:val="clear" w:color="auto" w:fill="auto"/>
            <w:noWrap/>
            <w:vAlign w:val="bottom"/>
          </w:tcPr>
          <w:p w14:paraId="23B36934" w14:textId="77777777" w:rsidR="00730DE4" w:rsidRPr="00730DE4" w:rsidRDefault="00730DE4" w:rsidP="000C5BE8">
            <w:pPr>
              <w:pStyle w:val="NoSpacing"/>
              <w:jc w:val="right"/>
            </w:pPr>
            <w:r w:rsidRPr="00730DE4">
              <w:rPr>
                <w:rStyle w:val="Strong"/>
              </w:rPr>
              <w:t xml:space="preserve">Plant and </w:t>
            </w:r>
            <w:r w:rsidRPr="00730DE4">
              <w:rPr>
                <w:rStyle w:val="Strong"/>
              </w:rPr>
              <w:br/>
              <w:t xml:space="preserve">equipment </w:t>
            </w:r>
            <w:r w:rsidRPr="00730DE4">
              <w:rPr>
                <w:rStyle w:val="Strong"/>
              </w:rPr>
              <w:br/>
            </w:r>
            <w:r w:rsidRPr="00730DE4">
              <w:rPr>
                <w:rStyle w:val="Strong"/>
              </w:rPr>
              <w:br/>
              <w:t xml:space="preserve">2023 </w:t>
            </w:r>
            <w:r w:rsidRPr="00730DE4">
              <w:rPr>
                <w:rStyle w:val="Strong"/>
              </w:rPr>
              <w:br/>
              <w:t>$'000</w:t>
            </w:r>
          </w:p>
        </w:tc>
        <w:tc>
          <w:tcPr>
            <w:tcW w:w="742" w:type="pct"/>
            <w:tcBorders>
              <w:bottom w:val="single" w:sz="4" w:space="0" w:color="auto"/>
              <w:right w:val="nil"/>
            </w:tcBorders>
            <w:shd w:val="clear" w:color="auto" w:fill="auto"/>
            <w:noWrap/>
            <w:vAlign w:val="bottom"/>
          </w:tcPr>
          <w:p w14:paraId="34D7AD1C" w14:textId="77777777" w:rsidR="00730DE4" w:rsidRPr="00730DE4" w:rsidRDefault="00730DE4" w:rsidP="000C5BE8">
            <w:pPr>
              <w:pStyle w:val="NoSpacing"/>
              <w:jc w:val="right"/>
              <w:rPr>
                <w:rStyle w:val="Strong"/>
              </w:rPr>
            </w:pPr>
            <w:r w:rsidRPr="00730DE4">
              <w:rPr>
                <w:rStyle w:val="Strong"/>
              </w:rPr>
              <w:t>Total</w:t>
            </w:r>
            <w:r w:rsidRPr="00730DE4">
              <w:rPr>
                <w:rStyle w:val="Strong"/>
              </w:rPr>
              <w:br/>
              <w:t xml:space="preserve"> </w:t>
            </w:r>
            <w:r w:rsidRPr="00730DE4">
              <w:rPr>
                <w:rStyle w:val="Strong"/>
              </w:rPr>
              <w:br/>
            </w:r>
            <w:r w:rsidRPr="00730DE4">
              <w:rPr>
                <w:rStyle w:val="Strong"/>
              </w:rPr>
              <w:br/>
              <w:t xml:space="preserve">2023 </w:t>
            </w:r>
            <w:r w:rsidRPr="00730DE4">
              <w:rPr>
                <w:rStyle w:val="Strong"/>
              </w:rPr>
              <w:br/>
              <w:t>$'000</w:t>
            </w:r>
          </w:p>
        </w:tc>
      </w:tr>
      <w:tr w:rsidR="00730DE4" w:rsidRPr="00730DE4" w14:paraId="16006620" w14:textId="77777777" w:rsidTr="00A85CE5">
        <w:tc>
          <w:tcPr>
            <w:tcW w:w="2032" w:type="pct"/>
            <w:tcBorders>
              <w:top w:val="single" w:sz="4" w:space="0" w:color="auto"/>
              <w:left w:val="nil"/>
              <w:bottom w:val="dashSmallGap" w:sz="4" w:space="0" w:color="BFBFBF" w:themeColor="background1" w:themeShade="BF"/>
              <w:right w:val="dashSmallGap" w:sz="4" w:space="0" w:color="BFBFBF" w:themeColor="background1" w:themeShade="BF"/>
            </w:tcBorders>
            <w:shd w:val="clear" w:color="auto" w:fill="auto"/>
            <w:noWrap/>
            <w:vAlign w:val="center"/>
          </w:tcPr>
          <w:p w14:paraId="3FA3FD77" w14:textId="77777777" w:rsidR="00730DE4" w:rsidRPr="00730DE4" w:rsidRDefault="00730DE4" w:rsidP="000C5BE8">
            <w:pPr>
              <w:pStyle w:val="NoSpacing"/>
            </w:pPr>
            <w:r w:rsidRPr="00730DE4">
              <w:t>Opening balance</w:t>
            </w:r>
          </w:p>
        </w:tc>
        <w:tc>
          <w:tcPr>
            <w:tcW w:w="742" w:type="pct"/>
            <w:tcBorders>
              <w:top w:val="single" w:sz="4" w:space="0" w:color="auto"/>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noWrap/>
            <w:vAlign w:val="bottom"/>
          </w:tcPr>
          <w:p w14:paraId="113F96CD" w14:textId="77777777" w:rsidR="00730DE4" w:rsidRPr="00730DE4" w:rsidRDefault="00730DE4" w:rsidP="000C5BE8">
            <w:pPr>
              <w:pStyle w:val="NoSpacing"/>
              <w:jc w:val="right"/>
            </w:pPr>
          </w:p>
        </w:tc>
        <w:tc>
          <w:tcPr>
            <w:tcW w:w="742" w:type="pct"/>
            <w:tcBorders>
              <w:top w:val="single" w:sz="4" w:space="0" w:color="auto"/>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noWrap/>
            <w:vAlign w:val="bottom"/>
          </w:tcPr>
          <w:p w14:paraId="4F88DE69" w14:textId="77777777" w:rsidR="00730DE4" w:rsidRPr="00730DE4" w:rsidRDefault="00730DE4" w:rsidP="000C5BE8">
            <w:pPr>
              <w:pStyle w:val="NoSpacing"/>
              <w:jc w:val="right"/>
            </w:pPr>
            <w:r w:rsidRPr="00730DE4">
              <w:t>2</w:t>
            </w:r>
          </w:p>
        </w:tc>
        <w:tc>
          <w:tcPr>
            <w:tcW w:w="742" w:type="pct"/>
            <w:tcBorders>
              <w:top w:val="single" w:sz="4" w:space="0" w:color="auto"/>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noWrap/>
            <w:vAlign w:val="bottom"/>
          </w:tcPr>
          <w:p w14:paraId="50C934DD" w14:textId="77777777" w:rsidR="00730DE4" w:rsidRPr="00730DE4" w:rsidRDefault="00730DE4" w:rsidP="000C5BE8">
            <w:pPr>
              <w:pStyle w:val="NoSpacing"/>
              <w:jc w:val="right"/>
            </w:pPr>
            <w:r w:rsidRPr="00730DE4">
              <w:t xml:space="preserve">- </w:t>
            </w:r>
          </w:p>
        </w:tc>
        <w:tc>
          <w:tcPr>
            <w:tcW w:w="742" w:type="pct"/>
            <w:tcBorders>
              <w:top w:val="single" w:sz="4" w:space="0" w:color="auto"/>
              <w:left w:val="dashSmallGap" w:sz="4" w:space="0" w:color="BFBFBF" w:themeColor="background1" w:themeShade="BF"/>
              <w:bottom w:val="dashSmallGap" w:sz="4" w:space="0" w:color="BFBFBF" w:themeColor="background1" w:themeShade="BF"/>
              <w:right w:val="nil"/>
            </w:tcBorders>
            <w:shd w:val="clear" w:color="auto" w:fill="auto"/>
            <w:noWrap/>
            <w:vAlign w:val="bottom"/>
          </w:tcPr>
          <w:p w14:paraId="51FDF081" w14:textId="77777777" w:rsidR="00730DE4" w:rsidRPr="00730DE4" w:rsidRDefault="00730DE4" w:rsidP="000C5BE8">
            <w:pPr>
              <w:pStyle w:val="NoSpacing"/>
              <w:jc w:val="right"/>
              <w:rPr>
                <w:rStyle w:val="Strong"/>
              </w:rPr>
            </w:pPr>
            <w:r w:rsidRPr="00730DE4">
              <w:rPr>
                <w:rStyle w:val="Strong"/>
              </w:rPr>
              <w:t xml:space="preserve">2 </w:t>
            </w:r>
          </w:p>
        </w:tc>
      </w:tr>
      <w:tr w:rsidR="00730DE4" w:rsidRPr="00730DE4" w14:paraId="5B58D71D" w14:textId="77777777" w:rsidTr="00A85CE5">
        <w:tc>
          <w:tcPr>
            <w:tcW w:w="2032" w:type="pct"/>
            <w:tcBorders>
              <w:top w:val="dashSmallGap" w:sz="4" w:space="0" w:color="BFBFBF" w:themeColor="background1" w:themeShade="BF"/>
              <w:left w:val="nil"/>
              <w:bottom w:val="dashSmallGap" w:sz="4" w:space="0" w:color="BFBFBF" w:themeColor="background1" w:themeShade="BF"/>
              <w:right w:val="dashSmallGap" w:sz="4" w:space="0" w:color="BFBFBF" w:themeColor="background1" w:themeShade="BF"/>
            </w:tcBorders>
            <w:shd w:val="clear" w:color="auto" w:fill="auto"/>
            <w:noWrap/>
            <w:vAlign w:val="center"/>
            <w:hideMark/>
          </w:tcPr>
          <w:p w14:paraId="285A8443" w14:textId="77777777" w:rsidR="00730DE4" w:rsidRPr="00730DE4" w:rsidRDefault="00730DE4" w:rsidP="00F571AF">
            <w:pPr>
              <w:pStyle w:val="NoSpacing"/>
            </w:pPr>
            <w:r w:rsidRPr="00730DE4">
              <w:t>Assets received due to machinery-of-</w:t>
            </w:r>
            <w:r w:rsidRPr="00730DE4">
              <w:br/>
              <w:t>government change</w:t>
            </w:r>
          </w:p>
        </w:tc>
        <w:tc>
          <w:tcPr>
            <w:tcW w:w="742"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noWrap/>
            <w:vAlign w:val="bottom"/>
            <w:hideMark/>
          </w:tcPr>
          <w:p w14:paraId="3390BF61" w14:textId="77777777" w:rsidR="00730DE4" w:rsidRPr="00730DE4" w:rsidRDefault="00730DE4" w:rsidP="00F70EB4">
            <w:pPr>
              <w:pStyle w:val="NoSpacing"/>
              <w:jc w:val="right"/>
            </w:pPr>
          </w:p>
        </w:tc>
        <w:tc>
          <w:tcPr>
            <w:tcW w:w="742"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noWrap/>
            <w:vAlign w:val="bottom"/>
            <w:hideMark/>
          </w:tcPr>
          <w:p w14:paraId="530AB930" w14:textId="77777777" w:rsidR="00730DE4" w:rsidRPr="00730DE4" w:rsidRDefault="00730DE4" w:rsidP="00F70EB4">
            <w:pPr>
              <w:pStyle w:val="NoSpacing"/>
              <w:jc w:val="right"/>
            </w:pPr>
            <w:r w:rsidRPr="00730DE4">
              <w:t>4,713</w:t>
            </w:r>
          </w:p>
        </w:tc>
        <w:tc>
          <w:tcPr>
            <w:tcW w:w="742"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noWrap/>
            <w:vAlign w:val="bottom"/>
            <w:hideMark/>
          </w:tcPr>
          <w:p w14:paraId="5D6F552E" w14:textId="77777777" w:rsidR="00730DE4" w:rsidRPr="00730DE4" w:rsidRDefault="00730DE4" w:rsidP="00F70EB4">
            <w:pPr>
              <w:pStyle w:val="NoSpacing"/>
              <w:jc w:val="right"/>
            </w:pPr>
            <w:r w:rsidRPr="00730DE4">
              <w:t xml:space="preserve">95,958 </w:t>
            </w:r>
          </w:p>
        </w:tc>
        <w:tc>
          <w:tcPr>
            <w:tcW w:w="742"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nil"/>
            </w:tcBorders>
            <w:shd w:val="clear" w:color="auto" w:fill="auto"/>
            <w:noWrap/>
            <w:vAlign w:val="bottom"/>
            <w:hideMark/>
          </w:tcPr>
          <w:p w14:paraId="1323B163" w14:textId="77777777" w:rsidR="00730DE4" w:rsidRPr="00730DE4" w:rsidRDefault="00730DE4" w:rsidP="00F70EB4">
            <w:pPr>
              <w:pStyle w:val="NoSpacing"/>
              <w:jc w:val="right"/>
              <w:rPr>
                <w:rStyle w:val="Strong"/>
              </w:rPr>
            </w:pPr>
            <w:r w:rsidRPr="00730DE4">
              <w:rPr>
                <w:rStyle w:val="Strong"/>
              </w:rPr>
              <w:t xml:space="preserve">100,671 </w:t>
            </w:r>
          </w:p>
        </w:tc>
      </w:tr>
      <w:tr w:rsidR="00730DE4" w:rsidRPr="00730DE4" w14:paraId="14C42B14" w14:textId="77777777" w:rsidTr="00A85CE5">
        <w:tc>
          <w:tcPr>
            <w:tcW w:w="2032" w:type="pct"/>
            <w:tcBorders>
              <w:top w:val="dashSmallGap" w:sz="4" w:space="0" w:color="BFBFBF" w:themeColor="background1" w:themeShade="BF"/>
              <w:left w:val="nil"/>
              <w:bottom w:val="dashSmallGap" w:sz="4" w:space="0" w:color="BFBFBF" w:themeColor="background1" w:themeShade="BF"/>
              <w:right w:val="dashSmallGap" w:sz="4" w:space="0" w:color="BFBFBF" w:themeColor="background1" w:themeShade="BF"/>
            </w:tcBorders>
            <w:shd w:val="clear" w:color="auto" w:fill="auto"/>
            <w:noWrap/>
            <w:vAlign w:val="center"/>
            <w:hideMark/>
          </w:tcPr>
          <w:p w14:paraId="7A415D8E" w14:textId="77777777" w:rsidR="00730DE4" w:rsidRPr="00730DE4" w:rsidRDefault="00730DE4" w:rsidP="00F571AF">
            <w:pPr>
              <w:pStyle w:val="NoSpacing"/>
            </w:pPr>
            <w:r w:rsidRPr="00730DE4">
              <w:t>Additions</w:t>
            </w:r>
          </w:p>
        </w:tc>
        <w:tc>
          <w:tcPr>
            <w:tcW w:w="742"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noWrap/>
            <w:vAlign w:val="bottom"/>
            <w:hideMark/>
          </w:tcPr>
          <w:p w14:paraId="38AF119D" w14:textId="77777777" w:rsidR="00730DE4" w:rsidRPr="00730DE4" w:rsidRDefault="00730DE4" w:rsidP="00F70EB4">
            <w:pPr>
              <w:pStyle w:val="NoSpacing"/>
              <w:jc w:val="right"/>
            </w:pPr>
          </w:p>
        </w:tc>
        <w:tc>
          <w:tcPr>
            <w:tcW w:w="742"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noWrap/>
            <w:vAlign w:val="bottom"/>
            <w:hideMark/>
          </w:tcPr>
          <w:p w14:paraId="2F4385C9" w14:textId="77777777" w:rsidR="00730DE4" w:rsidRPr="00730DE4" w:rsidRDefault="00730DE4" w:rsidP="00F70EB4">
            <w:pPr>
              <w:pStyle w:val="NoSpacing"/>
              <w:jc w:val="right"/>
            </w:pPr>
            <w:r w:rsidRPr="00730DE4">
              <w:t xml:space="preserve">- </w:t>
            </w:r>
          </w:p>
        </w:tc>
        <w:tc>
          <w:tcPr>
            <w:tcW w:w="742"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vAlign w:val="bottom"/>
            <w:hideMark/>
          </w:tcPr>
          <w:p w14:paraId="4C702A03" w14:textId="77777777" w:rsidR="00730DE4" w:rsidRPr="00730DE4" w:rsidRDefault="00730DE4" w:rsidP="00F70EB4">
            <w:pPr>
              <w:pStyle w:val="NoSpacing"/>
              <w:jc w:val="right"/>
            </w:pPr>
            <w:r w:rsidRPr="00730DE4">
              <w:t>502</w:t>
            </w:r>
          </w:p>
        </w:tc>
        <w:tc>
          <w:tcPr>
            <w:tcW w:w="742" w:type="pc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nil"/>
            </w:tcBorders>
            <w:shd w:val="clear" w:color="auto" w:fill="auto"/>
            <w:noWrap/>
            <w:vAlign w:val="bottom"/>
            <w:hideMark/>
          </w:tcPr>
          <w:p w14:paraId="0608A590" w14:textId="77777777" w:rsidR="00730DE4" w:rsidRPr="00730DE4" w:rsidRDefault="00730DE4" w:rsidP="00F70EB4">
            <w:pPr>
              <w:pStyle w:val="NoSpacing"/>
              <w:jc w:val="right"/>
              <w:rPr>
                <w:rStyle w:val="Strong"/>
              </w:rPr>
            </w:pPr>
            <w:r w:rsidRPr="00730DE4">
              <w:rPr>
                <w:rStyle w:val="Strong"/>
              </w:rPr>
              <w:t xml:space="preserve">502 </w:t>
            </w:r>
          </w:p>
        </w:tc>
      </w:tr>
      <w:tr w:rsidR="00730DE4" w:rsidRPr="00730DE4" w14:paraId="0C86A179" w14:textId="77777777" w:rsidTr="00A85CE5">
        <w:tc>
          <w:tcPr>
            <w:tcW w:w="2032" w:type="pct"/>
            <w:tcBorders>
              <w:top w:val="dashSmallGap" w:sz="4" w:space="0" w:color="BFBFBF" w:themeColor="background1" w:themeShade="BF"/>
              <w:left w:val="nil"/>
              <w:bottom w:val="single" w:sz="4" w:space="0" w:color="auto"/>
              <w:right w:val="dashSmallGap" w:sz="4" w:space="0" w:color="BFBFBF" w:themeColor="background1" w:themeShade="BF"/>
            </w:tcBorders>
            <w:shd w:val="clear" w:color="auto" w:fill="auto"/>
            <w:noWrap/>
            <w:vAlign w:val="center"/>
            <w:hideMark/>
          </w:tcPr>
          <w:p w14:paraId="44B566B9" w14:textId="77777777" w:rsidR="00730DE4" w:rsidRPr="00730DE4" w:rsidRDefault="00730DE4" w:rsidP="00F571AF">
            <w:pPr>
              <w:pStyle w:val="NoSpacing"/>
            </w:pPr>
            <w:r w:rsidRPr="00730DE4">
              <w:t xml:space="preserve">Depreciation </w:t>
            </w:r>
          </w:p>
        </w:tc>
        <w:tc>
          <w:tcPr>
            <w:tcW w:w="742" w:type="pct"/>
            <w:tcBorders>
              <w:top w:val="dashSmallGap" w:sz="4" w:space="0" w:color="BFBFBF" w:themeColor="background1" w:themeShade="BF"/>
              <w:left w:val="dashSmallGap" w:sz="4" w:space="0" w:color="BFBFBF" w:themeColor="background1" w:themeShade="BF"/>
              <w:bottom w:val="single" w:sz="4" w:space="0" w:color="auto"/>
              <w:right w:val="dashSmallGap" w:sz="4" w:space="0" w:color="BFBFBF" w:themeColor="background1" w:themeShade="BF"/>
            </w:tcBorders>
            <w:shd w:val="clear" w:color="auto" w:fill="auto"/>
            <w:noWrap/>
            <w:vAlign w:val="bottom"/>
            <w:hideMark/>
          </w:tcPr>
          <w:p w14:paraId="7E32937B" w14:textId="77777777" w:rsidR="00730DE4" w:rsidRPr="00730DE4" w:rsidRDefault="00730DE4" w:rsidP="00F70EB4">
            <w:pPr>
              <w:pStyle w:val="NoSpacing"/>
              <w:jc w:val="right"/>
            </w:pPr>
            <w:r w:rsidRPr="00730DE4">
              <w:t>10</w:t>
            </w:r>
          </w:p>
        </w:tc>
        <w:tc>
          <w:tcPr>
            <w:tcW w:w="742" w:type="pct"/>
            <w:tcBorders>
              <w:top w:val="dashSmallGap" w:sz="4" w:space="0" w:color="BFBFBF" w:themeColor="background1" w:themeShade="BF"/>
              <w:left w:val="dashSmallGap" w:sz="4" w:space="0" w:color="BFBFBF" w:themeColor="background1" w:themeShade="BF"/>
              <w:bottom w:val="single" w:sz="4" w:space="0" w:color="auto"/>
              <w:right w:val="dashSmallGap" w:sz="4" w:space="0" w:color="BFBFBF" w:themeColor="background1" w:themeShade="BF"/>
            </w:tcBorders>
            <w:shd w:val="clear" w:color="auto" w:fill="auto"/>
            <w:noWrap/>
            <w:vAlign w:val="bottom"/>
            <w:hideMark/>
          </w:tcPr>
          <w:p w14:paraId="7550D270" w14:textId="77777777" w:rsidR="00730DE4" w:rsidRPr="00730DE4" w:rsidRDefault="00730DE4" w:rsidP="00F70EB4">
            <w:pPr>
              <w:pStyle w:val="NoSpacing"/>
              <w:jc w:val="right"/>
            </w:pPr>
            <w:r w:rsidRPr="00730DE4">
              <w:t>(591)</w:t>
            </w:r>
          </w:p>
        </w:tc>
        <w:tc>
          <w:tcPr>
            <w:tcW w:w="742" w:type="pct"/>
            <w:tcBorders>
              <w:top w:val="dashSmallGap" w:sz="4" w:space="0" w:color="BFBFBF" w:themeColor="background1" w:themeShade="BF"/>
              <w:left w:val="dashSmallGap" w:sz="4" w:space="0" w:color="BFBFBF" w:themeColor="background1" w:themeShade="BF"/>
              <w:bottom w:val="single" w:sz="4" w:space="0" w:color="auto"/>
              <w:right w:val="dashSmallGap" w:sz="4" w:space="0" w:color="BFBFBF" w:themeColor="background1" w:themeShade="BF"/>
            </w:tcBorders>
            <w:shd w:val="clear" w:color="auto" w:fill="auto"/>
            <w:noWrap/>
            <w:vAlign w:val="bottom"/>
            <w:hideMark/>
          </w:tcPr>
          <w:p w14:paraId="38A5FD29" w14:textId="77777777" w:rsidR="00730DE4" w:rsidRPr="00730DE4" w:rsidRDefault="00730DE4" w:rsidP="00F70EB4">
            <w:pPr>
              <w:pStyle w:val="NoSpacing"/>
              <w:jc w:val="right"/>
            </w:pPr>
            <w:r w:rsidRPr="00730DE4">
              <w:t>(1,713)</w:t>
            </w:r>
          </w:p>
        </w:tc>
        <w:tc>
          <w:tcPr>
            <w:tcW w:w="742" w:type="pct"/>
            <w:tcBorders>
              <w:top w:val="dashSmallGap" w:sz="4" w:space="0" w:color="BFBFBF" w:themeColor="background1" w:themeShade="BF"/>
              <w:left w:val="dashSmallGap" w:sz="4" w:space="0" w:color="BFBFBF" w:themeColor="background1" w:themeShade="BF"/>
              <w:bottom w:val="single" w:sz="4" w:space="0" w:color="auto"/>
              <w:right w:val="nil"/>
            </w:tcBorders>
            <w:shd w:val="clear" w:color="auto" w:fill="auto"/>
            <w:noWrap/>
            <w:vAlign w:val="bottom"/>
            <w:hideMark/>
          </w:tcPr>
          <w:p w14:paraId="52EDEC14" w14:textId="77777777" w:rsidR="00730DE4" w:rsidRPr="00730DE4" w:rsidRDefault="00730DE4" w:rsidP="00F70EB4">
            <w:pPr>
              <w:pStyle w:val="NoSpacing"/>
              <w:jc w:val="right"/>
              <w:rPr>
                <w:rStyle w:val="Strong"/>
              </w:rPr>
            </w:pPr>
            <w:r w:rsidRPr="00730DE4">
              <w:rPr>
                <w:rStyle w:val="Strong"/>
              </w:rPr>
              <w:t>(2,304)</w:t>
            </w:r>
          </w:p>
        </w:tc>
      </w:tr>
      <w:tr w:rsidR="00730DE4" w:rsidRPr="00730DE4" w14:paraId="0D847860" w14:textId="77777777" w:rsidTr="00A85CE5">
        <w:tc>
          <w:tcPr>
            <w:tcW w:w="2032" w:type="pct"/>
            <w:tcBorders>
              <w:top w:val="single" w:sz="4" w:space="0" w:color="auto"/>
              <w:left w:val="nil"/>
              <w:bottom w:val="double" w:sz="4" w:space="0" w:color="auto"/>
              <w:right w:val="dashSmallGap" w:sz="4" w:space="0" w:color="BFBFBF" w:themeColor="background1" w:themeShade="BF"/>
            </w:tcBorders>
            <w:shd w:val="clear" w:color="auto" w:fill="auto"/>
            <w:noWrap/>
            <w:hideMark/>
          </w:tcPr>
          <w:p w14:paraId="23ED4925" w14:textId="77777777" w:rsidR="00730DE4" w:rsidRPr="00730DE4" w:rsidRDefault="00730DE4" w:rsidP="007E2686">
            <w:pPr>
              <w:pStyle w:val="NoSpacing"/>
              <w:rPr>
                <w:b/>
                <w:bCs/>
              </w:rPr>
            </w:pPr>
            <w:r w:rsidRPr="00730DE4">
              <w:rPr>
                <w:rStyle w:val="Strong"/>
              </w:rPr>
              <w:t>Closing balance</w:t>
            </w:r>
          </w:p>
        </w:tc>
        <w:tc>
          <w:tcPr>
            <w:tcW w:w="742" w:type="pct"/>
            <w:tcBorders>
              <w:top w:val="single" w:sz="4" w:space="0" w:color="auto"/>
              <w:left w:val="dashSmallGap" w:sz="4" w:space="0" w:color="BFBFBF" w:themeColor="background1" w:themeShade="BF"/>
              <w:bottom w:val="double" w:sz="4" w:space="0" w:color="auto"/>
              <w:right w:val="dashSmallGap" w:sz="4" w:space="0" w:color="BFBFBF" w:themeColor="background1" w:themeShade="BF"/>
            </w:tcBorders>
            <w:shd w:val="clear" w:color="auto" w:fill="auto"/>
            <w:noWrap/>
            <w:hideMark/>
          </w:tcPr>
          <w:p w14:paraId="611BCE08" w14:textId="77777777" w:rsidR="00730DE4" w:rsidRPr="00730DE4" w:rsidRDefault="00730DE4" w:rsidP="007E2686">
            <w:pPr>
              <w:pStyle w:val="NoSpacing"/>
              <w:jc w:val="right"/>
              <w:rPr>
                <w:b/>
                <w:bCs/>
              </w:rPr>
            </w:pPr>
            <w:r w:rsidRPr="00730DE4">
              <w:rPr>
                <w:rStyle w:val="Strong"/>
              </w:rPr>
              <w:t> </w:t>
            </w:r>
          </w:p>
        </w:tc>
        <w:tc>
          <w:tcPr>
            <w:tcW w:w="742" w:type="pct"/>
            <w:tcBorders>
              <w:top w:val="single" w:sz="4" w:space="0" w:color="auto"/>
              <w:left w:val="dashSmallGap" w:sz="4" w:space="0" w:color="BFBFBF" w:themeColor="background1" w:themeShade="BF"/>
              <w:bottom w:val="double" w:sz="4" w:space="0" w:color="auto"/>
              <w:right w:val="dashSmallGap" w:sz="4" w:space="0" w:color="BFBFBF" w:themeColor="background1" w:themeShade="BF"/>
            </w:tcBorders>
            <w:shd w:val="clear" w:color="auto" w:fill="auto"/>
            <w:noWrap/>
            <w:hideMark/>
          </w:tcPr>
          <w:p w14:paraId="02BBEE97" w14:textId="77777777" w:rsidR="00730DE4" w:rsidRPr="00730DE4" w:rsidRDefault="00730DE4" w:rsidP="007E2686">
            <w:pPr>
              <w:pStyle w:val="NoSpacing"/>
              <w:jc w:val="right"/>
              <w:rPr>
                <w:b/>
                <w:bCs/>
              </w:rPr>
            </w:pPr>
            <w:r w:rsidRPr="00730DE4">
              <w:rPr>
                <w:rStyle w:val="Strong"/>
              </w:rPr>
              <w:t>4,124</w:t>
            </w:r>
          </w:p>
        </w:tc>
        <w:tc>
          <w:tcPr>
            <w:tcW w:w="742" w:type="pct"/>
            <w:tcBorders>
              <w:top w:val="single" w:sz="4" w:space="0" w:color="auto"/>
              <w:left w:val="dashSmallGap" w:sz="4" w:space="0" w:color="BFBFBF" w:themeColor="background1" w:themeShade="BF"/>
              <w:bottom w:val="double" w:sz="4" w:space="0" w:color="auto"/>
              <w:right w:val="dashSmallGap" w:sz="4" w:space="0" w:color="BFBFBF" w:themeColor="background1" w:themeShade="BF"/>
            </w:tcBorders>
            <w:shd w:val="clear" w:color="auto" w:fill="auto"/>
            <w:noWrap/>
            <w:hideMark/>
          </w:tcPr>
          <w:p w14:paraId="7EBCB69F" w14:textId="77777777" w:rsidR="00730DE4" w:rsidRPr="00730DE4" w:rsidRDefault="00730DE4" w:rsidP="007E2686">
            <w:pPr>
              <w:pStyle w:val="NoSpacing"/>
              <w:jc w:val="right"/>
              <w:rPr>
                <w:b/>
                <w:bCs/>
              </w:rPr>
            </w:pPr>
            <w:r w:rsidRPr="00730DE4">
              <w:rPr>
                <w:rStyle w:val="Strong"/>
              </w:rPr>
              <w:t xml:space="preserve">94,747 </w:t>
            </w:r>
          </w:p>
        </w:tc>
        <w:tc>
          <w:tcPr>
            <w:tcW w:w="742" w:type="pct"/>
            <w:tcBorders>
              <w:top w:val="single" w:sz="4" w:space="0" w:color="auto"/>
              <w:left w:val="dashSmallGap" w:sz="4" w:space="0" w:color="BFBFBF" w:themeColor="background1" w:themeShade="BF"/>
              <w:bottom w:val="double" w:sz="4" w:space="0" w:color="auto"/>
              <w:right w:val="nil"/>
            </w:tcBorders>
            <w:shd w:val="clear" w:color="auto" w:fill="auto"/>
            <w:noWrap/>
            <w:hideMark/>
          </w:tcPr>
          <w:p w14:paraId="28B6F291" w14:textId="77777777" w:rsidR="00730DE4" w:rsidRPr="00730DE4" w:rsidRDefault="00730DE4" w:rsidP="007E2686">
            <w:pPr>
              <w:pStyle w:val="NoSpacing"/>
              <w:jc w:val="right"/>
              <w:rPr>
                <w:rStyle w:val="Strong"/>
              </w:rPr>
            </w:pPr>
            <w:r w:rsidRPr="00730DE4">
              <w:rPr>
                <w:rStyle w:val="Strong"/>
              </w:rPr>
              <w:t xml:space="preserve">98,871 </w:t>
            </w:r>
          </w:p>
        </w:tc>
      </w:tr>
    </w:tbl>
    <w:p w14:paraId="2E0AAA3B" w14:textId="77777777" w:rsidR="00730DE4" w:rsidRPr="00730DE4" w:rsidRDefault="00730DE4"/>
    <w:tbl>
      <w:tblPr>
        <w:tblW w:w="5000" w:type="pct"/>
        <w:tblCellMar>
          <w:top w:w="23" w:type="dxa"/>
          <w:left w:w="23" w:type="dxa"/>
          <w:bottom w:w="23" w:type="dxa"/>
          <w:right w:w="23" w:type="dxa"/>
        </w:tblCellMar>
        <w:tblLook w:val="04A0" w:firstRow="1" w:lastRow="0" w:firstColumn="1" w:lastColumn="0" w:noHBand="0" w:noVBand="1"/>
      </w:tblPr>
      <w:tblGrid>
        <w:gridCol w:w="6380"/>
        <w:gridCol w:w="1275"/>
        <w:gridCol w:w="1415"/>
      </w:tblGrid>
      <w:tr w:rsidR="00730DE4" w:rsidRPr="00730DE4" w14:paraId="7EE496E0" w14:textId="77777777" w:rsidTr="00A85CE5">
        <w:trPr>
          <w:trHeight w:val="454"/>
        </w:trPr>
        <w:tc>
          <w:tcPr>
            <w:tcW w:w="3517" w:type="pct"/>
            <w:tcBorders>
              <w:left w:val="nil"/>
              <w:bottom w:val="dashSmallGap" w:sz="4" w:space="0" w:color="BFBFBF" w:themeColor="background1" w:themeShade="BF"/>
              <w:right w:val="nil"/>
            </w:tcBorders>
            <w:shd w:val="clear" w:color="auto" w:fill="auto"/>
            <w:noWrap/>
            <w:vAlign w:val="bottom"/>
          </w:tcPr>
          <w:p w14:paraId="6A316B7A" w14:textId="77777777" w:rsidR="00730DE4" w:rsidRPr="00730DE4" w:rsidRDefault="00730DE4" w:rsidP="000C5BE8">
            <w:pPr>
              <w:pStyle w:val="NoSpacing"/>
              <w:rPr>
                <w:rStyle w:val="Strong"/>
              </w:rPr>
            </w:pPr>
            <w:r w:rsidRPr="00730DE4">
              <w:rPr>
                <w:rStyle w:val="Strong"/>
              </w:rPr>
              <w:t>Lease liabilities</w:t>
            </w:r>
          </w:p>
        </w:tc>
        <w:tc>
          <w:tcPr>
            <w:tcW w:w="703" w:type="pct"/>
            <w:tcBorders>
              <w:left w:val="nil"/>
              <w:bottom w:val="dashSmallGap" w:sz="4" w:space="0" w:color="BFBFBF" w:themeColor="background1" w:themeShade="BF"/>
              <w:right w:val="nil"/>
            </w:tcBorders>
            <w:shd w:val="clear" w:color="auto" w:fill="auto"/>
            <w:noWrap/>
            <w:vAlign w:val="bottom"/>
          </w:tcPr>
          <w:p w14:paraId="04F5238E" w14:textId="77777777" w:rsidR="00730DE4" w:rsidRPr="00730DE4" w:rsidRDefault="00730DE4" w:rsidP="000C5BE8">
            <w:pPr>
              <w:pStyle w:val="NoSpacing"/>
              <w:jc w:val="right"/>
              <w:rPr>
                <w:color w:val="080C0F" w:themeColor="text1"/>
              </w:rPr>
            </w:pPr>
            <w:r w:rsidRPr="00730DE4">
              <w:rPr>
                <w:rStyle w:val="Strong"/>
              </w:rPr>
              <w:t xml:space="preserve">2024 </w:t>
            </w:r>
            <w:r w:rsidRPr="00730DE4">
              <w:rPr>
                <w:rStyle w:val="Strong"/>
              </w:rPr>
              <w:br/>
              <w:t>$'000</w:t>
            </w:r>
          </w:p>
        </w:tc>
        <w:tc>
          <w:tcPr>
            <w:tcW w:w="780" w:type="pct"/>
            <w:tcBorders>
              <w:left w:val="nil"/>
              <w:bottom w:val="dashSmallGap" w:sz="4" w:space="0" w:color="BFBFBF" w:themeColor="background1" w:themeShade="BF"/>
              <w:right w:val="nil"/>
            </w:tcBorders>
            <w:shd w:val="clear" w:color="auto" w:fill="auto"/>
            <w:noWrap/>
            <w:vAlign w:val="bottom"/>
          </w:tcPr>
          <w:p w14:paraId="4B61B835" w14:textId="77777777" w:rsidR="00730DE4" w:rsidRPr="00730DE4" w:rsidRDefault="00730DE4" w:rsidP="000C5BE8">
            <w:pPr>
              <w:pStyle w:val="NoSpacing"/>
              <w:jc w:val="right"/>
              <w:rPr>
                <w:rStyle w:val="Strong"/>
              </w:rPr>
            </w:pPr>
            <w:r w:rsidRPr="00730DE4">
              <w:rPr>
                <w:rStyle w:val="Strong"/>
              </w:rPr>
              <w:br/>
              <w:t xml:space="preserve">2023 </w:t>
            </w:r>
            <w:r w:rsidRPr="00730DE4">
              <w:rPr>
                <w:rStyle w:val="Strong"/>
              </w:rPr>
              <w:br/>
              <w:t>$'000</w:t>
            </w:r>
          </w:p>
        </w:tc>
      </w:tr>
      <w:tr w:rsidR="00730DE4" w:rsidRPr="00730DE4" w14:paraId="1B79660A" w14:textId="77777777" w:rsidTr="00A85CE5">
        <w:trPr>
          <w:trHeight w:val="454"/>
        </w:trPr>
        <w:tc>
          <w:tcPr>
            <w:tcW w:w="3517" w:type="pct"/>
            <w:tcBorders>
              <w:top w:val="dashSmallGap"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27D1679" w14:textId="77777777" w:rsidR="00730DE4" w:rsidRPr="00730DE4" w:rsidRDefault="00730DE4" w:rsidP="000C5BE8">
            <w:pPr>
              <w:pStyle w:val="NoSpacing"/>
              <w:rPr>
                <w:color w:val="080C0F" w:themeColor="text1"/>
              </w:rPr>
            </w:pPr>
            <w:r w:rsidRPr="00730DE4">
              <w:rPr>
                <w:rStyle w:val="Strong"/>
              </w:rPr>
              <w:t>Current</w:t>
            </w:r>
          </w:p>
        </w:tc>
        <w:tc>
          <w:tcPr>
            <w:tcW w:w="703" w:type="pct"/>
            <w:tcBorders>
              <w:top w:val="dashSmallGap"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3D3E69E" w14:textId="77777777" w:rsidR="00730DE4" w:rsidRPr="00730DE4" w:rsidRDefault="00730DE4" w:rsidP="000C5BE8">
            <w:pPr>
              <w:pStyle w:val="NoSpacing"/>
              <w:rPr>
                <w:color w:val="080C0F" w:themeColor="text1"/>
              </w:rPr>
            </w:pPr>
          </w:p>
        </w:tc>
        <w:tc>
          <w:tcPr>
            <w:tcW w:w="780" w:type="pct"/>
            <w:tcBorders>
              <w:top w:val="dashSmallGap"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342F9E3" w14:textId="77777777" w:rsidR="00730DE4" w:rsidRPr="00730DE4" w:rsidRDefault="00730DE4" w:rsidP="000C5BE8">
            <w:pPr>
              <w:pStyle w:val="NoSpacing"/>
              <w:rPr>
                <w:color w:val="080C0F" w:themeColor="text1"/>
              </w:rPr>
            </w:pPr>
          </w:p>
        </w:tc>
      </w:tr>
      <w:tr w:rsidR="00730DE4" w:rsidRPr="00730DE4" w14:paraId="38B805A1" w14:textId="77777777" w:rsidTr="00A85CE5">
        <w:tc>
          <w:tcPr>
            <w:tcW w:w="3517"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center"/>
            <w:hideMark/>
          </w:tcPr>
          <w:p w14:paraId="1B4C48AE" w14:textId="77777777" w:rsidR="00730DE4" w:rsidRPr="00730DE4" w:rsidRDefault="00730DE4" w:rsidP="000C5BE8">
            <w:pPr>
              <w:pStyle w:val="NoSpacing"/>
              <w:rPr>
                <w:color w:val="080C0F" w:themeColor="text1"/>
              </w:rPr>
            </w:pPr>
            <w:r w:rsidRPr="00730DE4">
              <w:rPr>
                <w:color w:val="080C0F" w:themeColor="text1"/>
              </w:rPr>
              <w:t>Lease liabilities</w:t>
            </w:r>
          </w:p>
        </w:tc>
        <w:tc>
          <w:tcPr>
            <w:tcW w:w="70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88CF3C8" w14:textId="77777777" w:rsidR="00730DE4" w:rsidRPr="00730DE4" w:rsidRDefault="00730DE4" w:rsidP="000C5BE8">
            <w:pPr>
              <w:pStyle w:val="NoSpacing"/>
              <w:jc w:val="right"/>
              <w:rPr>
                <w:color w:val="080C0F" w:themeColor="text1"/>
              </w:rPr>
            </w:pPr>
            <w:r w:rsidRPr="00730DE4">
              <w:rPr>
                <w:color w:val="080C0F" w:themeColor="text1"/>
              </w:rPr>
              <w:t xml:space="preserve">21,954 </w:t>
            </w:r>
          </w:p>
        </w:tc>
        <w:tc>
          <w:tcPr>
            <w:tcW w:w="78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2711ED1" w14:textId="77777777" w:rsidR="00730DE4" w:rsidRPr="00730DE4" w:rsidRDefault="00730DE4" w:rsidP="000C5BE8">
            <w:pPr>
              <w:pStyle w:val="NoSpacing"/>
              <w:jc w:val="right"/>
              <w:rPr>
                <w:color w:val="080C0F" w:themeColor="text1"/>
              </w:rPr>
            </w:pPr>
            <w:r w:rsidRPr="00730DE4">
              <w:rPr>
                <w:color w:val="080C0F" w:themeColor="text1"/>
              </w:rPr>
              <w:t xml:space="preserve">24,962 </w:t>
            </w:r>
          </w:p>
        </w:tc>
      </w:tr>
      <w:tr w:rsidR="00730DE4" w:rsidRPr="00730DE4" w14:paraId="467861F0" w14:textId="77777777" w:rsidTr="00A85CE5">
        <w:trPr>
          <w:trHeight w:val="454"/>
        </w:trPr>
        <w:tc>
          <w:tcPr>
            <w:tcW w:w="3517"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06BCB2D4" w14:textId="77777777" w:rsidR="00730DE4" w:rsidRPr="00730DE4" w:rsidRDefault="00730DE4" w:rsidP="000C5BE8">
            <w:pPr>
              <w:pStyle w:val="NoSpacing"/>
              <w:rPr>
                <w:color w:val="080C0F" w:themeColor="text1"/>
              </w:rPr>
            </w:pPr>
            <w:r w:rsidRPr="00730DE4">
              <w:rPr>
                <w:rStyle w:val="Strong"/>
              </w:rPr>
              <w:t>Non-current</w:t>
            </w:r>
          </w:p>
        </w:tc>
        <w:tc>
          <w:tcPr>
            <w:tcW w:w="70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025317B" w14:textId="77777777" w:rsidR="00730DE4" w:rsidRPr="00730DE4" w:rsidRDefault="00730DE4" w:rsidP="000C5BE8">
            <w:pPr>
              <w:pStyle w:val="NoSpacing"/>
              <w:rPr>
                <w:color w:val="080C0F" w:themeColor="text1"/>
              </w:rPr>
            </w:pPr>
            <w:r w:rsidRPr="00730DE4">
              <w:rPr>
                <w:color w:val="080C0F" w:themeColor="text1"/>
              </w:rPr>
              <w:t> </w:t>
            </w:r>
          </w:p>
        </w:tc>
        <w:tc>
          <w:tcPr>
            <w:tcW w:w="78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DE7F394" w14:textId="77777777" w:rsidR="00730DE4" w:rsidRPr="00730DE4" w:rsidRDefault="00730DE4" w:rsidP="000C5BE8">
            <w:pPr>
              <w:pStyle w:val="NoSpacing"/>
              <w:rPr>
                <w:color w:val="080C0F" w:themeColor="text1"/>
              </w:rPr>
            </w:pPr>
          </w:p>
        </w:tc>
      </w:tr>
      <w:tr w:rsidR="00730DE4" w:rsidRPr="00730DE4" w14:paraId="6A7235A4" w14:textId="77777777" w:rsidTr="00A85CE5">
        <w:tc>
          <w:tcPr>
            <w:tcW w:w="3517"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center"/>
            <w:hideMark/>
          </w:tcPr>
          <w:p w14:paraId="135200B1" w14:textId="77777777" w:rsidR="00730DE4" w:rsidRPr="00730DE4" w:rsidRDefault="00730DE4" w:rsidP="000C5BE8">
            <w:pPr>
              <w:pStyle w:val="NoSpacing"/>
              <w:rPr>
                <w:color w:val="080C0F" w:themeColor="text1"/>
              </w:rPr>
            </w:pPr>
            <w:r w:rsidRPr="00730DE4">
              <w:rPr>
                <w:color w:val="080C0F" w:themeColor="text1"/>
              </w:rPr>
              <w:t>Lease liabilities</w:t>
            </w:r>
          </w:p>
        </w:tc>
        <w:tc>
          <w:tcPr>
            <w:tcW w:w="703"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4BF14B3C" w14:textId="77777777" w:rsidR="00730DE4" w:rsidRPr="00730DE4" w:rsidRDefault="00730DE4" w:rsidP="000C5BE8">
            <w:pPr>
              <w:pStyle w:val="NoSpacing"/>
              <w:jc w:val="right"/>
              <w:rPr>
                <w:color w:val="080C0F" w:themeColor="text1"/>
              </w:rPr>
            </w:pPr>
            <w:r w:rsidRPr="00730DE4">
              <w:rPr>
                <w:color w:val="080C0F" w:themeColor="text1"/>
              </w:rPr>
              <w:t xml:space="preserve">73,557 </w:t>
            </w:r>
          </w:p>
        </w:tc>
        <w:tc>
          <w:tcPr>
            <w:tcW w:w="780"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02E01AD6" w14:textId="77777777" w:rsidR="00730DE4" w:rsidRPr="00730DE4" w:rsidRDefault="00730DE4" w:rsidP="000C5BE8">
            <w:pPr>
              <w:pStyle w:val="NoSpacing"/>
              <w:jc w:val="right"/>
              <w:rPr>
                <w:color w:val="080C0F" w:themeColor="text1"/>
              </w:rPr>
            </w:pPr>
            <w:r w:rsidRPr="00730DE4">
              <w:rPr>
                <w:color w:val="080C0F" w:themeColor="text1"/>
              </w:rPr>
              <w:t xml:space="preserve">85,780 </w:t>
            </w:r>
          </w:p>
        </w:tc>
      </w:tr>
      <w:tr w:rsidR="00730DE4" w:rsidRPr="00730DE4" w14:paraId="720A3D40" w14:textId="77777777" w:rsidTr="00A85CE5">
        <w:tc>
          <w:tcPr>
            <w:tcW w:w="3517" w:type="pct"/>
            <w:tcBorders>
              <w:top w:val="single" w:sz="4" w:space="0" w:color="auto"/>
              <w:left w:val="nil"/>
              <w:bottom w:val="double" w:sz="4" w:space="0" w:color="auto"/>
              <w:right w:val="dashSmallGap" w:sz="4" w:space="0" w:color="BFBFBF" w:themeColor="background1" w:themeShade="BF"/>
            </w:tcBorders>
            <w:shd w:val="clear" w:color="auto" w:fill="auto"/>
            <w:noWrap/>
            <w:hideMark/>
          </w:tcPr>
          <w:p w14:paraId="3A80D3BC" w14:textId="77777777" w:rsidR="00730DE4" w:rsidRPr="00730DE4" w:rsidRDefault="00730DE4" w:rsidP="000C5BE8">
            <w:pPr>
              <w:pStyle w:val="NoSpacing"/>
              <w:rPr>
                <w:rStyle w:val="Strong"/>
              </w:rPr>
            </w:pPr>
            <w:r w:rsidRPr="00730DE4">
              <w:rPr>
                <w:rStyle w:val="Strong"/>
              </w:rPr>
              <w:t>Carrying amount at 30 June</w:t>
            </w:r>
          </w:p>
        </w:tc>
        <w:tc>
          <w:tcPr>
            <w:tcW w:w="703" w:type="pct"/>
            <w:tcBorders>
              <w:top w:val="single" w:sz="4" w:space="0" w:color="auto"/>
              <w:left w:val="dashSmallGap" w:sz="4" w:space="0" w:color="BFBFBF" w:themeColor="background1" w:themeShade="BF"/>
              <w:bottom w:val="double" w:sz="4" w:space="0" w:color="auto"/>
              <w:right w:val="dashSmallGap" w:sz="4" w:space="0" w:color="BFBFBF" w:themeColor="background1" w:themeShade="BF"/>
            </w:tcBorders>
            <w:shd w:val="clear" w:color="auto" w:fill="F2F2F2" w:themeFill="background1" w:themeFillShade="F2"/>
            <w:noWrap/>
            <w:hideMark/>
          </w:tcPr>
          <w:p w14:paraId="7B47A723" w14:textId="77777777" w:rsidR="00730DE4" w:rsidRPr="00730DE4" w:rsidRDefault="00730DE4" w:rsidP="000C5BE8">
            <w:pPr>
              <w:pStyle w:val="NoSpacing"/>
              <w:jc w:val="right"/>
              <w:rPr>
                <w:color w:val="080C0F" w:themeColor="text1"/>
              </w:rPr>
            </w:pPr>
            <w:r w:rsidRPr="00730DE4">
              <w:rPr>
                <w:rStyle w:val="Strong"/>
              </w:rPr>
              <w:t xml:space="preserve">95,511 </w:t>
            </w:r>
          </w:p>
        </w:tc>
        <w:tc>
          <w:tcPr>
            <w:tcW w:w="780" w:type="pct"/>
            <w:tcBorders>
              <w:top w:val="single" w:sz="4" w:space="0" w:color="auto"/>
              <w:left w:val="dashSmallGap" w:sz="4" w:space="0" w:color="BFBFBF" w:themeColor="background1" w:themeShade="BF"/>
              <w:bottom w:val="double" w:sz="4" w:space="0" w:color="auto"/>
              <w:right w:val="nil"/>
            </w:tcBorders>
            <w:shd w:val="clear" w:color="auto" w:fill="auto"/>
            <w:noWrap/>
            <w:hideMark/>
          </w:tcPr>
          <w:p w14:paraId="06E3F3BD" w14:textId="77777777" w:rsidR="00730DE4" w:rsidRPr="00730DE4" w:rsidRDefault="00730DE4" w:rsidP="000C5BE8">
            <w:pPr>
              <w:pStyle w:val="NoSpacing"/>
              <w:jc w:val="right"/>
              <w:rPr>
                <w:rStyle w:val="Strong"/>
              </w:rPr>
            </w:pPr>
            <w:r w:rsidRPr="00730DE4">
              <w:rPr>
                <w:rStyle w:val="Strong"/>
              </w:rPr>
              <w:t xml:space="preserve">110,742 </w:t>
            </w:r>
          </w:p>
        </w:tc>
      </w:tr>
    </w:tbl>
    <w:p w14:paraId="4F95851E" w14:textId="77777777" w:rsidR="005B60B8" w:rsidRDefault="005B60B8" w:rsidP="000A2C0E">
      <w:pPr>
        <w:pStyle w:val="Heading5"/>
      </w:pPr>
      <w:r>
        <w:br w:type="page"/>
      </w:r>
    </w:p>
    <w:p w14:paraId="0DDCA4CF" w14:textId="7F3FD9DA" w:rsidR="00730DE4" w:rsidRPr="00730DE4" w:rsidRDefault="00730DE4" w:rsidP="000A2C0E">
      <w:pPr>
        <w:pStyle w:val="Heading5"/>
      </w:pPr>
      <w:bookmarkStart w:id="1545" w:name="_Toc180487738"/>
      <w:bookmarkStart w:id="1546" w:name="_Toc180490943"/>
      <w:bookmarkStart w:id="1547" w:name="_Toc180491976"/>
      <w:r w:rsidRPr="00730DE4">
        <w:t>Accounting policy</w:t>
      </w:r>
      <w:bookmarkEnd w:id="1545"/>
      <w:bookmarkEnd w:id="1546"/>
      <w:bookmarkEnd w:id="1547"/>
    </w:p>
    <w:p w14:paraId="64AB43AF" w14:textId="77777777" w:rsidR="00730DE4" w:rsidRPr="00730DE4" w:rsidRDefault="00730DE4" w:rsidP="00E4631D">
      <w:pPr>
        <w:pStyle w:val="Heading6"/>
      </w:pPr>
      <w:r w:rsidRPr="00730DE4">
        <w:t xml:space="preserve">Right-of-use assets </w:t>
      </w:r>
    </w:p>
    <w:p w14:paraId="19506A0B" w14:textId="77777777" w:rsidR="00730DE4" w:rsidRPr="00730DE4" w:rsidRDefault="00730DE4" w:rsidP="003C13D4">
      <w:pPr>
        <w:rPr>
          <w:color w:val="080C0F" w:themeColor="text1"/>
        </w:rPr>
      </w:pPr>
      <w:r w:rsidRPr="00730DE4">
        <w:rPr>
          <w:color w:val="080C0F" w:themeColor="text1"/>
        </w:rPr>
        <w:t>Right-of-use assets are initially recognised at cost comprising the following:</w:t>
      </w:r>
    </w:p>
    <w:p w14:paraId="3D00D6D4" w14:textId="77777777" w:rsidR="00730DE4" w:rsidRPr="00730DE4" w:rsidRDefault="00730DE4" w:rsidP="00F571AF">
      <w:pPr>
        <w:pStyle w:val="ListBullet"/>
      </w:pPr>
      <w:r w:rsidRPr="00730DE4">
        <w:t>the amount of the initial measurement of the lease liability</w:t>
      </w:r>
    </w:p>
    <w:p w14:paraId="643E4AA5" w14:textId="77777777" w:rsidR="00730DE4" w:rsidRPr="00730DE4" w:rsidRDefault="00730DE4" w:rsidP="00F571AF">
      <w:pPr>
        <w:pStyle w:val="ListBullet"/>
      </w:pPr>
      <w:r w:rsidRPr="00730DE4">
        <w:t>lease payments made at or before the commencement date, less any lease incentives received</w:t>
      </w:r>
    </w:p>
    <w:p w14:paraId="44C28EA8" w14:textId="77777777" w:rsidR="00730DE4" w:rsidRPr="00730DE4" w:rsidRDefault="00730DE4" w:rsidP="00F571AF">
      <w:pPr>
        <w:pStyle w:val="ListBullet"/>
      </w:pPr>
      <w:r w:rsidRPr="00730DE4">
        <w:t>initial direct costs incurred, and</w:t>
      </w:r>
    </w:p>
    <w:p w14:paraId="76E7A064" w14:textId="77777777" w:rsidR="00730DE4" w:rsidRPr="00730DE4" w:rsidRDefault="00730DE4" w:rsidP="00F571AF">
      <w:pPr>
        <w:pStyle w:val="ListBullet"/>
      </w:pPr>
      <w:r w:rsidRPr="00730DE4">
        <w:t>the initial estimate of restoration costs.</w:t>
      </w:r>
    </w:p>
    <w:p w14:paraId="2F01029B" w14:textId="77777777" w:rsidR="00730DE4" w:rsidRPr="00730DE4" w:rsidRDefault="00730DE4" w:rsidP="003C13D4">
      <w:pPr>
        <w:rPr>
          <w:color w:val="080C0F" w:themeColor="text1"/>
        </w:rPr>
      </w:pPr>
      <w:r w:rsidRPr="00730DE4">
        <w:rPr>
          <w:color w:val="080C0F" w:themeColor="text1"/>
        </w:rPr>
        <w:t>Right-of-use assets are subsequently depreciated over the lease term and subject to impairment testing on an annual basis.</w:t>
      </w:r>
    </w:p>
    <w:p w14:paraId="54CDCBE6" w14:textId="77777777" w:rsidR="00730DE4" w:rsidRPr="00730DE4" w:rsidRDefault="00730DE4" w:rsidP="003C13D4">
      <w:pPr>
        <w:rPr>
          <w:color w:val="080C0F" w:themeColor="text1"/>
        </w:rPr>
      </w:pPr>
      <w:r w:rsidRPr="00730DE4">
        <w:rPr>
          <w:color w:val="080C0F" w:themeColor="text1"/>
        </w:rPr>
        <w:t>The carrying amount of right-of-use assets are adjusted for any remeasurement of the lease liability in the financial year following a change in discount rate, a reduction in lease payments payable, changes in variable lease payments that depend upon variable indexes/rates or a change in lease term.</w:t>
      </w:r>
    </w:p>
    <w:p w14:paraId="76141D5A" w14:textId="77777777" w:rsidR="00730DE4" w:rsidRPr="00730DE4" w:rsidRDefault="00730DE4" w:rsidP="003C13D4">
      <w:pPr>
        <w:rPr>
          <w:color w:val="080C0F" w:themeColor="text1"/>
        </w:rPr>
      </w:pPr>
      <w:r w:rsidRPr="00730DE4">
        <w:rPr>
          <w:color w:val="080C0F" w:themeColor="text1"/>
        </w:rPr>
        <w:t>In accordance with Queensland Treasury policy, the department does not recognise right-of-use assets and lease liabilities from short-term leases and leases of low value assets. Short term leases are for periods less than 12 months and low value assets are those that cost less than $10,000 when new. Payments for these leases are expensed on a straight-line basis over the lease term.</w:t>
      </w:r>
    </w:p>
    <w:p w14:paraId="7CB70DFD" w14:textId="77777777" w:rsidR="00730DE4" w:rsidRPr="00730DE4" w:rsidRDefault="00730DE4" w:rsidP="00E4631D">
      <w:pPr>
        <w:pStyle w:val="Heading6"/>
      </w:pPr>
      <w:r w:rsidRPr="00730DE4">
        <w:t>Lease liabilities</w:t>
      </w:r>
    </w:p>
    <w:p w14:paraId="15A08C56" w14:textId="77777777" w:rsidR="00730DE4" w:rsidRPr="00730DE4" w:rsidRDefault="00730DE4" w:rsidP="003C13D4">
      <w:pPr>
        <w:rPr>
          <w:color w:val="080C0F" w:themeColor="text1"/>
        </w:rPr>
      </w:pPr>
      <w:r w:rsidRPr="00730DE4">
        <w:rPr>
          <w:color w:val="080C0F" w:themeColor="text1"/>
        </w:rPr>
        <w:t xml:space="preserve">Lease liabilities are initially recognised at the present value of lease payments over the lease term that are not yet paid. The lease term includes any extension or renewal options that the department is reasonably certain to exercise. The future lease payments included in the calculation of the lease liability comprise the following: </w:t>
      </w:r>
    </w:p>
    <w:p w14:paraId="4B348899" w14:textId="77777777" w:rsidR="00730DE4" w:rsidRPr="00730DE4" w:rsidRDefault="00730DE4" w:rsidP="00F571AF">
      <w:pPr>
        <w:pStyle w:val="ListBullet"/>
      </w:pPr>
      <w:r w:rsidRPr="00730DE4">
        <w:t>fixed payments (including in-substance fixed payments), less any lease incentives receivable</w:t>
      </w:r>
    </w:p>
    <w:p w14:paraId="396928C1" w14:textId="77777777" w:rsidR="00730DE4" w:rsidRPr="00730DE4" w:rsidRDefault="00730DE4" w:rsidP="00F571AF">
      <w:pPr>
        <w:pStyle w:val="ListBullet"/>
      </w:pPr>
      <w:r w:rsidRPr="00730DE4">
        <w:t xml:space="preserve">variable lease payments that depend on an index or rate, initially measured using the index or rate as at the commencement date </w:t>
      </w:r>
    </w:p>
    <w:p w14:paraId="124D3F6B" w14:textId="77777777" w:rsidR="00730DE4" w:rsidRPr="00730DE4" w:rsidRDefault="00730DE4" w:rsidP="00F571AF">
      <w:pPr>
        <w:pStyle w:val="ListBullet"/>
      </w:pPr>
      <w:r w:rsidRPr="00730DE4">
        <w:t>amounts expected to be payable by the department under residual value guarantees</w:t>
      </w:r>
    </w:p>
    <w:p w14:paraId="3886B467" w14:textId="77777777" w:rsidR="00730DE4" w:rsidRPr="00730DE4" w:rsidRDefault="00730DE4" w:rsidP="00F571AF">
      <w:pPr>
        <w:pStyle w:val="ListBullet"/>
      </w:pPr>
      <w:r w:rsidRPr="00730DE4">
        <w:t>the exercise price of a purchase option that the department is reasonably certain to exercise</w:t>
      </w:r>
    </w:p>
    <w:p w14:paraId="22C3A6AA" w14:textId="77777777" w:rsidR="00730DE4" w:rsidRPr="00730DE4" w:rsidRDefault="00730DE4" w:rsidP="00F571AF">
      <w:pPr>
        <w:pStyle w:val="ListBullet"/>
      </w:pPr>
      <w:r w:rsidRPr="00730DE4">
        <w:t>payments for termination penalties, if the lease term reflects the early termination.</w:t>
      </w:r>
    </w:p>
    <w:p w14:paraId="78CEFE25" w14:textId="77777777" w:rsidR="005B60B8" w:rsidRDefault="005B60B8" w:rsidP="003C13D4">
      <w:pPr>
        <w:rPr>
          <w:color w:val="080C0F" w:themeColor="text1"/>
        </w:rPr>
      </w:pPr>
      <w:r>
        <w:rPr>
          <w:color w:val="080C0F" w:themeColor="text1"/>
        </w:rPr>
        <w:br w:type="page"/>
      </w:r>
    </w:p>
    <w:p w14:paraId="46DD9A07" w14:textId="1F7579D1" w:rsidR="00730DE4" w:rsidRPr="00730DE4" w:rsidRDefault="00730DE4" w:rsidP="003C13D4">
      <w:pPr>
        <w:rPr>
          <w:color w:val="080C0F" w:themeColor="text1"/>
        </w:rPr>
      </w:pPr>
      <w:r w:rsidRPr="00730DE4">
        <w:rPr>
          <w:color w:val="080C0F" w:themeColor="text1"/>
        </w:rPr>
        <w:t xml:space="preserve">When measuring the lease liability, the department uses its incremental borrowing rate as the discount rate where the interest rate implicit in the lease cannot be readily determined, which is the case for all of the department's leases under AASB 16 </w:t>
      </w:r>
      <w:r w:rsidRPr="00730DE4">
        <w:rPr>
          <w:i/>
          <w:iCs/>
          <w:color w:val="080C0F" w:themeColor="text1"/>
        </w:rPr>
        <w:t>Leases</w:t>
      </w:r>
      <w:r w:rsidRPr="00730DE4">
        <w:rPr>
          <w:color w:val="080C0F" w:themeColor="text1"/>
        </w:rPr>
        <w:t>. To determine the incremental borrowing rate, the department uses loan rates provided by Queensland Treasury Corporation that correspond to the commencement date and term of the lease.</w:t>
      </w:r>
    </w:p>
    <w:p w14:paraId="3E6AE951" w14:textId="77777777" w:rsidR="00730DE4" w:rsidRPr="00730DE4" w:rsidRDefault="00730DE4" w:rsidP="00E4631D">
      <w:pPr>
        <w:pStyle w:val="Heading6"/>
      </w:pPr>
      <w:r w:rsidRPr="00730DE4">
        <w:t>Details of leasing arrangements as lessee</w:t>
      </w:r>
    </w:p>
    <w:p w14:paraId="26859C0C" w14:textId="77777777" w:rsidR="00730DE4" w:rsidRPr="00730DE4" w:rsidRDefault="00730DE4" w:rsidP="00E4631D">
      <w:pPr>
        <w:pStyle w:val="Heading7"/>
      </w:pPr>
      <w:r w:rsidRPr="00730DE4">
        <w:t>Buildings</w:t>
      </w:r>
    </w:p>
    <w:p w14:paraId="6EC0471B" w14:textId="77777777" w:rsidR="00730DE4" w:rsidRPr="00730DE4" w:rsidRDefault="00730DE4" w:rsidP="00E4631D">
      <w:r w:rsidRPr="00730DE4">
        <w:t>The department enters into residential property leases to accommodate its employees when government employee housing facilities are not readily available. The majority of staff accommodation is in regional Queensland. The lease terms range from 12 months to two years. The department has also entered into a commercial lease of a data centre for the housing of information, communication and technology equipment.</w:t>
      </w:r>
    </w:p>
    <w:p w14:paraId="6174D356" w14:textId="77777777" w:rsidR="00730DE4" w:rsidRPr="00730DE4" w:rsidRDefault="00730DE4" w:rsidP="00E4631D">
      <w:pPr>
        <w:pStyle w:val="Heading7"/>
      </w:pPr>
      <w:r w:rsidRPr="00730DE4">
        <w:t>Plant and equipment</w:t>
      </w:r>
    </w:p>
    <w:p w14:paraId="59DC863F" w14:textId="77777777" w:rsidR="00730DE4" w:rsidRPr="00730DE4" w:rsidRDefault="00730DE4" w:rsidP="00E4631D">
      <w:r w:rsidRPr="00730DE4">
        <w:t>Following the 18 May 2023 machinery-of-government change the department's leasing activities include the Government Wireless Network, a digital radio network provisioned, operated and maintained by a telecommunication service provider under a service agreement created in September 2013. The lease is a means of funding the acquisition and replacement of information and communication equipment.</w:t>
      </w:r>
    </w:p>
    <w:p w14:paraId="7C171053" w14:textId="77777777" w:rsidR="00730DE4" w:rsidRPr="00730DE4" w:rsidRDefault="00730DE4" w:rsidP="00E4631D">
      <w:r w:rsidRPr="00730DE4">
        <w:t>The department also enters into various other plant and equipment lease agreements with external parties to fulfil its operational requirements. The lease terms range from 12 months to five years.</w:t>
      </w:r>
    </w:p>
    <w:p w14:paraId="1BDA4082" w14:textId="77777777" w:rsidR="00730DE4" w:rsidRPr="00730DE4" w:rsidRDefault="00730DE4" w:rsidP="00E4631D">
      <w:pPr>
        <w:pStyle w:val="Heading6"/>
      </w:pPr>
      <w:r w:rsidRPr="00730DE4">
        <w:t xml:space="preserve">Office accommodation, employee housing and motor vehicles </w:t>
      </w:r>
    </w:p>
    <w:p w14:paraId="7D28F6F9" w14:textId="37F8CCA0" w:rsidR="00730DE4" w:rsidRPr="005B60B8" w:rsidRDefault="00730DE4" w:rsidP="00DD582B">
      <w:pPr>
        <w:rPr>
          <w:color w:val="080C0F" w:themeColor="text1"/>
        </w:rPr>
      </w:pPr>
      <w:r w:rsidRPr="00730DE4">
        <w:rPr>
          <w:color w:val="080C0F" w:themeColor="text1"/>
        </w:rPr>
        <w:t>The Department of Housing, Local Government, Planning and Public Works provides the department with access to office accommodation and employee housing whilst the Department of Energy and Climate provides access to motor vehicles, all under government-wide frameworks. These arrangements are categorised as procurement of services rather than as leases because these departments have substantive substitution rights over the assets. Refer to Note 7.</w:t>
      </w:r>
      <w:r w:rsidRPr="00730DE4">
        <w:rPr>
          <w:color w:val="080C0F" w:themeColor="text1"/>
        </w:rPr>
        <w:br w:type="page"/>
      </w:r>
    </w:p>
    <w:tbl>
      <w:tblPr>
        <w:tblW w:w="4890" w:type="pct"/>
        <w:tblCellMar>
          <w:top w:w="23" w:type="dxa"/>
          <w:left w:w="23" w:type="dxa"/>
          <w:bottom w:w="23" w:type="dxa"/>
          <w:right w:w="23" w:type="dxa"/>
        </w:tblCellMar>
        <w:tblLook w:val="04A0" w:firstRow="1" w:lastRow="0" w:firstColumn="1" w:lastColumn="0" w:noHBand="0" w:noVBand="1"/>
      </w:tblPr>
      <w:tblGrid>
        <w:gridCol w:w="5106"/>
        <w:gridCol w:w="1254"/>
        <w:gridCol w:w="1254"/>
        <w:gridCol w:w="1256"/>
      </w:tblGrid>
      <w:tr w:rsidR="00730DE4" w:rsidRPr="00730DE4" w14:paraId="51B9B3D1" w14:textId="77777777" w:rsidTr="008A2F83">
        <w:trPr>
          <w:trHeight w:val="198"/>
        </w:trPr>
        <w:tc>
          <w:tcPr>
            <w:tcW w:w="2877" w:type="pct"/>
            <w:tcBorders>
              <w:top w:val="nil"/>
              <w:left w:val="nil"/>
              <w:bottom w:val="single" w:sz="4" w:space="0" w:color="auto"/>
              <w:right w:val="nil"/>
            </w:tcBorders>
            <w:shd w:val="clear" w:color="auto" w:fill="auto"/>
            <w:noWrap/>
            <w:vAlign w:val="bottom"/>
          </w:tcPr>
          <w:p w14:paraId="27979FAD" w14:textId="77777777" w:rsidR="00730DE4" w:rsidRPr="00730DE4" w:rsidRDefault="00730DE4" w:rsidP="00E4631D">
            <w:pPr>
              <w:pStyle w:val="NoSpacing"/>
              <w:rPr>
                <w:rStyle w:val="Strong"/>
              </w:rPr>
            </w:pPr>
            <w:r w:rsidRPr="00730DE4">
              <w:rPr>
                <w:rStyle w:val="Strong"/>
              </w:rPr>
              <w:t>Operating statement impact</w:t>
            </w:r>
          </w:p>
        </w:tc>
        <w:tc>
          <w:tcPr>
            <w:tcW w:w="707" w:type="pct"/>
            <w:tcBorders>
              <w:top w:val="nil"/>
              <w:left w:val="nil"/>
              <w:bottom w:val="single" w:sz="4" w:space="0" w:color="auto"/>
              <w:right w:val="nil"/>
            </w:tcBorders>
            <w:shd w:val="clear" w:color="auto" w:fill="auto"/>
            <w:vAlign w:val="bottom"/>
            <w:hideMark/>
          </w:tcPr>
          <w:p w14:paraId="7ED57501" w14:textId="77777777" w:rsidR="00730DE4" w:rsidRPr="00730DE4" w:rsidRDefault="00730DE4" w:rsidP="00E4631D">
            <w:pPr>
              <w:pStyle w:val="NoSpacing"/>
              <w:jc w:val="right"/>
            </w:pPr>
            <w:r w:rsidRPr="00730DE4">
              <w:rPr>
                <w:rStyle w:val="Strong"/>
              </w:rPr>
              <w:t>Note</w:t>
            </w:r>
          </w:p>
        </w:tc>
        <w:tc>
          <w:tcPr>
            <w:tcW w:w="707" w:type="pct"/>
            <w:tcBorders>
              <w:top w:val="nil"/>
              <w:left w:val="nil"/>
              <w:bottom w:val="single" w:sz="4" w:space="0" w:color="auto"/>
              <w:right w:val="nil"/>
            </w:tcBorders>
            <w:shd w:val="clear" w:color="auto" w:fill="auto"/>
            <w:noWrap/>
            <w:vAlign w:val="bottom"/>
            <w:hideMark/>
          </w:tcPr>
          <w:p w14:paraId="5DF69A4D" w14:textId="77777777" w:rsidR="00730DE4" w:rsidRPr="00730DE4" w:rsidRDefault="00730DE4" w:rsidP="00E4631D">
            <w:pPr>
              <w:pStyle w:val="NoSpacing"/>
              <w:jc w:val="right"/>
              <w:rPr>
                <w:b/>
                <w:bCs/>
              </w:rPr>
            </w:pPr>
            <w:r w:rsidRPr="00730DE4">
              <w:rPr>
                <w:rStyle w:val="Strong"/>
              </w:rPr>
              <w:t xml:space="preserve">2024 </w:t>
            </w:r>
            <w:r w:rsidRPr="00730DE4">
              <w:rPr>
                <w:rStyle w:val="Strong"/>
              </w:rPr>
              <w:br/>
              <w:t>$'000</w:t>
            </w:r>
          </w:p>
        </w:tc>
        <w:tc>
          <w:tcPr>
            <w:tcW w:w="708" w:type="pct"/>
            <w:tcBorders>
              <w:top w:val="nil"/>
              <w:left w:val="nil"/>
              <w:bottom w:val="single" w:sz="4" w:space="0" w:color="auto"/>
              <w:right w:val="nil"/>
            </w:tcBorders>
            <w:shd w:val="clear" w:color="auto" w:fill="auto"/>
            <w:noWrap/>
            <w:vAlign w:val="bottom"/>
            <w:hideMark/>
          </w:tcPr>
          <w:p w14:paraId="588A6E63" w14:textId="77777777" w:rsidR="00730DE4" w:rsidRPr="00730DE4" w:rsidRDefault="00730DE4" w:rsidP="00E4631D">
            <w:pPr>
              <w:pStyle w:val="NoSpacing"/>
              <w:jc w:val="right"/>
              <w:rPr>
                <w:rStyle w:val="Strong"/>
              </w:rPr>
            </w:pPr>
            <w:r w:rsidRPr="00730DE4">
              <w:rPr>
                <w:rStyle w:val="Strong"/>
              </w:rPr>
              <w:t xml:space="preserve">2023 </w:t>
            </w:r>
            <w:r w:rsidRPr="00730DE4">
              <w:rPr>
                <w:rStyle w:val="Strong"/>
              </w:rPr>
              <w:br/>
              <w:t>$'000</w:t>
            </w:r>
          </w:p>
        </w:tc>
      </w:tr>
      <w:tr w:rsidR="00730DE4" w:rsidRPr="00730DE4" w14:paraId="3EB49C38" w14:textId="77777777" w:rsidTr="00AE0515">
        <w:trPr>
          <w:trHeight w:val="454"/>
        </w:trPr>
        <w:tc>
          <w:tcPr>
            <w:tcW w:w="2877"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5C342953" w14:textId="77777777" w:rsidR="00730DE4" w:rsidRPr="00730DE4" w:rsidRDefault="00730DE4" w:rsidP="00E4631D">
            <w:pPr>
              <w:pStyle w:val="NoSpacing"/>
              <w:rPr>
                <w:b/>
                <w:bCs/>
              </w:rPr>
            </w:pPr>
            <w:r w:rsidRPr="00730DE4">
              <w:rPr>
                <w:rStyle w:val="Strong"/>
              </w:rPr>
              <w:t>Revenue</w:t>
            </w:r>
          </w:p>
        </w:tc>
        <w:tc>
          <w:tcPr>
            <w:tcW w:w="707"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8222B2B" w14:textId="77777777" w:rsidR="00730DE4" w:rsidRPr="00730DE4" w:rsidRDefault="00730DE4" w:rsidP="00E4631D">
            <w:pPr>
              <w:pStyle w:val="NoSpacing"/>
              <w:jc w:val="right"/>
              <w:rPr>
                <w:rStyle w:val="Strong"/>
              </w:rPr>
            </w:pPr>
          </w:p>
        </w:tc>
        <w:tc>
          <w:tcPr>
            <w:tcW w:w="707"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1DEFE8B" w14:textId="77777777" w:rsidR="00730DE4" w:rsidRPr="00730DE4" w:rsidRDefault="00730DE4" w:rsidP="00E4631D">
            <w:pPr>
              <w:pStyle w:val="NoSpacing"/>
              <w:jc w:val="right"/>
            </w:pPr>
          </w:p>
        </w:tc>
        <w:tc>
          <w:tcPr>
            <w:tcW w:w="708"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2D7DFE1" w14:textId="77777777" w:rsidR="00730DE4" w:rsidRPr="00730DE4" w:rsidRDefault="00730DE4" w:rsidP="00E4631D">
            <w:pPr>
              <w:pStyle w:val="NoSpacing"/>
              <w:jc w:val="right"/>
            </w:pPr>
          </w:p>
        </w:tc>
      </w:tr>
      <w:tr w:rsidR="00730DE4" w:rsidRPr="00730DE4" w14:paraId="70FCDA79" w14:textId="77777777" w:rsidTr="00AE0515">
        <w:trPr>
          <w:trHeight w:val="454"/>
        </w:trPr>
        <w:tc>
          <w:tcPr>
            <w:tcW w:w="2877" w:type="pct"/>
            <w:tcBorders>
              <w:top w:val="dotted" w:sz="4" w:space="0" w:color="BFBFBF" w:themeColor="background1" w:themeShade="BF"/>
              <w:left w:val="nil"/>
            </w:tcBorders>
            <w:shd w:val="clear" w:color="auto" w:fill="auto"/>
            <w:noWrap/>
            <w:hideMark/>
          </w:tcPr>
          <w:p w14:paraId="31D9F63F" w14:textId="77777777" w:rsidR="00730DE4" w:rsidRPr="00730DE4" w:rsidRDefault="00730DE4" w:rsidP="00C85295">
            <w:pPr>
              <w:pStyle w:val="NoSpacing"/>
            </w:pPr>
            <w:r w:rsidRPr="00730DE4">
              <w:t>Income from sublease of right-of-use assets</w:t>
            </w:r>
          </w:p>
        </w:tc>
        <w:tc>
          <w:tcPr>
            <w:tcW w:w="707" w:type="pct"/>
            <w:tcBorders>
              <w:top w:val="dotted" w:sz="4" w:space="0" w:color="BFBFBF" w:themeColor="background1" w:themeShade="BF"/>
            </w:tcBorders>
            <w:shd w:val="clear" w:color="auto" w:fill="auto"/>
            <w:noWrap/>
            <w:hideMark/>
          </w:tcPr>
          <w:p w14:paraId="11C8A9EE" w14:textId="77777777" w:rsidR="00730DE4" w:rsidRPr="00730DE4" w:rsidRDefault="00730DE4" w:rsidP="00C85295">
            <w:pPr>
              <w:pStyle w:val="NoSpacing"/>
              <w:jc w:val="right"/>
            </w:pPr>
          </w:p>
        </w:tc>
        <w:tc>
          <w:tcPr>
            <w:tcW w:w="707" w:type="pct"/>
            <w:tcBorders>
              <w:top w:val="dotted" w:sz="4" w:space="0" w:color="BFBFBF" w:themeColor="background1" w:themeShade="BF"/>
            </w:tcBorders>
            <w:shd w:val="clear" w:color="auto" w:fill="F2F2F2" w:themeFill="background1" w:themeFillShade="F2"/>
            <w:noWrap/>
            <w:hideMark/>
          </w:tcPr>
          <w:p w14:paraId="5A2BB72C" w14:textId="77777777" w:rsidR="00730DE4" w:rsidRPr="00730DE4" w:rsidRDefault="00730DE4" w:rsidP="00C85295">
            <w:pPr>
              <w:pStyle w:val="NoSpacing"/>
              <w:jc w:val="right"/>
            </w:pPr>
            <w:r w:rsidRPr="00730DE4">
              <w:t xml:space="preserve">204 </w:t>
            </w:r>
          </w:p>
        </w:tc>
        <w:tc>
          <w:tcPr>
            <w:tcW w:w="708" w:type="pct"/>
            <w:tcBorders>
              <w:top w:val="dotted" w:sz="4" w:space="0" w:color="BFBFBF" w:themeColor="background1" w:themeShade="BF"/>
              <w:right w:val="nil"/>
            </w:tcBorders>
            <w:shd w:val="clear" w:color="auto" w:fill="auto"/>
            <w:noWrap/>
            <w:hideMark/>
          </w:tcPr>
          <w:p w14:paraId="5A1EF72A" w14:textId="77777777" w:rsidR="00730DE4" w:rsidRPr="00730DE4" w:rsidRDefault="00730DE4" w:rsidP="00C85295">
            <w:pPr>
              <w:pStyle w:val="NoSpacing"/>
              <w:jc w:val="right"/>
            </w:pPr>
            <w:r w:rsidRPr="00730DE4">
              <w:t xml:space="preserve">193 </w:t>
            </w:r>
          </w:p>
        </w:tc>
      </w:tr>
      <w:tr w:rsidR="00730DE4" w:rsidRPr="00730DE4" w14:paraId="235E7E5F" w14:textId="77777777" w:rsidTr="00AE0515">
        <w:trPr>
          <w:trHeight w:val="454"/>
        </w:trPr>
        <w:tc>
          <w:tcPr>
            <w:tcW w:w="2877" w:type="pct"/>
            <w:tcBorders>
              <w:left w:val="nil"/>
              <w:bottom w:val="dotted" w:sz="4" w:space="0" w:color="BFBFBF" w:themeColor="background1" w:themeShade="BF"/>
            </w:tcBorders>
            <w:shd w:val="clear" w:color="auto" w:fill="auto"/>
            <w:noWrap/>
            <w:vAlign w:val="bottom"/>
            <w:hideMark/>
          </w:tcPr>
          <w:p w14:paraId="2F565A74" w14:textId="77777777" w:rsidR="00730DE4" w:rsidRPr="00730DE4" w:rsidRDefault="00730DE4" w:rsidP="00E4631D">
            <w:pPr>
              <w:pStyle w:val="NoSpacing"/>
              <w:rPr>
                <w:b/>
                <w:bCs/>
              </w:rPr>
            </w:pPr>
            <w:r w:rsidRPr="00730DE4">
              <w:rPr>
                <w:rStyle w:val="Strong"/>
              </w:rPr>
              <w:t>Expenses</w:t>
            </w:r>
          </w:p>
        </w:tc>
        <w:tc>
          <w:tcPr>
            <w:tcW w:w="707" w:type="pct"/>
            <w:tcBorders>
              <w:bottom w:val="dotted" w:sz="4" w:space="0" w:color="BFBFBF" w:themeColor="background1" w:themeShade="BF"/>
            </w:tcBorders>
            <w:shd w:val="clear" w:color="auto" w:fill="auto"/>
            <w:vAlign w:val="bottom"/>
            <w:hideMark/>
          </w:tcPr>
          <w:p w14:paraId="1ED8EFC8" w14:textId="77777777" w:rsidR="00730DE4" w:rsidRPr="00730DE4" w:rsidRDefault="00730DE4" w:rsidP="00E4631D">
            <w:pPr>
              <w:pStyle w:val="NoSpacing"/>
              <w:jc w:val="right"/>
              <w:rPr>
                <w:rStyle w:val="Strong"/>
              </w:rPr>
            </w:pPr>
          </w:p>
        </w:tc>
        <w:tc>
          <w:tcPr>
            <w:tcW w:w="707" w:type="pct"/>
            <w:tcBorders>
              <w:bottom w:val="dotted" w:sz="4" w:space="0" w:color="BFBFBF" w:themeColor="background1" w:themeShade="BF"/>
            </w:tcBorders>
            <w:shd w:val="clear" w:color="auto" w:fill="F2F2F2" w:themeFill="background1" w:themeFillShade="F2"/>
            <w:noWrap/>
            <w:vAlign w:val="bottom"/>
            <w:hideMark/>
          </w:tcPr>
          <w:p w14:paraId="037384C1" w14:textId="77777777" w:rsidR="00730DE4" w:rsidRPr="00730DE4" w:rsidRDefault="00730DE4" w:rsidP="00E4631D">
            <w:pPr>
              <w:pStyle w:val="NoSpacing"/>
              <w:jc w:val="right"/>
            </w:pPr>
            <w:r w:rsidRPr="00730DE4">
              <w:t> </w:t>
            </w:r>
          </w:p>
        </w:tc>
        <w:tc>
          <w:tcPr>
            <w:tcW w:w="708" w:type="pct"/>
            <w:tcBorders>
              <w:bottom w:val="dotted" w:sz="4" w:space="0" w:color="BFBFBF" w:themeColor="background1" w:themeShade="BF"/>
              <w:right w:val="nil"/>
            </w:tcBorders>
            <w:shd w:val="clear" w:color="auto" w:fill="auto"/>
            <w:noWrap/>
            <w:vAlign w:val="bottom"/>
            <w:hideMark/>
          </w:tcPr>
          <w:p w14:paraId="01B8A354" w14:textId="77777777" w:rsidR="00730DE4" w:rsidRPr="00730DE4" w:rsidRDefault="00730DE4" w:rsidP="00E4631D">
            <w:pPr>
              <w:pStyle w:val="NoSpacing"/>
              <w:jc w:val="right"/>
            </w:pPr>
          </w:p>
        </w:tc>
      </w:tr>
      <w:tr w:rsidR="00730DE4" w:rsidRPr="00730DE4" w14:paraId="2A0768F5" w14:textId="77777777" w:rsidTr="008A2F83">
        <w:trPr>
          <w:trHeight w:val="198"/>
        </w:trPr>
        <w:tc>
          <w:tcPr>
            <w:tcW w:w="2877"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B22C679" w14:textId="77777777" w:rsidR="00730DE4" w:rsidRPr="00730DE4" w:rsidRDefault="00730DE4" w:rsidP="00E4631D">
            <w:pPr>
              <w:pStyle w:val="NoSpacing"/>
            </w:pPr>
            <w:r w:rsidRPr="00730DE4">
              <w:t>Depreciation of right-of-use assets</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0024F723" w14:textId="77777777" w:rsidR="00730DE4" w:rsidRPr="00730DE4" w:rsidRDefault="00730DE4" w:rsidP="00E4631D">
            <w:pPr>
              <w:pStyle w:val="NoSpacing"/>
              <w:jc w:val="right"/>
            </w:pPr>
            <w:r w:rsidRPr="00730DE4">
              <w:t>10</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529B1D7" w14:textId="77777777" w:rsidR="00730DE4" w:rsidRPr="00730DE4" w:rsidRDefault="00730DE4" w:rsidP="00E4631D">
            <w:pPr>
              <w:pStyle w:val="NoSpacing"/>
              <w:jc w:val="right"/>
            </w:pPr>
            <w:r w:rsidRPr="00730DE4">
              <w:t xml:space="preserve">25,583 </w:t>
            </w:r>
          </w:p>
        </w:tc>
        <w:tc>
          <w:tcPr>
            <w:tcW w:w="7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4B983A75" w14:textId="77777777" w:rsidR="00730DE4" w:rsidRPr="00730DE4" w:rsidRDefault="00730DE4" w:rsidP="00E4631D">
            <w:pPr>
              <w:pStyle w:val="NoSpacing"/>
              <w:jc w:val="right"/>
            </w:pPr>
            <w:r w:rsidRPr="00730DE4">
              <w:t xml:space="preserve">2,304 </w:t>
            </w:r>
          </w:p>
        </w:tc>
      </w:tr>
      <w:tr w:rsidR="00730DE4" w:rsidRPr="00730DE4" w14:paraId="1D11FA96" w14:textId="77777777" w:rsidTr="00AE0515">
        <w:trPr>
          <w:trHeight w:val="198"/>
        </w:trPr>
        <w:tc>
          <w:tcPr>
            <w:tcW w:w="2877"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952394C" w14:textId="77777777" w:rsidR="00730DE4" w:rsidRPr="00730DE4" w:rsidRDefault="00730DE4" w:rsidP="00E4631D">
            <w:pPr>
              <w:pStyle w:val="NoSpacing"/>
            </w:pPr>
            <w:r w:rsidRPr="00730DE4">
              <w:t>Interest on lease liabilities</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626CFE96" w14:textId="77777777" w:rsidR="00730DE4" w:rsidRPr="00730DE4" w:rsidRDefault="00730DE4" w:rsidP="00E4631D">
            <w:pPr>
              <w:pStyle w:val="NoSpacing"/>
              <w:jc w:val="right"/>
            </w:pPr>
            <w:r w:rsidRPr="00730DE4">
              <w:t>9</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A6FA294" w14:textId="77777777" w:rsidR="00730DE4" w:rsidRPr="00730DE4" w:rsidRDefault="00730DE4" w:rsidP="00E4631D">
            <w:pPr>
              <w:pStyle w:val="NoSpacing"/>
              <w:jc w:val="right"/>
            </w:pPr>
            <w:r w:rsidRPr="00730DE4">
              <w:t xml:space="preserve">3,283 </w:t>
            </w:r>
          </w:p>
        </w:tc>
        <w:tc>
          <w:tcPr>
            <w:tcW w:w="7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7BCB252" w14:textId="77777777" w:rsidR="00730DE4" w:rsidRPr="00730DE4" w:rsidRDefault="00730DE4" w:rsidP="00E4631D">
            <w:pPr>
              <w:pStyle w:val="NoSpacing"/>
              <w:jc w:val="right"/>
            </w:pPr>
            <w:r w:rsidRPr="00730DE4">
              <w:t xml:space="preserve">376 </w:t>
            </w:r>
          </w:p>
        </w:tc>
      </w:tr>
      <w:tr w:rsidR="00730DE4" w:rsidRPr="00730DE4" w14:paraId="3495364B" w14:textId="77777777" w:rsidTr="00AE0515">
        <w:trPr>
          <w:trHeight w:val="198"/>
        </w:trPr>
        <w:tc>
          <w:tcPr>
            <w:tcW w:w="2877"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55C71DA3" w14:textId="77777777" w:rsidR="00730DE4" w:rsidRPr="00730DE4" w:rsidRDefault="00730DE4" w:rsidP="00E4631D">
            <w:pPr>
              <w:pStyle w:val="NoSpacing"/>
            </w:pPr>
            <w:r w:rsidRPr="00730DE4">
              <w:t>Short-term and low value leases</w:t>
            </w:r>
          </w:p>
        </w:tc>
        <w:tc>
          <w:tcPr>
            <w:tcW w:w="707"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52C8EB8D" w14:textId="77777777" w:rsidR="00730DE4" w:rsidRPr="00730DE4" w:rsidRDefault="00730DE4" w:rsidP="00E4631D">
            <w:pPr>
              <w:pStyle w:val="NoSpacing"/>
              <w:jc w:val="right"/>
            </w:pPr>
            <w:r w:rsidRPr="00730DE4">
              <w:t>7</w:t>
            </w:r>
          </w:p>
        </w:tc>
        <w:tc>
          <w:tcPr>
            <w:tcW w:w="707"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01016B4D" w14:textId="77777777" w:rsidR="00730DE4" w:rsidRPr="00730DE4" w:rsidRDefault="00730DE4" w:rsidP="00E4631D">
            <w:pPr>
              <w:pStyle w:val="NoSpacing"/>
              <w:jc w:val="right"/>
            </w:pPr>
            <w:r w:rsidRPr="00730DE4">
              <w:t xml:space="preserve">1,084 </w:t>
            </w:r>
          </w:p>
        </w:tc>
        <w:tc>
          <w:tcPr>
            <w:tcW w:w="708"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2E7E0BBE" w14:textId="77777777" w:rsidR="00730DE4" w:rsidRPr="00730DE4" w:rsidRDefault="00730DE4" w:rsidP="00E4631D">
            <w:pPr>
              <w:pStyle w:val="NoSpacing"/>
              <w:jc w:val="right"/>
            </w:pPr>
            <w:r w:rsidRPr="00730DE4">
              <w:t xml:space="preserve">1,001 </w:t>
            </w:r>
          </w:p>
        </w:tc>
      </w:tr>
      <w:tr w:rsidR="00730DE4" w:rsidRPr="00730DE4" w14:paraId="1281351F" w14:textId="77777777" w:rsidTr="00AE0515">
        <w:tc>
          <w:tcPr>
            <w:tcW w:w="2877"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5B50980D" w14:textId="77777777" w:rsidR="00730DE4" w:rsidRPr="00730DE4" w:rsidRDefault="00730DE4" w:rsidP="00C85295">
            <w:pPr>
              <w:pStyle w:val="NoSpacing"/>
              <w:rPr>
                <w:rStyle w:val="Strong"/>
              </w:rPr>
            </w:pPr>
            <w:r w:rsidRPr="00730DE4">
              <w:rPr>
                <w:rStyle w:val="Strong"/>
              </w:rPr>
              <w:t>Net impact on operating result</w:t>
            </w:r>
          </w:p>
        </w:tc>
        <w:tc>
          <w:tcPr>
            <w:tcW w:w="707"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3DE600C7" w14:textId="77777777" w:rsidR="00730DE4" w:rsidRPr="00730DE4" w:rsidRDefault="00730DE4" w:rsidP="001B0E0D">
            <w:pPr>
              <w:pStyle w:val="NoSpacing"/>
              <w:jc w:val="right"/>
            </w:pPr>
            <w:r w:rsidRPr="00730DE4">
              <w:t> </w:t>
            </w:r>
          </w:p>
        </w:tc>
        <w:tc>
          <w:tcPr>
            <w:tcW w:w="707"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3BB8B08E" w14:textId="77777777" w:rsidR="00730DE4" w:rsidRPr="00730DE4" w:rsidRDefault="00730DE4" w:rsidP="001B0E0D">
            <w:pPr>
              <w:pStyle w:val="NoSpacing"/>
              <w:jc w:val="right"/>
              <w:rPr>
                <w:rStyle w:val="Strong"/>
              </w:rPr>
            </w:pPr>
            <w:r w:rsidRPr="00730DE4">
              <w:rPr>
                <w:rStyle w:val="Strong"/>
              </w:rPr>
              <w:t>(29,746)</w:t>
            </w:r>
          </w:p>
        </w:tc>
        <w:tc>
          <w:tcPr>
            <w:tcW w:w="708" w:type="pct"/>
            <w:tcBorders>
              <w:top w:val="single" w:sz="4" w:space="0" w:color="auto"/>
              <w:left w:val="dotted" w:sz="4" w:space="0" w:color="BFBFBF" w:themeColor="background1" w:themeShade="BF"/>
              <w:bottom w:val="double" w:sz="4" w:space="0" w:color="auto"/>
              <w:right w:val="nil"/>
            </w:tcBorders>
            <w:shd w:val="clear" w:color="auto" w:fill="auto"/>
            <w:noWrap/>
            <w:hideMark/>
          </w:tcPr>
          <w:p w14:paraId="3759FE65" w14:textId="77777777" w:rsidR="00730DE4" w:rsidRPr="00730DE4" w:rsidRDefault="00730DE4" w:rsidP="001B0E0D">
            <w:pPr>
              <w:pStyle w:val="NoSpacing"/>
              <w:jc w:val="right"/>
              <w:rPr>
                <w:rStyle w:val="Strong"/>
              </w:rPr>
            </w:pPr>
            <w:r w:rsidRPr="00730DE4">
              <w:rPr>
                <w:rStyle w:val="Strong"/>
              </w:rPr>
              <w:t>(3,488)</w:t>
            </w:r>
          </w:p>
        </w:tc>
      </w:tr>
      <w:tr w:rsidR="00730DE4" w:rsidRPr="00730DE4" w14:paraId="10441CF5" w14:textId="77777777" w:rsidTr="00AE0515">
        <w:trPr>
          <w:trHeight w:val="454"/>
        </w:trPr>
        <w:tc>
          <w:tcPr>
            <w:tcW w:w="2877" w:type="pct"/>
            <w:tcBorders>
              <w:top w:val="doub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01DFA43B" w14:textId="77777777" w:rsidR="00730DE4" w:rsidRPr="00730DE4" w:rsidRDefault="00730DE4" w:rsidP="00E4631D">
            <w:pPr>
              <w:pStyle w:val="NoSpacing"/>
              <w:rPr>
                <w:b/>
                <w:bCs/>
              </w:rPr>
            </w:pPr>
            <w:r w:rsidRPr="00730DE4">
              <w:rPr>
                <w:rStyle w:val="Strong"/>
              </w:rPr>
              <w:t>Amounts recognised in Statement of cash flows</w:t>
            </w:r>
          </w:p>
        </w:tc>
        <w:tc>
          <w:tcPr>
            <w:tcW w:w="707"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BAC2739" w14:textId="77777777" w:rsidR="00730DE4" w:rsidRPr="00730DE4" w:rsidRDefault="00730DE4" w:rsidP="00E4631D">
            <w:pPr>
              <w:pStyle w:val="NoSpacing"/>
              <w:jc w:val="right"/>
              <w:rPr>
                <w:rStyle w:val="Strong"/>
              </w:rPr>
            </w:pPr>
          </w:p>
        </w:tc>
        <w:tc>
          <w:tcPr>
            <w:tcW w:w="707"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669B3F7" w14:textId="77777777" w:rsidR="00730DE4" w:rsidRPr="00730DE4" w:rsidRDefault="00730DE4" w:rsidP="00E4631D">
            <w:pPr>
              <w:pStyle w:val="NoSpacing"/>
              <w:jc w:val="right"/>
            </w:pPr>
          </w:p>
        </w:tc>
        <w:tc>
          <w:tcPr>
            <w:tcW w:w="708" w:type="pct"/>
            <w:tcBorders>
              <w:top w:val="double" w:sz="4" w:space="0" w:color="auto"/>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029D7AE" w14:textId="77777777" w:rsidR="00730DE4" w:rsidRPr="00730DE4" w:rsidRDefault="00730DE4" w:rsidP="00E4631D">
            <w:pPr>
              <w:pStyle w:val="NoSpacing"/>
              <w:jc w:val="right"/>
            </w:pPr>
          </w:p>
        </w:tc>
      </w:tr>
      <w:tr w:rsidR="00730DE4" w:rsidRPr="00730DE4" w14:paraId="1CCB8EAE" w14:textId="77777777" w:rsidTr="000A2C0E">
        <w:trPr>
          <w:trHeight w:val="454"/>
        </w:trPr>
        <w:tc>
          <w:tcPr>
            <w:tcW w:w="2877"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hideMark/>
          </w:tcPr>
          <w:p w14:paraId="2017A877" w14:textId="77777777" w:rsidR="00730DE4" w:rsidRPr="00730DE4" w:rsidRDefault="00730DE4" w:rsidP="00C85295">
            <w:pPr>
              <w:pStyle w:val="NoSpacing"/>
              <w:rPr>
                <w:rStyle w:val="Strong"/>
                <w:b w:val="0"/>
                <w:bCs w:val="0"/>
              </w:rPr>
            </w:pPr>
            <w:r w:rsidRPr="00730DE4">
              <w:rPr>
                <w:rStyle w:val="Strong"/>
                <w:b w:val="0"/>
                <w:bCs w:val="0"/>
              </w:rPr>
              <w:t>Total cash outflow for leases</w:t>
            </w: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hideMark/>
          </w:tcPr>
          <w:p w14:paraId="46A69F51" w14:textId="77777777" w:rsidR="00730DE4" w:rsidRPr="00730DE4" w:rsidRDefault="00730DE4" w:rsidP="000A2C0E">
            <w:pPr>
              <w:pStyle w:val="NoSpacing"/>
              <w:jc w:val="right"/>
              <w:rPr>
                <w:rStyle w:val="Strong"/>
                <w:b w:val="0"/>
                <w:bCs w:val="0"/>
              </w:rPr>
            </w:pPr>
          </w:p>
        </w:tc>
        <w:tc>
          <w:tcPr>
            <w:tcW w:w="70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013AC836" w14:textId="77777777" w:rsidR="00730DE4" w:rsidRPr="00730DE4" w:rsidRDefault="00730DE4" w:rsidP="000A2C0E">
            <w:pPr>
              <w:pStyle w:val="NoSpacing"/>
              <w:jc w:val="right"/>
              <w:rPr>
                <w:rStyle w:val="Strong"/>
                <w:b w:val="0"/>
                <w:bCs w:val="0"/>
              </w:rPr>
            </w:pPr>
            <w:r w:rsidRPr="00730DE4">
              <w:rPr>
                <w:rStyle w:val="Strong"/>
                <w:b w:val="0"/>
                <w:bCs w:val="0"/>
              </w:rPr>
              <w:t xml:space="preserve">25,625 </w:t>
            </w:r>
          </w:p>
        </w:tc>
        <w:tc>
          <w:tcPr>
            <w:tcW w:w="708"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hideMark/>
          </w:tcPr>
          <w:p w14:paraId="471F74AB" w14:textId="77777777" w:rsidR="00730DE4" w:rsidRPr="00730DE4" w:rsidRDefault="00730DE4" w:rsidP="000A2C0E">
            <w:pPr>
              <w:pStyle w:val="NoSpacing"/>
              <w:jc w:val="right"/>
              <w:rPr>
                <w:rStyle w:val="Strong"/>
                <w:b w:val="0"/>
                <w:bCs w:val="0"/>
              </w:rPr>
            </w:pPr>
            <w:r w:rsidRPr="00730DE4">
              <w:rPr>
                <w:rStyle w:val="Strong"/>
                <w:b w:val="0"/>
                <w:bCs w:val="0"/>
              </w:rPr>
              <w:t xml:space="preserve">2,710 </w:t>
            </w:r>
          </w:p>
        </w:tc>
      </w:tr>
    </w:tbl>
    <w:p w14:paraId="482D5DE3" w14:textId="77777777" w:rsidR="00730DE4" w:rsidRPr="00730DE4" w:rsidRDefault="00730DE4" w:rsidP="00E4631D">
      <w:pPr>
        <w:pStyle w:val="Heading5"/>
      </w:pPr>
      <w:bookmarkStart w:id="1548" w:name="_Toc180487739"/>
      <w:bookmarkStart w:id="1549" w:name="_Toc180490944"/>
      <w:bookmarkStart w:id="1550" w:name="_Toc180491977"/>
      <w:r w:rsidRPr="00730DE4">
        <w:t>Leases as lessor</w:t>
      </w:r>
      <w:bookmarkEnd w:id="1548"/>
      <w:bookmarkEnd w:id="1549"/>
      <w:bookmarkEnd w:id="1550"/>
    </w:p>
    <w:p w14:paraId="0F779B8B" w14:textId="77777777" w:rsidR="00730DE4" w:rsidRPr="00730DE4" w:rsidRDefault="00730DE4" w:rsidP="00E4631D">
      <w:pPr>
        <w:pStyle w:val="Heading6"/>
      </w:pPr>
      <w:r w:rsidRPr="00730DE4">
        <w:t>Details of leasing arrangements as lessor</w:t>
      </w:r>
    </w:p>
    <w:p w14:paraId="7A96E14F" w14:textId="77777777" w:rsidR="00730DE4" w:rsidRPr="00730DE4" w:rsidRDefault="00730DE4" w:rsidP="00E4631D">
      <w:pPr>
        <w:pStyle w:val="Heading7"/>
      </w:pPr>
      <w:r w:rsidRPr="00730DE4">
        <w:t>State-owned boat harbours</w:t>
      </w:r>
    </w:p>
    <w:p w14:paraId="094E8E49" w14:textId="77777777" w:rsidR="00730DE4" w:rsidRPr="00730DE4" w:rsidRDefault="00730DE4" w:rsidP="00E4631D">
      <w:r w:rsidRPr="00730DE4">
        <w:t>The department owns and maintains public boating infrastructure in Queensland such as boat ramps, floating walkways, pontoons, jetties and breakwaters. The department is also responsible for maintaining the entrance and internal public navigation channels to those facilities. These facilities are leased to commercial operators and boat clubs to promote boating activities along the Queensland coast. Lease income from state-owned boat harbours is reported as Property rental in Note 3.</w:t>
      </w:r>
    </w:p>
    <w:p w14:paraId="25B5404B" w14:textId="77777777" w:rsidR="00730DE4" w:rsidRPr="00730DE4" w:rsidRDefault="00730DE4" w:rsidP="00E4631D">
      <w:pPr>
        <w:pStyle w:val="Heading7"/>
      </w:pPr>
      <w:r w:rsidRPr="00730DE4">
        <w:t>Rockhampton railyards</w:t>
      </w:r>
    </w:p>
    <w:p w14:paraId="35703272" w14:textId="77777777" w:rsidR="00730DE4" w:rsidRPr="00730DE4" w:rsidRDefault="00730DE4" w:rsidP="00E4631D">
      <w:r w:rsidRPr="00730DE4">
        <w:t xml:space="preserve">The Queensland Government purchased the Rockhampton railyards from Aurizon in 2022. Detailed planning and remediation works are underway to transform the old railyards into a commercial hub with community and recreational spaces. </w:t>
      </w:r>
    </w:p>
    <w:p w14:paraId="2C4C17E8" w14:textId="77777777" w:rsidR="00730DE4" w:rsidRPr="00730DE4" w:rsidRDefault="00730DE4" w:rsidP="00E4631D">
      <w:r w:rsidRPr="00730DE4">
        <w:t>The railyards will have both a heritage precinct and an industrial precinct. New tenants are being introduced to the site through a staged approach.</w:t>
      </w:r>
    </w:p>
    <w:p w14:paraId="7E3DE69C" w14:textId="77777777" w:rsidR="00730DE4" w:rsidRPr="00730DE4" w:rsidRDefault="00730DE4" w:rsidP="00E4631D">
      <w:r w:rsidRPr="00730DE4">
        <w:t>Lease income from the railyards is reported as property rental in Note 3.</w:t>
      </w:r>
    </w:p>
    <w:p w14:paraId="27C4EBE1" w14:textId="77777777" w:rsidR="00730DE4" w:rsidRPr="00730DE4" w:rsidRDefault="00730DE4" w:rsidP="00E4631D">
      <w:pPr>
        <w:pStyle w:val="Heading7"/>
      </w:pPr>
      <w:r w:rsidRPr="00730DE4">
        <w:t>Sublease of land</w:t>
      </w:r>
    </w:p>
    <w:p w14:paraId="4899DE4B" w14:textId="77777777" w:rsidR="00730DE4" w:rsidRPr="00730DE4" w:rsidRDefault="00730DE4" w:rsidP="00E4631D">
      <w:r w:rsidRPr="00730DE4">
        <w:t>The department's lease with Brisbane Airport Corporation Limited is subleased to Airtrain Citylink Limited (Airtrain) for the design, construction, operation and maintenance of the Brisbane Airport Rail Link. Refer to Note 12.</w:t>
      </w:r>
    </w:p>
    <w:p w14:paraId="51F1CEFE" w14:textId="77777777" w:rsidR="00730DE4" w:rsidRPr="00730DE4" w:rsidRDefault="00730DE4" w:rsidP="00E4631D">
      <w:pPr>
        <w:pStyle w:val="Heading6"/>
      </w:pPr>
      <w:r w:rsidRPr="00730DE4">
        <w:t>Maturity analysis</w:t>
      </w:r>
    </w:p>
    <w:p w14:paraId="449EC7C1" w14:textId="77777777" w:rsidR="00730DE4" w:rsidRPr="00730DE4" w:rsidRDefault="00730DE4" w:rsidP="003C13D4">
      <w:pPr>
        <w:rPr>
          <w:color w:val="080C0F" w:themeColor="text1"/>
        </w:rPr>
      </w:pPr>
      <w:r w:rsidRPr="00730DE4">
        <w:rPr>
          <w:color w:val="080C0F" w:themeColor="text1"/>
        </w:rPr>
        <w:t>The following table sets out a maturity analysis of future undiscounted lease payments receivable by the department from state-owned boat harbours, Rockhampton railyards and Airtrain.</w:t>
      </w:r>
    </w:p>
    <w:p w14:paraId="1A621D05" w14:textId="77777777" w:rsidR="00730DE4" w:rsidRPr="00730DE4" w:rsidRDefault="00730DE4" w:rsidP="00F571AF">
      <w:pPr>
        <w:pStyle w:val="NoSpacing"/>
      </w:pPr>
    </w:p>
    <w:tbl>
      <w:tblPr>
        <w:tblW w:w="5000" w:type="pct"/>
        <w:tblCellMar>
          <w:top w:w="23" w:type="dxa"/>
          <w:left w:w="23" w:type="dxa"/>
          <w:bottom w:w="23" w:type="dxa"/>
          <w:right w:w="23" w:type="dxa"/>
        </w:tblCellMar>
        <w:tblLook w:val="04A0" w:firstRow="1" w:lastRow="0" w:firstColumn="1" w:lastColumn="0" w:noHBand="0" w:noVBand="1"/>
      </w:tblPr>
      <w:tblGrid>
        <w:gridCol w:w="6368"/>
        <w:gridCol w:w="1351"/>
        <w:gridCol w:w="1351"/>
      </w:tblGrid>
      <w:tr w:rsidR="00730DE4" w:rsidRPr="00730DE4" w14:paraId="42DDC44F" w14:textId="77777777" w:rsidTr="008A2F83">
        <w:trPr>
          <w:trHeight w:val="23"/>
        </w:trPr>
        <w:tc>
          <w:tcPr>
            <w:tcW w:w="3510" w:type="pct"/>
            <w:tcBorders>
              <w:top w:val="nil"/>
              <w:left w:val="nil"/>
              <w:bottom w:val="single" w:sz="4" w:space="0" w:color="auto"/>
              <w:right w:val="nil"/>
            </w:tcBorders>
            <w:shd w:val="clear" w:color="auto" w:fill="auto"/>
            <w:noWrap/>
            <w:vAlign w:val="bottom"/>
          </w:tcPr>
          <w:p w14:paraId="40FFFD7E" w14:textId="77777777" w:rsidR="00730DE4" w:rsidRPr="00730DE4" w:rsidRDefault="00730DE4" w:rsidP="00E4631D">
            <w:pPr>
              <w:pStyle w:val="NoSpacing"/>
              <w:rPr>
                <w:rStyle w:val="Strong"/>
              </w:rPr>
            </w:pPr>
            <w:r w:rsidRPr="00730DE4">
              <w:rPr>
                <w:rStyle w:val="Strong"/>
              </w:rPr>
              <w:t>Maturity analysis</w:t>
            </w:r>
          </w:p>
        </w:tc>
        <w:tc>
          <w:tcPr>
            <w:tcW w:w="745" w:type="pct"/>
            <w:tcBorders>
              <w:top w:val="nil"/>
              <w:left w:val="nil"/>
              <w:bottom w:val="single" w:sz="4" w:space="0" w:color="auto"/>
              <w:right w:val="nil"/>
            </w:tcBorders>
            <w:shd w:val="clear" w:color="auto" w:fill="auto"/>
            <w:noWrap/>
            <w:vAlign w:val="bottom"/>
            <w:hideMark/>
          </w:tcPr>
          <w:p w14:paraId="37AC98D9" w14:textId="77777777" w:rsidR="00730DE4" w:rsidRPr="00730DE4" w:rsidRDefault="00730DE4" w:rsidP="00E4631D">
            <w:pPr>
              <w:pStyle w:val="NoSpacing"/>
              <w:jc w:val="right"/>
              <w:rPr>
                <w:b/>
                <w:bCs/>
              </w:rPr>
            </w:pPr>
            <w:r w:rsidRPr="00730DE4">
              <w:rPr>
                <w:rStyle w:val="Strong"/>
              </w:rPr>
              <w:t xml:space="preserve">2024 </w:t>
            </w:r>
            <w:r w:rsidRPr="00730DE4">
              <w:rPr>
                <w:rStyle w:val="Strong"/>
              </w:rPr>
              <w:br/>
              <w:t>$'000</w:t>
            </w:r>
          </w:p>
        </w:tc>
        <w:tc>
          <w:tcPr>
            <w:tcW w:w="745" w:type="pct"/>
            <w:tcBorders>
              <w:top w:val="nil"/>
              <w:left w:val="nil"/>
              <w:bottom w:val="single" w:sz="4" w:space="0" w:color="auto"/>
              <w:right w:val="nil"/>
            </w:tcBorders>
            <w:shd w:val="clear" w:color="auto" w:fill="auto"/>
            <w:noWrap/>
            <w:vAlign w:val="bottom"/>
            <w:hideMark/>
          </w:tcPr>
          <w:p w14:paraId="7370A102" w14:textId="77777777" w:rsidR="00730DE4" w:rsidRPr="00730DE4" w:rsidRDefault="00730DE4" w:rsidP="00E4631D">
            <w:pPr>
              <w:pStyle w:val="NoSpacing"/>
              <w:jc w:val="right"/>
              <w:rPr>
                <w:rStyle w:val="Strong"/>
              </w:rPr>
            </w:pPr>
            <w:r w:rsidRPr="00730DE4">
              <w:rPr>
                <w:rStyle w:val="Strong"/>
              </w:rPr>
              <w:t xml:space="preserve">2023 </w:t>
            </w:r>
            <w:r w:rsidRPr="00730DE4">
              <w:rPr>
                <w:rStyle w:val="Strong"/>
              </w:rPr>
              <w:br/>
              <w:t>$'000</w:t>
            </w:r>
          </w:p>
        </w:tc>
      </w:tr>
      <w:tr w:rsidR="00730DE4" w:rsidRPr="00730DE4" w14:paraId="0745D355" w14:textId="77777777" w:rsidTr="008A2F83">
        <w:trPr>
          <w:trHeight w:val="23"/>
        </w:trPr>
        <w:tc>
          <w:tcPr>
            <w:tcW w:w="351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tcPr>
          <w:p w14:paraId="50C0EAD5" w14:textId="77777777" w:rsidR="00730DE4" w:rsidRPr="00730DE4" w:rsidRDefault="00730DE4" w:rsidP="004B7C3B">
            <w:pPr>
              <w:pStyle w:val="NoSpacing"/>
            </w:pPr>
            <w:r w:rsidRPr="00730DE4">
              <w:t>Less than one year</w:t>
            </w:r>
          </w:p>
        </w:tc>
        <w:tc>
          <w:tcPr>
            <w:tcW w:w="74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13FDC8F2" w14:textId="77777777" w:rsidR="00730DE4" w:rsidRPr="00730DE4" w:rsidRDefault="00730DE4" w:rsidP="004B7C3B">
            <w:pPr>
              <w:pStyle w:val="NoSpacing"/>
              <w:jc w:val="right"/>
            </w:pPr>
            <w:r w:rsidRPr="00730DE4">
              <w:t xml:space="preserve">6,125 </w:t>
            </w:r>
          </w:p>
        </w:tc>
        <w:tc>
          <w:tcPr>
            <w:tcW w:w="745"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tcPr>
          <w:p w14:paraId="0A129E0B" w14:textId="77777777" w:rsidR="00730DE4" w:rsidRPr="00730DE4" w:rsidRDefault="00730DE4" w:rsidP="004B7C3B">
            <w:pPr>
              <w:pStyle w:val="NoSpacing"/>
              <w:jc w:val="right"/>
            </w:pPr>
            <w:r w:rsidRPr="00730DE4">
              <w:t xml:space="preserve">4,431 </w:t>
            </w:r>
          </w:p>
        </w:tc>
      </w:tr>
      <w:tr w:rsidR="00730DE4" w:rsidRPr="00730DE4" w14:paraId="006E4045" w14:textId="77777777" w:rsidTr="008A2F83">
        <w:trPr>
          <w:trHeight w:val="23"/>
        </w:trPr>
        <w:tc>
          <w:tcPr>
            <w:tcW w:w="351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1CC9145C" w14:textId="77777777" w:rsidR="00730DE4" w:rsidRPr="00730DE4" w:rsidRDefault="00730DE4" w:rsidP="00E4631D">
            <w:pPr>
              <w:pStyle w:val="NoSpacing"/>
            </w:pPr>
            <w:r w:rsidRPr="00730DE4">
              <w:t>One to two years</w:t>
            </w:r>
          </w:p>
        </w:tc>
        <w:tc>
          <w:tcPr>
            <w:tcW w:w="74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91ED4E7" w14:textId="77777777" w:rsidR="00730DE4" w:rsidRPr="00730DE4" w:rsidRDefault="00730DE4" w:rsidP="00E4631D">
            <w:pPr>
              <w:pStyle w:val="NoSpacing"/>
              <w:jc w:val="right"/>
            </w:pPr>
            <w:r w:rsidRPr="00730DE4">
              <w:t xml:space="preserve">5,351 </w:t>
            </w:r>
          </w:p>
        </w:tc>
        <w:tc>
          <w:tcPr>
            <w:tcW w:w="745"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EDA86B2" w14:textId="77777777" w:rsidR="00730DE4" w:rsidRPr="00730DE4" w:rsidRDefault="00730DE4" w:rsidP="00E4631D">
            <w:pPr>
              <w:pStyle w:val="NoSpacing"/>
              <w:jc w:val="right"/>
            </w:pPr>
            <w:r w:rsidRPr="00730DE4">
              <w:t xml:space="preserve">3,859 </w:t>
            </w:r>
          </w:p>
        </w:tc>
      </w:tr>
      <w:tr w:rsidR="00730DE4" w:rsidRPr="00730DE4" w14:paraId="4C6A6422" w14:textId="77777777" w:rsidTr="008A2F83">
        <w:trPr>
          <w:trHeight w:val="23"/>
        </w:trPr>
        <w:tc>
          <w:tcPr>
            <w:tcW w:w="351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0A4563C" w14:textId="77777777" w:rsidR="00730DE4" w:rsidRPr="00730DE4" w:rsidRDefault="00730DE4" w:rsidP="00E4631D">
            <w:pPr>
              <w:pStyle w:val="NoSpacing"/>
            </w:pPr>
            <w:r w:rsidRPr="00730DE4">
              <w:t>Two to three years</w:t>
            </w:r>
          </w:p>
        </w:tc>
        <w:tc>
          <w:tcPr>
            <w:tcW w:w="74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B8CF3FE" w14:textId="77777777" w:rsidR="00730DE4" w:rsidRPr="00730DE4" w:rsidRDefault="00730DE4" w:rsidP="00E4631D">
            <w:pPr>
              <w:pStyle w:val="NoSpacing"/>
              <w:jc w:val="right"/>
            </w:pPr>
            <w:r w:rsidRPr="00730DE4">
              <w:t xml:space="preserve">4,968 </w:t>
            </w:r>
          </w:p>
        </w:tc>
        <w:tc>
          <w:tcPr>
            <w:tcW w:w="745"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49794575" w14:textId="77777777" w:rsidR="00730DE4" w:rsidRPr="00730DE4" w:rsidRDefault="00730DE4" w:rsidP="00E4631D">
            <w:pPr>
              <w:pStyle w:val="NoSpacing"/>
              <w:jc w:val="right"/>
            </w:pPr>
            <w:r w:rsidRPr="00730DE4">
              <w:t xml:space="preserve">3,722 </w:t>
            </w:r>
          </w:p>
        </w:tc>
      </w:tr>
      <w:tr w:rsidR="00730DE4" w:rsidRPr="00730DE4" w14:paraId="6D1A19A2" w14:textId="77777777" w:rsidTr="008A2F83">
        <w:trPr>
          <w:trHeight w:val="23"/>
        </w:trPr>
        <w:tc>
          <w:tcPr>
            <w:tcW w:w="351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89042E5" w14:textId="77777777" w:rsidR="00730DE4" w:rsidRPr="00730DE4" w:rsidRDefault="00730DE4" w:rsidP="00E4631D">
            <w:pPr>
              <w:pStyle w:val="NoSpacing"/>
            </w:pPr>
            <w:r w:rsidRPr="00730DE4">
              <w:t>Three to four years</w:t>
            </w:r>
          </w:p>
        </w:tc>
        <w:tc>
          <w:tcPr>
            <w:tcW w:w="74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1631D2A" w14:textId="77777777" w:rsidR="00730DE4" w:rsidRPr="00730DE4" w:rsidRDefault="00730DE4" w:rsidP="00E4631D">
            <w:pPr>
              <w:pStyle w:val="NoSpacing"/>
              <w:jc w:val="right"/>
            </w:pPr>
            <w:r w:rsidRPr="00730DE4">
              <w:t xml:space="preserve">4,902 </w:t>
            </w:r>
          </w:p>
        </w:tc>
        <w:tc>
          <w:tcPr>
            <w:tcW w:w="745"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262A329" w14:textId="77777777" w:rsidR="00730DE4" w:rsidRPr="00730DE4" w:rsidRDefault="00730DE4" w:rsidP="00E4631D">
            <w:pPr>
              <w:pStyle w:val="NoSpacing"/>
              <w:jc w:val="right"/>
            </w:pPr>
            <w:r w:rsidRPr="00730DE4">
              <w:t xml:space="preserve">3,344 </w:t>
            </w:r>
          </w:p>
        </w:tc>
      </w:tr>
      <w:tr w:rsidR="00730DE4" w:rsidRPr="00730DE4" w14:paraId="2C83BFB3" w14:textId="77777777" w:rsidTr="00DD582B">
        <w:trPr>
          <w:trHeight w:val="23"/>
        </w:trPr>
        <w:tc>
          <w:tcPr>
            <w:tcW w:w="351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1D564F78" w14:textId="77777777" w:rsidR="00730DE4" w:rsidRPr="00730DE4" w:rsidRDefault="00730DE4" w:rsidP="00E4631D">
            <w:pPr>
              <w:pStyle w:val="NoSpacing"/>
            </w:pPr>
            <w:r w:rsidRPr="00730DE4">
              <w:t>Four to five years</w:t>
            </w:r>
          </w:p>
        </w:tc>
        <w:tc>
          <w:tcPr>
            <w:tcW w:w="74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3336C90" w14:textId="77777777" w:rsidR="00730DE4" w:rsidRPr="00730DE4" w:rsidRDefault="00730DE4" w:rsidP="00E4631D">
            <w:pPr>
              <w:pStyle w:val="NoSpacing"/>
              <w:jc w:val="right"/>
            </w:pPr>
            <w:r w:rsidRPr="00730DE4">
              <w:t xml:space="preserve">4,902 </w:t>
            </w:r>
          </w:p>
        </w:tc>
        <w:tc>
          <w:tcPr>
            <w:tcW w:w="745"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6D88C1B" w14:textId="77777777" w:rsidR="00730DE4" w:rsidRPr="00730DE4" w:rsidRDefault="00730DE4" w:rsidP="00E4631D">
            <w:pPr>
              <w:pStyle w:val="NoSpacing"/>
              <w:jc w:val="right"/>
            </w:pPr>
            <w:r w:rsidRPr="00730DE4">
              <w:t xml:space="preserve">3,277 </w:t>
            </w:r>
          </w:p>
        </w:tc>
      </w:tr>
      <w:tr w:rsidR="00730DE4" w:rsidRPr="00730DE4" w14:paraId="663951A0" w14:textId="77777777" w:rsidTr="00DD582B">
        <w:trPr>
          <w:trHeight w:val="23"/>
        </w:trPr>
        <w:tc>
          <w:tcPr>
            <w:tcW w:w="3510"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555E1257" w14:textId="77777777" w:rsidR="00730DE4" w:rsidRPr="00730DE4" w:rsidRDefault="00730DE4" w:rsidP="00E4631D">
            <w:pPr>
              <w:pStyle w:val="NoSpacing"/>
            </w:pPr>
            <w:r w:rsidRPr="00730DE4">
              <w:t>More than five years</w:t>
            </w:r>
          </w:p>
        </w:tc>
        <w:tc>
          <w:tcPr>
            <w:tcW w:w="745"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14F2650E" w14:textId="77777777" w:rsidR="00730DE4" w:rsidRPr="00730DE4" w:rsidRDefault="00730DE4" w:rsidP="00E4631D">
            <w:pPr>
              <w:pStyle w:val="NoSpacing"/>
              <w:jc w:val="right"/>
            </w:pPr>
            <w:r w:rsidRPr="00730DE4">
              <w:t xml:space="preserve">43,042 </w:t>
            </w:r>
          </w:p>
        </w:tc>
        <w:tc>
          <w:tcPr>
            <w:tcW w:w="745"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321B8E92" w14:textId="77777777" w:rsidR="00730DE4" w:rsidRPr="00730DE4" w:rsidRDefault="00730DE4" w:rsidP="00E4631D">
            <w:pPr>
              <w:pStyle w:val="NoSpacing"/>
              <w:jc w:val="right"/>
            </w:pPr>
            <w:r w:rsidRPr="00730DE4">
              <w:t xml:space="preserve">30,141 </w:t>
            </w:r>
          </w:p>
        </w:tc>
      </w:tr>
      <w:tr w:rsidR="00730DE4" w:rsidRPr="00730DE4" w14:paraId="0B92473C" w14:textId="77777777" w:rsidTr="00DD582B">
        <w:tc>
          <w:tcPr>
            <w:tcW w:w="3510"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3FFD581E" w14:textId="77777777" w:rsidR="00730DE4" w:rsidRPr="00730DE4" w:rsidRDefault="00730DE4" w:rsidP="001B0E0D">
            <w:pPr>
              <w:pStyle w:val="NoSpacing"/>
              <w:rPr>
                <w:rStyle w:val="Strong"/>
              </w:rPr>
            </w:pPr>
            <w:r w:rsidRPr="00730DE4">
              <w:rPr>
                <w:rStyle w:val="Strong"/>
              </w:rPr>
              <w:t>Total</w:t>
            </w:r>
          </w:p>
        </w:tc>
        <w:tc>
          <w:tcPr>
            <w:tcW w:w="745"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752A4D70" w14:textId="77777777" w:rsidR="00730DE4" w:rsidRPr="00730DE4" w:rsidRDefault="00730DE4" w:rsidP="001B0E0D">
            <w:pPr>
              <w:pStyle w:val="NoSpacing"/>
              <w:jc w:val="right"/>
              <w:rPr>
                <w:rStyle w:val="Strong"/>
              </w:rPr>
            </w:pPr>
            <w:r w:rsidRPr="00730DE4">
              <w:rPr>
                <w:rStyle w:val="Strong"/>
              </w:rPr>
              <w:t xml:space="preserve">69,290 </w:t>
            </w:r>
          </w:p>
        </w:tc>
        <w:tc>
          <w:tcPr>
            <w:tcW w:w="745" w:type="pct"/>
            <w:tcBorders>
              <w:top w:val="single" w:sz="4" w:space="0" w:color="auto"/>
              <w:left w:val="dotted" w:sz="4" w:space="0" w:color="BFBFBF" w:themeColor="background1" w:themeShade="BF"/>
              <w:bottom w:val="double" w:sz="4" w:space="0" w:color="auto"/>
              <w:right w:val="nil"/>
            </w:tcBorders>
            <w:shd w:val="clear" w:color="auto" w:fill="auto"/>
            <w:noWrap/>
            <w:hideMark/>
          </w:tcPr>
          <w:p w14:paraId="72E9BA05" w14:textId="77777777" w:rsidR="00730DE4" w:rsidRPr="00730DE4" w:rsidRDefault="00730DE4" w:rsidP="001B0E0D">
            <w:pPr>
              <w:pStyle w:val="NoSpacing"/>
              <w:jc w:val="right"/>
              <w:rPr>
                <w:rStyle w:val="Strong"/>
              </w:rPr>
            </w:pPr>
            <w:r w:rsidRPr="00730DE4">
              <w:rPr>
                <w:rStyle w:val="Strong"/>
              </w:rPr>
              <w:t xml:space="preserve">48,774 </w:t>
            </w:r>
          </w:p>
        </w:tc>
      </w:tr>
    </w:tbl>
    <w:p w14:paraId="05C36E31" w14:textId="77777777" w:rsidR="00730DE4" w:rsidRPr="00730DE4" w:rsidRDefault="00730DE4" w:rsidP="00E4631D">
      <w:pPr>
        <w:pStyle w:val="Heading6"/>
      </w:pPr>
      <w:r w:rsidRPr="00730DE4">
        <w:t>Accounting policy</w:t>
      </w:r>
    </w:p>
    <w:p w14:paraId="3566F36A" w14:textId="77777777" w:rsidR="00730DE4" w:rsidRPr="00730DE4" w:rsidRDefault="00730DE4" w:rsidP="003C13D4">
      <w:pPr>
        <w:rPr>
          <w:color w:val="080C0F" w:themeColor="text1"/>
        </w:rPr>
      </w:pPr>
      <w:r w:rsidRPr="00730DE4">
        <w:rPr>
          <w:color w:val="080C0F" w:themeColor="text1"/>
        </w:rPr>
        <w:t>The department recognises lease payments from operating leases as income on a straight-line basis over the lease term.</w:t>
      </w:r>
    </w:p>
    <w:p w14:paraId="49950A64" w14:textId="77777777" w:rsidR="00730DE4" w:rsidRPr="00730DE4" w:rsidRDefault="00730DE4" w:rsidP="00B17C5E">
      <w:pPr>
        <w:pStyle w:val="Heading4"/>
      </w:pPr>
      <w:bookmarkStart w:id="1551" w:name="_Toc179365613"/>
      <w:bookmarkStart w:id="1552" w:name="_Toc180490945"/>
      <w:bookmarkStart w:id="1553" w:name="_Toc180491978"/>
      <w:r w:rsidRPr="00730DE4">
        <w:t>18 Payables</w:t>
      </w:r>
      <w:bookmarkEnd w:id="1551"/>
      <w:bookmarkEnd w:id="1552"/>
      <w:bookmarkEnd w:id="1553"/>
    </w:p>
    <w:tbl>
      <w:tblPr>
        <w:tblW w:w="5000" w:type="pct"/>
        <w:tblCellMar>
          <w:top w:w="23" w:type="dxa"/>
          <w:left w:w="23" w:type="dxa"/>
          <w:bottom w:w="23" w:type="dxa"/>
          <w:right w:w="23" w:type="dxa"/>
        </w:tblCellMar>
        <w:tblLook w:val="04A0" w:firstRow="1" w:lastRow="0" w:firstColumn="1" w:lastColumn="0" w:noHBand="0" w:noVBand="1"/>
      </w:tblPr>
      <w:tblGrid>
        <w:gridCol w:w="6382"/>
        <w:gridCol w:w="1344"/>
        <w:gridCol w:w="1344"/>
      </w:tblGrid>
      <w:tr w:rsidR="00730DE4" w:rsidRPr="00730DE4" w14:paraId="0606CDEB" w14:textId="77777777" w:rsidTr="00DD582B">
        <w:trPr>
          <w:trHeight w:val="90"/>
        </w:trPr>
        <w:tc>
          <w:tcPr>
            <w:tcW w:w="3518" w:type="pct"/>
            <w:tcBorders>
              <w:top w:val="nil"/>
              <w:left w:val="nil"/>
              <w:bottom w:val="single" w:sz="4" w:space="0" w:color="auto"/>
              <w:right w:val="nil"/>
            </w:tcBorders>
            <w:shd w:val="clear" w:color="auto" w:fill="auto"/>
            <w:noWrap/>
            <w:vAlign w:val="bottom"/>
            <w:hideMark/>
          </w:tcPr>
          <w:p w14:paraId="75BC72D8" w14:textId="77777777" w:rsidR="00730DE4" w:rsidRPr="00730DE4" w:rsidRDefault="00730DE4" w:rsidP="00E4631D">
            <w:pPr>
              <w:pStyle w:val="NoSpacing"/>
              <w:rPr>
                <w:rStyle w:val="Strong"/>
              </w:rPr>
            </w:pPr>
            <w:r w:rsidRPr="00730DE4">
              <w:rPr>
                <w:rStyle w:val="Strong"/>
              </w:rPr>
              <w:t>Current</w:t>
            </w:r>
          </w:p>
        </w:tc>
        <w:tc>
          <w:tcPr>
            <w:tcW w:w="741" w:type="pct"/>
            <w:tcBorders>
              <w:top w:val="nil"/>
              <w:left w:val="nil"/>
              <w:bottom w:val="single" w:sz="4" w:space="0" w:color="auto"/>
              <w:right w:val="nil"/>
            </w:tcBorders>
            <w:shd w:val="clear" w:color="auto" w:fill="auto"/>
            <w:noWrap/>
            <w:vAlign w:val="bottom"/>
            <w:hideMark/>
          </w:tcPr>
          <w:p w14:paraId="598EC479" w14:textId="77777777" w:rsidR="00730DE4" w:rsidRPr="00730DE4" w:rsidRDefault="00730DE4" w:rsidP="00E4631D">
            <w:pPr>
              <w:pStyle w:val="NoSpacing"/>
              <w:jc w:val="right"/>
              <w:rPr>
                <w:color w:val="080C0F" w:themeColor="text1"/>
              </w:rPr>
            </w:pPr>
            <w:r w:rsidRPr="00730DE4">
              <w:rPr>
                <w:rStyle w:val="Strong"/>
              </w:rPr>
              <w:t xml:space="preserve">2024 </w:t>
            </w:r>
            <w:r w:rsidRPr="00730DE4">
              <w:rPr>
                <w:rStyle w:val="Strong"/>
              </w:rPr>
              <w:br/>
              <w:t>$'000</w:t>
            </w:r>
          </w:p>
        </w:tc>
        <w:tc>
          <w:tcPr>
            <w:tcW w:w="741" w:type="pct"/>
            <w:tcBorders>
              <w:top w:val="nil"/>
              <w:left w:val="nil"/>
              <w:bottom w:val="single" w:sz="4" w:space="0" w:color="auto"/>
              <w:right w:val="nil"/>
            </w:tcBorders>
            <w:shd w:val="clear" w:color="auto" w:fill="auto"/>
            <w:noWrap/>
            <w:vAlign w:val="bottom"/>
            <w:hideMark/>
          </w:tcPr>
          <w:p w14:paraId="55144779" w14:textId="77777777" w:rsidR="00730DE4" w:rsidRPr="00730DE4" w:rsidRDefault="00730DE4" w:rsidP="00E4631D">
            <w:pPr>
              <w:pStyle w:val="NoSpacing"/>
              <w:jc w:val="right"/>
              <w:rPr>
                <w:color w:val="080C0F" w:themeColor="text1"/>
              </w:rPr>
            </w:pPr>
            <w:r w:rsidRPr="00730DE4">
              <w:rPr>
                <w:rStyle w:val="Strong"/>
              </w:rPr>
              <w:t xml:space="preserve">2023 </w:t>
            </w:r>
            <w:r w:rsidRPr="00730DE4">
              <w:rPr>
                <w:rStyle w:val="Strong"/>
              </w:rPr>
              <w:br/>
              <w:t>$'000</w:t>
            </w:r>
          </w:p>
        </w:tc>
      </w:tr>
      <w:tr w:rsidR="00730DE4" w:rsidRPr="00730DE4" w14:paraId="1B089B4D" w14:textId="77777777" w:rsidTr="00DD582B">
        <w:trPr>
          <w:trHeight w:val="240"/>
        </w:trPr>
        <w:tc>
          <w:tcPr>
            <w:tcW w:w="351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4E16657F" w14:textId="77777777" w:rsidR="00730DE4" w:rsidRPr="00730DE4" w:rsidRDefault="00730DE4" w:rsidP="00E4631D">
            <w:pPr>
              <w:pStyle w:val="NoSpacing"/>
              <w:rPr>
                <w:color w:val="080C0F" w:themeColor="text1"/>
              </w:rPr>
            </w:pPr>
            <w:r w:rsidRPr="00730DE4">
              <w:rPr>
                <w:color w:val="080C0F" w:themeColor="text1"/>
              </w:rPr>
              <w:t>Deferred appropriation payable to Consolidated Fund</w:t>
            </w:r>
          </w:p>
        </w:tc>
        <w:tc>
          <w:tcPr>
            <w:tcW w:w="74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C408AA9" w14:textId="77777777" w:rsidR="00730DE4" w:rsidRPr="00730DE4" w:rsidRDefault="00730DE4" w:rsidP="00E4631D">
            <w:pPr>
              <w:pStyle w:val="NoSpacing"/>
              <w:jc w:val="right"/>
              <w:rPr>
                <w:color w:val="080C0F" w:themeColor="text1"/>
              </w:rPr>
            </w:pPr>
            <w:r w:rsidRPr="00730DE4">
              <w:rPr>
                <w:color w:val="080C0F" w:themeColor="text1"/>
              </w:rPr>
              <w:t xml:space="preserve">59,439 </w:t>
            </w:r>
          </w:p>
        </w:tc>
        <w:tc>
          <w:tcPr>
            <w:tcW w:w="741"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31440D8" w14:textId="77777777" w:rsidR="00730DE4" w:rsidRPr="00730DE4" w:rsidRDefault="00730DE4" w:rsidP="00E4631D">
            <w:pPr>
              <w:pStyle w:val="NoSpacing"/>
              <w:jc w:val="right"/>
              <w:rPr>
                <w:color w:val="080C0F" w:themeColor="text1"/>
              </w:rPr>
            </w:pPr>
            <w:r w:rsidRPr="00730DE4">
              <w:rPr>
                <w:color w:val="080C0F" w:themeColor="text1"/>
              </w:rPr>
              <w:t xml:space="preserve">1,720 </w:t>
            </w:r>
          </w:p>
        </w:tc>
      </w:tr>
      <w:tr w:rsidR="00730DE4" w:rsidRPr="00730DE4" w14:paraId="4B6F3184" w14:textId="77777777" w:rsidTr="00DD582B">
        <w:trPr>
          <w:trHeight w:val="240"/>
        </w:trPr>
        <w:tc>
          <w:tcPr>
            <w:tcW w:w="351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343AA3FA" w14:textId="77777777" w:rsidR="00730DE4" w:rsidRPr="00730DE4" w:rsidRDefault="00730DE4" w:rsidP="00E4631D">
            <w:pPr>
              <w:pStyle w:val="NoSpacing"/>
              <w:rPr>
                <w:color w:val="080C0F" w:themeColor="text1"/>
              </w:rPr>
            </w:pPr>
            <w:r w:rsidRPr="00730DE4">
              <w:rPr>
                <w:color w:val="080C0F" w:themeColor="text1"/>
              </w:rPr>
              <w:t>Equity adjustment payable</w:t>
            </w:r>
          </w:p>
        </w:tc>
        <w:tc>
          <w:tcPr>
            <w:tcW w:w="74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8B180D7" w14:textId="77777777" w:rsidR="00730DE4" w:rsidRPr="00730DE4" w:rsidRDefault="00730DE4" w:rsidP="00E4631D">
            <w:pPr>
              <w:pStyle w:val="NoSpacing"/>
              <w:jc w:val="right"/>
              <w:rPr>
                <w:color w:val="080C0F" w:themeColor="text1"/>
              </w:rPr>
            </w:pPr>
            <w:r w:rsidRPr="00730DE4">
              <w:rPr>
                <w:color w:val="080C0F" w:themeColor="text1"/>
              </w:rPr>
              <w:t xml:space="preserve">- </w:t>
            </w:r>
          </w:p>
        </w:tc>
        <w:tc>
          <w:tcPr>
            <w:tcW w:w="741"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CA89BD5" w14:textId="77777777" w:rsidR="00730DE4" w:rsidRPr="00730DE4" w:rsidRDefault="00730DE4" w:rsidP="00E4631D">
            <w:pPr>
              <w:pStyle w:val="NoSpacing"/>
              <w:jc w:val="right"/>
              <w:rPr>
                <w:color w:val="080C0F" w:themeColor="text1"/>
              </w:rPr>
            </w:pPr>
            <w:r w:rsidRPr="00730DE4">
              <w:rPr>
                <w:color w:val="080C0F" w:themeColor="text1"/>
              </w:rPr>
              <w:t xml:space="preserve">6,523 </w:t>
            </w:r>
          </w:p>
        </w:tc>
      </w:tr>
      <w:tr w:rsidR="00730DE4" w:rsidRPr="00730DE4" w14:paraId="69CF49B1" w14:textId="77777777" w:rsidTr="00DD582B">
        <w:trPr>
          <w:trHeight w:val="240"/>
        </w:trPr>
        <w:tc>
          <w:tcPr>
            <w:tcW w:w="351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03CB6774" w14:textId="77777777" w:rsidR="00730DE4" w:rsidRPr="00730DE4" w:rsidRDefault="00730DE4" w:rsidP="00E4631D">
            <w:pPr>
              <w:pStyle w:val="NoSpacing"/>
              <w:rPr>
                <w:color w:val="080C0F" w:themeColor="text1"/>
              </w:rPr>
            </w:pPr>
            <w:r w:rsidRPr="00730DE4">
              <w:rPr>
                <w:color w:val="080C0F" w:themeColor="text1"/>
              </w:rPr>
              <w:t xml:space="preserve">Grants and subsidies payable </w:t>
            </w:r>
          </w:p>
        </w:tc>
        <w:tc>
          <w:tcPr>
            <w:tcW w:w="74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D4C8018" w14:textId="77777777" w:rsidR="00730DE4" w:rsidRPr="00730DE4" w:rsidRDefault="00730DE4" w:rsidP="00E4631D">
            <w:pPr>
              <w:pStyle w:val="NoSpacing"/>
              <w:jc w:val="right"/>
              <w:rPr>
                <w:color w:val="080C0F" w:themeColor="text1"/>
              </w:rPr>
            </w:pPr>
            <w:r w:rsidRPr="00730DE4">
              <w:rPr>
                <w:color w:val="080C0F" w:themeColor="text1"/>
              </w:rPr>
              <w:t xml:space="preserve">57,832 </w:t>
            </w:r>
          </w:p>
        </w:tc>
        <w:tc>
          <w:tcPr>
            <w:tcW w:w="741"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ADADFF9" w14:textId="77777777" w:rsidR="00730DE4" w:rsidRPr="00730DE4" w:rsidRDefault="00730DE4" w:rsidP="00E4631D">
            <w:pPr>
              <w:pStyle w:val="NoSpacing"/>
              <w:jc w:val="right"/>
              <w:rPr>
                <w:color w:val="080C0F" w:themeColor="text1"/>
              </w:rPr>
            </w:pPr>
            <w:r w:rsidRPr="00730DE4">
              <w:rPr>
                <w:color w:val="080C0F" w:themeColor="text1"/>
              </w:rPr>
              <w:t xml:space="preserve">87,793 </w:t>
            </w:r>
          </w:p>
        </w:tc>
      </w:tr>
      <w:tr w:rsidR="00730DE4" w:rsidRPr="00730DE4" w14:paraId="23E95700" w14:textId="77777777" w:rsidTr="00DD582B">
        <w:trPr>
          <w:trHeight w:val="240"/>
        </w:trPr>
        <w:tc>
          <w:tcPr>
            <w:tcW w:w="351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504AFD6A" w14:textId="77777777" w:rsidR="00730DE4" w:rsidRPr="00730DE4" w:rsidRDefault="00730DE4" w:rsidP="00E4631D">
            <w:pPr>
              <w:pStyle w:val="NoSpacing"/>
              <w:rPr>
                <w:color w:val="080C0F" w:themeColor="text1"/>
              </w:rPr>
            </w:pPr>
            <w:r w:rsidRPr="00730DE4">
              <w:rPr>
                <w:color w:val="080C0F" w:themeColor="text1"/>
              </w:rPr>
              <w:t xml:space="preserve">Trade creditors </w:t>
            </w:r>
          </w:p>
        </w:tc>
        <w:tc>
          <w:tcPr>
            <w:tcW w:w="74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7E8BDD9" w14:textId="77777777" w:rsidR="00730DE4" w:rsidRPr="00730DE4" w:rsidRDefault="00730DE4" w:rsidP="00E4631D">
            <w:pPr>
              <w:pStyle w:val="NoSpacing"/>
              <w:jc w:val="right"/>
              <w:rPr>
                <w:color w:val="080C0F" w:themeColor="text1"/>
              </w:rPr>
            </w:pPr>
            <w:r w:rsidRPr="00730DE4">
              <w:rPr>
                <w:color w:val="080C0F" w:themeColor="text1"/>
              </w:rPr>
              <w:t xml:space="preserve">760,032 </w:t>
            </w:r>
          </w:p>
        </w:tc>
        <w:tc>
          <w:tcPr>
            <w:tcW w:w="741"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6C80EB6" w14:textId="77777777" w:rsidR="00730DE4" w:rsidRPr="00730DE4" w:rsidRDefault="00730DE4" w:rsidP="00E4631D">
            <w:pPr>
              <w:pStyle w:val="NoSpacing"/>
              <w:jc w:val="right"/>
              <w:rPr>
                <w:color w:val="080C0F" w:themeColor="text1"/>
              </w:rPr>
            </w:pPr>
            <w:r w:rsidRPr="00730DE4">
              <w:rPr>
                <w:color w:val="080C0F" w:themeColor="text1"/>
              </w:rPr>
              <w:t xml:space="preserve">814,986 </w:t>
            </w:r>
          </w:p>
        </w:tc>
      </w:tr>
      <w:tr w:rsidR="00730DE4" w:rsidRPr="00730DE4" w14:paraId="62A1F071" w14:textId="77777777" w:rsidTr="00DD582B">
        <w:trPr>
          <w:trHeight w:val="240"/>
        </w:trPr>
        <w:tc>
          <w:tcPr>
            <w:tcW w:w="3518"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49BB70A5" w14:textId="77777777" w:rsidR="00730DE4" w:rsidRPr="00730DE4" w:rsidRDefault="00730DE4" w:rsidP="00E4631D">
            <w:pPr>
              <w:pStyle w:val="NoSpacing"/>
              <w:rPr>
                <w:color w:val="080C0F" w:themeColor="text1"/>
              </w:rPr>
            </w:pPr>
            <w:r w:rsidRPr="00730DE4">
              <w:rPr>
                <w:color w:val="080C0F" w:themeColor="text1"/>
              </w:rPr>
              <w:t xml:space="preserve">Other </w:t>
            </w:r>
          </w:p>
        </w:tc>
        <w:tc>
          <w:tcPr>
            <w:tcW w:w="741"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36DD3505" w14:textId="77777777" w:rsidR="00730DE4" w:rsidRPr="00730DE4" w:rsidRDefault="00730DE4" w:rsidP="00E4631D">
            <w:pPr>
              <w:pStyle w:val="NoSpacing"/>
              <w:jc w:val="right"/>
              <w:rPr>
                <w:color w:val="080C0F" w:themeColor="text1"/>
              </w:rPr>
            </w:pPr>
            <w:r w:rsidRPr="00730DE4">
              <w:rPr>
                <w:color w:val="080C0F" w:themeColor="text1"/>
              </w:rPr>
              <w:t xml:space="preserve">21,874 </w:t>
            </w:r>
          </w:p>
        </w:tc>
        <w:tc>
          <w:tcPr>
            <w:tcW w:w="741"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5F47DACE" w14:textId="77777777" w:rsidR="00730DE4" w:rsidRPr="00730DE4" w:rsidRDefault="00730DE4" w:rsidP="00E4631D">
            <w:pPr>
              <w:pStyle w:val="NoSpacing"/>
              <w:jc w:val="right"/>
              <w:rPr>
                <w:color w:val="080C0F" w:themeColor="text1"/>
              </w:rPr>
            </w:pPr>
            <w:r w:rsidRPr="00730DE4">
              <w:rPr>
                <w:color w:val="080C0F" w:themeColor="text1"/>
              </w:rPr>
              <w:t xml:space="preserve">31,252 </w:t>
            </w:r>
          </w:p>
        </w:tc>
      </w:tr>
      <w:tr w:rsidR="00730DE4" w:rsidRPr="00730DE4" w14:paraId="2E77082B" w14:textId="77777777" w:rsidTr="00DD582B">
        <w:tc>
          <w:tcPr>
            <w:tcW w:w="3518"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7992168F" w14:textId="77777777" w:rsidR="00730DE4" w:rsidRPr="00730DE4" w:rsidRDefault="00730DE4" w:rsidP="001B0E0D">
            <w:pPr>
              <w:pStyle w:val="NoSpacing"/>
              <w:rPr>
                <w:color w:val="080C0F" w:themeColor="text1"/>
              </w:rPr>
            </w:pPr>
            <w:r w:rsidRPr="00730DE4">
              <w:rPr>
                <w:rStyle w:val="Strong"/>
              </w:rPr>
              <w:t>Total</w:t>
            </w:r>
          </w:p>
        </w:tc>
        <w:tc>
          <w:tcPr>
            <w:tcW w:w="741"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74786149" w14:textId="77777777" w:rsidR="00730DE4" w:rsidRPr="00730DE4" w:rsidRDefault="00730DE4" w:rsidP="001B0E0D">
            <w:pPr>
              <w:pStyle w:val="NoSpacing"/>
              <w:jc w:val="right"/>
              <w:rPr>
                <w:color w:val="080C0F" w:themeColor="text1"/>
              </w:rPr>
            </w:pPr>
            <w:r w:rsidRPr="00730DE4">
              <w:rPr>
                <w:rStyle w:val="Strong"/>
              </w:rPr>
              <w:t xml:space="preserve">899,177 </w:t>
            </w:r>
          </w:p>
        </w:tc>
        <w:tc>
          <w:tcPr>
            <w:tcW w:w="741" w:type="pct"/>
            <w:tcBorders>
              <w:top w:val="single" w:sz="4" w:space="0" w:color="auto"/>
              <w:left w:val="dotted" w:sz="4" w:space="0" w:color="BFBFBF" w:themeColor="background1" w:themeShade="BF"/>
              <w:bottom w:val="double" w:sz="4" w:space="0" w:color="auto"/>
              <w:right w:val="nil"/>
            </w:tcBorders>
            <w:shd w:val="clear" w:color="auto" w:fill="auto"/>
            <w:noWrap/>
            <w:hideMark/>
          </w:tcPr>
          <w:p w14:paraId="493918BE" w14:textId="77777777" w:rsidR="00730DE4" w:rsidRPr="00730DE4" w:rsidRDefault="00730DE4" w:rsidP="001B0E0D">
            <w:pPr>
              <w:pStyle w:val="NoSpacing"/>
              <w:jc w:val="right"/>
              <w:rPr>
                <w:rStyle w:val="Strong"/>
              </w:rPr>
            </w:pPr>
            <w:r w:rsidRPr="00730DE4">
              <w:rPr>
                <w:rStyle w:val="Strong"/>
              </w:rPr>
              <w:t xml:space="preserve">942,274 </w:t>
            </w:r>
          </w:p>
        </w:tc>
      </w:tr>
    </w:tbl>
    <w:p w14:paraId="2781169D" w14:textId="77777777" w:rsidR="00730DE4" w:rsidRPr="00730DE4" w:rsidRDefault="00730DE4" w:rsidP="00E4631D">
      <w:pPr>
        <w:pStyle w:val="Heading5"/>
      </w:pPr>
      <w:bookmarkStart w:id="1554" w:name="_Toc180487741"/>
      <w:bookmarkStart w:id="1555" w:name="_Toc180490946"/>
      <w:bookmarkStart w:id="1556" w:name="_Toc180491979"/>
      <w:r w:rsidRPr="00730DE4">
        <w:t>Accounting policy</w:t>
      </w:r>
      <w:bookmarkEnd w:id="1554"/>
      <w:bookmarkEnd w:id="1555"/>
      <w:bookmarkEnd w:id="1556"/>
    </w:p>
    <w:p w14:paraId="1E4D5955" w14:textId="77777777" w:rsidR="00730DE4" w:rsidRPr="00730DE4" w:rsidRDefault="00730DE4" w:rsidP="003C13D4">
      <w:pPr>
        <w:rPr>
          <w:color w:val="080C0F" w:themeColor="text1"/>
        </w:rPr>
      </w:pPr>
      <w:r w:rsidRPr="00730DE4">
        <w:rPr>
          <w:color w:val="080C0F" w:themeColor="text1"/>
        </w:rPr>
        <w:t xml:space="preserve">The department's standard payment terms are 28 days from vendor invoice date where the business is not a registered small business. Where the vendor is registered as a small business, the </w:t>
      </w:r>
      <w:r w:rsidRPr="00730DE4">
        <w:rPr>
          <w:i/>
          <w:iCs/>
          <w:color w:val="080C0F" w:themeColor="text1"/>
        </w:rPr>
        <w:t>Queensland Government On-Time Payment Policy</w:t>
      </w:r>
      <w:r w:rsidRPr="00730DE4">
        <w:rPr>
          <w:color w:val="080C0F" w:themeColor="text1"/>
        </w:rPr>
        <w:t xml:space="preserve"> applies, and the standard terms offered will be 20 days from vendor invoice date. Standard terms may be varied where there is a benefit to the department, or where there is a legislative or contractual requirement.</w:t>
      </w:r>
    </w:p>
    <w:p w14:paraId="7BD83E3C" w14:textId="77777777" w:rsidR="005B60B8" w:rsidRDefault="005B60B8" w:rsidP="00B17C5E">
      <w:pPr>
        <w:pStyle w:val="Heading4"/>
      </w:pPr>
      <w:bookmarkStart w:id="1557" w:name="_Toc179365614"/>
      <w:r>
        <w:br w:type="page"/>
      </w:r>
    </w:p>
    <w:p w14:paraId="1868D29F" w14:textId="41A541C0" w:rsidR="00730DE4" w:rsidRPr="00730DE4" w:rsidRDefault="00730DE4" w:rsidP="00B17C5E">
      <w:pPr>
        <w:pStyle w:val="Heading4"/>
      </w:pPr>
      <w:bookmarkStart w:id="1558" w:name="_Toc180490947"/>
      <w:bookmarkStart w:id="1559" w:name="_Toc180491980"/>
      <w:r w:rsidRPr="00730DE4">
        <w:t>19 Borrowings</w:t>
      </w:r>
      <w:bookmarkEnd w:id="1557"/>
      <w:bookmarkEnd w:id="1558"/>
      <w:bookmarkEnd w:id="1559"/>
    </w:p>
    <w:tbl>
      <w:tblPr>
        <w:tblW w:w="5000" w:type="pct"/>
        <w:tblCellMar>
          <w:top w:w="23" w:type="dxa"/>
          <w:left w:w="23" w:type="dxa"/>
          <w:bottom w:w="23" w:type="dxa"/>
          <w:right w:w="23" w:type="dxa"/>
        </w:tblCellMar>
        <w:tblLook w:val="04A0" w:firstRow="1" w:lastRow="0" w:firstColumn="1" w:lastColumn="0" w:noHBand="0" w:noVBand="1"/>
      </w:tblPr>
      <w:tblGrid>
        <w:gridCol w:w="6382"/>
        <w:gridCol w:w="1344"/>
        <w:gridCol w:w="1344"/>
      </w:tblGrid>
      <w:tr w:rsidR="00730DE4" w:rsidRPr="00730DE4" w14:paraId="2B59F34E" w14:textId="77777777" w:rsidTr="008A2F83">
        <w:trPr>
          <w:trHeight w:val="90"/>
        </w:trPr>
        <w:tc>
          <w:tcPr>
            <w:tcW w:w="3517" w:type="pct"/>
            <w:tcBorders>
              <w:top w:val="nil"/>
              <w:left w:val="nil"/>
              <w:bottom w:val="single" w:sz="4" w:space="0" w:color="auto"/>
              <w:right w:val="nil"/>
            </w:tcBorders>
            <w:shd w:val="clear" w:color="auto" w:fill="auto"/>
            <w:noWrap/>
            <w:vAlign w:val="bottom"/>
            <w:hideMark/>
          </w:tcPr>
          <w:p w14:paraId="0864CED8" w14:textId="77777777" w:rsidR="00730DE4" w:rsidRPr="00730DE4" w:rsidRDefault="00730DE4" w:rsidP="00253193">
            <w:pPr>
              <w:pStyle w:val="NoSpacing"/>
              <w:rPr>
                <w:rStyle w:val="Strong"/>
              </w:rPr>
            </w:pPr>
          </w:p>
        </w:tc>
        <w:tc>
          <w:tcPr>
            <w:tcW w:w="741" w:type="pct"/>
            <w:tcBorders>
              <w:top w:val="nil"/>
              <w:left w:val="nil"/>
              <w:bottom w:val="single" w:sz="4" w:space="0" w:color="auto"/>
              <w:right w:val="nil"/>
            </w:tcBorders>
            <w:shd w:val="clear" w:color="auto" w:fill="auto"/>
            <w:noWrap/>
            <w:vAlign w:val="bottom"/>
            <w:hideMark/>
          </w:tcPr>
          <w:p w14:paraId="1E5FE6F9" w14:textId="77777777" w:rsidR="00730DE4" w:rsidRPr="00730DE4" w:rsidRDefault="00730DE4" w:rsidP="00253193">
            <w:pPr>
              <w:pStyle w:val="NoSpacing"/>
              <w:jc w:val="right"/>
              <w:rPr>
                <w:color w:val="080C0F" w:themeColor="text1"/>
              </w:rPr>
            </w:pPr>
            <w:r w:rsidRPr="00730DE4">
              <w:rPr>
                <w:rStyle w:val="Strong"/>
              </w:rPr>
              <w:t xml:space="preserve">2024 </w:t>
            </w:r>
            <w:r w:rsidRPr="00730DE4">
              <w:rPr>
                <w:rStyle w:val="Strong"/>
              </w:rPr>
              <w:br/>
              <w:t>$'000</w:t>
            </w:r>
          </w:p>
        </w:tc>
        <w:tc>
          <w:tcPr>
            <w:tcW w:w="741" w:type="pct"/>
            <w:tcBorders>
              <w:top w:val="nil"/>
              <w:left w:val="nil"/>
              <w:bottom w:val="single" w:sz="4" w:space="0" w:color="auto"/>
              <w:right w:val="nil"/>
            </w:tcBorders>
            <w:shd w:val="clear" w:color="auto" w:fill="auto"/>
            <w:noWrap/>
            <w:vAlign w:val="bottom"/>
            <w:hideMark/>
          </w:tcPr>
          <w:p w14:paraId="602CA244" w14:textId="77777777" w:rsidR="00730DE4" w:rsidRPr="00730DE4" w:rsidRDefault="00730DE4" w:rsidP="00253193">
            <w:pPr>
              <w:pStyle w:val="NoSpacing"/>
              <w:jc w:val="right"/>
              <w:rPr>
                <w:color w:val="080C0F" w:themeColor="text1"/>
              </w:rPr>
            </w:pPr>
            <w:r w:rsidRPr="00730DE4">
              <w:rPr>
                <w:rStyle w:val="Strong"/>
              </w:rPr>
              <w:t xml:space="preserve">2023 </w:t>
            </w:r>
            <w:r w:rsidRPr="00730DE4">
              <w:rPr>
                <w:rStyle w:val="Strong"/>
              </w:rPr>
              <w:br/>
              <w:t>$'000</w:t>
            </w:r>
          </w:p>
        </w:tc>
      </w:tr>
      <w:tr w:rsidR="00730DE4" w:rsidRPr="00730DE4" w14:paraId="28518CDF" w14:textId="77777777" w:rsidTr="00FD6C9A">
        <w:trPr>
          <w:trHeight w:val="454"/>
        </w:trPr>
        <w:tc>
          <w:tcPr>
            <w:tcW w:w="3517"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34D7C0B1" w14:textId="77777777" w:rsidR="00730DE4" w:rsidRPr="00730DE4" w:rsidRDefault="00730DE4" w:rsidP="00253193">
            <w:pPr>
              <w:pStyle w:val="NoSpacing"/>
              <w:rPr>
                <w:color w:val="080C0F" w:themeColor="text1"/>
              </w:rPr>
            </w:pPr>
            <w:r w:rsidRPr="00730DE4">
              <w:rPr>
                <w:rStyle w:val="Strong"/>
              </w:rPr>
              <w:t>Current</w:t>
            </w:r>
          </w:p>
        </w:tc>
        <w:tc>
          <w:tcPr>
            <w:tcW w:w="741"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4081978" w14:textId="77777777" w:rsidR="00730DE4" w:rsidRPr="00730DE4" w:rsidRDefault="00730DE4" w:rsidP="00253193">
            <w:pPr>
              <w:pStyle w:val="NoSpacing"/>
              <w:jc w:val="right"/>
              <w:rPr>
                <w:rStyle w:val="Strong"/>
              </w:rPr>
            </w:pPr>
          </w:p>
        </w:tc>
        <w:tc>
          <w:tcPr>
            <w:tcW w:w="741"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5C60242" w14:textId="77777777" w:rsidR="00730DE4" w:rsidRPr="00730DE4" w:rsidRDefault="00730DE4" w:rsidP="00253193">
            <w:pPr>
              <w:pStyle w:val="NoSpacing"/>
              <w:jc w:val="right"/>
              <w:rPr>
                <w:color w:val="080C0F" w:themeColor="text1"/>
              </w:rPr>
            </w:pPr>
          </w:p>
        </w:tc>
      </w:tr>
      <w:tr w:rsidR="00730DE4" w:rsidRPr="00730DE4" w14:paraId="13389E04" w14:textId="77777777" w:rsidTr="00FD6C9A">
        <w:trPr>
          <w:trHeight w:val="240"/>
        </w:trPr>
        <w:tc>
          <w:tcPr>
            <w:tcW w:w="3517"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5B961A41" w14:textId="77777777" w:rsidR="00730DE4" w:rsidRPr="00730DE4" w:rsidRDefault="00730DE4" w:rsidP="00253193">
            <w:pPr>
              <w:pStyle w:val="NoSpacing"/>
              <w:rPr>
                <w:color w:val="080C0F" w:themeColor="text1"/>
              </w:rPr>
            </w:pPr>
            <w:r w:rsidRPr="00730DE4">
              <w:rPr>
                <w:color w:val="080C0F" w:themeColor="text1"/>
              </w:rPr>
              <w:t>Financial liabilities – service concession arrangements</w:t>
            </w:r>
          </w:p>
        </w:tc>
        <w:tc>
          <w:tcPr>
            <w:tcW w:w="74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87A2840" w14:textId="77777777" w:rsidR="00730DE4" w:rsidRPr="00730DE4" w:rsidRDefault="00730DE4" w:rsidP="00253193">
            <w:pPr>
              <w:pStyle w:val="NoSpacing"/>
              <w:jc w:val="right"/>
              <w:rPr>
                <w:color w:val="080C0F" w:themeColor="text1"/>
              </w:rPr>
            </w:pPr>
            <w:r w:rsidRPr="00730DE4">
              <w:rPr>
                <w:color w:val="080C0F" w:themeColor="text1"/>
              </w:rPr>
              <w:t xml:space="preserve">44,250 </w:t>
            </w:r>
          </w:p>
        </w:tc>
        <w:tc>
          <w:tcPr>
            <w:tcW w:w="741"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166E3A8" w14:textId="77777777" w:rsidR="00730DE4" w:rsidRPr="00730DE4" w:rsidRDefault="00730DE4" w:rsidP="00253193">
            <w:pPr>
              <w:pStyle w:val="NoSpacing"/>
              <w:jc w:val="right"/>
              <w:rPr>
                <w:color w:val="080C0F" w:themeColor="text1"/>
              </w:rPr>
            </w:pPr>
            <w:r w:rsidRPr="00730DE4">
              <w:rPr>
                <w:color w:val="080C0F" w:themeColor="text1"/>
              </w:rPr>
              <w:t xml:space="preserve">40,472 </w:t>
            </w:r>
          </w:p>
        </w:tc>
      </w:tr>
      <w:tr w:rsidR="00730DE4" w:rsidRPr="00730DE4" w14:paraId="3B0673CC" w14:textId="77777777" w:rsidTr="00FD6C9A">
        <w:trPr>
          <w:trHeight w:val="240"/>
        </w:trPr>
        <w:tc>
          <w:tcPr>
            <w:tcW w:w="3517"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7E12CE33" w14:textId="77777777" w:rsidR="00730DE4" w:rsidRPr="00730DE4" w:rsidRDefault="00730DE4" w:rsidP="00253193">
            <w:pPr>
              <w:pStyle w:val="NoSpacing"/>
              <w:rPr>
                <w:color w:val="080C0F" w:themeColor="text1"/>
              </w:rPr>
            </w:pPr>
            <w:r w:rsidRPr="00730DE4">
              <w:rPr>
                <w:color w:val="080C0F" w:themeColor="text1"/>
              </w:rPr>
              <w:t>New Generation Rollingstock arrangement</w:t>
            </w:r>
          </w:p>
        </w:tc>
        <w:tc>
          <w:tcPr>
            <w:tcW w:w="741"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327D770F" w14:textId="77777777" w:rsidR="00730DE4" w:rsidRPr="00730DE4" w:rsidRDefault="00730DE4" w:rsidP="00253193">
            <w:pPr>
              <w:pStyle w:val="NoSpacing"/>
              <w:jc w:val="right"/>
              <w:rPr>
                <w:color w:val="080C0F" w:themeColor="text1"/>
              </w:rPr>
            </w:pPr>
            <w:r w:rsidRPr="00730DE4">
              <w:rPr>
                <w:color w:val="080C0F" w:themeColor="text1"/>
              </w:rPr>
              <w:t xml:space="preserve">4,298 </w:t>
            </w:r>
          </w:p>
        </w:tc>
        <w:tc>
          <w:tcPr>
            <w:tcW w:w="741"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124D5018" w14:textId="77777777" w:rsidR="00730DE4" w:rsidRPr="00730DE4" w:rsidRDefault="00730DE4" w:rsidP="00253193">
            <w:pPr>
              <w:pStyle w:val="NoSpacing"/>
              <w:jc w:val="right"/>
              <w:rPr>
                <w:color w:val="080C0F" w:themeColor="text1"/>
              </w:rPr>
            </w:pPr>
            <w:r w:rsidRPr="00730DE4">
              <w:rPr>
                <w:color w:val="080C0F" w:themeColor="text1"/>
              </w:rPr>
              <w:t xml:space="preserve">3,732 </w:t>
            </w:r>
          </w:p>
        </w:tc>
      </w:tr>
      <w:tr w:rsidR="00730DE4" w:rsidRPr="00730DE4" w14:paraId="56C6BE37" w14:textId="77777777" w:rsidTr="00FD6C9A">
        <w:tc>
          <w:tcPr>
            <w:tcW w:w="3517"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0195331A" w14:textId="77777777" w:rsidR="00730DE4" w:rsidRPr="00730DE4" w:rsidRDefault="00730DE4" w:rsidP="001B0E0D">
            <w:pPr>
              <w:pStyle w:val="NoSpacing"/>
              <w:rPr>
                <w:color w:val="080C0F" w:themeColor="text1"/>
              </w:rPr>
            </w:pPr>
            <w:r w:rsidRPr="00730DE4">
              <w:rPr>
                <w:rStyle w:val="Strong"/>
              </w:rPr>
              <w:t>Total</w:t>
            </w:r>
          </w:p>
        </w:tc>
        <w:tc>
          <w:tcPr>
            <w:tcW w:w="741"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53D625B1" w14:textId="77777777" w:rsidR="00730DE4" w:rsidRPr="00730DE4" w:rsidRDefault="00730DE4" w:rsidP="001B0E0D">
            <w:pPr>
              <w:pStyle w:val="NoSpacing"/>
              <w:jc w:val="right"/>
              <w:rPr>
                <w:color w:val="080C0F" w:themeColor="text1"/>
              </w:rPr>
            </w:pPr>
            <w:r w:rsidRPr="00730DE4">
              <w:rPr>
                <w:rStyle w:val="Strong"/>
              </w:rPr>
              <w:t xml:space="preserve">48,548 </w:t>
            </w:r>
          </w:p>
        </w:tc>
        <w:tc>
          <w:tcPr>
            <w:tcW w:w="741" w:type="pct"/>
            <w:tcBorders>
              <w:top w:val="single" w:sz="4" w:space="0" w:color="auto"/>
              <w:left w:val="dotted" w:sz="4" w:space="0" w:color="BFBFBF" w:themeColor="background1" w:themeShade="BF"/>
              <w:bottom w:val="double" w:sz="4" w:space="0" w:color="auto"/>
              <w:right w:val="nil"/>
            </w:tcBorders>
            <w:shd w:val="clear" w:color="auto" w:fill="auto"/>
            <w:noWrap/>
            <w:hideMark/>
          </w:tcPr>
          <w:p w14:paraId="5970C873" w14:textId="77777777" w:rsidR="00730DE4" w:rsidRPr="00730DE4" w:rsidRDefault="00730DE4" w:rsidP="001B0E0D">
            <w:pPr>
              <w:pStyle w:val="NoSpacing"/>
              <w:jc w:val="right"/>
              <w:rPr>
                <w:rStyle w:val="Strong"/>
              </w:rPr>
            </w:pPr>
            <w:r w:rsidRPr="00730DE4">
              <w:rPr>
                <w:rStyle w:val="Strong"/>
              </w:rPr>
              <w:t xml:space="preserve">44,204 </w:t>
            </w:r>
          </w:p>
        </w:tc>
      </w:tr>
      <w:tr w:rsidR="00730DE4" w:rsidRPr="00730DE4" w14:paraId="76A669A4" w14:textId="77777777" w:rsidTr="00FD6C9A">
        <w:trPr>
          <w:trHeight w:val="454"/>
        </w:trPr>
        <w:tc>
          <w:tcPr>
            <w:tcW w:w="3517" w:type="pct"/>
            <w:tcBorders>
              <w:top w:val="doub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17C270A" w14:textId="77777777" w:rsidR="00730DE4" w:rsidRPr="00730DE4" w:rsidRDefault="00730DE4" w:rsidP="00253193">
            <w:pPr>
              <w:pStyle w:val="NoSpacing"/>
              <w:rPr>
                <w:color w:val="080C0F" w:themeColor="text1"/>
              </w:rPr>
            </w:pPr>
            <w:r w:rsidRPr="00730DE4">
              <w:rPr>
                <w:rStyle w:val="Strong"/>
              </w:rPr>
              <w:t>Non-current</w:t>
            </w:r>
          </w:p>
        </w:tc>
        <w:tc>
          <w:tcPr>
            <w:tcW w:w="741"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2F2630E" w14:textId="77777777" w:rsidR="00730DE4" w:rsidRPr="00730DE4" w:rsidRDefault="00730DE4" w:rsidP="00253193">
            <w:pPr>
              <w:pStyle w:val="NoSpacing"/>
              <w:jc w:val="right"/>
              <w:rPr>
                <w:rStyle w:val="Strong"/>
              </w:rPr>
            </w:pPr>
          </w:p>
        </w:tc>
        <w:tc>
          <w:tcPr>
            <w:tcW w:w="741" w:type="pct"/>
            <w:tcBorders>
              <w:top w:val="double" w:sz="4" w:space="0" w:color="auto"/>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7CEE150" w14:textId="77777777" w:rsidR="00730DE4" w:rsidRPr="00730DE4" w:rsidRDefault="00730DE4" w:rsidP="00253193">
            <w:pPr>
              <w:pStyle w:val="NoSpacing"/>
              <w:jc w:val="right"/>
              <w:rPr>
                <w:color w:val="080C0F" w:themeColor="text1"/>
              </w:rPr>
            </w:pPr>
          </w:p>
        </w:tc>
      </w:tr>
      <w:tr w:rsidR="00730DE4" w:rsidRPr="00730DE4" w14:paraId="5E6756F4" w14:textId="77777777" w:rsidTr="008A2F83">
        <w:trPr>
          <w:trHeight w:val="240"/>
        </w:trPr>
        <w:tc>
          <w:tcPr>
            <w:tcW w:w="3517"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692F9F87" w14:textId="77777777" w:rsidR="00730DE4" w:rsidRPr="00730DE4" w:rsidRDefault="00730DE4" w:rsidP="00253193">
            <w:pPr>
              <w:pStyle w:val="NoSpacing"/>
              <w:rPr>
                <w:color w:val="080C0F" w:themeColor="text1"/>
              </w:rPr>
            </w:pPr>
            <w:r w:rsidRPr="00730DE4">
              <w:rPr>
                <w:color w:val="080C0F" w:themeColor="text1"/>
              </w:rPr>
              <w:t>Financial liabilities – service concession arrangements</w:t>
            </w:r>
          </w:p>
        </w:tc>
        <w:tc>
          <w:tcPr>
            <w:tcW w:w="74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307EE0F" w14:textId="77777777" w:rsidR="00730DE4" w:rsidRPr="00730DE4" w:rsidRDefault="00730DE4" w:rsidP="00253193">
            <w:pPr>
              <w:pStyle w:val="NoSpacing"/>
              <w:jc w:val="right"/>
              <w:rPr>
                <w:color w:val="080C0F" w:themeColor="text1"/>
              </w:rPr>
            </w:pPr>
            <w:r w:rsidRPr="00730DE4">
              <w:rPr>
                <w:color w:val="080C0F" w:themeColor="text1"/>
              </w:rPr>
              <w:t xml:space="preserve">539,495 </w:t>
            </w:r>
          </w:p>
        </w:tc>
        <w:tc>
          <w:tcPr>
            <w:tcW w:w="741"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4244A47E" w14:textId="77777777" w:rsidR="00730DE4" w:rsidRPr="00730DE4" w:rsidRDefault="00730DE4" w:rsidP="00253193">
            <w:pPr>
              <w:pStyle w:val="NoSpacing"/>
              <w:jc w:val="right"/>
              <w:rPr>
                <w:color w:val="080C0F" w:themeColor="text1"/>
              </w:rPr>
            </w:pPr>
            <w:r w:rsidRPr="00730DE4">
              <w:rPr>
                <w:color w:val="080C0F" w:themeColor="text1"/>
              </w:rPr>
              <w:t xml:space="preserve">589,594 </w:t>
            </w:r>
          </w:p>
        </w:tc>
      </w:tr>
      <w:tr w:rsidR="00730DE4" w:rsidRPr="00730DE4" w14:paraId="4766EB09" w14:textId="77777777" w:rsidTr="00FD6C9A">
        <w:trPr>
          <w:trHeight w:val="240"/>
        </w:trPr>
        <w:tc>
          <w:tcPr>
            <w:tcW w:w="3517" w:type="pct"/>
            <w:tcBorders>
              <w:top w:val="dotted" w:sz="4" w:space="0" w:color="BFBFBF" w:themeColor="background1" w:themeShade="BF"/>
              <w:left w:val="nil"/>
              <w:bottom w:val="double" w:sz="4" w:space="0" w:color="auto"/>
              <w:right w:val="dotted" w:sz="4" w:space="0" w:color="BFBFBF" w:themeColor="background1" w:themeShade="BF"/>
            </w:tcBorders>
            <w:shd w:val="clear" w:color="auto" w:fill="auto"/>
            <w:noWrap/>
            <w:vAlign w:val="bottom"/>
            <w:hideMark/>
          </w:tcPr>
          <w:p w14:paraId="3D7FBF09" w14:textId="77777777" w:rsidR="00730DE4" w:rsidRPr="00730DE4" w:rsidRDefault="00730DE4" w:rsidP="00253193">
            <w:pPr>
              <w:pStyle w:val="NoSpacing"/>
              <w:rPr>
                <w:color w:val="080C0F" w:themeColor="text1"/>
              </w:rPr>
            </w:pPr>
            <w:r w:rsidRPr="00730DE4">
              <w:rPr>
                <w:color w:val="080C0F" w:themeColor="text1"/>
              </w:rPr>
              <w:t>New Generation Rollingstock arrangement</w:t>
            </w:r>
          </w:p>
        </w:tc>
        <w:tc>
          <w:tcPr>
            <w:tcW w:w="741" w:type="pct"/>
            <w:tcBorders>
              <w:top w:val="dotted" w:sz="4" w:space="0" w:color="BFBFBF" w:themeColor="background1" w:themeShade="BF"/>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vAlign w:val="bottom"/>
            <w:hideMark/>
          </w:tcPr>
          <w:p w14:paraId="68D0816D" w14:textId="77777777" w:rsidR="00730DE4" w:rsidRPr="00730DE4" w:rsidRDefault="00730DE4" w:rsidP="00253193">
            <w:pPr>
              <w:pStyle w:val="NoSpacing"/>
              <w:jc w:val="right"/>
              <w:rPr>
                <w:color w:val="080C0F" w:themeColor="text1"/>
              </w:rPr>
            </w:pPr>
            <w:r w:rsidRPr="00730DE4">
              <w:rPr>
                <w:color w:val="080C0F" w:themeColor="text1"/>
              </w:rPr>
              <w:t xml:space="preserve">543,394 </w:t>
            </w:r>
          </w:p>
        </w:tc>
        <w:tc>
          <w:tcPr>
            <w:tcW w:w="741" w:type="pct"/>
            <w:tcBorders>
              <w:top w:val="dotted" w:sz="4" w:space="0" w:color="BFBFBF" w:themeColor="background1" w:themeShade="BF"/>
              <w:left w:val="dotted" w:sz="4" w:space="0" w:color="BFBFBF" w:themeColor="background1" w:themeShade="BF"/>
              <w:bottom w:val="double" w:sz="4" w:space="0" w:color="auto"/>
              <w:right w:val="nil"/>
            </w:tcBorders>
            <w:shd w:val="clear" w:color="auto" w:fill="auto"/>
            <w:noWrap/>
            <w:vAlign w:val="bottom"/>
            <w:hideMark/>
          </w:tcPr>
          <w:p w14:paraId="2202258A" w14:textId="77777777" w:rsidR="00730DE4" w:rsidRPr="00730DE4" w:rsidRDefault="00730DE4" w:rsidP="00253193">
            <w:pPr>
              <w:pStyle w:val="NoSpacing"/>
              <w:jc w:val="right"/>
              <w:rPr>
                <w:color w:val="080C0F" w:themeColor="text1"/>
              </w:rPr>
            </w:pPr>
            <w:r w:rsidRPr="00730DE4">
              <w:rPr>
                <w:color w:val="080C0F" w:themeColor="text1"/>
              </w:rPr>
              <w:t xml:space="preserve">547,649 </w:t>
            </w:r>
          </w:p>
        </w:tc>
      </w:tr>
      <w:tr w:rsidR="00730DE4" w:rsidRPr="00730DE4" w14:paraId="7C55467F" w14:textId="77777777" w:rsidTr="00FD6C9A">
        <w:tc>
          <w:tcPr>
            <w:tcW w:w="3517" w:type="pct"/>
            <w:tcBorders>
              <w:top w:val="double" w:sz="4" w:space="0" w:color="auto"/>
              <w:left w:val="nil"/>
              <w:bottom w:val="double" w:sz="4" w:space="0" w:color="auto"/>
              <w:right w:val="dotted" w:sz="4" w:space="0" w:color="BFBFBF" w:themeColor="background1" w:themeShade="BF"/>
            </w:tcBorders>
            <w:shd w:val="clear" w:color="auto" w:fill="auto"/>
            <w:noWrap/>
            <w:hideMark/>
          </w:tcPr>
          <w:p w14:paraId="5253922F" w14:textId="77777777" w:rsidR="00730DE4" w:rsidRPr="00730DE4" w:rsidRDefault="00730DE4" w:rsidP="001B0E0D">
            <w:pPr>
              <w:pStyle w:val="NoSpacing"/>
              <w:rPr>
                <w:color w:val="080C0F" w:themeColor="text1"/>
              </w:rPr>
            </w:pPr>
            <w:r w:rsidRPr="00730DE4">
              <w:rPr>
                <w:rStyle w:val="Strong"/>
              </w:rPr>
              <w:t>Total</w:t>
            </w:r>
          </w:p>
        </w:tc>
        <w:tc>
          <w:tcPr>
            <w:tcW w:w="741" w:type="pct"/>
            <w:tcBorders>
              <w:top w:val="doub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6B1BEDB6" w14:textId="77777777" w:rsidR="00730DE4" w:rsidRPr="00730DE4" w:rsidRDefault="00730DE4" w:rsidP="001B0E0D">
            <w:pPr>
              <w:pStyle w:val="NoSpacing"/>
              <w:jc w:val="right"/>
              <w:rPr>
                <w:color w:val="080C0F" w:themeColor="text1"/>
              </w:rPr>
            </w:pPr>
            <w:r w:rsidRPr="00730DE4">
              <w:rPr>
                <w:rStyle w:val="Strong"/>
              </w:rPr>
              <w:t xml:space="preserve">1,082,889 </w:t>
            </w:r>
          </w:p>
        </w:tc>
        <w:tc>
          <w:tcPr>
            <w:tcW w:w="741" w:type="pct"/>
            <w:tcBorders>
              <w:top w:val="double" w:sz="4" w:space="0" w:color="auto"/>
              <w:left w:val="dotted" w:sz="4" w:space="0" w:color="BFBFBF" w:themeColor="background1" w:themeShade="BF"/>
              <w:bottom w:val="double" w:sz="4" w:space="0" w:color="auto"/>
              <w:right w:val="nil"/>
            </w:tcBorders>
            <w:shd w:val="clear" w:color="auto" w:fill="auto"/>
            <w:noWrap/>
            <w:hideMark/>
          </w:tcPr>
          <w:p w14:paraId="297B5AC0" w14:textId="77777777" w:rsidR="00730DE4" w:rsidRPr="00730DE4" w:rsidRDefault="00730DE4" w:rsidP="001B0E0D">
            <w:pPr>
              <w:pStyle w:val="NoSpacing"/>
              <w:jc w:val="right"/>
              <w:rPr>
                <w:rStyle w:val="Strong"/>
              </w:rPr>
            </w:pPr>
            <w:r w:rsidRPr="00730DE4">
              <w:rPr>
                <w:rStyle w:val="Strong"/>
              </w:rPr>
              <w:t xml:space="preserve">1,137,243 </w:t>
            </w:r>
          </w:p>
        </w:tc>
      </w:tr>
    </w:tbl>
    <w:p w14:paraId="6E7E72AA" w14:textId="77777777" w:rsidR="00730DE4" w:rsidRPr="00730DE4" w:rsidRDefault="00730DE4" w:rsidP="00FD6C9A">
      <w:pPr>
        <w:pStyle w:val="Caption"/>
      </w:pPr>
      <w:r w:rsidRPr="00730DE4">
        <w:t>Refer to Note 16 for information on Public Private Partnerships.</w:t>
      </w:r>
    </w:p>
    <w:p w14:paraId="0401DFC5" w14:textId="77777777" w:rsidR="00730DE4" w:rsidRPr="00730DE4" w:rsidRDefault="00730DE4" w:rsidP="00B17C5E">
      <w:pPr>
        <w:pStyle w:val="Heading4"/>
      </w:pPr>
      <w:bookmarkStart w:id="1560" w:name="_Toc179365615"/>
      <w:bookmarkStart w:id="1561" w:name="_Toc180490948"/>
      <w:bookmarkStart w:id="1562" w:name="_Toc180491981"/>
      <w:r w:rsidRPr="00730DE4">
        <w:t>20 Provisions</w:t>
      </w:r>
      <w:bookmarkEnd w:id="1560"/>
      <w:bookmarkEnd w:id="1561"/>
      <w:bookmarkEnd w:id="1562"/>
    </w:p>
    <w:tbl>
      <w:tblPr>
        <w:tblW w:w="5000" w:type="pct"/>
        <w:tblCellMar>
          <w:top w:w="23" w:type="dxa"/>
          <w:left w:w="23" w:type="dxa"/>
          <w:bottom w:w="23" w:type="dxa"/>
          <w:right w:w="23" w:type="dxa"/>
        </w:tblCellMar>
        <w:tblLook w:val="04A0" w:firstRow="1" w:lastRow="0" w:firstColumn="1" w:lastColumn="0" w:noHBand="0" w:noVBand="1"/>
      </w:tblPr>
      <w:tblGrid>
        <w:gridCol w:w="6382"/>
        <w:gridCol w:w="1344"/>
        <w:gridCol w:w="1344"/>
      </w:tblGrid>
      <w:tr w:rsidR="00730DE4" w:rsidRPr="00730DE4" w14:paraId="42749813" w14:textId="77777777" w:rsidTr="008A2F83">
        <w:trPr>
          <w:trHeight w:val="90"/>
        </w:trPr>
        <w:tc>
          <w:tcPr>
            <w:tcW w:w="3517" w:type="pct"/>
            <w:tcBorders>
              <w:top w:val="nil"/>
              <w:left w:val="nil"/>
              <w:bottom w:val="single" w:sz="4" w:space="0" w:color="auto"/>
              <w:right w:val="nil"/>
            </w:tcBorders>
            <w:shd w:val="clear" w:color="auto" w:fill="auto"/>
            <w:noWrap/>
            <w:vAlign w:val="bottom"/>
            <w:hideMark/>
          </w:tcPr>
          <w:p w14:paraId="56F22D5B" w14:textId="77777777" w:rsidR="00730DE4" w:rsidRPr="00730DE4" w:rsidRDefault="00730DE4" w:rsidP="00D56AFB">
            <w:pPr>
              <w:pStyle w:val="NoSpacing"/>
              <w:rPr>
                <w:rStyle w:val="Strong"/>
              </w:rPr>
            </w:pPr>
          </w:p>
        </w:tc>
        <w:tc>
          <w:tcPr>
            <w:tcW w:w="741" w:type="pct"/>
            <w:tcBorders>
              <w:top w:val="nil"/>
              <w:left w:val="nil"/>
              <w:bottom w:val="single" w:sz="4" w:space="0" w:color="auto"/>
              <w:right w:val="nil"/>
            </w:tcBorders>
            <w:shd w:val="clear" w:color="auto" w:fill="auto"/>
            <w:noWrap/>
            <w:vAlign w:val="bottom"/>
            <w:hideMark/>
          </w:tcPr>
          <w:p w14:paraId="23C2DD05" w14:textId="77777777" w:rsidR="00730DE4" w:rsidRPr="00730DE4" w:rsidRDefault="00730DE4" w:rsidP="00253193">
            <w:pPr>
              <w:pStyle w:val="NoSpacing"/>
              <w:jc w:val="right"/>
              <w:rPr>
                <w:color w:val="080C0F" w:themeColor="text1"/>
              </w:rPr>
            </w:pPr>
            <w:r w:rsidRPr="00730DE4">
              <w:rPr>
                <w:rStyle w:val="Strong"/>
              </w:rPr>
              <w:t xml:space="preserve">2024 </w:t>
            </w:r>
            <w:r w:rsidRPr="00730DE4">
              <w:rPr>
                <w:rStyle w:val="Strong"/>
              </w:rPr>
              <w:br/>
              <w:t>$'000</w:t>
            </w:r>
          </w:p>
        </w:tc>
        <w:tc>
          <w:tcPr>
            <w:tcW w:w="741" w:type="pct"/>
            <w:tcBorders>
              <w:top w:val="nil"/>
              <w:left w:val="nil"/>
              <w:bottom w:val="single" w:sz="4" w:space="0" w:color="auto"/>
              <w:right w:val="nil"/>
            </w:tcBorders>
            <w:shd w:val="clear" w:color="auto" w:fill="auto"/>
            <w:noWrap/>
            <w:vAlign w:val="bottom"/>
            <w:hideMark/>
          </w:tcPr>
          <w:p w14:paraId="05A5BDF2" w14:textId="77777777" w:rsidR="00730DE4" w:rsidRPr="00730DE4" w:rsidRDefault="00730DE4" w:rsidP="00253193">
            <w:pPr>
              <w:pStyle w:val="NoSpacing"/>
              <w:jc w:val="right"/>
              <w:rPr>
                <w:color w:val="080C0F" w:themeColor="text1"/>
              </w:rPr>
            </w:pPr>
            <w:r w:rsidRPr="00730DE4">
              <w:rPr>
                <w:rStyle w:val="Strong"/>
              </w:rPr>
              <w:t xml:space="preserve">2023 </w:t>
            </w:r>
            <w:r w:rsidRPr="00730DE4">
              <w:rPr>
                <w:rStyle w:val="Strong"/>
              </w:rPr>
              <w:br/>
              <w:t>$'000</w:t>
            </w:r>
          </w:p>
        </w:tc>
      </w:tr>
      <w:tr w:rsidR="00730DE4" w:rsidRPr="00730DE4" w14:paraId="0CD61A75" w14:textId="77777777" w:rsidTr="00FD6C9A">
        <w:trPr>
          <w:trHeight w:val="454"/>
        </w:trPr>
        <w:tc>
          <w:tcPr>
            <w:tcW w:w="3517"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0DFADC5C" w14:textId="77777777" w:rsidR="00730DE4" w:rsidRPr="00730DE4" w:rsidRDefault="00730DE4" w:rsidP="00D56AFB">
            <w:pPr>
              <w:pStyle w:val="NoSpacing"/>
              <w:rPr>
                <w:color w:val="080C0F" w:themeColor="text1"/>
              </w:rPr>
            </w:pPr>
            <w:r w:rsidRPr="00730DE4">
              <w:rPr>
                <w:rStyle w:val="Strong"/>
              </w:rPr>
              <w:t>Current</w:t>
            </w:r>
          </w:p>
        </w:tc>
        <w:tc>
          <w:tcPr>
            <w:tcW w:w="741"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BE46586" w14:textId="77777777" w:rsidR="00730DE4" w:rsidRPr="00730DE4" w:rsidRDefault="00730DE4" w:rsidP="00253193">
            <w:pPr>
              <w:pStyle w:val="NoSpacing"/>
              <w:jc w:val="right"/>
              <w:rPr>
                <w:rStyle w:val="Strong"/>
              </w:rPr>
            </w:pPr>
          </w:p>
        </w:tc>
        <w:tc>
          <w:tcPr>
            <w:tcW w:w="741"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417B70C" w14:textId="77777777" w:rsidR="00730DE4" w:rsidRPr="00730DE4" w:rsidRDefault="00730DE4" w:rsidP="00253193">
            <w:pPr>
              <w:pStyle w:val="NoSpacing"/>
              <w:jc w:val="right"/>
              <w:rPr>
                <w:color w:val="080C0F" w:themeColor="text1"/>
              </w:rPr>
            </w:pPr>
          </w:p>
        </w:tc>
      </w:tr>
      <w:tr w:rsidR="00730DE4" w:rsidRPr="00730DE4" w14:paraId="75D53746" w14:textId="77777777" w:rsidTr="008A2F83">
        <w:trPr>
          <w:trHeight w:val="240"/>
        </w:trPr>
        <w:tc>
          <w:tcPr>
            <w:tcW w:w="3517"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0CC1BED8" w14:textId="77777777" w:rsidR="00730DE4" w:rsidRPr="00730DE4" w:rsidRDefault="00730DE4" w:rsidP="00D56AFB">
            <w:pPr>
              <w:pStyle w:val="NoSpacing"/>
              <w:rPr>
                <w:color w:val="080C0F" w:themeColor="text1"/>
              </w:rPr>
            </w:pPr>
            <w:r w:rsidRPr="00730DE4">
              <w:rPr>
                <w:color w:val="080C0F" w:themeColor="text1"/>
              </w:rPr>
              <w:t>Print and Imaging as a Service contract</w:t>
            </w:r>
          </w:p>
        </w:tc>
        <w:tc>
          <w:tcPr>
            <w:tcW w:w="74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FC30AC1" w14:textId="77777777" w:rsidR="00730DE4" w:rsidRPr="00730DE4" w:rsidRDefault="00730DE4" w:rsidP="00253193">
            <w:pPr>
              <w:pStyle w:val="NoSpacing"/>
              <w:jc w:val="right"/>
              <w:rPr>
                <w:color w:val="080C0F" w:themeColor="text1"/>
              </w:rPr>
            </w:pPr>
            <w:r w:rsidRPr="00730DE4">
              <w:rPr>
                <w:color w:val="080C0F" w:themeColor="text1"/>
              </w:rPr>
              <w:t xml:space="preserve">- </w:t>
            </w:r>
          </w:p>
        </w:tc>
        <w:tc>
          <w:tcPr>
            <w:tcW w:w="741"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8808758" w14:textId="77777777" w:rsidR="00730DE4" w:rsidRPr="00730DE4" w:rsidRDefault="00730DE4" w:rsidP="00253193">
            <w:pPr>
              <w:pStyle w:val="NoSpacing"/>
              <w:jc w:val="right"/>
              <w:rPr>
                <w:color w:val="080C0F" w:themeColor="text1"/>
              </w:rPr>
            </w:pPr>
            <w:r w:rsidRPr="00730DE4">
              <w:rPr>
                <w:color w:val="080C0F" w:themeColor="text1"/>
              </w:rPr>
              <w:t xml:space="preserve">964 </w:t>
            </w:r>
          </w:p>
        </w:tc>
      </w:tr>
      <w:tr w:rsidR="00730DE4" w:rsidRPr="00730DE4" w14:paraId="529F4C86" w14:textId="77777777" w:rsidTr="00FD6C9A">
        <w:trPr>
          <w:trHeight w:val="240"/>
        </w:trPr>
        <w:tc>
          <w:tcPr>
            <w:tcW w:w="3517"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0FB65F76" w14:textId="77777777" w:rsidR="00730DE4" w:rsidRPr="00730DE4" w:rsidRDefault="00730DE4" w:rsidP="00D56AFB">
            <w:pPr>
              <w:pStyle w:val="NoSpacing"/>
              <w:rPr>
                <w:color w:val="080C0F" w:themeColor="text1"/>
              </w:rPr>
            </w:pPr>
            <w:r w:rsidRPr="00730DE4">
              <w:rPr>
                <w:color w:val="080C0F" w:themeColor="text1"/>
              </w:rPr>
              <w:t>Property resumptions</w:t>
            </w:r>
          </w:p>
        </w:tc>
        <w:tc>
          <w:tcPr>
            <w:tcW w:w="74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278DC0D" w14:textId="77777777" w:rsidR="00730DE4" w:rsidRPr="00730DE4" w:rsidRDefault="00730DE4" w:rsidP="00253193">
            <w:pPr>
              <w:pStyle w:val="NoSpacing"/>
              <w:jc w:val="right"/>
              <w:rPr>
                <w:color w:val="080C0F" w:themeColor="text1"/>
              </w:rPr>
            </w:pPr>
            <w:r w:rsidRPr="00730DE4">
              <w:rPr>
                <w:color w:val="080C0F" w:themeColor="text1"/>
              </w:rPr>
              <w:t xml:space="preserve">234,337 </w:t>
            </w:r>
          </w:p>
        </w:tc>
        <w:tc>
          <w:tcPr>
            <w:tcW w:w="741"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19EC2AD" w14:textId="77777777" w:rsidR="00730DE4" w:rsidRPr="00730DE4" w:rsidRDefault="00730DE4" w:rsidP="00253193">
            <w:pPr>
              <w:pStyle w:val="NoSpacing"/>
              <w:jc w:val="right"/>
              <w:rPr>
                <w:color w:val="080C0F" w:themeColor="text1"/>
              </w:rPr>
            </w:pPr>
            <w:r w:rsidRPr="00730DE4">
              <w:rPr>
                <w:color w:val="080C0F" w:themeColor="text1"/>
              </w:rPr>
              <w:t xml:space="preserve">264,877 </w:t>
            </w:r>
          </w:p>
        </w:tc>
      </w:tr>
      <w:tr w:rsidR="00730DE4" w:rsidRPr="00730DE4" w14:paraId="2CA3DAB0" w14:textId="77777777" w:rsidTr="00FD6C9A">
        <w:trPr>
          <w:trHeight w:val="240"/>
        </w:trPr>
        <w:tc>
          <w:tcPr>
            <w:tcW w:w="3517"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44479D2D" w14:textId="77777777" w:rsidR="00730DE4" w:rsidRPr="00730DE4" w:rsidRDefault="00730DE4" w:rsidP="00D56AFB">
            <w:pPr>
              <w:pStyle w:val="NoSpacing"/>
              <w:rPr>
                <w:color w:val="080C0F" w:themeColor="text1"/>
              </w:rPr>
            </w:pPr>
            <w:r w:rsidRPr="00730DE4">
              <w:rPr>
                <w:color w:val="080C0F" w:themeColor="text1"/>
              </w:rPr>
              <w:t>New Generation Rollingstock rectification works</w:t>
            </w:r>
          </w:p>
        </w:tc>
        <w:tc>
          <w:tcPr>
            <w:tcW w:w="741"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0A65A1CA" w14:textId="77777777" w:rsidR="00730DE4" w:rsidRPr="00730DE4" w:rsidRDefault="00730DE4" w:rsidP="00253193">
            <w:pPr>
              <w:pStyle w:val="NoSpacing"/>
              <w:jc w:val="right"/>
              <w:rPr>
                <w:color w:val="080C0F" w:themeColor="text1"/>
              </w:rPr>
            </w:pPr>
            <w:r w:rsidRPr="00730DE4">
              <w:rPr>
                <w:color w:val="080C0F" w:themeColor="text1"/>
              </w:rPr>
              <w:t xml:space="preserve">7,442 </w:t>
            </w:r>
          </w:p>
        </w:tc>
        <w:tc>
          <w:tcPr>
            <w:tcW w:w="741"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77FC7F12" w14:textId="77777777" w:rsidR="00730DE4" w:rsidRPr="00730DE4" w:rsidRDefault="00730DE4" w:rsidP="00253193">
            <w:pPr>
              <w:pStyle w:val="NoSpacing"/>
              <w:jc w:val="right"/>
              <w:rPr>
                <w:color w:val="080C0F" w:themeColor="text1"/>
              </w:rPr>
            </w:pPr>
            <w:r w:rsidRPr="00730DE4">
              <w:rPr>
                <w:color w:val="080C0F" w:themeColor="text1"/>
              </w:rPr>
              <w:t xml:space="preserve">52,096 </w:t>
            </w:r>
          </w:p>
        </w:tc>
      </w:tr>
      <w:tr w:rsidR="00730DE4" w:rsidRPr="00730DE4" w14:paraId="1C991773" w14:textId="77777777" w:rsidTr="00FD6C9A">
        <w:tc>
          <w:tcPr>
            <w:tcW w:w="3517"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2509633D" w14:textId="77777777" w:rsidR="00730DE4" w:rsidRPr="00730DE4" w:rsidRDefault="00730DE4" w:rsidP="001B0E0D">
            <w:pPr>
              <w:pStyle w:val="NoSpacing"/>
              <w:rPr>
                <w:color w:val="080C0F" w:themeColor="text1"/>
              </w:rPr>
            </w:pPr>
            <w:r w:rsidRPr="00730DE4">
              <w:rPr>
                <w:rStyle w:val="Strong"/>
              </w:rPr>
              <w:t>Total</w:t>
            </w:r>
          </w:p>
        </w:tc>
        <w:tc>
          <w:tcPr>
            <w:tcW w:w="741"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7430D1B5" w14:textId="77777777" w:rsidR="00730DE4" w:rsidRPr="00730DE4" w:rsidRDefault="00730DE4" w:rsidP="001B0E0D">
            <w:pPr>
              <w:pStyle w:val="NoSpacing"/>
              <w:jc w:val="right"/>
              <w:rPr>
                <w:color w:val="080C0F" w:themeColor="text1"/>
              </w:rPr>
            </w:pPr>
            <w:r w:rsidRPr="00730DE4">
              <w:rPr>
                <w:rStyle w:val="Strong"/>
              </w:rPr>
              <w:t xml:space="preserve">241,779 </w:t>
            </w:r>
          </w:p>
        </w:tc>
        <w:tc>
          <w:tcPr>
            <w:tcW w:w="741" w:type="pct"/>
            <w:tcBorders>
              <w:top w:val="single" w:sz="4" w:space="0" w:color="auto"/>
              <w:left w:val="dotted" w:sz="4" w:space="0" w:color="BFBFBF" w:themeColor="background1" w:themeShade="BF"/>
              <w:bottom w:val="double" w:sz="4" w:space="0" w:color="auto"/>
              <w:right w:val="nil"/>
            </w:tcBorders>
            <w:shd w:val="clear" w:color="auto" w:fill="auto"/>
            <w:noWrap/>
            <w:hideMark/>
          </w:tcPr>
          <w:p w14:paraId="0FE9EF96" w14:textId="77777777" w:rsidR="00730DE4" w:rsidRPr="00730DE4" w:rsidRDefault="00730DE4" w:rsidP="001B0E0D">
            <w:pPr>
              <w:pStyle w:val="NoSpacing"/>
              <w:jc w:val="right"/>
              <w:rPr>
                <w:rStyle w:val="Strong"/>
              </w:rPr>
            </w:pPr>
            <w:r w:rsidRPr="00730DE4">
              <w:rPr>
                <w:rStyle w:val="Strong"/>
              </w:rPr>
              <w:t xml:space="preserve">317,937 </w:t>
            </w:r>
          </w:p>
        </w:tc>
      </w:tr>
      <w:tr w:rsidR="00730DE4" w:rsidRPr="00730DE4" w14:paraId="281E43DE" w14:textId="77777777" w:rsidTr="00FD6C9A">
        <w:trPr>
          <w:trHeight w:val="454"/>
        </w:trPr>
        <w:tc>
          <w:tcPr>
            <w:tcW w:w="3517" w:type="pct"/>
            <w:tcBorders>
              <w:top w:val="doub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382554F8" w14:textId="77777777" w:rsidR="00730DE4" w:rsidRPr="00730DE4" w:rsidRDefault="00730DE4" w:rsidP="00D56AFB">
            <w:pPr>
              <w:pStyle w:val="NoSpacing"/>
              <w:rPr>
                <w:color w:val="080C0F" w:themeColor="text1"/>
              </w:rPr>
            </w:pPr>
            <w:r w:rsidRPr="00730DE4">
              <w:rPr>
                <w:rStyle w:val="Strong"/>
              </w:rPr>
              <w:t>Non-current</w:t>
            </w:r>
          </w:p>
        </w:tc>
        <w:tc>
          <w:tcPr>
            <w:tcW w:w="741"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B397ECC" w14:textId="77777777" w:rsidR="00730DE4" w:rsidRPr="00730DE4" w:rsidRDefault="00730DE4" w:rsidP="00253193">
            <w:pPr>
              <w:pStyle w:val="NoSpacing"/>
              <w:jc w:val="right"/>
              <w:rPr>
                <w:rStyle w:val="Strong"/>
              </w:rPr>
            </w:pPr>
          </w:p>
        </w:tc>
        <w:tc>
          <w:tcPr>
            <w:tcW w:w="741" w:type="pct"/>
            <w:tcBorders>
              <w:top w:val="double" w:sz="4" w:space="0" w:color="auto"/>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7C1FD46" w14:textId="77777777" w:rsidR="00730DE4" w:rsidRPr="00730DE4" w:rsidRDefault="00730DE4" w:rsidP="00253193">
            <w:pPr>
              <w:pStyle w:val="NoSpacing"/>
              <w:jc w:val="right"/>
              <w:rPr>
                <w:color w:val="080C0F" w:themeColor="text1"/>
              </w:rPr>
            </w:pPr>
          </w:p>
        </w:tc>
      </w:tr>
      <w:tr w:rsidR="00730DE4" w:rsidRPr="00730DE4" w14:paraId="6E2AEBBD" w14:textId="77777777" w:rsidTr="00FD6C9A">
        <w:trPr>
          <w:trHeight w:val="240"/>
        </w:trPr>
        <w:tc>
          <w:tcPr>
            <w:tcW w:w="3517"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C1E6288" w14:textId="77777777" w:rsidR="00730DE4" w:rsidRPr="00730DE4" w:rsidRDefault="00730DE4" w:rsidP="00D56AFB">
            <w:pPr>
              <w:pStyle w:val="NoSpacing"/>
              <w:rPr>
                <w:color w:val="080C0F" w:themeColor="text1"/>
              </w:rPr>
            </w:pPr>
            <w:r w:rsidRPr="00730DE4">
              <w:rPr>
                <w:color w:val="080C0F" w:themeColor="text1"/>
              </w:rPr>
              <w:t>Property resumptions</w:t>
            </w:r>
          </w:p>
        </w:tc>
        <w:tc>
          <w:tcPr>
            <w:tcW w:w="74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4B6CECE" w14:textId="77777777" w:rsidR="00730DE4" w:rsidRPr="00730DE4" w:rsidRDefault="00730DE4" w:rsidP="00253193">
            <w:pPr>
              <w:pStyle w:val="NoSpacing"/>
              <w:jc w:val="right"/>
              <w:rPr>
                <w:color w:val="080C0F" w:themeColor="text1"/>
              </w:rPr>
            </w:pPr>
            <w:r w:rsidRPr="00730DE4">
              <w:rPr>
                <w:color w:val="080C0F" w:themeColor="text1"/>
              </w:rPr>
              <w:t xml:space="preserve">202,654 </w:t>
            </w:r>
          </w:p>
        </w:tc>
        <w:tc>
          <w:tcPr>
            <w:tcW w:w="741"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4286EAF" w14:textId="77777777" w:rsidR="00730DE4" w:rsidRPr="00730DE4" w:rsidRDefault="00730DE4" w:rsidP="00253193">
            <w:pPr>
              <w:pStyle w:val="NoSpacing"/>
              <w:jc w:val="right"/>
              <w:rPr>
                <w:color w:val="080C0F" w:themeColor="text1"/>
              </w:rPr>
            </w:pPr>
            <w:r w:rsidRPr="00730DE4">
              <w:rPr>
                <w:color w:val="080C0F" w:themeColor="text1"/>
              </w:rPr>
              <w:t xml:space="preserve">190,548 </w:t>
            </w:r>
          </w:p>
        </w:tc>
      </w:tr>
      <w:tr w:rsidR="00730DE4" w:rsidRPr="00730DE4" w14:paraId="504331C4" w14:textId="77777777" w:rsidTr="00FD6C9A">
        <w:trPr>
          <w:trHeight w:val="240"/>
        </w:trPr>
        <w:tc>
          <w:tcPr>
            <w:tcW w:w="3517"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7FA2AC64" w14:textId="77777777" w:rsidR="00730DE4" w:rsidRPr="00730DE4" w:rsidRDefault="00730DE4" w:rsidP="00D56AFB">
            <w:pPr>
              <w:pStyle w:val="NoSpacing"/>
              <w:rPr>
                <w:color w:val="080C0F" w:themeColor="text1"/>
              </w:rPr>
            </w:pPr>
            <w:r w:rsidRPr="00730DE4">
              <w:rPr>
                <w:color w:val="080C0F" w:themeColor="text1"/>
              </w:rPr>
              <w:t>New Generation Rollingstock rectification works</w:t>
            </w:r>
          </w:p>
        </w:tc>
        <w:tc>
          <w:tcPr>
            <w:tcW w:w="741"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1EBC668D" w14:textId="77777777" w:rsidR="00730DE4" w:rsidRPr="00730DE4" w:rsidRDefault="00730DE4" w:rsidP="00253193">
            <w:pPr>
              <w:pStyle w:val="NoSpacing"/>
              <w:jc w:val="right"/>
              <w:rPr>
                <w:color w:val="080C0F" w:themeColor="text1"/>
              </w:rPr>
            </w:pPr>
            <w:r w:rsidRPr="00730DE4">
              <w:rPr>
                <w:color w:val="080C0F" w:themeColor="text1"/>
              </w:rPr>
              <w:t xml:space="preserve">- </w:t>
            </w:r>
          </w:p>
        </w:tc>
        <w:tc>
          <w:tcPr>
            <w:tcW w:w="741"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3CB6EA31" w14:textId="77777777" w:rsidR="00730DE4" w:rsidRPr="00730DE4" w:rsidRDefault="00730DE4" w:rsidP="00253193">
            <w:pPr>
              <w:pStyle w:val="NoSpacing"/>
              <w:jc w:val="right"/>
              <w:rPr>
                <w:color w:val="080C0F" w:themeColor="text1"/>
              </w:rPr>
            </w:pPr>
            <w:r w:rsidRPr="00730DE4">
              <w:rPr>
                <w:color w:val="080C0F" w:themeColor="text1"/>
              </w:rPr>
              <w:t xml:space="preserve">5,582 </w:t>
            </w:r>
          </w:p>
        </w:tc>
      </w:tr>
      <w:tr w:rsidR="00730DE4" w:rsidRPr="00730DE4" w14:paraId="31C36B71" w14:textId="77777777" w:rsidTr="00FD6C9A">
        <w:tc>
          <w:tcPr>
            <w:tcW w:w="3517"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3CD90F7C" w14:textId="77777777" w:rsidR="00730DE4" w:rsidRPr="00730DE4" w:rsidRDefault="00730DE4" w:rsidP="001B0E0D">
            <w:pPr>
              <w:pStyle w:val="NoSpacing"/>
              <w:rPr>
                <w:color w:val="080C0F" w:themeColor="text1"/>
              </w:rPr>
            </w:pPr>
            <w:r w:rsidRPr="00730DE4">
              <w:rPr>
                <w:rStyle w:val="Strong"/>
              </w:rPr>
              <w:t>Total</w:t>
            </w:r>
          </w:p>
        </w:tc>
        <w:tc>
          <w:tcPr>
            <w:tcW w:w="741"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6E33D55F" w14:textId="77777777" w:rsidR="00730DE4" w:rsidRPr="00730DE4" w:rsidRDefault="00730DE4" w:rsidP="001B0E0D">
            <w:pPr>
              <w:pStyle w:val="NoSpacing"/>
              <w:jc w:val="right"/>
              <w:rPr>
                <w:color w:val="080C0F" w:themeColor="text1"/>
              </w:rPr>
            </w:pPr>
            <w:r w:rsidRPr="00730DE4">
              <w:rPr>
                <w:rStyle w:val="Strong"/>
              </w:rPr>
              <w:t xml:space="preserve">202,654 </w:t>
            </w:r>
          </w:p>
        </w:tc>
        <w:tc>
          <w:tcPr>
            <w:tcW w:w="741" w:type="pct"/>
            <w:tcBorders>
              <w:top w:val="single" w:sz="4" w:space="0" w:color="auto"/>
              <w:left w:val="dotted" w:sz="4" w:space="0" w:color="BFBFBF" w:themeColor="background1" w:themeShade="BF"/>
              <w:bottom w:val="double" w:sz="4" w:space="0" w:color="auto"/>
              <w:right w:val="nil"/>
            </w:tcBorders>
            <w:shd w:val="clear" w:color="auto" w:fill="auto"/>
            <w:noWrap/>
            <w:hideMark/>
          </w:tcPr>
          <w:p w14:paraId="558D88BC" w14:textId="77777777" w:rsidR="00730DE4" w:rsidRPr="00730DE4" w:rsidRDefault="00730DE4" w:rsidP="001B0E0D">
            <w:pPr>
              <w:pStyle w:val="NoSpacing"/>
              <w:jc w:val="right"/>
              <w:rPr>
                <w:rStyle w:val="Strong"/>
              </w:rPr>
            </w:pPr>
            <w:r w:rsidRPr="00730DE4">
              <w:rPr>
                <w:rStyle w:val="Strong"/>
              </w:rPr>
              <w:t xml:space="preserve">196,130 </w:t>
            </w:r>
          </w:p>
        </w:tc>
      </w:tr>
    </w:tbl>
    <w:p w14:paraId="09CBF94B" w14:textId="77777777" w:rsidR="00730DE4" w:rsidRPr="00730DE4" w:rsidRDefault="00730DE4" w:rsidP="00632BEE">
      <w:pPr>
        <w:pStyle w:val="Heading5"/>
      </w:pPr>
      <w:bookmarkStart w:id="1563" w:name="_Toc180487744"/>
      <w:bookmarkStart w:id="1564" w:name="_Toc180490949"/>
      <w:bookmarkStart w:id="1565" w:name="_Toc180491982"/>
      <w:r w:rsidRPr="00730DE4">
        <w:t>Provision for Print and Imaging as a Service contract</w:t>
      </w:r>
      <w:bookmarkEnd w:id="1563"/>
      <w:bookmarkEnd w:id="1564"/>
      <w:bookmarkEnd w:id="1565"/>
    </w:p>
    <w:p w14:paraId="712772FB" w14:textId="77777777" w:rsidR="00730DE4" w:rsidRPr="00730DE4" w:rsidRDefault="00730DE4" w:rsidP="003C13D4">
      <w:pPr>
        <w:rPr>
          <w:color w:val="080C0F" w:themeColor="text1"/>
        </w:rPr>
      </w:pPr>
      <w:r w:rsidRPr="00730DE4">
        <w:rPr>
          <w:color w:val="080C0F" w:themeColor="text1"/>
        </w:rPr>
        <w:t>Print and Imaging as a Service (PIAAS) provision represents a provision of a $0.964m estimated balloon payment related to the PIAAS contract.</w:t>
      </w:r>
    </w:p>
    <w:p w14:paraId="117304FE" w14:textId="77777777" w:rsidR="00730DE4" w:rsidRPr="00730DE4" w:rsidRDefault="00730DE4" w:rsidP="00B61C69">
      <w:pPr>
        <w:pStyle w:val="NoSpacing"/>
      </w:pPr>
    </w:p>
    <w:tbl>
      <w:tblPr>
        <w:tblW w:w="5000" w:type="pct"/>
        <w:tblCellMar>
          <w:top w:w="23" w:type="dxa"/>
          <w:left w:w="23" w:type="dxa"/>
          <w:bottom w:w="23" w:type="dxa"/>
          <w:right w:w="23" w:type="dxa"/>
        </w:tblCellMar>
        <w:tblLook w:val="04A0" w:firstRow="1" w:lastRow="0" w:firstColumn="1" w:lastColumn="0" w:noHBand="0" w:noVBand="1"/>
      </w:tblPr>
      <w:tblGrid>
        <w:gridCol w:w="6530"/>
        <w:gridCol w:w="1270"/>
        <w:gridCol w:w="1270"/>
      </w:tblGrid>
      <w:tr w:rsidR="00730DE4" w:rsidRPr="00730DE4" w14:paraId="3C478FEB" w14:textId="77777777" w:rsidTr="008A2F83">
        <w:trPr>
          <w:trHeight w:val="240"/>
        </w:trPr>
        <w:tc>
          <w:tcPr>
            <w:tcW w:w="3600" w:type="pct"/>
            <w:tcBorders>
              <w:top w:val="nil"/>
              <w:left w:val="nil"/>
              <w:bottom w:val="single" w:sz="4" w:space="0" w:color="auto"/>
              <w:right w:val="nil"/>
            </w:tcBorders>
            <w:shd w:val="clear" w:color="auto" w:fill="auto"/>
            <w:noWrap/>
            <w:vAlign w:val="bottom"/>
          </w:tcPr>
          <w:p w14:paraId="049336DB" w14:textId="77777777" w:rsidR="00730DE4" w:rsidRPr="00730DE4" w:rsidRDefault="00730DE4" w:rsidP="00D56AFB">
            <w:pPr>
              <w:pStyle w:val="NoSpacing"/>
              <w:rPr>
                <w:rStyle w:val="Strong"/>
              </w:rPr>
            </w:pPr>
            <w:r w:rsidRPr="00730DE4">
              <w:rPr>
                <w:rStyle w:val="Strong"/>
              </w:rPr>
              <w:t>Movements in provision for Print and Imaging as a Service contract</w:t>
            </w:r>
          </w:p>
        </w:tc>
        <w:tc>
          <w:tcPr>
            <w:tcW w:w="700" w:type="pct"/>
            <w:tcBorders>
              <w:top w:val="nil"/>
              <w:left w:val="nil"/>
              <w:bottom w:val="single" w:sz="4" w:space="0" w:color="auto"/>
              <w:right w:val="nil"/>
            </w:tcBorders>
            <w:shd w:val="clear" w:color="auto" w:fill="auto"/>
            <w:noWrap/>
            <w:vAlign w:val="bottom"/>
            <w:hideMark/>
          </w:tcPr>
          <w:p w14:paraId="1EAC13FA" w14:textId="77777777" w:rsidR="00730DE4" w:rsidRPr="00730DE4" w:rsidRDefault="00730DE4" w:rsidP="00D56AFB">
            <w:pPr>
              <w:pStyle w:val="NoSpacing"/>
              <w:jc w:val="right"/>
              <w:rPr>
                <w:rStyle w:val="Strong"/>
              </w:rPr>
            </w:pPr>
            <w:r w:rsidRPr="00730DE4">
              <w:rPr>
                <w:rStyle w:val="Strong"/>
              </w:rPr>
              <w:t xml:space="preserve">2024 </w:t>
            </w:r>
            <w:r w:rsidRPr="00730DE4">
              <w:rPr>
                <w:rStyle w:val="Strong"/>
              </w:rPr>
              <w:br/>
              <w:t>$'000</w:t>
            </w:r>
          </w:p>
        </w:tc>
        <w:tc>
          <w:tcPr>
            <w:tcW w:w="700" w:type="pct"/>
            <w:tcBorders>
              <w:top w:val="nil"/>
              <w:left w:val="nil"/>
              <w:bottom w:val="single" w:sz="4" w:space="0" w:color="auto"/>
              <w:right w:val="nil"/>
            </w:tcBorders>
            <w:shd w:val="clear" w:color="auto" w:fill="auto"/>
            <w:noWrap/>
            <w:vAlign w:val="bottom"/>
            <w:hideMark/>
          </w:tcPr>
          <w:p w14:paraId="4A871BF0" w14:textId="77777777" w:rsidR="00730DE4" w:rsidRPr="00730DE4" w:rsidRDefault="00730DE4" w:rsidP="00D56AFB">
            <w:pPr>
              <w:pStyle w:val="NoSpacing"/>
              <w:jc w:val="right"/>
              <w:rPr>
                <w:color w:val="080C0F" w:themeColor="text1"/>
              </w:rPr>
            </w:pPr>
            <w:r w:rsidRPr="00730DE4">
              <w:rPr>
                <w:rStyle w:val="Strong"/>
              </w:rPr>
              <w:t xml:space="preserve">2023 </w:t>
            </w:r>
            <w:r w:rsidRPr="00730DE4">
              <w:rPr>
                <w:rStyle w:val="Strong"/>
              </w:rPr>
              <w:br/>
              <w:t>$'000</w:t>
            </w:r>
          </w:p>
        </w:tc>
      </w:tr>
      <w:tr w:rsidR="00730DE4" w:rsidRPr="00730DE4" w14:paraId="437BE527" w14:textId="77777777" w:rsidTr="00FD6C9A">
        <w:trPr>
          <w:trHeight w:val="454"/>
        </w:trPr>
        <w:tc>
          <w:tcPr>
            <w:tcW w:w="3600"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068FA06" w14:textId="77777777" w:rsidR="00730DE4" w:rsidRPr="00730DE4" w:rsidRDefault="00730DE4" w:rsidP="00D56AFB">
            <w:pPr>
              <w:pStyle w:val="NoSpacing"/>
              <w:rPr>
                <w:color w:val="080C0F" w:themeColor="text1"/>
              </w:rPr>
            </w:pPr>
            <w:r w:rsidRPr="00730DE4">
              <w:rPr>
                <w:rStyle w:val="Strong"/>
              </w:rPr>
              <w:t>Current</w:t>
            </w:r>
          </w:p>
        </w:tc>
        <w:tc>
          <w:tcPr>
            <w:tcW w:w="700"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64C6EE0" w14:textId="77777777" w:rsidR="00730DE4" w:rsidRPr="00730DE4" w:rsidRDefault="00730DE4" w:rsidP="00D56AFB">
            <w:pPr>
              <w:pStyle w:val="NoSpacing"/>
              <w:jc w:val="right"/>
              <w:rPr>
                <w:rStyle w:val="Strong"/>
              </w:rPr>
            </w:pPr>
          </w:p>
        </w:tc>
        <w:tc>
          <w:tcPr>
            <w:tcW w:w="700"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D467824" w14:textId="77777777" w:rsidR="00730DE4" w:rsidRPr="00730DE4" w:rsidRDefault="00730DE4" w:rsidP="00D56AFB">
            <w:pPr>
              <w:pStyle w:val="NoSpacing"/>
              <w:jc w:val="right"/>
              <w:rPr>
                <w:color w:val="080C0F" w:themeColor="text1"/>
              </w:rPr>
            </w:pPr>
          </w:p>
        </w:tc>
      </w:tr>
      <w:tr w:rsidR="00730DE4" w:rsidRPr="00730DE4" w14:paraId="557390DC" w14:textId="77777777" w:rsidTr="008A2F83">
        <w:trPr>
          <w:trHeight w:val="240"/>
        </w:trPr>
        <w:tc>
          <w:tcPr>
            <w:tcW w:w="360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0312EE8D" w14:textId="77777777" w:rsidR="00730DE4" w:rsidRPr="00730DE4" w:rsidRDefault="00730DE4" w:rsidP="00D56AFB">
            <w:pPr>
              <w:pStyle w:val="NoSpacing"/>
              <w:rPr>
                <w:color w:val="080C0F" w:themeColor="text1"/>
              </w:rPr>
            </w:pPr>
            <w:r w:rsidRPr="00730DE4">
              <w:rPr>
                <w:color w:val="080C0F" w:themeColor="text1"/>
              </w:rPr>
              <w:t>Opening balance</w:t>
            </w:r>
          </w:p>
        </w:tc>
        <w:tc>
          <w:tcPr>
            <w:tcW w:w="70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856417C" w14:textId="77777777" w:rsidR="00730DE4" w:rsidRPr="00730DE4" w:rsidRDefault="00730DE4" w:rsidP="00D56AFB">
            <w:pPr>
              <w:pStyle w:val="NoSpacing"/>
              <w:jc w:val="right"/>
              <w:rPr>
                <w:color w:val="080C0F" w:themeColor="text1"/>
              </w:rPr>
            </w:pPr>
            <w:r w:rsidRPr="00730DE4">
              <w:rPr>
                <w:color w:val="080C0F" w:themeColor="text1"/>
              </w:rPr>
              <w:t xml:space="preserve">964 </w:t>
            </w:r>
          </w:p>
        </w:tc>
        <w:tc>
          <w:tcPr>
            <w:tcW w:w="70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01AF69B" w14:textId="77777777" w:rsidR="00730DE4" w:rsidRPr="00730DE4" w:rsidRDefault="00730DE4" w:rsidP="00D56AFB">
            <w:pPr>
              <w:pStyle w:val="NoSpacing"/>
              <w:jc w:val="right"/>
              <w:rPr>
                <w:color w:val="080C0F" w:themeColor="text1"/>
              </w:rPr>
            </w:pPr>
            <w:r w:rsidRPr="00730DE4">
              <w:rPr>
                <w:color w:val="080C0F" w:themeColor="text1"/>
              </w:rPr>
              <w:t xml:space="preserve">- </w:t>
            </w:r>
          </w:p>
        </w:tc>
      </w:tr>
      <w:tr w:rsidR="00730DE4" w:rsidRPr="00730DE4" w14:paraId="0D164E38" w14:textId="77777777" w:rsidTr="00FD6C9A">
        <w:trPr>
          <w:trHeight w:val="240"/>
        </w:trPr>
        <w:tc>
          <w:tcPr>
            <w:tcW w:w="360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4D891C84" w14:textId="77777777" w:rsidR="00730DE4" w:rsidRPr="00730DE4" w:rsidRDefault="00730DE4" w:rsidP="00D56AFB">
            <w:pPr>
              <w:pStyle w:val="NoSpacing"/>
              <w:rPr>
                <w:color w:val="080C0F" w:themeColor="text1"/>
              </w:rPr>
            </w:pPr>
            <w:r w:rsidRPr="00730DE4">
              <w:rPr>
                <w:color w:val="080C0F" w:themeColor="text1"/>
              </w:rPr>
              <w:t>Reduction in provision as a result of payments</w:t>
            </w:r>
          </w:p>
        </w:tc>
        <w:tc>
          <w:tcPr>
            <w:tcW w:w="70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017D091" w14:textId="77777777" w:rsidR="00730DE4" w:rsidRPr="00730DE4" w:rsidRDefault="00730DE4" w:rsidP="00D56AFB">
            <w:pPr>
              <w:pStyle w:val="NoSpacing"/>
              <w:jc w:val="right"/>
              <w:rPr>
                <w:color w:val="080C0F" w:themeColor="text1"/>
              </w:rPr>
            </w:pPr>
            <w:r w:rsidRPr="00730DE4">
              <w:rPr>
                <w:color w:val="080C0F" w:themeColor="text1"/>
              </w:rPr>
              <w:t>(964)</w:t>
            </w:r>
          </w:p>
        </w:tc>
        <w:tc>
          <w:tcPr>
            <w:tcW w:w="70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4CA911A2" w14:textId="77777777" w:rsidR="00730DE4" w:rsidRPr="00730DE4" w:rsidRDefault="00730DE4" w:rsidP="00D56AFB">
            <w:pPr>
              <w:pStyle w:val="NoSpacing"/>
              <w:jc w:val="right"/>
              <w:rPr>
                <w:color w:val="080C0F" w:themeColor="text1"/>
              </w:rPr>
            </w:pPr>
            <w:r w:rsidRPr="00730DE4">
              <w:rPr>
                <w:color w:val="080C0F" w:themeColor="text1"/>
              </w:rPr>
              <w:t xml:space="preserve">- </w:t>
            </w:r>
          </w:p>
        </w:tc>
      </w:tr>
      <w:tr w:rsidR="00730DE4" w:rsidRPr="00730DE4" w14:paraId="1DD1D6CA" w14:textId="77777777" w:rsidTr="00FD6C9A">
        <w:trPr>
          <w:trHeight w:val="240"/>
        </w:trPr>
        <w:tc>
          <w:tcPr>
            <w:tcW w:w="3600"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2BC37012" w14:textId="77777777" w:rsidR="00730DE4" w:rsidRPr="00730DE4" w:rsidRDefault="00730DE4" w:rsidP="00D56AFB">
            <w:pPr>
              <w:pStyle w:val="NoSpacing"/>
              <w:rPr>
                <w:color w:val="080C0F" w:themeColor="text1"/>
              </w:rPr>
            </w:pPr>
            <w:r w:rsidRPr="00730DE4">
              <w:rPr>
                <w:color w:val="080C0F" w:themeColor="text1"/>
              </w:rPr>
              <w:t>Transfers from machinery-of-government change</w:t>
            </w:r>
          </w:p>
        </w:tc>
        <w:tc>
          <w:tcPr>
            <w:tcW w:w="700"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03AF1F16" w14:textId="77777777" w:rsidR="00730DE4" w:rsidRPr="00730DE4" w:rsidRDefault="00730DE4" w:rsidP="00D56AFB">
            <w:pPr>
              <w:pStyle w:val="NoSpacing"/>
              <w:jc w:val="right"/>
              <w:rPr>
                <w:color w:val="080C0F" w:themeColor="text1"/>
              </w:rPr>
            </w:pPr>
            <w:r w:rsidRPr="00730DE4">
              <w:rPr>
                <w:color w:val="080C0F" w:themeColor="text1"/>
              </w:rPr>
              <w:t xml:space="preserve">- </w:t>
            </w:r>
          </w:p>
        </w:tc>
        <w:tc>
          <w:tcPr>
            <w:tcW w:w="700"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70483979" w14:textId="77777777" w:rsidR="00730DE4" w:rsidRPr="00730DE4" w:rsidRDefault="00730DE4" w:rsidP="00D56AFB">
            <w:pPr>
              <w:pStyle w:val="NoSpacing"/>
              <w:jc w:val="right"/>
              <w:rPr>
                <w:color w:val="080C0F" w:themeColor="text1"/>
              </w:rPr>
            </w:pPr>
            <w:r w:rsidRPr="00730DE4">
              <w:rPr>
                <w:color w:val="080C0F" w:themeColor="text1"/>
              </w:rPr>
              <w:t xml:space="preserve">964 </w:t>
            </w:r>
          </w:p>
        </w:tc>
      </w:tr>
      <w:tr w:rsidR="00730DE4" w:rsidRPr="00730DE4" w14:paraId="1D4AE1BC" w14:textId="77777777" w:rsidTr="00FD6C9A">
        <w:tc>
          <w:tcPr>
            <w:tcW w:w="3600"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1629B25E" w14:textId="77777777" w:rsidR="00730DE4" w:rsidRPr="00730DE4" w:rsidRDefault="00730DE4" w:rsidP="001B0E0D">
            <w:pPr>
              <w:pStyle w:val="NoSpacing"/>
              <w:rPr>
                <w:rStyle w:val="Strong"/>
              </w:rPr>
            </w:pPr>
            <w:r w:rsidRPr="00730DE4">
              <w:rPr>
                <w:rStyle w:val="Strong"/>
              </w:rPr>
              <w:t>Closing balance</w:t>
            </w:r>
          </w:p>
        </w:tc>
        <w:tc>
          <w:tcPr>
            <w:tcW w:w="700"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58AC6F5A" w14:textId="77777777" w:rsidR="00730DE4" w:rsidRPr="00730DE4" w:rsidRDefault="00730DE4" w:rsidP="001B0E0D">
            <w:pPr>
              <w:pStyle w:val="NoSpacing"/>
              <w:jc w:val="right"/>
              <w:rPr>
                <w:rStyle w:val="Strong"/>
              </w:rPr>
            </w:pPr>
            <w:r w:rsidRPr="00730DE4">
              <w:rPr>
                <w:rStyle w:val="Strong"/>
              </w:rPr>
              <w:t xml:space="preserve">- </w:t>
            </w:r>
          </w:p>
        </w:tc>
        <w:tc>
          <w:tcPr>
            <w:tcW w:w="700" w:type="pct"/>
            <w:tcBorders>
              <w:top w:val="single" w:sz="4" w:space="0" w:color="auto"/>
              <w:left w:val="dotted" w:sz="4" w:space="0" w:color="BFBFBF" w:themeColor="background1" w:themeShade="BF"/>
              <w:bottom w:val="double" w:sz="4" w:space="0" w:color="auto"/>
              <w:right w:val="nil"/>
            </w:tcBorders>
            <w:shd w:val="clear" w:color="auto" w:fill="auto"/>
            <w:noWrap/>
            <w:hideMark/>
          </w:tcPr>
          <w:p w14:paraId="6A38BA2B" w14:textId="77777777" w:rsidR="00730DE4" w:rsidRPr="00730DE4" w:rsidRDefault="00730DE4" w:rsidP="001B0E0D">
            <w:pPr>
              <w:pStyle w:val="NoSpacing"/>
              <w:jc w:val="right"/>
              <w:rPr>
                <w:rStyle w:val="Strong"/>
              </w:rPr>
            </w:pPr>
            <w:r w:rsidRPr="00730DE4">
              <w:rPr>
                <w:rStyle w:val="Strong"/>
              </w:rPr>
              <w:t xml:space="preserve">964 </w:t>
            </w:r>
          </w:p>
        </w:tc>
      </w:tr>
    </w:tbl>
    <w:p w14:paraId="5CC2A22B" w14:textId="77777777" w:rsidR="00730DE4" w:rsidRPr="00730DE4" w:rsidRDefault="00730DE4" w:rsidP="00632BEE">
      <w:pPr>
        <w:pStyle w:val="Heading5"/>
      </w:pPr>
      <w:bookmarkStart w:id="1566" w:name="_Toc180487745"/>
      <w:bookmarkStart w:id="1567" w:name="_Toc180490950"/>
      <w:bookmarkStart w:id="1568" w:name="_Toc180491983"/>
      <w:r w:rsidRPr="00730DE4">
        <w:t>Provision for property resumptions</w:t>
      </w:r>
      <w:bookmarkEnd w:id="1566"/>
      <w:bookmarkEnd w:id="1567"/>
      <w:bookmarkEnd w:id="1568"/>
    </w:p>
    <w:p w14:paraId="31D4204B" w14:textId="77777777" w:rsidR="00730DE4" w:rsidRPr="00730DE4" w:rsidRDefault="00730DE4" w:rsidP="00BF3C78">
      <w:pPr>
        <w:rPr>
          <w:color w:val="080C0F" w:themeColor="text1"/>
        </w:rPr>
      </w:pPr>
      <w:r w:rsidRPr="00730DE4">
        <w:rPr>
          <w:color w:val="080C0F" w:themeColor="text1"/>
        </w:rPr>
        <w:t xml:space="preserve">The department acquires property through compulsory acquisition in accordance with the </w:t>
      </w:r>
      <w:r w:rsidRPr="00730DE4">
        <w:rPr>
          <w:i/>
          <w:iCs/>
          <w:color w:val="080C0F" w:themeColor="text1"/>
        </w:rPr>
        <w:t>Acquisition of Land Act 1967</w:t>
      </w:r>
      <w:r w:rsidRPr="00730DE4">
        <w:rPr>
          <w:color w:val="080C0F" w:themeColor="text1"/>
        </w:rPr>
        <w:t xml:space="preserve">, the </w:t>
      </w:r>
      <w:r w:rsidRPr="00730DE4">
        <w:rPr>
          <w:i/>
          <w:iCs/>
          <w:color w:val="080C0F" w:themeColor="text1"/>
        </w:rPr>
        <w:t>Transport Infrastructure Act 1994</w:t>
      </w:r>
      <w:r w:rsidRPr="00730DE4">
        <w:rPr>
          <w:color w:val="080C0F" w:themeColor="text1"/>
        </w:rPr>
        <w:t xml:space="preserve"> and the </w:t>
      </w:r>
      <w:r w:rsidRPr="00730DE4">
        <w:rPr>
          <w:i/>
          <w:iCs/>
          <w:color w:val="080C0F" w:themeColor="text1"/>
        </w:rPr>
        <w:t>Transport Planning and Coordination Act 1994</w:t>
      </w:r>
      <w:r w:rsidRPr="00730DE4">
        <w:rPr>
          <w:color w:val="080C0F" w:themeColor="text1"/>
        </w:rPr>
        <w:t>. The department recognises a provision to account for compensation it expects to pay for all property resumptions, with the exception of hardship resumptions which are recognised immediately as a payable. The department's advisors determine a value for the acquisition amount which, with timing of the settlement, is dependent on the outcome of negotiation between both parties.</w:t>
      </w:r>
    </w:p>
    <w:p w14:paraId="31E79A77" w14:textId="77777777" w:rsidR="00730DE4" w:rsidRPr="00730DE4" w:rsidRDefault="00730DE4" w:rsidP="00B61C69">
      <w:pPr>
        <w:pStyle w:val="NoSpacing"/>
      </w:pPr>
    </w:p>
    <w:tbl>
      <w:tblPr>
        <w:tblW w:w="5000" w:type="pct"/>
        <w:tblCellMar>
          <w:top w:w="23" w:type="dxa"/>
          <w:left w:w="23" w:type="dxa"/>
          <w:bottom w:w="23" w:type="dxa"/>
          <w:right w:w="23" w:type="dxa"/>
        </w:tblCellMar>
        <w:tblLook w:val="04A0" w:firstRow="1" w:lastRow="0" w:firstColumn="1" w:lastColumn="0" w:noHBand="0" w:noVBand="1"/>
      </w:tblPr>
      <w:tblGrid>
        <w:gridCol w:w="6530"/>
        <w:gridCol w:w="1270"/>
        <w:gridCol w:w="1270"/>
      </w:tblGrid>
      <w:tr w:rsidR="00730DE4" w:rsidRPr="00730DE4" w14:paraId="32E942B4" w14:textId="77777777" w:rsidTr="008A2F83">
        <w:trPr>
          <w:trHeight w:val="345"/>
        </w:trPr>
        <w:tc>
          <w:tcPr>
            <w:tcW w:w="3600" w:type="pct"/>
            <w:tcBorders>
              <w:top w:val="nil"/>
              <w:left w:val="nil"/>
              <w:bottom w:val="single" w:sz="4" w:space="0" w:color="auto"/>
              <w:right w:val="nil"/>
            </w:tcBorders>
            <w:shd w:val="clear" w:color="auto" w:fill="auto"/>
            <w:noWrap/>
            <w:vAlign w:val="bottom"/>
          </w:tcPr>
          <w:p w14:paraId="1D1D8A12" w14:textId="77777777" w:rsidR="00730DE4" w:rsidRPr="00730DE4" w:rsidRDefault="00730DE4" w:rsidP="00103E4F">
            <w:pPr>
              <w:pStyle w:val="NoSpacing"/>
              <w:rPr>
                <w:rStyle w:val="Strong"/>
              </w:rPr>
            </w:pPr>
            <w:r w:rsidRPr="00730DE4">
              <w:rPr>
                <w:rStyle w:val="Strong"/>
              </w:rPr>
              <w:t>Movements in provision for property resumptions</w:t>
            </w:r>
          </w:p>
        </w:tc>
        <w:tc>
          <w:tcPr>
            <w:tcW w:w="700" w:type="pct"/>
            <w:tcBorders>
              <w:top w:val="nil"/>
              <w:left w:val="nil"/>
              <w:bottom w:val="single" w:sz="4" w:space="0" w:color="auto"/>
              <w:right w:val="nil"/>
            </w:tcBorders>
            <w:shd w:val="clear" w:color="auto" w:fill="auto"/>
            <w:noWrap/>
            <w:vAlign w:val="bottom"/>
            <w:hideMark/>
          </w:tcPr>
          <w:p w14:paraId="114688EB" w14:textId="77777777" w:rsidR="00730DE4" w:rsidRPr="00730DE4" w:rsidRDefault="00730DE4" w:rsidP="00103E4F">
            <w:pPr>
              <w:pStyle w:val="NoSpacing"/>
              <w:jc w:val="right"/>
              <w:rPr>
                <w:rStyle w:val="Strong"/>
              </w:rPr>
            </w:pPr>
            <w:r w:rsidRPr="00730DE4">
              <w:rPr>
                <w:rStyle w:val="Strong"/>
              </w:rPr>
              <w:t xml:space="preserve">2024 </w:t>
            </w:r>
            <w:r w:rsidRPr="00730DE4">
              <w:rPr>
                <w:rStyle w:val="Strong"/>
              </w:rPr>
              <w:br/>
              <w:t>$'000</w:t>
            </w:r>
          </w:p>
        </w:tc>
        <w:tc>
          <w:tcPr>
            <w:tcW w:w="700" w:type="pct"/>
            <w:tcBorders>
              <w:top w:val="nil"/>
              <w:left w:val="nil"/>
              <w:bottom w:val="single" w:sz="4" w:space="0" w:color="auto"/>
              <w:right w:val="nil"/>
            </w:tcBorders>
            <w:shd w:val="clear" w:color="auto" w:fill="auto"/>
            <w:noWrap/>
            <w:vAlign w:val="bottom"/>
            <w:hideMark/>
          </w:tcPr>
          <w:p w14:paraId="59FF5192" w14:textId="77777777" w:rsidR="00730DE4" w:rsidRPr="00730DE4" w:rsidRDefault="00730DE4" w:rsidP="00103E4F">
            <w:pPr>
              <w:pStyle w:val="NoSpacing"/>
              <w:jc w:val="right"/>
              <w:rPr>
                <w:color w:val="080C0F" w:themeColor="text1"/>
              </w:rPr>
            </w:pPr>
            <w:r w:rsidRPr="00730DE4">
              <w:rPr>
                <w:rStyle w:val="Strong"/>
              </w:rPr>
              <w:t xml:space="preserve">2023 </w:t>
            </w:r>
            <w:r w:rsidRPr="00730DE4">
              <w:rPr>
                <w:rStyle w:val="Strong"/>
              </w:rPr>
              <w:br/>
              <w:t>$'000</w:t>
            </w:r>
          </w:p>
        </w:tc>
      </w:tr>
      <w:tr w:rsidR="00730DE4" w:rsidRPr="00730DE4" w14:paraId="4946927D" w14:textId="77777777" w:rsidTr="00FD6C9A">
        <w:trPr>
          <w:trHeight w:val="454"/>
        </w:trPr>
        <w:tc>
          <w:tcPr>
            <w:tcW w:w="3600"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39B0C61D" w14:textId="77777777" w:rsidR="00730DE4" w:rsidRPr="00730DE4" w:rsidRDefault="00730DE4" w:rsidP="00103E4F">
            <w:pPr>
              <w:pStyle w:val="NoSpacing"/>
              <w:rPr>
                <w:color w:val="080C0F" w:themeColor="text1"/>
              </w:rPr>
            </w:pPr>
            <w:r w:rsidRPr="00730DE4">
              <w:rPr>
                <w:rStyle w:val="Strong"/>
              </w:rPr>
              <w:t>Current</w:t>
            </w:r>
          </w:p>
        </w:tc>
        <w:tc>
          <w:tcPr>
            <w:tcW w:w="700"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DAD0E64" w14:textId="77777777" w:rsidR="00730DE4" w:rsidRPr="00730DE4" w:rsidRDefault="00730DE4" w:rsidP="00103E4F">
            <w:pPr>
              <w:pStyle w:val="NoSpacing"/>
              <w:jc w:val="right"/>
              <w:rPr>
                <w:rStyle w:val="Strong"/>
              </w:rPr>
            </w:pPr>
          </w:p>
        </w:tc>
        <w:tc>
          <w:tcPr>
            <w:tcW w:w="700"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30DF397" w14:textId="77777777" w:rsidR="00730DE4" w:rsidRPr="00730DE4" w:rsidRDefault="00730DE4" w:rsidP="00103E4F">
            <w:pPr>
              <w:pStyle w:val="NoSpacing"/>
              <w:jc w:val="right"/>
              <w:rPr>
                <w:color w:val="080C0F" w:themeColor="text1"/>
              </w:rPr>
            </w:pPr>
          </w:p>
        </w:tc>
      </w:tr>
      <w:tr w:rsidR="00730DE4" w:rsidRPr="00730DE4" w14:paraId="18E608FD" w14:textId="77777777" w:rsidTr="008A2F83">
        <w:trPr>
          <w:trHeight w:val="240"/>
        </w:trPr>
        <w:tc>
          <w:tcPr>
            <w:tcW w:w="360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336EACD1" w14:textId="77777777" w:rsidR="00730DE4" w:rsidRPr="00730DE4" w:rsidRDefault="00730DE4" w:rsidP="00103E4F">
            <w:pPr>
              <w:pStyle w:val="NoSpacing"/>
              <w:rPr>
                <w:color w:val="080C0F" w:themeColor="text1"/>
              </w:rPr>
            </w:pPr>
            <w:r w:rsidRPr="00730DE4">
              <w:rPr>
                <w:color w:val="080C0F" w:themeColor="text1"/>
              </w:rPr>
              <w:t>Opening balance</w:t>
            </w:r>
          </w:p>
        </w:tc>
        <w:tc>
          <w:tcPr>
            <w:tcW w:w="70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7E88B85" w14:textId="77777777" w:rsidR="00730DE4" w:rsidRPr="00730DE4" w:rsidRDefault="00730DE4" w:rsidP="00103E4F">
            <w:pPr>
              <w:pStyle w:val="NoSpacing"/>
              <w:jc w:val="right"/>
              <w:rPr>
                <w:color w:val="080C0F" w:themeColor="text1"/>
              </w:rPr>
            </w:pPr>
            <w:r w:rsidRPr="00730DE4">
              <w:rPr>
                <w:color w:val="080C0F" w:themeColor="text1"/>
              </w:rPr>
              <w:t xml:space="preserve">264,877 </w:t>
            </w:r>
          </w:p>
        </w:tc>
        <w:tc>
          <w:tcPr>
            <w:tcW w:w="70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F3D2CA1" w14:textId="77777777" w:rsidR="00730DE4" w:rsidRPr="00730DE4" w:rsidRDefault="00730DE4" w:rsidP="00103E4F">
            <w:pPr>
              <w:pStyle w:val="NoSpacing"/>
              <w:jc w:val="right"/>
              <w:rPr>
                <w:color w:val="080C0F" w:themeColor="text1"/>
              </w:rPr>
            </w:pPr>
            <w:r w:rsidRPr="00730DE4">
              <w:rPr>
                <w:color w:val="080C0F" w:themeColor="text1"/>
              </w:rPr>
              <w:t xml:space="preserve">182,203 </w:t>
            </w:r>
          </w:p>
        </w:tc>
      </w:tr>
      <w:tr w:rsidR="00730DE4" w:rsidRPr="00730DE4" w14:paraId="411FB028" w14:textId="77777777" w:rsidTr="008A2F83">
        <w:trPr>
          <w:trHeight w:val="240"/>
        </w:trPr>
        <w:tc>
          <w:tcPr>
            <w:tcW w:w="360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4BF385FC" w14:textId="77777777" w:rsidR="00730DE4" w:rsidRPr="00730DE4" w:rsidRDefault="00730DE4" w:rsidP="00103E4F">
            <w:pPr>
              <w:pStyle w:val="NoSpacing"/>
              <w:rPr>
                <w:color w:val="080C0F" w:themeColor="text1"/>
              </w:rPr>
            </w:pPr>
            <w:r w:rsidRPr="00730DE4">
              <w:rPr>
                <w:color w:val="080C0F" w:themeColor="text1"/>
              </w:rPr>
              <w:t>Restatement of provision</w:t>
            </w:r>
          </w:p>
        </w:tc>
        <w:tc>
          <w:tcPr>
            <w:tcW w:w="70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867F79A" w14:textId="77777777" w:rsidR="00730DE4" w:rsidRPr="00730DE4" w:rsidRDefault="00730DE4" w:rsidP="00103E4F">
            <w:pPr>
              <w:pStyle w:val="NoSpacing"/>
              <w:jc w:val="right"/>
              <w:rPr>
                <w:color w:val="080C0F" w:themeColor="text1"/>
              </w:rPr>
            </w:pPr>
            <w:r w:rsidRPr="00730DE4">
              <w:rPr>
                <w:color w:val="080C0F" w:themeColor="text1"/>
              </w:rPr>
              <w:t xml:space="preserve">10,512 </w:t>
            </w:r>
          </w:p>
        </w:tc>
        <w:tc>
          <w:tcPr>
            <w:tcW w:w="70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792ADBB" w14:textId="77777777" w:rsidR="00730DE4" w:rsidRPr="00730DE4" w:rsidRDefault="00730DE4" w:rsidP="00103E4F">
            <w:pPr>
              <w:pStyle w:val="NoSpacing"/>
              <w:jc w:val="right"/>
              <w:rPr>
                <w:color w:val="080C0F" w:themeColor="text1"/>
              </w:rPr>
            </w:pPr>
            <w:r w:rsidRPr="00730DE4">
              <w:rPr>
                <w:color w:val="080C0F" w:themeColor="text1"/>
              </w:rPr>
              <w:t xml:space="preserve">31,116 </w:t>
            </w:r>
          </w:p>
        </w:tc>
      </w:tr>
      <w:tr w:rsidR="00730DE4" w:rsidRPr="00730DE4" w14:paraId="2016D2A8" w14:textId="77777777" w:rsidTr="008A2F83">
        <w:trPr>
          <w:trHeight w:val="240"/>
        </w:trPr>
        <w:tc>
          <w:tcPr>
            <w:tcW w:w="360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7B5C479" w14:textId="77777777" w:rsidR="00730DE4" w:rsidRPr="00730DE4" w:rsidRDefault="00730DE4" w:rsidP="00103E4F">
            <w:pPr>
              <w:pStyle w:val="NoSpacing"/>
              <w:rPr>
                <w:color w:val="080C0F" w:themeColor="text1"/>
              </w:rPr>
            </w:pPr>
            <w:r w:rsidRPr="00730DE4">
              <w:rPr>
                <w:color w:val="080C0F" w:themeColor="text1"/>
              </w:rPr>
              <w:t>Additional provision recognised</w:t>
            </w:r>
          </w:p>
        </w:tc>
        <w:tc>
          <w:tcPr>
            <w:tcW w:w="70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33F3CE9" w14:textId="77777777" w:rsidR="00730DE4" w:rsidRPr="00730DE4" w:rsidRDefault="00730DE4" w:rsidP="00103E4F">
            <w:pPr>
              <w:pStyle w:val="NoSpacing"/>
              <w:jc w:val="right"/>
              <w:rPr>
                <w:color w:val="080C0F" w:themeColor="text1"/>
              </w:rPr>
            </w:pPr>
            <w:r w:rsidRPr="00730DE4">
              <w:rPr>
                <w:color w:val="080C0F" w:themeColor="text1"/>
              </w:rPr>
              <w:t xml:space="preserve">28,582 </w:t>
            </w:r>
          </w:p>
        </w:tc>
        <w:tc>
          <w:tcPr>
            <w:tcW w:w="70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C10804C" w14:textId="77777777" w:rsidR="00730DE4" w:rsidRPr="00730DE4" w:rsidRDefault="00730DE4" w:rsidP="00103E4F">
            <w:pPr>
              <w:pStyle w:val="NoSpacing"/>
              <w:jc w:val="right"/>
              <w:rPr>
                <w:color w:val="080C0F" w:themeColor="text1"/>
              </w:rPr>
            </w:pPr>
            <w:r w:rsidRPr="00730DE4">
              <w:rPr>
                <w:color w:val="080C0F" w:themeColor="text1"/>
              </w:rPr>
              <w:t xml:space="preserve">136,814 </w:t>
            </w:r>
          </w:p>
        </w:tc>
      </w:tr>
      <w:tr w:rsidR="00730DE4" w:rsidRPr="00730DE4" w14:paraId="0364F46B" w14:textId="77777777" w:rsidTr="00FD6C9A">
        <w:trPr>
          <w:trHeight w:val="240"/>
        </w:trPr>
        <w:tc>
          <w:tcPr>
            <w:tcW w:w="360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69C3200" w14:textId="77777777" w:rsidR="00730DE4" w:rsidRPr="00730DE4" w:rsidRDefault="00730DE4" w:rsidP="00103E4F">
            <w:pPr>
              <w:pStyle w:val="NoSpacing"/>
              <w:rPr>
                <w:color w:val="080C0F" w:themeColor="text1"/>
              </w:rPr>
            </w:pPr>
            <w:r w:rsidRPr="00730DE4">
              <w:rPr>
                <w:color w:val="080C0F" w:themeColor="text1"/>
              </w:rPr>
              <w:t>Reduction in provision as a result of payments</w:t>
            </w:r>
          </w:p>
        </w:tc>
        <w:tc>
          <w:tcPr>
            <w:tcW w:w="70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13701F7" w14:textId="77777777" w:rsidR="00730DE4" w:rsidRPr="00730DE4" w:rsidRDefault="00730DE4" w:rsidP="00103E4F">
            <w:pPr>
              <w:pStyle w:val="NoSpacing"/>
              <w:jc w:val="right"/>
              <w:rPr>
                <w:color w:val="080C0F" w:themeColor="text1"/>
              </w:rPr>
            </w:pPr>
            <w:r w:rsidRPr="00730DE4">
              <w:rPr>
                <w:color w:val="080C0F" w:themeColor="text1"/>
              </w:rPr>
              <w:t>(55,391)</w:t>
            </w:r>
          </w:p>
        </w:tc>
        <w:tc>
          <w:tcPr>
            <w:tcW w:w="70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46534403" w14:textId="77777777" w:rsidR="00730DE4" w:rsidRPr="00730DE4" w:rsidRDefault="00730DE4" w:rsidP="00103E4F">
            <w:pPr>
              <w:pStyle w:val="NoSpacing"/>
              <w:jc w:val="right"/>
              <w:rPr>
                <w:color w:val="080C0F" w:themeColor="text1"/>
              </w:rPr>
            </w:pPr>
            <w:r w:rsidRPr="00730DE4">
              <w:rPr>
                <w:color w:val="080C0F" w:themeColor="text1"/>
              </w:rPr>
              <w:t>(49,430)</w:t>
            </w:r>
          </w:p>
        </w:tc>
      </w:tr>
      <w:tr w:rsidR="00730DE4" w:rsidRPr="00730DE4" w14:paraId="1AFD5475" w14:textId="77777777" w:rsidTr="00FD6C9A">
        <w:trPr>
          <w:trHeight w:val="240"/>
        </w:trPr>
        <w:tc>
          <w:tcPr>
            <w:tcW w:w="3600"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530171BB" w14:textId="77777777" w:rsidR="00730DE4" w:rsidRPr="00730DE4" w:rsidRDefault="00730DE4" w:rsidP="00103E4F">
            <w:pPr>
              <w:pStyle w:val="NoSpacing"/>
              <w:rPr>
                <w:color w:val="080C0F" w:themeColor="text1"/>
              </w:rPr>
            </w:pPr>
            <w:r w:rsidRPr="00730DE4">
              <w:rPr>
                <w:color w:val="080C0F" w:themeColor="text1"/>
              </w:rPr>
              <w:t>Reclassification to non-current provision</w:t>
            </w:r>
          </w:p>
        </w:tc>
        <w:tc>
          <w:tcPr>
            <w:tcW w:w="700"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7974E9FF" w14:textId="77777777" w:rsidR="00730DE4" w:rsidRPr="00730DE4" w:rsidRDefault="00730DE4" w:rsidP="00103E4F">
            <w:pPr>
              <w:pStyle w:val="NoSpacing"/>
              <w:jc w:val="right"/>
              <w:rPr>
                <w:color w:val="080C0F" w:themeColor="text1"/>
              </w:rPr>
            </w:pPr>
            <w:r w:rsidRPr="00730DE4">
              <w:rPr>
                <w:color w:val="080C0F" w:themeColor="text1"/>
              </w:rPr>
              <w:t>(14,243)</w:t>
            </w:r>
          </w:p>
        </w:tc>
        <w:tc>
          <w:tcPr>
            <w:tcW w:w="700"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1541DE64" w14:textId="77777777" w:rsidR="00730DE4" w:rsidRPr="00730DE4" w:rsidRDefault="00730DE4" w:rsidP="00103E4F">
            <w:pPr>
              <w:pStyle w:val="NoSpacing"/>
              <w:jc w:val="right"/>
              <w:rPr>
                <w:color w:val="080C0F" w:themeColor="text1"/>
              </w:rPr>
            </w:pPr>
            <w:r w:rsidRPr="00730DE4">
              <w:rPr>
                <w:color w:val="080C0F" w:themeColor="text1"/>
              </w:rPr>
              <w:t>(35,826)</w:t>
            </w:r>
          </w:p>
        </w:tc>
      </w:tr>
      <w:tr w:rsidR="00730DE4" w:rsidRPr="00730DE4" w14:paraId="101E193D" w14:textId="77777777" w:rsidTr="0003619F">
        <w:tc>
          <w:tcPr>
            <w:tcW w:w="3600"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039DD3D7" w14:textId="77777777" w:rsidR="00730DE4" w:rsidRPr="00730DE4" w:rsidRDefault="00730DE4" w:rsidP="001B0E0D">
            <w:pPr>
              <w:pStyle w:val="NoSpacing"/>
              <w:rPr>
                <w:rStyle w:val="Strong"/>
              </w:rPr>
            </w:pPr>
            <w:r w:rsidRPr="00730DE4">
              <w:rPr>
                <w:rStyle w:val="Strong"/>
              </w:rPr>
              <w:t>Closing balance</w:t>
            </w:r>
          </w:p>
        </w:tc>
        <w:tc>
          <w:tcPr>
            <w:tcW w:w="700"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vAlign w:val="bottom"/>
            <w:hideMark/>
          </w:tcPr>
          <w:p w14:paraId="58D48F95" w14:textId="77777777" w:rsidR="00730DE4" w:rsidRPr="00730DE4" w:rsidRDefault="00730DE4" w:rsidP="0003619F">
            <w:pPr>
              <w:pStyle w:val="NoSpacing"/>
              <w:jc w:val="right"/>
              <w:rPr>
                <w:rStyle w:val="Strong"/>
              </w:rPr>
            </w:pPr>
            <w:r w:rsidRPr="00730DE4">
              <w:rPr>
                <w:rStyle w:val="Strong"/>
              </w:rPr>
              <w:t>234,337</w:t>
            </w:r>
          </w:p>
        </w:tc>
        <w:tc>
          <w:tcPr>
            <w:tcW w:w="700" w:type="pct"/>
            <w:tcBorders>
              <w:top w:val="single" w:sz="4" w:space="0" w:color="auto"/>
              <w:left w:val="dotted" w:sz="4" w:space="0" w:color="BFBFBF" w:themeColor="background1" w:themeShade="BF"/>
              <w:bottom w:val="double" w:sz="4" w:space="0" w:color="auto"/>
              <w:right w:val="nil"/>
            </w:tcBorders>
            <w:shd w:val="clear" w:color="auto" w:fill="auto"/>
            <w:noWrap/>
            <w:vAlign w:val="bottom"/>
            <w:hideMark/>
          </w:tcPr>
          <w:p w14:paraId="6D9534F9" w14:textId="77777777" w:rsidR="00730DE4" w:rsidRPr="00730DE4" w:rsidRDefault="00730DE4" w:rsidP="0003619F">
            <w:pPr>
              <w:pStyle w:val="NoSpacing"/>
              <w:jc w:val="right"/>
              <w:rPr>
                <w:rStyle w:val="Strong"/>
              </w:rPr>
            </w:pPr>
            <w:r w:rsidRPr="00730DE4">
              <w:rPr>
                <w:rStyle w:val="Strong"/>
              </w:rPr>
              <w:t>264,877</w:t>
            </w:r>
          </w:p>
        </w:tc>
      </w:tr>
      <w:tr w:rsidR="00730DE4" w:rsidRPr="00730DE4" w14:paraId="3B25B2D2" w14:textId="77777777" w:rsidTr="00FD6C9A">
        <w:trPr>
          <w:trHeight w:val="454"/>
        </w:trPr>
        <w:tc>
          <w:tcPr>
            <w:tcW w:w="3600" w:type="pct"/>
            <w:tcBorders>
              <w:top w:val="doub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6DBAF879" w14:textId="77777777" w:rsidR="00730DE4" w:rsidRPr="00730DE4" w:rsidRDefault="00730DE4" w:rsidP="00103E4F">
            <w:pPr>
              <w:pStyle w:val="NoSpacing"/>
              <w:rPr>
                <w:color w:val="080C0F" w:themeColor="text1"/>
              </w:rPr>
            </w:pPr>
            <w:r w:rsidRPr="00730DE4">
              <w:rPr>
                <w:rStyle w:val="Strong"/>
              </w:rPr>
              <w:t>Non-current</w:t>
            </w:r>
          </w:p>
        </w:tc>
        <w:tc>
          <w:tcPr>
            <w:tcW w:w="700"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8DB2674" w14:textId="77777777" w:rsidR="00730DE4" w:rsidRPr="00730DE4" w:rsidRDefault="00730DE4" w:rsidP="00103E4F">
            <w:pPr>
              <w:pStyle w:val="NoSpacing"/>
              <w:jc w:val="right"/>
              <w:rPr>
                <w:rStyle w:val="Strong"/>
              </w:rPr>
            </w:pPr>
          </w:p>
        </w:tc>
        <w:tc>
          <w:tcPr>
            <w:tcW w:w="700" w:type="pct"/>
            <w:tcBorders>
              <w:top w:val="double" w:sz="4" w:space="0" w:color="auto"/>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4A5F0A94" w14:textId="77777777" w:rsidR="00730DE4" w:rsidRPr="00730DE4" w:rsidRDefault="00730DE4" w:rsidP="00103E4F">
            <w:pPr>
              <w:pStyle w:val="NoSpacing"/>
              <w:jc w:val="right"/>
              <w:rPr>
                <w:color w:val="080C0F" w:themeColor="text1"/>
              </w:rPr>
            </w:pPr>
          </w:p>
        </w:tc>
      </w:tr>
      <w:tr w:rsidR="00730DE4" w:rsidRPr="00730DE4" w14:paraId="49789DA1" w14:textId="77777777" w:rsidTr="008A2F83">
        <w:trPr>
          <w:trHeight w:val="240"/>
        </w:trPr>
        <w:tc>
          <w:tcPr>
            <w:tcW w:w="360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304A0113" w14:textId="77777777" w:rsidR="00730DE4" w:rsidRPr="00730DE4" w:rsidRDefault="00730DE4" w:rsidP="00103E4F">
            <w:pPr>
              <w:pStyle w:val="NoSpacing"/>
              <w:rPr>
                <w:color w:val="080C0F" w:themeColor="text1"/>
              </w:rPr>
            </w:pPr>
            <w:r w:rsidRPr="00730DE4">
              <w:rPr>
                <w:color w:val="080C0F" w:themeColor="text1"/>
              </w:rPr>
              <w:t>Opening balance</w:t>
            </w:r>
          </w:p>
        </w:tc>
        <w:tc>
          <w:tcPr>
            <w:tcW w:w="70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2180720" w14:textId="77777777" w:rsidR="00730DE4" w:rsidRPr="00730DE4" w:rsidRDefault="00730DE4" w:rsidP="00103E4F">
            <w:pPr>
              <w:pStyle w:val="NoSpacing"/>
              <w:jc w:val="right"/>
              <w:rPr>
                <w:color w:val="080C0F" w:themeColor="text1"/>
              </w:rPr>
            </w:pPr>
            <w:r w:rsidRPr="00730DE4">
              <w:rPr>
                <w:color w:val="080C0F" w:themeColor="text1"/>
              </w:rPr>
              <w:t xml:space="preserve">190,548 </w:t>
            </w:r>
          </w:p>
        </w:tc>
        <w:tc>
          <w:tcPr>
            <w:tcW w:w="70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ED62C92" w14:textId="77777777" w:rsidR="00730DE4" w:rsidRPr="00730DE4" w:rsidRDefault="00730DE4" w:rsidP="00103E4F">
            <w:pPr>
              <w:pStyle w:val="NoSpacing"/>
              <w:jc w:val="right"/>
              <w:rPr>
                <w:color w:val="080C0F" w:themeColor="text1"/>
              </w:rPr>
            </w:pPr>
            <w:r w:rsidRPr="00730DE4">
              <w:rPr>
                <w:color w:val="080C0F" w:themeColor="text1"/>
              </w:rPr>
              <w:t xml:space="preserve">122,271 </w:t>
            </w:r>
          </w:p>
        </w:tc>
      </w:tr>
      <w:tr w:rsidR="00730DE4" w:rsidRPr="00730DE4" w14:paraId="585AA009" w14:textId="77777777" w:rsidTr="008A2F83">
        <w:trPr>
          <w:trHeight w:val="240"/>
        </w:trPr>
        <w:tc>
          <w:tcPr>
            <w:tcW w:w="360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3343F2FE" w14:textId="77777777" w:rsidR="00730DE4" w:rsidRPr="00730DE4" w:rsidRDefault="00730DE4" w:rsidP="00103E4F">
            <w:pPr>
              <w:pStyle w:val="NoSpacing"/>
              <w:rPr>
                <w:color w:val="080C0F" w:themeColor="text1"/>
              </w:rPr>
            </w:pPr>
            <w:r w:rsidRPr="00730DE4">
              <w:rPr>
                <w:color w:val="080C0F" w:themeColor="text1"/>
              </w:rPr>
              <w:t>Restatement of provision</w:t>
            </w:r>
          </w:p>
        </w:tc>
        <w:tc>
          <w:tcPr>
            <w:tcW w:w="70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0CDDB61" w14:textId="77777777" w:rsidR="00730DE4" w:rsidRPr="00730DE4" w:rsidRDefault="00730DE4" w:rsidP="00103E4F">
            <w:pPr>
              <w:pStyle w:val="NoSpacing"/>
              <w:jc w:val="right"/>
              <w:rPr>
                <w:color w:val="080C0F" w:themeColor="text1"/>
              </w:rPr>
            </w:pPr>
            <w:r w:rsidRPr="00730DE4">
              <w:rPr>
                <w:color w:val="080C0F" w:themeColor="text1"/>
              </w:rPr>
              <w:t>(5,551)</w:t>
            </w:r>
          </w:p>
        </w:tc>
        <w:tc>
          <w:tcPr>
            <w:tcW w:w="70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46601AB" w14:textId="77777777" w:rsidR="00730DE4" w:rsidRPr="00730DE4" w:rsidRDefault="00730DE4" w:rsidP="00103E4F">
            <w:pPr>
              <w:pStyle w:val="NoSpacing"/>
              <w:jc w:val="right"/>
              <w:rPr>
                <w:color w:val="080C0F" w:themeColor="text1"/>
              </w:rPr>
            </w:pPr>
            <w:r w:rsidRPr="00730DE4">
              <w:rPr>
                <w:color w:val="080C0F" w:themeColor="text1"/>
              </w:rPr>
              <w:t>(308)</w:t>
            </w:r>
          </w:p>
        </w:tc>
      </w:tr>
      <w:tr w:rsidR="00730DE4" w:rsidRPr="00730DE4" w14:paraId="3E321E0F" w14:textId="77777777" w:rsidTr="008A2F83">
        <w:trPr>
          <w:trHeight w:val="240"/>
        </w:trPr>
        <w:tc>
          <w:tcPr>
            <w:tcW w:w="360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7BA6BD6" w14:textId="77777777" w:rsidR="00730DE4" w:rsidRPr="00730DE4" w:rsidRDefault="00730DE4" w:rsidP="00103E4F">
            <w:pPr>
              <w:pStyle w:val="NoSpacing"/>
              <w:rPr>
                <w:color w:val="080C0F" w:themeColor="text1"/>
              </w:rPr>
            </w:pPr>
            <w:r w:rsidRPr="00730DE4">
              <w:rPr>
                <w:color w:val="080C0F" w:themeColor="text1"/>
              </w:rPr>
              <w:t>Additional provision recognised</w:t>
            </w:r>
          </w:p>
        </w:tc>
        <w:tc>
          <w:tcPr>
            <w:tcW w:w="70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5C7C02B" w14:textId="77777777" w:rsidR="00730DE4" w:rsidRPr="00730DE4" w:rsidRDefault="00730DE4" w:rsidP="00103E4F">
            <w:pPr>
              <w:pStyle w:val="NoSpacing"/>
              <w:jc w:val="right"/>
              <w:rPr>
                <w:color w:val="080C0F" w:themeColor="text1"/>
              </w:rPr>
            </w:pPr>
            <w:r w:rsidRPr="00730DE4">
              <w:rPr>
                <w:color w:val="080C0F" w:themeColor="text1"/>
              </w:rPr>
              <w:t xml:space="preserve">15,718 </w:t>
            </w:r>
          </w:p>
        </w:tc>
        <w:tc>
          <w:tcPr>
            <w:tcW w:w="70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4B23F9C7" w14:textId="77777777" w:rsidR="00730DE4" w:rsidRPr="00730DE4" w:rsidRDefault="00730DE4" w:rsidP="00103E4F">
            <w:pPr>
              <w:pStyle w:val="NoSpacing"/>
              <w:jc w:val="right"/>
              <w:rPr>
                <w:color w:val="080C0F" w:themeColor="text1"/>
              </w:rPr>
            </w:pPr>
            <w:r w:rsidRPr="00730DE4">
              <w:rPr>
                <w:color w:val="080C0F" w:themeColor="text1"/>
              </w:rPr>
              <w:t xml:space="preserve">39,189 </w:t>
            </w:r>
          </w:p>
        </w:tc>
      </w:tr>
      <w:tr w:rsidR="00730DE4" w:rsidRPr="00730DE4" w14:paraId="68138B53" w14:textId="77777777" w:rsidTr="00FD6C9A">
        <w:trPr>
          <w:trHeight w:val="240"/>
        </w:trPr>
        <w:tc>
          <w:tcPr>
            <w:tcW w:w="360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3B80C54" w14:textId="77777777" w:rsidR="00730DE4" w:rsidRPr="00730DE4" w:rsidRDefault="00730DE4" w:rsidP="00103E4F">
            <w:pPr>
              <w:pStyle w:val="NoSpacing"/>
              <w:rPr>
                <w:color w:val="080C0F" w:themeColor="text1"/>
              </w:rPr>
            </w:pPr>
            <w:r w:rsidRPr="00730DE4">
              <w:rPr>
                <w:color w:val="080C0F" w:themeColor="text1"/>
              </w:rPr>
              <w:t>Reduction in provision as a result of payments</w:t>
            </w:r>
          </w:p>
        </w:tc>
        <w:tc>
          <w:tcPr>
            <w:tcW w:w="70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6BDB50D" w14:textId="77777777" w:rsidR="00730DE4" w:rsidRPr="00730DE4" w:rsidRDefault="00730DE4" w:rsidP="00103E4F">
            <w:pPr>
              <w:pStyle w:val="NoSpacing"/>
              <w:jc w:val="right"/>
              <w:rPr>
                <w:color w:val="080C0F" w:themeColor="text1"/>
              </w:rPr>
            </w:pPr>
            <w:r w:rsidRPr="00730DE4">
              <w:rPr>
                <w:color w:val="080C0F" w:themeColor="text1"/>
              </w:rPr>
              <w:t>(12,304)</w:t>
            </w:r>
          </w:p>
        </w:tc>
        <w:tc>
          <w:tcPr>
            <w:tcW w:w="700"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6D798F4" w14:textId="77777777" w:rsidR="00730DE4" w:rsidRPr="00730DE4" w:rsidRDefault="00730DE4" w:rsidP="00103E4F">
            <w:pPr>
              <w:pStyle w:val="NoSpacing"/>
              <w:jc w:val="right"/>
              <w:rPr>
                <w:color w:val="080C0F" w:themeColor="text1"/>
              </w:rPr>
            </w:pPr>
            <w:r w:rsidRPr="00730DE4">
              <w:rPr>
                <w:color w:val="080C0F" w:themeColor="text1"/>
              </w:rPr>
              <w:t>(6,430)</w:t>
            </w:r>
          </w:p>
        </w:tc>
      </w:tr>
      <w:tr w:rsidR="00730DE4" w:rsidRPr="00730DE4" w14:paraId="13777D19" w14:textId="77777777" w:rsidTr="00FD6C9A">
        <w:trPr>
          <w:trHeight w:val="240"/>
        </w:trPr>
        <w:tc>
          <w:tcPr>
            <w:tcW w:w="3600"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50D4E251" w14:textId="77777777" w:rsidR="00730DE4" w:rsidRPr="00730DE4" w:rsidRDefault="00730DE4" w:rsidP="00103E4F">
            <w:pPr>
              <w:pStyle w:val="NoSpacing"/>
              <w:rPr>
                <w:color w:val="080C0F" w:themeColor="text1"/>
              </w:rPr>
            </w:pPr>
            <w:r w:rsidRPr="00730DE4">
              <w:rPr>
                <w:color w:val="080C0F" w:themeColor="text1"/>
              </w:rPr>
              <w:t>Reclassification from current provision</w:t>
            </w:r>
          </w:p>
        </w:tc>
        <w:tc>
          <w:tcPr>
            <w:tcW w:w="700"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11FB1E3C" w14:textId="77777777" w:rsidR="00730DE4" w:rsidRPr="00730DE4" w:rsidRDefault="00730DE4" w:rsidP="00103E4F">
            <w:pPr>
              <w:pStyle w:val="NoSpacing"/>
              <w:jc w:val="right"/>
              <w:rPr>
                <w:color w:val="080C0F" w:themeColor="text1"/>
              </w:rPr>
            </w:pPr>
            <w:r w:rsidRPr="00730DE4">
              <w:rPr>
                <w:color w:val="080C0F" w:themeColor="text1"/>
              </w:rPr>
              <w:t xml:space="preserve">14,243 </w:t>
            </w:r>
          </w:p>
        </w:tc>
        <w:tc>
          <w:tcPr>
            <w:tcW w:w="700"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69C3B158" w14:textId="77777777" w:rsidR="00730DE4" w:rsidRPr="00730DE4" w:rsidRDefault="00730DE4" w:rsidP="00103E4F">
            <w:pPr>
              <w:pStyle w:val="NoSpacing"/>
              <w:jc w:val="right"/>
              <w:rPr>
                <w:color w:val="080C0F" w:themeColor="text1"/>
              </w:rPr>
            </w:pPr>
            <w:r w:rsidRPr="00730DE4">
              <w:rPr>
                <w:color w:val="080C0F" w:themeColor="text1"/>
              </w:rPr>
              <w:t xml:space="preserve">35,826 </w:t>
            </w:r>
          </w:p>
        </w:tc>
      </w:tr>
      <w:tr w:rsidR="00730DE4" w:rsidRPr="00730DE4" w14:paraId="6D1D5C40" w14:textId="77777777" w:rsidTr="00FD6C9A">
        <w:tc>
          <w:tcPr>
            <w:tcW w:w="3600"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6A06F2C9" w14:textId="77777777" w:rsidR="00730DE4" w:rsidRPr="00730DE4" w:rsidRDefault="00730DE4" w:rsidP="001B0E0D">
            <w:pPr>
              <w:pStyle w:val="NoSpacing"/>
              <w:rPr>
                <w:rStyle w:val="Strong"/>
              </w:rPr>
            </w:pPr>
            <w:r w:rsidRPr="00730DE4">
              <w:rPr>
                <w:rStyle w:val="Strong"/>
              </w:rPr>
              <w:t>Closing balance</w:t>
            </w:r>
          </w:p>
        </w:tc>
        <w:tc>
          <w:tcPr>
            <w:tcW w:w="700"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279CE688" w14:textId="77777777" w:rsidR="00730DE4" w:rsidRPr="00730DE4" w:rsidRDefault="00730DE4" w:rsidP="001B0E0D">
            <w:pPr>
              <w:pStyle w:val="NoSpacing"/>
              <w:jc w:val="right"/>
              <w:rPr>
                <w:rStyle w:val="Strong"/>
              </w:rPr>
            </w:pPr>
            <w:r w:rsidRPr="00730DE4">
              <w:rPr>
                <w:rStyle w:val="Strong"/>
              </w:rPr>
              <w:t xml:space="preserve">202,654 </w:t>
            </w:r>
          </w:p>
        </w:tc>
        <w:tc>
          <w:tcPr>
            <w:tcW w:w="700" w:type="pct"/>
            <w:tcBorders>
              <w:top w:val="single" w:sz="4" w:space="0" w:color="auto"/>
              <w:left w:val="dotted" w:sz="4" w:space="0" w:color="BFBFBF" w:themeColor="background1" w:themeShade="BF"/>
              <w:bottom w:val="double" w:sz="4" w:space="0" w:color="auto"/>
              <w:right w:val="nil"/>
            </w:tcBorders>
            <w:shd w:val="clear" w:color="auto" w:fill="auto"/>
            <w:noWrap/>
            <w:hideMark/>
          </w:tcPr>
          <w:p w14:paraId="4944BD42" w14:textId="77777777" w:rsidR="00730DE4" w:rsidRPr="00730DE4" w:rsidRDefault="00730DE4" w:rsidP="001B0E0D">
            <w:pPr>
              <w:pStyle w:val="NoSpacing"/>
              <w:jc w:val="right"/>
              <w:rPr>
                <w:rStyle w:val="Strong"/>
              </w:rPr>
            </w:pPr>
            <w:r w:rsidRPr="00730DE4">
              <w:rPr>
                <w:rStyle w:val="Strong"/>
              </w:rPr>
              <w:t xml:space="preserve">190,548 </w:t>
            </w:r>
          </w:p>
        </w:tc>
      </w:tr>
    </w:tbl>
    <w:p w14:paraId="54710918" w14:textId="77777777" w:rsidR="005B60B8" w:rsidRDefault="005B60B8" w:rsidP="00632BEE">
      <w:pPr>
        <w:pStyle w:val="Heading5"/>
      </w:pPr>
      <w:r>
        <w:br w:type="page"/>
      </w:r>
    </w:p>
    <w:p w14:paraId="1A68E3D6" w14:textId="7DC04702" w:rsidR="00730DE4" w:rsidRPr="00730DE4" w:rsidRDefault="00730DE4" w:rsidP="00632BEE">
      <w:pPr>
        <w:pStyle w:val="Heading5"/>
      </w:pPr>
      <w:bookmarkStart w:id="1569" w:name="_Toc180487746"/>
      <w:bookmarkStart w:id="1570" w:name="_Toc180490951"/>
      <w:bookmarkStart w:id="1571" w:name="_Toc180491984"/>
      <w:r w:rsidRPr="00730DE4">
        <w:t>Provision for New Generation Rollingstock rectification works</w:t>
      </w:r>
      <w:bookmarkEnd w:id="1569"/>
      <w:bookmarkEnd w:id="1570"/>
      <w:bookmarkEnd w:id="1571"/>
      <w:r w:rsidRPr="00730DE4">
        <w:t xml:space="preserve"> </w:t>
      </w:r>
    </w:p>
    <w:p w14:paraId="44F94177" w14:textId="77777777" w:rsidR="00730DE4" w:rsidRPr="00730DE4" w:rsidRDefault="00730DE4" w:rsidP="003C13D4">
      <w:pPr>
        <w:rPr>
          <w:color w:val="080C0F" w:themeColor="text1"/>
        </w:rPr>
      </w:pPr>
      <w:r w:rsidRPr="00730DE4">
        <w:rPr>
          <w:color w:val="080C0F" w:themeColor="text1"/>
        </w:rPr>
        <w:t xml:space="preserve">The department undertook a review of the New Generation Rollingstock (NGR) train sets’ compliance with the disability legislation and functional requirements in June 2017 and it was identified that the train sets required rectification works to be undertaken to ensure compliance with the </w:t>
      </w:r>
      <w:r w:rsidRPr="00730DE4">
        <w:rPr>
          <w:i/>
          <w:iCs/>
          <w:color w:val="080C0F" w:themeColor="text1"/>
        </w:rPr>
        <w:t>Disability Standards for Accessible Public Transport 2002 (Cth)</w:t>
      </w:r>
      <w:r w:rsidRPr="00730DE4">
        <w:rPr>
          <w:color w:val="080C0F" w:themeColor="text1"/>
        </w:rPr>
        <w:t>. In 2018 the Minister for Transport and Main Roads committed to working with the disability sector to modify the trains. Rectification works are scheduled to be completed during the second half of 2024. This gives rise to a constructive obligation as there is an expectation that the department will honour this commitment. The department recognises a provision to account for the remainder of the rectification works it expects to pay for NGR train sets based on the variation deed entered into with the vendor.</w:t>
      </w:r>
    </w:p>
    <w:p w14:paraId="295138F7" w14:textId="77777777" w:rsidR="00730DE4" w:rsidRPr="00730DE4" w:rsidRDefault="00730DE4" w:rsidP="00B61C69">
      <w:pPr>
        <w:pStyle w:val="NoSpacing"/>
      </w:pPr>
    </w:p>
    <w:tbl>
      <w:tblPr>
        <w:tblW w:w="5000" w:type="pct"/>
        <w:tblCellMar>
          <w:top w:w="23" w:type="dxa"/>
          <w:left w:w="23" w:type="dxa"/>
          <w:bottom w:w="23" w:type="dxa"/>
          <w:right w:w="23" w:type="dxa"/>
        </w:tblCellMar>
        <w:tblLook w:val="04A0" w:firstRow="1" w:lastRow="0" w:firstColumn="1" w:lastColumn="0" w:noHBand="0" w:noVBand="1"/>
      </w:tblPr>
      <w:tblGrid>
        <w:gridCol w:w="6528"/>
        <w:gridCol w:w="1270"/>
        <w:gridCol w:w="1272"/>
      </w:tblGrid>
      <w:tr w:rsidR="00730DE4" w:rsidRPr="00730DE4" w14:paraId="3258204D" w14:textId="77777777" w:rsidTr="008A2F83">
        <w:trPr>
          <w:trHeight w:val="240"/>
        </w:trPr>
        <w:tc>
          <w:tcPr>
            <w:tcW w:w="3599" w:type="pct"/>
            <w:tcBorders>
              <w:top w:val="nil"/>
              <w:left w:val="nil"/>
              <w:bottom w:val="single" w:sz="4" w:space="0" w:color="auto"/>
              <w:right w:val="nil"/>
            </w:tcBorders>
            <w:shd w:val="clear" w:color="auto" w:fill="auto"/>
            <w:noWrap/>
            <w:vAlign w:val="bottom"/>
            <w:hideMark/>
          </w:tcPr>
          <w:p w14:paraId="2C032131" w14:textId="77777777" w:rsidR="00730DE4" w:rsidRPr="00730DE4" w:rsidRDefault="00730DE4" w:rsidP="00103E4F">
            <w:pPr>
              <w:pStyle w:val="NoSpacing"/>
              <w:rPr>
                <w:rStyle w:val="Strong"/>
              </w:rPr>
            </w:pPr>
          </w:p>
        </w:tc>
        <w:tc>
          <w:tcPr>
            <w:tcW w:w="700" w:type="pct"/>
            <w:tcBorders>
              <w:top w:val="nil"/>
              <w:left w:val="nil"/>
              <w:bottom w:val="single" w:sz="4" w:space="0" w:color="auto"/>
              <w:right w:val="nil"/>
            </w:tcBorders>
            <w:shd w:val="clear" w:color="auto" w:fill="auto"/>
            <w:noWrap/>
            <w:vAlign w:val="bottom"/>
            <w:hideMark/>
          </w:tcPr>
          <w:p w14:paraId="0F1D16E4" w14:textId="77777777" w:rsidR="00730DE4" w:rsidRPr="00730DE4" w:rsidRDefault="00730DE4" w:rsidP="00103E4F">
            <w:pPr>
              <w:pStyle w:val="NoSpacing"/>
              <w:jc w:val="right"/>
              <w:rPr>
                <w:rStyle w:val="Strong"/>
              </w:rPr>
            </w:pPr>
            <w:r w:rsidRPr="00730DE4">
              <w:rPr>
                <w:rStyle w:val="Strong"/>
              </w:rPr>
              <w:t xml:space="preserve">2024 </w:t>
            </w:r>
            <w:r w:rsidRPr="00730DE4">
              <w:rPr>
                <w:rStyle w:val="Strong"/>
              </w:rPr>
              <w:br/>
              <w:t>$'000</w:t>
            </w:r>
          </w:p>
        </w:tc>
        <w:tc>
          <w:tcPr>
            <w:tcW w:w="701" w:type="pct"/>
            <w:tcBorders>
              <w:top w:val="nil"/>
              <w:left w:val="nil"/>
              <w:bottom w:val="single" w:sz="4" w:space="0" w:color="auto"/>
              <w:right w:val="nil"/>
            </w:tcBorders>
            <w:shd w:val="clear" w:color="auto" w:fill="auto"/>
            <w:noWrap/>
            <w:vAlign w:val="bottom"/>
            <w:hideMark/>
          </w:tcPr>
          <w:p w14:paraId="6A03E43E" w14:textId="77777777" w:rsidR="00730DE4" w:rsidRPr="00730DE4" w:rsidRDefault="00730DE4" w:rsidP="00103E4F">
            <w:pPr>
              <w:pStyle w:val="NoSpacing"/>
              <w:jc w:val="right"/>
              <w:rPr>
                <w:color w:val="080C0F" w:themeColor="text1"/>
              </w:rPr>
            </w:pPr>
            <w:r w:rsidRPr="00730DE4">
              <w:rPr>
                <w:rStyle w:val="Strong"/>
              </w:rPr>
              <w:t xml:space="preserve">2023 </w:t>
            </w:r>
            <w:r w:rsidRPr="00730DE4">
              <w:rPr>
                <w:rStyle w:val="Strong"/>
              </w:rPr>
              <w:br/>
              <w:t>$'000</w:t>
            </w:r>
          </w:p>
        </w:tc>
      </w:tr>
      <w:tr w:rsidR="00730DE4" w:rsidRPr="00730DE4" w14:paraId="5E19A50A" w14:textId="77777777" w:rsidTr="00651DB8">
        <w:trPr>
          <w:trHeight w:val="454"/>
        </w:trPr>
        <w:tc>
          <w:tcPr>
            <w:tcW w:w="3599"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vAlign w:val="bottom"/>
          </w:tcPr>
          <w:p w14:paraId="79DBF486" w14:textId="77777777" w:rsidR="00730DE4" w:rsidRPr="00730DE4" w:rsidRDefault="00730DE4" w:rsidP="00103E4F">
            <w:pPr>
              <w:pStyle w:val="NoSpacing"/>
              <w:rPr>
                <w:rStyle w:val="Strong"/>
              </w:rPr>
            </w:pPr>
            <w:r w:rsidRPr="00730DE4">
              <w:rPr>
                <w:rStyle w:val="Strong"/>
              </w:rPr>
              <w:t>Current</w:t>
            </w:r>
          </w:p>
        </w:tc>
        <w:tc>
          <w:tcPr>
            <w:tcW w:w="700"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0640AE9F" w14:textId="77777777" w:rsidR="00730DE4" w:rsidRPr="00730DE4" w:rsidRDefault="00730DE4" w:rsidP="00103E4F">
            <w:pPr>
              <w:pStyle w:val="NoSpacing"/>
              <w:jc w:val="right"/>
              <w:rPr>
                <w:rStyle w:val="Strong"/>
              </w:rPr>
            </w:pPr>
          </w:p>
        </w:tc>
        <w:tc>
          <w:tcPr>
            <w:tcW w:w="701"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vAlign w:val="bottom"/>
          </w:tcPr>
          <w:p w14:paraId="7A77B9A3" w14:textId="77777777" w:rsidR="00730DE4" w:rsidRPr="00730DE4" w:rsidRDefault="00730DE4" w:rsidP="00103E4F">
            <w:pPr>
              <w:pStyle w:val="NoSpacing"/>
              <w:jc w:val="right"/>
              <w:rPr>
                <w:color w:val="080C0F" w:themeColor="text1"/>
              </w:rPr>
            </w:pPr>
          </w:p>
        </w:tc>
      </w:tr>
      <w:tr w:rsidR="00730DE4" w:rsidRPr="00730DE4" w14:paraId="3D110773" w14:textId="77777777" w:rsidTr="008A2F83">
        <w:trPr>
          <w:trHeight w:val="240"/>
        </w:trPr>
        <w:tc>
          <w:tcPr>
            <w:tcW w:w="3599"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18DD502B" w14:textId="77777777" w:rsidR="00730DE4" w:rsidRPr="00730DE4" w:rsidRDefault="00730DE4" w:rsidP="00103E4F">
            <w:pPr>
              <w:pStyle w:val="NoSpacing"/>
              <w:rPr>
                <w:color w:val="080C0F" w:themeColor="text1"/>
              </w:rPr>
            </w:pPr>
            <w:r w:rsidRPr="00730DE4">
              <w:rPr>
                <w:color w:val="080C0F" w:themeColor="text1"/>
              </w:rPr>
              <w:t>Opening balance</w:t>
            </w:r>
          </w:p>
        </w:tc>
        <w:tc>
          <w:tcPr>
            <w:tcW w:w="70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D594BCC" w14:textId="77777777" w:rsidR="00730DE4" w:rsidRPr="00730DE4" w:rsidRDefault="00730DE4" w:rsidP="00103E4F">
            <w:pPr>
              <w:pStyle w:val="NoSpacing"/>
              <w:jc w:val="right"/>
              <w:rPr>
                <w:color w:val="080C0F" w:themeColor="text1"/>
              </w:rPr>
            </w:pPr>
            <w:r w:rsidRPr="00730DE4">
              <w:rPr>
                <w:color w:val="080C0F" w:themeColor="text1"/>
              </w:rPr>
              <w:t xml:space="preserve">52,096 </w:t>
            </w:r>
          </w:p>
        </w:tc>
        <w:tc>
          <w:tcPr>
            <w:tcW w:w="701"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5BDCA91" w14:textId="77777777" w:rsidR="00730DE4" w:rsidRPr="00730DE4" w:rsidRDefault="00730DE4" w:rsidP="00103E4F">
            <w:pPr>
              <w:pStyle w:val="NoSpacing"/>
              <w:jc w:val="right"/>
              <w:rPr>
                <w:color w:val="080C0F" w:themeColor="text1"/>
              </w:rPr>
            </w:pPr>
            <w:r w:rsidRPr="00730DE4">
              <w:rPr>
                <w:color w:val="080C0F" w:themeColor="text1"/>
              </w:rPr>
              <w:t xml:space="preserve">46,515 </w:t>
            </w:r>
          </w:p>
        </w:tc>
      </w:tr>
      <w:tr w:rsidR="00730DE4" w:rsidRPr="00730DE4" w14:paraId="1ADACDDC" w14:textId="77777777" w:rsidTr="00651DB8">
        <w:trPr>
          <w:trHeight w:val="240"/>
        </w:trPr>
        <w:tc>
          <w:tcPr>
            <w:tcW w:w="3599"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51579A66" w14:textId="77777777" w:rsidR="00730DE4" w:rsidRPr="00730DE4" w:rsidRDefault="00730DE4" w:rsidP="00103E4F">
            <w:pPr>
              <w:pStyle w:val="NoSpacing"/>
              <w:rPr>
                <w:color w:val="080C0F" w:themeColor="text1"/>
              </w:rPr>
            </w:pPr>
            <w:r w:rsidRPr="00730DE4">
              <w:rPr>
                <w:color w:val="080C0F" w:themeColor="text1"/>
              </w:rPr>
              <w:t>Reduction in provision as a result of payments</w:t>
            </w:r>
          </w:p>
        </w:tc>
        <w:tc>
          <w:tcPr>
            <w:tcW w:w="70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8CB09CE" w14:textId="77777777" w:rsidR="00730DE4" w:rsidRPr="00730DE4" w:rsidRDefault="00730DE4" w:rsidP="00103E4F">
            <w:pPr>
              <w:pStyle w:val="NoSpacing"/>
              <w:jc w:val="right"/>
              <w:rPr>
                <w:color w:val="080C0F" w:themeColor="text1"/>
              </w:rPr>
            </w:pPr>
            <w:r w:rsidRPr="00730DE4">
              <w:rPr>
                <w:color w:val="080C0F" w:themeColor="text1"/>
              </w:rPr>
              <w:t>(50,236)</w:t>
            </w:r>
          </w:p>
        </w:tc>
        <w:tc>
          <w:tcPr>
            <w:tcW w:w="701"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043FA02" w14:textId="77777777" w:rsidR="00730DE4" w:rsidRPr="00730DE4" w:rsidRDefault="00730DE4" w:rsidP="00103E4F">
            <w:pPr>
              <w:pStyle w:val="NoSpacing"/>
              <w:jc w:val="right"/>
              <w:rPr>
                <w:color w:val="080C0F" w:themeColor="text1"/>
              </w:rPr>
            </w:pPr>
            <w:r w:rsidRPr="00730DE4">
              <w:rPr>
                <w:color w:val="080C0F" w:themeColor="text1"/>
              </w:rPr>
              <w:t>(48,376)</w:t>
            </w:r>
          </w:p>
        </w:tc>
      </w:tr>
      <w:tr w:rsidR="00730DE4" w:rsidRPr="00730DE4" w14:paraId="579C0BC0" w14:textId="77777777" w:rsidTr="00651DB8">
        <w:trPr>
          <w:trHeight w:val="240"/>
        </w:trPr>
        <w:tc>
          <w:tcPr>
            <w:tcW w:w="3599"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57182E10" w14:textId="77777777" w:rsidR="00730DE4" w:rsidRPr="00730DE4" w:rsidRDefault="00730DE4" w:rsidP="00103E4F">
            <w:pPr>
              <w:pStyle w:val="NoSpacing"/>
              <w:rPr>
                <w:color w:val="080C0F" w:themeColor="text1"/>
              </w:rPr>
            </w:pPr>
            <w:r w:rsidRPr="00730DE4">
              <w:rPr>
                <w:color w:val="080C0F" w:themeColor="text1"/>
              </w:rPr>
              <w:t>Reclassification from non-current provision</w:t>
            </w:r>
          </w:p>
        </w:tc>
        <w:tc>
          <w:tcPr>
            <w:tcW w:w="700"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55ABFE0B" w14:textId="77777777" w:rsidR="00730DE4" w:rsidRPr="00730DE4" w:rsidRDefault="00730DE4" w:rsidP="00103E4F">
            <w:pPr>
              <w:pStyle w:val="NoSpacing"/>
              <w:jc w:val="right"/>
              <w:rPr>
                <w:color w:val="080C0F" w:themeColor="text1"/>
              </w:rPr>
            </w:pPr>
            <w:r w:rsidRPr="00730DE4">
              <w:rPr>
                <w:color w:val="080C0F" w:themeColor="text1"/>
              </w:rPr>
              <w:t xml:space="preserve">5,582 </w:t>
            </w:r>
          </w:p>
        </w:tc>
        <w:tc>
          <w:tcPr>
            <w:tcW w:w="701"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423DCADB" w14:textId="77777777" w:rsidR="00730DE4" w:rsidRPr="00730DE4" w:rsidRDefault="00730DE4" w:rsidP="00103E4F">
            <w:pPr>
              <w:pStyle w:val="NoSpacing"/>
              <w:jc w:val="right"/>
              <w:rPr>
                <w:color w:val="080C0F" w:themeColor="text1"/>
              </w:rPr>
            </w:pPr>
            <w:r w:rsidRPr="00730DE4">
              <w:rPr>
                <w:color w:val="080C0F" w:themeColor="text1"/>
              </w:rPr>
              <w:t xml:space="preserve">53,957 </w:t>
            </w:r>
          </w:p>
        </w:tc>
      </w:tr>
      <w:tr w:rsidR="00730DE4" w:rsidRPr="00730DE4" w14:paraId="4E0CC6DA" w14:textId="77777777" w:rsidTr="00651DB8">
        <w:tc>
          <w:tcPr>
            <w:tcW w:w="3599"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187B9693" w14:textId="77777777" w:rsidR="00730DE4" w:rsidRPr="00730DE4" w:rsidRDefault="00730DE4" w:rsidP="001B0E0D">
            <w:pPr>
              <w:pStyle w:val="NoSpacing"/>
              <w:rPr>
                <w:rStyle w:val="Strong"/>
              </w:rPr>
            </w:pPr>
            <w:r w:rsidRPr="00730DE4">
              <w:rPr>
                <w:rStyle w:val="Strong"/>
              </w:rPr>
              <w:t>Closing balance</w:t>
            </w:r>
          </w:p>
        </w:tc>
        <w:tc>
          <w:tcPr>
            <w:tcW w:w="700"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584C465D" w14:textId="77777777" w:rsidR="00730DE4" w:rsidRPr="00730DE4" w:rsidRDefault="00730DE4" w:rsidP="001B0E0D">
            <w:pPr>
              <w:pStyle w:val="NoSpacing"/>
              <w:jc w:val="right"/>
              <w:rPr>
                <w:rStyle w:val="Strong"/>
              </w:rPr>
            </w:pPr>
            <w:r w:rsidRPr="00730DE4">
              <w:rPr>
                <w:rStyle w:val="Strong"/>
              </w:rPr>
              <w:t xml:space="preserve">7,442 </w:t>
            </w:r>
          </w:p>
        </w:tc>
        <w:tc>
          <w:tcPr>
            <w:tcW w:w="701" w:type="pct"/>
            <w:tcBorders>
              <w:top w:val="single" w:sz="4" w:space="0" w:color="auto"/>
              <w:left w:val="dotted" w:sz="4" w:space="0" w:color="BFBFBF" w:themeColor="background1" w:themeShade="BF"/>
              <w:bottom w:val="double" w:sz="4" w:space="0" w:color="auto"/>
              <w:right w:val="nil"/>
            </w:tcBorders>
            <w:shd w:val="clear" w:color="auto" w:fill="auto"/>
            <w:noWrap/>
            <w:hideMark/>
          </w:tcPr>
          <w:p w14:paraId="01344A23" w14:textId="77777777" w:rsidR="00730DE4" w:rsidRPr="00730DE4" w:rsidRDefault="00730DE4" w:rsidP="001B0E0D">
            <w:pPr>
              <w:pStyle w:val="NoSpacing"/>
              <w:jc w:val="right"/>
              <w:rPr>
                <w:rStyle w:val="Strong"/>
              </w:rPr>
            </w:pPr>
            <w:r w:rsidRPr="00730DE4">
              <w:rPr>
                <w:rStyle w:val="Strong"/>
              </w:rPr>
              <w:t xml:space="preserve">52,096 </w:t>
            </w:r>
          </w:p>
        </w:tc>
      </w:tr>
      <w:tr w:rsidR="00730DE4" w:rsidRPr="00730DE4" w14:paraId="050CCB4C" w14:textId="77777777" w:rsidTr="00651DB8">
        <w:trPr>
          <w:trHeight w:val="454"/>
        </w:trPr>
        <w:tc>
          <w:tcPr>
            <w:tcW w:w="3599" w:type="pct"/>
            <w:tcBorders>
              <w:top w:val="doub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5B35847E" w14:textId="77777777" w:rsidR="00730DE4" w:rsidRPr="00730DE4" w:rsidRDefault="00730DE4" w:rsidP="00103E4F">
            <w:pPr>
              <w:pStyle w:val="NoSpacing"/>
              <w:rPr>
                <w:color w:val="080C0F" w:themeColor="text1"/>
              </w:rPr>
            </w:pPr>
            <w:r w:rsidRPr="00730DE4">
              <w:rPr>
                <w:rStyle w:val="Strong"/>
              </w:rPr>
              <w:t>Non-current</w:t>
            </w:r>
          </w:p>
        </w:tc>
        <w:tc>
          <w:tcPr>
            <w:tcW w:w="700"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F28BF46" w14:textId="77777777" w:rsidR="00730DE4" w:rsidRPr="00730DE4" w:rsidRDefault="00730DE4" w:rsidP="00103E4F">
            <w:pPr>
              <w:pStyle w:val="NoSpacing"/>
              <w:jc w:val="right"/>
              <w:rPr>
                <w:rStyle w:val="Strong"/>
              </w:rPr>
            </w:pPr>
          </w:p>
        </w:tc>
        <w:tc>
          <w:tcPr>
            <w:tcW w:w="701" w:type="pct"/>
            <w:tcBorders>
              <w:top w:val="double" w:sz="4" w:space="0" w:color="auto"/>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493EB0AD" w14:textId="77777777" w:rsidR="00730DE4" w:rsidRPr="00730DE4" w:rsidRDefault="00730DE4" w:rsidP="00103E4F">
            <w:pPr>
              <w:pStyle w:val="NoSpacing"/>
              <w:jc w:val="right"/>
              <w:rPr>
                <w:color w:val="080C0F" w:themeColor="text1"/>
              </w:rPr>
            </w:pPr>
          </w:p>
        </w:tc>
      </w:tr>
      <w:tr w:rsidR="00730DE4" w:rsidRPr="00730DE4" w14:paraId="29FD9EDC" w14:textId="77777777" w:rsidTr="00651DB8">
        <w:trPr>
          <w:trHeight w:val="240"/>
        </w:trPr>
        <w:tc>
          <w:tcPr>
            <w:tcW w:w="3599"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56DFCC0B" w14:textId="77777777" w:rsidR="00730DE4" w:rsidRPr="00730DE4" w:rsidRDefault="00730DE4" w:rsidP="00103E4F">
            <w:pPr>
              <w:pStyle w:val="NoSpacing"/>
              <w:rPr>
                <w:color w:val="080C0F" w:themeColor="text1"/>
              </w:rPr>
            </w:pPr>
            <w:r w:rsidRPr="00730DE4">
              <w:rPr>
                <w:color w:val="080C0F" w:themeColor="text1"/>
              </w:rPr>
              <w:t>Opening balance</w:t>
            </w:r>
          </w:p>
        </w:tc>
        <w:tc>
          <w:tcPr>
            <w:tcW w:w="70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2A3ACFE" w14:textId="77777777" w:rsidR="00730DE4" w:rsidRPr="00730DE4" w:rsidRDefault="00730DE4" w:rsidP="00103E4F">
            <w:pPr>
              <w:pStyle w:val="NoSpacing"/>
              <w:jc w:val="right"/>
              <w:rPr>
                <w:color w:val="080C0F" w:themeColor="text1"/>
              </w:rPr>
            </w:pPr>
            <w:r w:rsidRPr="00730DE4">
              <w:rPr>
                <w:color w:val="080C0F" w:themeColor="text1"/>
              </w:rPr>
              <w:t xml:space="preserve">5,582 </w:t>
            </w:r>
          </w:p>
        </w:tc>
        <w:tc>
          <w:tcPr>
            <w:tcW w:w="701"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C3074CD" w14:textId="77777777" w:rsidR="00730DE4" w:rsidRPr="00730DE4" w:rsidRDefault="00730DE4" w:rsidP="00103E4F">
            <w:pPr>
              <w:pStyle w:val="NoSpacing"/>
              <w:jc w:val="right"/>
              <w:rPr>
                <w:color w:val="080C0F" w:themeColor="text1"/>
              </w:rPr>
            </w:pPr>
            <w:r w:rsidRPr="00730DE4">
              <w:rPr>
                <w:color w:val="080C0F" w:themeColor="text1"/>
              </w:rPr>
              <w:t xml:space="preserve">59,539 </w:t>
            </w:r>
          </w:p>
        </w:tc>
      </w:tr>
      <w:tr w:rsidR="00730DE4" w:rsidRPr="00730DE4" w14:paraId="54291A84" w14:textId="77777777" w:rsidTr="00651DB8">
        <w:trPr>
          <w:trHeight w:val="240"/>
        </w:trPr>
        <w:tc>
          <w:tcPr>
            <w:tcW w:w="3599"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01C43538" w14:textId="77777777" w:rsidR="00730DE4" w:rsidRPr="00730DE4" w:rsidRDefault="00730DE4" w:rsidP="00103E4F">
            <w:pPr>
              <w:pStyle w:val="NoSpacing"/>
              <w:rPr>
                <w:color w:val="080C0F" w:themeColor="text1"/>
              </w:rPr>
            </w:pPr>
            <w:r w:rsidRPr="00730DE4">
              <w:rPr>
                <w:color w:val="080C0F" w:themeColor="text1"/>
              </w:rPr>
              <w:t>Reclassification to current provision</w:t>
            </w:r>
          </w:p>
        </w:tc>
        <w:tc>
          <w:tcPr>
            <w:tcW w:w="700"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5F3A49E8" w14:textId="77777777" w:rsidR="00730DE4" w:rsidRPr="00730DE4" w:rsidRDefault="00730DE4" w:rsidP="00103E4F">
            <w:pPr>
              <w:pStyle w:val="NoSpacing"/>
              <w:jc w:val="right"/>
              <w:rPr>
                <w:color w:val="080C0F" w:themeColor="text1"/>
              </w:rPr>
            </w:pPr>
            <w:r w:rsidRPr="00730DE4">
              <w:rPr>
                <w:color w:val="080C0F" w:themeColor="text1"/>
              </w:rPr>
              <w:t>(5,582)</w:t>
            </w:r>
          </w:p>
        </w:tc>
        <w:tc>
          <w:tcPr>
            <w:tcW w:w="701"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5A323BB3" w14:textId="77777777" w:rsidR="00730DE4" w:rsidRPr="00730DE4" w:rsidRDefault="00730DE4" w:rsidP="00103E4F">
            <w:pPr>
              <w:pStyle w:val="NoSpacing"/>
              <w:jc w:val="right"/>
              <w:rPr>
                <w:color w:val="080C0F" w:themeColor="text1"/>
              </w:rPr>
            </w:pPr>
            <w:r w:rsidRPr="00730DE4">
              <w:rPr>
                <w:color w:val="080C0F" w:themeColor="text1"/>
              </w:rPr>
              <w:t>(53,957)</w:t>
            </w:r>
          </w:p>
        </w:tc>
      </w:tr>
      <w:tr w:rsidR="00730DE4" w:rsidRPr="00730DE4" w14:paraId="238B3C4D" w14:textId="77777777" w:rsidTr="00651DB8">
        <w:tc>
          <w:tcPr>
            <w:tcW w:w="3599"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47EB27A6" w14:textId="77777777" w:rsidR="00730DE4" w:rsidRPr="00730DE4" w:rsidRDefault="00730DE4" w:rsidP="001B0E0D">
            <w:pPr>
              <w:pStyle w:val="NoSpacing"/>
              <w:rPr>
                <w:rStyle w:val="Strong"/>
              </w:rPr>
            </w:pPr>
            <w:r w:rsidRPr="00730DE4">
              <w:rPr>
                <w:rStyle w:val="Strong"/>
              </w:rPr>
              <w:t>Closing balance</w:t>
            </w:r>
          </w:p>
        </w:tc>
        <w:tc>
          <w:tcPr>
            <w:tcW w:w="700"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235CE226" w14:textId="77777777" w:rsidR="00730DE4" w:rsidRPr="00730DE4" w:rsidRDefault="00730DE4" w:rsidP="001B0E0D">
            <w:pPr>
              <w:pStyle w:val="NoSpacing"/>
              <w:jc w:val="right"/>
              <w:rPr>
                <w:rStyle w:val="Strong"/>
              </w:rPr>
            </w:pPr>
            <w:r w:rsidRPr="00730DE4">
              <w:rPr>
                <w:rStyle w:val="Strong"/>
              </w:rPr>
              <w:t xml:space="preserve">- </w:t>
            </w:r>
          </w:p>
        </w:tc>
        <w:tc>
          <w:tcPr>
            <w:tcW w:w="701" w:type="pct"/>
            <w:tcBorders>
              <w:top w:val="single" w:sz="4" w:space="0" w:color="auto"/>
              <w:left w:val="dotted" w:sz="4" w:space="0" w:color="BFBFBF" w:themeColor="background1" w:themeShade="BF"/>
              <w:bottom w:val="double" w:sz="4" w:space="0" w:color="auto"/>
              <w:right w:val="nil"/>
            </w:tcBorders>
            <w:shd w:val="clear" w:color="auto" w:fill="auto"/>
            <w:noWrap/>
            <w:hideMark/>
          </w:tcPr>
          <w:p w14:paraId="3D5C9349" w14:textId="77777777" w:rsidR="00730DE4" w:rsidRPr="00730DE4" w:rsidRDefault="00730DE4" w:rsidP="001B0E0D">
            <w:pPr>
              <w:pStyle w:val="NoSpacing"/>
              <w:jc w:val="right"/>
              <w:rPr>
                <w:rStyle w:val="Strong"/>
              </w:rPr>
            </w:pPr>
            <w:r w:rsidRPr="00730DE4">
              <w:rPr>
                <w:rStyle w:val="Strong"/>
              </w:rPr>
              <w:t xml:space="preserve">5,582 </w:t>
            </w:r>
          </w:p>
        </w:tc>
      </w:tr>
    </w:tbl>
    <w:p w14:paraId="2F951537" w14:textId="77777777" w:rsidR="00730DE4" w:rsidRPr="00730DE4" w:rsidRDefault="00730DE4" w:rsidP="00632BEE">
      <w:pPr>
        <w:pStyle w:val="Heading5"/>
      </w:pPr>
      <w:bookmarkStart w:id="1572" w:name="_Toc180487747"/>
      <w:bookmarkStart w:id="1573" w:name="_Toc180490952"/>
      <w:bookmarkStart w:id="1574" w:name="_Toc180491985"/>
      <w:r w:rsidRPr="00730DE4">
        <w:t>Accounting policy</w:t>
      </w:r>
      <w:bookmarkEnd w:id="1572"/>
      <w:bookmarkEnd w:id="1573"/>
      <w:bookmarkEnd w:id="1574"/>
    </w:p>
    <w:p w14:paraId="055B9E26" w14:textId="77777777" w:rsidR="00730DE4" w:rsidRPr="00730DE4" w:rsidRDefault="00730DE4" w:rsidP="003C13D4">
      <w:pPr>
        <w:rPr>
          <w:color w:val="080C0F" w:themeColor="text1"/>
        </w:rPr>
      </w:pPr>
      <w:r w:rsidRPr="00730DE4">
        <w:rPr>
          <w:color w:val="080C0F" w:themeColor="text1"/>
        </w:rPr>
        <w:t>Provisions are recorded when the department has a present obligation, either legal or constructive as a result of a past event. They are recognised at the amount expected at reporting date for which the obligation will be settled in a future period. Provisions are reviewed at each reporting date to ensure the amounts accurately reflect the best estimate available.</w:t>
      </w:r>
    </w:p>
    <w:p w14:paraId="670E72AE" w14:textId="77777777" w:rsidR="00730DE4" w:rsidRPr="00730DE4" w:rsidRDefault="00730DE4" w:rsidP="00BF3C78">
      <w:pPr>
        <w:pStyle w:val="Heading4"/>
      </w:pPr>
      <w:bookmarkStart w:id="1575" w:name="_Toc179365616"/>
      <w:bookmarkStart w:id="1576" w:name="_Toc180490953"/>
      <w:bookmarkStart w:id="1577" w:name="_Toc180491986"/>
      <w:r w:rsidRPr="00730DE4">
        <w:t>21 Accrued employee benefits</w:t>
      </w:r>
      <w:bookmarkEnd w:id="1575"/>
      <w:bookmarkEnd w:id="1576"/>
      <w:bookmarkEnd w:id="1577"/>
    </w:p>
    <w:tbl>
      <w:tblPr>
        <w:tblW w:w="5000" w:type="pct"/>
        <w:tblCellMar>
          <w:top w:w="23" w:type="dxa"/>
          <w:left w:w="23" w:type="dxa"/>
          <w:bottom w:w="23" w:type="dxa"/>
          <w:right w:w="23" w:type="dxa"/>
        </w:tblCellMar>
        <w:tblLook w:val="04A0" w:firstRow="1" w:lastRow="0" w:firstColumn="1" w:lastColumn="0" w:noHBand="0" w:noVBand="1"/>
      </w:tblPr>
      <w:tblGrid>
        <w:gridCol w:w="6532"/>
        <w:gridCol w:w="1426"/>
        <w:gridCol w:w="1112"/>
      </w:tblGrid>
      <w:tr w:rsidR="00730DE4" w:rsidRPr="00730DE4" w14:paraId="6C317DC4" w14:textId="77777777" w:rsidTr="008A2F83">
        <w:trPr>
          <w:trHeight w:val="90"/>
        </w:trPr>
        <w:tc>
          <w:tcPr>
            <w:tcW w:w="3601" w:type="pct"/>
            <w:tcBorders>
              <w:top w:val="nil"/>
              <w:left w:val="nil"/>
              <w:bottom w:val="single" w:sz="4" w:space="0" w:color="auto"/>
              <w:right w:val="nil"/>
            </w:tcBorders>
            <w:shd w:val="clear" w:color="auto" w:fill="auto"/>
            <w:noWrap/>
            <w:vAlign w:val="bottom"/>
            <w:hideMark/>
          </w:tcPr>
          <w:p w14:paraId="30525F85" w14:textId="77777777" w:rsidR="00730DE4" w:rsidRPr="00730DE4" w:rsidRDefault="00730DE4" w:rsidP="00103E4F">
            <w:pPr>
              <w:pStyle w:val="NoSpacing"/>
              <w:rPr>
                <w:rStyle w:val="Strong"/>
              </w:rPr>
            </w:pPr>
          </w:p>
        </w:tc>
        <w:tc>
          <w:tcPr>
            <w:tcW w:w="786" w:type="pct"/>
            <w:tcBorders>
              <w:top w:val="nil"/>
              <w:left w:val="nil"/>
              <w:bottom w:val="single" w:sz="4" w:space="0" w:color="auto"/>
              <w:right w:val="nil"/>
            </w:tcBorders>
            <w:shd w:val="clear" w:color="auto" w:fill="auto"/>
            <w:noWrap/>
            <w:vAlign w:val="bottom"/>
            <w:hideMark/>
          </w:tcPr>
          <w:p w14:paraId="632730C7" w14:textId="77777777" w:rsidR="00730DE4" w:rsidRPr="00730DE4" w:rsidRDefault="00730DE4" w:rsidP="00103E4F">
            <w:pPr>
              <w:pStyle w:val="NoSpacing"/>
              <w:jc w:val="right"/>
              <w:rPr>
                <w:color w:val="080C0F" w:themeColor="text1"/>
              </w:rPr>
            </w:pPr>
            <w:r w:rsidRPr="00730DE4">
              <w:rPr>
                <w:rStyle w:val="Strong"/>
              </w:rPr>
              <w:t xml:space="preserve">2024 </w:t>
            </w:r>
            <w:r w:rsidRPr="00730DE4">
              <w:rPr>
                <w:rStyle w:val="Strong"/>
              </w:rPr>
              <w:br/>
              <w:t>$'000</w:t>
            </w:r>
          </w:p>
        </w:tc>
        <w:tc>
          <w:tcPr>
            <w:tcW w:w="613" w:type="pct"/>
            <w:tcBorders>
              <w:top w:val="nil"/>
              <w:left w:val="nil"/>
              <w:bottom w:val="single" w:sz="4" w:space="0" w:color="auto"/>
              <w:right w:val="nil"/>
            </w:tcBorders>
            <w:shd w:val="clear" w:color="auto" w:fill="auto"/>
            <w:noWrap/>
            <w:vAlign w:val="bottom"/>
            <w:hideMark/>
          </w:tcPr>
          <w:p w14:paraId="71873CB9" w14:textId="77777777" w:rsidR="00730DE4" w:rsidRPr="00730DE4" w:rsidRDefault="00730DE4" w:rsidP="00103E4F">
            <w:pPr>
              <w:pStyle w:val="NoSpacing"/>
              <w:jc w:val="right"/>
              <w:rPr>
                <w:color w:val="080C0F" w:themeColor="text1"/>
              </w:rPr>
            </w:pPr>
            <w:r w:rsidRPr="00730DE4">
              <w:rPr>
                <w:rStyle w:val="Strong"/>
              </w:rPr>
              <w:t xml:space="preserve">2023 </w:t>
            </w:r>
            <w:r w:rsidRPr="00730DE4">
              <w:rPr>
                <w:rStyle w:val="Strong"/>
              </w:rPr>
              <w:br/>
              <w:t>$'000</w:t>
            </w:r>
          </w:p>
        </w:tc>
      </w:tr>
      <w:tr w:rsidR="00730DE4" w:rsidRPr="00730DE4" w14:paraId="688C62E0" w14:textId="77777777" w:rsidTr="00651DB8">
        <w:trPr>
          <w:trHeight w:val="454"/>
        </w:trPr>
        <w:tc>
          <w:tcPr>
            <w:tcW w:w="3601"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41B2AC15" w14:textId="77777777" w:rsidR="00730DE4" w:rsidRPr="00730DE4" w:rsidRDefault="00730DE4" w:rsidP="00103E4F">
            <w:pPr>
              <w:pStyle w:val="NoSpacing"/>
              <w:rPr>
                <w:color w:val="080C0F" w:themeColor="text1"/>
              </w:rPr>
            </w:pPr>
            <w:r w:rsidRPr="00730DE4">
              <w:rPr>
                <w:rStyle w:val="Strong"/>
              </w:rPr>
              <w:t>Current</w:t>
            </w:r>
          </w:p>
        </w:tc>
        <w:tc>
          <w:tcPr>
            <w:tcW w:w="786"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E808069" w14:textId="77777777" w:rsidR="00730DE4" w:rsidRPr="00730DE4" w:rsidRDefault="00730DE4" w:rsidP="00103E4F">
            <w:pPr>
              <w:pStyle w:val="NoSpacing"/>
              <w:jc w:val="right"/>
              <w:rPr>
                <w:rStyle w:val="Strong"/>
              </w:rPr>
            </w:pPr>
          </w:p>
        </w:tc>
        <w:tc>
          <w:tcPr>
            <w:tcW w:w="613"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2CB33BB" w14:textId="77777777" w:rsidR="00730DE4" w:rsidRPr="00730DE4" w:rsidRDefault="00730DE4" w:rsidP="00103E4F">
            <w:pPr>
              <w:pStyle w:val="NoSpacing"/>
              <w:jc w:val="right"/>
              <w:rPr>
                <w:color w:val="080C0F" w:themeColor="text1"/>
              </w:rPr>
            </w:pPr>
          </w:p>
        </w:tc>
      </w:tr>
      <w:tr w:rsidR="00730DE4" w:rsidRPr="00730DE4" w14:paraId="6B650107" w14:textId="77777777" w:rsidTr="008A2F83">
        <w:trPr>
          <w:trHeight w:val="240"/>
        </w:trPr>
        <w:tc>
          <w:tcPr>
            <w:tcW w:w="3601"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6CBA1253" w14:textId="77777777" w:rsidR="00730DE4" w:rsidRPr="00730DE4" w:rsidRDefault="00730DE4" w:rsidP="00103E4F">
            <w:pPr>
              <w:pStyle w:val="NoSpacing"/>
              <w:rPr>
                <w:color w:val="080C0F" w:themeColor="text1"/>
              </w:rPr>
            </w:pPr>
            <w:r w:rsidRPr="00730DE4">
              <w:rPr>
                <w:color w:val="080C0F" w:themeColor="text1"/>
              </w:rPr>
              <w:t>Annual leave levy payable</w:t>
            </w:r>
          </w:p>
        </w:tc>
        <w:tc>
          <w:tcPr>
            <w:tcW w:w="786"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95DEA05" w14:textId="77777777" w:rsidR="00730DE4" w:rsidRPr="00730DE4" w:rsidRDefault="00730DE4" w:rsidP="00103E4F">
            <w:pPr>
              <w:pStyle w:val="NoSpacing"/>
              <w:jc w:val="right"/>
              <w:rPr>
                <w:color w:val="080C0F" w:themeColor="text1"/>
              </w:rPr>
            </w:pPr>
            <w:r w:rsidRPr="00730DE4">
              <w:rPr>
                <w:color w:val="080C0F" w:themeColor="text1"/>
              </w:rPr>
              <w:t xml:space="preserve">26,911 </w:t>
            </w:r>
          </w:p>
        </w:tc>
        <w:tc>
          <w:tcPr>
            <w:tcW w:w="613"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2E7A2FF" w14:textId="77777777" w:rsidR="00730DE4" w:rsidRPr="00730DE4" w:rsidRDefault="00730DE4" w:rsidP="00103E4F">
            <w:pPr>
              <w:pStyle w:val="NoSpacing"/>
              <w:jc w:val="right"/>
              <w:rPr>
                <w:color w:val="080C0F" w:themeColor="text1"/>
              </w:rPr>
            </w:pPr>
            <w:r w:rsidRPr="00730DE4">
              <w:rPr>
                <w:color w:val="080C0F" w:themeColor="text1"/>
              </w:rPr>
              <w:t xml:space="preserve">25,103 </w:t>
            </w:r>
          </w:p>
        </w:tc>
      </w:tr>
      <w:tr w:rsidR="00730DE4" w:rsidRPr="00730DE4" w14:paraId="1DB27643" w14:textId="77777777" w:rsidTr="008A2F83">
        <w:trPr>
          <w:trHeight w:val="240"/>
        </w:trPr>
        <w:tc>
          <w:tcPr>
            <w:tcW w:w="3601"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1CE55511" w14:textId="77777777" w:rsidR="00730DE4" w:rsidRPr="00730DE4" w:rsidRDefault="00730DE4" w:rsidP="00103E4F">
            <w:pPr>
              <w:pStyle w:val="NoSpacing"/>
              <w:rPr>
                <w:color w:val="080C0F" w:themeColor="text1"/>
              </w:rPr>
            </w:pPr>
            <w:r w:rsidRPr="00730DE4">
              <w:rPr>
                <w:color w:val="080C0F" w:themeColor="text1"/>
              </w:rPr>
              <w:t>Long service leave levy payable</w:t>
            </w:r>
          </w:p>
        </w:tc>
        <w:tc>
          <w:tcPr>
            <w:tcW w:w="786"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4FD39D4" w14:textId="77777777" w:rsidR="00730DE4" w:rsidRPr="00730DE4" w:rsidRDefault="00730DE4" w:rsidP="00103E4F">
            <w:pPr>
              <w:pStyle w:val="NoSpacing"/>
              <w:jc w:val="right"/>
              <w:rPr>
                <w:color w:val="080C0F" w:themeColor="text1"/>
              </w:rPr>
            </w:pPr>
            <w:r w:rsidRPr="00730DE4">
              <w:rPr>
                <w:color w:val="080C0F" w:themeColor="text1"/>
              </w:rPr>
              <w:t xml:space="preserve">7,442 </w:t>
            </w:r>
          </w:p>
        </w:tc>
        <w:tc>
          <w:tcPr>
            <w:tcW w:w="613"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1A04CE3" w14:textId="77777777" w:rsidR="00730DE4" w:rsidRPr="00730DE4" w:rsidRDefault="00730DE4" w:rsidP="00103E4F">
            <w:pPr>
              <w:pStyle w:val="NoSpacing"/>
              <w:jc w:val="right"/>
              <w:rPr>
                <w:color w:val="080C0F" w:themeColor="text1"/>
              </w:rPr>
            </w:pPr>
            <w:r w:rsidRPr="00730DE4">
              <w:rPr>
                <w:color w:val="080C0F" w:themeColor="text1"/>
              </w:rPr>
              <w:t xml:space="preserve">6,324 </w:t>
            </w:r>
          </w:p>
        </w:tc>
      </w:tr>
      <w:tr w:rsidR="00730DE4" w:rsidRPr="00730DE4" w14:paraId="09121C9B" w14:textId="77777777" w:rsidTr="00651DB8">
        <w:trPr>
          <w:trHeight w:val="240"/>
        </w:trPr>
        <w:tc>
          <w:tcPr>
            <w:tcW w:w="3601"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626F9AFD" w14:textId="77777777" w:rsidR="00730DE4" w:rsidRPr="00730DE4" w:rsidRDefault="00730DE4" w:rsidP="00103E4F">
            <w:pPr>
              <w:pStyle w:val="NoSpacing"/>
              <w:rPr>
                <w:color w:val="080C0F" w:themeColor="text1"/>
              </w:rPr>
            </w:pPr>
            <w:r w:rsidRPr="00730DE4">
              <w:rPr>
                <w:color w:val="080C0F" w:themeColor="text1"/>
              </w:rPr>
              <w:t>Salaries and wages outstanding</w:t>
            </w:r>
          </w:p>
        </w:tc>
        <w:tc>
          <w:tcPr>
            <w:tcW w:w="786"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E99D405" w14:textId="77777777" w:rsidR="00730DE4" w:rsidRPr="00730DE4" w:rsidRDefault="00730DE4" w:rsidP="00103E4F">
            <w:pPr>
              <w:pStyle w:val="NoSpacing"/>
              <w:jc w:val="right"/>
              <w:rPr>
                <w:color w:val="080C0F" w:themeColor="text1"/>
              </w:rPr>
            </w:pPr>
            <w:r w:rsidRPr="00730DE4">
              <w:rPr>
                <w:color w:val="080C0F" w:themeColor="text1"/>
              </w:rPr>
              <w:t xml:space="preserve">10,748 </w:t>
            </w:r>
          </w:p>
        </w:tc>
        <w:tc>
          <w:tcPr>
            <w:tcW w:w="613"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E67A42D" w14:textId="77777777" w:rsidR="00730DE4" w:rsidRPr="00730DE4" w:rsidRDefault="00730DE4" w:rsidP="00103E4F">
            <w:pPr>
              <w:pStyle w:val="NoSpacing"/>
              <w:jc w:val="right"/>
              <w:rPr>
                <w:color w:val="080C0F" w:themeColor="text1"/>
              </w:rPr>
            </w:pPr>
            <w:r w:rsidRPr="00730DE4">
              <w:rPr>
                <w:color w:val="080C0F" w:themeColor="text1"/>
              </w:rPr>
              <w:t xml:space="preserve">6,487 </w:t>
            </w:r>
          </w:p>
        </w:tc>
      </w:tr>
      <w:tr w:rsidR="00730DE4" w:rsidRPr="00730DE4" w14:paraId="1342B523" w14:textId="77777777" w:rsidTr="00651DB8">
        <w:trPr>
          <w:trHeight w:val="240"/>
        </w:trPr>
        <w:tc>
          <w:tcPr>
            <w:tcW w:w="3601"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16E01A03" w14:textId="77777777" w:rsidR="00730DE4" w:rsidRPr="00730DE4" w:rsidRDefault="00730DE4" w:rsidP="00103E4F">
            <w:pPr>
              <w:pStyle w:val="NoSpacing"/>
              <w:rPr>
                <w:color w:val="080C0F" w:themeColor="text1"/>
              </w:rPr>
            </w:pPr>
            <w:r w:rsidRPr="00730DE4">
              <w:rPr>
                <w:color w:val="080C0F" w:themeColor="text1"/>
              </w:rPr>
              <w:t>Other</w:t>
            </w:r>
          </w:p>
        </w:tc>
        <w:tc>
          <w:tcPr>
            <w:tcW w:w="786"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2E52A54E" w14:textId="77777777" w:rsidR="00730DE4" w:rsidRPr="00730DE4" w:rsidRDefault="00730DE4" w:rsidP="00103E4F">
            <w:pPr>
              <w:pStyle w:val="NoSpacing"/>
              <w:jc w:val="right"/>
              <w:rPr>
                <w:color w:val="080C0F" w:themeColor="text1"/>
              </w:rPr>
            </w:pPr>
            <w:r w:rsidRPr="00730DE4">
              <w:rPr>
                <w:color w:val="080C0F" w:themeColor="text1"/>
              </w:rPr>
              <w:t xml:space="preserve">3,014 </w:t>
            </w:r>
          </w:p>
        </w:tc>
        <w:tc>
          <w:tcPr>
            <w:tcW w:w="613"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339C6E5D" w14:textId="77777777" w:rsidR="00730DE4" w:rsidRPr="00730DE4" w:rsidRDefault="00730DE4" w:rsidP="00103E4F">
            <w:pPr>
              <w:pStyle w:val="NoSpacing"/>
              <w:jc w:val="right"/>
              <w:rPr>
                <w:color w:val="080C0F" w:themeColor="text1"/>
              </w:rPr>
            </w:pPr>
            <w:r w:rsidRPr="00730DE4">
              <w:rPr>
                <w:color w:val="080C0F" w:themeColor="text1"/>
              </w:rPr>
              <w:t xml:space="preserve">2,531 </w:t>
            </w:r>
          </w:p>
        </w:tc>
      </w:tr>
      <w:tr w:rsidR="00730DE4" w:rsidRPr="00730DE4" w14:paraId="58F66429" w14:textId="77777777" w:rsidTr="00651DB8">
        <w:tc>
          <w:tcPr>
            <w:tcW w:w="3601"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012BC0E8" w14:textId="77777777" w:rsidR="00730DE4" w:rsidRPr="00730DE4" w:rsidRDefault="00730DE4" w:rsidP="001B0E0D">
            <w:pPr>
              <w:pStyle w:val="NoSpacing"/>
              <w:rPr>
                <w:color w:val="080C0F" w:themeColor="text1"/>
              </w:rPr>
            </w:pPr>
            <w:r w:rsidRPr="00730DE4">
              <w:rPr>
                <w:rStyle w:val="Strong"/>
              </w:rPr>
              <w:t>Total</w:t>
            </w:r>
          </w:p>
        </w:tc>
        <w:tc>
          <w:tcPr>
            <w:tcW w:w="786"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069438CF" w14:textId="77777777" w:rsidR="00730DE4" w:rsidRPr="00730DE4" w:rsidRDefault="00730DE4" w:rsidP="001B0E0D">
            <w:pPr>
              <w:pStyle w:val="NoSpacing"/>
              <w:jc w:val="right"/>
              <w:rPr>
                <w:color w:val="080C0F" w:themeColor="text1"/>
              </w:rPr>
            </w:pPr>
            <w:r w:rsidRPr="00730DE4">
              <w:rPr>
                <w:rStyle w:val="Strong"/>
              </w:rPr>
              <w:t xml:space="preserve">48,115 </w:t>
            </w:r>
          </w:p>
        </w:tc>
        <w:tc>
          <w:tcPr>
            <w:tcW w:w="613" w:type="pct"/>
            <w:tcBorders>
              <w:top w:val="single" w:sz="4" w:space="0" w:color="auto"/>
              <w:left w:val="dotted" w:sz="4" w:space="0" w:color="BFBFBF" w:themeColor="background1" w:themeShade="BF"/>
              <w:bottom w:val="double" w:sz="4" w:space="0" w:color="auto"/>
              <w:right w:val="nil"/>
            </w:tcBorders>
            <w:shd w:val="clear" w:color="auto" w:fill="auto"/>
            <w:noWrap/>
            <w:hideMark/>
          </w:tcPr>
          <w:p w14:paraId="7F541D56" w14:textId="77777777" w:rsidR="00730DE4" w:rsidRPr="00730DE4" w:rsidRDefault="00730DE4" w:rsidP="001B0E0D">
            <w:pPr>
              <w:pStyle w:val="NoSpacing"/>
              <w:jc w:val="right"/>
              <w:rPr>
                <w:rStyle w:val="Strong"/>
              </w:rPr>
            </w:pPr>
            <w:r w:rsidRPr="00730DE4">
              <w:rPr>
                <w:rStyle w:val="Strong"/>
              </w:rPr>
              <w:t xml:space="preserve">40,445 </w:t>
            </w:r>
          </w:p>
        </w:tc>
      </w:tr>
    </w:tbl>
    <w:p w14:paraId="7F6D537B" w14:textId="77777777" w:rsidR="00730DE4" w:rsidRPr="00730DE4" w:rsidRDefault="00730DE4" w:rsidP="000C6AE6">
      <w:pPr>
        <w:pStyle w:val="Heading5"/>
      </w:pPr>
      <w:bookmarkStart w:id="1578" w:name="_Toc180487749"/>
      <w:bookmarkStart w:id="1579" w:name="_Toc180490954"/>
      <w:bookmarkStart w:id="1580" w:name="_Toc180491987"/>
      <w:r w:rsidRPr="00730DE4">
        <w:t>Accounting policy</w:t>
      </w:r>
      <w:bookmarkEnd w:id="1578"/>
      <w:bookmarkEnd w:id="1579"/>
      <w:bookmarkEnd w:id="1580"/>
      <w:r w:rsidRPr="00730DE4">
        <w:t xml:space="preserve"> </w:t>
      </w:r>
    </w:p>
    <w:p w14:paraId="202886AD" w14:textId="77777777" w:rsidR="00730DE4" w:rsidRPr="00730DE4" w:rsidRDefault="00730DE4" w:rsidP="000C6AE6">
      <w:pPr>
        <w:pStyle w:val="Heading6"/>
      </w:pPr>
      <w:r w:rsidRPr="00730DE4">
        <w:t>Annual leave and long service leave</w:t>
      </w:r>
    </w:p>
    <w:p w14:paraId="4DC37164" w14:textId="77777777" w:rsidR="00730DE4" w:rsidRPr="00730DE4" w:rsidRDefault="00730DE4" w:rsidP="003C13D4">
      <w:pPr>
        <w:rPr>
          <w:color w:val="080C0F" w:themeColor="text1"/>
        </w:rPr>
      </w:pPr>
      <w:r w:rsidRPr="00730DE4">
        <w:rPr>
          <w:color w:val="080C0F" w:themeColor="text1"/>
        </w:rPr>
        <w:t xml:space="preserve">Under the Queensland Government’s Annual Leave Central Scheme and Long Service Leave Central Scheme, a levy is made on the department to cover the cost of employees' annual leave and long service leave entitlements. The levies are expensed in the period in which they are payable. Amounts paid to employees for annual leave and long service leave are claimed from the schemes quarterly in arrears. </w:t>
      </w:r>
    </w:p>
    <w:p w14:paraId="5DE1DB4C" w14:textId="77777777" w:rsidR="00730DE4" w:rsidRPr="00730DE4" w:rsidRDefault="00730DE4" w:rsidP="003C13D4">
      <w:pPr>
        <w:rPr>
          <w:color w:val="080C0F" w:themeColor="text1"/>
        </w:rPr>
      </w:pPr>
      <w:r w:rsidRPr="00730DE4">
        <w:rPr>
          <w:color w:val="080C0F" w:themeColor="text1"/>
        </w:rPr>
        <w:t>No provision for annual leave or long service leave is recognised in these financial statements. The liabilities are held on a whole-of-government basis and are reported by Queensland Treasury.</w:t>
      </w:r>
    </w:p>
    <w:p w14:paraId="3CA6E7DF" w14:textId="77777777" w:rsidR="00730DE4" w:rsidRPr="00730DE4" w:rsidRDefault="00730DE4" w:rsidP="000C6AE6">
      <w:pPr>
        <w:pStyle w:val="Heading6"/>
      </w:pPr>
      <w:r w:rsidRPr="00730DE4">
        <w:t>Sick leave</w:t>
      </w:r>
    </w:p>
    <w:p w14:paraId="6A1A3A1D" w14:textId="77777777" w:rsidR="00730DE4" w:rsidRPr="00730DE4" w:rsidRDefault="00730DE4" w:rsidP="003C13D4">
      <w:pPr>
        <w:rPr>
          <w:color w:val="080C0F" w:themeColor="text1"/>
        </w:rPr>
      </w:pPr>
      <w:r w:rsidRPr="00730DE4">
        <w:rPr>
          <w:color w:val="080C0F" w:themeColor="text1"/>
        </w:rPr>
        <w:t>Prior history indicates that on average, sick leave taken each reporting period is less than the entitlement accrued. This is expected to continue in future periods. Accordingly, it is unlikely that existing accumulated entitlements will be used by employees and no liability for unused sick leave entitlements is recognised.</w:t>
      </w:r>
    </w:p>
    <w:p w14:paraId="0B345E27" w14:textId="77777777" w:rsidR="00730DE4" w:rsidRPr="00730DE4" w:rsidRDefault="00730DE4" w:rsidP="003C13D4">
      <w:pPr>
        <w:rPr>
          <w:color w:val="080C0F" w:themeColor="text1"/>
        </w:rPr>
      </w:pPr>
      <w:r w:rsidRPr="00730DE4">
        <w:rPr>
          <w:color w:val="080C0F" w:themeColor="text1"/>
        </w:rPr>
        <w:t>As sick leave is non-vesting, an expense is recognised for this leave as it is taken.</w:t>
      </w:r>
    </w:p>
    <w:p w14:paraId="730CBC0E" w14:textId="77777777" w:rsidR="00730DE4" w:rsidRPr="00730DE4" w:rsidRDefault="00730DE4" w:rsidP="000C6AE6">
      <w:pPr>
        <w:pStyle w:val="Heading6"/>
      </w:pPr>
      <w:r w:rsidRPr="00730DE4">
        <w:t>Superannuation</w:t>
      </w:r>
    </w:p>
    <w:p w14:paraId="4A9766A3" w14:textId="77777777" w:rsidR="00730DE4" w:rsidRPr="00730DE4" w:rsidRDefault="00730DE4" w:rsidP="003C13D4">
      <w:pPr>
        <w:rPr>
          <w:color w:val="080C0F" w:themeColor="text1"/>
        </w:rPr>
      </w:pPr>
      <w:r w:rsidRPr="00730DE4">
        <w:rPr>
          <w:color w:val="080C0F" w:themeColor="text1"/>
        </w:rPr>
        <w:t>Post-employment benefits for superannuation are provided through defined contribution (accumulation) plans or the Queensland Government's QSuper defined benefit plan as determined by the employee's conditions of employment. The former QSuper defined benefit categories are now administered by the Government Division of the Australian Retirement Trust.</w:t>
      </w:r>
    </w:p>
    <w:p w14:paraId="2D49574E" w14:textId="77777777" w:rsidR="00730DE4" w:rsidRPr="00730DE4" w:rsidRDefault="00730DE4" w:rsidP="003C13D4">
      <w:pPr>
        <w:rPr>
          <w:color w:val="080C0F" w:themeColor="text1"/>
        </w:rPr>
      </w:pPr>
      <w:r w:rsidRPr="00730DE4">
        <w:rPr>
          <w:color w:val="080C0F" w:themeColor="text1"/>
        </w:rPr>
        <w:t>Contributions are made to eligible complying superannuation funds based on the rates specified in the relevant enterprise bargaining agreement or other conditions of employment. Contributions are expensed when they are paid or become payable following completion of the employee's service each pay period.</w:t>
      </w:r>
    </w:p>
    <w:p w14:paraId="71A707E0" w14:textId="77777777" w:rsidR="00730DE4" w:rsidRPr="00730DE4" w:rsidRDefault="00730DE4" w:rsidP="003C13D4">
      <w:pPr>
        <w:rPr>
          <w:color w:val="080C0F" w:themeColor="text1"/>
        </w:rPr>
      </w:pPr>
      <w:r w:rsidRPr="00730DE4">
        <w:rPr>
          <w:color w:val="080C0F" w:themeColor="text1"/>
        </w:rPr>
        <w:t xml:space="preserve">The liability for defined benefits is held on a whole-of-government basis and reported in those financial statements pursuant to AASB 1049 </w:t>
      </w:r>
      <w:r w:rsidRPr="00730DE4">
        <w:rPr>
          <w:i/>
          <w:iCs/>
          <w:color w:val="080C0F" w:themeColor="text1"/>
        </w:rPr>
        <w:t>Whole of Government and General Government Sector Financial Reporting</w:t>
      </w:r>
      <w:r w:rsidRPr="00730DE4">
        <w:rPr>
          <w:color w:val="080C0F" w:themeColor="text1"/>
        </w:rPr>
        <w:t>. The amount of contributions for defined benefit plan obligations is based upon the rates determined on the advice of the State Actuary. Contributions are paid by the department at the specified rate following completion of the employee's service each pay period. The department's obligations are limited to those contributions paid.</w:t>
      </w:r>
    </w:p>
    <w:p w14:paraId="2FE61396" w14:textId="77777777" w:rsidR="00730DE4" w:rsidRPr="00730DE4" w:rsidRDefault="00730DE4" w:rsidP="00BF3C78">
      <w:pPr>
        <w:pStyle w:val="Heading4"/>
      </w:pPr>
      <w:bookmarkStart w:id="1581" w:name="_Toc179365617"/>
      <w:bookmarkStart w:id="1582" w:name="_Toc180490955"/>
      <w:bookmarkStart w:id="1583" w:name="_Toc180491988"/>
      <w:r w:rsidRPr="00730DE4">
        <w:t>22 Other liabilities</w:t>
      </w:r>
      <w:bookmarkEnd w:id="1581"/>
      <w:bookmarkEnd w:id="1582"/>
      <w:bookmarkEnd w:id="1583"/>
    </w:p>
    <w:tbl>
      <w:tblPr>
        <w:tblW w:w="4884" w:type="pct"/>
        <w:tblCellMar>
          <w:top w:w="23" w:type="dxa"/>
          <w:left w:w="23" w:type="dxa"/>
          <w:bottom w:w="23" w:type="dxa"/>
          <w:right w:w="23" w:type="dxa"/>
        </w:tblCellMar>
        <w:tblLook w:val="04A0" w:firstRow="1" w:lastRow="0" w:firstColumn="1" w:lastColumn="0" w:noHBand="0" w:noVBand="1"/>
      </w:tblPr>
      <w:tblGrid>
        <w:gridCol w:w="6379"/>
        <w:gridCol w:w="1395"/>
        <w:gridCol w:w="1086"/>
      </w:tblGrid>
      <w:tr w:rsidR="00730DE4" w:rsidRPr="00730DE4" w14:paraId="75188B72" w14:textId="77777777" w:rsidTr="0069436B">
        <w:trPr>
          <w:trHeight w:val="90"/>
        </w:trPr>
        <w:tc>
          <w:tcPr>
            <w:tcW w:w="3600" w:type="pct"/>
            <w:tcBorders>
              <w:top w:val="nil"/>
              <w:left w:val="nil"/>
              <w:bottom w:val="single" w:sz="4" w:space="0" w:color="auto"/>
              <w:right w:val="nil"/>
            </w:tcBorders>
            <w:shd w:val="clear" w:color="auto" w:fill="auto"/>
            <w:noWrap/>
            <w:vAlign w:val="bottom"/>
          </w:tcPr>
          <w:p w14:paraId="288A3B09" w14:textId="77777777" w:rsidR="00730DE4" w:rsidRPr="00730DE4" w:rsidRDefault="00730DE4" w:rsidP="00DB1BC4">
            <w:pPr>
              <w:pStyle w:val="NoSpacing"/>
              <w:rPr>
                <w:rStyle w:val="Strong"/>
              </w:rPr>
            </w:pPr>
          </w:p>
        </w:tc>
        <w:tc>
          <w:tcPr>
            <w:tcW w:w="787" w:type="pct"/>
            <w:tcBorders>
              <w:top w:val="nil"/>
              <w:left w:val="nil"/>
              <w:bottom w:val="single" w:sz="4" w:space="0" w:color="auto"/>
              <w:right w:val="nil"/>
            </w:tcBorders>
            <w:shd w:val="clear" w:color="auto" w:fill="auto"/>
            <w:noWrap/>
            <w:vAlign w:val="bottom"/>
            <w:hideMark/>
          </w:tcPr>
          <w:p w14:paraId="5A077E11" w14:textId="77777777" w:rsidR="00730DE4" w:rsidRPr="00730DE4" w:rsidRDefault="00730DE4" w:rsidP="00DB1BC4">
            <w:pPr>
              <w:pStyle w:val="NoSpacing"/>
              <w:jc w:val="right"/>
            </w:pPr>
            <w:r w:rsidRPr="00730DE4">
              <w:rPr>
                <w:rStyle w:val="Strong"/>
              </w:rPr>
              <w:t xml:space="preserve">2024 </w:t>
            </w:r>
            <w:r w:rsidRPr="00730DE4">
              <w:rPr>
                <w:rStyle w:val="Strong"/>
              </w:rPr>
              <w:br/>
              <w:t>$'000</w:t>
            </w:r>
          </w:p>
        </w:tc>
        <w:tc>
          <w:tcPr>
            <w:tcW w:w="613" w:type="pct"/>
            <w:tcBorders>
              <w:top w:val="nil"/>
              <w:left w:val="nil"/>
              <w:bottom w:val="single" w:sz="4" w:space="0" w:color="auto"/>
              <w:right w:val="nil"/>
            </w:tcBorders>
            <w:shd w:val="clear" w:color="auto" w:fill="auto"/>
            <w:noWrap/>
            <w:vAlign w:val="bottom"/>
            <w:hideMark/>
          </w:tcPr>
          <w:p w14:paraId="6C7C3C0C" w14:textId="77777777" w:rsidR="00730DE4" w:rsidRPr="00730DE4" w:rsidRDefault="00730DE4" w:rsidP="00DB1BC4">
            <w:pPr>
              <w:pStyle w:val="NoSpacing"/>
              <w:jc w:val="right"/>
            </w:pPr>
            <w:r w:rsidRPr="00730DE4">
              <w:rPr>
                <w:rStyle w:val="Strong"/>
              </w:rPr>
              <w:t xml:space="preserve">2023 </w:t>
            </w:r>
            <w:r w:rsidRPr="00730DE4">
              <w:rPr>
                <w:rStyle w:val="Strong"/>
              </w:rPr>
              <w:br/>
              <w:t>$'000</w:t>
            </w:r>
          </w:p>
        </w:tc>
      </w:tr>
      <w:tr w:rsidR="00730DE4" w:rsidRPr="00730DE4" w14:paraId="5F1DFC93" w14:textId="77777777" w:rsidTr="0069436B">
        <w:trPr>
          <w:trHeight w:val="454"/>
        </w:trPr>
        <w:tc>
          <w:tcPr>
            <w:tcW w:w="3600"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49AA949E" w14:textId="77777777" w:rsidR="00730DE4" w:rsidRPr="00730DE4" w:rsidRDefault="00730DE4" w:rsidP="00DB1BC4">
            <w:pPr>
              <w:pStyle w:val="NoSpacing"/>
              <w:rPr>
                <w:b/>
                <w:bCs/>
              </w:rPr>
            </w:pPr>
            <w:r w:rsidRPr="00730DE4">
              <w:rPr>
                <w:rStyle w:val="Strong"/>
              </w:rPr>
              <w:t>Current</w:t>
            </w:r>
          </w:p>
        </w:tc>
        <w:tc>
          <w:tcPr>
            <w:tcW w:w="787"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0144326" w14:textId="77777777" w:rsidR="00730DE4" w:rsidRPr="00730DE4" w:rsidRDefault="00730DE4" w:rsidP="00DB1BC4">
            <w:pPr>
              <w:pStyle w:val="NoSpacing"/>
              <w:jc w:val="right"/>
              <w:rPr>
                <w:rStyle w:val="Strong"/>
              </w:rPr>
            </w:pPr>
          </w:p>
        </w:tc>
        <w:tc>
          <w:tcPr>
            <w:tcW w:w="613"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460C2CD" w14:textId="77777777" w:rsidR="00730DE4" w:rsidRPr="00730DE4" w:rsidRDefault="00730DE4" w:rsidP="00DB1BC4">
            <w:pPr>
              <w:pStyle w:val="NoSpacing"/>
              <w:jc w:val="right"/>
            </w:pPr>
          </w:p>
        </w:tc>
      </w:tr>
      <w:tr w:rsidR="00730DE4" w:rsidRPr="00730DE4" w14:paraId="20DFE0AC" w14:textId="77777777" w:rsidTr="008A2F83">
        <w:trPr>
          <w:trHeight w:val="240"/>
        </w:trPr>
        <w:tc>
          <w:tcPr>
            <w:tcW w:w="360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1C6F85E5" w14:textId="77777777" w:rsidR="00730DE4" w:rsidRPr="00730DE4" w:rsidRDefault="00730DE4" w:rsidP="00DB1BC4">
            <w:pPr>
              <w:pStyle w:val="NoSpacing"/>
            </w:pPr>
            <w:r w:rsidRPr="00730DE4">
              <w:t>Advance payments from Queensland Reconstruction Authority *</w:t>
            </w:r>
          </w:p>
        </w:tc>
        <w:tc>
          <w:tcPr>
            <w:tcW w:w="78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D706AA5" w14:textId="77777777" w:rsidR="00730DE4" w:rsidRPr="00730DE4" w:rsidRDefault="00730DE4" w:rsidP="00DB1BC4">
            <w:pPr>
              <w:pStyle w:val="NoSpacing"/>
              <w:jc w:val="right"/>
            </w:pPr>
            <w:r w:rsidRPr="00730DE4">
              <w:t xml:space="preserve">89,727 </w:t>
            </w:r>
          </w:p>
        </w:tc>
        <w:tc>
          <w:tcPr>
            <w:tcW w:w="613"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CB82E95" w14:textId="77777777" w:rsidR="00730DE4" w:rsidRPr="00730DE4" w:rsidRDefault="00730DE4" w:rsidP="00DB1BC4">
            <w:pPr>
              <w:pStyle w:val="NoSpacing"/>
              <w:jc w:val="right"/>
            </w:pPr>
            <w:r w:rsidRPr="00730DE4">
              <w:t xml:space="preserve">27,884 </w:t>
            </w:r>
          </w:p>
        </w:tc>
      </w:tr>
      <w:tr w:rsidR="00730DE4" w:rsidRPr="00730DE4" w14:paraId="23312FEF" w14:textId="77777777" w:rsidTr="008A2F83">
        <w:trPr>
          <w:trHeight w:val="240"/>
        </w:trPr>
        <w:tc>
          <w:tcPr>
            <w:tcW w:w="360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47BAF875" w14:textId="77777777" w:rsidR="00730DE4" w:rsidRPr="00730DE4" w:rsidRDefault="00730DE4" w:rsidP="00DB1BC4">
            <w:pPr>
              <w:pStyle w:val="NoSpacing"/>
            </w:pPr>
            <w:r w:rsidRPr="00730DE4">
              <w:t>Advance payments from Australian Rail Track Corporation **</w:t>
            </w:r>
          </w:p>
        </w:tc>
        <w:tc>
          <w:tcPr>
            <w:tcW w:w="78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ADA6F67" w14:textId="77777777" w:rsidR="00730DE4" w:rsidRPr="00730DE4" w:rsidRDefault="00730DE4" w:rsidP="00DB1BC4">
            <w:pPr>
              <w:pStyle w:val="NoSpacing"/>
              <w:jc w:val="right"/>
            </w:pPr>
            <w:r w:rsidRPr="00730DE4">
              <w:t xml:space="preserve">91,093 </w:t>
            </w:r>
          </w:p>
        </w:tc>
        <w:tc>
          <w:tcPr>
            <w:tcW w:w="613"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8F0A685" w14:textId="77777777" w:rsidR="00730DE4" w:rsidRPr="00730DE4" w:rsidRDefault="00730DE4" w:rsidP="00DB1BC4">
            <w:pPr>
              <w:pStyle w:val="NoSpacing"/>
              <w:jc w:val="right"/>
            </w:pPr>
            <w:r w:rsidRPr="00730DE4">
              <w:t xml:space="preserve">105,479 </w:t>
            </w:r>
          </w:p>
        </w:tc>
      </w:tr>
      <w:tr w:rsidR="00730DE4" w:rsidRPr="00730DE4" w14:paraId="1C72E44B" w14:textId="77777777" w:rsidTr="008A2F83">
        <w:trPr>
          <w:trHeight w:val="240"/>
        </w:trPr>
        <w:tc>
          <w:tcPr>
            <w:tcW w:w="360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3108A1B7" w14:textId="77777777" w:rsidR="00730DE4" w:rsidRPr="00730DE4" w:rsidRDefault="00730DE4" w:rsidP="00DB1BC4">
            <w:pPr>
              <w:pStyle w:val="NoSpacing"/>
            </w:pPr>
            <w:r w:rsidRPr="00730DE4">
              <w:rPr>
                <w:i/>
                <w:iCs/>
              </w:rPr>
              <w:t>go</w:t>
            </w:r>
            <w:r w:rsidRPr="00730DE4">
              <w:t xml:space="preserve"> card deposits held </w:t>
            </w:r>
          </w:p>
        </w:tc>
        <w:tc>
          <w:tcPr>
            <w:tcW w:w="78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330C4AB" w14:textId="77777777" w:rsidR="00730DE4" w:rsidRPr="00730DE4" w:rsidRDefault="00730DE4" w:rsidP="00DB1BC4">
            <w:pPr>
              <w:pStyle w:val="NoSpacing"/>
              <w:jc w:val="right"/>
            </w:pPr>
            <w:r w:rsidRPr="00730DE4">
              <w:t xml:space="preserve">48,259 </w:t>
            </w:r>
          </w:p>
        </w:tc>
        <w:tc>
          <w:tcPr>
            <w:tcW w:w="613"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0F5B021" w14:textId="77777777" w:rsidR="00730DE4" w:rsidRPr="00730DE4" w:rsidRDefault="00730DE4" w:rsidP="00DB1BC4">
            <w:pPr>
              <w:pStyle w:val="NoSpacing"/>
              <w:jc w:val="right"/>
            </w:pPr>
            <w:r w:rsidRPr="00730DE4">
              <w:t xml:space="preserve">46,499 </w:t>
            </w:r>
          </w:p>
        </w:tc>
      </w:tr>
      <w:tr w:rsidR="00730DE4" w:rsidRPr="00730DE4" w14:paraId="46AA4DFA" w14:textId="77777777" w:rsidTr="0069436B">
        <w:trPr>
          <w:trHeight w:val="240"/>
        </w:trPr>
        <w:tc>
          <w:tcPr>
            <w:tcW w:w="3600"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EACBFEC" w14:textId="77777777" w:rsidR="00730DE4" w:rsidRPr="00730DE4" w:rsidRDefault="00730DE4" w:rsidP="00DB1BC4">
            <w:pPr>
              <w:pStyle w:val="NoSpacing"/>
            </w:pPr>
            <w:r w:rsidRPr="00730DE4">
              <w:rPr>
                <w:i/>
                <w:iCs/>
              </w:rPr>
              <w:t>go</w:t>
            </w:r>
            <w:r w:rsidRPr="00730DE4">
              <w:t xml:space="preserve"> card stored value – unearned revenue ***</w:t>
            </w:r>
          </w:p>
        </w:tc>
        <w:tc>
          <w:tcPr>
            <w:tcW w:w="78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44BC728" w14:textId="77777777" w:rsidR="00730DE4" w:rsidRPr="00730DE4" w:rsidRDefault="00730DE4" w:rsidP="00DB1BC4">
            <w:pPr>
              <w:pStyle w:val="NoSpacing"/>
              <w:jc w:val="right"/>
            </w:pPr>
            <w:r w:rsidRPr="00730DE4">
              <w:t xml:space="preserve">56,445 </w:t>
            </w:r>
          </w:p>
        </w:tc>
        <w:tc>
          <w:tcPr>
            <w:tcW w:w="613"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A241E47" w14:textId="77777777" w:rsidR="00730DE4" w:rsidRPr="00730DE4" w:rsidRDefault="00730DE4" w:rsidP="00DB1BC4">
            <w:pPr>
              <w:pStyle w:val="NoSpacing"/>
              <w:jc w:val="right"/>
            </w:pPr>
            <w:r w:rsidRPr="00730DE4">
              <w:t xml:space="preserve">54,190 </w:t>
            </w:r>
          </w:p>
        </w:tc>
      </w:tr>
      <w:tr w:rsidR="00730DE4" w:rsidRPr="00730DE4" w14:paraId="5932B251" w14:textId="77777777" w:rsidTr="0069436B">
        <w:trPr>
          <w:trHeight w:val="240"/>
        </w:trPr>
        <w:tc>
          <w:tcPr>
            <w:tcW w:w="3600"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0E7E54E7" w14:textId="77777777" w:rsidR="00730DE4" w:rsidRPr="00730DE4" w:rsidRDefault="00730DE4" w:rsidP="00DB1BC4">
            <w:pPr>
              <w:pStyle w:val="NoSpacing"/>
            </w:pPr>
            <w:r w:rsidRPr="00730DE4">
              <w:t>Other</w:t>
            </w:r>
          </w:p>
        </w:tc>
        <w:tc>
          <w:tcPr>
            <w:tcW w:w="787"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1F8BD6AB" w14:textId="77777777" w:rsidR="00730DE4" w:rsidRPr="00730DE4" w:rsidRDefault="00730DE4" w:rsidP="00DB1BC4">
            <w:pPr>
              <w:pStyle w:val="NoSpacing"/>
              <w:jc w:val="right"/>
            </w:pPr>
            <w:r w:rsidRPr="00730DE4">
              <w:t xml:space="preserve">12,911 </w:t>
            </w:r>
          </w:p>
        </w:tc>
        <w:tc>
          <w:tcPr>
            <w:tcW w:w="613"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52B7332A" w14:textId="77777777" w:rsidR="00730DE4" w:rsidRPr="00730DE4" w:rsidRDefault="00730DE4" w:rsidP="00DB1BC4">
            <w:pPr>
              <w:pStyle w:val="NoSpacing"/>
              <w:jc w:val="right"/>
            </w:pPr>
            <w:r w:rsidRPr="00730DE4">
              <w:t xml:space="preserve">7,547 </w:t>
            </w:r>
          </w:p>
        </w:tc>
      </w:tr>
      <w:tr w:rsidR="00730DE4" w:rsidRPr="00730DE4" w14:paraId="63B6B1CF" w14:textId="77777777" w:rsidTr="0069436B">
        <w:tc>
          <w:tcPr>
            <w:tcW w:w="3600"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08EFA206" w14:textId="77777777" w:rsidR="00730DE4" w:rsidRPr="00730DE4" w:rsidRDefault="00730DE4" w:rsidP="001B0E0D">
            <w:pPr>
              <w:pStyle w:val="NoSpacing"/>
              <w:rPr>
                <w:b/>
                <w:bCs/>
              </w:rPr>
            </w:pPr>
            <w:r w:rsidRPr="00730DE4">
              <w:rPr>
                <w:rStyle w:val="Strong"/>
              </w:rPr>
              <w:t>Total</w:t>
            </w:r>
          </w:p>
        </w:tc>
        <w:tc>
          <w:tcPr>
            <w:tcW w:w="787"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6C27766D" w14:textId="77777777" w:rsidR="00730DE4" w:rsidRPr="00730DE4" w:rsidRDefault="00730DE4" w:rsidP="001B0E0D">
            <w:pPr>
              <w:pStyle w:val="NoSpacing"/>
              <w:jc w:val="right"/>
              <w:rPr>
                <w:rStyle w:val="Strong"/>
              </w:rPr>
            </w:pPr>
            <w:r w:rsidRPr="00730DE4">
              <w:rPr>
                <w:rStyle w:val="Strong"/>
              </w:rPr>
              <w:t xml:space="preserve">298,435 </w:t>
            </w:r>
          </w:p>
        </w:tc>
        <w:tc>
          <w:tcPr>
            <w:tcW w:w="613" w:type="pct"/>
            <w:tcBorders>
              <w:top w:val="single" w:sz="4" w:space="0" w:color="auto"/>
              <w:left w:val="dotted" w:sz="4" w:space="0" w:color="BFBFBF" w:themeColor="background1" w:themeShade="BF"/>
              <w:bottom w:val="double" w:sz="4" w:space="0" w:color="auto"/>
              <w:right w:val="nil"/>
            </w:tcBorders>
            <w:shd w:val="clear" w:color="auto" w:fill="auto"/>
            <w:noWrap/>
            <w:hideMark/>
          </w:tcPr>
          <w:p w14:paraId="40F720EB" w14:textId="77777777" w:rsidR="00730DE4" w:rsidRPr="00730DE4" w:rsidRDefault="00730DE4" w:rsidP="001B0E0D">
            <w:pPr>
              <w:pStyle w:val="NoSpacing"/>
              <w:jc w:val="right"/>
              <w:rPr>
                <w:rStyle w:val="Strong"/>
              </w:rPr>
            </w:pPr>
            <w:r w:rsidRPr="00730DE4">
              <w:rPr>
                <w:rStyle w:val="Strong"/>
              </w:rPr>
              <w:t xml:space="preserve">241,599 </w:t>
            </w:r>
          </w:p>
        </w:tc>
      </w:tr>
      <w:tr w:rsidR="00730DE4" w:rsidRPr="00730DE4" w14:paraId="1091509C" w14:textId="77777777" w:rsidTr="0069436B">
        <w:trPr>
          <w:trHeight w:val="454"/>
        </w:trPr>
        <w:tc>
          <w:tcPr>
            <w:tcW w:w="3600" w:type="pct"/>
            <w:tcBorders>
              <w:top w:val="doub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2D03540" w14:textId="77777777" w:rsidR="00730DE4" w:rsidRPr="00730DE4" w:rsidRDefault="00730DE4" w:rsidP="00DB1BC4">
            <w:pPr>
              <w:pStyle w:val="NoSpacing"/>
              <w:rPr>
                <w:b/>
                <w:bCs/>
              </w:rPr>
            </w:pPr>
            <w:r w:rsidRPr="00730DE4">
              <w:rPr>
                <w:rStyle w:val="Strong"/>
              </w:rPr>
              <w:t>Non-current</w:t>
            </w:r>
          </w:p>
        </w:tc>
        <w:tc>
          <w:tcPr>
            <w:tcW w:w="787"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897DD66" w14:textId="77777777" w:rsidR="00730DE4" w:rsidRPr="00730DE4" w:rsidRDefault="00730DE4" w:rsidP="00DB1BC4">
            <w:pPr>
              <w:pStyle w:val="NoSpacing"/>
              <w:jc w:val="right"/>
              <w:rPr>
                <w:rStyle w:val="Strong"/>
              </w:rPr>
            </w:pPr>
          </w:p>
        </w:tc>
        <w:tc>
          <w:tcPr>
            <w:tcW w:w="613" w:type="pct"/>
            <w:tcBorders>
              <w:top w:val="double" w:sz="4" w:space="0" w:color="auto"/>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515635A" w14:textId="77777777" w:rsidR="00730DE4" w:rsidRPr="00730DE4" w:rsidRDefault="00730DE4" w:rsidP="00DB1BC4">
            <w:pPr>
              <w:pStyle w:val="NoSpacing"/>
              <w:jc w:val="right"/>
            </w:pPr>
          </w:p>
        </w:tc>
      </w:tr>
      <w:tr w:rsidR="00730DE4" w:rsidRPr="00730DE4" w14:paraId="7A8938AC" w14:textId="77777777" w:rsidTr="0069436B">
        <w:trPr>
          <w:trHeight w:val="240"/>
        </w:trPr>
        <w:tc>
          <w:tcPr>
            <w:tcW w:w="3600"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31CE2D24" w14:textId="77777777" w:rsidR="00730DE4" w:rsidRPr="00730DE4" w:rsidRDefault="00730DE4" w:rsidP="00DB1BC4">
            <w:pPr>
              <w:pStyle w:val="NoSpacing"/>
            </w:pPr>
            <w:r w:rsidRPr="00730DE4">
              <w:t>Other</w:t>
            </w:r>
          </w:p>
        </w:tc>
        <w:tc>
          <w:tcPr>
            <w:tcW w:w="787"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4DA687F5" w14:textId="77777777" w:rsidR="00730DE4" w:rsidRPr="00730DE4" w:rsidRDefault="00730DE4" w:rsidP="00DB1BC4">
            <w:pPr>
              <w:pStyle w:val="NoSpacing"/>
              <w:jc w:val="right"/>
            </w:pPr>
            <w:r w:rsidRPr="00730DE4">
              <w:t xml:space="preserve">620 </w:t>
            </w:r>
          </w:p>
        </w:tc>
        <w:tc>
          <w:tcPr>
            <w:tcW w:w="613"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08BA9F98" w14:textId="77777777" w:rsidR="00730DE4" w:rsidRPr="00730DE4" w:rsidRDefault="00730DE4" w:rsidP="00DB1BC4">
            <w:pPr>
              <w:pStyle w:val="NoSpacing"/>
              <w:jc w:val="right"/>
            </w:pPr>
            <w:r w:rsidRPr="00730DE4">
              <w:t xml:space="preserve">108 </w:t>
            </w:r>
          </w:p>
        </w:tc>
      </w:tr>
      <w:tr w:rsidR="00730DE4" w:rsidRPr="00730DE4" w14:paraId="53A3370E" w14:textId="77777777" w:rsidTr="0069436B">
        <w:tc>
          <w:tcPr>
            <w:tcW w:w="3600"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7D500FFF" w14:textId="77777777" w:rsidR="00730DE4" w:rsidRPr="00730DE4" w:rsidRDefault="00730DE4" w:rsidP="001B0E0D">
            <w:pPr>
              <w:pStyle w:val="NoSpacing"/>
              <w:rPr>
                <w:b/>
                <w:bCs/>
              </w:rPr>
            </w:pPr>
            <w:r w:rsidRPr="00730DE4">
              <w:rPr>
                <w:rStyle w:val="Strong"/>
              </w:rPr>
              <w:t>Total</w:t>
            </w:r>
          </w:p>
        </w:tc>
        <w:tc>
          <w:tcPr>
            <w:tcW w:w="787"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0382B109" w14:textId="77777777" w:rsidR="00730DE4" w:rsidRPr="00730DE4" w:rsidRDefault="00730DE4" w:rsidP="001B0E0D">
            <w:pPr>
              <w:pStyle w:val="NoSpacing"/>
              <w:jc w:val="right"/>
              <w:rPr>
                <w:b/>
                <w:bCs/>
              </w:rPr>
            </w:pPr>
            <w:r w:rsidRPr="00730DE4">
              <w:rPr>
                <w:rStyle w:val="Strong"/>
              </w:rPr>
              <w:t xml:space="preserve">620 </w:t>
            </w:r>
          </w:p>
        </w:tc>
        <w:tc>
          <w:tcPr>
            <w:tcW w:w="613" w:type="pct"/>
            <w:tcBorders>
              <w:top w:val="single" w:sz="4" w:space="0" w:color="auto"/>
              <w:left w:val="dotted" w:sz="4" w:space="0" w:color="BFBFBF" w:themeColor="background1" w:themeShade="BF"/>
              <w:bottom w:val="double" w:sz="4" w:space="0" w:color="auto"/>
              <w:right w:val="nil"/>
            </w:tcBorders>
            <w:shd w:val="clear" w:color="auto" w:fill="auto"/>
            <w:noWrap/>
            <w:hideMark/>
          </w:tcPr>
          <w:p w14:paraId="47CE6270" w14:textId="77777777" w:rsidR="00730DE4" w:rsidRPr="00730DE4" w:rsidRDefault="00730DE4" w:rsidP="001B0E0D">
            <w:pPr>
              <w:pStyle w:val="NoSpacing"/>
              <w:jc w:val="right"/>
              <w:rPr>
                <w:rStyle w:val="Strong"/>
              </w:rPr>
            </w:pPr>
            <w:r w:rsidRPr="00730DE4">
              <w:rPr>
                <w:rStyle w:val="Strong"/>
              </w:rPr>
              <w:t xml:space="preserve">108 </w:t>
            </w:r>
          </w:p>
        </w:tc>
      </w:tr>
    </w:tbl>
    <w:p w14:paraId="37840228" w14:textId="77777777" w:rsidR="00730DE4" w:rsidRPr="00730DE4" w:rsidRDefault="00730DE4" w:rsidP="0003619F">
      <w:pPr>
        <w:pStyle w:val="List0"/>
      </w:pPr>
      <w:r w:rsidRPr="00730DE4">
        <w:t>* Advance payments received from the Queensland Reconstruction Authority for projects relating to natural disasters.</w:t>
      </w:r>
    </w:p>
    <w:p w14:paraId="5E538BDA" w14:textId="77777777" w:rsidR="00730DE4" w:rsidRPr="00730DE4" w:rsidRDefault="00730DE4" w:rsidP="0003619F">
      <w:pPr>
        <w:pStyle w:val="List1"/>
      </w:pPr>
      <w:r w:rsidRPr="00730DE4">
        <w:t>** Land acquisition payments received from the Australian Rail Track Corporation for the Inland Rail project.</w:t>
      </w:r>
    </w:p>
    <w:p w14:paraId="4629036F" w14:textId="77777777" w:rsidR="00730DE4" w:rsidRPr="00730DE4" w:rsidRDefault="00730DE4" w:rsidP="0003619F">
      <w:pPr>
        <w:pStyle w:val="List6"/>
      </w:pPr>
      <w:r w:rsidRPr="00730DE4">
        <w:t xml:space="preserve">*** Represents unused </w:t>
      </w:r>
      <w:r w:rsidRPr="00730DE4">
        <w:rPr>
          <w:i/>
          <w:iCs/>
        </w:rPr>
        <w:t>go</w:t>
      </w:r>
      <w:r w:rsidRPr="00730DE4">
        <w:t xml:space="preserve"> card balances which are recognised as revenue as patrons undertake travel.</w:t>
      </w:r>
    </w:p>
    <w:p w14:paraId="2E759FFA" w14:textId="77777777" w:rsidR="00730DE4" w:rsidRPr="00730DE4" w:rsidRDefault="00730DE4" w:rsidP="00B61C69">
      <w:pPr>
        <w:pStyle w:val="Heading3"/>
        <w:rPr>
          <w:rFonts w:eastAsia="Times New Roman"/>
          <w:lang w:eastAsia="en-AU"/>
        </w:rPr>
      </w:pPr>
      <w:r w:rsidRPr="00730DE4">
        <w:rPr>
          <w:rFonts w:eastAsia="Times New Roman"/>
          <w:lang w:eastAsia="en-AU"/>
        </w:rPr>
        <w:br w:type="page"/>
      </w:r>
    </w:p>
    <w:p w14:paraId="71870DD0" w14:textId="77777777" w:rsidR="00730DE4" w:rsidRPr="00730DE4" w:rsidRDefault="00730DE4" w:rsidP="00B61C69">
      <w:pPr>
        <w:pStyle w:val="Heading3"/>
      </w:pPr>
      <w:bookmarkStart w:id="1584" w:name="_Toc179365618"/>
      <w:bookmarkStart w:id="1585" w:name="_Toc180490956"/>
      <w:bookmarkStart w:id="1586" w:name="_Toc180491989"/>
      <w:r w:rsidRPr="00730DE4">
        <w:rPr>
          <w:rFonts w:eastAsia="Times New Roman"/>
          <w:lang w:eastAsia="en-AU"/>
        </w:rPr>
        <w:t>Other Information</w:t>
      </w:r>
      <w:bookmarkEnd w:id="1584"/>
      <w:bookmarkEnd w:id="1585"/>
      <w:bookmarkEnd w:id="1586"/>
    </w:p>
    <w:p w14:paraId="6529D627" w14:textId="77777777" w:rsidR="00730DE4" w:rsidRPr="00730DE4" w:rsidRDefault="00730DE4" w:rsidP="00BF3C78">
      <w:pPr>
        <w:pStyle w:val="Heading4"/>
      </w:pPr>
      <w:bookmarkStart w:id="1587" w:name="_Toc179365619"/>
      <w:bookmarkStart w:id="1588" w:name="_Toc180490957"/>
      <w:bookmarkStart w:id="1589" w:name="_Toc180491990"/>
      <w:r w:rsidRPr="00730DE4">
        <w:t>23 Income tax equivalents</w:t>
      </w:r>
      <w:bookmarkEnd w:id="1587"/>
      <w:bookmarkEnd w:id="1588"/>
      <w:bookmarkEnd w:id="1589"/>
    </w:p>
    <w:tbl>
      <w:tblPr>
        <w:tblW w:w="5000" w:type="pct"/>
        <w:tblLayout w:type="fixed"/>
        <w:tblCellMar>
          <w:top w:w="23" w:type="dxa"/>
          <w:left w:w="23" w:type="dxa"/>
          <w:bottom w:w="23" w:type="dxa"/>
          <w:right w:w="23" w:type="dxa"/>
        </w:tblCellMar>
        <w:tblLook w:val="04A0" w:firstRow="1" w:lastRow="0" w:firstColumn="1" w:lastColumn="0" w:noHBand="0" w:noVBand="1"/>
      </w:tblPr>
      <w:tblGrid>
        <w:gridCol w:w="6663"/>
        <w:gridCol w:w="1203"/>
        <w:gridCol w:w="1204"/>
      </w:tblGrid>
      <w:tr w:rsidR="00730DE4" w:rsidRPr="00730DE4" w14:paraId="608EE1C2" w14:textId="77777777" w:rsidTr="00347785">
        <w:trPr>
          <w:trHeight w:val="90"/>
        </w:trPr>
        <w:tc>
          <w:tcPr>
            <w:tcW w:w="3673" w:type="pct"/>
            <w:tcBorders>
              <w:top w:val="nil"/>
              <w:left w:val="nil"/>
              <w:bottom w:val="single" w:sz="4" w:space="0" w:color="auto"/>
              <w:right w:val="nil"/>
            </w:tcBorders>
            <w:shd w:val="clear" w:color="auto" w:fill="auto"/>
            <w:noWrap/>
            <w:vAlign w:val="bottom"/>
            <w:hideMark/>
          </w:tcPr>
          <w:p w14:paraId="11097E19" w14:textId="77777777" w:rsidR="00730DE4" w:rsidRPr="00730DE4" w:rsidRDefault="00730DE4" w:rsidP="00AC6B0E">
            <w:pPr>
              <w:pStyle w:val="NoSpacing"/>
              <w:rPr>
                <w:rStyle w:val="Strong"/>
              </w:rPr>
            </w:pPr>
          </w:p>
        </w:tc>
        <w:tc>
          <w:tcPr>
            <w:tcW w:w="663" w:type="pct"/>
            <w:tcBorders>
              <w:top w:val="nil"/>
              <w:left w:val="nil"/>
              <w:bottom w:val="single" w:sz="4" w:space="0" w:color="auto"/>
              <w:right w:val="nil"/>
            </w:tcBorders>
            <w:shd w:val="clear" w:color="auto" w:fill="auto"/>
            <w:noWrap/>
            <w:vAlign w:val="bottom"/>
            <w:hideMark/>
          </w:tcPr>
          <w:p w14:paraId="34373616" w14:textId="77777777" w:rsidR="00730DE4" w:rsidRPr="00730DE4" w:rsidRDefault="00730DE4" w:rsidP="00AC6B0E">
            <w:pPr>
              <w:pStyle w:val="NoSpacing"/>
              <w:jc w:val="right"/>
            </w:pPr>
            <w:r w:rsidRPr="00730DE4">
              <w:rPr>
                <w:rStyle w:val="Strong"/>
              </w:rPr>
              <w:t xml:space="preserve">2024 </w:t>
            </w:r>
            <w:r w:rsidRPr="00730DE4">
              <w:rPr>
                <w:rStyle w:val="Strong"/>
              </w:rPr>
              <w:br/>
              <w:t>$'000</w:t>
            </w:r>
          </w:p>
        </w:tc>
        <w:tc>
          <w:tcPr>
            <w:tcW w:w="664" w:type="pct"/>
            <w:tcBorders>
              <w:top w:val="nil"/>
              <w:left w:val="nil"/>
              <w:bottom w:val="single" w:sz="4" w:space="0" w:color="auto"/>
              <w:right w:val="nil"/>
            </w:tcBorders>
            <w:shd w:val="clear" w:color="auto" w:fill="auto"/>
            <w:noWrap/>
            <w:vAlign w:val="bottom"/>
            <w:hideMark/>
          </w:tcPr>
          <w:p w14:paraId="4522BBE4" w14:textId="77777777" w:rsidR="00730DE4" w:rsidRPr="00730DE4" w:rsidRDefault="00730DE4" w:rsidP="00AC6B0E">
            <w:pPr>
              <w:pStyle w:val="NoSpacing"/>
              <w:jc w:val="right"/>
            </w:pPr>
            <w:r w:rsidRPr="00730DE4">
              <w:rPr>
                <w:rStyle w:val="Strong"/>
              </w:rPr>
              <w:t xml:space="preserve">2023 </w:t>
            </w:r>
            <w:r w:rsidRPr="00730DE4">
              <w:rPr>
                <w:rStyle w:val="Strong"/>
              </w:rPr>
              <w:br/>
              <w:t>$'000</w:t>
            </w:r>
          </w:p>
        </w:tc>
      </w:tr>
      <w:tr w:rsidR="00730DE4" w:rsidRPr="00730DE4" w14:paraId="1BC9F91E" w14:textId="77777777" w:rsidTr="00347785">
        <w:trPr>
          <w:trHeight w:val="454"/>
        </w:trPr>
        <w:tc>
          <w:tcPr>
            <w:tcW w:w="3673"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vAlign w:val="bottom"/>
          </w:tcPr>
          <w:p w14:paraId="6477B7B3" w14:textId="77777777" w:rsidR="00730DE4" w:rsidRPr="00730DE4" w:rsidRDefault="00730DE4" w:rsidP="00AC6B0E">
            <w:pPr>
              <w:pStyle w:val="NoSpacing"/>
              <w:rPr>
                <w:rStyle w:val="Strong"/>
              </w:rPr>
            </w:pPr>
            <w:r w:rsidRPr="00730DE4">
              <w:rPr>
                <w:rStyle w:val="Strong"/>
              </w:rPr>
              <w:t>Income tax equivalent expense</w:t>
            </w:r>
          </w:p>
        </w:tc>
        <w:tc>
          <w:tcPr>
            <w:tcW w:w="663"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5FCF4144" w14:textId="77777777" w:rsidR="00730DE4" w:rsidRPr="00730DE4" w:rsidRDefault="00730DE4" w:rsidP="00AC6B0E">
            <w:pPr>
              <w:pStyle w:val="NoSpacing"/>
              <w:jc w:val="right"/>
              <w:rPr>
                <w:rStyle w:val="Strong"/>
              </w:rPr>
            </w:pPr>
          </w:p>
        </w:tc>
        <w:tc>
          <w:tcPr>
            <w:tcW w:w="664"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vAlign w:val="bottom"/>
          </w:tcPr>
          <w:p w14:paraId="2D07B57B" w14:textId="77777777" w:rsidR="00730DE4" w:rsidRPr="00730DE4" w:rsidRDefault="00730DE4" w:rsidP="00AC6B0E">
            <w:pPr>
              <w:pStyle w:val="NoSpacing"/>
              <w:jc w:val="right"/>
              <w:rPr>
                <w:rStyle w:val="Strong"/>
              </w:rPr>
            </w:pPr>
          </w:p>
        </w:tc>
      </w:tr>
      <w:tr w:rsidR="00730DE4" w:rsidRPr="00730DE4" w14:paraId="7242C149" w14:textId="77777777" w:rsidTr="00347785">
        <w:trPr>
          <w:trHeight w:val="240"/>
        </w:trPr>
        <w:tc>
          <w:tcPr>
            <w:tcW w:w="3673"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E66A7AD" w14:textId="77777777" w:rsidR="00730DE4" w:rsidRPr="00730DE4" w:rsidRDefault="00730DE4" w:rsidP="00DB1BC4">
            <w:pPr>
              <w:pStyle w:val="NoSpacing"/>
            </w:pPr>
            <w:r w:rsidRPr="00730DE4">
              <w:t xml:space="preserve">Current tax equivalents </w:t>
            </w:r>
          </w:p>
        </w:tc>
        <w:tc>
          <w:tcPr>
            <w:tcW w:w="66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33B5F08" w14:textId="77777777" w:rsidR="00730DE4" w:rsidRPr="00730DE4" w:rsidRDefault="00730DE4" w:rsidP="00DB1BC4">
            <w:pPr>
              <w:pStyle w:val="NoSpacing"/>
              <w:jc w:val="right"/>
            </w:pPr>
            <w:r w:rsidRPr="00730DE4">
              <w:t xml:space="preserve">7,546 </w:t>
            </w:r>
          </w:p>
        </w:tc>
        <w:tc>
          <w:tcPr>
            <w:tcW w:w="664"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7B97ED1" w14:textId="77777777" w:rsidR="00730DE4" w:rsidRPr="00730DE4" w:rsidRDefault="00730DE4" w:rsidP="00DB1BC4">
            <w:pPr>
              <w:pStyle w:val="NoSpacing"/>
              <w:jc w:val="right"/>
            </w:pPr>
            <w:r w:rsidRPr="00730DE4">
              <w:t xml:space="preserve">7,252 </w:t>
            </w:r>
          </w:p>
        </w:tc>
      </w:tr>
      <w:tr w:rsidR="00730DE4" w:rsidRPr="00730DE4" w14:paraId="0087A605" w14:textId="77777777" w:rsidTr="00347785">
        <w:trPr>
          <w:trHeight w:val="240"/>
        </w:trPr>
        <w:tc>
          <w:tcPr>
            <w:tcW w:w="3673"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05FDF18D" w14:textId="77777777" w:rsidR="00730DE4" w:rsidRPr="00730DE4" w:rsidRDefault="00730DE4" w:rsidP="00DB1BC4">
            <w:pPr>
              <w:pStyle w:val="NoSpacing"/>
            </w:pPr>
            <w:r w:rsidRPr="00730DE4">
              <w:t>Deferred tax equivalent expense relating to temporary differences</w:t>
            </w:r>
          </w:p>
        </w:tc>
        <w:tc>
          <w:tcPr>
            <w:tcW w:w="66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A287494" w14:textId="77777777" w:rsidR="00730DE4" w:rsidRPr="00730DE4" w:rsidRDefault="00730DE4" w:rsidP="00DB1BC4">
            <w:pPr>
              <w:pStyle w:val="NoSpacing"/>
              <w:jc w:val="right"/>
            </w:pPr>
            <w:r w:rsidRPr="00730DE4">
              <w:t>(768)</w:t>
            </w:r>
          </w:p>
        </w:tc>
        <w:tc>
          <w:tcPr>
            <w:tcW w:w="664"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D0D411B" w14:textId="77777777" w:rsidR="00730DE4" w:rsidRPr="00730DE4" w:rsidRDefault="00730DE4" w:rsidP="00DB1BC4">
            <w:pPr>
              <w:pStyle w:val="NoSpacing"/>
              <w:jc w:val="right"/>
            </w:pPr>
            <w:r w:rsidRPr="00730DE4">
              <w:t xml:space="preserve">290 </w:t>
            </w:r>
          </w:p>
        </w:tc>
      </w:tr>
      <w:tr w:rsidR="00730DE4" w:rsidRPr="00730DE4" w14:paraId="09DAD4AD" w14:textId="77777777" w:rsidTr="00347785">
        <w:trPr>
          <w:trHeight w:val="240"/>
        </w:trPr>
        <w:tc>
          <w:tcPr>
            <w:tcW w:w="3673"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6EF8AF02" w14:textId="77777777" w:rsidR="00730DE4" w:rsidRPr="00730DE4" w:rsidRDefault="00730DE4" w:rsidP="00DB1BC4">
            <w:pPr>
              <w:pStyle w:val="NoSpacing"/>
            </w:pPr>
            <w:r w:rsidRPr="00730DE4">
              <w:t>Under provision in previous years</w:t>
            </w:r>
          </w:p>
        </w:tc>
        <w:tc>
          <w:tcPr>
            <w:tcW w:w="663"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555ECB79" w14:textId="77777777" w:rsidR="00730DE4" w:rsidRPr="00730DE4" w:rsidRDefault="00730DE4" w:rsidP="00DB1BC4">
            <w:pPr>
              <w:pStyle w:val="NoSpacing"/>
              <w:jc w:val="right"/>
            </w:pPr>
            <w:r w:rsidRPr="00730DE4">
              <w:t xml:space="preserve">19 </w:t>
            </w:r>
          </w:p>
        </w:tc>
        <w:tc>
          <w:tcPr>
            <w:tcW w:w="664"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30B0CDFB" w14:textId="77777777" w:rsidR="00730DE4" w:rsidRPr="00730DE4" w:rsidRDefault="00730DE4" w:rsidP="00DB1BC4">
            <w:pPr>
              <w:pStyle w:val="NoSpacing"/>
              <w:jc w:val="right"/>
            </w:pPr>
            <w:r w:rsidRPr="00730DE4">
              <w:t xml:space="preserve">160 </w:t>
            </w:r>
          </w:p>
        </w:tc>
      </w:tr>
      <w:tr w:rsidR="00730DE4" w:rsidRPr="00730DE4" w14:paraId="63119BE9" w14:textId="77777777" w:rsidTr="00347785">
        <w:tc>
          <w:tcPr>
            <w:tcW w:w="3673" w:type="pct"/>
            <w:tcBorders>
              <w:top w:val="single" w:sz="4" w:space="0" w:color="auto"/>
              <w:left w:val="nil"/>
              <w:bottom w:val="double" w:sz="4" w:space="0" w:color="auto"/>
            </w:tcBorders>
            <w:shd w:val="clear" w:color="auto" w:fill="auto"/>
            <w:noWrap/>
            <w:hideMark/>
          </w:tcPr>
          <w:p w14:paraId="2B1DB70F" w14:textId="77777777" w:rsidR="00730DE4" w:rsidRPr="00730DE4" w:rsidRDefault="00730DE4" w:rsidP="001B0E0D">
            <w:pPr>
              <w:pStyle w:val="NoSpacing"/>
              <w:rPr>
                <w:b/>
                <w:bCs/>
              </w:rPr>
            </w:pPr>
            <w:r w:rsidRPr="00730DE4">
              <w:rPr>
                <w:rStyle w:val="Strong"/>
              </w:rPr>
              <w:t xml:space="preserve">Income tax equivalent expense attributable to profit from ordinary activities </w:t>
            </w:r>
          </w:p>
        </w:tc>
        <w:tc>
          <w:tcPr>
            <w:tcW w:w="663" w:type="pct"/>
            <w:tcBorders>
              <w:top w:val="single" w:sz="4" w:space="0" w:color="auto"/>
              <w:bottom w:val="double" w:sz="4" w:space="0" w:color="auto"/>
            </w:tcBorders>
            <w:shd w:val="clear" w:color="auto" w:fill="F2F2F2" w:themeFill="background1" w:themeFillShade="F2"/>
            <w:noWrap/>
            <w:hideMark/>
          </w:tcPr>
          <w:p w14:paraId="2E04757E" w14:textId="77777777" w:rsidR="00730DE4" w:rsidRPr="00730DE4" w:rsidRDefault="00730DE4" w:rsidP="001B0E0D">
            <w:pPr>
              <w:pStyle w:val="NoSpacing"/>
              <w:jc w:val="right"/>
              <w:rPr>
                <w:b/>
                <w:bCs/>
              </w:rPr>
            </w:pPr>
            <w:r w:rsidRPr="00730DE4">
              <w:rPr>
                <w:rStyle w:val="Strong"/>
              </w:rPr>
              <w:t xml:space="preserve">6,797 </w:t>
            </w:r>
          </w:p>
        </w:tc>
        <w:tc>
          <w:tcPr>
            <w:tcW w:w="664" w:type="pct"/>
            <w:tcBorders>
              <w:top w:val="single" w:sz="4" w:space="0" w:color="auto"/>
              <w:bottom w:val="double" w:sz="4" w:space="0" w:color="auto"/>
              <w:right w:val="nil"/>
            </w:tcBorders>
            <w:shd w:val="clear" w:color="auto" w:fill="auto"/>
            <w:noWrap/>
            <w:hideMark/>
          </w:tcPr>
          <w:p w14:paraId="7C1C41B4" w14:textId="77777777" w:rsidR="00730DE4" w:rsidRPr="00730DE4" w:rsidRDefault="00730DE4" w:rsidP="001B0E0D">
            <w:pPr>
              <w:pStyle w:val="NoSpacing"/>
              <w:jc w:val="right"/>
              <w:rPr>
                <w:rStyle w:val="Strong"/>
              </w:rPr>
            </w:pPr>
            <w:r w:rsidRPr="00730DE4">
              <w:rPr>
                <w:rStyle w:val="Strong"/>
              </w:rPr>
              <w:t xml:space="preserve">7,702 </w:t>
            </w:r>
          </w:p>
        </w:tc>
      </w:tr>
      <w:tr w:rsidR="00730DE4" w:rsidRPr="00730DE4" w14:paraId="517BC465" w14:textId="77777777" w:rsidTr="00347785">
        <w:trPr>
          <w:trHeight w:val="680"/>
        </w:trPr>
        <w:tc>
          <w:tcPr>
            <w:tcW w:w="3673" w:type="pct"/>
            <w:tcBorders>
              <w:top w:val="double" w:sz="4" w:space="0" w:color="auto"/>
              <w:left w:val="nil"/>
              <w:bottom w:val="dotted" w:sz="4" w:space="0" w:color="BFBFBF" w:themeColor="background1" w:themeShade="BF"/>
              <w:right w:val="dotted" w:sz="4" w:space="0" w:color="BFBFBF" w:themeColor="background1" w:themeShade="BF"/>
            </w:tcBorders>
            <w:shd w:val="clear" w:color="auto" w:fill="auto"/>
            <w:noWrap/>
            <w:vAlign w:val="bottom"/>
          </w:tcPr>
          <w:p w14:paraId="35972DDC" w14:textId="77777777" w:rsidR="00730DE4" w:rsidRPr="00730DE4" w:rsidRDefault="00730DE4" w:rsidP="00F26F78">
            <w:pPr>
              <w:pStyle w:val="NoSpacing"/>
              <w:rPr>
                <w:rStyle w:val="Strong"/>
              </w:rPr>
            </w:pPr>
            <w:r w:rsidRPr="00730DE4">
              <w:rPr>
                <w:rStyle w:val="Strong"/>
              </w:rPr>
              <w:t>Numerical reconciliation of income tax equivalent expense to prima facie tax payable</w:t>
            </w:r>
          </w:p>
        </w:tc>
        <w:tc>
          <w:tcPr>
            <w:tcW w:w="663"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03C72033" w14:textId="77777777" w:rsidR="00730DE4" w:rsidRPr="00730DE4" w:rsidRDefault="00730DE4" w:rsidP="00F26F78">
            <w:pPr>
              <w:pStyle w:val="NoSpacing"/>
              <w:jc w:val="right"/>
              <w:rPr>
                <w:rStyle w:val="Strong"/>
              </w:rPr>
            </w:pPr>
          </w:p>
        </w:tc>
        <w:tc>
          <w:tcPr>
            <w:tcW w:w="664" w:type="pct"/>
            <w:tcBorders>
              <w:top w:val="double" w:sz="4" w:space="0" w:color="auto"/>
              <w:left w:val="dotted" w:sz="4" w:space="0" w:color="BFBFBF" w:themeColor="background1" w:themeShade="BF"/>
              <w:bottom w:val="dotted" w:sz="4" w:space="0" w:color="BFBFBF" w:themeColor="background1" w:themeShade="BF"/>
              <w:right w:val="nil"/>
            </w:tcBorders>
            <w:shd w:val="clear" w:color="auto" w:fill="auto"/>
            <w:noWrap/>
            <w:vAlign w:val="bottom"/>
          </w:tcPr>
          <w:p w14:paraId="092AFEC0" w14:textId="77777777" w:rsidR="00730DE4" w:rsidRPr="00730DE4" w:rsidRDefault="00730DE4" w:rsidP="00F26F78">
            <w:pPr>
              <w:pStyle w:val="NoSpacing"/>
              <w:jc w:val="right"/>
            </w:pPr>
          </w:p>
        </w:tc>
      </w:tr>
      <w:tr w:rsidR="00730DE4" w:rsidRPr="00730DE4" w14:paraId="2DE5CF83" w14:textId="77777777" w:rsidTr="00347785">
        <w:trPr>
          <w:trHeight w:val="240"/>
        </w:trPr>
        <w:tc>
          <w:tcPr>
            <w:tcW w:w="3673"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142A3CD2" w14:textId="77777777" w:rsidR="00730DE4" w:rsidRPr="00730DE4" w:rsidRDefault="00730DE4" w:rsidP="00DB1BC4">
            <w:pPr>
              <w:pStyle w:val="NoSpacing"/>
            </w:pPr>
            <w:r w:rsidRPr="00730DE4">
              <w:t xml:space="preserve">Accounting profit before tax </w:t>
            </w:r>
          </w:p>
        </w:tc>
        <w:tc>
          <w:tcPr>
            <w:tcW w:w="66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36C0DDF" w14:textId="77777777" w:rsidR="00730DE4" w:rsidRPr="00730DE4" w:rsidRDefault="00730DE4" w:rsidP="00DB1BC4">
            <w:pPr>
              <w:pStyle w:val="NoSpacing"/>
              <w:jc w:val="right"/>
            </w:pPr>
            <w:r w:rsidRPr="00730DE4">
              <w:t xml:space="preserve">30,300 </w:t>
            </w:r>
          </w:p>
        </w:tc>
        <w:tc>
          <w:tcPr>
            <w:tcW w:w="664"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35CE5B9" w14:textId="77777777" w:rsidR="00730DE4" w:rsidRPr="00730DE4" w:rsidRDefault="00730DE4" w:rsidP="00DB1BC4">
            <w:pPr>
              <w:pStyle w:val="NoSpacing"/>
              <w:jc w:val="right"/>
            </w:pPr>
            <w:r w:rsidRPr="00730DE4">
              <w:t xml:space="preserve">29,893 </w:t>
            </w:r>
          </w:p>
        </w:tc>
      </w:tr>
      <w:tr w:rsidR="00730DE4" w:rsidRPr="00730DE4" w14:paraId="286AE7F4" w14:textId="77777777" w:rsidTr="00347785">
        <w:trPr>
          <w:trHeight w:val="240"/>
        </w:trPr>
        <w:tc>
          <w:tcPr>
            <w:tcW w:w="3673"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64569E3E" w14:textId="77777777" w:rsidR="00730DE4" w:rsidRPr="00730DE4" w:rsidRDefault="00730DE4" w:rsidP="00DB1BC4">
            <w:pPr>
              <w:pStyle w:val="NoSpacing"/>
            </w:pPr>
            <w:r w:rsidRPr="00730DE4">
              <w:t>Prima facie tax at applicable rate of 30%</w:t>
            </w:r>
          </w:p>
        </w:tc>
        <w:tc>
          <w:tcPr>
            <w:tcW w:w="66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A019F91" w14:textId="77777777" w:rsidR="00730DE4" w:rsidRPr="00730DE4" w:rsidRDefault="00730DE4" w:rsidP="00DB1BC4">
            <w:pPr>
              <w:pStyle w:val="NoSpacing"/>
              <w:jc w:val="right"/>
            </w:pPr>
            <w:r w:rsidRPr="00730DE4">
              <w:t xml:space="preserve">9,090 </w:t>
            </w:r>
          </w:p>
        </w:tc>
        <w:tc>
          <w:tcPr>
            <w:tcW w:w="664"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B535EDB" w14:textId="77777777" w:rsidR="00730DE4" w:rsidRPr="00730DE4" w:rsidRDefault="00730DE4" w:rsidP="00DB1BC4">
            <w:pPr>
              <w:pStyle w:val="NoSpacing"/>
              <w:jc w:val="right"/>
            </w:pPr>
            <w:r w:rsidRPr="00730DE4">
              <w:t xml:space="preserve">8,968 </w:t>
            </w:r>
          </w:p>
        </w:tc>
      </w:tr>
      <w:tr w:rsidR="00730DE4" w:rsidRPr="00730DE4" w14:paraId="54A6870A" w14:textId="77777777" w:rsidTr="00347785">
        <w:trPr>
          <w:trHeight w:val="240"/>
        </w:trPr>
        <w:tc>
          <w:tcPr>
            <w:tcW w:w="3673"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85140CD" w14:textId="77777777" w:rsidR="00730DE4" w:rsidRPr="00730DE4" w:rsidRDefault="00730DE4" w:rsidP="000776AC">
            <w:pPr>
              <w:pStyle w:val="NoSpacing"/>
            </w:pPr>
            <w:r w:rsidRPr="00730DE4">
              <w:t>Adjustments for non-temporary differences and excluded temporary differences:</w:t>
            </w:r>
          </w:p>
        </w:tc>
        <w:tc>
          <w:tcPr>
            <w:tcW w:w="66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02FC50C" w14:textId="77777777" w:rsidR="00730DE4" w:rsidRPr="00730DE4" w:rsidRDefault="00730DE4" w:rsidP="00DB1BC4">
            <w:pPr>
              <w:pStyle w:val="NoSpacing"/>
              <w:jc w:val="right"/>
            </w:pPr>
            <w:r w:rsidRPr="00730DE4">
              <w:t> </w:t>
            </w:r>
          </w:p>
        </w:tc>
        <w:tc>
          <w:tcPr>
            <w:tcW w:w="664"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3A74FA0" w14:textId="77777777" w:rsidR="00730DE4" w:rsidRPr="00730DE4" w:rsidRDefault="00730DE4" w:rsidP="00DB1BC4">
            <w:pPr>
              <w:pStyle w:val="NoSpacing"/>
              <w:jc w:val="right"/>
            </w:pPr>
          </w:p>
        </w:tc>
      </w:tr>
      <w:tr w:rsidR="00730DE4" w:rsidRPr="00730DE4" w14:paraId="4596B6B8" w14:textId="77777777" w:rsidTr="00347785">
        <w:trPr>
          <w:trHeight w:val="240"/>
        </w:trPr>
        <w:tc>
          <w:tcPr>
            <w:tcW w:w="3673"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13976347" w14:textId="77777777" w:rsidR="00730DE4" w:rsidRPr="00730DE4" w:rsidRDefault="00730DE4" w:rsidP="004B7C3B">
            <w:pPr>
              <w:pStyle w:val="NoSpacingIndent"/>
            </w:pPr>
            <w:r w:rsidRPr="00730DE4">
              <w:t>Deductible temporary differences not recognised</w:t>
            </w:r>
          </w:p>
        </w:tc>
        <w:tc>
          <w:tcPr>
            <w:tcW w:w="66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1C849B3" w14:textId="77777777" w:rsidR="00730DE4" w:rsidRPr="00730DE4" w:rsidRDefault="00730DE4" w:rsidP="00DB1BC4">
            <w:pPr>
              <w:pStyle w:val="NoSpacing"/>
              <w:jc w:val="right"/>
            </w:pPr>
            <w:r w:rsidRPr="00730DE4">
              <w:t xml:space="preserve">262 </w:t>
            </w:r>
          </w:p>
        </w:tc>
        <w:tc>
          <w:tcPr>
            <w:tcW w:w="664"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BC026A0" w14:textId="77777777" w:rsidR="00730DE4" w:rsidRPr="00730DE4" w:rsidRDefault="00730DE4" w:rsidP="00DB1BC4">
            <w:pPr>
              <w:pStyle w:val="NoSpacing"/>
              <w:jc w:val="right"/>
            </w:pPr>
            <w:r w:rsidRPr="00730DE4">
              <w:t xml:space="preserve">249 </w:t>
            </w:r>
          </w:p>
        </w:tc>
      </w:tr>
      <w:tr w:rsidR="00730DE4" w:rsidRPr="00730DE4" w14:paraId="19E1F391" w14:textId="77777777" w:rsidTr="00347785">
        <w:trPr>
          <w:trHeight w:val="240"/>
        </w:trPr>
        <w:tc>
          <w:tcPr>
            <w:tcW w:w="3673"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41EC8E94" w14:textId="77777777" w:rsidR="00730DE4" w:rsidRPr="00730DE4" w:rsidRDefault="00730DE4" w:rsidP="004B7C3B">
            <w:pPr>
              <w:pStyle w:val="NoSpacingIndent"/>
            </w:pPr>
            <w:r w:rsidRPr="00730DE4">
              <w:t>Effect of tax losses recognised</w:t>
            </w:r>
          </w:p>
        </w:tc>
        <w:tc>
          <w:tcPr>
            <w:tcW w:w="66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B26A686" w14:textId="77777777" w:rsidR="00730DE4" w:rsidRPr="00730DE4" w:rsidRDefault="00730DE4" w:rsidP="00DB1BC4">
            <w:pPr>
              <w:pStyle w:val="NoSpacing"/>
              <w:jc w:val="right"/>
            </w:pPr>
            <w:r w:rsidRPr="00730DE4">
              <w:t>(2,574)</w:t>
            </w:r>
          </w:p>
        </w:tc>
        <w:tc>
          <w:tcPr>
            <w:tcW w:w="664"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4CF2598" w14:textId="77777777" w:rsidR="00730DE4" w:rsidRPr="00730DE4" w:rsidRDefault="00730DE4" w:rsidP="00DB1BC4">
            <w:pPr>
              <w:pStyle w:val="NoSpacing"/>
              <w:jc w:val="right"/>
            </w:pPr>
            <w:r w:rsidRPr="00730DE4">
              <w:t>(1,675)</w:t>
            </w:r>
          </w:p>
        </w:tc>
      </w:tr>
      <w:tr w:rsidR="00730DE4" w:rsidRPr="00730DE4" w14:paraId="5ED2AEC3" w14:textId="77777777" w:rsidTr="00347785">
        <w:trPr>
          <w:trHeight w:val="240"/>
        </w:trPr>
        <w:tc>
          <w:tcPr>
            <w:tcW w:w="3673"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0C49AFC3" w14:textId="77777777" w:rsidR="00730DE4" w:rsidRPr="00730DE4" w:rsidRDefault="00730DE4" w:rsidP="004B7C3B">
            <w:pPr>
              <w:pStyle w:val="NoSpacingIndent"/>
            </w:pPr>
            <w:r w:rsidRPr="00730DE4">
              <w:t>Under provision in previous years</w:t>
            </w:r>
          </w:p>
        </w:tc>
        <w:tc>
          <w:tcPr>
            <w:tcW w:w="663"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01E87428" w14:textId="77777777" w:rsidR="00730DE4" w:rsidRPr="00730DE4" w:rsidRDefault="00730DE4" w:rsidP="00DB1BC4">
            <w:pPr>
              <w:pStyle w:val="NoSpacing"/>
              <w:jc w:val="right"/>
            </w:pPr>
            <w:r w:rsidRPr="00730DE4">
              <w:t xml:space="preserve">19 </w:t>
            </w:r>
          </w:p>
        </w:tc>
        <w:tc>
          <w:tcPr>
            <w:tcW w:w="664"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4DBCCB5E" w14:textId="77777777" w:rsidR="00730DE4" w:rsidRPr="00730DE4" w:rsidRDefault="00730DE4" w:rsidP="00DB1BC4">
            <w:pPr>
              <w:pStyle w:val="NoSpacing"/>
              <w:jc w:val="right"/>
            </w:pPr>
            <w:r w:rsidRPr="00730DE4">
              <w:t xml:space="preserve">160 </w:t>
            </w:r>
          </w:p>
        </w:tc>
      </w:tr>
      <w:tr w:rsidR="00730DE4" w:rsidRPr="00730DE4" w14:paraId="457E9E64" w14:textId="77777777" w:rsidTr="00347785">
        <w:tc>
          <w:tcPr>
            <w:tcW w:w="3673"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538768F9" w14:textId="77777777" w:rsidR="00730DE4" w:rsidRPr="00730DE4" w:rsidRDefault="00730DE4" w:rsidP="001B0E0D">
            <w:pPr>
              <w:pStyle w:val="NoSpacing"/>
              <w:rPr>
                <w:b/>
                <w:bCs/>
              </w:rPr>
            </w:pPr>
            <w:r w:rsidRPr="00730DE4">
              <w:rPr>
                <w:rStyle w:val="Strong"/>
              </w:rPr>
              <w:t xml:space="preserve">Income tax equivalent expense attributable to profit from ordinary activities </w:t>
            </w:r>
          </w:p>
        </w:tc>
        <w:tc>
          <w:tcPr>
            <w:tcW w:w="663"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0CD2F526" w14:textId="77777777" w:rsidR="00730DE4" w:rsidRPr="00730DE4" w:rsidRDefault="00730DE4" w:rsidP="001B0E0D">
            <w:pPr>
              <w:pStyle w:val="NoSpacing"/>
              <w:jc w:val="right"/>
              <w:rPr>
                <w:b/>
                <w:bCs/>
              </w:rPr>
            </w:pPr>
            <w:r w:rsidRPr="00730DE4">
              <w:rPr>
                <w:rStyle w:val="Strong"/>
              </w:rPr>
              <w:t xml:space="preserve">6,797 </w:t>
            </w:r>
          </w:p>
        </w:tc>
        <w:tc>
          <w:tcPr>
            <w:tcW w:w="664" w:type="pct"/>
            <w:tcBorders>
              <w:top w:val="single" w:sz="4" w:space="0" w:color="auto"/>
              <w:left w:val="dotted" w:sz="4" w:space="0" w:color="BFBFBF" w:themeColor="background1" w:themeShade="BF"/>
              <w:bottom w:val="double" w:sz="4" w:space="0" w:color="auto"/>
              <w:right w:val="nil"/>
            </w:tcBorders>
            <w:shd w:val="clear" w:color="auto" w:fill="auto"/>
            <w:noWrap/>
            <w:hideMark/>
          </w:tcPr>
          <w:p w14:paraId="14135A5F" w14:textId="77777777" w:rsidR="00730DE4" w:rsidRPr="00730DE4" w:rsidRDefault="00730DE4" w:rsidP="001B0E0D">
            <w:pPr>
              <w:pStyle w:val="NoSpacing"/>
              <w:jc w:val="right"/>
              <w:rPr>
                <w:rStyle w:val="Strong"/>
              </w:rPr>
            </w:pPr>
            <w:r w:rsidRPr="00730DE4">
              <w:rPr>
                <w:rStyle w:val="Strong"/>
              </w:rPr>
              <w:t xml:space="preserve">7,702 </w:t>
            </w:r>
          </w:p>
        </w:tc>
      </w:tr>
      <w:tr w:rsidR="00730DE4" w:rsidRPr="00730DE4" w14:paraId="07DAF78A" w14:textId="77777777" w:rsidTr="00347785">
        <w:trPr>
          <w:trHeight w:val="680"/>
        </w:trPr>
        <w:tc>
          <w:tcPr>
            <w:tcW w:w="3673" w:type="pct"/>
            <w:tcBorders>
              <w:top w:val="double" w:sz="4" w:space="0" w:color="auto"/>
              <w:left w:val="nil"/>
              <w:bottom w:val="dotted" w:sz="4" w:space="0" w:color="BFBFBF" w:themeColor="background1" w:themeShade="BF"/>
              <w:right w:val="dotted" w:sz="4" w:space="0" w:color="BFBFBF" w:themeColor="background1" w:themeShade="BF"/>
            </w:tcBorders>
            <w:shd w:val="clear" w:color="auto" w:fill="auto"/>
            <w:noWrap/>
            <w:vAlign w:val="bottom"/>
          </w:tcPr>
          <w:p w14:paraId="258F3ECB" w14:textId="77777777" w:rsidR="00730DE4" w:rsidRPr="00730DE4" w:rsidRDefault="00730DE4" w:rsidP="00F26F78">
            <w:pPr>
              <w:pStyle w:val="NoSpacing"/>
              <w:rPr>
                <w:rStyle w:val="Strong"/>
              </w:rPr>
            </w:pPr>
            <w:r w:rsidRPr="00730DE4">
              <w:rPr>
                <w:rStyle w:val="Strong"/>
              </w:rPr>
              <w:t>Deferred tax equivalent expense/(income) included in income tax equivalent expense comprises:</w:t>
            </w:r>
          </w:p>
        </w:tc>
        <w:tc>
          <w:tcPr>
            <w:tcW w:w="663"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0368AAC5" w14:textId="77777777" w:rsidR="00730DE4" w:rsidRPr="00730DE4" w:rsidRDefault="00730DE4" w:rsidP="00F26F78">
            <w:pPr>
              <w:pStyle w:val="NoSpacing"/>
              <w:jc w:val="right"/>
              <w:rPr>
                <w:rStyle w:val="Strong"/>
              </w:rPr>
            </w:pPr>
          </w:p>
        </w:tc>
        <w:tc>
          <w:tcPr>
            <w:tcW w:w="664" w:type="pct"/>
            <w:tcBorders>
              <w:top w:val="double" w:sz="4" w:space="0" w:color="auto"/>
              <w:left w:val="dotted" w:sz="4" w:space="0" w:color="BFBFBF" w:themeColor="background1" w:themeShade="BF"/>
              <w:bottom w:val="dotted" w:sz="4" w:space="0" w:color="BFBFBF" w:themeColor="background1" w:themeShade="BF"/>
              <w:right w:val="nil"/>
            </w:tcBorders>
            <w:shd w:val="clear" w:color="auto" w:fill="auto"/>
            <w:noWrap/>
            <w:vAlign w:val="bottom"/>
          </w:tcPr>
          <w:p w14:paraId="616C03CF" w14:textId="77777777" w:rsidR="00730DE4" w:rsidRPr="00730DE4" w:rsidRDefault="00730DE4" w:rsidP="00F26F78">
            <w:pPr>
              <w:pStyle w:val="NoSpacing"/>
              <w:jc w:val="right"/>
            </w:pPr>
          </w:p>
        </w:tc>
      </w:tr>
      <w:tr w:rsidR="00730DE4" w:rsidRPr="00730DE4" w14:paraId="5DE8E61C" w14:textId="77777777" w:rsidTr="00347785">
        <w:trPr>
          <w:trHeight w:val="240"/>
        </w:trPr>
        <w:tc>
          <w:tcPr>
            <w:tcW w:w="3673"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6572CB7" w14:textId="77777777" w:rsidR="00730DE4" w:rsidRPr="00730DE4" w:rsidRDefault="00730DE4" w:rsidP="00DB1BC4">
            <w:pPr>
              <w:pStyle w:val="NoSpacing"/>
            </w:pPr>
            <w:r w:rsidRPr="00730DE4">
              <w:t>Deferred tax assets opening balance</w:t>
            </w:r>
          </w:p>
        </w:tc>
        <w:tc>
          <w:tcPr>
            <w:tcW w:w="66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95B628B" w14:textId="77777777" w:rsidR="00730DE4" w:rsidRPr="00730DE4" w:rsidRDefault="00730DE4" w:rsidP="00DB1BC4">
            <w:pPr>
              <w:pStyle w:val="NoSpacing"/>
              <w:jc w:val="right"/>
            </w:pPr>
            <w:r w:rsidRPr="00730DE4">
              <w:t xml:space="preserve">3,001 </w:t>
            </w:r>
          </w:p>
        </w:tc>
        <w:tc>
          <w:tcPr>
            <w:tcW w:w="664"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1E01DEE" w14:textId="77777777" w:rsidR="00730DE4" w:rsidRPr="00730DE4" w:rsidRDefault="00730DE4" w:rsidP="00DB1BC4">
            <w:pPr>
              <w:pStyle w:val="NoSpacing"/>
              <w:jc w:val="right"/>
            </w:pPr>
            <w:r w:rsidRPr="00730DE4">
              <w:t xml:space="preserve">3,296 </w:t>
            </w:r>
          </w:p>
        </w:tc>
      </w:tr>
      <w:tr w:rsidR="00730DE4" w:rsidRPr="00730DE4" w14:paraId="0D7A2794" w14:textId="77777777" w:rsidTr="00347785">
        <w:trPr>
          <w:trHeight w:val="240"/>
        </w:trPr>
        <w:tc>
          <w:tcPr>
            <w:tcW w:w="3673"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4AD0B848" w14:textId="77777777" w:rsidR="00730DE4" w:rsidRPr="00730DE4" w:rsidRDefault="00730DE4" w:rsidP="00DB1BC4">
            <w:pPr>
              <w:pStyle w:val="NoSpacing"/>
            </w:pPr>
            <w:r w:rsidRPr="00730DE4">
              <w:t>Transfer in due to machinery-of-government change</w:t>
            </w:r>
          </w:p>
        </w:tc>
        <w:tc>
          <w:tcPr>
            <w:tcW w:w="66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43A8284" w14:textId="77777777" w:rsidR="00730DE4" w:rsidRPr="00730DE4" w:rsidRDefault="00730DE4" w:rsidP="00DB1BC4">
            <w:pPr>
              <w:pStyle w:val="NoSpacing"/>
              <w:jc w:val="right"/>
            </w:pPr>
            <w:r w:rsidRPr="00730DE4">
              <w:t xml:space="preserve">- </w:t>
            </w:r>
          </w:p>
        </w:tc>
        <w:tc>
          <w:tcPr>
            <w:tcW w:w="664"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3ADCC0F" w14:textId="77777777" w:rsidR="00730DE4" w:rsidRPr="00730DE4" w:rsidRDefault="00730DE4" w:rsidP="00DB1BC4">
            <w:pPr>
              <w:pStyle w:val="NoSpacing"/>
              <w:jc w:val="right"/>
            </w:pPr>
            <w:r w:rsidRPr="00730DE4">
              <w:t>(4)</w:t>
            </w:r>
          </w:p>
        </w:tc>
      </w:tr>
      <w:tr w:rsidR="00730DE4" w:rsidRPr="00730DE4" w14:paraId="4DD0A196" w14:textId="77777777" w:rsidTr="00347785">
        <w:trPr>
          <w:trHeight w:val="240"/>
        </w:trPr>
        <w:tc>
          <w:tcPr>
            <w:tcW w:w="3673"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224D2139" w14:textId="77777777" w:rsidR="00730DE4" w:rsidRPr="00730DE4" w:rsidRDefault="00730DE4" w:rsidP="00DB1BC4">
            <w:pPr>
              <w:pStyle w:val="NoSpacing"/>
            </w:pPr>
            <w:r w:rsidRPr="00730DE4">
              <w:t>Increase/(decrease) in deferred tax assets</w:t>
            </w:r>
          </w:p>
        </w:tc>
        <w:tc>
          <w:tcPr>
            <w:tcW w:w="663"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040053FD" w14:textId="77777777" w:rsidR="00730DE4" w:rsidRPr="00730DE4" w:rsidRDefault="00730DE4" w:rsidP="00DB1BC4">
            <w:pPr>
              <w:pStyle w:val="NoSpacing"/>
              <w:jc w:val="right"/>
            </w:pPr>
            <w:r w:rsidRPr="00730DE4">
              <w:t xml:space="preserve">768 </w:t>
            </w:r>
          </w:p>
        </w:tc>
        <w:tc>
          <w:tcPr>
            <w:tcW w:w="664"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1BA2C0F1" w14:textId="77777777" w:rsidR="00730DE4" w:rsidRPr="00730DE4" w:rsidRDefault="00730DE4" w:rsidP="00DB1BC4">
            <w:pPr>
              <w:pStyle w:val="NoSpacing"/>
              <w:jc w:val="right"/>
            </w:pPr>
            <w:r w:rsidRPr="00730DE4">
              <w:t>(291)</w:t>
            </w:r>
          </w:p>
        </w:tc>
      </w:tr>
      <w:tr w:rsidR="00730DE4" w:rsidRPr="00730DE4" w14:paraId="172E730A" w14:textId="77777777" w:rsidTr="00347785">
        <w:tc>
          <w:tcPr>
            <w:tcW w:w="3673"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57D3CEA2" w14:textId="77777777" w:rsidR="00730DE4" w:rsidRPr="00730DE4" w:rsidRDefault="00730DE4" w:rsidP="001B0E0D">
            <w:pPr>
              <w:pStyle w:val="NoSpacing"/>
              <w:rPr>
                <w:b/>
                <w:bCs/>
              </w:rPr>
            </w:pPr>
            <w:r w:rsidRPr="00730DE4">
              <w:rPr>
                <w:rStyle w:val="Strong"/>
              </w:rPr>
              <w:t xml:space="preserve">Deferred tax assets at 30 June </w:t>
            </w:r>
          </w:p>
        </w:tc>
        <w:tc>
          <w:tcPr>
            <w:tcW w:w="663"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73AB0034" w14:textId="77777777" w:rsidR="00730DE4" w:rsidRPr="00730DE4" w:rsidRDefault="00730DE4" w:rsidP="001B0E0D">
            <w:pPr>
              <w:pStyle w:val="NoSpacing"/>
              <w:jc w:val="right"/>
              <w:rPr>
                <w:b/>
                <w:bCs/>
              </w:rPr>
            </w:pPr>
            <w:r w:rsidRPr="00730DE4">
              <w:rPr>
                <w:rStyle w:val="Strong"/>
              </w:rPr>
              <w:t xml:space="preserve">3,769 </w:t>
            </w:r>
          </w:p>
        </w:tc>
        <w:tc>
          <w:tcPr>
            <w:tcW w:w="664" w:type="pct"/>
            <w:tcBorders>
              <w:top w:val="single" w:sz="4" w:space="0" w:color="auto"/>
              <w:left w:val="dotted" w:sz="4" w:space="0" w:color="BFBFBF" w:themeColor="background1" w:themeShade="BF"/>
              <w:bottom w:val="double" w:sz="4" w:space="0" w:color="auto"/>
              <w:right w:val="nil"/>
            </w:tcBorders>
            <w:shd w:val="clear" w:color="auto" w:fill="auto"/>
            <w:noWrap/>
            <w:hideMark/>
          </w:tcPr>
          <w:p w14:paraId="0233C58D" w14:textId="77777777" w:rsidR="00730DE4" w:rsidRPr="00730DE4" w:rsidRDefault="00730DE4" w:rsidP="001B0E0D">
            <w:pPr>
              <w:pStyle w:val="NoSpacing"/>
              <w:jc w:val="right"/>
              <w:rPr>
                <w:rStyle w:val="Strong"/>
              </w:rPr>
            </w:pPr>
            <w:r w:rsidRPr="00730DE4">
              <w:rPr>
                <w:rStyle w:val="Strong"/>
              </w:rPr>
              <w:t xml:space="preserve">3,001 </w:t>
            </w:r>
          </w:p>
        </w:tc>
      </w:tr>
      <w:tr w:rsidR="00730DE4" w:rsidRPr="00730DE4" w14:paraId="6A4CD6B0" w14:textId="77777777" w:rsidTr="00347785">
        <w:trPr>
          <w:trHeight w:val="454"/>
        </w:trPr>
        <w:tc>
          <w:tcPr>
            <w:tcW w:w="3673" w:type="pct"/>
            <w:tcBorders>
              <w:top w:val="doub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6BFFFEAE" w14:textId="77777777" w:rsidR="00730DE4" w:rsidRPr="00730DE4" w:rsidRDefault="00730DE4" w:rsidP="00F26F78">
            <w:pPr>
              <w:pStyle w:val="NoSpacing"/>
              <w:rPr>
                <w:b/>
                <w:bCs/>
              </w:rPr>
            </w:pPr>
            <w:r w:rsidRPr="00730DE4">
              <w:rPr>
                <w:rStyle w:val="Strong"/>
              </w:rPr>
              <w:t>Proof of deferred tax assets</w:t>
            </w:r>
          </w:p>
        </w:tc>
        <w:tc>
          <w:tcPr>
            <w:tcW w:w="663"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56DA44F5" w14:textId="77777777" w:rsidR="00730DE4" w:rsidRPr="00730DE4" w:rsidRDefault="00730DE4" w:rsidP="00F26F78">
            <w:pPr>
              <w:pStyle w:val="NoSpacing"/>
              <w:jc w:val="right"/>
              <w:rPr>
                <w:rStyle w:val="Strong"/>
              </w:rPr>
            </w:pPr>
          </w:p>
        </w:tc>
        <w:tc>
          <w:tcPr>
            <w:tcW w:w="664" w:type="pct"/>
            <w:tcBorders>
              <w:top w:val="double" w:sz="4" w:space="0" w:color="auto"/>
              <w:left w:val="dotted" w:sz="4" w:space="0" w:color="BFBFBF" w:themeColor="background1" w:themeShade="BF"/>
              <w:bottom w:val="dotted" w:sz="4" w:space="0" w:color="BFBFBF" w:themeColor="background1" w:themeShade="BF"/>
              <w:right w:val="nil"/>
            </w:tcBorders>
            <w:shd w:val="clear" w:color="auto" w:fill="auto"/>
            <w:noWrap/>
            <w:vAlign w:val="bottom"/>
          </w:tcPr>
          <w:p w14:paraId="0E944CA4" w14:textId="77777777" w:rsidR="00730DE4" w:rsidRPr="00730DE4" w:rsidRDefault="00730DE4" w:rsidP="00F26F78">
            <w:pPr>
              <w:pStyle w:val="NoSpacing"/>
              <w:jc w:val="right"/>
            </w:pPr>
          </w:p>
        </w:tc>
      </w:tr>
      <w:tr w:rsidR="00730DE4" w:rsidRPr="00730DE4" w14:paraId="4B897F3E" w14:textId="77777777" w:rsidTr="00347785">
        <w:trPr>
          <w:trHeight w:val="240"/>
        </w:trPr>
        <w:tc>
          <w:tcPr>
            <w:tcW w:w="3673"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0D51719" w14:textId="77777777" w:rsidR="00730DE4" w:rsidRPr="00730DE4" w:rsidRDefault="00730DE4" w:rsidP="00DB1BC4">
            <w:pPr>
              <w:pStyle w:val="NoSpacing"/>
            </w:pPr>
            <w:r w:rsidRPr="00730DE4">
              <w:t>Deferred tax assets:</w:t>
            </w:r>
          </w:p>
        </w:tc>
        <w:tc>
          <w:tcPr>
            <w:tcW w:w="66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9E3E8E9" w14:textId="77777777" w:rsidR="00730DE4" w:rsidRPr="00730DE4" w:rsidRDefault="00730DE4" w:rsidP="00DB1BC4">
            <w:pPr>
              <w:pStyle w:val="NoSpacing"/>
              <w:jc w:val="right"/>
            </w:pPr>
          </w:p>
        </w:tc>
        <w:tc>
          <w:tcPr>
            <w:tcW w:w="664"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76AE96B" w14:textId="77777777" w:rsidR="00730DE4" w:rsidRPr="00730DE4" w:rsidRDefault="00730DE4" w:rsidP="00DB1BC4">
            <w:pPr>
              <w:pStyle w:val="NoSpacing"/>
              <w:jc w:val="right"/>
            </w:pPr>
          </w:p>
        </w:tc>
      </w:tr>
      <w:tr w:rsidR="00730DE4" w:rsidRPr="00730DE4" w14:paraId="15F74397" w14:textId="77777777" w:rsidTr="00347785">
        <w:trPr>
          <w:trHeight w:val="240"/>
        </w:trPr>
        <w:tc>
          <w:tcPr>
            <w:tcW w:w="3673"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4E35166" w14:textId="77777777" w:rsidR="00730DE4" w:rsidRPr="00730DE4" w:rsidRDefault="00730DE4" w:rsidP="004B7C3B">
            <w:pPr>
              <w:pStyle w:val="NoSpacingIndent"/>
            </w:pPr>
            <w:r w:rsidRPr="00730DE4">
              <w:t>Property, plant and equipment</w:t>
            </w:r>
          </w:p>
        </w:tc>
        <w:tc>
          <w:tcPr>
            <w:tcW w:w="66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FB6BB20" w14:textId="77777777" w:rsidR="00730DE4" w:rsidRPr="00730DE4" w:rsidRDefault="00730DE4" w:rsidP="00DB1BC4">
            <w:pPr>
              <w:pStyle w:val="NoSpacing"/>
              <w:jc w:val="right"/>
            </w:pPr>
            <w:r w:rsidRPr="00730DE4">
              <w:t xml:space="preserve">3,192 </w:t>
            </w:r>
          </w:p>
        </w:tc>
        <w:tc>
          <w:tcPr>
            <w:tcW w:w="664"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035AB3E" w14:textId="77777777" w:rsidR="00730DE4" w:rsidRPr="00730DE4" w:rsidRDefault="00730DE4" w:rsidP="00DB1BC4">
            <w:pPr>
              <w:pStyle w:val="NoSpacing"/>
              <w:jc w:val="right"/>
            </w:pPr>
            <w:r w:rsidRPr="00730DE4">
              <w:t xml:space="preserve">3,070 </w:t>
            </w:r>
          </w:p>
        </w:tc>
      </w:tr>
      <w:tr w:rsidR="00730DE4" w:rsidRPr="00730DE4" w14:paraId="714F3ECE" w14:textId="77777777" w:rsidTr="00347785">
        <w:trPr>
          <w:trHeight w:val="240"/>
        </w:trPr>
        <w:tc>
          <w:tcPr>
            <w:tcW w:w="3673"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49E8B812" w14:textId="77777777" w:rsidR="00730DE4" w:rsidRPr="00730DE4" w:rsidRDefault="00730DE4" w:rsidP="004B7C3B">
            <w:pPr>
              <w:pStyle w:val="NoSpacingIndent"/>
            </w:pPr>
            <w:r w:rsidRPr="00730DE4">
              <w:t>Other items</w:t>
            </w:r>
          </w:p>
        </w:tc>
        <w:tc>
          <w:tcPr>
            <w:tcW w:w="663"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7FEA5790" w14:textId="77777777" w:rsidR="00730DE4" w:rsidRPr="00730DE4" w:rsidRDefault="00730DE4" w:rsidP="00DB1BC4">
            <w:pPr>
              <w:pStyle w:val="NoSpacing"/>
              <w:jc w:val="right"/>
            </w:pPr>
            <w:r w:rsidRPr="00730DE4">
              <w:t xml:space="preserve">577 </w:t>
            </w:r>
          </w:p>
        </w:tc>
        <w:tc>
          <w:tcPr>
            <w:tcW w:w="664"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5C2E2506" w14:textId="77777777" w:rsidR="00730DE4" w:rsidRPr="00730DE4" w:rsidRDefault="00730DE4" w:rsidP="00DB1BC4">
            <w:pPr>
              <w:pStyle w:val="NoSpacing"/>
              <w:jc w:val="right"/>
            </w:pPr>
            <w:r w:rsidRPr="00730DE4">
              <w:t>(69)</w:t>
            </w:r>
          </w:p>
        </w:tc>
      </w:tr>
      <w:tr w:rsidR="00730DE4" w:rsidRPr="00730DE4" w14:paraId="39FBF675" w14:textId="77777777" w:rsidTr="00347785">
        <w:tc>
          <w:tcPr>
            <w:tcW w:w="3673"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082946B2" w14:textId="77777777" w:rsidR="00730DE4" w:rsidRPr="00730DE4" w:rsidRDefault="00730DE4" w:rsidP="001B0E0D">
            <w:pPr>
              <w:pStyle w:val="NoSpacing"/>
              <w:rPr>
                <w:b/>
                <w:bCs/>
              </w:rPr>
            </w:pPr>
            <w:r w:rsidRPr="00730DE4">
              <w:rPr>
                <w:rStyle w:val="Strong"/>
              </w:rPr>
              <w:t xml:space="preserve">Net deferred tax assets at 30 June </w:t>
            </w:r>
          </w:p>
        </w:tc>
        <w:tc>
          <w:tcPr>
            <w:tcW w:w="663"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3289D6D5" w14:textId="77777777" w:rsidR="00730DE4" w:rsidRPr="00730DE4" w:rsidRDefault="00730DE4" w:rsidP="001B0E0D">
            <w:pPr>
              <w:pStyle w:val="NoSpacing"/>
              <w:jc w:val="right"/>
              <w:rPr>
                <w:b/>
                <w:bCs/>
              </w:rPr>
            </w:pPr>
            <w:r w:rsidRPr="00730DE4">
              <w:rPr>
                <w:rStyle w:val="Strong"/>
              </w:rPr>
              <w:t xml:space="preserve">3,769 </w:t>
            </w:r>
          </w:p>
        </w:tc>
        <w:tc>
          <w:tcPr>
            <w:tcW w:w="664" w:type="pct"/>
            <w:tcBorders>
              <w:top w:val="single" w:sz="4" w:space="0" w:color="auto"/>
              <w:left w:val="dotted" w:sz="4" w:space="0" w:color="BFBFBF" w:themeColor="background1" w:themeShade="BF"/>
              <w:bottom w:val="double" w:sz="4" w:space="0" w:color="auto"/>
              <w:right w:val="nil"/>
            </w:tcBorders>
            <w:shd w:val="clear" w:color="auto" w:fill="auto"/>
            <w:noWrap/>
            <w:hideMark/>
          </w:tcPr>
          <w:p w14:paraId="6D037DBF" w14:textId="77777777" w:rsidR="00730DE4" w:rsidRPr="00730DE4" w:rsidRDefault="00730DE4" w:rsidP="001B0E0D">
            <w:pPr>
              <w:pStyle w:val="NoSpacing"/>
              <w:jc w:val="right"/>
              <w:rPr>
                <w:rStyle w:val="Strong"/>
              </w:rPr>
            </w:pPr>
            <w:r w:rsidRPr="00730DE4">
              <w:rPr>
                <w:rStyle w:val="Strong"/>
              </w:rPr>
              <w:t xml:space="preserve">3,001 </w:t>
            </w:r>
          </w:p>
        </w:tc>
      </w:tr>
      <w:tr w:rsidR="00730DE4" w:rsidRPr="00730DE4" w14:paraId="242CCBE2" w14:textId="77777777" w:rsidTr="00347785">
        <w:trPr>
          <w:trHeight w:val="454"/>
        </w:trPr>
        <w:tc>
          <w:tcPr>
            <w:tcW w:w="3673" w:type="pct"/>
            <w:tcBorders>
              <w:top w:val="doub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122AB9E7" w14:textId="77777777" w:rsidR="00730DE4" w:rsidRPr="00730DE4" w:rsidRDefault="00730DE4" w:rsidP="00F26F78">
            <w:pPr>
              <w:pStyle w:val="NoSpacing"/>
              <w:rPr>
                <w:b/>
                <w:bCs/>
              </w:rPr>
            </w:pPr>
            <w:r w:rsidRPr="00730DE4">
              <w:rPr>
                <w:rStyle w:val="Strong"/>
              </w:rPr>
              <w:t>Reconciliation of current tax (receivable)/payable</w:t>
            </w:r>
          </w:p>
        </w:tc>
        <w:tc>
          <w:tcPr>
            <w:tcW w:w="663"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0C2A8CC4" w14:textId="77777777" w:rsidR="00730DE4" w:rsidRPr="00730DE4" w:rsidRDefault="00730DE4" w:rsidP="00F26F78">
            <w:pPr>
              <w:pStyle w:val="NoSpacing"/>
              <w:jc w:val="right"/>
              <w:rPr>
                <w:rStyle w:val="Strong"/>
              </w:rPr>
            </w:pPr>
          </w:p>
        </w:tc>
        <w:tc>
          <w:tcPr>
            <w:tcW w:w="664" w:type="pct"/>
            <w:tcBorders>
              <w:top w:val="double" w:sz="4" w:space="0" w:color="auto"/>
              <w:left w:val="dotted" w:sz="4" w:space="0" w:color="BFBFBF" w:themeColor="background1" w:themeShade="BF"/>
              <w:bottom w:val="dotted" w:sz="4" w:space="0" w:color="BFBFBF" w:themeColor="background1" w:themeShade="BF"/>
              <w:right w:val="nil"/>
            </w:tcBorders>
            <w:shd w:val="clear" w:color="auto" w:fill="auto"/>
            <w:noWrap/>
            <w:vAlign w:val="bottom"/>
          </w:tcPr>
          <w:p w14:paraId="5766F75F" w14:textId="77777777" w:rsidR="00730DE4" w:rsidRPr="00730DE4" w:rsidRDefault="00730DE4" w:rsidP="00F26F78">
            <w:pPr>
              <w:pStyle w:val="NoSpacing"/>
              <w:jc w:val="right"/>
            </w:pPr>
          </w:p>
        </w:tc>
      </w:tr>
      <w:tr w:rsidR="00730DE4" w:rsidRPr="00730DE4" w14:paraId="1589053E" w14:textId="77777777" w:rsidTr="00347785">
        <w:trPr>
          <w:trHeight w:val="240"/>
        </w:trPr>
        <w:tc>
          <w:tcPr>
            <w:tcW w:w="3673"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659664CE" w14:textId="77777777" w:rsidR="00730DE4" w:rsidRPr="00730DE4" w:rsidRDefault="00730DE4" w:rsidP="00DB1BC4">
            <w:pPr>
              <w:pStyle w:val="NoSpacing"/>
            </w:pPr>
            <w:r w:rsidRPr="00730DE4">
              <w:t>Opening balance</w:t>
            </w:r>
          </w:p>
        </w:tc>
        <w:tc>
          <w:tcPr>
            <w:tcW w:w="66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5A62C85" w14:textId="77777777" w:rsidR="00730DE4" w:rsidRPr="00730DE4" w:rsidRDefault="00730DE4" w:rsidP="00DB1BC4">
            <w:pPr>
              <w:pStyle w:val="NoSpacing"/>
              <w:jc w:val="right"/>
            </w:pPr>
            <w:r w:rsidRPr="00730DE4">
              <w:t>(2,827)</w:t>
            </w:r>
          </w:p>
        </w:tc>
        <w:tc>
          <w:tcPr>
            <w:tcW w:w="664"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306C38E" w14:textId="77777777" w:rsidR="00730DE4" w:rsidRPr="00730DE4" w:rsidRDefault="00730DE4" w:rsidP="00DB1BC4">
            <w:pPr>
              <w:pStyle w:val="NoSpacing"/>
              <w:jc w:val="right"/>
            </w:pPr>
            <w:r w:rsidRPr="00730DE4">
              <w:t>(1,301)</w:t>
            </w:r>
          </w:p>
        </w:tc>
      </w:tr>
      <w:tr w:rsidR="00730DE4" w:rsidRPr="00730DE4" w14:paraId="3AAAD6C9" w14:textId="77777777" w:rsidTr="00347785">
        <w:trPr>
          <w:trHeight w:val="240"/>
        </w:trPr>
        <w:tc>
          <w:tcPr>
            <w:tcW w:w="3673"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449AC928" w14:textId="77777777" w:rsidR="00730DE4" w:rsidRPr="00730DE4" w:rsidRDefault="00730DE4" w:rsidP="00DB1BC4">
            <w:pPr>
              <w:pStyle w:val="NoSpacing"/>
            </w:pPr>
            <w:r w:rsidRPr="00730DE4">
              <w:t>Net movements</w:t>
            </w:r>
          </w:p>
        </w:tc>
        <w:tc>
          <w:tcPr>
            <w:tcW w:w="663"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0123CEC3" w14:textId="77777777" w:rsidR="00730DE4" w:rsidRPr="00730DE4" w:rsidRDefault="00730DE4" w:rsidP="00DB1BC4">
            <w:pPr>
              <w:pStyle w:val="NoSpacing"/>
              <w:jc w:val="right"/>
            </w:pPr>
            <w:r w:rsidRPr="00730DE4">
              <w:t xml:space="preserve">2,868 </w:t>
            </w:r>
          </w:p>
        </w:tc>
        <w:tc>
          <w:tcPr>
            <w:tcW w:w="664"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55BFD067" w14:textId="77777777" w:rsidR="00730DE4" w:rsidRPr="00730DE4" w:rsidRDefault="00730DE4" w:rsidP="00DB1BC4">
            <w:pPr>
              <w:pStyle w:val="NoSpacing"/>
              <w:jc w:val="right"/>
            </w:pPr>
            <w:r w:rsidRPr="00730DE4">
              <w:t>(1,526)</w:t>
            </w:r>
          </w:p>
        </w:tc>
      </w:tr>
      <w:tr w:rsidR="00730DE4" w:rsidRPr="00730DE4" w14:paraId="5A59676D" w14:textId="77777777" w:rsidTr="00347785">
        <w:tc>
          <w:tcPr>
            <w:tcW w:w="3673"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46FEBA61" w14:textId="77777777" w:rsidR="00730DE4" w:rsidRPr="00730DE4" w:rsidRDefault="00730DE4" w:rsidP="001B0E0D">
            <w:pPr>
              <w:pStyle w:val="NoSpacing"/>
              <w:rPr>
                <w:b/>
                <w:bCs/>
              </w:rPr>
            </w:pPr>
            <w:r w:rsidRPr="00730DE4">
              <w:rPr>
                <w:rStyle w:val="Strong"/>
              </w:rPr>
              <w:t>Current tax (receivable)/payable at 30 June</w:t>
            </w:r>
          </w:p>
        </w:tc>
        <w:tc>
          <w:tcPr>
            <w:tcW w:w="663"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35410184" w14:textId="77777777" w:rsidR="00730DE4" w:rsidRPr="00730DE4" w:rsidRDefault="00730DE4" w:rsidP="001B0E0D">
            <w:pPr>
              <w:pStyle w:val="NoSpacing"/>
              <w:jc w:val="right"/>
              <w:rPr>
                <w:rStyle w:val="Strong"/>
              </w:rPr>
            </w:pPr>
            <w:r w:rsidRPr="00730DE4">
              <w:rPr>
                <w:rStyle w:val="Strong"/>
              </w:rPr>
              <w:t xml:space="preserve">41 </w:t>
            </w:r>
          </w:p>
        </w:tc>
        <w:tc>
          <w:tcPr>
            <w:tcW w:w="664" w:type="pct"/>
            <w:tcBorders>
              <w:top w:val="single" w:sz="4" w:space="0" w:color="auto"/>
              <w:left w:val="dotted" w:sz="4" w:space="0" w:color="BFBFBF" w:themeColor="background1" w:themeShade="BF"/>
              <w:bottom w:val="double" w:sz="4" w:space="0" w:color="auto"/>
              <w:right w:val="nil"/>
            </w:tcBorders>
            <w:shd w:val="clear" w:color="auto" w:fill="auto"/>
            <w:noWrap/>
            <w:hideMark/>
          </w:tcPr>
          <w:p w14:paraId="19E3FC79" w14:textId="77777777" w:rsidR="00730DE4" w:rsidRPr="00730DE4" w:rsidRDefault="00730DE4" w:rsidP="001B0E0D">
            <w:pPr>
              <w:pStyle w:val="NoSpacing"/>
              <w:jc w:val="right"/>
              <w:rPr>
                <w:rStyle w:val="Strong"/>
              </w:rPr>
            </w:pPr>
            <w:r w:rsidRPr="00730DE4">
              <w:rPr>
                <w:rStyle w:val="Strong"/>
              </w:rPr>
              <w:t>(2,827)</w:t>
            </w:r>
          </w:p>
        </w:tc>
      </w:tr>
    </w:tbl>
    <w:p w14:paraId="32E1A6A7" w14:textId="77777777" w:rsidR="00730DE4" w:rsidRPr="00730DE4" w:rsidRDefault="00730DE4" w:rsidP="003C13D4">
      <w:pPr>
        <w:rPr>
          <w:rStyle w:val="Strong"/>
        </w:rPr>
      </w:pPr>
      <w:r w:rsidRPr="00730DE4">
        <w:rPr>
          <w:rStyle w:val="Strong"/>
        </w:rPr>
        <w:br w:type="page"/>
      </w:r>
    </w:p>
    <w:p w14:paraId="15C31748" w14:textId="77777777" w:rsidR="00730DE4" w:rsidRPr="00730DE4" w:rsidRDefault="00730DE4" w:rsidP="00390F2D">
      <w:pPr>
        <w:pStyle w:val="Heading5"/>
      </w:pPr>
      <w:bookmarkStart w:id="1590" w:name="_Toc180487753"/>
      <w:bookmarkStart w:id="1591" w:name="_Toc180490958"/>
      <w:bookmarkStart w:id="1592" w:name="_Toc180491991"/>
      <w:r w:rsidRPr="00730DE4">
        <w:t>Accounting policy</w:t>
      </w:r>
      <w:bookmarkEnd w:id="1590"/>
      <w:bookmarkEnd w:id="1591"/>
      <w:bookmarkEnd w:id="1592"/>
      <w:r w:rsidRPr="00730DE4">
        <w:t xml:space="preserve"> </w:t>
      </w:r>
    </w:p>
    <w:p w14:paraId="7860EAFC" w14:textId="77777777" w:rsidR="00730DE4" w:rsidRPr="00730DE4" w:rsidRDefault="00730DE4" w:rsidP="003C13D4">
      <w:pPr>
        <w:rPr>
          <w:color w:val="080C0F" w:themeColor="text1"/>
        </w:rPr>
      </w:pPr>
      <w:r w:rsidRPr="00730DE4">
        <w:rPr>
          <w:color w:val="080C0F" w:themeColor="text1"/>
        </w:rPr>
        <w:t xml:space="preserve">The department is a State body as defined under the </w:t>
      </w:r>
      <w:r w:rsidRPr="00730DE4">
        <w:rPr>
          <w:i/>
          <w:iCs/>
          <w:color w:val="080C0F" w:themeColor="text1"/>
        </w:rPr>
        <w:t>Income Tax Assessment Act 1936</w:t>
      </w:r>
      <w:r w:rsidRPr="00730DE4">
        <w:rPr>
          <w:color w:val="080C0F" w:themeColor="text1"/>
        </w:rPr>
        <w:t xml:space="preserve"> and is generally exempt from Australian Government taxation with the exception of Fringe Benefits Tax (FBT) and Goods and Services Tax (GST). </w:t>
      </w:r>
    </w:p>
    <w:p w14:paraId="3923D0D7" w14:textId="77777777" w:rsidR="00730DE4" w:rsidRPr="00730DE4" w:rsidRDefault="00730DE4" w:rsidP="003C13D4">
      <w:pPr>
        <w:rPr>
          <w:color w:val="080C0F" w:themeColor="text1"/>
        </w:rPr>
      </w:pPr>
      <w:r w:rsidRPr="00730DE4">
        <w:rPr>
          <w:color w:val="080C0F" w:themeColor="text1"/>
        </w:rPr>
        <w:t>The RoadTek and CITEC business units are subject to the requirements of the National Tax Equivalents Regime (NTER). The liability for income tax equivalents under NTER is calculated substantially on the same basis as a corporate tax payer. The department remits its tax equivalents to Queensland Treasury in accordance with NTER arrangements.</w:t>
      </w:r>
    </w:p>
    <w:p w14:paraId="2E0F955C" w14:textId="77777777" w:rsidR="00730DE4" w:rsidRPr="00730DE4" w:rsidRDefault="00730DE4" w:rsidP="003C13D4">
      <w:pPr>
        <w:rPr>
          <w:color w:val="080C0F" w:themeColor="text1"/>
        </w:rPr>
      </w:pPr>
      <w:r w:rsidRPr="00730DE4">
        <w:rPr>
          <w:color w:val="080C0F" w:themeColor="text1"/>
        </w:rPr>
        <w:t>The amount of deferred tax provided is based on the expected manner of realisation or settlement of the carrying amount of assets and liabilities compared to their respective tax bases, in the ordinary course of business.</w:t>
      </w:r>
    </w:p>
    <w:p w14:paraId="26E1A851" w14:textId="77777777" w:rsidR="00730DE4" w:rsidRPr="00730DE4" w:rsidRDefault="00730DE4" w:rsidP="003C13D4">
      <w:pPr>
        <w:rPr>
          <w:color w:val="080C0F" w:themeColor="text1"/>
        </w:rPr>
      </w:pPr>
      <w:r w:rsidRPr="00730DE4">
        <w:rPr>
          <w:color w:val="080C0F" w:themeColor="text1"/>
        </w:rPr>
        <w:t>A deferred tax asset is recognised only to the extent that it is probable that future taxable profits will be available against which the tax asset can be used.  Deferred tax assets and liabilities are set off on the basis that they relate to income taxes levied by the same taxation authority and the department has a legally enforceable right to set off current tax assets against current tax liabilities.</w:t>
      </w:r>
    </w:p>
    <w:p w14:paraId="3A02E040" w14:textId="77777777" w:rsidR="00730DE4" w:rsidRPr="00730DE4" w:rsidRDefault="00730DE4" w:rsidP="00D16D4F">
      <w:pPr>
        <w:pStyle w:val="Heading4"/>
      </w:pPr>
      <w:r w:rsidRPr="00730DE4">
        <w:br w:type="page"/>
      </w:r>
    </w:p>
    <w:p w14:paraId="1B61D344" w14:textId="77777777" w:rsidR="00730DE4" w:rsidRPr="00730DE4" w:rsidRDefault="00730DE4" w:rsidP="00D16D4F">
      <w:pPr>
        <w:pStyle w:val="Heading4"/>
      </w:pPr>
      <w:bookmarkStart w:id="1593" w:name="_Toc179365620"/>
      <w:bookmarkStart w:id="1594" w:name="_Toc180490959"/>
      <w:bookmarkStart w:id="1595" w:name="_Toc180491992"/>
      <w:r w:rsidRPr="00730DE4">
        <w:t>24 Commitments for expenditure</w:t>
      </w:r>
      <w:bookmarkEnd w:id="1593"/>
      <w:bookmarkEnd w:id="1594"/>
      <w:bookmarkEnd w:id="1595"/>
    </w:p>
    <w:p w14:paraId="12F28D48" w14:textId="77777777" w:rsidR="00730DE4" w:rsidRPr="00730DE4" w:rsidRDefault="00730DE4" w:rsidP="00DA2321">
      <w:r w:rsidRPr="00730DE4">
        <w:t>Commitments inclusive of non-recoverable GST input tax credits are payable as follows:</w:t>
      </w:r>
    </w:p>
    <w:p w14:paraId="7E22B1C2" w14:textId="77777777" w:rsidR="00730DE4" w:rsidRPr="00730DE4" w:rsidRDefault="00730DE4" w:rsidP="00390F2D">
      <w:r w:rsidRPr="00730DE4">
        <w:t>Refer to Note 16 for commitments related to service concession arrangements.</w:t>
      </w:r>
    </w:p>
    <w:p w14:paraId="140A5EEF" w14:textId="77777777" w:rsidR="00730DE4" w:rsidRPr="00730DE4" w:rsidRDefault="00730DE4" w:rsidP="00B61C69">
      <w:pPr>
        <w:pStyle w:val="NoSpacing"/>
      </w:pPr>
    </w:p>
    <w:tbl>
      <w:tblPr>
        <w:tblW w:w="5000" w:type="pct"/>
        <w:tblCellMar>
          <w:top w:w="23" w:type="dxa"/>
          <w:left w:w="23" w:type="dxa"/>
          <w:bottom w:w="23" w:type="dxa"/>
          <w:right w:w="23" w:type="dxa"/>
        </w:tblCellMar>
        <w:tblLook w:val="04A0" w:firstRow="1" w:lastRow="0" w:firstColumn="1" w:lastColumn="0" w:noHBand="0" w:noVBand="1"/>
      </w:tblPr>
      <w:tblGrid>
        <w:gridCol w:w="6382"/>
        <w:gridCol w:w="1344"/>
        <w:gridCol w:w="1344"/>
      </w:tblGrid>
      <w:tr w:rsidR="00730DE4" w:rsidRPr="00730DE4" w14:paraId="070F5445" w14:textId="77777777" w:rsidTr="008A2F83">
        <w:trPr>
          <w:trHeight w:val="23"/>
          <w:tblHeader/>
        </w:trPr>
        <w:tc>
          <w:tcPr>
            <w:tcW w:w="3517" w:type="pct"/>
            <w:tcBorders>
              <w:top w:val="nil"/>
              <w:left w:val="nil"/>
              <w:bottom w:val="single" w:sz="4" w:space="0" w:color="auto"/>
              <w:right w:val="nil"/>
            </w:tcBorders>
            <w:shd w:val="clear" w:color="auto" w:fill="auto"/>
            <w:noWrap/>
            <w:vAlign w:val="bottom"/>
            <w:hideMark/>
          </w:tcPr>
          <w:p w14:paraId="6CE8A940" w14:textId="77777777" w:rsidR="00730DE4" w:rsidRPr="00730DE4" w:rsidRDefault="00730DE4" w:rsidP="00DA2321">
            <w:pPr>
              <w:pStyle w:val="NoSpacing"/>
              <w:rPr>
                <w:b/>
                <w:bCs/>
              </w:rPr>
            </w:pPr>
          </w:p>
        </w:tc>
        <w:tc>
          <w:tcPr>
            <w:tcW w:w="741" w:type="pct"/>
            <w:tcBorders>
              <w:top w:val="nil"/>
              <w:left w:val="nil"/>
              <w:bottom w:val="single" w:sz="4" w:space="0" w:color="auto"/>
              <w:right w:val="nil"/>
            </w:tcBorders>
            <w:shd w:val="clear" w:color="auto" w:fill="auto"/>
            <w:noWrap/>
            <w:vAlign w:val="bottom"/>
            <w:hideMark/>
          </w:tcPr>
          <w:p w14:paraId="34B1DF75" w14:textId="77777777" w:rsidR="00730DE4" w:rsidRPr="00730DE4" w:rsidRDefault="00730DE4" w:rsidP="00DA2321">
            <w:pPr>
              <w:pStyle w:val="NoSpacing"/>
              <w:jc w:val="right"/>
              <w:rPr>
                <w:rStyle w:val="Strong"/>
              </w:rPr>
            </w:pPr>
            <w:r w:rsidRPr="00730DE4">
              <w:rPr>
                <w:rStyle w:val="Strong"/>
              </w:rPr>
              <w:t xml:space="preserve">2024 </w:t>
            </w:r>
            <w:r w:rsidRPr="00730DE4">
              <w:rPr>
                <w:rStyle w:val="Strong"/>
              </w:rPr>
              <w:br/>
              <w:t>$'000</w:t>
            </w:r>
          </w:p>
        </w:tc>
        <w:tc>
          <w:tcPr>
            <w:tcW w:w="741" w:type="pct"/>
            <w:tcBorders>
              <w:top w:val="nil"/>
              <w:left w:val="nil"/>
              <w:bottom w:val="single" w:sz="4" w:space="0" w:color="auto"/>
              <w:right w:val="nil"/>
            </w:tcBorders>
            <w:shd w:val="clear" w:color="auto" w:fill="auto"/>
            <w:noWrap/>
            <w:vAlign w:val="bottom"/>
            <w:hideMark/>
          </w:tcPr>
          <w:p w14:paraId="26D651DD" w14:textId="77777777" w:rsidR="00730DE4" w:rsidRPr="00730DE4" w:rsidRDefault="00730DE4" w:rsidP="00DA2321">
            <w:pPr>
              <w:pStyle w:val="NoSpacing"/>
              <w:jc w:val="right"/>
            </w:pPr>
            <w:r w:rsidRPr="00730DE4">
              <w:rPr>
                <w:rStyle w:val="Strong"/>
              </w:rPr>
              <w:t xml:space="preserve">2023 </w:t>
            </w:r>
            <w:r w:rsidRPr="00730DE4">
              <w:rPr>
                <w:rStyle w:val="Strong"/>
              </w:rPr>
              <w:br/>
              <w:t>$'000</w:t>
            </w:r>
          </w:p>
        </w:tc>
      </w:tr>
      <w:tr w:rsidR="00730DE4" w:rsidRPr="00730DE4" w14:paraId="763873CC" w14:textId="77777777" w:rsidTr="00347785">
        <w:trPr>
          <w:trHeight w:val="454"/>
          <w:tblHeader/>
        </w:trPr>
        <w:tc>
          <w:tcPr>
            <w:tcW w:w="3517"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vAlign w:val="bottom"/>
          </w:tcPr>
          <w:p w14:paraId="72208B64" w14:textId="77777777" w:rsidR="00730DE4" w:rsidRPr="00730DE4" w:rsidRDefault="00730DE4" w:rsidP="00DA2321">
            <w:pPr>
              <w:pStyle w:val="NoSpacing"/>
              <w:rPr>
                <w:rStyle w:val="Strong"/>
              </w:rPr>
            </w:pPr>
            <w:r w:rsidRPr="00730DE4">
              <w:rPr>
                <w:rStyle w:val="Strong"/>
              </w:rPr>
              <w:t>Property, plant and equipment</w:t>
            </w:r>
          </w:p>
        </w:tc>
        <w:tc>
          <w:tcPr>
            <w:tcW w:w="741"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65908199" w14:textId="77777777" w:rsidR="00730DE4" w:rsidRPr="00730DE4" w:rsidRDefault="00730DE4" w:rsidP="00DA2321">
            <w:pPr>
              <w:pStyle w:val="NoSpacing"/>
              <w:jc w:val="right"/>
              <w:rPr>
                <w:rStyle w:val="Strong"/>
              </w:rPr>
            </w:pPr>
          </w:p>
        </w:tc>
        <w:tc>
          <w:tcPr>
            <w:tcW w:w="741"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vAlign w:val="bottom"/>
          </w:tcPr>
          <w:p w14:paraId="73C8B79A" w14:textId="77777777" w:rsidR="00730DE4" w:rsidRPr="00730DE4" w:rsidRDefault="00730DE4" w:rsidP="00DA2321">
            <w:pPr>
              <w:pStyle w:val="NoSpacing"/>
              <w:jc w:val="right"/>
              <w:rPr>
                <w:rStyle w:val="Strong"/>
              </w:rPr>
            </w:pPr>
          </w:p>
        </w:tc>
      </w:tr>
      <w:tr w:rsidR="00730DE4" w:rsidRPr="00730DE4" w14:paraId="6F684F34" w14:textId="77777777" w:rsidTr="008A2F83">
        <w:trPr>
          <w:trHeight w:val="23"/>
        </w:trPr>
        <w:tc>
          <w:tcPr>
            <w:tcW w:w="3517"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6EBF45D4" w14:textId="77777777" w:rsidR="00730DE4" w:rsidRPr="00730DE4" w:rsidRDefault="00730DE4" w:rsidP="00DA2321">
            <w:pPr>
              <w:pStyle w:val="NoSpacing"/>
            </w:pPr>
            <w:r w:rsidRPr="00730DE4">
              <w:t>Not later than one year</w:t>
            </w:r>
          </w:p>
        </w:tc>
        <w:tc>
          <w:tcPr>
            <w:tcW w:w="74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AE6C56F" w14:textId="77777777" w:rsidR="00730DE4" w:rsidRPr="00730DE4" w:rsidRDefault="00730DE4" w:rsidP="00DA2321">
            <w:pPr>
              <w:pStyle w:val="NoSpacing"/>
              <w:jc w:val="right"/>
            </w:pPr>
            <w:r w:rsidRPr="00730DE4">
              <w:t xml:space="preserve">1,000,003 </w:t>
            </w:r>
          </w:p>
        </w:tc>
        <w:tc>
          <w:tcPr>
            <w:tcW w:w="741"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4231110F" w14:textId="77777777" w:rsidR="00730DE4" w:rsidRPr="00730DE4" w:rsidRDefault="00730DE4" w:rsidP="00DA2321">
            <w:pPr>
              <w:pStyle w:val="NoSpacing"/>
              <w:jc w:val="right"/>
            </w:pPr>
            <w:r w:rsidRPr="00730DE4">
              <w:t xml:space="preserve">1,080,840 </w:t>
            </w:r>
          </w:p>
        </w:tc>
      </w:tr>
      <w:tr w:rsidR="00730DE4" w:rsidRPr="00730DE4" w14:paraId="6A07FDE9" w14:textId="77777777" w:rsidTr="00347785">
        <w:trPr>
          <w:trHeight w:val="23"/>
        </w:trPr>
        <w:tc>
          <w:tcPr>
            <w:tcW w:w="3517"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0FB3672B" w14:textId="77777777" w:rsidR="00730DE4" w:rsidRPr="00730DE4" w:rsidRDefault="00730DE4" w:rsidP="00DA2321">
            <w:pPr>
              <w:pStyle w:val="NoSpacing"/>
            </w:pPr>
            <w:r w:rsidRPr="00730DE4">
              <w:t>Later than one year and not later than five years</w:t>
            </w:r>
          </w:p>
        </w:tc>
        <w:tc>
          <w:tcPr>
            <w:tcW w:w="74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0899809" w14:textId="77777777" w:rsidR="00730DE4" w:rsidRPr="00730DE4" w:rsidRDefault="00730DE4" w:rsidP="00DA2321">
            <w:pPr>
              <w:pStyle w:val="NoSpacing"/>
              <w:jc w:val="right"/>
            </w:pPr>
            <w:r w:rsidRPr="00730DE4">
              <w:t xml:space="preserve">2,742,499 </w:t>
            </w:r>
          </w:p>
        </w:tc>
        <w:tc>
          <w:tcPr>
            <w:tcW w:w="741"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99A930B" w14:textId="77777777" w:rsidR="00730DE4" w:rsidRPr="00730DE4" w:rsidRDefault="00730DE4" w:rsidP="00DA2321">
            <w:pPr>
              <w:pStyle w:val="NoSpacing"/>
              <w:jc w:val="right"/>
            </w:pPr>
            <w:r w:rsidRPr="00730DE4">
              <w:t xml:space="preserve">4,874,364 </w:t>
            </w:r>
          </w:p>
        </w:tc>
      </w:tr>
      <w:tr w:rsidR="00730DE4" w:rsidRPr="00730DE4" w14:paraId="2DEAFB10" w14:textId="77777777" w:rsidTr="00347785">
        <w:trPr>
          <w:trHeight w:val="23"/>
        </w:trPr>
        <w:tc>
          <w:tcPr>
            <w:tcW w:w="3517"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4FA4C995" w14:textId="77777777" w:rsidR="00730DE4" w:rsidRPr="00730DE4" w:rsidRDefault="00730DE4" w:rsidP="00DA2321">
            <w:pPr>
              <w:pStyle w:val="NoSpacing"/>
            </w:pPr>
            <w:r w:rsidRPr="00730DE4">
              <w:t>Later than five years *</w:t>
            </w:r>
          </w:p>
        </w:tc>
        <w:tc>
          <w:tcPr>
            <w:tcW w:w="741"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7FD62F38" w14:textId="77777777" w:rsidR="00730DE4" w:rsidRPr="00730DE4" w:rsidRDefault="00730DE4" w:rsidP="00DA2321">
            <w:pPr>
              <w:pStyle w:val="NoSpacing"/>
              <w:jc w:val="right"/>
            </w:pPr>
            <w:r w:rsidRPr="00730DE4">
              <w:t xml:space="preserve">3,164,485 </w:t>
            </w:r>
          </w:p>
        </w:tc>
        <w:tc>
          <w:tcPr>
            <w:tcW w:w="741"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56DE6C3B" w14:textId="77777777" w:rsidR="00730DE4" w:rsidRPr="00730DE4" w:rsidRDefault="00730DE4" w:rsidP="00DA2321">
            <w:pPr>
              <w:pStyle w:val="NoSpacing"/>
              <w:jc w:val="right"/>
            </w:pPr>
            <w:r w:rsidRPr="00730DE4">
              <w:t xml:space="preserve">889,171 </w:t>
            </w:r>
          </w:p>
        </w:tc>
      </w:tr>
      <w:tr w:rsidR="00730DE4" w:rsidRPr="00730DE4" w14:paraId="41F1FABE" w14:textId="77777777" w:rsidTr="00347785">
        <w:tc>
          <w:tcPr>
            <w:tcW w:w="3517"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2AAE504F" w14:textId="77777777" w:rsidR="00730DE4" w:rsidRPr="00730DE4" w:rsidRDefault="00730DE4" w:rsidP="001B0E0D">
            <w:pPr>
              <w:pStyle w:val="NoSpacing"/>
              <w:rPr>
                <w:b/>
                <w:bCs/>
              </w:rPr>
            </w:pPr>
            <w:r w:rsidRPr="00730DE4">
              <w:rPr>
                <w:rStyle w:val="Strong"/>
              </w:rPr>
              <w:t>Total</w:t>
            </w:r>
          </w:p>
        </w:tc>
        <w:tc>
          <w:tcPr>
            <w:tcW w:w="741"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7C4BA2B7" w14:textId="77777777" w:rsidR="00730DE4" w:rsidRPr="00730DE4" w:rsidRDefault="00730DE4" w:rsidP="001B0E0D">
            <w:pPr>
              <w:pStyle w:val="NoSpacing"/>
              <w:jc w:val="right"/>
              <w:rPr>
                <w:rStyle w:val="Strong"/>
              </w:rPr>
            </w:pPr>
            <w:r w:rsidRPr="00730DE4">
              <w:rPr>
                <w:rStyle w:val="Strong"/>
              </w:rPr>
              <w:t xml:space="preserve">6,906,987 </w:t>
            </w:r>
          </w:p>
        </w:tc>
        <w:tc>
          <w:tcPr>
            <w:tcW w:w="741" w:type="pct"/>
            <w:tcBorders>
              <w:top w:val="single" w:sz="4" w:space="0" w:color="auto"/>
              <w:left w:val="dotted" w:sz="4" w:space="0" w:color="BFBFBF" w:themeColor="background1" w:themeShade="BF"/>
              <w:bottom w:val="double" w:sz="4" w:space="0" w:color="auto"/>
              <w:right w:val="nil"/>
            </w:tcBorders>
            <w:shd w:val="clear" w:color="auto" w:fill="auto"/>
            <w:noWrap/>
            <w:hideMark/>
          </w:tcPr>
          <w:p w14:paraId="7CAE3346" w14:textId="77777777" w:rsidR="00730DE4" w:rsidRPr="00730DE4" w:rsidRDefault="00730DE4" w:rsidP="001B0E0D">
            <w:pPr>
              <w:pStyle w:val="NoSpacing"/>
              <w:jc w:val="right"/>
              <w:rPr>
                <w:rStyle w:val="Strong"/>
              </w:rPr>
            </w:pPr>
            <w:r w:rsidRPr="00730DE4">
              <w:rPr>
                <w:rStyle w:val="Strong"/>
              </w:rPr>
              <w:t xml:space="preserve">6,844,375 </w:t>
            </w:r>
          </w:p>
        </w:tc>
      </w:tr>
      <w:tr w:rsidR="00730DE4" w:rsidRPr="00730DE4" w14:paraId="046A4832" w14:textId="77777777" w:rsidTr="00347785">
        <w:trPr>
          <w:trHeight w:val="454"/>
          <w:tblHeader/>
        </w:trPr>
        <w:tc>
          <w:tcPr>
            <w:tcW w:w="3517" w:type="pct"/>
            <w:tcBorders>
              <w:top w:val="doub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B2D1DAB" w14:textId="77777777" w:rsidR="00730DE4" w:rsidRPr="00730DE4" w:rsidRDefault="00730DE4" w:rsidP="00DA2321">
            <w:pPr>
              <w:pStyle w:val="NoSpacing"/>
              <w:rPr>
                <w:b/>
                <w:bCs/>
              </w:rPr>
            </w:pPr>
            <w:r w:rsidRPr="00730DE4">
              <w:rPr>
                <w:rStyle w:val="Strong"/>
              </w:rPr>
              <w:t xml:space="preserve">Grants and subsidies </w:t>
            </w:r>
          </w:p>
        </w:tc>
        <w:tc>
          <w:tcPr>
            <w:tcW w:w="741"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0CD81060" w14:textId="77777777" w:rsidR="00730DE4" w:rsidRPr="00730DE4" w:rsidRDefault="00730DE4" w:rsidP="00DA2321">
            <w:pPr>
              <w:pStyle w:val="NoSpacing"/>
              <w:jc w:val="right"/>
              <w:rPr>
                <w:rStyle w:val="Strong"/>
              </w:rPr>
            </w:pPr>
          </w:p>
        </w:tc>
        <w:tc>
          <w:tcPr>
            <w:tcW w:w="741" w:type="pct"/>
            <w:tcBorders>
              <w:top w:val="double" w:sz="4" w:space="0" w:color="auto"/>
              <w:left w:val="dotted" w:sz="4" w:space="0" w:color="BFBFBF" w:themeColor="background1" w:themeShade="BF"/>
              <w:bottom w:val="dotted" w:sz="4" w:space="0" w:color="BFBFBF" w:themeColor="background1" w:themeShade="BF"/>
              <w:right w:val="nil"/>
            </w:tcBorders>
            <w:shd w:val="clear" w:color="auto" w:fill="auto"/>
            <w:noWrap/>
            <w:vAlign w:val="bottom"/>
          </w:tcPr>
          <w:p w14:paraId="57F8F20A" w14:textId="77777777" w:rsidR="00730DE4" w:rsidRPr="00730DE4" w:rsidRDefault="00730DE4" w:rsidP="00DA2321">
            <w:pPr>
              <w:pStyle w:val="NoSpacing"/>
              <w:jc w:val="right"/>
            </w:pPr>
          </w:p>
        </w:tc>
      </w:tr>
      <w:tr w:rsidR="00730DE4" w:rsidRPr="00730DE4" w14:paraId="217013BB" w14:textId="77777777" w:rsidTr="008A2F83">
        <w:trPr>
          <w:trHeight w:val="23"/>
        </w:trPr>
        <w:tc>
          <w:tcPr>
            <w:tcW w:w="3517"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C60627A" w14:textId="77777777" w:rsidR="00730DE4" w:rsidRPr="00730DE4" w:rsidRDefault="00730DE4" w:rsidP="00DA2321">
            <w:pPr>
              <w:pStyle w:val="NoSpacing"/>
            </w:pPr>
            <w:r w:rsidRPr="00730DE4">
              <w:t>Not later than one year</w:t>
            </w:r>
          </w:p>
        </w:tc>
        <w:tc>
          <w:tcPr>
            <w:tcW w:w="74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8AEEAFE" w14:textId="77777777" w:rsidR="00730DE4" w:rsidRPr="00730DE4" w:rsidRDefault="00730DE4" w:rsidP="00DA2321">
            <w:pPr>
              <w:pStyle w:val="NoSpacing"/>
              <w:jc w:val="right"/>
            </w:pPr>
            <w:r w:rsidRPr="00730DE4">
              <w:t xml:space="preserve">610,830 </w:t>
            </w:r>
          </w:p>
        </w:tc>
        <w:tc>
          <w:tcPr>
            <w:tcW w:w="741"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979D1BE" w14:textId="77777777" w:rsidR="00730DE4" w:rsidRPr="00730DE4" w:rsidRDefault="00730DE4" w:rsidP="00DA2321">
            <w:pPr>
              <w:pStyle w:val="NoSpacing"/>
              <w:jc w:val="right"/>
            </w:pPr>
            <w:r w:rsidRPr="00730DE4">
              <w:t xml:space="preserve">522,318 </w:t>
            </w:r>
          </w:p>
        </w:tc>
      </w:tr>
      <w:tr w:rsidR="00730DE4" w:rsidRPr="00730DE4" w14:paraId="78BAD8C8" w14:textId="77777777" w:rsidTr="00347785">
        <w:trPr>
          <w:trHeight w:val="23"/>
        </w:trPr>
        <w:tc>
          <w:tcPr>
            <w:tcW w:w="3517"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63B1BF21" w14:textId="77777777" w:rsidR="00730DE4" w:rsidRPr="00730DE4" w:rsidRDefault="00730DE4" w:rsidP="00DA2321">
            <w:pPr>
              <w:pStyle w:val="NoSpacing"/>
            </w:pPr>
            <w:r w:rsidRPr="00730DE4">
              <w:t>Later than one year and not later than five years</w:t>
            </w:r>
          </w:p>
        </w:tc>
        <w:tc>
          <w:tcPr>
            <w:tcW w:w="74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4FE38CB" w14:textId="77777777" w:rsidR="00730DE4" w:rsidRPr="00730DE4" w:rsidRDefault="00730DE4" w:rsidP="00DA2321">
            <w:pPr>
              <w:pStyle w:val="NoSpacing"/>
              <w:jc w:val="right"/>
            </w:pPr>
            <w:r w:rsidRPr="00730DE4">
              <w:t xml:space="preserve">1,369,821 </w:t>
            </w:r>
          </w:p>
        </w:tc>
        <w:tc>
          <w:tcPr>
            <w:tcW w:w="741"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7D59B7D" w14:textId="77777777" w:rsidR="00730DE4" w:rsidRPr="00730DE4" w:rsidRDefault="00730DE4" w:rsidP="00DA2321">
            <w:pPr>
              <w:pStyle w:val="NoSpacing"/>
              <w:jc w:val="right"/>
            </w:pPr>
            <w:r w:rsidRPr="00730DE4">
              <w:t xml:space="preserve">1,513,871 </w:t>
            </w:r>
          </w:p>
        </w:tc>
      </w:tr>
      <w:tr w:rsidR="00730DE4" w:rsidRPr="00730DE4" w14:paraId="02E41963" w14:textId="77777777" w:rsidTr="00347785">
        <w:trPr>
          <w:trHeight w:val="23"/>
        </w:trPr>
        <w:tc>
          <w:tcPr>
            <w:tcW w:w="3517"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331B70B6" w14:textId="77777777" w:rsidR="00730DE4" w:rsidRPr="00730DE4" w:rsidRDefault="00730DE4" w:rsidP="00DA2321">
            <w:pPr>
              <w:pStyle w:val="NoSpacing"/>
            </w:pPr>
            <w:r w:rsidRPr="00730DE4">
              <w:t>Later than five years</w:t>
            </w:r>
          </w:p>
        </w:tc>
        <w:tc>
          <w:tcPr>
            <w:tcW w:w="741"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3EBFB9ED" w14:textId="77777777" w:rsidR="00730DE4" w:rsidRPr="00730DE4" w:rsidRDefault="00730DE4" w:rsidP="00DA2321">
            <w:pPr>
              <w:pStyle w:val="NoSpacing"/>
              <w:jc w:val="right"/>
            </w:pPr>
            <w:r w:rsidRPr="00730DE4">
              <w:t xml:space="preserve">- </w:t>
            </w:r>
          </w:p>
        </w:tc>
        <w:tc>
          <w:tcPr>
            <w:tcW w:w="741"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5C4CA1B2" w14:textId="77777777" w:rsidR="00730DE4" w:rsidRPr="00730DE4" w:rsidRDefault="00730DE4" w:rsidP="00DA2321">
            <w:pPr>
              <w:pStyle w:val="NoSpacing"/>
              <w:jc w:val="right"/>
            </w:pPr>
            <w:r w:rsidRPr="00730DE4">
              <w:t xml:space="preserve">- </w:t>
            </w:r>
          </w:p>
        </w:tc>
      </w:tr>
      <w:tr w:rsidR="00730DE4" w:rsidRPr="00730DE4" w14:paraId="156BD60D" w14:textId="77777777" w:rsidTr="00347785">
        <w:tc>
          <w:tcPr>
            <w:tcW w:w="3517"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03AE97C7" w14:textId="77777777" w:rsidR="00730DE4" w:rsidRPr="00730DE4" w:rsidRDefault="00730DE4" w:rsidP="001B0E0D">
            <w:pPr>
              <w:pStyle w:val="NoSpacing"/>
              <w:rPr>
                <w:b/>
                <w:bCs/>
              </w:rPr>
            </w:pPr>
            <w:r w:rsidRPr="00730DE4">
              <w:rPr>
                <w:rStyle w:val="Strong"/>
              </w:rPr>
              <w:t xml:space="preserve">Total </w:t>
            </w:r>
          </w:p>
        </w:tc>
        <w:tc>
          <w:tcPr>
            <w:tcW w:w="741"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5C01523C" w14:textId="77777777" w:rsidR="00730DE4" w:rsidRPr="00730DE4" w:rsidRDefault="00730DE4" w:rsidP="001B0E0D">
            <w:pPr>
              <w:pStyle w:val="NoSpacing"/>
              <w:jc w:val="right"/>
              <w:rPr>
                <w:rStyle w:val="Strong"/>
              </w:rPr>
            </w:pPr>
            <w:r w:rsidRPr="00730DE4">
              <w:rPr>
                <w:rStyle w:val="Strong"/>
              </w:rPr>
              <w:t xml:space="preserve">1,980,651 </w:t>
            </w:r>
          </w:p>
        </w:tc>
        <w:tc>
          <w:tcPr>
            <w:tcW w:w="741" w:type="pct"/>
            <w:tcBorders>
              <w:top w:val="single" w:sz="4" w:space="0" w:color="auto"/>
              <w:left w:val="dotted" w:sz="4" w:space="0" w:color="BFBFBF" w:themeColor="background1" w:themeShade="BF"/>
              <w:bottom w:val="double" w:sz="4" w:space="0" w:color="auto"/>
              <w:right w:val="nil"/>
            </w:tcBorders>
            <w:shd w:val="clear" w:color="auto" w:fill="auto"/>
            <w:noWrap/>
            <w:hideMark/>
          </w:tcPr>
          <w:p w14:paraId="39BCA752" w14:textId="77777777" w:rsidR="00730DE4" w:rsidRPr="00730DE4" w:rsidRDefault="00730DE4" w:rsidP="001B0E0D">
            <w:pPr>
              <w:pStyle w:val="NoSpacing"/>
              <w:jc w:val="right"/>
              <w:rPr>
                <w:rStyle w:val="Strong"/>
              </w:rPr>
            </w:pPr>
            <w:r w:rsidRPr="00730DE4">
              <w:rPr>
                <w:rStyle w:val="Strong"/>
              </w:rPr>
              <w:t xml:space="preserve">2,036,189 </w:t>
            </w:r>
          </w:p>
        </w:tc>
      </w:tr>
      <w:tr w:rsidR="00730DE4" w:rsidRPr="00730DE4" w14:paraId="4A4E10AB" w14:textId="77777777" w:rsidTr="00347785">
        <w:trPr>
          <w:trHeight w:val="454"/>
        </w:trPr>
        <w:tc>
          <w:tcPr>
            <w:tcW w:w="3517" w:type="pct"/>
            <w:tcBorders>
              <w:top w:val="doub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64FF5B5B" w14:textId="77777777" w:rsidR="00730DE4" w:rsidRPr="00730DE4" w:rsidRDefault="00730DE4" w:rsidP="00DA2321">
            <w:pPr>
              <w:pStyle w:val="NoSpacing"/>
              <w:rPr>
                <w:b/>
                <w:bCs/>
              </w:rPr>
            </w:pPr>
            <w:r w:rsidRPr="00730DE4">
              <w:rPr>
                <w:rStyle w:val="Strong"/>
              </w:rPr>
              <w:t xml:space="preserve">Other commitments </w:t>
            </w:r>
          </w:p>
        </w:tc>
        <w:tc>
          <w:tcPr>
            <w:tcW w:w="741"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33609976" w14:textId="77777777" w:rsidR="00730DE4" w:rsidRPr="00730DE4" w:rsidRDefault="00730DE4" w:rsidP="00DA2321">
            <w:pPr>
              <w:pStyle w:val="NoSpacing"/>
              <w:jc w:val="right"/>
              <w:rPr>
                <w:rStyle w:val="Strong"/>
              </w:rPr>
            </w:pPr>
          </w:p>
        </w:tc>
        <w:tc>
          <w:tcPr>
            <w:tcW w:w="741" w:type="pct"/>
            <w:tcBorders>
              <w:top w:val="double" w:sz="4" w:space="0" w:color="auto"/>
              <w:left w:val="dotted" w:sz="4" w:space="0" w:color="BFBFBF" w:themeColor="background1" w:themeShade="BF"/>
              <w:bottom w:val="dotted" w:sz="4" w:space="0" w:color="BFBFBF" w:themeColor="background1" w:themeShade="BF"/>
              <w:right w:val="nil"/>
            </w:tcBorders>
            <w:shd w:val="clear" w:color="auto" w:fill="auto"/>
            <w:noWrap/>
            <w:vAlign w:val="bottom"/>
          </w:tcPr>
          <w:p w14:paraId="1BEC10D2" w14:textId="77777777" w:rsidR="00730DE4" w:rsidRPr="00730DE4" w:rsidRDefault="00730DE4" w:rsidP="00DA2321">
            <w:pPr>
              <w:pStyle w:val="NoSpacing"/>
              <w:jc w:val="right"/>
            </w:pPr>
          </w:p>
        </w:tc>
      </w:tr>
      <w:tr w:rsidR="00730DE4" w:rsidRPr="00730DE4" w14:paraId="1E156DAA" w14:textId="77777777" w:rsidTr="008A2F83">
        <w:trPr>
          <w:trHeight w:val="23"/>
        </w:trPr>
        <w:tc>
          <w:tcPr>
            <w:tcW w:w="3517"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FE25BCB" w14:textId="77777777" w:rsidR="00730DE4" w:rsidRPr="00730DE4" w:rsidRDefault="00730DE4" w:rsidP="00DA2321">
            <w:pPr>
              <w:pStyle w:val="NoSpacing"/>
            </w:pPr>
            <w:r w:rsidRPr="00730DE4">
              <w:t>Not later than one year</w:t>
            </w:r>
          </w:p>
        </w:tc>
        <w:tc>
          <w:tcPr>
            <w:tcW w:w="74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9E85543" w14:textId="77777777" w:rsidR="00730DE4" w:rsidRPr="00730DE4" w:rsidRDefault="00730DE4" w:rsidP="00DA2321">
            <w:pPr>
              <w:pStyle w:val="NoSpacing"/>
              <w:jc w:val="right"/>
            </w:pPr>
            <w:r w:rsidRPr="00730DE4">
              <w:t xml:space="preserve">3,465,642 </w:t>
            </w:r>
          </w:p>
        </w:tc>
        <w:tc>
          <w:tcPr>
            <w:tcW w:w="741"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11BAF01" w14:textId="77777777" w:rsidR="00730DE4" w:rsidRPr="00730DE4" w:rsidRDefault="00730DE4" w:rsidP="00DA2321">
            <w:pPr>
              <w:pStyle w:val="NoSpacing"/>
              <w:jc w:val="right"/>
            </w:pPr>
            <w:r w:rsidRPr="00730DE4">
              <w:t xml:space="preserve">1,393,501 </w:t>
            </w:r>
          </w:p>
        </w:tc>
      </w:tr>
      <w:tr w:rsidR="00730DE4" w:rsidRPr="00730DE4" w14:paraId="651CFA90" w14:textId="77777777" w:rsidTr="00347785">
        <w:trPr>
          <w:trHeight w:val="23"/>
        </w:trPr>
        <w:tc>
          <w:tcPr>
            <w:tcW w:w="3517"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371CE45B" w14:textId="77777777" w:rsidR="00730DE4" w:rsidRPr="00730DE4" w:rsidRDefault="00730DE4" w:rsidP="00DA2321">
            <w:pPr>
              <w:pStyle w:val="NoSpacing"/>
            </w:pPr>
            <w:r w:rsidRPr="00730DE4">
              <w:t>Later than one year and not later than five years</w:t>
            </w:r>
          </w:p>
        </w:tc>
        <w:tc>
          <w:tcPr>
            <w:tcW w:w="74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A7154FB" w14:textId="77777777" w:rsidR="00730DE4" w:rsidRPr="00730DE4" w:rsidRDefault="00730DE4" w:rsidP="00DA2321">
            <w:pPr>
              <w:pStyle w:val="NoSpacing"/>
              <w:jc w:val="right"/>
            </w:pPr>
            <w:r w:rsidRPr="00730DE4">
              <w:t xml:space="preserve">5,801,398 </w:t>
            </w:r>
          </w:p>
        </w:tc>
        <w:tc>
          <w:tcPr>
            <w:tcW w:w="741"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8D60225" w14:textId="77777777" w:rsidR="00730DE4" w:rsidRPr="00730DE4" w:rsidRDefault="00730DE4" w:rsidP="00DA2321">
            <w:pPr>
              <w:pStyle w:val="NoSpacing"/>
              <w:jc w:val="right"/>
            </w:pPr>
            <w:r w:rsidRPr="00730DE4">
              <w:t xml:space="preserve">10,668,229 </w:t>
            </w:r>
          </w:p>
        </w:tc>
      </w:tr>
      <w:tr w:rsidR="00730DE4" w:rsidRPr="00730DE4" w14:paraId="01D495AD" w14:textId="77777777" w:rsidTr="00347785">
        <w:trPr>
          <w:trHeight w:val="23"/>
        </w:trPr>
        <w:tc>
          <w:tcPr>
            <w:tcW w:w="3517"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23C55E33" w14:textId="77777777" w:rsidR="00730DE4" w:rsidRPr="00730DE4" w:rsidRDefault="00730DE4" w:rsidP="00DA2321">
            <w:pPr>
              <w:pStyle w:val="NoSpacing"/>
            </w:pPr>
            <w:r w:rsidRPr="00730DE4">
              <w:t>Later than five years</w:t>
            </w:r>
          </w:p>
        </w:tc>
        <w:tc>
          <w:tcPr>
            <w:tcW w:w="741"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65BB95FA" w14:textId="77777777" w:rsidR="00730DE4" w:rsidRPr="00730DE4" w:rsidRDefault="00730DE4" w:rsidP="00DA2321">
            <w:pPr>
              <w:pStyle w:val="NoSpacing"/>
              <w:jc w:val="right"/>
            </w:pPr>
            <w:r w:rsidRPr="00730DE4">
              <w:t xml:space="preserve">929,810 </w:t>
            </w:r>
          </w:p>
        </w:tc>
        <w:tc>
          <w:tcPr>
            <w:tcW w:w="741"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687594A6" w14:textId="77777777" w:rsidR="00730DE4" w:rsidRPr="00730DE4" w:rsidRDefault="00730DE4" w:rsidP="00DA2321">
            <w:pPr>
              <w:pStyle w:val="NoSpacing"/>
              <w:jc w:val="right"/>
            </w:pPr>
            <w:r w:rsidRPr="00730DE4">
              <w:t xml:space="preserve">3,252,981 </w:t>
            </w:r>
          </w:p>
        </w:tc>
      </w:tr>
      <w:tr w:rsidR="00730DE4" w:rsidRPr="00730DE4" w14:paraId="116AD012" w14:textId="77777777" w:rsidTr="00347785">
        <w:tc>
          <w:tcPr>
            <w:tcW w:w="3517"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537EBA81" w14:textId="77777777" w:rsidR="00730DE4" w:rsidRPr="00730DE4" w:rsidRDefault="00730DE4" w:rsidP="001B0E0D">
            <w:pPr>
              <w:pStyle w:val="NoSpacing"/>
              <w:rPr>
                <w:b/>
                <w:bCs/>
              </w:rPr>
            </w:pPr>
            <w:r w:rsidRPr="00730DE4">
              <w:rPr>
                <w:rStyle w:val="Strong"/>
              </w:rPr>
              <w:t>Total</w:t>
            </w:r>
          </w:p>
        </w:tc>
        <w:tc>
          <w:tcPr>
            <w:tcW w:w="741"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3FC5CA98" w14:textId="77777777" w:rsidR="00730DE4" w:rsidRPr="00730DE4" w:rsidRDefault="00730DE4" w:rsidP="001B0E0D">
            <w:pPr>
              <w:pStyle w:val="NoSpacing"/>
              <w:jc w:val="right"/>
              <w:rPr>
                <w:rStyle w:val="Strong"/>
              </w:rPr>
            </w:pPr>
            <w:r w:rsidRPr="00730DE4">
              <w:rPr>
                <w:rStyle w:val="Strong"/>
              </w:rPr>
              <w:t xml:space="preserve">10,196,850 </w:t>
            </w:r>
          </w:p>
        </w:tc>
        <w:tc>
          <w:tcPr>
            <w:tcW w:w="741" w:type="pct"/>
            <w:tcBorders>
              <w:top w:val="single" w:sz="4" w:space="0" w:color="auto"/>
              <w:left w:val="dotted" w:sz="4" w:space="0" w:color="BFBFBF" w:themeColor="background1" w:themeShade="BF"/>
              <w:bottom w:val="double" w:sz="4" w:space="0" w:color="auto"/>
              <w:right w:val="nil"/>
            </w:tcBorders>
            <w:shd w:val="clear" w:color="auto" w:fill="auto"/>
            <w:noWrap/>
            <w:hideMark/>
          </w:tcPr>
          <w:p w14:paraId="21FA10FF" w14:textId="77777777" w:rsidR="00730DE4" w:rsidRPr="00730DE4" w:rsidRDefault="00730DE4" w:rsidP="001B0E0D">
            <w:pPr>
              <w:pStyle w:val="NoSpacing"/>
              <w:jc w:val="right"/>
              <w:rPr>
                <w:rStyle w:val="Strong"/>
              </w:rPr>
            </w:pPr>
            <w:r w:rsidRPr="00730DE4">
              <w:rPr>
                <w:rStyle w:val="Strong"/>
              </w:rPr>
              <w:t xml:space="preserve">15,314,711 </w:t>
            </w:r>
          </w:p>
        </w:tc>
      </w:tr>
    </w:tbl>
    <w:p w14:paraId="49BCF650" w14:textId="77777777" w:rsidR="00730DE4" w:rsidRPr="00730DE4" w:rsidRDefault="00730DE4" w:rsidP="00390F2D">
      <w:pPr>
        <w:pStyle w:val="List0"/>
      </w:pPr>
      <w:r w:rsidRPr="00730DE4">
        <w:t>* Increase relates mainly to the Queensland Train Manufacturing Program.</w:t>
      </w:r>
    </w:p>
    <w:p w14:paraId="7142489B" w14:textId="77777777" w:rsidR="00730DE4" w:rsidRPr="00730DE4" w:rsidRDefault="00730DE4" w:rsidP="00D16D4F">
      <w:pPr>
        <w:pStyle w:val="Heading4"/>
      </w:pPr>
      <w:bookmarkStart w:id="1596" w:name="_Toc179365621"/>
      <w:bookmarkStart w:id="1597" w:name="_Toc180490960"/>
      <w:bookmarkStart w:id="1598" w:name="_Toc180491993"/>
      <w:r w:rsidRPr="00730DE4">
        <w:t>25 Contingencies</w:t>
      </w:r>
      <w:bookmarkEnd w:id="1596"/>
      <w:bookmarkEnd w:id="1597"/>
      <w:bookmarkEnd w:id="1598"/>
    </w:p>
    <w:p w14:paraId="16E85194" w14:textId="77777777" w:rsidR="00730DE4" w:rsidRPr="00730DE4" w:rsidRDefault="00730DE4" w:rsidP="00246692">
      <w:pPr>
        <w:pStyle w:val="Heading5"/>
      </w:pPr>
      <w:bookmarkStart w:id="1599" w:name="_Toc180487756"/>
      <w:bookmarkStart w:id="1600" w:name="_Toc180490961"/>
      <w:bookmarkStart w:id="1601" w:name="_Toc180491994"/>
      <w:r w:rsidRPr="00730DE4">
        <w:t>Contingent assets</w:t>
      </w:r>
      <w:bookmarkEnd w:id="1599"/>
      <w:bookmarkEnd w:id="1600"/>
      <w:bookmarkEnd w:id="1601"/>
    </w:p>
    <w:p w14:paraId="698E6A90" w14:textId="77777777" w:rsidR="00730DE4" w:rsidRPr="00730DE4" w:rsidRDefault="00730DE4" w:rsidP="003C13D4">
      <w:pPr>
        <w:rPr>
          <w:color w:val="080C0F" w:themeColor="text1"/>
        </w:rPr>
      </w:pPr>
      <w:r w:rsidRPr="00730DE4">
        <w:rPr>
          <w:color w:val="080C0F" w:themeColor="text1"/>
        </w:rPr>
        <w:t xml:space="preserve">The department holds securities amounting to $852m (2023: $770m) provided by contractors in the event of non-performance with the agreed contract terms. These securities are not recognised as assets in the Statement of financial position due to the probability of realisation being remote.   </w:t>
      </w:r>
    </w:p>
    <w:p w14:paraId="179B0150" w14:textId="77777777" w:rsidR="00730DE4" w:rsidRPr="00730DE4" w:rsidRDefault="00730DE4" w:rsidP="00246692">
      <w:pPr>
        <w:pStyle w:val="Heading5"/>
      </w:pPr>
      <w:bookmarkStart w:id="1602" w:name="_Toc180487757"/>
      <w:bookmarkStart w:id="1603" w:name="_Toc180490962"/>
      <w:bookmarkStart w:id="1604" w:name="_Toc180491995"/>
      <w:r w:rsidRPr="00730DE4">
        <w:t>Contingent liabilities</w:t>
      </w:r>
      <w:bookmarkEnd w:id="1602"/>
      <w:bookmarkEnd w:id="1603"/>
      <w:bookmarkEnd w:id="1604"/>
    </w:p>
    <w:p w14:paraId="308E1C3A" w14:textId="77777777" w:rsidR="00730DE4" w:rsidRPr="00730DE4" w:rsidRDefault="00730DE4" w:rsidP="003C13D4">
      <w:pPr>
        <w:rPr>
          <w:color w:val="080C0F" w:themeColor="text1"/>
        </w:rPr>
      </w:pPr>
      <w:r w:rsidRPr="00730DE4">
        <w:rPr>
          <w:color w:val="080C0F" w:themeColor="text1"/>
        </w:rPr>
        <w:t>At balance date the department has been named as defendant in three cases and 115 other claims not yet subject to court action. The department's legal advisers and management believe it would be misleading to estimate the final amounts payable for litigation filed in the courts.</w:t>
      </w:r>
    </w:p>
    <w:p w14:paraId="56DD9F75" w14:textId="77777777" w:rsidR="00730DE4" w:rsidRPr="00730DE4" w:rsidRDefault="00730DE4" w:rsidP="003C13D4">
      <w:pPr>
        <w:rPr>
          <w:i/>
          <w:iCs/>
          <w:color w:val="080C0F" w:themeColor="text1"/>
        </w:rPr>
      </w:pPr>
      <w:r w:rsidRPr="00730DE4">
        <w:rPr>
          <w:color w:val="080C0F" w:themeColor="text1"/>
        </w:rPr>
        <w:t>The Queensland Government Insurance Fund limits the department's liability in a majority of these cases to $10,000.</w:t>
      </w:r>
    </w:p>
    <w:p w14:paraId="0F3B22CC" w14:textId="77777777" w:rsidR="00730DE4" w:rsidRPr="00730DE4" w:rsidRDefault="00730DE4" w:rsidP="00D16D4F">
      <w:pPr>
        <w:pStyle w:val="Heading4"/>
      </w:pPr>
      <w:bookmarkStart w:id="1605" w:name="_Toc179365622"/>
      <w:bookmarkStart w:id="1606" w:name="_Toc180490963"/>
      <w:bookmarkStart w:id="1607" w:name="_Toc180491996"/>
      <w:r w:rsidRPr="00730DE4">
        <w:t>26 Investment in subsidiary</w:t>
      </w:r>
      <w:bookmarkEnd w:id="1605"/>
      <w:bookmarkEnd w:id="1606"/>
      <w:bookmarkEnd w:id="1607"/>
      <w:r w:rsidRPr="00730DE4">
        <w:t xml:space="preserve"> </w:t>
      </w:r>
    </w:p>
    <w:p w14:paraId="6AB2B709" w14:textId="77777777" w:rsidR="00730DE4" w:rsidRPr="00730DE4" w:rsidRDefault="00730DE4" w:rsidP="00246692">
      <w:pPr>
        <w:pStyle w:val="Heading5"/>
      </w:pPr>
      <w:bookmarkStart w:id="1608" w:name="_Toc180487759"/>
      <w:bookmarkStart w:id="1609" w:name="_Toc180490964"/>
      <w:bookmarkStart w:id="1610" w:name="_Toc180491997"/>
      <w:r w:rsidRPr="00730DE4">
        <w:t>Transmax Pty Ltd</w:t>
      </w:r>
      <w:bookmarkEnd w:id="1608"/>
      <w:bookmarkEnd w:id="1609"/>
      <w:bookmarkEnd w:id="1610"/>
      <w:r w:rsidRPr="00730DE4">
        <w:t xml:space="preserve"> </w:t>
      </w:r>
    </w:p>
    <w:p w14:paraId="6524C6AF" w14:textId="77777777" w:rsidR="00730DE4" w:rsidRPr="00730DE4" w:rsidRDefault="00730DE4" w:rsidP="003C13D4">
      <w:pPr>
        <w:rPr>
          <w:color w:val="080C0F" w:themeColor="text1"/>
        </w:rPr>
      </w:pPr>
      <w:r w:rsidRPr="00730DE4">
        <w:rPr>
          <w:color w:val="080C0F" w:themeColor="text1"/>
        </w:rPr>
        <w:t>Transmax Pty Ltd (Transmax) was established to enhance and market the STREAMS traffic management system. STREAMS is a multifunctional intelligent transport system that provides freeway, traffic signal and incident management as well as driver and passenger information capabilities.</w:t>
      </w:r>
    </w:p>
    <w:p w14:paraId="4EE70F6D" w14:textId="77777777" w:rsidR="00730DE4" w:rsidRPr="00730DE4" w:rsidRDefault="00730DE4" w:rsidP="003C13D4">
      <w:pPr>
        <w:rPr>
          <w:color w:val="080C0F" w:themeColor="text1"/>
        </w:rPr>
      </w:pPr>
      <w:r w:rsidRPr="00730DE4">
        <w:rPr>
          <w:color w:val="080C0F" w:themeColor="text1"/>
        </w:rPr>
        <w:t>The department exercises control over Transmax through 100 percent ownership of all its issued shares. This investment is recognised at cost and is valued at $34.027m (2023: $15.601m).</w:t>
      </w:r>
      <w:bookmarkStart w:id="1611" w:name="_Hlk141259218"/>
      <w:r w:rsidRPr="00730DE4">
        <w:rPr>
          <w:color w:val="080C0F" w:themeColor="text1"/>
        </w:rPr>
        <w:t xml:space="preserve"> The department made an equity injection of $18.426m in 2024 for Transmax's STREAMS Next Generation Mobility Platform.</w:t>
      </w:r>
    </w:p>
    <w:bookmarkEnd w:id="1611"/>
    <w:p w14:paraId="11479900" w14:textId="77777777" w:rsidR="00730DE4" w:rsidRPr="00730DE4" w:rsidRDefault="00730DE4" w:rsidP="003C13D4">
      <w:pPr>
        <w:rPr>
          <w:i/>
          <w:iCs/>
          <w:color w:val="080C0F" w:themeColor="text1"/>
        </w:rPr>
      </w:pPr>
      <w:r w:rsidRPr="00730DE4">
        <w:rPr>
          <w:color w:val="080C0F" w:themeColor="text1"/>
        </w:rPr>
        <w:t xml:space="preserve">The amount of the investment and transactions relating to Transmax are not material to these financial statements, and the department has elected not to prepare consolidated financial statements in accordance with AASB 127 </w:t>
      </w:r>
      <w:r w:rsidRPr="00730DE4">
        <w:rPr>
          <w:i/>
          <w:iCs/>
          <w:color w:val="080C0F" w:themeColor="text1"/>
        </w:rPr>
        <w:t xml:space="preserve">Separate Financial Statements </w:t>
      </w:r>
      <w:r w:rsidRPr="00730DE4">
        <w:rPr>
          <w:color w:val="080C0F" w:themeColor="text1"/>
        </w:rPr>
        <w:t>and AASB 10</w:t>
      </w:r>
      <w:r w:rsidRPr="00730DE4">
        <w:rPr>
          <w:i/>
          <w:iCs/>
          <w:color w:val="080C0F" w:themeColor="text1"/>
        </w:rPr>
        <w:t xml:space="preserve"> Consolidated Financial Statements.</w:t>
      </w:r>
    </w:p>
    <w:p w14:paraId="02C544A9" w14:textId="77777777" w:rsidR="00730DE4" w:rsidRPr="00730DE4" w:rsidRDefault="00730DE4" w:rsidP="003C13D4">
      <w:pPr>
        <w:rPr>
          <w:color w:val="080C0F" w:themeColor="text1"/>
        </w:rPr>
      </w:pPr>
      <w:r w:rsidRPr="00730DE4">
        <w:rPr>
          <w:color w:val="080C0F" w:themeColor="text1"/>
        </w:rPr>
        <w:t>The department engaged Transmax for the provision of software licencing, technical support and related professional services to the value of $40.646m (2023: $33.210m) GST inclusive during the financial year.</w:t>
      </w:r>
    </w:p>
    <w:p w14:paraId="64E7A896" w14:textId="77777777" w:rsidR="00730DE4" w:rsidRPr="00730DE4" w:rsidRDefault="00730DE4" w:rsidP="003C13D4">
      <w:pPr>
        <w:rPr>
          <w:color w:val="080C0F" w:themeColor="text1"/>
        </w:rPr>
      </w:pPr>
      <w:r w:rsidRPr="00730DE4">
        <w:rPr>
          <w:color w:val="080C0F" w:themeColor="text1"/>
        </w:rPr>
        <w:t>Transmax prepares separate financial statements which are audited by the Queensland Audit Office and are tabled in parliament in accordance with government policy.</w:t>
      </w:r>
    </w:p>
    <w:p w14:paraId="263B6E3E" w14:textId="77777777" w:rsidR="00730DE4" w:rsidRPr="00730DE4" w:rsidRDefault="00730DE4" w:rsidP="00D16D4F">
      <w:pPr>
        <w:pStyle w:val="Heading4"/>
      </w:pPr>
      <w:r w:rsidRPr="00730DE4">
        <w:br w:type="page"/>
      </w:r>
    </w:p>
    <w:p w14:paraId="510112A5" w14:textId="77777777" w:rsidR="00730DE4" w:rsidRPr="00730DE4" w:rsidRDefault="00730DE4" w:rsidP="00D16D4F">
      <w:pPr>
        <w:pStyle w:val="Heading4"/>
      </w:pPr>
      <w:bookmarkStart w:id="1612" w:name="_Toc179365623"/>
      <w:bookmarkStart w:id="1613" w:name="_Toc180490965"/>
      <w:bookmarkStart w:id="1614" w:name="_Toc180491998"/>
      <w:r w:rsidRPr="00730DE4">
        <w:t>27 Financial instruments</w:t>
      </w:r>
      <w:bookmarkEnd w:id="1612"/>
      <w:bookmarkEnd w:id="1613"/>
      <w:bookmarkEnd w:id="1614"/>
      <w:r w:rsidRPr="00730DE4">
        <w:t xml:space="preserve"> </w:t>
      </w:r>
    </w:p>
    <w:p w14:paraId="313520C7" w14:textId="77777777" w:rsidR="00730DE4" w:rsidRPr="00730DE4" w:rsidRDefault="00730DE4" w:rsidP="003C13D4">
      <w:pPr>
        <w:rPr>
          <w:color w:val="080C0F" w:themeColor="text1"/>
        </w:rPr>
      </w:pPr>
      <w:r w:rsidRPr="00730DE4">
        <w:rPr>
          <w:color w:val="080C0F" w:themeColor="text1"/>
        </w:rPr>
        <w:t>Financial assets and financial liabilities are recognised in the Statement of financial position when the department becomes party to the contractual provisions of the financial instrument.</w:t>
      </w:r>
    </w:p>
    <w:p w14:paraId="5E374E27" w14:textId="77777777" w:rsidR="00730DE4" w:rsidRPr="00730DE4" w:rsidRDefault="00730DE4" w:rsidP="00246692">
      <w:pPr>
        <w:pStyle w:val="Heading5"/>
      </w:pPr>
      <w:bookmarkStart w:id="1615" w:name="_Toc180487761"/>
      <w:bookmarkStart w:id="1616" w:name="_Toc180490966"/>
      <w:bookmarkStart w:id="1617" w:name="_Toc180491999"/>
      <w:r w:rsidRPr="00730DE4">
        <w:t>Categorisation of financial instruments</w:t>
      </w:r>
      <w:bookmarkEnd w:id="1615"/>
      <w:bookmarkEnd w:id="1616"/>
      <w:bookmarkEnd w:id="1617"/>
    </w:p>
    <w:p w14:paraId="0ABE2289" w14:textId="77777777" w:rsidR="00730DE4" w:rsidRPr="00730DE4" w:rsidRDefault="00730DE4" w:rsidP="008A2346">
      <w:pPr>
        <w:rPr>
          <w:color w:val="080C0F" w:themeColor="text1"/>
        </w:rPr>
      </w:pPr>
      <w:r w:rsidRPr="00730DE4">
        <w:rPr>
          <w:color w:val="080C0F" w:themeColor="text1"/>
        </w:rPr>
        <w:t>The department has the following categories of financial assets and financial liabilities:</w:t>
      </w:r>
    </w:p>
    <w:tbl>
      <w:tblPr>
        <w:tblW w:w="4885" w:type="pct"/>
        <w:tblCellMar>
          <w:top w:w="23" w:type="dxa"/>
          <w:left w:w="23" w:type="dxa"/>
          <w:bottom w:w="23" w:type="dxa"/>
          <w:right w:w="23" w:type="dxa"/>
        </w:tblCellMar>
        <w:tblLook w:val="04A0" w:firstRow="1" w:lastRow="0" w:firstColumn="1" w:lastColumn="0" w:noHBand="0" w:noVBand="1"/>
      </w:tblPr>
      <w:tblGrid>
        <w:gridCol w:w="5737"/>
        <w:gridCol w:w="969"/>
        <w:gridCol w:w="1079"/>
        <w:gridCol w:w="1076"/>
      </w:tblGrid>
      <w:tr w:rsidR="00730DE4" w:rsidRPr="00730DE4" w14:paraId="6DEF5BBC" w14:textId="77777777" w:rsidTr="008A2F83">
        <w:trPr>
          <w:trHeight w:val="240"/>
        </w:trPr>
        <w:tc>
          <w:tcPr>
            <w:tcW w:w="3237" w:type="pct"/>
            <w:tcBorders>
              <w:top w:val="nil"/>
              <w:left w:val="nil"/>
              <w:bottom w:val="single" w:sz="4" w:space="0" w:color="auto"/>
              <w:right w:val="nil"/>
            </w:tcBorders>
            <w:shd w:val="clear" w:color="auto" w:fill="auto"/>
            <w:noWrap/>
            <w:vAlign w:val="bottom"/>
            <w:hideMark/>
          </w:tcPr>
          <w:p w14:paraId="3B3F989E" w14:textId="77777777" w:rsidR="00730DE4" w:rsidRPr="00730DE4" w:rsidRDefault="00730DE4" w:rsidP="008A2346">
            <w:pPr>
              <w:pStyle w:val="NoSpacing"/>
              <w:rPr>
                <w:color w:val="080C0F" w:themeColor="text1"/>
              </w:rPr>
            </w:pPr>
          </w:p>
        </w:tc>
        <w:tc>
          <w:tcPr>
            <w:tcW w:w="547" w:type="pct"/>
            <w:tcBorders>
              <w:top w:val="nil"/>
              <w:left w:val="nil"/>
              <w:bottom w:val="single" w:sz="4" w:space="0" w:color="auto"/>
              <w:right w:val="nil"/>
            </w:tcBorders>
            <w:shd w:val="clear" w:color="auto" w:fill="auto"/>
            <w:noWrap/>
            <w:vAlign w:val="bottom"/>
            <w:hideMark/>
          </w:tcPr>
          <w:p w14:paraId="11CEBDBE" w14:textId="77777777" w:rsidR="00730DE4" w:rsidRPr="00730DE4" w:rsidRDefault="00730DE4" w:rsidP="008A2346">
            <w:pPr>
              <w:pStyle w:val="NoSpacing"/>
              <w:jc w:val="right"/>
              <w:rPr>
                <w:rStyle w:val="Strong"/>
              </w:rPr>
            </w:pPr>
            <w:r w:rsidRPr="00730DE4">
              <w:rPr>
                <w:rStyle w:val="Strong"/>
              </w:rPr>
              <w:t>Note</w:t>
            </w:r>
          </w:p>
        </w:tc>
        <w:tc>
          <w:tcPr>
            <w:tcW w:w="609" w:type="pct"/>
            <w:tcBorders>
              <w:top w:val="nil"/>
              <w:left w:val="nil"/>
              <w:bottom w:val="single" w:sz="4" w:space="0" w:color="auto"/>
              <w:right w:val="nil"/>
            </w:tcBorders>
            <w:shd w:val="clear" w:color="auto" w:fill="auto"/>
            <w:noWrap/>
            <w:vAlign w:val="bottom"/>
            <w:hideMark/>
          </w:tcPr>
          <w:p w14:paraId="4351DB6B" w14:textId="77777777" w:rsidR="00730DE4" w:rsidRPr="00730DE4" w:rsidRDefault="00730DE4" w:rsidP="008A2346">
            <w:pPr>
              <w:pStyle w:val="NoSpacing"/>
              <w:jc w:val="right"/>
              <w:rPr>
                <w:color w:val="080C0F" w:themeColor="text1"/>
              </w:rPr>
            </w:pPr>
            <w:r w:rsidRPr="00730DE4">
              <w:rPr>
                <w:rStyle w:val="Strong"/>
              </w:rPr>
              <w:t xml:space="preserve">2024 </w:t>
            </w:r>
            <w:r w:rsidRPr="00730DE4">
              <w:rPr>
                <w:rStyle w:val="Strong"/>
              </w:rPr>
              <w:br/>
              <w:t>$'000</w:t>
            </w:r>
          </w:p>
        </w:tc>
        <w:tc>
          <w:tcPr>
            <w:tcW w:w="607" w:type="pct"/>
            <w:tcBorders>
              <w:top w:val="nil"/>
              <w:left w:val="nil"/>
              <w:bottom w:val="single" w:sz="4" w:space="0" w:color="auto"/>
              <w:right w:val="nil"/>
            </w:tcBorders>
            <w:shd w:val="clear" w:color="auto" w:fill="auto"/>
            <w:noWrap/>
            <w:vAlign w:val="bottom"/>
            <w:hideMark/>
          </w:tcPr>
          <w:p w14:paraId="365B76F5" w14:textId="77777777" w:rsidR="00730DE4" w:rsidRPr="00730DE4" w:rsidRDefault="00730DE4" w:rsidP="008A2346">
            <w:pPr>
              <w:pStyle w:val="NoSpacing"/>
              <w:jc w:val="right"/>
              <w:rPr>
                <w:color w:val="080C0F" w:themeColor="text1"/>
              </w:rPr>
            </w:pPr>
            <w:r w:rsidRPr="00730DE4">
              <w:rPr>
                <w:rStyle w:val="Strong"/>
              </w:rPr>
              <w:t xml:space="preserve">2023 </w:t>
            </w:r>
            <w:r w:rsidRPr="00730DE4">
              <w:rPr>
                <w:rStyle w:val="Strong"/>
              </w:rPr>
              <w:br/>
              <w:t>$'000</w:t>
            </w:r>
          </w:p>
        </w:tc>
      </w:tr>
      <w:tr w:rsidR="00730DE4" w:rsidRPr="00730DE4" w14:paraId="0DB19DC7" w14:textId="77777777" w:rsidTr="00E93EA8">
        <w:trPr>
          <w:trHeight w:val="454"/>
        </w:trPr>
        <w:tc>
          <w:tcPr>
            <w:tcW w:w="3237"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vAlign w:val="bottom"/>
          </w:tcPr>
          <w:p w14:paraId="129F271F" w14:textId="77777777" w:rsidR="00730DE4" w:rsidRPr="00730DE4" w:rsidRDefault="00730DE4" w:rsidP="008A2346">
            <w:pPr>
              <w:pStyle w:val="NoSpacing"/>
              <w:rPr>
                <w:rStyle w:val="Strong"/>
              </w:rPr>
            </w:pPr>
            <w:r w:rsidRPr="00730DE4">
              <w:rPr>
                <w:rStyle w:val="Strong"/>
              </w:rPr>
              <w:t>Financial assets</w:t>
            </w:r>
          </w:p>
        </w:tc>
        <w:tc>
          <w:tcPr>
            <w:tcW w:w="547"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7EAC926B" w14:textId="77777777" w:rsidR="00730DE4" w:rsidRPr="00730DE4" w:rsidRDefault="00730DE4" w:rsidP="008A2346">
            <w:pPr>
              <w:pStyle w:val="NoSpacing"/>
              <w:jc w:val="right"/>
              <w:rPr>
                <w:rStyle w:val="Strong"/>
              </w:rPr>
            </w:pPr>
          </w:p>
        </w:tc>
        <w:tc>
          <w:tcPr>
            <w:tcW w:w="609"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3D7A21FC" w14:textId="77777777" w:rsidR="00730DE4" w:rsidRPr="00730DE4" w:rsidRDefault="00730DE4" w:rsidP="008A2346">
            <w:pPr>
              <w:pStyle w:val="NoSpacing"/>
              <w:jc w:val="right"/>
              <w:rPr>
                <w:rStyle w:val="Strong"/>
              </w:rPr>
            </w:pPr>
          </w:p>
        </w:tc>
        <w:tc>
          <w:tcPr>
            <w:tcW w:w="607"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vAlign w:val="bottom"/>
          </w:tcPr>
          <w:p w14:paraId="117697FE" w14:textId="77777777" w:rsidR="00730DE4" w:rsidRPr="00730DE4" w:rsidRDefault="00730DE4" w:rsidP="008A2346">
            <w:pPr>
              <w:pStyle w:val="NoSpacing"/>
              <w:jc w:val="right"/>
              <w:rPr>
                <w:rStyle w:val="Strong"/>
              </w:rPr>
            </w:pPr>
          </w:p>
        </w:tc>
      </w:tr>
      <w:tr w:rsidR="00730DE4" w:rsidRPr="00730DE4" w14:paraId="74AF86F8" w14:textId="77777777" w:rsidTr="008A2F83">
        <w:trPr>
          <w:trHeight w:val="240"/>
        </w:trPr>
        <w:tc>
          <w:tcPr>
            <w:tcW w:w="3237"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1FE9F1A" w14:textId="77777777" w:rsidR="00730DE4" w:rsidRPr="00730DE4" w:rsidRDefault="00730DE4" w:rsidP="008A2346">
            <w:pPr>
              <w:pStyle w:val="NoSpacing"/>
              <w:rPr>
                <w:color w:val="080C0F" w:themeColor="text1"/>
              </w:rPr>
            </w:pPr>
            <w:r w:rsidRPr="00730DE4">
              <w:rPr>
                <w:color w:val="080C0F" w:themeColor="text1"/>
              </w:rPr>
              <w:t>Cash</w:t>
            </w:r>
          </w:p>
        </w:tc>
        <w:tc>
          <w:tcPr>
            <w:tcW w:w="54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02A910B" w14:textId="77777777" w:rsidR="00730DE4" w:rsidRPr="00730DE4" w:rsidRDefault="00730DE4" w:rsidP="008A2346">
            <w:pPr>
              <w:pStyle w:val="NoSpacing"/>
              <w:jc w:val="right"/>
              <w:rPr>
                <w:color w:val="080C0F" w:themeColor="text1"/>
              </w:rPr>
            </w:pPr>
          </w:p>
        </w:tc>
        <w:tc>
          <w:tcPr>
            <w:tcW w:w="60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C0B42B8" w14:textId="77777777" w:rsidR="00730DE4" w:rsidRPr="00730DE4" w:rsidRDefault="00730DE4" w:rsidP="008A2346">
            <w:pPr>
              <w:pStyle w:val="NoSpacing"/>
              <w:jc w:val="right"/>
              <w:rPr>
                <w:color w:val="080C0F" w:themeColor="text1"/>
              </w:rPr>
            </w:pPr>
            <w:r w:rsidRPr="00730DE4">
              <w:rPr>
                <w:color w:val="080C0F" w:themeColor="text1"/>
              </w:rPr>
              <w:t xml:space="preserve">382,058 </w:t>
            </w:r>
          </w:p>
        </w:tc>
        <w:tc>
          <w:tcPr>
            <w:tcW w:w="60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70B39A7" w14:textId="77777777" w:rsidR="00730DE4" w:rsidRPr="00730DE4" w:rsidRDefault="00730DE4" w:rsidP="008A2346">
            <w:pPr>
              <w:pStyle w:val="NoSpacing"/>
              <w:jc w:val="right"/>
              <w:rPr>
                <w:color w:val="080C0F" w:themeColor="text1"/>
              </w:rPr>
            </w:pPr>
            <w:r w:rsidRPr="00730DE4">
              <w:rPr>
                <w:color w:val="080C0F" w:themeColor="text1"/>
              </w:rPr>
              <w:t xml:space="preserve">670,102 </w:t>
            </w:r>
          </w:p>
        </w:tc>
      </w:tr>
      <w:tr w:rsidR="00730DE4" w:rsidRPr="00730DE4" w14:paraId="18922282" w14:textId="77777777" w:rsidTr="00E93EA8">
        <w:trPr>
          <w:trHeight w:val="240"/>
        </w:trPr>
        <w:tc>
          <w:tcPr>
            <w:tcW w:w="3237"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0CD9C6FE" w14:textId="77777777" w:rsidR="00730DE4" w:rsidRPr="00730DE4" w:rsidRDefault="00730DE4" w:rsidP="008A2346">
            <w:pPr>
              <w:pStyle w:val="NoSpacing"/>
              <w:rPr>
                <w:color w:val="080C0F" w:themeColor="text1"/>
              </w:rPr>
            </w:pPr>
            <w:r w:rsidRPr="00730DE4">
              <w:rPr>
                <w:color w:val="080C0F" w:themeColor="text1"/>
              </w:rPr>
              <w:t>Financial assets at amortised cost:</w:t>
            </w:r>
          </w:p>
        </w:tc>
        <w:tc>
          <w:tcPr>
            <w:tcW w:w="54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9B3AB28" w14:textId="77777777" w:rsidR="00730DE4" w:rsidRPr="00730DE4" w:rsidRDefault="00730DE4" w:rsidP="008A2346">
            <w:pPr>
              <w:pStyle w:val="NoSpacing"/>
              <w:jc w:val="right"/>
              <w:rPr>
                <w:color w:val="080C0F" w:themeColor="text1"/>
              </w:rPr>
            </w:pPr>
          </w:p>
        </w:tc>
        <w:tc>
          <w:tcPr>
            <w:tcW w:w="60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CB9EFCE" w14:textId="77777777" w:rsidR="00730DE4" w:rsidRPr="00730DE4" w:rsidRDefault="00730DE4" w:rsidP="008A2346">
            <w:pPr>
              <w:pStyle w:val="NoSpacing"/>
              <w:jc w:val="right"/>
              <w:rPr>
                <w:color w:val="080C0F" w:themeColor="text1"/>
              </w:rPr>
            </w:pPr>
            <w:r w:rsidRPr="00730DE4">
              <w:rPr>
                <w:color w:val="080C0F" w:themeColor="text1"/>
              </w:rPr>
              <w:t> </w:t>
            </w:r>
          </w:p>
        </w:tc>
        <w:tc>
          <w:tcPr>
            <w:tcW w:w="60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431763F" w14:textId="77777777" w:rsidR="00730DE4" w:rsidRPr="00730DE4" w:rsidRDefault="00730DE4" w:rsidP="008A2346">
            <w:pPr>
              <w:pStyle w:val="NoSpacing"/>
              <w:jc w:val="right"/>
              <w:rPr>
                <w:color w:val="080C0F" w:themeColor="text1"/>
              </w:rPr>
            </w:pPr>
          </w:p>
        </w:tc>
      </w:tr>
      <w:tr w:rsidR="00730DE4" w:rsidRPr="00730DE4" w14:paraId="61D88FF7" w14:textId="77777777" w:rsidTr="00E93EA8">
        <w:trPr>
          <w:trHeight w:val="240"/>
        </w:trPr>
        <w:tc>
          <w:tcPr>
            <w:tcW w:w="3237"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3942A3FA" w14:textId="77777777" w:rsidR="00730DE4" w:rsidRPr="00730DE4" w:rsidRDefault="00730DE4" w:rsidP="004B7C3B">
            <w:pPr>
              <w:pStyle w:val="NoSpacingIndent"/>
            </w:pPr>
            <w:r w:rsidRPr="00730DE4">
              <w:t>Receivables</w:t>
            </w:r>
          </w:p>
        </w:tc>
        <w:tc>
          <w:tcPr>
            <w:tcW w:w="547"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4C9983FD" w14:textId="77777777" w:rsidR="00730DE4" w:rsidRPr="00730DE4" w:rsidRDefault="00730DE4" w:rsidP="008A2346">
            <w:pPr>
              <w:pStyle w:val="NoSpacing"/>
              <w:jc w:val="right"/>
              <w:rPr>
                <w:color w:val="080C0F" w:themeColor="text1"/>
              </w:rPr>
            </w:pPr>
            <w:r w:rsidRPr="00730DE4">
              <w:rPr>
                <w:color w:val="080C0F" w:themeColor="text1"/>
              </w:rPr>
              <w:t>12</w:t>
            </w:r>
          </w:p>
        </w:tc>
        <w:tc>
          <w:tcPr>
            <w:tcW w:w="609"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38695667" w14:textId="77777777" w:rsidR="00730DE4" w:rsidRPr="00730DE4" w:rsidRDefault="00730DE4" w:rsidP="008A2346">
            <w:pPr>
              <w:pStyle w:val="NoSpacing"/>
              <w:jc w:val="right"/>
              <w:rPr>
                <w:color w:val="080C0F" w:themeColor="text1"/>
              </w:rPr>
            </w:pPr>
            <w:r w:rsidRPr="00730DE4">
              <w:rPr>
                <w:color w:val="080C0F" w:themeColor="text1"/>
              </w:rPr>
              <w:t xml:space="preserve">508,219 </w:t>
            </w:r>
          </w:p>
        </w:tc>
        <w:tc>
          <w:tcPr>
            <w:tcW w:w="607"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3C2490EC" w14:textId="77777777" w:rsidR="00730DE4" w:rsidRPr="00730DE4" w:rsidRDefault="00730DE4" w:rsidP="008A2346">
            <w:pPr>
              <w:pStyle w:val="NoSpacing"/>
              <w:jc w:val="right"/>
              <w:rPr>
                <w:color w:val="080C0F" w:themeColor="text1"/>
              </w:rPr>
            </w:pPr>
            <w:r w:rsidRPr="00730DE4">
              <w:rPr>
                <w:color w:val="080C0F" w:themeColor="text1"/>
              </w:rPr>
              <w:t xml:space="preserve">248,485 </w:t>
            </w:r>
          </w:p>
        </w:tc>
      </w:tr>
      <w:tr w:rsidR="00730DE4" w:rsidRPr="00730DE4" w14:paraId="1C08B1B1" w14:textId="77777777" w:rsidTr="00E93EA8">
        <w:tc>
          <w:tcPr>
            <w:tcW w:w="3237"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4C17D597" w14:textId="77777777" w:rsidR="00730DE4" w:rsidRPr="00730DE4" w:rsidRDefault="00730DE4" w:rsidP="004E1753">
            <w:pPr>
              <w:pStyle w:val="NoSpacing"/>
              <w:rPr>
                <w:color w:val="080C0F" w:themeColor="text1"/>
              </w:rPr>
            </w:pPr>
            <w:r w:rsidRPr="00730DE4">
              <w:rPr>
                <w:rStyle w:val="Strong"/>
              </w:rPr>
              <w:t>Total</w:t>
            </w:r>
          </w:p>
        </w:tc>
        <w:tc>
          <w:tcPr>
            <w:tcW w:w="547"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4969DA0C" w14:textId="77777777" w:rsidR="00730DE4" w:rsidRPr="00730DE4" w:rsidRDefault="00730DE4" w:rsidP="001B0E0D">
            <w:pPr>
              <w:pStyle w:val="NoSpacing"/>
              <w:jc w:val="right"/>
              <w:rPr>
                <w:color w:val="080C0F" w:themeColor="text1"/>
              </w:rPr>
            </w:pPr>
            <w:r w:rsidRPr="00730DE4">
              <w:rPr>
                <w:rStyle w:val="Strong"/>
              </w:rPr>
              <w:t> </w:t>
            </w:r>
          </w:p>
        </w:tc>
        <w:tc>
          <w:tcPr>
            <w:tcW w:w="609"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7CDED02D" w14:textId="77777777" w:rsidR="00730DE4" w:rsidRPr="00730DE4" w:rsidRDefault="00730DE4" w:rsidP="001B0E0D">
            <w:pPr>
              <w:pStyle w:val="NoSpacing"/>
              <w:jc w:val="right"/>
              <w:rPr>
                <w:color w:val="080C0F" w:themeColor="text1"/>
              </w:rPr>
            </w:pPr>
            <w:r w:rsidRPr="00730DE4">
              <w:rPr>
                <w:rStyle w:val="Strong"/>
              </w:rPr>
              <w:t xml:space="preserve">890,277 </w:t>
            </w:r>
          </w:p>
        </w:tc>
        <w:tc>
          <w:tcPr>
            <w:tcW w:w="607" w:type="pct"/>
            <w:tcBorders>
              <w:top w:val="single" w:sz="4" w:space="0" w:color="auto"/>
              <w:left w:val="dotted" w:sz="4" w:space="0" w:color="BFBFBF" w:themeColor="background1" w:themeShade="BF"/>
              <w:bottom w:val="double" w:sz="4" w:space="0" w:color="auto"/>
              <w:right w:val="nil"/>
            </w:tcBorders>
            <w:shd w:val="clear" w:color="auto" w:fill="auto"/>
            <w:noWrap/>
            <w:hideMark/>
          </w:tcPr>
          <w:p w14:paraId="0AE55C0A" w14:textId="77777777" w:rsidR="00730DE4" w:rsidRPr="00730DE4" w:rsidRDefault="00730DE4" w:rsidP="001B0E0D">
            <w:pPr>
              <w:pStyle w:val="NoSpacing"/>
              <w:jc w:val="right"/>
              <w:rPr>
                <w:rStyle w:val="Strong"/>
              </w:rPr>
            </w:pPr>
            <w:r w:rsidRPr="00730DE4">
              <w:rPr>
                <w:rStyle w:val="Strong"/>
              </w:rPr>
              <w:t xml:space="preserve">918,587 </w:t>
            </w:r>
          </w:p>
        </w:tc>
      </w:tr>
      <w:tr w:rsidR="00730DE4" w:rsidRPr="00730DE4" w14:paraId="0A48A2BA" w14:textId="77777777" w:rsidTr="00E93EA8">
        <w:trPr>
          <w:trHeight w:val="454"/>
        </w:trPr>
        <w:tc>
          <w:tcPr>
            <w:tcW w:w="3237" w:type="pct"/>
            <w:tcBorders>
              <w:top w:val="doub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1495A6C6" w14:textId="77777777" w:rsidR="00730DE4" w:rsidRPr="00730DE4" w:rsidRDefault="00730DE4" w:rsidP="008A2346">
            <w:pPr>
              <w:pStyle w:val="NoSpacing"/>
              <w:rPr>
                <w:color w:val="080C0F" w:themeColor="text1"/>
              </w:rPr>
            </w:pPr>
            <w:r w:rsidRPr="00730DE4">
              <w:rPr>
                <w:rStyle w:val="Strong"/>
              </w:rPr>
              <w:t>Financial liabilities</w:t>
            </w:r>
          </w:p>
        </w:tc>
        <w:tc>
          <w:tcPr>
            <w:tcW w:w="547"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4C2BBABE" w14:textId="77777777" w:rsidR="00730DE4" w:rsidRPr="00730DE4" w:rsidRDefault="00730DE4" w:rsidP="008A2346">
            <w:pPr>
              <w:pStyle w:val="NoSpacing"/>
              <w:jc w:val="right"/>
              <w:rPr>
                <w:rStyle w:val="Strong"/>
              </w:rPr>
            </w:pPr>
          </w:p>
        </w:tc>
        <w:tc>
          <w:tcPr>
            <w:tcW w:w="609"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44A7E96F" w14:textId="77777777" w:rsidR="00730DE4" w:rsidRPr="00730DE4" w:rsidRDefault="00730DE4" w:rsidP="008A2346">
            <w:pPr>
              <w:pStyle w:val="NoSpacing"/>
              <w:jc w:val="right"/>
              <w:rPr>
                <w:color w:val="080C0F" w:themeColor="text1"/>
              </w:rPr>
            </w:pPr>
          </w:p>
        </w:tc>
        <w:tc>
          <w:tcPr>
            <w:tcW w:w="607" w:type="pct"/>
            <w:tcBorders>
              <w:top w:val="double" w:sz="4" w:space="0" w:color="auto"/>
              <w:left w:val="dotted" w:sz="4" w:space="0" w:color="BFBFBF" w:themeColor="background1" w:themeShade="BF"/>
              <w:bottom w:val="dotted" w:sz="4" w:space="0" w:color="BFBFBF" w:themeColor="background1" w:themeShade="BF"/>
              <w:right w:val="nil"/>
            </w:tcBorders>
            <w:shd w:val="clear" w:color="auto" w:fill="auto"/>
            <w:noWrap/>
            <w:vAlign w:val="bottom"/>
          </w:tcPr>
          <w:p w14:paraId="78B31C11" w14:textId="77777777" w:rsidR="00730DE4" w:rsidRPr="00730DE4" w:rsidRDefault="00730DE4" w:rsidP="008A2346">
            <w:pPr>
              <w:pStyle w:val="NoSpacing"/>
              <w:jc w:val="right"/>
              <w:rPr>
                <w:color w:val="080C0F" w:themeColor="text1"/>
              </w:rPr>
            </w:pPr>
          </w:p>
        </w:tc>
      </w:tr>
      <w:tr w:rsidR="00730DE4" w:rsidRPr="00730DE4" w14:paraId="0ED40996" w14:textId="77777777" w:rsidTr="008A2F83">
        <w:trPr>
          <w:trHeight w:val="240"/>
        </w:trPr>
        <w:tc>
          <w:tcPr>
            <w:tcW w:w="3237"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1F977870" w14:textId="77777777" w:rsidR="00730DE4" w:rsidRPr="00730DE4" w:rsidRDefault="00730DE4" w:rsidP="008A2346">
            <w:pPr>
              <w:pStyle w:val="NoSpacing"/>
              <w:rPr>
                <w:color w:val="080C0F" w:themeColor="text1"/>
              </w:rPr>
            </w:pPr>
            <w:r w:rsidRPr="00730DE4">
              <w:rPr>
                <w:color w:val="080C0F" w:themeColor="text1"/>
              </w:rPr>
              <w:t>Financial liabilities measured at amortised cost:</w:t>
            </w:r>
          </w:p>
        </w:tc>
        <w:tc>
          <w:tcPr>
            <w:tcW w:w="54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0F42360" w14:textId="77777777" w:rsidR="00730DE4" w:rsidRPr="00730DE4" w:rsidRDefault="00730DE4" w:rsidP="008A2346">
            <w:pPr>
              <w:pStyle w:val="NoSpacing"/>
              <w:jc w:val="right"/>
              <w:rPr>
                <w:color w:val="080C0F" w:themeColor="text1"/>
              </w:rPr>
            </w:pPr>
          </w:p>
        </w:tc>
        <w:tc>
          <w:tcPr>
            <w:tcW w:w="60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0FDE6AE" w14:textId="77777777" w:rsidR="00730DE4" w:rsidRPr="00730DE4" w:rsidRDefault="00730DE4" w:rsidP="008A2346">
            <w:pPr>
              <w:pStyle w:val="NoSpacing"/>
              <w:jc w:val="right"/>
              <w:rPr>
                <w:color w:val="080C0F" w:themeColor="text1"/>
              </w:rPr>
            </w:pPr>
          </w:p>
        </w:tc>
        <w:tc>
          <w:tcPr>
            <w:tcW w:w="60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7875BA8" w14:textId="77777777" w:rsidR="00730DE4" w:rsidRPr="00730DE4" w:rsidRDefault="00730DE4" w:rsidP="008A2346">
            <w:pPr>
              <w:pStyle w:val="NoSpacing"/>
              <w:jc w:val="right"/>
              <w:rPr>
                <w:color w:val="080C0F" w:themeColor="text1"/>
              </w:rPr>
            </w:pPr>
          </w:p>
        </w:tc>
      </w:tr>
      <w:tr w:rsidR="00730DE4" w:rsidRPr="00730DE4" w14:paraId="11ADDDC7" w14:textId="77777777" w:rsidTr="008A2F83">
        <w:trPr>
          <w:trHeight w:val="240"/>
        </w:trPr>
        <w:tc>
          <w:tcPr>
            <w:tcW w:w="3237"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7807E64" w14:textId="77777777" w:rsidR="00730DE4" w:rsidRPr="00730DE4" w:rsidRDefault="00730DE4" w:rsidP="004B7C3B">
            <w:pPr>
              <w:pStyle w:val="NoSpacingIndent"/>
            </w:pPr>
            <w:r w:rsidRPr="00730DE4">
              <w:t>Payables</w:t>
            </w:r>
          </w:p>
        </w:tc>
        <w:tc>
          <w:tcPr>
            <w:tcW w:w="54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77DC20C" w14:textId="77777777" w:rsidR="00730DE4" w:rsidRPr="00730DE4" w:rsidRDefault="00730DE4" w:rsidP="008A2346">
            <w:pPr>
              <w:pStyle w:val="NoSpacing"/>
              <w:jc w:val="right"/>
              <w:rPr>
                <w:color w:val="080C0F" w:themeColor="text1"/>
              </w:rPr>
            </w:pPr>
            <w:r w:rsidRPr="00730DE4">
              <w:rPr>
                <w:color w:val="080C0F" w:themeColor="text1"/>
              </w:rPr>
              <w:t>18</w:t>
            </w:r>
          </w:p>
        </w:tc>
        <w:tc>
          <w:tcPr>
            <w:tcW w:w="60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E89FE08" w14:textId="77777777" w:rsidR="00730DE4" w:rsidRPr="00730DE4" w:rsidRDefault="00730DE4" w:rsidP="008A2346">
            <w:pPr>
              <w:pStyle w:val="NoSpacing"/>
              <w:jc w:val="right"/>
              <w:rPr>
                <w:color w:val="080C0F" w:themeColor="text1"/>
              </w:rPr>
            </w:pPr>
            <w:r w:rsidRPr="00730DE4">
              <w:rPr>
                <w:color w:val="080C0F" w:themeColor="text1"/>
              </w:rPr>
              <w:t xml:space="preserve">899,177 </w:t>
            </w:r>
          </w:p>
        </w:tc>
        <w:tc>
          <w:tcPr>
            <w:tcW w:w="60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EE3512D" w14:textId="77777777" w:rsidR="00730DE4" w:rsidRPr="00730DE4" w:rsidRDefault="00730DE4" w:rsidP="008A2346">
            <w:pPr>
              <w:pStyle w:val="NoSpacing"/>
              <w:jc w:val="right"/>
              <w:rPr>
                <w:color w:val="080C0F" w:themeColor="text1"/>
              </w:rPr>
            </w:pPr>
            <w:r w:rsidRPr="00730DE4">
              <w:rPr>
                <w:color w:val="080C0F" w:themeColor="text1"/>
              </w:rPr>
              <w:t xml:space="preserve">942,274 </w:t>
            </w:r>
          </w:p>
        </w:tc>
      </w:tr>
      <w:tr w:rsidR="00730DE4" w:rsidRPr="00730DE4" w14:paraId="7BCE4964" w14:textId="77777777" w:rsidTr="008A2F83">
        <w:trPr>
          <w:trHeight w:val="240"/>
        </w:trPr>
        <w:tc>
          <w:tcPr>
            <w:tcW w:w="3237"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5621D822" w14:textId="77777777" w:rsidR="00730DE4" w:rsidRPr="00730DE4" w:rsidRDefault="00730DE4" w:rsidP="004B7C3B">
            <w:pPr>
              <w:pStyle w:val="NoSpacingIndent"/>
            </w:pPr>
            <w:r w:rsidRPr="00730DE4">
              <w:t>Lease liabilities</w:t>
            </w:r>
          </w:p>
        </w:tc>
        <w:tc>
          <w:tcPr>
            <w:tcW w:w="54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B6D7D12" w14:textId="77777777" w:rsidR="00730DE4" w:rsidRPr="00730DE4" w:rsidRDefault="00730DE4" w:rsidP="008A2346">
            <w:pPr>
              <w:pStyle w:val="NoSpacing"/>
              <w:jc w:val="right"/>
              <w:rPr>
                <w:color w:val="080C0F" w:themeColor="text1"/>
              </w:rPr>
            </w:pPr>
            <w:r w:rsidRPr="00730DE4">
              <w:rPr>
                <w:color w:val="080C0F" w:themeColor="text1"/>
              </w:rPr>
              <w:t>17</w:t>
            </w:r>
          </w:p>
        </w:tc>
        <w:tc>
          <w:tcPr>
            <w:tcW w:w="60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2640AE1" w14:textId="77777777" w:rsidR="00730DE4" w:rsidRPr="00730DE4" w:rsidRDefault="00730DE4" w:rsidP="008A2346">
            <w:pPr>
              <w:pStyle w:val="NoSpacing"/>
              <w:jc w:val="right"/>
              <w:rPr>
                <w:color w:val="080C0F" w:themeColor="text1"/>
              </w:rPr>
            </w:pPr>
            <w:r w:rsidRPr="00730DE4">
              <w:rPr>
                <w:color w:val="080C0F" w:themeColor="text1"/>
              </w:rPr>
              <w:t xml:space="preserve">95,511 </w:t>
            </w:r>
          </w:p>
        </w:tc>
        <w:tc>
          <w:tcPr>
            <w:tcW w:w="60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30256F2" w14:textId="77777777" w:rsidR="00730DE4" w:rsidRPr="00730DE4" w:rsidRDefault="00730DE4" w:rsidP="008A2346">
            <w:pPr>
              <w:pStyle w:val="NoSpacing"/>
              <w:jc w:val="right"/>
              <w:rPr>
                <w:color w:val="080C0F" w:themeColor="text1"/>
              </w:rPr>
            </w:pPr>
            <w:r w:rsidRPr="00730DE4">
              <w:rPr>
                <w:color w:val="080C0F" w:themeColor="text1"/>
              </w:rPr>
              <w:t xml:space="preserve">110,742 </w:t>
            </w:r>
          </w:p>
        </w:tc>
      </w:tr>
      <w:tr w:rsidR="00730DE4" w:rsidRPr="00730DE4" w14:paraId="1E64EAE2" w14:textId="77777777" w:rsidTr="00E93EA8">
        <w:trPr>
          <w:trHeight w:val="240"/>
        </w:trPr>
        <w:tc>
          <w:tcPr>
            <w:tcW w:w="3237"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33E28C79" w14:textId="77777777" w:rsidR="00730DE4" w:rsidRPr="00730DE4" w:rsidRDefault="00730DE4" w:rsidP="004B7C3B">
            <w:pPr>
              <w:pStyle w:val="NoSpacingIndent"/>
            </w:pPr>
            <w:r w:rsidRPr="00730DE4">
              <w:t>Borrowings – Service concession arrangements</w:t>
            </w:r>
          </w:p>
        </w:tc>
        <w:tc>
          <w:tcPr>
            <w:tcW w:w="54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533BD46" w14:textId="77777777" w:rsidR="00730DE4" w:rsidRPr="00730DE4" w:rsidRDefault="00730DE4" w:rsidP="008A2346">
            <w:pPr>
              <w:pStyle w:val="NoSpacing"/>
              <w:jc w:val="right"/>
              <w:rPr>
                <w:color w:val="080C0F" w:themeColor="text1"/>
              </w:rPr>
            </w:pPr>
            <w:r w:rsidRPr="00730DE4">
              <w:rPr>
                <w:color w:val="080C0F" w:themeColor="text1"/>
              </w:rPr>
              <w:t>19</w:t>
            </w:r>
          </w:p>
        </w:tc>
        <w:tc>
          <w:tcPr>
            <w:tcW w:w="60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CF0EC8F" w14:textId="77777777" w:rsidR="00730DE4" w:rsidRPr="00730DE4" w:rsidRDefault="00730DE4" w:rsidP="008A2346">
            <w:pPr>
              <w:pStyle w:val="NoSpacing"/>
              <w:jc w:val="right"/>
              <w:rPr>
                <w:color w:val="080C0F" w:themeColor="text1"/>
              </w:rPr>
            </w:pPr>
            <w:r w:rsidRPr="00730DE4">
              <w:rPr>
                <w:color w:val="080C0F" w:themeColor="text1"/>
              </w:rPr>
              <w:t xml:space="preserve">583,745 </w:t>
            </w:r>
          </w:p>
        </w:tc>
        <w:tc>
          <w:tcPr>
            <w:tcW w:w="607"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41B02AC0" w14:textId="77777777" w:rsidR="00730DE4" w:rsidRPr="00730DE4" w:rsidRDefault="00730DE4" w:rsidP="008A2346">
            <w:pPr>
              <w:pStyle w:val="NoSpacing"/>
              <w:jc w:val="right"/>
              <w:rPr>
                <w:color w:val="080C0F" w:themeColor="text1"/>
              </w:rPr>
            </w:pPr>
            <w:r w:rsidRPr="00730DE4">
              <w:rPr>
                <w:color w:val="080C0F" w:themeColor="text1"/>
              </w:rPr>
              <w:t xml:space="preserve">630,066 </w:t>
            </w:r>
          </w:p>
        </w:tc>
      </w:tr>
      <w:tr w:rsidR="00730DE4" w:rsidRPr="00730DE4" w14:paraId="53961A32" w14:textId="77777777" w:rsidTr="00E93EA8">
        <w:trPr>
          <w:trHeight w:val="240"/>
        </w:trPr>
        <w:tc>
          <w:tcPr>
            <w:tcW w:w="3237"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20939F7E" w14:textId="77777777" w:rsidR="00730DE4" w:rsidRPr="00730DE4" w:rsidRDefault="00730DE4" w:rsidP="004B7C3B">
            <w:pPr>
              <w:pStyle w:val="NoSpacingIndent"/>
            </w:pPr>
            <w:r w:rsidRPr="00730DE4">
              <w:t>Borrowings – New Generation Rollingstock arrangement</w:t>
            </w:r>
          </w:p>
        </w:tc>
        <w:tc>
          <w:tcPr>
            <w:tcW w:w="547"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5A5A71E0" w14:textId="77777777" w:rsidR="00730DE4" w:rsidRPr="00730DE4" w:rsidRDefault="00730DE4" w:rsidP="008A2346">
            <w:pPr>
              <w:pStyle w:val="NoSpacing"/>
              <w:jc w:val="right"/>
              <w:rPr>
                <w:color w:val="080C0F" w:themeColor="text1"/>
              </w:rPr>
            </w:pPr>
            <w:r w:rsidRPr="00730DE4">
              <w:rPr>
                <w:color w:val="080C0F" w:themeColor="text1"/>
              </w:rPr>
              <w:t>19</w:t>
            </w:r>
          </w:p>
        </w:tc>
        <w:tc>
          <w:tcPr>
            <w:tcW w:w="609"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5ACF74B1" w14:textId="77777777" w:rsidR="00730DE4" w:rsidRPr="00730DE4" w:rsidRDefault="00730DE4" w:rsidP="008A2346">
            <w:pPr>
              <w:pStyle w:val="NoSpacing"/>
              <w:jc w:val="right"/>
              <w:rPr>
                <w:color w:val="080C0F" w:themeColor="text1"/>
              </w:rPr>
            </w:pPr>
            <w:r w:rsidRPr="00730DE4">
              <w:rPr>
                <w:color w:val="080C0F" w:themeColor="text1"/>
              </w:rPr>
              <w:t xml:space="preserve">547,692 </w:t>
            </w:r>
          </w:p>
        </w:tc>
        <w:tc>
          <w:tcPr>
            <w:tcW w:w="607"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63BC8DBB" w14:textId="77777777" w:rsidR="00730DE4" w:rsidRPr="00730DE4" w:rsidRDefault="00730DE4" w:rsidP="008A2346">
            <w:pPr>
              <w:pStyle w:val="NoSpacing"/>
              <w:jc w:val="right"/>
              <w:rPr>
                <w:color w:val="080C0F" w:themeColor="text1"/>
              </w:rPr>
            </w:pPr>
            <w:r w:rsidRPr="00730DE4">
              <w:rPr>
                <w:color w:val="080C0F" w:themeColor="text1"/>
              </w:rPr>
              <w:t xml:space="preserve">551,381 </w:t>
            </w:r>
          </w:p>
        </w:tc>
      </w:tr>
      <w:tr w:rsidR="00730DE4" w:rsidRPr="00730DE4" w14:paraId="75AD4387" w14:textId="77777777" w:rsidTr="00E93EA8">
        <w:tc>
          <w:tcPr>
            <w:tcW w:w="3237"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4077D325" w14:textId="77777777" w:rsidR="00730DE4" w:rsidRPr="00730DE4" w:rsidRDefault="00730DE4" w:rsidP="001B0E0D">
            <w:pPr>
              <w:pStyle w:val="NoSpacing"/>
              <w:rPr>
                <w:color w:val="080C0F" w:themeColor="text1"/>
              </w:rPr>
            </w:pPr>
            <w:r w:rsidRPr="00730DE4">
              <w:rPr>
                <w:rStyle w:val="Strong"/>
              </w:rPr>
              <w:t>Total</w:t>
            </w:r>
          </w:p>
        </w:tc>
        <w:tc>
          <w:tcPr>
            <w:tcW w:w="547"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4FEC0A42" w14:textId="77777777" w:rsidR="00730DE4" w:rsidRPr="00730DE4" w:rsidRDefault="00730DE4" w:rsidP="001B0E0D">
            <w:pPr>
              <w:pStyle w:val="NoSpacing"/>
              <w:jc w:val="right"/>
              <w:rPr>
                <w:color w:val="080C0F" w:themeColor="text1"/>
              </w:rPr>
            </w:pPr>
            <w:r w:rsidRPr="00730DE4">
              <w:rPr>
                <w:rStyle w:val="Strong"/>
              </w:rPr>
              <w:t> </w:t>
            </w:r>
          </w:p>
        </w:tc>
        <w:tc>
          <w:tcPr>
            <w:tcW w:w="609"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2D525B52" w14:textId="77777777" w:rsidR="00730DE4" w:rsidRPr="00730DE4" w:rsidRDefault="00730DE4" w:rsidP="001B0E0D">
            <w:pPr>
              <w:pStyle w:val="NoSpacing"/>
              <w:jc w:val="right"/>
              <w:rPr>
                <w:color w:val="080C0F" w:themeColor="text1"/>
              </w:rPr>
            </w:pPr>
            <w:r w:rsidRPr="00730DE4">
              <w:rPr>
                <w:rStyle w:val="Strong"/>
              </w:rPr>
              <w:t xml:space="preserve">2,126,125 </w:t>
            </w:r>
          </w:p>
        </w:tc>
        <w:tc>
          <w:tcPr>
            <w:tcW w:w="607" w:type="pct"/>
            <w:tcBorders>
              <w:top w:val="single" w:sz="4" w:space="0" w:color="auto"/>
              <w:left w:val="dotted" w:sz="4" w:space="0" w:color="BFBFBF" w:themeColor="background1" w:themeShade="BF"/>
              <w:bottom w:val="double" w:sz="4" w:space="0" w:color="auto"/>
              <w:right w:val="nil"/>
            </w:tcBorders>
            <w:shd w:val="clear" w:color="auto" w:fill="auto"/>
            <w:noWrap/>
            <w:hideMark/>
          </w:tcPr>
          <w:p w14:paraId="4B862E5B" w14:textId="77777777" w:rsidR="00730DE4" w:rsidRPr="00730DE4" w:rsidRDefault="00730DE4" w:rsidP="001B0E0D">
            <w:pPr>
              <w:pStyle w:val="NoSpacing"/>
              <w:jc w:val="right"/>
              <w:rPr>
                <w:rStyle w:val="Strong"/>
              </w:rPr>
            </w:pPr>
            <w:r w:rsidRPr="00730DE4">
              <w:rPr>
                <w:rStyle w:val="Strong"/>
              </w:rPr>
              <w:t xml:space="preserve">2,234,463 </w:t>
            </w:r>
          </w:p>
        </w:tc>
      </w:tr>
    </w:tbl>
    <w:p w14:paraId="13049685" w14:textId="77777777" w:rsidR="00730DE4" w:rsidRPr="00730DE4" w:rsidRDefault="00730DE4" w:rsidP="00246692">
      <w:pPr>
        <w:pStyle w:val="Heading5"/>
      </w:pPr>
      <w:bookmarkStart w:id="1618" w:name="_Toc180487762"/>
      <w:bookmarkStart w:id="1619" w:name="_Toc180490967"/>
      <w:bookmarkStart w:id="1620" w:name="_Toc180492000"/>
      <w:r w:rsidRPr="00730DE4">
        <w:t>Financial risk management</w:t>
      </w:r>
      <w:bookmarkEnd w:id="1618"/>
      <w:bookmarkEnd w:id="1619"/>
      <w:bookmarkEnd w:id="1620"/>
    </w:p>
    <w:p w14:paraId="320F2530" w14:textId="77777777" w:rsidR="00730DE4" w:rsidRPr="00730DE4" w:rsidRDefault="00730DE4" w:rsidP="003C13D4">
      <w:pPr>
        <w:rPr>
          <w:color w:val="080C0F" w:themeColor="text1"/>
        </w:rPr>
      </w:pPr>
      <w:r w:rsidRPr="00730DE4">
        <w:rPr>
          <w:color w:val="080C0F" w:themeColor="text1"/>
        </w:rPr>
        <w:t>The department's activities have the potential to expose it to a variety of financial risks such as interest rate risk, credit risk, liquidity risk and market risk. Financial risk management is implemented pursuant to government and departmental policy and seeks to minimise possible adverse effects on the financial performance of the department.</w:t>
      </w:r>
    </w:p>
    <w:p w14:paraId="0A12771C" w14:textId="77777777" w:rsidR="00730DE4" w:rsidRPr="00730DE4" w:rsidRDefault="00730DE4" w:rsidP="003C13D4">
      <w:pPr>
        <w:rPr>
          <w:color w:val="080C0F" w:themeColor="text1"/>
        </w:rPr>
      </w:pPr>
      <w:r w:rsidRPr="00730DE4">
        <w:rPr>
          <w:color w:val="080C0F" w:themeColor="text1"/>
        </w:rPr>
        <w:t>All financial risk is managed by each division under policy established by the Finance and Procurement Branch.</w:t>
      </w:r>
    </w:p>
    <w:p w14:paraId="01702A64" w14:textId="77777777" w:rsidR="00730DE4" w:rsidRPr="00730DE4" w:rsidRDefault="00730DE4" w:rsidP="00246692">
      <w:pPr>
        <w:pStyle w:val="Heading5"/>
      </w:pPr>
      <w:r w:rsidRPr="00730DE4">
        <w:br w:type="page"/>
      </w:r>
    </w:p>
    <w:p w14:paraId="4717012A" w14:textId="77777777" w:rsidR="00730DE4" w:rsidRPr="00730DE4" w:rsidRDefault="00730DE4" w:rsidP="00246692">
      <w:pPr>
        <w:pStyle w:val="Heading5"/>
      </w:pPr>
      <w:bookmarkStart w:id="1621" w:name="_Toc180487763"/>
      <w:bookmarkStart w:id="1622" w:name="_Toc180490968"/>
      <w:bookmarkStart w:id="1623" w:name="_Toc180492001"/>
      <w:r w:rsidRPr="00730DE4">
        <w:t>Credit risk exposure</w:t>
      </w:r>
      <w:bookmarkEnd w:id="1621"/>
      <w:bookmarkEnd w:id="1622"/>
      <w:bookmarkEnd w:id="1623"/>
    </w:p>
    <w:p w14:paraId="589482FF" w14:textId="77777777" w:rsidR="00730DE4" w:rsidRPr="00730DE4" w:rsidRDefault="00730DE4" w:rsidP="003C13D4">
      <w:pPr>
        <w:rPr>
          <w:color w:val="080C0F" w:themeColor="text1"/>
        </w:rPr>
      </w:pPr>
      <w:r w:rsidRPr="00730DE4">
        <w:rPr>
          <w:color w:val="080C0F" w:themeColor="text1"/>
        </w:rPr>
        <w:t>Credit risk exposure refers to the situation where the department may incur financial loss as a result of another party to a financial instrument failing to discharge their obligation.</w:t>
      </w:r>
    </w:p>
    <w:p w14:paraId="547254AA" w14:textId="77777777" w:rsidR="00730DE4" w:rsidRPr="00730DE4" w:rsidRDefault="00730DE4" w:rsidP="003C13D4">
      <w:pPr>
        <w:rPr>
          <w:color w:val="080C0F" w:themeColor="text1"/>
        </w:rPr>
      </w:pPr>
      <w:r w:rsidRPr="00730DE4">
        <w:rPr>
          <w:color w:val="080C0F" w:themeColor="text1"/>
        </w:rPr>
        <w:t>The maximum exposure to credit risk at balance date in relation to each class of recognised financial asset is the gross carrying amount of those assets inclusive of any provision for impairment less any collateral held as security, such as deposits.</w:t>
      </w:r>
    </w:p>
    <w:p w14:paraId="4126EA67" w14:textId="77777777" w:rsidR="00730DE4" w:rsidRPr="00730DE4" w:rsidRDefault="00730DE4" w:rsidP="003C13D4">
      <w:pPr>
        <w:rPr>
          <w:color w:val="080C0F" w:themeColor="text1"/>
        </w:rPr>
      </w:pPr>
      <w:r w:rsidRPr="00730DE4">
        <w:rPr>
          <w:color w:val="080C0F" w:themeColor="text1"/>
        </w:rPr>
        <w:t>The department manages credit risk through the use of a credit management strategy. This strategy aims to reduce the exposure to credit default by ensuring the department invests in secure assets and monitors all funds owed. Exposure to credit risk is monitored on an ongoing basis. Refer to Note 12 for receivables credit risk ageing analysis.</w:t>
      </w:r>
    </w:p>
    <w:p w14:paraId="0CFB59CC" w14:textId="77777777" w:rsidR="00730DE4" w:rsidRPr="00730DE4" w:rsidRDefault="00730DE4" w:rsidP="00246692">
      <w:pPr>
        <w:pStyle w:val="Heading5"/>
      </w:pPr>
      <w:bookmarkStart w:id="1624" w:name="_Toc180487764"/>
      <w:bookmarkStart w:id="1625" w:name="_Toc180490969"/>
      <w:bookmarkStart w:id="1626" w:name="_Toc180492002"/>
      <w:r w:rsidRPr="00730DE4">
        <w:t>Liquidity risk</w:t>
      </w:r>
      <w:bookmarkEnd w:id="1624"/>
      <w:bookmarkEnd w:id="1625"/>
      <w:bookmarkEnd w:id="1626"/>
    </w:p>
    <w:p w14:paraId="21B09B90" w14:textId="77777777" w:rsidR="00730DE4" w:rsidRPr="00730DE4" w:rsidRDefault="00730DE4" w:rsidP="003C13D4">
      <w:pPr>
        <w:rPr>
          <w:color w:val="080C0F" w:themeColor="text1"/>
        </w:rPr>
      </w:pPr>
      <w:r w:rsidRPr="00730DE4">
        <w:rPr>
          <w:color w:val="080C0F" w:themeColor="text1"/>
        </w:rPr>
        <w:t xml:space="preserve">The department manages liquidity risk through regular fortnightly appropriation payments from the Consolidated Fund. This strategy reduces the exposure to liquidity risk by ensuring the department has sufficient funds available to meet its obligations when they fall due. </w:t>
      </w:r>
    </w:p>
    <w:p w14:paraId="0F4C9C7C" w14:textId="77777777" w:rsidR="00730DE4" w:rsidRPr="00730DE4" w:rsidRDefault="00730DE4" w:rsidP="003C13D4">
      <w:pPr>
        <w:rPr>
          <w:color w:val="080C0F" w:themeColor="text1"/>
        </w:rPr>
      </w:pPr>
      <w:r w:rsidRPr="00730DE4">
        <w:rPr>
          <w:color w:val="080C0F" w:themeColor="text1"/>
        </w:rPr>
        <w:t xml:space="preserve">The following maturity analysis measures the liquidity risk of financial liabilities held by the department: </w:t>
      </w:r>
    </w:p>
    <w:p w14:paraId="091C0B3B" w14:textId="77777777" w:rsidR="00730DE4" w:rsidRPr="00730DE4" w:rsidRDefault="00730DE4" w:rsidP="00B61C69">
      <w:pPr>
        <w:pStyle w:val="NoSpacing"/>
      </w:pPr>
    </w:p>
    <w:tbl>
      <w:tblPr>
        <w:tblW w:w="5000" w:type="pct"/>
        <w:tblLayout w:type="fixed"/>
        <w:tblCellMar>
          <w:top w:w="23" w:type="dxa"/>
          <w:left w:w="23" w:type="dxa"/>
          <w:bottom w:w="23" w:type="dxa"/>
          <w:right w:w="23" w:type="dxa"/>
        </w:tblCellMar>
        <w:tblLook w:val="04A0" w:firstRow="1" w:lastRow="0" w:firstColumn="1" w:lastColumn="0" w:noHBand="0" w:noVBand="1"/>
      </w:tblPr>
      <w:tblGrid>
        <w:gridCol w:w="3262"/>
        <w:gridCol w:w="1333"/>
        <w:gridCol w:w="1119"/>
        <w:gridCol w:w="1119"/>
        <w:gridCol w:w="1121"/>
        <w:gridCol w:w="1116"/>
      </w:tblGrid>
      <w:tr w:rsidR="00730DE4" w:rsidRPr="00730DE4" w14:paraId="4A3E4219" w14:textId="77777777" w:rsidTr="007E5158">
        <w:trPr>
          <w:trHeight w:val="240"/>
        </w:trPr>
        <w:tc>
          <w:tcPr>
            <w:tcW w:w="1798" w:type="pct"/>
            <w:tcBorders>
              <w:bottom w:val="single" w:sz="4" w:space="0" w:color="auto"/>
            </w:tcBorders>
            <w:shd w:val="clear" w:color="auto" w:fill="auto"/>
            <w:noWrap/>
            <w:vAlign w:val="bottom"/>
          </w:tcPr>
          <w:p w14:paraId="13E7832B" w14:textId="77777777" w:rsidR="00730DE4" w:rsidRPr="00730DE4" w:rsidRDefault="00730DE4" w:rsidP="00F26F78">
            <w:pPr>
              <w:pStyle w:val="NoSpacing"/>
              <w:rPr>
                <w:rStyle w:val="Strong"/>
              </w:rPr>
            </w:pPr>
            <w:r w:rsidRPr="00730DE4">
              <w:rPr>
                <w:rStyle w:val="Strong"/>
              </w:rPr>
              <w:t>Financial liabilities</w:t>
            </w:r>
          </w:p>
        </w:tc>
        <w:tc>
          <w:tcPr>
            <w:tcW w:w="735" w:type="pct"/>
            <w:tcBorders>
              <w:bottom w:val="single" w:sz="4" w:space="0" w:color="auto"/>
            </w:tcBorders>
            <w:shd w:val="clear" w:color="auto" w:fill="auto"/>
            <w:vAlign w:val="bottom"/>
          </w:tcPr>
          <w:p w14:paraId="339FCCF5" w14:textId="77777777" w:rsidR="00730DE4" w:rsidRPr="00730DE4" w:rsidRDefault="00730DE4" w:rsidP="00F26F78">
            <w:pPr>
              <w:pStyle w:val="NoSpacing"/>
              <w:jc w:val="right"/>
              <w:rPr>
                <w:color w:val="080C0F" w:themeColor="text1"/>
              </w:rPr>
            </w:pPr>
            <w:r w:rsidRPr="00730DE4">
              <w:rPr>
                <w:rStyle w:val="Strong"/>
              </w:rPr>
              <w:t>Note</w:t>
            </w:r>
          </w:p>
        </w:tc>
        <w:tc>
          <w:tcPr>
            <w:tcW w:w="617" w:type="pct"/>
            <w:tcBorders>
              <w:bottom w:val="single" w:sz="4" w:space="0" w:color="auto"/>
            </w:tcBorders>
            <w:shd w:val="clear" w:color="auto" w:fill="auto"/>
            <w:vAlign w:val="bottom"/>
          </w:tcPr>
          <w:p w14:paraId="14869FA9" w14:textId="77777777" w:rsidR="00730DE4" w:rsidRPr="00730DE4" w:rsidRDefault="00730DE4" w:rsidP="00F26F78">
            <w:pPr>
              <w:pStyle w:val="NoSpacing"/>
              <w:jc w:val="right"/>
              <w:rPr>
                <w:rStyle w:val="Strong"/>
              </w:rPr>
            </w:pPr>
            <w:r w:rsidRPr="00730DE4">
              <w:rPr>
                <w:rStyle w:val="Strong"/>
              </w:rPr>
              <w:t xml:space="preserve">Payable in &lt;1 year </w:t>
            </w:r>
            <w:r w:rsidRPr="00730DE4">
              <w:rPr>
                <w:rStyle w:val="Strong"/>
              </w:rPr>
              <w:br/>
            </w:r>
            <w:r w:rsidRPr="00730DE4">
              <w:rPr>
                <w:rStyle w:val="Strong"/>
              </w:rPr>
              <w:br/>
              <w:t>$'000</w:t>
            </w:r>
          </w:p>
        </w:tc>
        <w:tc>
          <w:tcPr>
            <w:tcW w:w="617" w:type="pct"/>
            <w:tcBorders>
              <w:bottom w:val="single" w:sz="4" w:space="0" w:color="auto"/>
            </w:tcBorders>
            <w:shd w:val="clear" w:color="auto" w:fill="auto"/>
            <w:vAlign w:val="bottom"/>
          </w:tcPr>
          <w:p w14:paraId="0BA7C2E8" w14:textId="77777777" w:rsidR="00730DE4" w:rsidRPr="00730DE4" w:rsidRDefault="00730DE4" w:rsidP="00F26F78">
            <w:pPr>
              <w:pStyle w:val="NoSpacing"/>
              <w:jc w:val="right"/>
              <w:rPr>
                <w:rStyle w:val="Strong"/>
              </w:rPr>
            </w:pPr>
            <w:r w:rsidRPr="00730DE4">
              <w:rPr>
                <w:rStyle w:val="Strong"/>
              </w:rPr>
              <w:t xml:space="preserve">Payable in 1-5 years </w:t>
            </w:r>
            <w:r w:rsidRPr="00730DE4">
              <w:rPr>
                <w:rStyle w:val="Strong"/>
              </w:rPr>
              <w:br/>
            </w:r>
            <w:r w:rsidRPr="00730DE4">
              <w:rPr>
                <w:rStyle w:val="Strong"/>
              </w:rPr>
              <w:br/>
              <w:t>$'000</w:t>
            </w:r>
          </w:p>
        </w:tc>
        <w:tc>
          <w:tcPr>
            <w:tcW w:w="618" w:type="pct"/>
            <w:tcBorders>
              <w:bottom w:val="single" w:sz="4" w:space="0" w:color="auto"/>
            </w:tcBorders>
            <w:shd w:val="clear" w:color="auto" w:fill="auto"/>
            <w:vAlign w:val="bottom"/>
          </w:tcPr>
          <w:p w14:paraId="3DECEDB6" w14:textId="77777777" w:rsidR="00730DE4" w:rsidRPr="00730DE4" w:rsidRDefault="00730DE4" w:rsidP="00F26F78">
            <w:pPr>
              <w:pStyle w:val="NoSpacing"/>
              <w:jc w:val="right"/>
              <w:rPr>
                <w:rStyle w:val="Strong"/>
              </w:rPr>
            </w:pPr>
            <w:r w:rsidRPr="00730DE4">
              <w:rPr>
                <w:rStyle w:val="Strong"/>
              </w:rPr>
              <w:t xml:space="preserve">Payable in &gt;5 years </w:t>
            </w:r>
            <w:r w:rsidRPr="00730DE4">
              <w:rPr>
                <w:rStyle w:val="Strong"/>
              </w:rPr>
              <w:br/>
            </w:r>
            <w:r w:rsidRPr="00730DE4">
              <w:rPr>
                <w:rStyle w:val="Strong"/>
              </w:rPr>
              <w:br/>
              <w:t>$'000</w:t>
            </w:r>
          </w:p>
        </w:tc>
        <w:tc>
          <w:tcPr>
            <w:tcW w:w="615" w:type="pct"/>
            <w:tcBorders>
              <w:bottom w:val="single" w:sz="4" w:space="0" w:color="auto"/>
            </w:tcBorders>
            <w:shd w:val="clear" w:color="auto" w:fill="auto"/>
            <w:vAlign w:val="bottom"/>
          </w:tcPr>
          <w:p w14:paraId="45683822" w14:textId="77777777" w:rsidR="00730DE4" w:rsidRPr="00730DE4" w:rsidRDefault="00730DE4" w:rsidP="00F26F78">
            <w:pPr>
              <w:pStyle w:val="NoSpacing"/>
              <w:jc w:val="right"/>
              <w:rPr>
                <w:rStyle w:val="Strong"/>
              </w:rPr>
            </w:pPr>
            <w:r w:rsidRPr="00730DE4">
              <w:rPr>
                <w:rStyle w:val="Strong"/>
              </w:rPr>
              <w:t xml:space="preserve">Payable in </w:t>
            </w:r>
            <w:r w:rsidRPr="00730DE4">
              <w:rPr>
                <w:rStyle w:val="Strong"/>
              </w:rPr>
              <w:br/>
              <w:t xml:space="preserve">Total </w:t>
            </w:r>
            <w:r w:rsidRPr="00730DE4">
              <w:rPr>
                <w:rStyle w:val="Strong"/>
              </w:rPr>
              <w:br/>
            </w:r>
            <w:r w:rsidRPr="00730DE4">
              <w:rPr>
                <w:rStyle w:val="Strong"/>
              </w:rPr>
              <w:br/>
              <w:t>$'000</w:t>
            </w:r>
          </w:p>
        </w:tc>
      </w:tr>
      <w:tr w:rsidR="00730DE4" w:rsidRPr="00730DE4" w14:paraId="728F1AD0" w14:textId="77777777" w:rsidTr="007E5158">
        <w:trPr>
          <w:trHeight w:val="454"/>
        </w:trPr>
        <w:tc>
          <w:tcPr>
            <w:tcW w:w="1798" w:type="pct"/>
            <w:tcBorders>
              <w:top w:val="single" w:sz="4" w:space="0" w:color="auto"/>
              <w:bottom w:val="dotted" w:sz="4" w:space="0" w:color="BFBFBF" w:themeColor="background1" w:themeShade="BF"/>
              <w:right w:val="dotted" w:sz="4" w:space="0" w:color="BFBFBF" w:themeColor="background1" w:themeShade="BF"/>
            </w:tcBorders>
            <w:shd w:val="clear" w:color="auto" w:fill="auto"/>
            <w:noWrap/>
            <w:vAlign w:val="bottom"/>
          </w:tcPr>
          <w:p w14:paraId="517A9970" w14:textId="77777777" w:rsidR="00730DE4" w:rsidRPr="00730DE4" w:rsidRDefault="00730DE4" w:rsidP="00F26F78">
            <w:pPr>
              <w:pStyle w:val="NoSpacing"/>
              <w:rPr>
                <w:rStyle w:val="Strong"/>
              </w:rPr>
            </w:pPr>
            <w:r w:rsidRPr="00730DE4">
              <w:rPr>
                <w:rStyle w:val="Strong"/>
              </w:rPr>
              <w:t>2024</w:t>
            </w:r>
          </w:p>
        </w:tc>
        <w:tc>
          <w:tcPr>
            <w:tcW w:w="735"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tcPr>
          <w:p w14:paraId="675D4E27" w14:textId="77777777" w:rsidR="00730DE4" w:rsidRPr="00730DE4" w:rsidRDefault="00730DE4" w:rsidP="00F26F78">
            <w:pPr>
              <w:pStyle w:val="NoSpacing"/>
              <w:jc w:val="right"/>
              <w:rPr>
                <w:rStyle w:val="Strong"/>
              </w:rPr>
            </w:pPr>
          </w:p>
        </w:tc>
        <w:tc>
          <w:tcPr>
            <w:tcW w:w="617"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tcPr>
          <w:p w14:paraId="018C20AA" w14:textId="77777777" w:rsidR="00730DE4" w:rsidRPr="00730DE4" w:rsidRDefault="00730DE4" w:rsidP="00F26F78">
            <w:pPr>
              <w:pStyle w:val="NoSpacing"/>
              <w:jc w:val="right"/>
              <w:rPr>
                <w:rStyle w:val="Strong"/>
              </w:rPr>
            </w:pPr>
          </w:p>
        </w:tc>
        <w:tc>
          <w:tcPr>
            <w:tcW w:w="617"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tcPr>
          <w:p w14:paraId="77CDBBD9" w14:textId="77777777" w:rsidR="00730DE4" w:rsidRPr="00730DE4" w:rsidRDefault="00730DE4" w:rsidP="00F26F78">
            <w:pPr>
              <w:pStyle w:val="NoSpacing"/>
              <w:jc w:val="right"/>
              <w:rPr>
                <w:rStyle w:val="Strong"/>
              </w:rPr>
            </w:pPr>
          </w:p>
        </w:tc>
        <w:tc>
          <w:tcPr>
            <w:tcW w:w="61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bottom"/>
          </w:tcPr>
          <w:p w14:paraId="2AAC667A" w14:textId="77777777" w:rsidR="00730DE4" w:rsidRPr="00730DE4" w:rsidRDefault="00730DE4" w:rsidP="00F26F78">
            <w:pPr>
              <w:pStyle w:val="NoSpacing"/>
              <w:jc w:val="right"/>
              <w:rPr>
                <w:rStyle w:val="Strong"/>
              </w:rPr>
            </w:pPr>
          </w:p>
        </w:tc>
        <w:tc>
          <w:tcPr>
            <w:tcW w:w="615" w:type="pct"/>
            <w:tcBorders>
              <w:top w:val="single" w:sz="4" w:space="0" w:color="auto"/>
              <w:left w:val="dotted" w:sz="4" w:space="0" w:color="BFBFBF" w:themeColor="background1" w:themeShade="BF"/>
              <w:bottom w:val="dotted" w:sz="4" w:space="0" w:color="BFBFBF" w:themeColor="background1" w:themeShade="BF"/>
            </w:tcBorders>
            <w:shd w:val="clear" w:color="auto" w:fill="F2F2F2" w:themeFill="background1" w:themeFillShade="F2"/>
            <w:vAlign w:val="bottom"/>
          </w:tcPr>
          <w:p w14:paraId="32E411E4" w14:textId="77777777" w:rsidR="00730DE4" w:rsidRPr="00730DE4" w:rsidRDefault="00730DE4" w:rsidP="00F26F78">
            <w:pPr>
              <w:pStyle w:val="NoSpacing"/>
              <w:jc w:val="right"/>
              <w:rPr>
                <w:rStyle w:val="Strong"/>
              </w:rPr>
            </w:pPr>
          </w:p>
        </w:tc>
      </w:tr>
      <w:tr w:rsidR="00730DE4" w:rsidRPr="00730DE4" w14:paraId="09DD1A51" w14:textId="77777777" w:rsidTr="008A2F83">
        <w:trPr>
          <w:trHeight w:val="240"/>
        </w:trPr>
        <w:tc>
          <w:tcPr>
            <w:tcW w:w="1798" w:type="pct"/>
            <w:tcBorders>
              <w:top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7704863C" w14:textId="77777777" w:rsidR="00730DE4" w:rsidRPr="00730DE4" w:rsidRDefault="00730DE4" w:rsidP="00F26F78">
            <w:pPr>
              <w:pStyle w:val="NoSpacing"/>
              <w:rPr>
                <w:color w:val="080C0F" w:themeColor="text1"/>
              </w:rPr>
            </w:pPr>
            <w:r w:rsidRPr="00730DE4">
              <w:rPr>
                <w:color w:val="080C0F" w:themeColor="text1"/>
              </w:rPr>
              <w:t>Payables</w:t>
            </w:r>
          </w:p>
        </w:tc>
        <w:tc>
          <w:tcPr>
            <w:tcW w:w="73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039EA290" w14:textId="77777777" w:rsidR="00730DE4" w:rsidRPr="00730DE4" w:rsidRDefault="00730DE4" w:rsidP="00F26F78">
            <w:pPr>
              <w:pStyle w:val="NoSpacing"/>
              <w:jc w:val="right"/>
              <w:rPr>
                <w:color w:val="080C0F" w:themeColor="text1"/>
              </w:rPr>
            </w:pPr>
            <w:r w:rsidRPr="00730DE4">
              <w:rPr>
                <w:color w:val="080C0F" w:themeColor="text1"/>
              </w:rPr>
              <w:t>18</w:t>
            </w:r>
          </w:p>
        </w:tc>
        <w:tc>
          <w:tcPr>
            <w:tcW w:w="61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77CF1E0A" w14:textId="77777777" w:rsidR="00730DE4" w:rsidRPr="00730DE4" w:rsidRDefault="00730DE4" w:rsidP="00F26F78">
            <w:pPr>
              <w:pStyle w:val="NoSpacing"/>
              <w:jc w:val="right"/>
              <w:rPr>
                <w:color w:val="080C0F" w:themeColor="text1"/>
              </w:rPr>
            </w:pPr>
            <w:r w:rsidRPr="00730DE4">
              <w:rPr>
                <w:color w:val="080C0F" w:themeColor="text1"/>
              </w:rPr>
              <w:t xml:space="preserve">899,177 </w:t>
            </w:r>
          </w:p>
        </w:tc>
        <w:tc>
          <w:tcPr>
            <w:tcW w:w="61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5FC05A85" w14:textId="77777777" w:rsidR="00730DE4" w:rsidRPr="00730DE4" w:rsidRDefault="00730DE4" w:rsidP="00F26F78">
            <w:pPr>
              <w:pStyle w:val="NoSpacing"/>
              <w:jc w:val="right"/>
              <w:rPr>
                <w:color w:val="080C0F" w:themeColor="text1"/>
              </w:rPr>
            </w:pPr>
            <w:r w:rsidRPr="00730DE4">
              <w:rPr>
                <w:color w:val="080C0F" w:themeColor="text1"/>
              </w:rPr>
              <w:t xml:space="preserve">- </w:t>
            </w:r>
          </w:p>
        </w:tc>
        <w:tc>
          <w:tcPr>
            <w:tcW w:w="61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715D87F1" w14:textId="77777777" w:rsidR="00730DE4" w:rsidRPr="00730DE4" w:rsidRDefault="00730DE4" w:rsidP="00F26F78">
            <w:pPr>
              <w:pStyle w:val="NoSpacing"/>
              <w:jc w:val="right"/>
              <w:rPr>
                <w:color w:val="080C0F" w:themeColor="text1"/>
              </w:rPr>
            </w:pPr>
            <w:r w:rsidRPr="00730DE4">
              <w:rPr>
                <w:color w:val="080C0F" w:themeColor="text1"/>
              </w:rPr>
              <w:t xml:space="preserve">- </w:t>
            </w:r>
          </w:p>
        </w:tc>
        <w:tc>
          <w:tcPr>
            <w:tcW w:w="615" w:type="pct"/>
            <w:tcBorders>
              <w:top w:val="dotted" w:sz="4" w:space="0" w:color="BFBFBF" w:themeColor="background1" w:themeShade="BF"/>
              <w:left w:val="dotted" w:sz="4" w:space="0" w:color="BFBFBF" w:themeColor="background1" w:themeShade="BF"/>
              <w:bottom w:val="dotted" w:sz="4" w:space="0" w:color="BFBFBF" w:themeColor="background1" w:themeShade="BF"/>
            </w:tcBorders>
            <w:shd w:val="clear" w:color="auto" w:fill="F2F2F2" w:themeFill="background1" w:themeFillShade="F2"/>
            <w:noWrap/>
            <w:vAlign w:val="bottom"/>
          </w:tcPr>
          <w:p w14:paraId="2C350A69" w14:textId="77777777" w:rsidR="00730DE4" w:rsidRPr="00730DE4" w:rsidRDefault="00730DE4" w:rsidP="00F26F78">
            <w:pPr>
              <w:pStyle w:val="NoSpacing"/>
              <w:jc w:val="right"/>
              <w:rPr>
                <w:rStyle w:val="Strong"/>
              </w:rPr>
            </w:pPr>
            <w:r w:rsidRPr="00730DE4">
              <w:rPr>
                <w:rStyle w:val="Strong"/>
              </w:rPr>
              <w:t>899,177</w:t>
            </w:r>
          </w:p>
        </w:tc>
      </w:tr>
      <w:tr w:rsidR="00730DE4" w:rsidRPr="00730DE4" w14:paraId="22BF40EA" w14:textId="77777777" w:rsidTr="008A2F83">
        <w:trPr>
          <w:trHeight w:val="240"/>
        </w:trPr>
        <w:tc>
          <w:tcPr>
            <w:tcW w:w="1798" w:type="pct"/>
            <w:tcBorders>
              <w:top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2474370" w14:textId="77777777" w:rsidR="00730DE4" w:rsidRPr="00730DE4" w:rsidRDefault="00730DE4" w:rsidP="00F26F78">
            <w:pPr>
              <w:pStyle w:val="NoSpacing"/>
              <w:rPr>
                <w:color w:val="080C0F" w:themeColor="text1"/>
              </w:rPr>
            </w:pPr>
            <w:r w:rsidRPr="00730DE4">
              <w:rPr>
                <w:color w:val="080C0F" w:themeColor="text1"/>
              </w:rPr>
              <w:t>Lease liabilities</w:t>
            </w:r>
          </w:p>
        </w:tc>
        <w:tc>
          <w:tcPr>
            <w:tcW w:w="73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2F2C109" w14:textId="77777777" w:rsidR="00730DE4" w:rsidRPr="00730DE4" w:rsidRDefault="00730DE4" w:rsidP="00F26F78">
            <w:pPr>
              <w:pStyle w:val="NoSpacing"/>
              <w:jc w:val="right"/>
              <w:rPr>
                <w:color w:val="080C0F" w:themeColor="text1"/>
              </w:rPr>
            </w:pPr>
            <w:r w:rsidRPr="00730DE4">
              <w:rPr>
                <w:color w:val="080C0F" w:themeColor="text1"/>
              </w:rPr>
              <w:t> </w:t>
            </w:r>
          </w:p>
        </w:tc>
        <w:tc>
          <w:tcPr>
            <w:tcW w:w="61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5E4233B" w14:textId="77777777" w:rsidR="00730DE4" w:rsidRPr="00730DE4" w:rsidRDefault="00730DE4" w:rsidP="00F26F78">
            <w:pPr>
              <w:pStyle w:val="NoSpacing"/>
              <w:jc w:val="right"/>
              <w:rPr>
                <w:color w:val="080C0F" w:themeColor="text1"/>
              </w:rPr>
            </w:pPr>
            <w:r w:rsidRPr="00730DE4">
              <w:rPr>
                <w:color w:val="080C0F" w:themeColor="text1"/>
              </w:rPr>
              <w:t xml:space="preserve">22,225 </w:t>
            </w:r>
          </w:p>
        </w:tc>
        <w:tc>
          <w:tcPr>
            <w:tcW w:w="61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C285850" w14:textId="77777777" w:rsidR="00730DE4" w:rsidRPr="00730DE4" w:rsidRDefault="00730DE4" w:rsidP="00F26F78">
            <w:pPr>
              <w:pStyle w:val="NoSpacing"/>
              <w:jc w:val="right"/>
              <w:rPr>
                <w:color w:val="080C0F" w:themeColor="text1"/>
              </w:rPr>
            </w:pPr>
            <w:r w:rsidRPr="00730DE4">
              <w:rPr>
                <w:color w:val="080C0F" w:themeColor="text1"/>
              </w:rPr>
              <w:t xml:space="preserve">71,123 </w:t>
            </w:r>
          </w:p>
        </w:tc>
        <w:tc>
          <w:tcPr>
            <w:tcW w:w="61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2D0A4A5" w14:textId="77777777" w:rsidR="00730DE4" w:rsidRPr="00730DE4" w:rsidRDefault="00730DE4" w:rsidP="00F26F78">
            <w:pPr>
              <w:pStyle w:val="NoSpacing"/>
              <w:jc w:val="right"/>
              <w:rPr>
                <w:color w:val="080C0F" w:themeColor="text1"/>
              </w:rPr>
            </w:pPr>
            <w:r w:rsidRPr="00730DE4">
              <w:rPr>
                <w:color w:val="080C0F" w:themeColor="text1"/>
              </w:rPr>
              <w:t xml:space="preserve">3,714 </w:t>
            </w:r>
          </w:p>
        </w:tc>
        <w:tc>
          <w:tcPr>
            <w:tcW w:w="615" w:type="pct"/>
            <w:tcBorders>
              <w:top w:val="dotted" w:sz="4" w:space="0" w:color="BFBFBF" w:themeColor="background1" w:themeShade="BF"/>
              <w:left w:val="dotted" w:sz="4" w:space="0" w:color="BFBFBF" w:themeColor="background1" w:themeShade="BF"/>
              <w:bottom w:val="dotted" w:sz="4" w:space="0" w:color="BFBFBF" w:themeColor="background1" w:themeShade="BF"/>
            </w:tcBorders>
            <w:shd w:val="clear" w:color="auto" w:fill="F2F2F2" w:themeFill="background1" w:themeFillShade="F2"/>
            <w:noWrap/>
            <w:vAlign w:val="bottom"/>
            <w:hideMark/>
          </w:tcPr>
          <w:p w14:paraId="19490E88" w14:textId="77777777" w:rsidR="00730DE4" w:rsidRPr="00730DE4" w:rsidRDefault="00730DE4" w:rsidP="00F26F78">
            <w:pPr>
              <w:pStyle w:val="NoSpacing"/>
              <w:jc w:val="right"/>
              <w:rPr>
                <w:rStyle w:val="Strong"/>
              </w:rPr>
            </w:pPr>
            <w:r w:rsidRPr="00730DE4">
              <w:rPr>
                <w:rStyle w:val="Strong"/>
              </w:rPr>
              <w:t>97,062</w:t>
            </w:r>
          </w:p>
        </w:tc>
      </w:tr>
      <w:tr w:rsidR="00730DE4" w:rsidRPr="00730DE4" w14:paraId="22C056A1" w14:textId="77777777" w:rsidTr="000D6109">
        <w:trPr>
          <w:trHeight w:val="240"/>
        </w:trPr>
        <w:tc>
          <w:tcPr>
            <w:tcW w:w="1798" w:type="pct"/>
            <w:tcBorders>
              <w:top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E2A22C2" w14:textId="77777777" w:rsidR="00730DE4" w:rsidRPr="00730DE4" w:rsidRDefault="00730DE4" w:rsidP="00F26F78">
            <w:pPr>
              <w:pStyle w:val="NoSpacing"/>
              <w:rPr>
                <w:color w:val="080C0F" w:themeColor="text1"/>
              </w:rPr>
            </w:pPr>
            <w:r w:rsidRPr="00730DE4">
              <w:rPr>
                <w:color w:val="080C0F" w:themeColor="text1"/>
              </w:rPr>
              <w:t>Service concession arrangements</w:t>
            </w:r>
          </w:p>
        </w:tc>
        <w:tc>
          <w:tcPr>
            <w:tcW w:w="73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1842678" w14:textId="77777777" w:rsidR="00730DE4" w:rsidRPr="00730DE4" w:rsidRDefault="00730DE4" w:rsidP="00F26F78">
            <w:pPr>
              <w:pStyle w:val="NoSpacing"/>
              <w:jc w:val="right"/>
              <w:rPr>
                <w:color w:val="080C0F" w:themeColor="text1"/>
              </w:rPr>
            </w:pPr>
            <w:r w:rsidRPr="00730DE4">
              <w:rPr>
                <w:color w:val="080C0F" w:themeColor="text1"/>
              </w:rPr>
              <w:t> </w:t>
            </w:r>
          </w:p>
        </w:tc>
        <w:tc>
          <w:tcPr>
            <w:tcW w:w="61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5C4BA0F" w14:textId="77777777" w:rsidR="00730DE4" w:rsidRPr="00730DE4" w:rsidRDefault="00730DE4" w:rsidP="00F26F78">
            <w:pPr>
              <w:pStyle w:val="NoSpacing"/>
              <w:jc w:val="right"/>
              <w:rPr>
                <w:color w:val="080C0F" w:themeColor="text1"/>
              </w:rPr>
            </w:pPr>
            <w:r w:rsidRPr="00730DE4">
              <w:rPr>
                <w:color w:val="080C0F" w:themeColor="text1"/>
              </w:rPr>
              <w:t xml:space="preserve">80,921 </w:t>
            </w:r>
          </w:p>
        </w:tc>
        <w:tc>
          <w:tcPr>
            <w:tcW w:w="61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722C3F0" w14:textId="77777777" w:rsidR="00730DE4" w:rsidRPr="00730DE4" w:rsidRDefault="00730DE4" w:rsidP="00F26F78">
            <w:pPr>
              <w:pStyle w:val="NoSpacing"/>
              <w:jc w:val="right"/>
              <w:rPr>
                <w:color w:val="080C0F" w:themeColor="text1"/>
              </w:rPr>
            </w:pPr>
            <w:r w:rsidRPr="00730DE4">
              <w:rPr>
                <w:color w:val="080C0F" w:themeColor="text1"/>
              </w:rPr>
              <w:t xml:space="preserve">324,484 </w:t>
            </w:r>
          </w:p>
        </w:tc>
        <w:tc>
          <w:tcPr>
            <w:tcW w:w="61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BC3BD03" w14:textId="77777777" w:rsidR="00730DE4" w:rsidRPr="00730DE4" w:rsidRDefault="00730DE4" w:rsidP="00F26F78">
            <w:pPr>
              <w:pStyle w:val="NoSpacing"/>
              <w:jc w:val="right"/>
              <w:rPr>
                <w:color w:val="080C0F" w:themeColor="text1"/>
              </w:rPr>
            </w:pPr>
            <w:r w:rsidRPr="00730DE4">
              <w:rPr>
                <w:color w:val="080C0F" w:themeColor="text1"/>
              </w:rPr>
              <w:t xml:space="preserve">460,225 </w:t>
            </w:r>
          </w:p>
        </w:tc>
        <w:tc>
          <w:tcPr>
            <w:tcW w:w="615" w:type="pct"/>
            <w:tcBorders>
              <w:top w:val="dotted" w:sz="4" w:space="0" w:color="BFBFBF" w:themeColor="background1" w:themeShade="BF"/>
              <w:left w:val="dotted" w:sz="4" w:space="0" w:color="BFBFBF" w:themeColor="background1" w:themeShade="BF"/>
              <w:bottom w:val="dotted" w:sz="4" w:space="0" w:color="BFBFBF" w:themeColor="background1" w:themeShade="BF"/>
            </w:tcBorders>
            <w:shd w:val="clear" w:color="auto" w:fill="F2F2F2" w:themeFill="background1" w:themeFillShade="F2"/>
            <w:noWrap/>
            <w:vAlign w:val="bottom"/>
            <w:hideMark/>
          </w:tcPr>
          <w:p w14:paraId="6F36C213" w14:textId="77777777" w:rsidR="00730DE4" w:rsidRPr="00730DE4" w:rsidRDefault="00730DE4" w:rsidP="00F26F78">
            <w:pPr>
              <w:pStyle w:val="NoSpacing"/>
              <w:jc w:val="right"/>
              <w:rPr>
                <w:rStyle w:val="Strong"/>
              </w:rPr>
            </w:pPr>
            <w:r w:rsidRPr="00730DE4">
              <w:rPr>
                <w:rStyle w:val="Strong"/>
              </w:rPr>
              <w:t>865,630</w:t>
            </w:r>
          </w:p>
        </w:tc>
      </w:tr>
      <w:tr w:rsidR="00730DE4" w:rsidRPr="00730DE4" w14:paraId="2BE69378" w14:textId="77777777" w:rsidTr="000D6109">
        <w:trPr>
          <w:trHeight w:val="240"/>
        </w:trPr>
        <w:tc>
          <w:tcPr>
            <w:tcW w:w="1798" w:type="pct"/>
            <w:tcBorders>
              <w:top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47C81E8D" w14:textId="77777777" w:rsidR="00730DE4" w:rsidRPr="00730DE4" w:rsidRDefault="00730DE4" w:rsidP="00F26F78">
            <w:pPr>
              <w:pStyle w:val="NoSpacing"/>
              <w:rPr>
                <w:color w:val="080C0F" w:themeColor="text1"/>
              </w:rPr>
            </w:pPr>
            <w:r w:rsidRPr="00730DE4">
              <w:rPr>
                <w:color w:val="080C0F" w:themeColor="text1"/>
              </w:rPr>
              <w:t>New Generation Rollingstock arrangement</w:t>
            </w:r>
          </w:p>
        </w:tc>
        <w:tc>
          <w:tcPr>
            <w:tcW w:w="735"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6348ECAC" w14:textId="77777777" w:rsidR="00730DE4" w:rsidRPr="00730DE4" w:rsidRDefault="00730DE4" w:rsidP="00F26F78">
            <w:pPr>
              <w:pStyle w:val="NoSpacing"/>
              <w:jc w:val="right"/>
              <w:rPr>
                <w:color w:val="080C0F" w:themeColor="text1"/>
              </w:rPr>
            </w:pPr>
            <w:r w:rsidRPr="00730DE4">
              <w:rPr>
                <w:color w:val="080C0F" w:themeColor="text1"/>
              </w:rPr>
              <w:t> </w:t>
            </w:r>
          </w:p>
        </w:tc>
        <w:tc>
          <w:tcPr>
            <w:tcW w:w="617"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7FAC806F" w14:textId="77777777" w:rsidR="00730DE4" w:rsidRPr="00730DE4" w:rsidRDefault="00730DE4" w:rsidP="00F26F78">
            <w:pPr>
              <w:pStyle w:val="NoSpacing"/>
              <w:jc w:val="right"/>
              <w:rPr>
                <w:color w:val="080C0F" w:themeColor="text1"/>
              </w:rPr>
            </w:pPr>
            <w:r w:rsidRPr="00730DE4">
              <w:rPr>
                <w:color w:val="080C0F" w:themeColor="text1"/>
              </w:rPr>
              <w:t xml:space="preserve">70,170 </w:t>
            </w:r>
          </w:p>
        </w:tc>
        <w:tc>
          <w:tcPr>
            <w:tcW w:w="617"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17C82F7E" w14:textId="77777777" w:rsidR="00730DE4" w:rsidRPr="00730DE4" w:rsidRDefault="00730DE4" w:rsidP="00F26F78">
            <w:pPr>
              <w:pStyle w:val="NoSpacing"/>
              <w:jc w:val="right"/>
              <w:rPr>
                <w:color w:val="080C0F" w:themeColor="text1"/>
              </w:rPr>
            </w:pPr>
            <w:r w:rsidRPr="00730DE4">
              <w:rPr>
                <w:color w:val="080C0F" w:themeColor="text1"/>
              </w:rPr>
              <w:t xml:space="preserve">289,496 </w:t>
            </w:r>
          </w:p>
        </w:tc>
        <w:tc>
          <w:tcPr>
            <w:tcW w:w="61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75D2B057" w14:textId="77777777" w:rsidR="00730DE4" w:rsidRPr="00730DE4" w:rsidRDefault="00730DE4" w:rsidP="00F26F78">
            <w:pPr>
              <w:pStyle w:val="NoSpacing"/>
              <w:jc w:val="right"/>
              <w:rPr>
                <w:color w:val="080C0F" w:themeColor="text1"/>
              </w:rPr>
            </w:pPr>
            <w:r w:rsidRPr="00730DE4">
              <w:rPr>
                <w:color w:val="080C0F" w:themeColor="text1"/>
              </w:rPr>
              <w:t xml:space="preserve">1,210,754 </w:t>
            </w:r>
          </w:p>
        </w:tc>
        <w:tc>
          <w:tcPr>
            <w:tcW w:w="615" w:type="pct"/>
            <w:tcBorders>
              <w:top w:val="dotted" w:sz="4" w:space="0" w:color="BFBFBF" w:themeColor="background1" w:themeShade="BF"/>
              <w:left w:val="dotted" w:sz="4" w:space="0" w:color="BFBFBF" w:themeColor="background1" w:themeShade="BF"/>
              <w:bottom w:val="single" w:sz="4" w:space="0" w:color="auto"/>
            </w:tcBorders>
            <w:shd w:val="clear" w:color="auto" w:fill="F2F2F2" w:themeFill="background1" w:themeFillShade="F2"/>
            <w:noWrap/>
            <w:vAlign w:val="bottom"/>
            <w:hideMark/>
          </w:tcPr>
          <w:p w14:paraId="2EC3E2F5" w14:textId="77777777" w:rsidR="00730DE4" w:rsidRPr="00730DE4" w:rsidRDefault="00730DE4" w:rsidP="00F26F78">
            <w:pPr>
              <w:pStyle w:val="NoSpacing"/>
              <w:jc w:val="right"/>
              <w:rPr>
                <w:rStyle w:val="Strong"/>
              </w:rPr>
            </w:pPr>
            <w:r w:rsidRPr="00730DE4">
              <w:rPr>
                <w:rStyle w:val="Strong"/>
              </w:rPr>
              <w:t>1,570,420</w:t>
            </w:r>
          </w:p>
        </w:tc>
      </w:tr>
      <w:tr w:rsidR="00730DE4" w:rsidRPr="00730DE4" w14:paraId="2B7A191E" w14:textId="77777777" w:rsidTr="000D6109">
        <w:tc>
          <w:tcPr>
            <w:tcW w:w="1798" w:type="pct"/>
            <w:tcBorders>
              <w:top w:val="single" w:sz="4" w:space="0" w:color="auto"/>
              <w:bottom w:val="double" w:sz="4" w:space="0" w:color="auto"/>
              <w:right w:val="dotted" w:sz="4" w:space="0" w:color="BFBFBF" w:themeColor="background1" w:themeShade="BF"/>
            </w:tcBorders>
            <w:shd w:val="clear" w:color="auto" w:fill="auto"/>
            <w:noWrap/>
            <w:hideMark/>
          </w:tcPr>
          <w:p w14:paraId="47B41A7D" w14:textId="77777777" w:rsidR="00730DE4" w:rsidRPr="00730DE4" w:rsidRDefault="00730DE4" w:rsidP="001B0E0D">
            <w:pPr>
              <w:pStyle w:val="NoSpacing"/>
              <w:rPr>
                <w:rStyle w:val="Strong"/>
              </w:rPr>
            </w:pPr>
            <w:r w:rsidRPr="00730DE4">
              <w:rPr>
                <w:rStyle w:val="Strong"/>
              </w:rPr>
              <w:t>Total</w:t>
            </w:r>
          </w:p>
        </w:tc>
        <w:tc>
          <w:tcPr>
            <w:tcW w:w="735"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63691A94" w14:textId="77777777" w:rsidR="00730DE4" w:rsidRPr="00730DE4" w:rsidRDefault="00730DE4" w:rsidP="001B0E0D">
            <w:pPr>
              <w:pStyle w:val="NoSpacing"/>
              <w:jc w:val="right"/>
              <w:rPr>
                <w:color w:val="080C0F" w:themeColor="text1"/>
              </w:rPr>
            </w:pPr>
            <w:r w:rsidRPr="00730DE4">
              <w:rPr>
                <w:color w:val="080C0F" w:themeColor="text1"/>
              </w:rPr>
              <w:t> </w:t>
            </w:r>
          </w:p>
        </w:tc>
        <w:tc>
          <w:tcPr>
            <w:tcW w:w="617"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522D928E" w14:textId="77777777" w:rsidR="00730DE4" w:rsidRPr="00730DE4" w:rsidRDefault="00730DE4" w:rsidP="001B0E0D">
            <w:pPr>
              <w:pStyle w:val="NoSpacing"/>
              <w:jc w:val="right"/>
              <w:rPr>
                <w:color w:val="080C0F" w:themeColor="text1"/>
              </w:rPr>
            </w:pPr>
            <w:r w:rsidRPr="00730DE4">
              <w:rPr>
                <w:rStyle w:val="Strong"/>
              </w:rPr>
              <w:t>1,072,493</w:t>
            </w:r>
          </w:p>
        </w:tc>
        <w:tc>
          <w:tcPr>
            <w:tcW w:w="617"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395C35EA" w14:textId="77777777" w:rsidR="00730DE4" w:rsidRPr="00730DE4" w:rsidRDefault="00730DE4" w:rsidP="001B0E0D">
            <w:pPr>
              <w:pStyle w:val="NoSpacing"/>
              <w:jc w:val="right"/>
              <w:rPr>
                <w:color w:val="080C0F" w:themeColor="text1"/>
              </w:rPr>
            </w:pPr>
            <w:r w:rsidRPr="00730DE4">
              <w:rPr>
                <w:rStyle w:val="Strong"/>
              </w:rPr>
              <w:t>685,103</w:t>
            </w:r>
          </w:p>
        </w:tc>
        <w:tc>
          <w:tcPr>
            <w:tcW w:w="618"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218D342B" w14:textId="77777777" w:rsidR="00730DE4" w:rsidRPr="00730DE4" w:rsidRDefault="00730DE4" w:rsidP="001B0E0D">
            <w:pPr>
              <w:pStyle w:val="NoSpacing"/>
              <w:jc w:val="right"/>
              <w:rPr>
                <w:color w:val="080C0F" w:themeColor="text1"/>
              </w:rPr>
            </w:pPr>
            <w:r w:rsidRPr="00730DE4">
              <w:rPr>
                <w:rStyle w:val="Strong"/>
              </w:rPr>
              <w:t>1,674,693</w:t>
            </w:r>
          </w:p>
        </w:tc>
        <w:tc>
          <w:tcPr>
            <w:tcW w:w="615" w:type="pct"/>
            <w:tcBorders>
              <w:top w:val="single" w:sz="4" w:space="0" w:color="auto"/>
              <w:left w:val="dotted" w:sz="4" w:space="0" w:color="BFBFBF" w:themeColor="background1" w:themeShade="BF"/>
              <w:bottom w:val="double" w:sz="4" w:space="0" w:color="auto"/>
            </w:tcBorders>
            <w:shd w:val="clear" w:color="auto" w:fill="F2F2F2" w:themeFill="background1" w:themeFillShade="F2"/>
            <w:noWrap/>
            <w:hideMark/>
          </w:tcPr>
          <w:p w14:paraId="41170726" w14:textId="77777777" w:rsidR="00730DE4" w:rsidRPr="00730DE4" w:rsidRDefault="00730DE4" w:rsidP="001B0E0D">
            <w:pPr>
              <w:pStyle w:val="NoSpacing"/>
              <w:jc w:val="right"/>
              <w:rPr>
                <w:rStyle w:val="Strong"/>
              </w:rPr>
            </w:pPr>
            <w:r w:rsidRPr="00730DE4">
              <w:rPr>
                <w:rStyle w:val="Strong"/>
              </w:rPr>
              <w:t>3,432,289</w:t>
            </w:r>
          </w:p>
        </w:tc>
      </w:tr>
      <w:tr w:rsidR="00730DE4" w:rsidRPr="00730DE4" w14:paraId="07C28E9C" w14:textId="77777777" w:rsidTr="000D6109">
        <w:trPr>
          <w:trHeight w:val="454"/>
        </w:trPr>
        <w:tc>
          <w:tcPr>
            <w:tcW w:w="1798" w:type="pct"/>
            <w:tcBorders>
              <w:top w:val="double" w:sz="4" w:space="0" w:color="auto"/>
              <w:bottom w:val="dotted" w:sz="4" w:space="0" w:color="BFBFBF" w:themeColor="background1" w:themeShade="BF"/>
              <w:right w:val="dotted" w:sz="4" w:space="0" w:color="BFBFBF" w:themeColor="background1" w:themeShade="BF"/>
            </w:tcBorders>
            <w:shd w:val="clear" w:color="auto" w:fill="auto"/>
            <w:noWrap/>
            <w:vAlign w:val="bottom"/>
          </w:tcPr>
          <w:p w14:paraId="06226559" w14:textId="77777777" w:rsidR="00730DE4" w:rsidRPr="00730DE4" w:rsidRDefault="00730DE4" w:rsidP="00F26F78">
            <w:pPr>
              <w:pStyle w:val="NoSpacing"/>
              <w:rPr>
                <w:color w:val="080C0F" w:themeColor="text1"/>
              </w:rPr>
            </w:pPr>
            <w:r w:rsidRPr="00730DE4">
              <w:rPr>
                <w:rStyle w:val="Strong"/>
              </w:rPr>
              <w:t>2023</w:t>
            </w:r>
          </w:p>
        </w:tc>
        <w:tc>
          <w:tcPr>
            <w:tcW w:w="735"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7096CBD0" w14:textId="77777777" w:rsidR="00730DE4" w:rsidRPr="00730DE4" w:rsidRDefault="00730DE4" w:rsidP="00F26F78">
            <w:pPr>
              <w:pStyle w:val="NoSpacing"/>
              <w:jc w:val="right"/>
              <w:rPr>
                <w:color w:val="080C0F" w:themeColor="text1"/>
              </w:rPr>
            </w:pPr>
          </w:p>
        </w:tc>
        <w:tc>
          <w:tcPr>
            <w:tcW w:w="617"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6415EB83" w14:textId="77777777" w:rsidR="00730DE4" w:rsidRPr="00730DE4" w:rsidRDefault="00730DE4" w:rsidP="00F26F78">
            <w:pPr>
              <w:pStyle w:val="NoSpacing"/>
              <w:jc w:val="right"/>
              <w:rPr>
                <w:color w:val="080C0F" w:themeColor="text1"/>
              </w:rPr>
            </w:pPr>
          </w:p>
        </w:tc>
        <w:tc>
          <w:tcPr>
            <w:tcW w:w="617"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37F8F1A8" w14:textId="77777777" w:rsidR="00730DE4" w:rsidRPr="00730DE4" w:rsidRDefault="00730DE4" w:rsidP="00F26F78">
            <w:pPr>
              <w:pStyle w:val="NoSpacing"/>
              <w:jc w:val="right"/>
              <w:rPr>
                <w:color w:val="080C0F" w:themeColor="text1"/>
              </w:rPr>
            </w:pPr>
          </w:p>
        </w:tc>
        <w:tc>
          <w:tcPr>
            <w:tcW w:w="618"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645B978A" w14:textId="77777777" w:rsidR="00730DE4" w:rsidRPr="00730DE4" w:rsidRDefault="00730DE4" w:rsidP="00F26F78">
            <w:pPr>
              <w:pStyle w:val="NoSpacing"/>
              <w:jc w:val="right"/>
              <w:rPr>
                <w:color w:val="080C0F" w:themeColor="text1"/>
              </w:rPr>
            </w:pPr>
          </w:p>
        </w:tc>
        <w:tc>
          <w:tcPr>
            <w:tcW w:w="615" w:type="pct"/>
            <w:tcBorders>
              <w:top w:val="double" w:sz="4" w:space="0" w:color="auto"/>
              <w:left w:val="dotted" w:sz="4" w:space="0" w:color="BFBFBF" w:themeColor="background1" w:themeShade="BF"/>
              <w:bottom w:val="dotted" w:sz="4" w:space="0" w:color="BFBFBF" w:themeColor="background1" w:themeShade="BF"/>
            </w:tcBorders>
            <w:shd w:val="clear" w:color="auto" w:fill="auto"/>
            <w:noWrap/>
            <w:vAlign w:val="bottom"/>
          </w:tcPr>
          <w:p w14:paraId="28D17D59" w14:textId="77777777" w:rsidR="00730DE4" w:rsidRPr="00730DE4" w:rsidRDefault="00730DE4" w:rsidP="00F26F78">
            <w:pPr>
              <w:pStyle w:val="NoSpacing"/>
              <w:jc w:val="right"/>
              <w:rPr>
                <w:color w:val="080C0F" w:themeColor="text1"/>
              </w:rPr>
            </w:pPr>
          </w:p>
        </w:tc>
      </w:tr>
      <w:tr w:rsidR="00730DE4" w:rsidRPr="00730DE4" w14:paraId="5B4ABC3A" w14:textId="77777777" w:rsidTr="008A2F83">
        <w:trPr>
          <w:trHeight w:val="240"/>
        </w:trPr>
        <w:tc>
          <w:tcPr>
            <w:tcW w:w="1798" w:type="pct"/>
            <w:tcBorders>
              <w:top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4DE5B0E4" w14:textId="77777777" w:rsidR="00730DE4" w:rsidRPr="00730DE4" w:rsidRDefault="00730DE4" w:rsidP="00F26F78">
            <w:pPr>
              <w:pStyle w:val="NoSpacing"/>
              <w:rPr>
                <w:color w:val="080C0F" w:themeColor="text1"/>
              </w:rPr>
            </w:pPr>
            <w:r w:rsidRPr="00730DE4">
              <w:rPr>
                <w:color w:val="080C0F" w:themeColor="text1"/>
              </w:rPr>
              <w:t xml:space="preserve">Payables </w:t>
            </w:r>
          </w:p>
        </w:tc>
        <w:tc>
          <w:tcPr>
            <w:tcW w:w="73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7FBFF9D5" w14:textId="77777777" w:rsidR="00730DE4" w:rsidRPr="00730DE4" w:rsidRDefault="00730DE4" w:rsidP="00F26F78">
            <w:pPr>
              <w:pStyle w:val="NoSpacing"/>
              <w:jc w:val="right"/>
              <w:rPr>
                <w:color w:val="080C0F" w:themeColor="text1"/>
              </w:rPr>
            </w:pPr>
            <w:r w:rsidRPr="00730DE4">
              <w:rPr>
                <w:color w:val="080C0F" w:themeColor="text1"/>
              </w:rPr>
              <w:t>18</w:t>
            </w:r>
          </w:p>
        </w:tc>
        <w:tc>
          <w:tcPr>
            <w:tcW w:w="61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02E06CE0" w14:textId="77777777" w:rsidR="00730DE4" w:rsidRPr="00730DE4" w:rsidRDefault="00730DE4" w:rsidP="00F26F78">
            <w:pPr>
              <w:pStyle w:val="NoSpacing"/>
              <w:jc w:val="right"/>
              <w:rPr>
                <w:color w:val="080C0F" w:themeColor="text1"/>
              </w:rPr>
            </w:pPr>
            <w:r w:rsidRPr="00730DE4">
              <w:rPr>
                <w:color w:val="080C0F" w:themeColor="text1"/>
              </w:rPr>
              <w:t>942,274</w:t>
            </w:r>
          </w:p>
        </w:tc>
        <w:tc>
          <w:tcPr>
            <w:tcW w:w="61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76BD70AA" w14:textId="77777777" w:rsidR="00730DE4" w:rsidRPr="00730DE4" w:rsidRDefault="00730DE4" w:rsidP="00F26F78">
            <w:pPr>
              <w:pStyle w:val="NoSpacing"/>
              <w:jc w:val="right"/>
              <w:rPr>
                <w:color w:val="080C0F" w:themeColor="text1"/>
              </w:rPr>
            </w:pPr>
            <w:r w:rsidRPr="00730DE4">
              <w:rPr>
                <w:color w:val="080C0F" w:themeColor="text1"/>
              </w:rPr>
              <w:t xml:space="preserve">- </w:t>
            </w:r>
          </w:p>
        </w:tc>
        <w:tc>
          <w:tcPr>
            <w:tcW w:w="61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5C9818CD" w14:textId="77777777" w:rsidR="00730DE4" w:rsidRPr="00730DE4" w:rsidRDefault="00730DE4" w:rsidP="00F26F78">
            <w:pPr>
              <w:pStyle w:val="NoSpacing"/>
              <w:jc w:val="right"/>
              <w:rPr>
                <w:color w:val="080C0F" w:themeColor="text1"/>
              </w:rPr>
            </w:pPr>
            <w:r w:rsidRPr="00730DE4">
              <w:rPr>
                <w:color w:val="080C0F" w:themeColor="text1"/>
              </w:rPr>
              <w:t xml:space="preserve">- </w:t>
            </w:r>
          </w:p>
        </w:tc>
        <w:tc>
          <w:tcPr>
            <w:tcW w:w="615" w:type="pct"/>
            <w:tcBorders>
              <w:top w:val="dotted" w:sz="4" w:space="0" w:color="BFBFBF" w:themeColor="background1" w:themeShade="BF"/>
              <w:left w:val="dotted" w:sz="4" w:space="0" w:color="BFBFBF" w:themeColor="background1" w:themeShade="BF"/>
              <w:bottom w:val="dotted" w:sz="4" w:space="0" w:color="BFBFBF" w:themeColor="background1" w:themeShade="BF"/>
            </w:tcBorders>
            <w:shd w:val="clear" w:color="auto" w:fill="auto"/>
            <w:noWrap/>
            <w:vAlign w:val="bottom"/>
          </w:tcPr>
          <w:p w14:paraId="51FC68BB" w14:textId="77777777" w:rsidR="00730DE4" w:rsidRPr="00730DE4" w:rsidRDefault="00730DE4" w:rsidP="00F26F78">
            <w:pPr>
              <w:pStyle w:val="NoSpacing"/>
              <w:jc w:val="right"/>
              <w:rPr>
                <w:color w:val="080C0F" w:themeColor="text1"/>
              </w:rPr>
            </w:pPr>
            <w:r w:rsidRPr="00730DE4">
              <w:rPr>
                <w:color w:val="080C0F" w:themeColor="text1"/>
              </w:rPr>
              <w:t>942,274</w:t>
            </w:r>
          </w:p>
        </w:tc>
      </w:tr>
      <w:tr w:rsidR="00730DE4" w:rsidRPr="00730DE4" w14:paraId="058D72A9" w14:textId="77777777" w:rsidTr="008A2F83">
        <w:trPr>
          <w:trHeight w:val="240"/>
        </w:trPr>
        <w:tc>
          <w:tcPr>
            <w:tcW w:w="1798" w:type="pct"/>
            <w:tcBorders>
              <w:top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D23E54B" w14:textId="77777777" w:rsidR="00730DE4" w:rsidRPr="00730DE4" w:rsidRDefault="00730DE4" w:rsidP="00F26F78">
            <w:pPr>
              <w:pStyle w:val="NoSpacing"/>
              <w:rPr>
                <w:color w:val="080C0F" w:themeColor="text1"/>
              </w:rPr>
            </w:pPr>
            <w:r w:rsidRPr="00730DE4">
              <w:rPr>
                <w:color w:val="080C0F" w:themeColor="text1"/>
              </w:rPr>
              <w:t>Lease liabilities</w:t>
            </w:r>
          </w:p>
        </w:tc>
        <w:tc>
          <w:tcPr>
            <w:tcW w:w="73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520617C" w14:textId="77777777" w:rsidR="00730DE4" w:rsidRPr="00730DE4" w:rsidRDefault="00730DE4" w:rsidP="00F26F78">
            <w:pPr>
              <w:pStyle w:val="NoSpacing"/>
              <w:jc w:val="right"/>
              <w:rPr>
                <w:color w:val="080C0F" w:themeColor="text1"/>
              </w:rPr>
            </w:pPr>
            <w:r w:rsidRPr="00730DE4">
              <w:rPr>
                <w:color w:val="080C0F" w:themeColor="text1"/>
              </w:rPr>
              <w:t> </w:t>
            </w:r>
          </w:p>
        </w:tc>
        <w:tc>
          <w:tcPr>
            <w:tcW w:w="61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648B9D4" w14:textId="77777777" w:rsidR="00730DE4" w:rsidRPr="00730DE4" w:rsidRDefault="00730DE4" w:rsidP="00F26F78">
            <w:pPr>
              <w:pStyle w:val="NoSpacing"/>
              <w:jc w:val="right"/>
              <w:rPr>
                <w:color w:val="080C0F" w:themeColor="text1"/>
              </w:rPr>
            </w:pPr>
            <w:r w:rsidRPr="00730DE4">
              <w:rPr>
                <w:color w:val="080C0F" w:themeColor="text1"/>
              </w:rPr>
              <w:t>28,030</w:t>
            </w:r>
          </w:p>
        </w:tc>
        <w:tc>
          <w:tcPr>
            <w:tcW w:w="61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F0D9D15" w14:textId="77777777" w:rsidR="00730DE4" w:rsidRPr="00730DE4" w:rsidRDefault="00730DE4" w:rsidP="00F26F78">
            <w:pPr>
              <w:pStyle w:val="NoSpacing"/>
              <w:jc w:val="right"/>
              <w:rPr>
                <w:color w:val="080C0F" w:themeColor="text1"/>
              </w:rPr>
            </w:pPr>
            <w:r w:rsidRPr="00730DE4">
              <w:rPr>
                <w:color w:val="080C0F" w:themeColor="text1"/>
              </w:rPr>
              <w:t>83,974</w:t>
            </w:r>
          </w:p>
        </w:tc>
        <w:tc>
          <w:tcPr>
            <w:tcW w:w="61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85008C5" w14:textId="77777777" w:rsidR="00730DE4" w:rsidRPr="00730DE4" w:rsidRDefault="00730DE4" w:rsidP="00F26F78">
            <w:pPr>
              <w:pStyle w:val="NoSpacing"/>
              <w:jc w:val="right"/>
              <w:rPr>
                <w:color w:val="080C0F" w:themeColor="text1"/>
              </w:rPr>
            </w:pPr>
            <w:r w:rsidRPr="00730DE4">
              <w:rPr>
                <w:color w:val="080C0F" w:themeColor="text1"/>
              </w:rPr>
              <w:t>8,748</w:t>
            </w:r>
          </w:p>
        </w:tc>
        <w:tc>
          <w:tcPr>
            <w:tcW w:w="615" w:type="pct"/>
            <w:tcBorders>
              <w:top w:val="dotted" w:sz="4" w:space="0" w:color="BFBFBF" w:themeColor="background1" w:themeShade="BF"/>
              <w:left w:val="dotted" w:sz="4" w:space="0" w:color="BFBFBF" w:themeColor="background1" w:themeShade="BF"/>
              <w:bottom w:val="dotted" w:sz="4" w:space="0" w:color="BFBFBF" w:themeColor="background1" w:themeShade="BF"/>
            </w:tcBorders>
            <w:shd w:val="clear" w:color="auto" w:fill="auto"/>
            <w:noWrap/>
            <w:vAlign w:val="bottom"/>
            <w:hideMark/>
          </w:tcPr>
          <w:p w14:paraId="716D34BF" w14:textId="77777777" w:rsidR="00730DE4" w:rsidRPr="00730DE4" w:rsidRDefault="00730DE4" w:rsidP="00F26F78">
            <w:pPr>
              <w:pStyle w:val="NoSpacing"/>
              <w:jc w:val="right"/>
              <w:rPr>
                <w:color w:val="080C0F" w:themeColor="text1"/>
              </w:rPr>
            </w:pPr>
            <w:r w:rsidRPr="00730DE4">
              <w:rPr>
                <w:color w:val="080C0F" w:themeColor="text1"/>
              </w:rPr>
              <w:t>120,752</w:t>
            </w:r>
          </w:p>
        </w:tc>
      </w:tr>
      <w:tr w:rsidR="00730DE4" w:rsidRPr="00730DE4" w14:paraId="2F31F988" w14:textId="77777777" w:rsidTr="000D6109">
        <w:trPr>
          <w:trHeight w:val="240"/>
        </w:trPr>
        <w:tc>
          <w:tcPr>
            <w:tcW w:w="1798" w:type="pct"/>
            <w:tcBorders>
              <w:top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E7466D5" w14:textId="77777777" w:rsidR="00730DE4" w:rsidRPr="00730DE4" w:rsidRDefault="00730DE4" w:rsidP="00F26F78">
            <w:pPr>
              <w:pStyle w:val="NoSpacing"/>
              <w:rPr>
                <w:color w:val="080C0F" w:themeColor="text1"/>
              </w:rPr>
            </w:pPr>
            <w:r w:rsidRPr="00730DE4">
              <w:rPr>
                <w:color w:val="080C0F" w:themeColor="text1"/>
              </w:rPr>
              <w:t>Service concession arrangements</w:t>
            </w:r>
          </w:p>
        </w:tc>
        <w:tc>
          <w:tcPr>
            <w:tcW w:w="73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299BE03" w14:textId="77777777" w:rsidR="00730DE4" w:rsidRPr="00730DE4" w:rsidRDefault="00730DE4" w:rsidP="00F26F78">
            <w:pPr>
              <w:pStyle w:val="NoSpacing"/>
              <w:jc w:val="right"/>
              <w:rPr>
                <w:color w:val="080C0F" w:themeColor="text1"/>
              </w:rPr>
            </w:pPr>
            <w:r w:rsidRPr="00730DE4">
              <w:rPr>
                <w:color w:val="080C0F" w:themeColor="text1"/>
              </w:rPr>
              <w:t> </w:t>
            </w:r>
          </w:p>
        </w:tc>
        <w:tc>
          <w:tcPr>
            <w:tcW w:w="61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F1B619E" w14:textId="77777777" w:rsidR="00730DE4" w:rsidRPr="00730DE4" w:rsidRDefault="00730DE4" w:rsidP="00F26F78">
            <w:pPr>
              <w:pStyle w:val="NoSpacing"/>
              <w:jc w:val="right"/>
              <w:rPr>
                <w:color w:val="080C0F" w:themeColor="text1"/>
              </w:rPr>
            </w:pPr>
            <w:r w:rsidRPr="00730DE4">
              <w:rPr>
                <w:color w:val="080C0F" w:themeColor="text1"/>
              </w:rPr>
              <w:t>86,371</w:t>
            </w:r>
          </w:p>
        </w:tc>
        <w:tc>
          <w:tcPr>
            <w:tcW w:w="61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87CACDD" w14:textId="77777777" w:rsidR="00730DE4" w:rsidRPr="00730DE4" w:rsidRDefault="00730DE4" w:rsidP="00F26F78">
            <w:pPr>
              <w:pStyle w:val="NoSpacing"/>
              <w:jc w:val="right"/>
              <w:rPr>
                <w:color w:val="080C0F" w:themeColor="text1"/>
              </w:rPr>
            </w:pPr>
            <w:r w:rsidRPr="00730DE4">
              <w:rPr>
                <w:color w:val="080C0F" w:themeColor="text1"/>
              </w:rPr>
              <w:t>326,938</w:t>
            </w:r>
          </w:p>
        </w:tc>
        <w:tc>
          <w:tcPr>
            <w:tcW w:w="61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200522E" w14:textId="77777777" w:rsidR="00730DE4" w:rsidRPr="00730DE4" w:rsidRDefault="00730DE4" w:rsidP="00F26F78">
            <w:pPr>
              <w:pStyle w:val="NoSpacing"/>
              <w:jc w:val="right"/>
              <w:rPr>
                <w:color w:val="080C0F" w:themeColor="text1"/>
              </w:rPr>
            </w:pPr>
            <w:r w:rsidRPr="00730DE4">
              <w:rPr>
                <w:color w:val="080C0F" w:themeColor="text1"/>
              </w:rPr>
              <w:t>538,691</w:t>
            </w:r>
          </w:p>
        </w:tc>
        <w:tc>
          <w:tcPr>
            <w:tcW w:w="615" w:type="pct"/>
            <w:tcBorders>
              <w:top w:val="dotted" w:sz="4" w:space="0" w:color="BFBFBF" w:themeColor="background1" w:themeShade="BF"/>
              <w:left w:val="dotted" w:sz="4" w:space="0" w:color="BFBFBF" w:themeColor="background1" w:themeShade="BF"/>
              <w:bottom w:val="dotted" w:sz="4" w:space="0" w:color="BFBFBF" w:themeColor="background1" w:themeShade="BF"/>
            </w:tcBorders>
            <w:shd w:val="clear" w:color="auto" w:fill="auto"/>
            <w:noWrap/>
            <w:vAlign w:val="bottom"/>
            <w:hideMark/>
          </w:tcPr>
          <w:p w14:paraId="715D9BE1" w14:textId="77777777" w:rsidR="00730DE4" w:rsidRPr="00730DE4" w:rsidRDefault="00730DE4" w:rsidP="00F26F78">
            <w:pPr>
              <w:pStyle w:val="NoSpacing"/>
              <w:jc w:val="right"/>
              <w:rPr>
                <w:color w:val="080C0F" w:themeColor="text1"/>
              </w:rPr>
            </w:pPr>
            <w:r w:rsidRPr="00730DE4">
              <w:rPr>
                <w:color w:val="080C0F" w:themeColor="text1"/>
              </w:rPr>
              <w:t>952,000</w:t>
            </w:r>
          </w:p>
        </w:tc>
      </w:tr>
      <w:tr w:rsidR="00730DE4" w:rsidRPr="00730DE4" w14:paraId="3EB934F1" w14:textId="77777777" w:rsidTr="000D6109">
        <w:trPr>
          <w:trHeight w:val="240"/>
        </w:trPr>
        <w:tc>
          <w:tcPr>
            <w:tcW w:w="1798" w:type="pct"/>
            <w:tcBorders>
              <w:top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2B3E9460" w14:textId="77777777" w:rsidR="00730DE4" w:rsidRPr="00730DE4" w:rsidRDefault="00730DE4" w:rsidP="00F26F78">
            <w:pPr>
              <w:pStyle w:val="NoSpacing"/>
              <w:rPr>
                <w:color w:val="080C0F" w:themeColor="text1"/>
              </w:rPr>
            </w:pPr>
            <w:r w:rsidRPr="00730DE4">
              <w:rPr>
                <w:color w:val="080C0F" w:themeColor="text1"/>
              </w:rPr>
              <w:t>New Generation Rollingstock arrangement</w:t>
            </w:r>
          </w:p>
        </w:tc>
        <w:tc>
          <w:tcPr>
            <w:tcW w:w="735"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1ACEE2AC" w14:textId="77777777" w:rsidR="00730DE4" w:rsidRPr="00730DE4" w:rsidRDefault="00730DE4" w:rsidP="00F26F78">
            <w:pPr>
              <w:pStyle w:val="NoSpacing"/>
              <w:jc w:val="right"/>
              <w:rPr>
                <w:color w:val="080C0F" w:themeColor="text1"/>
              </w:rPr>
            </w:pPr>
            <w:r w:rsidRPr="00730DE4">
              <w:rPr>
                <w:color w:val="080C0F" w:themeColor="text1"/>
              </w:rPr>
              <w:t> </w:t>
            </w:r>
          </w:p>
        </w:tc>
        <w:tc>
          <w:tcPr>
            <w:tcW w:w="617"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0DDA9204" w14:textId="77777777" w:rsidR="00730DE4" w:rsidRPr="00730DE4" w:rsidRDefault="00730DE4" w:rsidP="00F26F78">
            <w:pPr>
              <w:pStyle w:val="NoSpacing"/>
              <w:jc w:val="right"/>
              <w:rPr>
                <w:color w:val="080C0F" w:themeColor="text1"/>
              </w:rPr>
            </w:pPr>
            <w:r w:rsidRPr="00730DE4">
              <w:rPr>
                <w:color w:val="080C0F" w:themeColor="text1"/>
              </w:rPr>
              <w:t>69,888</w:t>
            </w:r>
          </w:p>
        </w:tc>
        <w:tc>
          <w:tcPr>
            <w:tcW w:w="617"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15205968" w14:textId="77777777" w:rsidR="00730DE4" w:rsidRPr="00730DE4" w:rsidRDefault="00730DE4" w:rsidP="00F26F78">
            <w:pPr>
              <w:pStyle w:val="NoSpacing"/>
              <w:jc w:val="right"/>
              <w:rPr>
                <w:color w:val="080C0F" w:themeColor="text1"/>
              </w:rPr>
            </w:pPr>
            <w:r w:rsidRPr="00730DE4">
              <w:rPr>
                <w:color w:val="080C0F" w:themeColor="text1"/>
              </w:rPr>
              <w:t>285,319</w:t>
            </w:r>
          </w:p>
        </w:tc>
        <w:tc>
          <w:tcPr>
            <w:tcW w:w="61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151295DE" w14:textId="77777777" w:rsidR="00730DE4" w:rsidRPr="00730DE4" w:rsidRDefault="00730DE4" w:rsidP="00F26F78">
            <w:pPr>
              <w:pStyle w:val="NoSpacing"/>
              <w:jc w:val="right"/>
              <w:rPr>
                <w:color w:val="080C0F" w:themeColor="text1"/>
              </w:rPr>
            </w:pPr>
            <w:r w:rsidRPr="00730DE4">
              <w:rPr>
                <w:color w:val="080C0F" w:themeColor="text1"/>
              </w:rPr>
              <w:t>1,277,892</w:t>
            </w:r>
          </w:p>
        </w:tc>
        <w:tc>
          <w:tcPr>
            <w:tcW w:w="615" w:type="pct"/>
            <w:tcBorders>
              <w:top w:val="dotted" w:sz="4" w:space="0" w:color="BFBFBF" w:themeColor="background1" w:themeShade="BF"/>
              <w:left w:val="dotted" w:sz="4" w:space="0" w:color="BFBFBF" w:themeColor="background1" w:themeShade="BF"/>
              <w:bottom w:val="single" w:sz="4" w:space="0" w:color="auto"/>
            </w:tcBorders>
            <w:shd w:val="clear" w:color="auto" w:fill="auto"/>
            <w:noWrap/>
            <w:vAlign w:val="bottom"/>
            <w:hideMark/>
          </w:tcPr>
          <w:p w14:paraId="050C2A23" w14:textId="77777777" w:rsidR="00730DE4" w:rsidRPr="00730DE4" w:rsidRDefault="00730DE4" w:rsidP="00F26F78">
            <w:pPr>
              <w:pStyle w:val="NoSpacing"/>
              <w:jc w:val="right"/>
              <w:rPr>
                <w:color w:val="080C0F" w:themeColor="text1"/>
              </w:rPr>
            </w:pPr>
            <w:r w:rsidRPr="00730DE4">
              <w:rPr>
                <w:color w:val="080C0F" w:themeColor="text1"/>
              </w:rPr>
              <w:t>1,633,099</w:t>
            </w:r>
          </w:p>
        </w:tc>
      </w:tr>
      <w:tr w:rsidR="00730DE4" w:rsidRPr="00730DE4" w14:paraId="065955A9" w14:textId="77777777" w:rsidTr="000D6109">
        <w:tc>
          <w:tcPr>
            <w:tcW w:w="1798" w:type="pct"/>
            <w:tcBorders>
              <w:top w:val="single" w:sz="4" w:space="0" w:color="auto"/>
              <w:bottom w:val="double" w:sz="4" w:space="0" w:color="auto"/>
              <w:right w:val="dotted" w:sz="4" w:space="0" w:color="BFBFBF" w:themeColor="background1" w:themeShade="BF"/>
            </w:tcBorders>
            <w:shd w:val="clear" w:color="auto" w:fill="auto"/>
            <w:noWrap/>
            <w:hideMark/>
          </w:tcPr>
          <w:p w14:paraId="6230CC2D" w14:textId="77777777" w:rsidR="00730DE4" w:rsidRPr="00730DE4" w:rsidRDefault="00730DE4" w:rsidP="001B0E0D">
            <w:pPr>
              <w:pStyle w:val="NoSpacing"/>
              <w:rPr>
                <w:rStyle w:val="Strong"/>
              </w:rPr>
            </w:pPr>
            <w:r w:rsidRPr="00730DE4">
              <w:rPr>
                <w:rStyle w:val="Strong"/>
              </w:rPr>
              <w:t>Total</w:t>
            </w:r>
          </w:p>
        </w:tc>
        <w:tc>
          <w:tcPr>
            <w:tcW w:w="735"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0515D742" w14:textId="77777777" w:rsidR="00730DE4" w:rsidRPr="00730DE4" w:rsidRDefault="00730DE4" w:rsidP="001B0E0D">
            <w:pPr>
              <w:pStyle w:val="NoSpacing"/>
              <w:jc w:val="right"/>
              <w:rPr>
                <w:color w:val="080C0F" w:themeColor="text1"/>
              </w:rPr>
            </w:pPr>
            <w:r w:rsidRPr="00730DE4">
              <w:rPr>
                <w:color w:val="080C0F" w:themeColor="text1"/>
              </w:rPr>
              <w:t> </w:t>
            </w:r>
          </w:p>
        </w:tc>
        <w:tc>
          <w:tcPr>
            <w:tcW w:w="617"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31EFAA96" w14:textId="77777777" w:rsidR="00730DE4" w:rsidRPr="00730DE4" w:rsidRDefault="00730DE4" w:rsidP="001B0E0D">
            <w:pPr>
              <w:pStyle w:val="NoSpacing"/>
              <w:jc w:val="right"/>
              <w:rPr>
                <w:color w:val="080C0F" w:themeColor="text1"/>
              </w:rPr>
            </w:pPr>
            <w:r w:rsidRPr="00730DE4">
              <w:rPr>
                <w:rStyle w:val="Strong"/>
              </w:rPr>
              <w:t>1,126,563</w:t>
            </w:r>
          </w:p>
        </w:tc>
        <w:tc>
          <w:tcPr>
            <w:tcW w:w="617"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52700B64" w14:textId="77777777" w:rsidR="00730DE4" w:rsidRPr="00730DE4" w:rsidRDefault="00730DE4" w:rsidP="001B0E0D">
            <w:pPr>
              <w:pStyle w:val="NoSpacing"/>
              <w:jc w:val="right"/>
              <w:rPr>
                <w:color w:val="080C0F" w:themeColor="text1"/>
              </w:rPr>
            </w:pPr>
            <w:r w:rsidRPr="00730DE4">
              <w:rPr>
                <w:rStyle w:val="Strong"/>
              </w:rPr>
              <w:t>696,231</w:t>
            </w:r>
          </w:p>
        </w:tc>
        <w:tc>
          <w:tcPr>
            <w:tcW w:w="618"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2F71DF6F" w14:textId="77777777" w:rsidR="00730DE4" w:rsidRPr="00730DE4" w:rsidRDefault="00730DE4" w:rsidP="001B0E0D">
            <w:pPr>
              <w:pStyle w:val="NoSpacing"/>
              <w:jc w:val="right"/>
              <w:rPr>
                <w:color w:val="080C0F" w:themeColor="text1"/>
              </w:rPr>
            </w:pPr>
            <w:r w:rsidRPr="00730DE4">
              <w:rPr>
                <w:rStyle w:val="Strong"/>
              </w:rPr>
              <w:t>1,825,331</w:t>
            </w:r>
          </w:p>
        </w:tc>
        <w:tc>
          <w:tcPr>
            <w:tcW w:w="615" w:type="pct"/>
            <w:tcBorders>
              <w:top w:val="single" w:sz="4" w:space="0" w:color="auto"/>
              <w:left w:val="dotted" w:sz="4" w:space="0" w:color="BFBFBF" w:themeColor="background1" w:themeShade="BF"/>
              <w:bottom w:val="double" w:sz="4" w:space="0" w:color="auto"/>
            </w:tcBorders>
            <w:shd w:val="clear" w:color="auto" w:fill="auto"/>
            <w:noWrap/>
            <w:hideMark/>
          </w:tcPr>
          <w:p w14:paraId="3E957293" w14:textId="77777777" w:rsidR="00730DE4" w:rsidRPr="00730DE4" w:rsidRDefault="00730DE4" w:rsidP="001B0E0D">
            <w:pPr>
              <w:pStyle w:val="NoSpacing"/>
              <w:jc w:val="right"/>
              <w:rPr>
                <w:rStyle w:val="Strong"/>
              </w:rPr>
            </w:pPr>
            <w:r w:rsidRPr="00730DE4">
              <w:rPr>
                <w:rStyle w:val="Strong"/>
              </w:rPr>
              <w:t>3,648,125</w:t>
            </w:r>
          </w:p>
        </w:tc>
      </w:tr>
    </w:tbl>
    <w:p w14:paraId="2C37E938" w14:textId="77777777" w:rsidR="00730DE4" w:rsidRPr="00730DE4" w:rsidRDefault="00730DE4" w:rsidP="00246692">
      <w:pPr>
        <w:pStyle w:val="Heading5"/>
      </w:pPr>
      <w:bookmarkStart w:id="1627" w:name="_Toc180487765"/>
      <w:bookmarkStart w:id="1628" w:name="_Toc180490970"/>
      <w:bookmarkStart w:id="1629" w:name="_Toc180492003"/>
      <w:r w:rsidRPr="00730DE4">
        <w:t>Market risk</w:t>
      </w:r>
      <w:bookmarkEnd w:id="1627"/>
      <w:bookmarkEnd w:id="1628"/>
      <w:bookmarkEnd w:id="1629"/>
    </w:p>
    <w:p w14:paraId="77FAE55A" w14:textId="77777777" w:rsidR="00730DE4" w:rsidRPr="00730DE4" w:rsidRDefault="00730DE4" w:rsidP="003C13D4">
      <w:pPr>
        <w:rPr>
          <w:color w:val="080C0F" w:themeColor="text1"/>
        </w:rPr>
      </w:pPr>
      <w:r w:rsidRPr="00730DE4">
        <w:rPr>
          <w:color w:val="080C0F" w:themeColor="text1"/>
        </w:rPr>
        <w:t>The department does not trade in foreign currency and is not materially exposed to commodity price changes.</w:t>
      </w:r>
    </w:p>
    <w:p w14:paraId="6F3DAFFE" w14:textId="77777777" w:rsidR="00730DE4" w:rsidRPr="00730DE4" w:rsidRDefault="00730DE4" w:rsidP="00246692">
      <w:pPr>
        <w:pStyle w:val="Heading5"/>
      </w:pPr>
      <w:bookmarkStart w:id="1630" w:name="_Toc180487766"/>
      <w:bookmarkStart w:id="1631" w:name="_Toc180490971"/>
      <w:bookmarkStart w:id="1632" w:name="_Toc180492004"/>
      <w:r w:rsidRPr="00730DE4">
        <w:t>Interest rate sensitivity analysis</w:t>
      </w:r>
      <w:bookmarkEnd w:id="1630"/>
      <w:bookmarkEnd w:id="1631"/>
      <w:bookmarkEnd w:id="1632"/>
    </w:p>
    <w:p w14:paraId="2C959EAF" w14:textId="77777777" w:rsidR="00730DE4" w:rsidRPr="00730DE4" w:rsidRDefault="00730DE4" w:rsidP="003C13D4">
      <w:pPr>
        <w:rPr>
          <w:color w:val="080C0F" w:themeColor="text1"/>
        </w:rPr>
      </w:pPr>
      <w:r w:rsidRPr="00730DE4">
        <w:rPr>
          <w:color w:val="080C0F" w:themeColor="text1"/>
        </w:rPr>
        <w:t>The department is exposed to interest rate risk through floating interest rate components for the Toowoomba Bypass and New Generation Rollingstock public private partnerships.</w:t>
      </w:r>
    </w:p>
    <w:p w14:paraId="02F55959" w14:textId="77777777" w:rsidR="00730DE4" w:rsidRPr="00730DE4" w:rsidRDefault="00730DE4" w:rsidP="003C13D4">
      <w:pPr>
        <w:rPr>
          <w:color w:val="080C0F" w:themeColor="text1"/>
        </w:rPr>
      </w:pPr>
      <w:r w:rsidRPr="00730DE4">
        <w:rPr>
          <w:color w:val="080C0F" w:themeColor="text1"/>
        </w:rPr>
        <w:t>The following interest rate sensitivity analysis depicts the outcome on net income if the interest rates would change by +/-1 percent from the year-end rates applicable to the department's financial liabilities. The department would have a surplus and equity increase/(decrease) of $9.316m.</w:t>
      </w:r>
    </w:p>
    <w:p w14:paraId="19716089" w14:textId="77777777" w:rsidR="00730DE4" w:rsidRPr="00730DE4" w:rsidRDefault="00730DE4" w:rsidP="00B61C69">
      <w:pPr>
        <w:pStyle w:val="NoSpacing"/>
      </w:pPr>
    </w:p>
    <w:tbl>
      <w:tblPr>
        <w:tblW w:w="5000" w:type="pct"/>
        <w:tblCellMar>
          <w:top w:w="23" w:type="dxa"/>
          <w:left w:w="23" w:type="dxa"/>
          <w:bottom w:w="23" w:type="dxa"/>
          <w:right w:w="23" w:type="dxa"/>
        </w:tblCellMar>
        <w:tblLook w:val="04A0" w:firstRow="1" w:lastRow="0" w:firstColumn="1" w:lastColumn="0" w:noHBand="0" w:noVBand="1"/>
      </w:tblPr>
      <w:tblGrid>
        <w:gridCol w:w="2903"/>
        <w:gridCol w:w="1259"/>
        <w:gridCol w:w="1227"/>
        <w:gridCol w:w="1227"/>
        <w:gridCol w:w="1227"/>
        <w:gridCol w:w="1227"/>
      </w:tblGrid>
      <w:tr w:rsidR="00730DE4" w:rsidRPr="00730DE4" w14:paraId="0C09B1E7" w14:textId="77777777" w:rsidTr="008A2F83">
        <w:trPr>
          <w:trHeight w:val="23"/>
        </w:trPr>
        <w:tc>
          <w:tcPr>
            <w:tcW w:w="1583" w:type="pct"/>
            <w:tcBorders>
              <w:bottom w:val="single" w:sz="4" w:space="0" w:color="auto"/>
            </w:tcBorders>
            <w:shd w:val="clear" w:color="auto" w:fill="auto"/>
            <w:noWrap/>
            <w:vAlign w:val="bottom"/>
          </w:tcPr>
          <w:p w14:paraId="2D9119E6" w14:textId="77777777" w:rsidR="00730DE4" w:rsidRPr="00730DE4" w:rsidRDefault="00730DE4" w:rsidP="00430365">
            <w:pPr>
              <w:pStyle w:val="NoSpacing"/>
              <w:rPr>
                <w:color w:val="080C0F" w:themeColor="text1"/>
              </w:rPr>
            </w:pPr>
            <w:r w:rsidRPr="00730DE4">
              <w:rPr>
                <w:rStyle w:val="Strong"/>
              </w:rPr>
              <w:t>Financial liabilities</w:t>
            </w:r>
          </w:p>
        </w:tc>
        <w:tc>
          <w:tcPr>
            <w:tcW w:w="698" w:type="pct"/>
            <w:tcBorders>
              <w:bottom w:val="single" w:sz="4" w:space="0" w:color="auto"/>
            </w:tcBorders>
            <w:shd w:val="clear" w:color="auto" w:fill="auto"/>
            <w:noWrap/>
            <w:vAlign w:val="bottom"/>
          </w:tcPr>
          <w:p w14:paraId="329B6AE4" w14:textId="77777777" w:rsidR="00730DE4" w:rsidRPr="00730DE4" w:rsidRDefault="00730DE4" w:rsidP="00430365">
            <w:pPr>
              <w:pStyle w:val="NoSpacing"/>
              <w:jc w:val="right"/>
              <w:rPr>
                <w:color w:val="080C0F" w:themeColor="text1"/>
              </w:rPr>
            </w:pPr>
            <w:r w:rsidRPr="00730DE4">
              <w:rPr>
                <w:rStyle w:val="Strong"/>
              </w:rPr>
              <w:t>Carrying amount</w:t>
            </w:r>
          </w:p>
        </w:tc>
        <w:tc>
          <w:tcPr>
            <w:tcW w:w="680" w:type="pct"/>
            <w:tcBorders>
              <w:bottom w:val="single" w:sz="4" w:space="0" w:color="auto"/>
            </w:tcBorders>
            <w:shd w:val="clear" w:color="auto" w:fill="auto"/>
            <w:noWrap/>
            <w:vAlign w:val="bottom"/>
          </w:tcPr>
          <w:p w14:paraId="0F607A9B" w14:textId="77777777" w:rsidR="00730DE4" w:rsidRPr="00730DE4" w:rsidRDefault="00730DE4" w:rsidP="00430365">
            <w:pPr>
              <w:pStyle w:val="NoSpacing"/>
              <w:jc w:val="right"/>
              <w:rPr>
                <w:color w:val="080C0F" w:themeColor="text1"/>
              </w:rPr>
            </w:pPr>
            <w:r w:rsidRPr="00730DE4">
              <w:rPr>
                <w:rStyle w:val="Strong"/>
              </w:rPr>
              <w:t>Interest rate risk</w:t>
            </w:r>
            <w:r w:rsidRPr="00730DE4">
              <w:rPr>
                <w:rStyle w:val="Strong"/>
              </w:rPr>
              <w:br/>
            </w:r>
            <w:r w:rsidRPr="00730DE4">
              <w:rPr>
                <w:rStyle w:val="Strong"/>
              </w:rPr>
              <w:br/>
              <w:t xml:space="preserve">-1% Profit </w:t>
            </w:r>
            <w:r w:rsidRPr="00730DE4">
              <w:rPr>
                <w:rStyle w:val="Strong"/>
              </w:rPr>
              <w:br/>
            </w:r>
            <w:r w:rsidRPr="00730DE4">
              <w:rPr>
                <w:rStyle w:val="Strong"/>
              </w:rPr>
              <w:br/>
              <w:t>$'000</w:t>
            </w:r>
          </w:p>
        </w:tc>
        <w:tc>
          <w:tcPr>
            <w:tcW w:w="680" w:type="pct"/>
            <w:tcBorders>
              <w:bottom w:val="single" w:sz="4" w:space="0" w:color="auto"/>
            </w:tcBorders>
            <w:shd w:val="clear" w:color="auto" w:fill="auto"/>
            <w:noWrap/>
            <w:vAlign w:val="bottom"/>
          </w:tcPr>
          <w:p w14:paraId="034C549E" w14:textId="77777777" w:rsidR="00730DE4" w:rsidRPr="00730DE4" w:rsidRDefault="00730DE4" w:rsidP="00430365">
            <w:pPr>
              <w:pStyle w:val="NoSpacing"/>
              <w:jc w:val="right"/>
              <w:rPr>
                <w:color w:val="080C0F" w:themeColor="text1"/>
              </w:rPr>
            </w:pPr>
            <w:r w:rsidRPr="00730DE4">
              <w:rPr>
                <w:rStyle w:val="Strong"/>
              </w:rPr>
              <w:t>Interest rate risk</w:t>
            </w:r>
            <w:r w:rsidRPr="00730DE4">
              <w:rPr>
                <w:rStyle w:val="Strong"/>
              </w:rPr>
              <w:br/>
            </w:r>
            <w:r w:rsidRPr="00730DE4">
              <w:rPr>
                <w:rStyle w:val="Strong"/>
              </w:rPr>
              <w:br/>
              <w:t xml:space="preserve">-1% Equity </w:t>
            </w:r>
            <w:r w:rsidRPr="00730DE4">
              <w:rPr>
                <w:rStyle w:val="Strong"/>
              </w:rPr>
              <w:br/>
            </w:r>
            <w:r w:rsidRPr="00730DE4">
              <w:rPr>
                <w:rStyle w:val="Strong"/>
              </w:rPr>
              <w:br/>
              <w:t>$'000</w:t>
            </w:r>
          </w:p>
        </w:tc>
        <w:tc>
          <w:tcPr>
            <w:tcW w:w="680" w:type="pct"/>
            <w:tcBorders>
              <w:bottom w:val="single" w:sz="4" w:space="0" w:color="auto"/>
            </w:tcBorders>
            <w:shd w:val="clear" w:color="auto" w:fill="auto"/>
            <w:noWrap/>
            <w:vAlign w:val="bottom"/>
          </w:tcPr>
          <w:p w14:paraId="2256EFBE" w14:textId="77777777" w:rsidR="00730DE4" w:rsidRPr="00730DE4" w:rsidRDefault="00730DE4" w:rsidP="00430365">
            <w:pPr>
              <w:pStyle w:val="NoSpacing"/>
              <w:jc w:val="right"/>
              <w:rPr>
                <w:color w:val="080C0F" w:themeColor="text1"/>
              </w:rPr>
            </w:pPr>
            <w:r w:rsidRPr="00730DE4">
              <w:rPr>
                <w:rStyle w:val="Strong"/>
              </w:rPr>
              <w:t>Interest rate risk</w:t>
            </w:r>
            <w:r w:rsidRPr="00730DE4">
              <w:rPr>
                <w:rStyle w:val="Strong"/>
              </w:rPr>
              <w:br/>
            </w:r>
            <w:r w:rsidRPr="00730DE4">
              <w:rPr>
                <w:rStyle w:val="Strong"/>
              </w:rPr>
              <w:br/>
              <w:t xml:space="preserve">1% Profit </w:t>
            </w:r>
            <w:r w:rsidRPr="00730DE4">
              <w:rPr>
                <w:rStyle w:val="Strong"/>
              </w:rPr>
              <w:br/>
            </w:r>
            <w:r w:rsidRPr="00730DE4">
              <w:rPr>
                <w:rStyle w:val="Strong"/>
              </w:rPr>
              <w:br/>
              <w:t>$'000</w:t>
            </w:r>
          </w:p>
        </w:tc>
        <w:tc>
          <w:tcPr>
            <w:tcW w:w="680" w:type="pct"/>
            <w:tcBorders>
              <w:bottom w:val="single" w:sz="4" w:space="0" w:color="auto"/>
            </w:tcBorders>
            <w:shd w:val="clear" w:color="auto" w:fill="auto"/>
            <w:noWrap/>
            <w:vAlign w:val="bottom"/>
          </w:tcPr>
          <w:p w14:paraId="7C38044B" w14:textId="77777777" w:rsidR="00730DE4" w:rsidRPr="00730DE4" w:rsidRDefault="00730DE4" w:rsidP="00430365">
            <w:pPr>
              <w:pStyle w:val="NoSpacing"/>
              <w:jc w:val="right"/>
              <w:rPr>
                <w:color w:val="080C0F" w:themeColor="text1"/>
              </w:rPr>
            </w:pPr>
            <w:r w:rsidRPr="00730DE4">
              <w:rPr>
                <w:rStyle w:val="Strong"/>
              </w:rPr>
              <w:t>Interest rate risk</w:t>
            </w:r>
            <w:r w:rsidRPr="00730DE4">
              <w:rPr>
                <w:rStyle w:val="Strong"/>
              </w:rPr>
              <w:br/>
            </w:r>
            <w:r w:rsidRPr="00730DE4">
              <w:rPr>
                <w:rStyle w:val="Strong"/>
              </w:rPr>
              <w:br/>
              <w:t xml:space="preserve"> 1%Equity </w:t>
            </w:r>
            <w:r w:rsidRPr="00730DE4">
              <w:rPr>
                <w:rStyle w:val="Strong"/>
              </w:rPr>
              <w:br/>
            </w:r>
            <w:r w:rsidRPr="00730DE4">
              <w:rPr>
                <w:rStyle w:val="Strong"/>
              </w:rPr>
              <w:br/>
              <w:t>$'000</w:t>
            </w:r>
          </w:p>
        </w:tc>
      </w:tr>
      <w:tr w:rsidR="00730DE4" w:rsidRPr="00730DE4" w14:paraId="36710689" w14:textId="77777777" w:rsidTr="000D6109">
        <w:trPr>
          <w:trHeight w:val="454"/>
        </w:trPr>
        <w:tc>
          <w:tcPr>
            <w:tcW w:w="1583" w:type="pct"/>
            <w:tcBorders>
              <w:top w:val="single" w:sz="4" w:space="0" w:color="auto"/>
              <w:bottom w:val="dotted" w:sz="4" w:space="0" w:color="BFBFBF" w:themeColor="background1" w:themeShade="BF"/>
              <w:right w:val="dotted" w:sz="4" w:space="0" w:color="BFBFBF" w:themeColor="background1" w:themeShade="BF"/>
            </w:tcBorders>
            <w:shd w:val="clear" w:color="auto" w:fill="auto"/>
            <w:noWrap/>
            <w:vAlign w:val="bottom"/>
          </w:tcPr>
          <w:p w14:paraId="6AFA99BF" w14:textId="77777777" w:rsidR="00730DE4" w:rsidRPr="00730DE4" w:rsidRDefault="00730DE4" w:rsidP="00430365">
            <w:pPr>
              <w:pStyle w:val="NoSpacing"/>
              <w:rPr>
                <w:color w:val="080C0F" w:themeColor="text1"/>
              </w:rPr>
            </w:pPr>
            <w:r w:rsidRPr="00730DE4">
              <w:rPr>
                <w:rStyle w:val="Strong"/>
              </w:rPr>
              <w:t>2024</w:t>
            </w:r>
          </w:p>
        </w:tc>
        <w:tc>
          <w:tcPr>
            <w:tcW w:w="698"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2AE92262" w14:textId="77777777" w:rsidR="00730DE4" w:rsidRPr="00730DE4" w:rsidRDefault="00730DE4" w:rsidP="00430365">
            <w:pPr>
              <w:pStyle w:val="NoSpacing"/>
              <w:jc w:val="right"/>
              <w:rPr>
                <w:color w:val="080C0F" w:themeColor="text1"/>
              </w:rPr>
            </w:pPr>
          </w:p>
        </w:tc>
        <w:tc>
          <w:tcPr>
            <w:tcW w:w="680"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4CD8D5F4" w14:textId="77777777" w:rsidR="00730DE4" w:rsidRPr="00730DE4" w:rsidRDefault="00730DE4" w:rsidP="00430365">
            <w:pPr>
              <w:pStyle w:val="NoSpacing"/>
              <w:jc w:val="right"/>
              <w:rPr>
                <w:color w:val="080C0F" w:themeColor="text1"/>
              </w:rPr>
            </w:pPr>
          </w:p>
        </w:tc>
        <w:tc>
          <w:tcPr>
            <w:tcW w:w="680"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3594CF01" w14:textId="77777777" w:rsidR="00730DE4" w:rsidRPr="00730DE4" w:rsidRDefault="00730DE4" w:rsidP="00430365">
            <w:pPr>
              <w:pStyle w:val="NoSpacing"/>
              <w:jc w:val="right"/>
              <w:rPr>
                <w:color w:val="080C0F" w:themeColor="text1"/>
              </w:rPr>
            </w:pPr>
          </w:p>
        </w:tc>
        <w:tc>
          <w:tcPr>
            <w:tcW w:w="680"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28D61947" w14:textId="77777777" w:rsidR="00730DE4" w:rsidRPr="00730DE4" w:rsidRDefault="00730DE4" w:rsidP="00430365">
            <w:pPr>
              <w:pStyle w:val="NoSpacing"/>
              <w:jc w:val="right"/>
              <w:rPr>
                <w:color w:val="080C0F" w:themeColor="text1"/>
              </w:rPr>
            </w:pPr>
          </w:p>
        </w:tc>
        <w:tc>
          <w:tcPr>
            <w:tcW w:w="680" w:type="pct"/>
            <w:tcBorders>
              <w:top w:val="single" w:sz="4" w:space="0" w:color="auto"/>
              <w:left w:val="dotted" w:sz="4" w:space="0" w:color="BFBFBF" w:themeColor="background1" w:themeShade="BF"/>
              <w:bottom w:val="dotted" w:sz="4" w:space="0" w:color="BFBFBF" w:themeColor="background1" w:themeShade="BF"/>
            </w:tcBorders>
            <w:shd w:val="clear" w:color="auto" w:fill="F2F2F2" w:themeFill="background1" w:themeFillShade="F2"/>
            <w:noWrap/>
            <w:vAlign w:val="bottom"/>
          </w:tcPr>
          <w:p w14:paraId="3894904F" w14:textId="77777777" w:rsidR="00730DE4" w:rsidRPr="00730DE4" w:rsidRDefault="00730DE4" w:rsidP="00430365">
            <w:pPr>
              <w:pStyle w:val="NoSpacing"/>
              <w:jc w:val="right"/>
              <w:rPr>
                <w:color w:val="080C0F" w:themeColor="text1"/>
              </w:rPr>
            </w:pPr>
          </w:p>
        </w:tc>
      </w:tr>
      <w:tr w:rsidR="00730DE4" w:rsidRPr="00730DE4" w14:paraId="0445D894" w14:textId="77777777" w:rsidTr="000D6109">
        <w:tc>
          <w:tcPr>
            <w:tcW w:w="1583" w:type="pct"/>
            <w:tcBorders>
              <w:top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29147576" w14:textId="77777777" w:rsidR="00730DE4" w:rsidRPr="00730DE4" w:rsidRDefault="00730DE4" w:rsidP="00430365">
            <w:pPr>
              <w:pStyle w:val="NoSpacing"/>
              <w:rPr>
                <w:color w:val="080C0F" w:themeColor="text1"/>
              </w:rPr>
            </w:pPr>
            <w:r w:rsidRPr="00730DE4">
              <w:rPr>
                <w:color w:val="080C0F" w:themeColor="text1"/>
              </w:rPr>
              <w:t>Toowoomba Bypass</w:t>
            </w:r>
          </w:p>
        </w:tc>
        <w:tc>
          <w:tcPr>
            <w:tcW w:w="69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10EAF27B" w14:textId="77777777" w:rsidR="00730DE4" w:rsidRPr="00730DE4" w:rsidRDefault="00730DE4" w:rsidP="00430365">
            <w:pPr>
              <w:pStyle w:val="NoSpacing"/>
              <w:jc w:val="right"/>
              <w:rPr>
                <w:color w:val="080C0F" w:themeColor="text1"/>
              </w:rPr>
            </w:pPr>
            <w:r w:rsidRPr="00730DE4">
              <w:rPr>
                <w:color w:val="080C0F" w:themeColor="text1"/>
              </w:rPr>
              <w:t xml:space="preserve">383,909 </w:t>
            </w:r>
          </w:p>
        </w:tc>
        <w:tc>
          <w:tcPr>
            <w:tcW w:w="68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20651E85" w14:textId="77777777" w:rsidR="00730DE4" w:rsidRPr="00730DE4" w:rsidRDefault="00730DE4" w:rsidP="00430365">
            <w:pPr>
              <w:pStyle w:val="NoSpacing"/>
              <w:jc w:val="right"/>
              <w:rPr>
                <w:color w:val="080C0F" w:themeColor="text1"/>
              </w:rPr>
            </w:pPr>
            <w:r w:rsidRPr="00730DE4">
              <w:rPr>
                <w:color w:val="080C0F" w:themeColor="text1"/>
              </w:rPr>
              <w:t>(3,839)</w:t>
            </w:r>
          </w:p>
        </w:tc>
        <w:tc>
          <w:tcPr>
            <w:tcW w:w="68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625092E1" w14:textId="77777777" w:rsidR="00730DE4" w:rsidRPr="00730DE4" w:rsidRDefault="00730DE4" w:rsidP="00430365">
            <w:pPr>
              <w:pStyle w:val="NoSpacing"/>
              <w:jc w:val="right"/>
              <w:rPr>
                <w:color w:val="080C0F" w:themeColor="text1"/>
              </w:rPr>
            </w:pPr>
            <w:r w:rsidRPr="00730DE4">
              <w:rPr>
                <w:color w:val="080C0F" w:themeColor="text1"/>
              </w:rPr>
              <w:t>(3,839)</w:t>
            </w:r>
          </w:p>
        </w:tc>
        <w:tc>
          <w:tcPr>
            <w:tcW w:w="68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481FB547" w14:textId="77777777" w:rsidR="00730DE4" w:rsidRPr="00730DE4" w:rsidRDefault="00730DE4" w:rsidP="00430365">
            <w:pPr>
              <w:pStyle w:val="NoSpacing"/>
              <w:jc w:val="right"/>
              <w:rPr>
                <w:color w:val="080C0F" w:themeColor="text1"/>
              </w:rPr>
            </w:pPr>
            <w:r w:rsidRPr="00730DE4">
              <w:rPr>
                <w:color w:val="080C0F" w:themeColor="text1"/>
              </w:rPr>
              <w:t xml:space="preserve">3,839 </w:t>
            </w:r>
          </w:p>
        </w:tc>
        <w:tc>
          <w:tcPr>
            <w:tcW w:w="680" w:type="pct"/>
            <w:tcBorders>
              <w:top w:val="dotted" w:sz="4" w:space="0" w:color="BFBFBF" w:themeColor="background1" w:themeShade="BF"/>
              <w:left w:val="dotted" w:sz="4" w:space="0" w:color="BFBFBF" w:themeColor="background1" w:themeShade="BF"/>
              <w:bottom w:val="dotted" w:sz="4" w:space="0" w:color="BFBFBF" w:themeColor="background1" w:themeShade="BF"/>
            </w:tcBorders>
            <w:shd w:val="clear" w:color="auto" w:fill="F2F2F2" w:themeFill="background1" w:themeFillShade="F2"/>
            <w:noWrap/>
            <w:vAlign w:val="bottom"/>
          </w:tcPr>
          <w:p w14:paraId="037A4215" w14:textId="77777777" w:rsidR="00730DE4" w:rsidRPr="00730DE4" w:rsidRDefault="00730DE4" w:rsidP="00430365">
            <w:pPr>
              <w:pStyle w:val="NoSpacing"/>
              <w:jc w:val="right"/>
              <w:rPr>
                <w:color w:val="080C0F" w:themeColor="text1"/>
              </w:rPr>
            </w:pPr>
            <w:r w:rsidRPr="00730DE4">
              <w:rPr>
                <w:color w:val="080C0F" w:themeColor="text1"/>
              </w:rPr>
              <w:t xml:space="preserve">3,839 </w:t>
            </w:r>
          </w:p>
        </w:tc>
      </w:tr>
      <w:tr w:rsidR="00730DE4" w:rsidRPr="00730DE4" w14:paraId="07C82303" w14:textId="77777777" w:rsidTr="000D6109">
        <w:tc>
          <w:tcPr>
            <w:tcW w:w="1583" w:type="pct"/>
            <w:tcBorders>
              <w:top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06925B0B" w14:textId="77777777" w:rsidR="00730DE4" w:rsidRPr="00730DE4" w:rsidRDefault="00730DE4" w:rsidP="00430365">
            <w:pPr>
              <w:pStyle w:val="NoSpacing"/>
              <w:rPr>
                <w:color w:val="080C0F" w:themeColor="text1"/>
              </w:rPr>
            </w:pPr>
            <w:r w:rsidRPr="00730DE4">
              <w:rPr>
                <w:color w:val="080C0F" w:themeColor="text1"/>
              </w:rPr>
              <w:t>New Generation Rollingstock arrangement</w:t>
            </w:r>
          </w:p>
        </w:tc>
        <w:tc>
          <w:tcPr>
            <w:tcW w:w="69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37BB6E18" w14:textId="77777777" w:rsidR="00730DE4" w:rsidRPr="00730DE4" w:rsidRDefault="00730DE4" w:rsidP="00430365">
            <w:pPr>
              <w:pStyle w:val="NoSpacing"/>
              <w:jc w:val="right"/>
              <w:rPr>
                <w:color w:val="080C0F" w:themeColor="text1"/>
              </w:rPr>
            </w:pPr>
            <w:r w:rsidRPr="00730DE4">
              <w:rPr>
                <w:color w:val="080C0F" w:themeColor="text1"/>
              </w:rPr>
              <w:t xml:space="preserve">547,692 </w:t>
            </w:r>
          </w:p>
        </w:tc>
        <w:tc>
          <w:tcPr>
            <w:tcW w:w="680"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2C7B51EE" w14:textId="77777777" w:rsidR="00730DE4" w:rsidRPr="00730DE4" w:rsidRDefault="00730DE4" w:rsidP="00430365">
            <w:pPr>
              <w:pStyle w:val="NoSpacing"/>
              <w:jc w:val="right"/>
              <w:rPr>
                <w:color w:val="080C0F" w:themeColor="text1"/>
              </w:rPr>
            </w:pPr>
            <w:r w:rsidRPr="00730DE4">
              <w:rPr>
                <w:color w:val="080C0F" w:themeColor="text1"/>
              </w:rPr>
              <w:t>(5,477)</w:t>
            </w:r>
          </w:p>
        </w:tc>
        <w:tc>
          <w:tcPr>
            <w:tcW w:w="680"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1202EEAE" w14:textId="77777777" w:rsidR="00730DE4" w:rsidRPr="00730DE4" w:rsidRDefault="00730DE4" w:rsidP="00430365">
            <w:pPr>
              <w:pStyle w:val="NoSpacing"/>
              <w:jc w:val="right"/>
              <w:rPr>
                <w:color w:val="080C0F" w:themeColor="text1"/>
              </w:rPr>
            </w:pPr>
            <w:r w:rsidRPr="00730DE4">
              <w:rPr>
                <w:color w:val="080C0F" w:themeColor="text1"/>
              </w:rPr>
              <w:t>(5,477)</w:t>
            </w:r>
          </w:p>
        </w:tc>
        <w:tc>
          <w:tcPr>
            <w:tcW w:w="680"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158B4D2C" w14:textId="77777777" w:rsidR="00730DE4" w:rsidRPr="00730DE4" w:rsidRDefault="00730DE4" w:rsidP="00430365">
            <w:pPr>
              <w:pStyle w:val="NoSpacing"/>
              <w:jc w:val="right"/>
              <w:rPr>
                <w:color w:val="080C0F" w:themeColor="text1"/>
              </w:rPr>
            </w:pPr>
            <w:r w:rsidRPr="00730DE4">
              <w:rPr>
                <w:color w:val="080C0F" w:themeColor="text1"/>
              </w:rPr>
              <w:t xml:space="preserve">5,477 </w:t>
            </w:r>
          </w:p>
        </w:tc>
        <w:tc>
          <w:tcPr>
            <w:tcW w:w="680" w:type="pct"/>
            <w:tcBorders>
              <w:top w:val="dotted" w:sz="4" w:space="0" w:color="BFBFBF" w:themeColor="background1" w:themeShade="BF"/>
              <w:left w:val="dotted" w:sz="4" w:space="0" w:color="BFBFBF" w:themeColor="background1" w:themeShade="BF"/>
              <w:bottom w:val="single" w:sz="4" w:space="0" w:color="auto"/>
            </w:tcBorders>
            <w:shd w:val="clear" w:color="auto" w:fill="F2F2F2" w:themeFill="background1" w:themeFillShade="F2"/>
            <w:noWrap/>
            <w:vAlign w:val="bottom"/>
            <w:hideMark/>
          </w:tcPr>
          <w:p w14:paraId="1C1C6129" w14:textId="77777777" w:rsidR="00730DE4" w:rsidRPr="00730DE4" w:rsidRDefault="00730DE4" w:rsidP="00430365">
            <w:pPr>
              <w:pStyle w:val="NoSpacing"/>
              <w:jc w:val="right"/>
              <w:rPr>
                <w:color w:val="080C0F" w:themeColor="text1"/>
              </w:rPr>
            </w:pPr>
            <w:r w:rsidRPr="00730DE4">
              <w:rPr>
                <w:color w:val="080C0F" w:themeColor="text1"/>
              </w:rPr>
              <w:t xml:space="preserve">5,477 </w:t>
            </w:r>
          </w:p>
        </w:tc>
      </w:tr>
      <w:tr w:rsidR="00730DE4" w:rsidRPr="00730DE4" w14:paraId="7F972F33" w14:textId="77777777" w:rsidTr="000D6109">
        <w:tc>
          <w:tcPr>
            <w:tcW w:w="1583" w:type="pct"/>
            <w:tcBorders>
              <w:top w:val="single" w:sz="4" w:space="0" w:color="auto"/>
              <w:bottom w:val="double" w:sz="4" w:space="0" w:color="auto"/>
              <w:right w:val="dotted" w:sz="4" w:space="0" w:color="BFBFBF" w:themeColor="background1" w:themeShade="BF"/>
            </w:tcBorders>
            <w:shd w:val="clear" w:color="auto" w:fill="auto"/>
            <w:noWrap/>
            <w:hideMark/>
          </w:tcPr>
          <w:p w14:paraId="23F3D7A6" w14:textId="77777777" w:rsidR="00730DE4" w:rsidRPr="00730DE4" w:rsidRDefault="00730DE4" w:rsidP="00430365">
            <w:pPr>
              <w:pStyle w:val="NoSpacing"/>
              <w:rPr>
                <w:rStyle w:val="Strong"/>
              </w:rPr>
            </w:pPr>
            <w:r w:rsidRPr="00730DE4">
              <w:rPr>
                <w:rStyle w:val="Strong"/>
              </w:rPr>
              <w:t>Potential impact</w:t>
            </w:r>
          </w:p>
        </w:tc>
        <w:tc>
          <w:tcPr>
            <w:tcW w:w="698"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5CA4BF90" w14:textId="77777777" w:rsidR="00730DE4" w:rsidRPr="00730DE4" w:rsidRDefault="00730DE4" w:rsidP="00430365">
            <w:pPr>
              <w:pStyle w:val="NoSpacing"/>
              <w:jc w:val="right"/>
              <w:rPr>
                <w:color w:val="080C0F" w:themeColor="text1"/>
              </w:rPr>
            </w:pPr>
            <w:r w:rsidRPr="00730DE4">
              <w:rPr>
                <w:color w:val="080C0F" w:themeColor="text1"/>
              </w:rPr>
              <w:t> </w:t>
            </w:r>
          </w:p>
        </w:tc>
        <w:tc>
          <w:tcPr>
            <w:tcW w:w="680"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3755E35C" w14:textId="77777777" w:rsidR="00730DE4" w:rsidRPr="00730DE4" w:rsidRDefault="00730DE4" w:rsidP="00430365">
            <w:pPr>
              <w:pStyle w:val="NoSpacing"/>
              <w:jc w:val="right"/>
              <w:rPr>
                <w:color w:val="080C0F" w:themeColor="text1"/>
              </w:rPr>
            </w:pPr>
            <w:r w:rsidRPr="00730DE4">
              <w:rPr>
                <w:rStyle w:val="Strong"/>
              </w:rPr>
              <w:t>(9,316)</w:t>
            </w:r>
          </w:p>
        </w:tc>
        <w:tc>
          <w:tcPr>
            <w:tcW w:w="680"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75001769" w14:textId="77777777" w:rsidR="00730DE4" w:rsidRPr="00730DE4" w:rsidRDefault="00730DE4" w:rsidP="00430365">
            <w:pPr>
              <w:pStyle w:val="NoSpacing"/>
              <w:jc w:val="right"/>
              <w:rPr>
                <w:color w:val="080C0F" w:themeColor="text1"/>
              </w:rPr>
            </w:pPr>
            <w:r w:rsidRPr="00730DE4">
              <w:rPr>
                <w:rStyle w:val="Strong"/>
              </w:rPr>
              <w:t>(9,316)</w:t>
            </w:r>
          </w:p>
        </w:tc>
        <w:tc>
          <w:tcPr>
            <w:tcW w:w="680"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1F8F12EE" w14:textId="77777777" w:rsidR="00730DE4" w:rsidRPr="00730DE4" w:rsidRDefault="00730DE4" w:rsidP="00430365">
            <w:pPr>
              <w:pStyle w:val="NoSpacing"/>
              <w:jc w:val="right"/>
              <w:rPr>
                <w:color w:val="080C0F" w:themeColor="text1"/>
              </w:rPr>
            </w:pPr>
            <w:r w:rsidRPr="00730DE4">
              <w:rPr>
                <w:rStyle w:val="Strong"/>
              </w:rPr>
              <w:t xml:space="preserve">9,316 </w:t>
            </w:r>
          </w:p>
        </w:tc>
        <w:tc>
          <w:tcPr>
            <w:tcW w:w="680" w:type="pct"/>
            <w:tcBorders>
              <w:top w:val="single" w:sz="4" w:space="0" w:color="auto"/>
              <w:left w:val="dotted" w:sz="4" w:space="0" w:color="BFBFBF" w:themeColor="background1" w:themeShade="BF"/>
              <w:bottom w:val="double" w:sz="4" w:space="0" w:color="auto"/>
            </w:tcBorders>
            <w:shd w:val="clear" w:color="auto" w:fill="F2F2F2" w:themeFill="background1" w:themeFillShade="F2"/>
            <w:noWrap/>
            <w:hideMark/>
          </w:tcPr>
          <w:p w14:paraId="4ED5EAA2" w14:textId="77777777" w:rsidR="00730DE4" w:rsidRPr="00730DE4" w:rsidRDefault="00730DE4" w:rsidP="00430365">
            <w:pPr>
              <w:pStyle w:val="NoSpacing"/>
              <w:jc w:val="right"/>
              <w:rPr>
                <w:rStyle w:val="Strong"/>
              </w:rPr>
            </w:pPr>
            <w:r w:rsidRPr="00730DE4">
              <w:rPr>
                <w:rStyle w:val="Strong"/>
              </w:rPr>
              <w:t xml:space="preserve">9,316 </w:t>
            </w:r>
          </w:p>
        </w:tc>
      </w:tr>
      <w:tr w:rsidR="00730DE4" w:rsidRPr="00730DE4" w14:paraId="54711FE1" w14:textId="77777777" w:rsidTr="000D6109">
        <w:trPr>
          <w:trHeight w:val="454"/>
        </w:trPr>
        <w:tc>
          <w:tcPr>
            <w:tcW w:w="1583" w:type="pct"/>
            <w:tcBorders>
              <w:top w:val="double" w:sz="4" w:space="0" w:color="auto"/>
              <w:bottom w:val="dotted" w:sz="4" w:space="0" w:color="BFBFBF" w:themeColor="background1" w:themeShade="BF"/>
              <w:right w:val="dotted" w:sz="4" w:space="0" w:color="BFBFBF" w:themeColor="background1" w:themeShade="BF"/>
            </w:tcBorders>
            <w:shd w:val="clear" w:color="auto" w:fill="auto"/>
            <w:noWrap/>
            <w:vAlign w:val="bottom"/>
          </w:tcPr>
          <w:p w14:paraId="65FABC60" w14:textId="77777777" w:rsidR="00730DE4" w:rsidRPr="00730DE4" w:rsidRDefault="00730DE4" w:rsidP="00430365">
            <w:pPr>
              <w:pStyle w:val="NoSpacing"/>
              <w:rPr>
                <w:rStyle w:val="Strong"/>
              </w:rPr>
            </w:pPr>
            <w:r w:rsidRPr="00730DE4">
              <w:rPr>
                <w:rStyle w:val="Strong"/>
              </w:rPr>
              <w:t>2023</w:t>
            </w:r>
          </w:p>
        </w:tc>
        <w:tc>
          <w:tcPr>
            <w:tcW w:w="698"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5F198AA9" w14:textId="77777777" w:rsidR="00730DE4" w:rsidRPr="00730DE4" w:rsidRDefault="00730DE4" w:rsidP="00430365">
            <w:pPr>
              <w:pStyle w:val="NoSpacing"/>
              <w:jc w:val="right"/>
              <w:rPr>
                <w:color w:val="080C0F" w:themeColor="text1"/>
              </w:rPr>
            </w:pPr>
          </w:p>
        </w:tc>
        <w:tc>
          <w:tcPr>
            <w:tcW w:w="680"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71E962CA" w14:textId="77777777" w:rsidR="00730DE4" w:rsidRPr="00730DE4" w:rsidRDefault="00730DE4" w:rsidP="00430365">
            <w:pPr>
              <w:pStyle w:val="NoSpacing"/>
              <w:jc w:val="right"/>
              <w:rPr>
                <w:rStyle w:val="Strong"/>
              </w:rPr>
            </w:pPr>
          </w:p>
        </w:tc>
        <w:tc>
          <w:tcPr>
            <w:tcW w:w="680"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217FC0B8" w14:textId="77777777" w:rsidR="00730DE4" w:rsidRPr="00730DE4" w:rsidRDefault="00730DE4" w:rsidP="00430365">
            <w:pPr>
              <w:pStyle w:val="NoSpacing"/>
              <w:jc w:val="right"/>
              <w:rPr>
                <w:rStyle w:val="Strong"/>
              </w:rPr>
            </w:pPr>
          </w:p>
        </w:tc>
        <w:tc>
          <w:tcPr>
            <w:tcW w:w="680"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3D110486" w14:textId="77777777" w:rsidR="00730DE4" w:rsidRPr="00730DE4" w:rsidRDefault="00730DE4" w:rsidP="00430365">
            <w:pPr>
              <w:pStyle w:val="NoSpacing"/>
              <w:jc w:val="right"/>
              <w:rPr>
                <w:rStyle w:val="Strong"/>
              </w:rPr>
            </w:pPr>
          </w:p>
        </w:tc>
        <w:tc>
          <w:tcPr>
            <w:tcW w:w="680" w:type="pct"/>
            <w:tcBorders>
              <w:top w:val="double" w:sz="4" w:space="0" w:color="auto"/>
              <w:left w:val="dotted" w:sz="4" w:space="0" w:color="BFBFBF" w:themeColor="background1" w:themeShade="BF"/>
              <w:bottom w:val="dotted" w:sz="4" w:space="0" w:color="BFBFBF" w:themeColor="background1" w:themeShade="BF"/>
            </w:tcBorders>
            <w:shd w:val="clear" w:color="auto" w:fill="auto"/>
            <w:noWrap/>
            <w:vAlign w:val="bottom"/>
          </w:tcPr>
          <w:p w14:paraId="50E74C90" w14:textId="77777777" w:rsidR="00730DE4" w:rsidRPr="00730DE4" w:rsidRDefault="00730DE4" w:rsidP="00430365">
            <w:pPr>
              <w:pStyle w:val="NoSpacing"/>
              <w:jc w:val="right"/>
              <w:rPr>
                <w:rStyle w:val="Strong"/>
              </w:rPr>
            </w:pPr>
          </w:p>
        </w:tc>
      </w:tr>
      <w:tr w:rsidR="00730DE4" w:rsidRPr="00730DE4" w14:paraId="0399EF4F" w14:textId="77777777" w:rsidTr="000D6109">
        <w:tc>
          <w:tcPr>
            <w:tcW w:w="1583" w:type="pct"/>
            <w:tcBorders>
              <w:top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2E0E657" w14:textId="77777777" w:rsidR="00730DE4" w:rsidRPr="00730DE4" w:rsidRDefault="00730DE4" w:rsidP="00430365">
            <w:pPr>
              <w:pStyle w:val="NoSpacing"/>
              <w:rPr>
                <w:color w:val="080C0F" w:themeColor="text1"/>
              </w:rPr>
            </w:pPr>
            <w:r w:rsidRPr="00730DE4">
              <w:rPr>
                <w:color w:val="080C0F" w:themeColor="text1"/>
              </w:rPr>
              <w:t>Toowoomba Bypass</w:t>
            </w:r>
          </w:p>
        </w:tc>
        <w:tc>
          <w:tcPr>
            <w:tcW w:w="69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8F144C9" w14:textId="77777777" w:rsidR="00730DE4" w:rsidRPr="00730DE4" w:rsidRDefault="00730DE4" w:rsidP="00430365">
            <w:pPr>
              <w:pStyle w:val="NoSpacing"/>
              <w:jc w:val="right"/>
              <w:rPr>
                <w:color w:val="080C0F" w:themeColor="text1"/>
              </w:rPr>
            </w:pPr>
            <w:r w:rsidRPr="00730DE4">
              <w:rPr>
                <w:color w:val="080C0F" w:themeColor="text1"/>
              </w:rPr>
              <w:t xml:space="preserve">394,693 </w:t>
            </w:r>
          </w:p>
        </w:tc>
        <w:tc>
          <w:tcPr>
            <w:tcW w:w="68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AE8C12A" w14:textId="77777777" w:rsidR="00730DE4" w:rsidRPr="00730DE4" w:rsidRDefault="00730DE4" w:rsidP="00430365">
            <w:pPr>
              <w:pStyle w:val="NoSpacing"/>
              <w:jc w:val="right"/>
              <w:rPr>
                <w:color w:val="080C0F" w:themeColor="text1"/>
              </w:rPr>
            </w:pPr>
            <w:r w:rsidRPr="00730DE4">
              <w:rPr>
                <w:color w:val="080C0F" w:themeColor="text1"/>
              </w:rPr>
              <w:t>(3,947)</w:t>
            </w:r>
          </w:p>
        </w:tc>
        <w:tc>
          <w:tcPr>
            <w:tcW w:w="68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E47428D" w14:textId="77777777" w:rsidR="00730DE4" w:rsidRPr="00730DE4" w:rsidRDefault="00730DE4" w:rsidP="00430365">
            <w:pPr>
              <w:pStyle w:val="NoSpacing"/>
              <w:jc w:val="right"/>
              <w:rPr>
                <w:color w:val="080C0F" w:themeColor="text1"/>
              </w:rPr>
            </w:pPr>
            <w:r w:rsidRPr="00730DE4">
              <w:rPr>
                <w:color w:val="080C0F" w:themeColor="text1"/>
              </w:rPr>
              <w:t>(3,947)</w:t>
            </w:r>
          </w:p>
        </w:tc>
        <w:tc>
          <w:tcPr>
            <w:tcW w:w="68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ED0C9FA" w14:textId="77777777" w:rsidR="00730DE4" w:rsidRPr="00730DE4" w:rsidRDefault="00730DE4" w:rsidP="00430365">
            <w:pPr>
              <w:pStyle w:val="NoSpacing"/>
              <w:jc w:val="right"/>
              <w:rPr>
                <w:color w:val="080C0F" w:themeColor="text1"/>
              </w:rPr>
            </w:pPr>
            <w:r w:rsidRPr="00730DE4">
              <w:rPr>
                <w:color w:val="080C0F" w:themeColor="text1"/>
              </w:rPr>
              <w:t xml:space="preserve">3,947 </w:t>
            </w:r>
          </w:p>
        </w:tc>
        <w:tc>
          <w:tcPr>
            <w:tcW w:w="680" w:type="pct"/>
            <w:tcBorders>
              <w:top w:val="dotted" w:sz="4" w:space="0" w:color="BFBFBF" w:themeColor="background1" w:themeShade="BF"/>
              <w:left w:val="dotted" w:sz="4" w:space="0" w:color="BFBFBF" w:themeColor="background1" w:themeShade="BF"/>
              <w:bottom w:val="dotted" w:sz="4" w:space="0" w:color="BFBFBF" w:themeColor="background1" w:themeShade="BF"/>
            </w:tcBorders>
            <w:shd w:val="clear" w:color="auto" w:fill="auto"/>
            <w:noWrap/>
            <w:vAlign w:val="bottom"/>
            <w:hideMark/>
          </w:tcPr>
          <w:p w14:paraId="0AE162DA" w14:textId="77777777" w:rsidR="00730DE4" w:rsidRPr="00730DE4" w:rsidRDefault="00730DE4" w:rsidP="00430365">
            <w:pPr>
              <w:pStyle w:val="NoSpacing"/>
              <w:jc w:val="right"/>
              <w:rPr>
                <w:color w:val="080C0F" w:themeColor="text1"/>
              </w:rPr>
            </w:pPr>
            <w:r w:rsidRPr="00730DE4">
              <w:rPr>
                <w:color w:val="080C0F" w:themeColor="text1"/>
              </w:rPr>
              <w:t xml:space="preserve">3,947 </w:t>
            </w:r>
          </w:p>
        </w:tc>
      </w:tr>
      <w:tr w:rsidR="00730DE4" w:rsidRPr="00730DE4" w14:paraId="64A73820" w14:textId="77777777" w:rsidTr="000D6109">
        <w:tc>
          <w:tcPr>
            <w:tcW w:w="1583" w:type="pct"/>
            <w:tcBorders>
              <w:top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437E6052" w14:textId="77777777" w:rsidR="00730DE4" w:rsidRPr="00730DE4" w:rsidRDefault="00730DE4" w:rsidP="00430365">
            <w:pPr>
              <w:pStyle w:val="NoSpacing"/>
              <w:rPr>
                <w:color w:val="080C0F" w:themeColor="text1"/>
              </w:rPr>
            </w:pPr>
            <w:r w:rsidRPr="00730DE4">
              <w:rPr>
                <w:color w:val="080C0F" w:themeColor="text1"/>
              </w:rPr>
              <w:t>New Generation Rollingstock arrangement</w:t>
            </w:r>
          </w:p>
        </w:tc>
        <w:tc>
          <w:tcPr>
            <w:tcW w:w="698"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62421396" w14:textId="77777777" w:rsidR="00730DE4" w:rsidRPr="00730DE4" w:rsidRDefault="00730DE4" w:rsidP="00430365">
            <w:pPr>
              <w:pStyle w:val="NoSpacing"/>
              <w:jc w:val="right"/>
              <w:rPr>
                <w:color w:val="080C0F" w:themeColor="text1"/>
              </w:rPr>
            </w:pPr>
            <w:r w:rsidRPr="00730DE4">
              <w:rPr>
                <w:color w:val="080C0F" w:themeColor="text1"/>
              </w:rPr>
              <w:t xml:space="preserve">551,381 </w:t>
            </w:r>
          </w:p>
        </w:tc>
        <w:tc>
          <w:tcPr>
            <w:tcW w:w="680"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1BF64D9E" w14:textId="77777777" w:rsidR="00730DE4" w:rsidRPr="00730DE4" w:rsidRDefault="00730DE4" w:rsidP="00430365">
            <w:pPr>
              <w:pStyle w:val="NoSpacing"/>
              <w:jc w:val="right"/>
              <w:rPr>
                <w:color w:val="080C0F" w:themeColor="text1"/>
              </w:rPr>
            </w:pPr>
            <w:r w:rsidRPr="00730DE4">
              <w:rPr>
                <w:color w:val="080C0F" w:themeColor="text1"/>
              </w:rPr>
              <w:t>(5,514)</w:t>
            </w:r>
          </w:p>
        </w:tc>
        <w:tc>
          <w:tcPr>
            <w:tcW w:w="680"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530C5DFF" w14:textId="77777777" w:rsidR="00730DE4" w:rsidRPr="00730DE4" w:rsidRDefault="00730DE4" w:rsidP="00430365">
            <w:pPr>
              <w:pStyle w:val="NoSpacing"/>
              <w:jc w:val="right"/>
              <w:rPr>
                <w:color w:val="080C0F" w:themeColor="text1"/>
              </w:rPr>
            </w:pPr>
            <w:r w:rsidRPr="00730DE4">
              <w:rPr>
                <w:color w:val="080C0F" w:themeColor="text1"/>
              </w:rPr>
              <w:t>(5,514)</w:t>
            </w:r>
          </w:p>
        </w:tc>
        <w:tc>
          <w:tcPr>
            <w:tcW w:w="680"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1C7ED0F0" w14:textId="77777777" w:rsidR="00730DE4" w:rsidRPr="00730DE4" w:rsidRDefault="00730DE4" w:rsidP="00430365">
            <w:pPr>
              <w:pStyle w:val="NoSpacing"/>
              <w:jc w:val="right"/>
              <w:rPr>
                <w:color w:val="080C0F" w:themeColor="text1"/>
              </w:rPr>
            </w:pPr>
            <w:r w:rsidRPr="00730DE4">
              <w:rPr>
                <w:color w:val="080C0F" w:themeColor="text1"/>
              </w:rPr>
              <w:t xml:space="preserve">5,514 </w:t>
            </w:r>
          </w:p>
        </w:tc>
        <w:tc>
          <w:tcPr>
            <w:tcW w:w="680" w:type="pct"/>
            <w:tcBorders>
              <w:top w:val="dotted" w:sz="4" w:space="0" w:color="BFBFBF" w:themeColor="background1" w:themeShade="BF"/>
              <w:left w:val="dotted" w:sz="4" w:space="0" w:color="BFBFBF" w:themeColor="background1" w:themeShade="BF"/>
              <w:bottom w:val="single" w:sz="4" w:space="0" w:color="auto"/>
            </w:tcBorders>
            <w:shd w:val="clear" w:color="auto" w:fill="auto"/>
            <w:noWrap/>
            <w:vAlign w:val="bottom"/>
            <w:hideMark/>
          </w:tcPr>
          <w:p w14:paraId="48223DBC" w14:textId="77777777" w:rsidR="00730DE4" w:rsidRPr="00730DE4" w:rsidRDefault="00730DE4" w:rsidP="00430365">
            <w:pPr>
              <w:pStyle w:val="NoSpacing"/>
              <w:jc w:val="right"/>
              <w:rPr>
                <w:color w:val="080C0F" w:themeColor="text1"/>
              </w:rPr>
            </w:pPr>
            <w:r w:rsidRPr="00730DE4">
              <w:rPr>
                <w:color w:val="080C0F" w:themeColor="text1"/>
              </w:rPr>
              <w:t xml:space="preserve">5,514 </w:t>
            </w:r>
          </w:p>
        </w:tc>
      </w:tr>
      <w:tr w:rsidR="00730DE4" w:rsidRPr="00730DE4" w14:paraId="15ACBE6C" w14:textId="77777777" w:rsidTr="000D6109">
        <w:tc>
          <w:tcPr>
            <w:tcW w:w="1583" w:type="pct"/>
            <w:tcBorders>
              <w:top w:val="single" w:sz="4" w:space="0" w:color="auto"/>
              <w:bottom w:val="double" w:sz="4" w:space="0" w:color="auto"/>
              <w:right w:val="dotted" w:sz="4" w:space="0" w:color="BFBFBF" w:themeColor="background1" w:themeShade="BF"/>
            </w:tcBorders>
            <w:shd w:val="clear" w:color="auto" w:fill="auto"/>
            <w:noWrap/>
            <w:hideMark/>
          </w:tcPr>
          <w:p w14:paraId="7E2113DD" w14:textId="77777777" w:rsidR="00730DE4" w:rsidRPr="00730DE4" w:rsidRDefault="00730DE4" w:rsidP="00430365">
            <w:pPr>
              <w:pStyle w:val="NoSpacing"/>
              <w:rPr>
                <w:rStyle w:val="Strong"/>
              </w:rPr>
            </w:pPr>
            <w:r w:rsidRPr="00730DE4">
              <w:rPr>
                <w:rStyle w:val="Strong"/>
              </w:rPr>
              <w:t>Potential impact</w:t>
            </w:r>
          </w:p>
        </w:tc>
        <w:tc>
          <w:tcPr>
            <w:tcW w:w="698"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5604093C" w14:textId="77777777" w:rsidR="00730DE4" w:rsidRPr="00730DE4" w:rsidRDefault="00730DE4" w:rsidP="00430365">
            <w:pPr>
              <w:pStyle w:val="NoSpacing"/>
              <w:jc w:val="right"/>
              <w:rPr>
                <w:color w:val="080C0F" w:themeColor="text1"/>
              </w:rPr>
            </w:pPr>
            <w:r w:rsidRPr="00730DE4">
              <w:rPr>
                <w:color w:val="080C0F" w:themeColor="text1"/>
              </w:rPr>
              <w:t> </w:t>
            </w:r>
          </w:p>
        </w:tc>
        <w:tc>
          <w:tcPr>
            <w:tcW w:w="680"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73E317B0" w14:textId="77777777" w:rsidR="00730DE4" w:rsidRPr="00730DE4" w:rsidRDefault="00730DE4" w:rsidP="00430365">
            <w:pPr>
              <w:pStyle w:val="NoSpacing"/>
              <w:jc w:val="right"/>
              <w:rPr>
                <w:color w:val="080C0F" w:themeColor="text1"/>
              </w:rPr>
            </w:pPr>
            <w:r w:rsidRPr="00730DE4">
              <w:rPr>
                <w:rStyle w:val="Strong"/>
              </w:rPr>
              <w:t>(9,461)</w:t>
            </w:r>
          </w:p>
        </w:tc>
        <w:tc>
          <w:tcPr>
            <w:tcW w:w="680"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6A10B36C" w14:textId="77777777" w:rsidR="00730DE4" w:rsidRPr="00730DE4" w:rsidRDefault="00730DE4" w:rsidP="00430365">
            <w:pPr>
              <w:pStyle w:val="NoSpacing"/>
              <w:jc w:val="right"/>
              <w:rPr>
                <w:color w:val="080C0F" w:themeColor="text1"/>
              </w:rPr>
            </w:pPr>
            <w:r w:rsidRPr="00730DE4">
              <w:rPr>
                <w:rStyle w:val="Strong"/>
              </w:rPr>
              <w:t>(9,461)</w:t>
            </w:r>
          </w:p>
        </w:tc>
        <w:tc>
          <w:tcPr>
            <w:tcW w:w="680"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hideMark/>
          </w:tcPr>
          <w:p w14:paraId="1DC01313" w14:textId="77777777" w:rsidR="00730DE4" w:rsidRPr="00730DE4" w:rsidRDefault="00730DE4" w:rsidP="00430365">
            <w:pPr>
              <w:pStyle w:val="NoSpacing"/>
              <w:jc w:val="right"/>
              <w:rPr>
                <w:color w:val="080C0F" w:themeColor="text1"/>
              </w:rPr>
            </w:pPr>
            <w:r w:rsidRPr="00730DE4">
              <w:rPr>
                <w:rStyle w:val="Strong"/>
              </w:rPr>
              <w:t xml:space="preserve">9,461 </w:t>
            </w:r>
          </w:p>
        </w:tc>
        <w:tc>
          <w:tcPr>
            <w:tcW w:w="680" w:type="pct"/>
            <w:tcBorders>
              <w:top w:val="single" w:sz="4" w:space="0" w:color="auto"/>
              <w:left w:val="dotted" w:sz="4" w:space="0" w:color="BFBFBF" w:themeColor="background1" w:themeShade="BF"/>
              <w:bottom w:val="double" w:sz="4" w:space="0" w:color="auto"/>
            </w:tcBorders>
            <w:shd w:val="clear" w:color="auto" w:fill="auto"/>
            <w:noWrap/>
            <w:hideMark/>
          </w:tcPr>
          <w:p w14:paraId="6CA87566" w14:textId="77777777" w:rsidR="00730DE4" w:rsidRPr="00730DE4" w:rsidRDefault="00730DE4" w:rsidP="00430365">
            <w:pPr>
              <w:pStyle w:val="NoSpacing"/>
              <w:jc w:val="right"/>
              <w:rPr>
                <w:rStyle w:val="Strong"/>
              </w:rPr>
            </w:pPr>
            <w:r w:rsidRPr="00730DE4">
              <w:rPr>
                <w:rStyle w:val="Strong"/>
              </w:rPr>
              <w:t xml:space="preserve">9,461 </w:t>
            </w:r>
          </w:p>
        </w:tc>
      </w:tr>
    </w:tbl>
    <w:p w14:paraId="1F11EC29" w14:textId="77777777" w:rsidR="00730DE4" w:rsidRPr="00730DE4" w:rsidRDefault="00730DE4" w:rsidP="00246692">
      <w:pPr>
        <w:pStyle w:val="Heading5"/>
      </w:pPr>
      <w:bookmarkStart w:id="1633" w:name="_Toc180487767"/>
      <w:bookmarkStart w:id="1634" w:name="_Toc180490972"/>
      <w:bookmarkStart w:id="1635" w:name="_Toc180492005"/>
      <w:r w:rsidRPr="00730DE4">
        <w:t>Fair value</w:t>
      </w:r>
      <w:bookmarkEnd w:id="1633"/>
      <w:bookmarkEnd w:id="1634"/>
      <w:bookmarkEnd w:id="1635"/>
    </w:p>
    <w:p w14:paraId="0D9D99D8" w14:textId="77777777" w:rsidR="00730DE4" w:rsidRPr="00730DE4" w:rsidRDefault="00730DE4" w:rsidP="00430365">
      <w:pPr>
        <w:rPr>
          <w:color w:val="080C0F" w:themeColor="text1"/>
        </w:rPr>
      </w:pPr>
      <w:r w:rsidRPr="00730DE4">
        <w:rPr>
          <w:color w:val="080C0F" w:themeColor="text1"/>
        </w:rPr>
        <w:t>The department does not recognise any financial assets or financial liabilities at fair value. The fair value of trade receivables and payables is assumed to approximate the value of the original transaction, less any allowance for impairment.</w:t>
      </w:r>
    </w:p>
    <w:p w14:paraId="7223A8BD" w14:textId="77777777" w:rsidR="00730DE4" w:rsidRPr="00730DE4" w:rsidRDefault="00730DE4" w:rsidP="00D16D4F">
      <w:pPr>
        <w:pStyle w:val="Heading4"/>
      </w:pPr>
      <w:r w:rsidRPr="00730DE4">
        <w:br w:type="page"/>
      </w:r>
    </w:p>
    <w:p w14:paraId="5D0D607B" w14:textId="77777777" w:rsidR="00730DE4" w:rsidRPr="00730DE4" w:rsidRDefault="00730DE4" w:rsidP="00D16D4F">
      <w:pPr>
        <w:pStyle w:val="Heading4"/>
      </w:pPr>
      <w:bookmarkStart w:id="1636" w:name="_Toc179365624"/>
      <w:bookmarkStart w:id="1637" w:name="_Toc180490973"/>
      <w:bookmarkStart w:id="1638" w:name="_Toc180492006"/>
      <w:r w:rsidRPr="00730DE4">
        <w:t>28 Schedule of administered items</w:t>
      </w:r>
      <w:bookmarkEnd w:id="1636"/>
      <w:bookmarkEnd w:id="1637"/>
      <w:bookmarkEnd w:id="1638"/>
      <w:r w:rsidRPr="00730DE4">
        <w:t xml:space="preserve"> </w:t>
      </w:r>
    </w:p>
    <w:p w14:paraId="653B3868" w14:textId="77777777" w:rsidR="00730DE4" w:rsidRPr="00730DE4" w:rsidRDefault="00730DE4" w:rsidP="003C13D4">
      <w:pPr>
        <w:rPr>
          <w:color w:val="080C0F" w:themeColor="text1"/>
        </w:rPr>
      </w:pPr>
      <w:r w:rsidRPr="00730DE4">
        <w:rPr>
          <w:color w:val="080C0F" w:themeColor="text1"/>
        </w:rPr>
        <w:t>The department administers, but does not control, certain resources on behalf of the government. In doing so, it has responsibility and is accountable for administering related transactions and balances but does not have the discretion to deploy these resources for the achievement of the department’s objectives.</w:t>
      </w:r>
    </w:p>
    <w:p w14:paraId="2BEFD2F0" w14:textId="77777777" w:rsidR="00730DE4" w:rsidRPr="00730DE4" w:rsidRDefault="00730DE4" w:rsidP="003C13D4">
      <w:pPr>
        <w:rPr>
          <w:color w:val="080C0F" w:themeColor="text1"/>
        </w:rPr>
      </w:pPr>
      <w:r w:rsidRPr="00730DE4">
        <w:rPr>
          <w:color w:val="080C0F" w:themeColor="text1"/>
        </w:rPr>
        <w:t>The department also performs the following certain agency transactions which are not recognised in the department's financial statements:</w:t>
      </w:r>
    </w:p>
    <w:p w14:paraId="2A7BFCE8" w14:textId="77777777" w:rsidR="00730DE4" w:rsidRPr="00730DE4" w:rsidRDefault="00730DE4" w:rsidP="00B6006F">
      <w:pPr>
        <w:pStyle w:val="NoSpacing"/>
      </w:pPr>
    </w:p>
    <w:tbl>
      <w:tblPr>
        <w:tblW w:w="5000" w:type="pct"/>
        <w:tblCellMar>
          <w:top w:w="23" w:type="dxa"/>
          <w:left w:w="23" w:type="dxa"/>
          <w:bottom w:w="23" w:type="dxa"/>
          <w:right w:w="23" w:type="dxa"/>
        </w:tblCellMar>
        <w:tblLook w:val="04A0" w:firstRow="1" w:lastRow="0" w:firstColumn="1" w:lastColumn="0" w:noHBand="0" w:noVBand="1"/>
      </w:tblPr>
      <w:tblGrid>
        <w:gridCol w:w="6835"/>
        <w:gridCol w:w="1119"/>
        <w:gridCol w:w="1116"/>
      </w:tblGrid>
      <w:tr w:rsidR="00730DE4" w:rsidRPr="00730DE4" w14:paraId="6256DE05" w14:textId="77777777" w:rsidTr="008A2F83">
        <w:trPr>
          <w:trHeight w:val="23"/>
        </w:trPr>
        <w:tc>
          <w:tcPr>
            <w:tcW w:w="3768" w:type="pct"/>
            <w:tcBorders>
              <w:top w:val="nil"/>
              <w:left w:val="nil"/>
              <w:bottom w:val="single" w:sz="4" w:space="0" w:color="auto"/>
              <w:right w:val="nil"/>
            </w:tcBorders>
            <w:shd w:val="clear" w:color="auto" w:fill="auto"/>
            <w:noWrap/>
            <w:vAlign w:val="bottom"/>
            <w:hideMark/>
          </w:tcPr>
          <w:p w14:paraId="71A22133" w14:textId="77777777" w:rsidR="00730DE4" w:rsidRPr="00730DE4" w:rsidRDefault="00730DE4" w:rsidP="00430365">
            <w:pPr>
              <w:pStyle w:val="NoSpacing"/>
              <w:rPr>
                <w:color w:val="080C0F" w:themeColor="text1"/>
              </w:rPr>
            </w:pPr>
            <w:r w:rsidRPr="00730DE4">
              <w:rPr>
                <w:rStyle w:val="Strong"/>
              </w:rPr>
              <w:t>Agency</w:t>
            </w:r>
          </w:p>
        </w:tc>
        <w:tc>
          <w:tcPr>
            <w:tcW w:w="617" w:type="pct"/>
            <w:tcBorders>
              <w:top w:val="nil"/>
              <w:left w:val="nil"/>
              <w:bottom w:val="single" w:sz="4" w:space="0" w:color="auto"/>
              <w:right w:val="nil"/>
            </w:tcBorders>
            <w:shd w:val="clear" w:color="auto" w:fill="auto"/>
            <w:noWrap/>
            <w:vAlign w:val="bottom"/>
            <w:hideMark/>
          </w:tcPr>
          <w:p w14:paraId="73E0A852" w14:textId="77777777" w:rsidR="00730DE4" w:rsidRPr="00730DE4" w:rsidRDefault="00730DE4" w:rsidP="00430365">
            <w:pPr>
              <w:pStyle w:val="NoSpacing"/>
              <w:jc w:val="right"/>
              <w:rPr>
                <w:rStyle w:val="Strong"/>
              </w:rPr>
            </w:pPr>
            <w:r w:rsidRPr="00730DE4">
              <w:rPr>
                <w:rStyle w:val="Strong"/>
              </w:rPr>
              <w:t xml:space="preserve">2024 </w:t>
            </w:r>
            <w:r w:rsidRPr="00730DE4">
              <w:rPr>
                <w:rStyle w:val="Strong"/>
              </w:rPr>
              <w:br/>
              <w:t>$'000</w:t>
            </w:r>
          </w:p>
        </w:tc>
        <w:tc>
          <w:tcPr>
            <w:tcW w:w="615" w:type="pct"/>
            <w:tcBorders>
              <w:top w:val="nil"/>
              <w:left w:val="nil"/>
              <w:bottom w:val="single" w:sz="4" w:space="0" w:color="auto"/>
              <w:right w:val="nil"/>
            </w:tcBorders>
            <w:shd w:val="clear" w:color="auto" w:fill="auto"/>
            <w:noWrap/>
            <w:vAlign w:val="bottom"/>
            <w:hideMark/>
          </w:tcPr>
          <w:p w14:paraId="0CA6494E" w14:textId="77777777" w:rsidR="00730DE4" w:rsidRPr="00730DE4" w:rsidRDefault="00730DE4" w:rsidP="00430365">
            <w:pPr>
              <w:pStyle w:val="NoSpacing"/>
              <w:jc w:val="right"/>
              <w:rPr>
                <w:color w:val="080C0F" w:themeColor="text1"/>
              </w:rPr>
            </w:pPr>
            <w:r w:rsidRPr="00730DE4">
              <w:rPr>
                <w:rStyle w:val="Strong"/>
              </w:rPr>
              <w:t xml:space="preserve">2023 </w:t>
            </w:r>
            <w:r w:rsidRPr="00730DE4">
              <w:rPr>
                <w:rStyle w:val="Strong"/>
              </w:rPr>
              <w:br/>
              <w:t>$'000</w:t>
            </w:r>
          </w:p>
        </w:tc>
      </w:tr>
      <w:tr w:rsidR="00730DE4" w:rsidRPr="00730DE4" w14:paraId="287AEB60" w14:textId="77777777" w:rsidTr="008A2F83">
        <w:trPr>
          <w:trHeight w:val="23"/>
        </w:trPr>
        <w:tc>
          <w:tcPr>
            <w:tcW w:w="3768"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399057DC" w14:textId="77777777" w:rsidR="00730DE4" w:rsidRPr="00730DE4" w:rsidRDefault="00730DE4" w:rsidP="00430365">
            <w:pPr>
              <w:pStyle w:val="NoSpacing"/>
              <w:rPr>
                <w:color w:val="080C0F" w:themeColor="text1"/>
              </w:rPr>
            </w:pPr>
            <w:r w:rsidRPr="00730DE4">
              <w:rPr>
                <w:color w:val="080C0F" w:themeColor="text1"/>
              </w:rPr>
              <w:t>Compulsory Third Party (CTP) insurers – premiums</w:t>
            </w:r>
          </w:p>
        </w:tc>
        <w:tc>
          <w:tcPr>
            <w:tcW w:w="617"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18757EE" w14:textId="77777777" w:rsidR="00730DE4" w:rsidRPr="00730DE4" w:rsidRDefault="00730DE4" w:rsidP="00430365">
            <w:pPr>
              <w:pStyle w:val="NoSpacing"/>
              <w:jc w:val="right"/>
              <w:rPr>
                <w:color w:val="080C0F" w:themeColor="text1"/>
              </w:rPr>
            </w:pPr>
            <w:r w:rsidRPr="00730DE4">
              <w:rPr>
                <w:color w:val="080C0F" w:themeColor="text1"/>
              </w:rPr>
              <w:t xml:space="preserve">1,158,333 </w:t>
            </w:r>
          </w:p>
        </w:tc>
        <w:tc>
          <w:tcPr>
            <w:tcW w:w="615"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0452A76" w14:textId="77777777" w:rsidR="00730DE4" w:rsidRPr="00730DE4" w:rsidRDefault="00730DE4" w:rsidP="00430365">
            <w:pPr>
              <w:pStyle w:val="NoSpacing"/>
              <w:jc w:val="right"/>
              <w:rPr>
                <w:color w:val="080C0F" w:themeColor="text1"/>
              </w:rPr>
            </w:pPr>
            <w:r w:rsidRPr="00730DE4">
              <w:rPr>
                <w:color w:val="080C0F" w:themeColor="text1"/>
              </w:rPr>
              <w:t xml:space="preserve">1,119,979 </w:t>
            </w:r>
          </w:p>
        </w:tc>
      </w:tr>
      <w:tr w:rsidR="00730DE4" w:rsidRPr="00730DE4" w14:paraId="0A7DBC8E" w14:textId="77777777" w:rsidTr="008A2F83">
        <w:trPr>
          <w:trHeight w:val="23"/>
        </w:trPr>
        <w:tc>
          <w:tcPr>
            <w:tcW w:w="376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0EA49B1E" w14:textId="77777777" w:rsidR="00730DE4" w:rsidRPr="00730DE4" w:rsidRDefault="00730DE4" w:rsidP="00430365">
            <w:pPr>
              <w:pStyle w:val="NoSpacing"/>
              <w:rPr>
                <w:color w:val="080C0F" w:themeColor="text1"/>
              </w:rPr>
            </w:pPr>
            <w:r w:rsidRPr="00730DE4">
              <w:rPr>
                <w:color w:val="080C0F" w:themeColor="text1"/>
              </w:rPr>
              <w:t>Motor Accident Insurance Commission – levy</w:t>
            </w:r>
          </w:p>
        </w:tc>
        <w:tc>
          <w:tcPr>
            <w:tcW w:w="61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BDF8E2F" w14:textId="77777777" w:rsidR="00730DE4" w:rsidRPr="00730DE4" w:rsidRDefault="00730DE4" w:rsidP="00430365">
            <w:pPr>
              <w:pStyle w:val="NoSpacing"/>
              <w:jc w:val="right"/>
              <w:rPr>
                <w:color w:val="080C0F" w:themeColor="text1"/>
              </w:rPr>
            </w:pPr>
            <w:r w:rsidRPr="00730DE4">
              <w:rPr>
                <w:color w:val="080C0F" w:themeColor="text1"/>
              </w:rPr>
              <w:t xml:space="preserve">101,063 </w:t>
            </w:r>
          </w:p>
        </w:tc>
        <w:tc>
          <w:tcPr>
            <w:tcW w:w="615"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A5E9B6F" w14:textId="77777777" w:rsidR="00730DE4" w:rsidRPr="00730DE4" w:rsidRDefault="00730DE4" w:rsidP="00430365">
            <w:pPr>
              <w:pStyle w:val="NoSpacing"/>
              <w:jc w:val="right"/>
              <w:rPr>
                <w:color w:val="080C0F" w:themeColor="text1"/>
              </w:rPr>
            </w:pPr>
            <w:r w:rsidRPr="00730DE4">
              <w:rPr>
                <w:color w:val="080C0F" w:themeColor="text1"/>
              </w:rPr>
              <w:t xml:space="preserve">94,802 </w:t>
            </w:r>
          </w:p>
        </w:tc>
      </w:tr>
      <w:tr w:rsidR="00730DE4" w:rsidRPr="00730DE4" w14:paraId="2B810509" w14:textId="77777777" w:rsidTr="008A2F83">
        <w:trPr>
          <w:trHeight w:val="23"/>
        </w:trPr>
        <w:tc>
          <w:tcPr>
            <w:tcW w:w="376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14B75527" w14:textId="77777777" w:rsidR="00730DE4" w:rsidRPr="00730DE4" w:rsidRDefault="00730DE4" w:rsidP="00430365">
            <w:pPr>
              <w:pStyle w:val="NoSpacing"/>
              <w:rPr>
                <w:color w:val="080C0F" w:themeColor="text1"/>
              </w:rPr>
            </w:pPr>
            <w:r w:rsidRPr="00730DE4">
              <w:rPr>
                <w:color w:val="080C0F" w:themeColor="text1"/>
              </w:rPr>
              <w:t xml:space="preserve">National Injury Insurance Agency Queensland – levy </w:t>
            </w:r>
          </w:p>
        </w:tc>
        <w:tc>
          <w:tcPr>
            <w:tcW w:w="61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84A6A2B" w14:textId="77777777" w:rsidR="00730DE4" w:rsidRPr="00730DE4" w:rsidRDefault="00730DE4" w:rsidP="00430365">
            <w:pPr>
              <w:pStyle w:val="NoSpacing"/>
              <w:jc w:val="right"/>
              <w:rPr>
                <w:color w:val="080C0F" w:themeColor="text1"/>
              </w:rPr>
            </w:pPr>
            <w:r w:rsidRPr="00730DE4">
              <w:rPr>
                <w:color w:val="080C0F" w:themeColor="text1"/>
              </w:rPr>
              <w:t xml:space="preserve">608,411 </w:t>
            </w:r>
          </w:p>
        </w:tc>
        <w:tc>
          <w:tcPr>
            <w:tcW w:w="615"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9D7EBE2" w14:textId="77777777" w:rsidR="00730DE4" w:rsidRPr="00730DE4" w:rsidRDefault="00730DE4" w:rsidP="00430365">
            <w:pPr>
              <w:pStyle w:val="NoSpacing"/>
              <w:jc w:val="right"/>
              <w:rPr>
                <w:color w:val="080C0F" w:themeColor="text1"/>
              </w:rPr>
            </w:pPr>
            <w:r w:rsidRPr="00730DE4">
              <w:rPr>
                <w:color w:val="080C0F" w:themeColor="text1"/>
              </w:rPr>
              <w:t xml:space="preserve">565,943 </w:t>
            </w:r>
          </w:p>
        </w:tc>
      </w:tr>
      <w:tr w:rsidR="00730DE4" w:rsidRPr="00730DE4" w14:paraId="5369EF43" w14:textId="77777777" w:rsidTr="008A2F83">
        <w:trPr>
          <w:trHeight w:val="23"/>
        </w:trPr>
        <w:tc>
          <w:tcPr>
            <w:tcW w:w="376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0FAAEC23" w14:textId="77777777" w:rsidR="00730DE4" w:rsidRPr="00730DE4" w:rsidRDefault="00730DE4" w:rsidP="00430365">
            <w:pPr>
              <w:pStyle w:val="NoSpacing"/>
              <w:rPr>
                <w:color w:val="080C0F" w:themeColor="text1"/>
              </w:rPr>
            </w:pPr>
            <w:r w:rsidRPr="00730DE4">
              <w:rPr>
                <w:color w:val="080C0F" w:themeColor="text1"/>
              </w:rPr>
              <w:t>Queensland Revenue Office – stamp duty, fines and penalties</w:t>
            </w:r>
          </w:p>
        </w:tc>
        <w:tc>
          <w:tcPr>
            <w:tcW w:w="61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B31A13B" w14:textId="77777777" w:rsidR="00730DE4" w:rsidRPr="00730DE4" w:rsidRDefault="00730DE4" w:rsidP="00430365">
            <w:pPr>
              <w:pStyle w:val="NoSpacing"/>
              <w:jc w:val="right"/>
              <w:rPr>
                <w:color w:val="080C0F" w:themeColor="text1"/>
              </w:rPr>
            </w:pPr>
            <w:r w:rsidRPr="00730DE4">
              <w:rPr>
                <w:color w:val="080C0F" w:themeColor="text1"/>
              </w:rPr>
              <w:t xml:space="preserve">894,883 </w:t>
            </w:r>
          </w:p>
        </w:tc>
        <w:tc>
          <w:tcPr>
            <w:tcW w:w="615"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A0315D9" w14:textId="77777777" w:rsidR="00730DE4" w:rsidRPr="00730DE4" w:rsidRDefault="00730DE4" w:rsidP="00430365">
            <w:pPr>
              <w:pStyle w:val="NoSpacing"/>
              <w:jc w:val="right"/>
              <w:rPr>
                <w:color w:val="080C0F" w:themeColor="text1"/>
              </w:rPr>
            </w:pPr>
            <w:r w:rsidRPr="00730DE4">
              <w:rPr>
                <w:color w:val="080C0F" w:themeColor="text1"/>
              </w:rPr>
              <w:t xml:space="preserve">793,082 </w:t>
            </w:r>
          </w:p>
        </w:tc>
      </w:tr>
      <w:tr w:rsidR="00730DE4" w:rsidRPr="00730DE4" w14:paraId="1FA40050" w14:textId="77777777" w:rsidTr="000D6109">
        <w:trPr>
          <w:trHeight w:val="23"/>
        </w:trPr>
        <w:tc>
          <w:tcPr>
            <w:tcW w:w="376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20CB77B" w14:textId="77777777" w:rsidR="00730DE4" w:rsidRPr="00730DE4" w:rsidRDefault="00730DE4" w:rsidP="00430365">
            <w:pPr>
              <w:pStyle w:val="NoSpacing"/>
              <w:rPr>
                <w:color w:val="080C0F" w:themeColor="text1"/>
              </w:rPr>
            </w:pPr>
            <w:r w:rsidRPr="00730DE4">
              <w:rPr>
                <w:color w:val="080C0F" w:themeColor="text1"/>
              </w:rPr>
              <w:t>National Heavy Vehicle Regulator – registration fee</w:t>
            </w:r>
          </w:p>
        </w:tc>
        <w:tc>
          <w:tcPr>
            <w:tcW w:w="61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CE7B0DD" w14:textId="77777777" w:rsidR="00730DE4" w:rsidRPr="00730DE4" w:rsidRDefault="00730DE4" w:rsidP="00430365">
            <w:pPr>
              <w:pStyle w:val="NoSpacing"/>
              <w:jc w:val="right"/>
              <w:rPr>
                <w:color w:val="080C0F" w:themeColor="text1"/>
              </w:rPr>
            </w:pPr>
            <w:r w:rsidRPr="00730DE4">
              <w:rPr>
                <w:color w:val="080C0F" w:themeColor="text1"/>
              </w:rPr>
              <w:t xml:space="preserve">49,112 </w:t>
            </w:r>
          </w:p>
        </w:tc>
        <w:tc>
          <w:tcPr>
            <w:tcW w:w="615"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F78FD8E" w14:textId="77777777" w:rsidR="00730DE4" w:rsidRPr="00730DE4" w:rsidRDefault="00730DE4" w:rsidP="00430365">
            <w:pPr>
              <w:pStyle w:val="NoSpacing"/>
              <w:jc w:val="right"/>
              <w:rPr>
                <w:color w:val="080C0F" w:themeColor="text1"/>
              </w:rPr>
            </w:pPr>
            <w:r w:rsidRPr="00730DE4">
              <w:rPr>
                <w:color w:val="080C0F" w:themeColor="text1"/>
              </w:rPr>
              <w:t xml:space="preserve">48,074 </w:t>
            </w:r>
          </w:p>
        </w:tc>
      </w:tr>
      <w:tr w:rsidR="00730DE4" w:rsidRPr="00730DE4" w14:paraId="32C6D99D" w14:textId="77777777" w:rsidTr="000D6109">
        <w:trPr>
          <w:trHeight w:val="23"/>
        </w:trPr>
        <w:tc>
          <w:tcPr>
            <w:tcW w:w="3768"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71ACBABA" w14:textId="77777777" w:rsidR="00730DE4" w:rsidRPr="00730DE4" w:rsidRDefault="00730DE4" w:rsidP="00430365">
            <w:pPr>
              <w:pStyle w:val="NoSpacing"/>
              <w:rPr>
                <w:color w:val="080C0F" w:themeColor="text1"/>
              </w:rPr>
            </w:pPr>
            <w:r w:rsidRPr="00730DE4">
              <w:rPr>
                <w:color w:val="080C0F" w:themeColor="text1"/>
              </w:rPr>
              <w:t>Collections by Smart Service Queensland *</w:t>
            </w:r>
          </w:p>
        </w:tc>
        <w:tc>
          <w:tcPr>
            <w:tcW w:w="617"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0A845E38" w14:textId="77777777" w:rsidR="00730DE4" w:rsidRPr="00730DE4" w:rsidRDefault="00730DE4" w:rsidP="00430365">
            <w:pPr>
              <w:pStyle w:val="NoSpacing"/>
              <w:jc w:val="right"/>
              <w:rPr>
                <w:color w:val="080C0F" w:themeColor="text1"/>
              </w:rPr>
            </w:pPr>
            <w:r w:rsidRPr="00730DE4">
              <w:rPr>
                <w:color w:val="080C0F" w:themeColor="text1"/>
              </w:rPr>
              <w:t xml:space="preserve">500,864 </w:t>
            </w:r>
          </w:p>
        </w:tc>
        <w:tc>
          <w:tcPr>
            <w:tcW w:w="615"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131F4C82" w14:textId="77777777" w:rsidR="00730DE4" w:rsidRPr="00730DE4" w:rsidRDefault="00730DE4" w:rsidP="00430365">
            <w:pPr>
              <w:pStyle w:val="NoSpacing"/>
              <w:jc w:val="right"/>
              <w:rPr>
                <w:color w:val="080C0F" w:themeColor="text1"/>
              </w:rPr>
            </w:pPr>
            <w:r w:rsidRPr="00730DE4">
              <w:rPr>
                <w:color w:val="080C0F" w:themeColor="text1"/>
              </w:rPr>
              <w:t xml:space="preserve">- </w:t>
            </w:r>
          </w:p>
        </w:tc>
      </w:tr>
      <w:tr w:rsidR="00730DE4" w:rsidRPr="00730DE4" w14:paraId="47B5A228" w14:textId="77777777" w:rsidTr="000D6109">
        <w:tc>
          <w:tcPr>
            <w:tcW w:w="3768"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11973354" w14:textId="77777777" w:rsidR="00730DE4" w:rsidRPr="00730DE4" w:rsidRDefault="00730DE4" w:rsidP="00362B44">
            <w:pPr>
              <w:pStyle w:val="NoSpacing"/>
              <w:rPr>
                <w:color w:val="080C0F" w:themeColor="text1"/>
              </w:rPr>
            </w:pPr>
            <w:r w:rsidRPr="00730DE4">
              <w:rPr>
                <w:rStyle w:val="Strong"/>
              </w:rPr>
              <w:t>Total</w:t>
            </w:r>
          </w:p>
        </w:tc>
        <w:tc>
          <w:tcPr>
            <w:tcW w:w="617"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7098E871" w14:textId="77777777" w:rsidR="00730DE4" w:rsidRPr="00730DE4" w:rsidRDefault="00730DE4" w:rsidP="00362B44">
            <w:pPr>
              <w:pStyle w:val="NoSpacing"/>
              <w:jc w:val="right"/>
              <w:rPr>
                <w:rStyle w:val="Strong"/>
              </w:rPr>
            </w:pPr>
            <w:r w:rsidRPr="00730DE4">
              <w:rPr>
                <w:rStyle w:val="Strong"/>
              </w:rPr>
              <w:t xml:space="preserve">3,312,666 </w:t>
            </w:r>
          </w:p>
        </w:tc>
        <w:tc>
          <w:tcPr>
            <w:tcW w:w="615" w:type="pct"/>
            <w:tcBorders>
              <w:top w:val="single" w:sz="4" w:space="0" w:color="auto"/>
              <w:left w:val="dotted" w:sz="4" w:space="0" w:color="BFBFBF" w:themeColor="background1" w:themeShade="BF"/>
              <w:bottom w:val="double" w:sz="4" w:space="0" w:color="auto"/>
              <w:right w:val="nil"/>
            </w:tcBorders>
            <w:shd w:val="clear" w:color="auto" w:fill="auto"/>
            <w:noWrap/>
            <w:hideMark/>
          </w:tcPr>
          <w:p w14:paraId="351A2978" w14:textId="77777777" w:rsidR="00730DE4" w:rsidRPr="00730DE4" w:rsidRDefault="00730DE4" w:rsidP="00362B44">
            <w:pPr>
              <w:pStyle w:val="NoSpacing"/>
              <w:jc w:val="right"/>
              <w:rPr>
                <w:rStyle w:val="Strong"/>
              </w:rPr>
            </w:pPr>
            <w:r w:rsidRPr="00730DE4">
              <w:rPr>
                <w:rStyle w:val="Strong"/>
              </w:rPr>
              <w:t xml:space="preserve">2,621,880 </w:t>
            </w:r>
          </w:p>
        </w:tc>
      </w:tr>
    </w:tbl>
    <w:p w14:paraId="1E1AAFE6" w14:textId="77777777" w:rsidR="00730DE4" w:rsidRPr="00730DE4" w:rsidRDefault="00730DE4" w:rsidP="00390F2D">
      <w:pPr>
        <w:pStyle w:val="List0"/>
      </w:pPr>
      <w:r w:rsidRPr="00730DE4">
        <w:t>* Smart Service Queensland acts as an agent for collection and payment processing services, and undertakes various transactions on behalf of Queensland Government agencies and its clients.</w:t>
      </w:r>
    </w:p>
    <w:p w14:paraId="00DADC75" w14:textId="77777777" w:rsidR="00730DE4" w:rsidRPr="00730DE4" w:rsidRDefault="00730DE4" w:rsidP="003C13D4">
      <w:pPr>
        <w:rPr>
          <w:color w:val="080C0F" w:themeColor="text1"/>
        </w:rPr>
      </w:pPr>
      <w:r w:rsidRPr="00730DE4">
        <w:rPr>
          <w:color w:val="080C0F" w:themeColor="text1"/>
        </w:rPr>
        <w:t xml:space="preserve">Administered revenue is recognised upon receipt. </w:t>
      </w:r>
    </w:p>
    <w:p w14:paraId="67481612" w14:textId="77777777" w:rsidR="00730DE4" w:rsidRPr="00730DE4" w:rsidRDefault="00730DE4" w:rsidP="003C13D4">
      <w:pPr>
        <w:rPr>
          <w:color w:val="080C0F" w:themeColor="text1"/>
        </w:rPr>
      </w:pPr>
      <w:r w:rsidRPr="00730DE4">
        <w:rPr>
          <w:color w:val="080C0F" w:themeColor="text1"/>
        </w:rPr>
        <w:t>The following balances are administered by the department on behalf of the state and mainly relate to the Transport Safety and Regulation departmental service area.</w:t>
      </w:r>
    </w:p>
    <w:p w14:paraId="538398C4" w14:textId="77777777" w:rsidR="00730DE4" w:rsidRPr="00730DE4" w:rsidRDefault="00730DE4" w:rsidP="00B6006F">
      <w:pPr>
        <w:pStyle w:val="NoSpacing"/>
      </w:pPr>
    </w:p>
    <w:tbl>
      <w:tblPr>
        <w:tblW w:w="5000" w:type="pct"/>
        <w:tblCellMar>
          <w:top w:w="23" w:type="dxa"/>
          <w:left w:w="23" w:type="dxa"/>
          <w:bottom w:w="23" w:type="dxa"/>
          <w:right w:w="23" w:type="dxa"/>
        </w:tblCellMar>
        <w:tblLook w:val="04A0" w:firstRow="1" w:lastRow="0" w:firstColumn="1" w:lastColumn="0" w:noHBand="0" w:noVBand="1"/>
      </w:tblPr>
      <w:tblGrid>
        <w:gridCol w:w="6835"/>
        <w:gridCol w:w="1119"/>
        <w:gridCol w:w="1116"/>
      </w:tblGrid>
      <w:tr w:rsidR="00730DE4" w:rsidRPr="00730DE4" w14:paraId="41488480" w14:textId="77777777" w:rsidTr="008A2F83">
        <w:trPr>
          <w:trHeight w:val="240"/>
        </w:trPr>
        <w:tc>
          <w:tcPr>
            <w:tcW w:w="3768" w:type="pct"/>
            <w:tcBorders>
              <w:top w:val="nil"/>
              <w:left w:val="nil"/>
              <w:bottom w:val="single" w:sz="4" w:space="0" w:color="auto"/>
              <w:right w:val="nil"/>
            </w:tcBorders>
            <w:shd w:val="clear" w:color="auto" w:fill="auto"/>
            <w:noWrap/>
            <w:vAlign w:val="bottom"/>
            <w:hideMark/>
          </w:tcPr>
          <w:p w14:paraId="7A886F8A" w14:textId="77777777" w:rsidR="00730DE4" w:rsidRPr="00730DE4" w:rsidRDefault="00730DE4" w:rsidP="00362B44">
            <w:pPr>
              <w:pStyle w:val="NoSpacing"/>
              <w:rPr>
                <w:b/>
                <w:bCs/>
              </w:rPr>
            </w:pPr>
          </w:p>
        </w:tc>
        <w:tc>
          <w:tcPr>
            <w:tcW w:w="617" w:type="pct"/>
            <w:tcBorders>
              <w:top w:val="nil"/>
              <w:left w:val="nil"/>
              <w:bottom w:val="single" w:sz="4" w:space="0" w:color="auto"/>
              <w:right w:val="nil"/>
            </w:tcBorders>
            <w:shd w:val="clear" w:color="auto" w:fill="auto"/>
            <w:noWrap/>
            <w:vAlign w:val="bottom"/>
            <w:hideMark/>
          </w:tcPr>
          <w:p w14:paraId="5F2C0741" w14:textId="77777777" w:rsidR="00730DE4" w:rsidRPr="00730DE4" w:rsidRDefault="00730DE4" w:rsidP="00362B44">
            <w:pPr>
              <w:pStyle w:val="NoSpacing"/>
              <w:jc w:val="right"/>
              <w:rPr>
                <w:rStyle w:val="Strong"/>
              </w:rPr>
            </w:pPr>
            <w:r w:rsidRPr="00730DE4">
              <w:rPr>
                <w:rStyle w:val="Strong"/>
              </w:rPr>
              <w:t xml:space="preserve">2024 </w:t>
            </w:r>
            <w:r w:rsidRPr="00730DE4">
              <w:rPr>
                <w:rStyle w:val="Strong"/>
              </w:rPr>
              <w:br/>
              <w:t>$'000</w:t>
            </w:r>
          </w:p>
        </w:tc>
        <w:tc>
          <w:tcPr>
            <w:tcW w:w="615" w:type="pct"/>
            <w:tcBorders>
              <w:top w:val="nil"/>
              <w:left w:val="nil"/>
              <w:bottom w:val="single" w:sz="4" w:space="0" w:color="auto"/>
              <w:right w:val="nil"/>
            </w:tcBorders>
            <w:shd w:val="clear" w:color="auto" w:fill="auto"/>
            <w:noWrap/>
            <w:vAlign w:val="bottom"/>
            <w:hideMark/>
          </w:tcPr>
          <w:p w14:paraId="371F27D9" w14:textId="77777777" w:rsidR="00730DE4" w:rsidRPr="00730DE4" w:rsidRDefault="00730DE4" w:rsidP="00362B44">
            <w:pPr>
              <w:pStyle w:val="NoSpacing"/>
              <w:jc w:val="right"/>
            </w:pPr>
            <w:r w:rsidRPr="00730DE4">
              <w:rPr>
                <w:rStyle w:val="Strong"/>
              </w:rPr>
              <w:t xml:space="preserve">2023 </w:t>
            </w:r>
            <w:r w:rsidRPr="00730DE4">
              <w:rPr>
                <w:rStyle w:val="Strong"/>
              </w:rPr>
              <w:br/>
              <w:t>$'000</w:t>
            </w:r>
          </w:p>
        </w:tc>
      </w:tr>
      <w:tr w:rsidR="00730DE4" w:rsidRPr="00730DE4" w14:paraId="7E16DBBB" w14:textId="77777777" w:rsidTr="00163849">
        <w:trPr>
          <w:trHeight w:val="454"/>
        </w:trPr>
        <w:tc>
          <w:tcPr>
            <w:tcW w:w="3768" w:type="pct"/>
            <w:tcBorders>
              <w:top w:val="single" w:sz="4" w:space="0" w:color="auto"/>
              <w:left w:val="nil"/>
              <w:right w:val="nil"/>
            </w:tcBorders>
            <w:shd w:val="clear" w:color="auto" w:fill="auto"/>
            <w:noWrap/>
            <w:vAlign w:val="bottom"/>
          </w:tcPr>
          <w:p w14:paraId="16100615" w14:textId="77777777" w:rsidR="00730DE4" w:rsidRPr="00730DE4" w:rsidRDefault="00730DE4" w:rsidP="00362B44">
            <w:pPr>
              <w:pStyle w:val="NoSpacing"/>
              <w:rPr>
                <w:rStyle w:val="Strong"/>
              </w:rPr>
            </w:pPr>
            <w:r w:rsidRPr="00730DE4">
              <w:rPr>
                <w:rStyle w:val="Strong"/>
              </w:rPr>
              <w:t>Administered income</w:t>
            </w:r>
          </w:p>
        </w:tc>
        <w:tc>
          <w:tcPr>
            <w:tcW w:w="617" w:type="pct"/>
            <w:tcBorders>
              <w:top w:val="single" w:sz="4" w:space="0" w:color="auto"/>
              <w:left w:val="nil"/>
              <w:right w:val="nil"/>
            </w:tcBorders>
            <w:shd w:val="clear" w:color="auto" w:fill="F2F2F2" w:themeFill="background1" w:themeFillShade="F2"/>
            <w:noWrap/>
            <w:vAlign w:val="bottom"/>
          </w:tcPr>
          <w:p w14:paraId="7FC61676" w14:textId="77777777" w:rsidR="00730DE4" w:rsidRPr="00730DE4" w:rsidRDefault="00730DE4" w:rsidP="00362B44">
            <w:pPr>
              <w:pStyle w:val="NoSpacing"/>
              <w:jc w:val="right"/>
              <w:rPr>
                <w:rStyle w:val="Strong"/>
              </w:rPr>
            </w:pPr>
          </w:p>
        </w:tc>
        <w:tc>
          <w:tcPr>
            <w:tcW w:w="615" w:type="pct"/>
            <w:tcBorders>
              <w:top w:val="single" w:sz="4" w:space="0" w:color="auto"/>
              <w:left w:val="nil"/>
              <w:right w:val="nil"/>
            </w:tcBorders>
            <w:shd w:val="clear" w:color="auto" w:fill="auto"/>
            <w:noWrap/>
            <w:vAlign w:val="bottom"/>
          </w:tcPr>
          <w:p w14:paraId="6D58ADF7" w14:textId="77777777" w:rsidR="00730DE4" w:rsidRPr="00730DE4" w:rsidRDefault="00730DE4" w:rsidP="00362B44">
            <w:pPr>
              <w:pStyle w:val="NoSpacing"/>
              <w:jc w:val="right"/>
              <w:rPr>
                <w:rStyle w:val="Strong"/>
              </w:rPr>
            </w:pPr>
          </w:p>
        </w:tc>
      </w:tr>
      <w:tr w:rsidR="00730DE4" w:rsidRPr="00730DE4" w14:paraId="48C81B02" w14:textId="77777777" w:rsidTr="008A2F83">
        <w:trPr>
          <w:trHeight w:val="240"/>
        </w:trPr>
        <w:tc>
          <w:tcPr>
            <w:tcW w:w="3768" w:type="pct"/>
            <w:tcBorders>
              <w:top w:val="nil"/>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4DF890A4" w14:textId="77777777" w:rsidR="00730DE4" w:rsidRPr="00730DE4" w:rsidRDefault="00730DE4" w:rsidP="00362B44">
            <w:pPr>
              <w:pStyle w:val="NoSpacing"/>
            </w:pPr>
            <w:r w:rsidRPr="00730DE4">
              <w:t>Appropriation revenue</w:t>
            </w:r>
          </w:p>
        </w:tc>
        <w:tc>
          <w:tcPr>
            <w:tcW w:w="617" w:type="pct"/>
            <w:tcBorders>
              <w:top w:val="nil"/>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3D1B938" w14:textId="77777777" w:rsidR="00730DE4" w:rsidRPr="00730DE4" w:rsidRDefault="00730DE4" w:rsidP="00362B44">
            <w:pPr>
              <w:pStyle w:val="NoSpacing"/>
              <w:jc w:val="right"/>
            </w:pPr>
            <w:r w:rsidRPr="00730DE4">
              <w:t xml:space="preserve">130,948 </w:t>
            </w:r>
          </w:p>
        </w:tc>
        <w:tc>
          <w:tcPr>
            <w:tcW w:w="615" w:type="pct"/>
            <w:tcBorders>
              <w:top w:val="nil"/>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FBB8AC9" w14:textId="77777777" w:rsidR="00730DE4" w:rsidRPr="00730DE4" w:rsidRDefault="00730DE4" w:rsidP="00362B44">
            <w:pPr>
              <w:pStyle w:val="NoSpacing"/>
              <w:jc w:val="right"/>
            </w:pPr>
            <w:r w:rsidRPr="00730DE4">
              <w:t xml:space="preserve">81,170 </w:t>
            </w:r>
          </w:p>
        </w:tc>
      </w:tr>
      <w:tr w:rsidR="00730DE4" w:rsidRPr="00730DE4" w14:paraId="05426F0D" w14:textId="77777777" w:rsidTr="008A2F83">
        <w:trPr>
          <w:trHeight w:val="240"/>
        </w:trPr>
        <w:tc>
          <w:tcPr>
            <w:tcW w:w="376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3FC0FB56" w14:textId="77777777" w:rsidR="00730DE4" w:rsidRPr="00730DE4" w:rsidRDefault="00730DE4" w:rsidP="00362B44">
            <w:pPr>
              <w:pStyle w:val="NoSpacing"/>
            </w:pPr>
            <w:r w:rsidRPr="00730DE4">
              <w:t>Grants and other contributions</w:t>
            </w:r>
          </w:p>
        </w:tc>
        <w:tc>
          <w:tcPr>
            <w:tcW w:w="61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976E363" w14:textId="77777777" w:rsidR="00730DE4" w:rsidRPr="00730DE4" w:rsidRDefault="00730DE4" w:rsidP="00362B44">
            <w:pPr>
              <w:pStyle w:val="NoSpacing"/>
              <w:jc w:val="right"/>
            </w:pPr>
            <w:r w:rsidRPr="00730DE4">
              <w:t xml:space="preserve">249 </w:t>
            </w:r>
          </w:p>
        </w:tc>
        <w:tc>
          <w:tcPr>
            <w:tcW w:w="615"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0FE424E" w14:textId="77777777" w:rsidR="00730DE4" w:rsidRPr="00730DE4" w:rsidRDefault="00730DE4" w:rsidP="00362B44">
            <w:pPr>
              <w:pStyle w:val="NoSpacing"/>
              <w:jc w:val="right"/>
            </w:pPr>
            <w:r w:rsidRPr="00730DE4">
              <w:t xml:space="preserve">381 </w:t>
            </w:r>
          </w:p>
        </w:tc>
      </w:tr>
      <w:tr w:rsidR="00730DE4" w:rsidRPr="00730DE4" w14:paraId="35C31461" w14:textId="77777777" w:rsidTr="00163849">
        <w:trPr>
          <w:trHeight w:val="240"/>
        </w:trPr>
        <w:tc>
          <w:tcPr>
            <w:tcW w:w="376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60AAE87D" w14:textId="77777777" w:rsidR="00730DE4" w:rsidRPr="00730DE4" w:rsidRDefault="00730DE4" w:rsidP="00362B44">
            <w:pPr>
              <w:pStyle w:val="NoSpacing"/>
            </w:pPr>
            <w:r w:rsidRPr="00730DE4">
              <w:t>User charges, fees and fines *</w:t>
            </w:r>
          </w:p>
        </w:tc>
        <w:tc>
          <w:tcPr>
            <w:tcW w:w="61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7A5E80B" w14:textId="77777777" w:rsidR="00730DE4" w:rsidRPr="00730DE4" w:rsidRDefault="00730DE4" w:rsidP="00362B44">
            <w:pPr>
              <w:pStyle w:val="NoSpacing"/>
              <w:jc w:val="right"/>
            </w:pPr>
            <w:r w:rsidRPr="00730DE4">
              <w:t xml:space="preserve">3,116,352 </w:t>
            </w:r>
          </w:p>
        </w:tc>
        <w:tc>
          <w:tcPr>
            <w:tcW w:w="615"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2C39F4C" w14:textId="77777777" w:rsidR="00730DE4" w:rsidRPr="00730DE4" w:rsidRDefault="00730DE4" w:rsidP="00362B44">
            <w:pPr>
              <w:pStyle w:val="NoSpacing"/>
              <w:jc w:val="right"/>
            </w:pPr>
            <w:r w:rsidRPr="00730DE4">
              <w:t xml:space="preserve">2,989,422 </w:t>
            </w:r>
          </w:p>
        </w:tc>
      </w:tr>
      <w:tr w:rsidR="00730DE4" w:rsidRPr="00730DE4" w14:paraId="6CB5B9BC" w14:textId="77777777" w:rsidTr="00163849">
        <w:trPr>
          <w:trHeight w:val="240"/>
        </w:trPr>
        <w:tc>
          <w:tcPr>
            <w:tcW w:w="3768"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17F1AB0D" w14:textId="77777777" w:rsidR="00730DE4" w:rsidRPr="00730DE4" w:rsidRDefault="00730DE4" w:rsidP="00362B44">
            <w:pPr>
              <w:pStyle w:val="NoSpacing"/>
            </w:pPr>
            <w:r w:rsidRPr="00730DE4">
              <w:t>Other</w:t>
            </w:r>
          </w:p>
        </w:tc>
        <w:tc>
          <w:tcPr>
            <w:tcW w:w="617"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2D3BD516" w14:textId="77777777" w:rsidR="00730DE4" w:rsidRPr="00730DE4" w:rsidRDefault="00730DE4" w:rsidP="00362B44">
            <w:pPr>
              <w:pStyle w:val="NoSpacing"/>
              <w:jc w:val="right"/>
            </w:pPr>
            <w:r w:rsidRPr="00730DE4">
              <w:t xml:space="preserve">10,950 </w:t>
            </w:r>
          </w:p>
        </w:tc>
        <w:tc>
          <w:tcPr>
            <w:tcW w:w="615"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6B6A6BC8" w14:textId="77777777" w:rsidR="00730DE4" w:rsidRPr="00730DE4" w:rsidRDefault="00730DE4" w:rsidP="00362B44">
            <w:pPr>
              <w:pStyle w:val="NoSpacing"/>
              <w:jc w:val="right"/>
            </w:pPr>
            <w:r w:rsidRPr="00730DE4">
              <w:t xml:space="preserve">10,410 </w:t>
            </w:r>
          </w:p>
        </w:tc>
      </w:tr>
      <w:tr w:rsidR="00730DE4" w:rsidRPr="00730DE4" w14:paraId="1D239511" w14:textId="77777777" w:rsidTr="00163849">
        <w:tc>
          <w:tcPr>
            <w:tcW w:w="3768"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hideMark/>
          </w:tcPr>
          <w:p w14:paraId="12A358A9" w14:textId="77777777" w:rsidR="00730DE4" w:rsidRPr="00730DE4" w:rsidRDefault="00730DE4" w:rsidP="00362B44">
            <w:pPr>
              <w:pStyle w:val="NoSpacing"/>
              <w:rPr>
                <w:b/>
                <w:bCs/>
              </w:rPr>
            </w:pPr>
            <w:r w:rsidRPr="00730DE4">
              <w:rPr>
                <w:rStyle w:val="Strong"/>
              </w:rPr>
              <w:t>Total income</w:t>
            </w:r>
          </w:p>
        </w:tc>
        <w:tc>
          <w:tcPr>
            <w:tcW w:w="617"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1F8D0C82" w14:textId="77777777" w:rsidR="00730DE4" w:rsidRPr="00730DE4" w:rsidRDefault="00730DE4" w:rsidP="00362B44">
            <w:pPr>
              <w:pStyle w:val="NoSpacing"/>
              <w:jc w:val="right"/>
              <w:rPr>
                <w:b/>
                <w:bCs/>
              </w:rPr>
            </w:pPr>
            <w:r w:rsidRPr="00730DE4">
              <w:rPr>
                <w:rStyle w:val="Strong"/>
              </w:rPr>
              <w:t xml:space="preserve">3,258,499 </w:t>
            </w:r>
          </w:p>
        </w:tc>
        <w:tc>
          <w:tcPr>
            <w:tcW w:w="615"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hideMark/>
          </w:tcPr>
          <w:p w14:paraId="0125AB27" w14:textId="77777777" w:rsidR="00730DE4" w:rsidRPr="00730DE4" w:rsidRDefault="00730DE4" w:rsidP="00362B44">
            <w:pPr>
              <w:pStyle w:val="NoSpacing"/>
              <w:jc w:val="right"/>
              <w:rPr>
                <w:rStyle w:val="Strong"/>
              </w:rPr>
            </w:pPr>
            <w:r w:rsidRPr="00730DE4">
              <w:rPr>
                <w:rStyle w:val="Strong"/>
              </w:rPr>
              <w:t xml:space="preserve">3,081,383 </w:t>
            </w:r>
          </w:p>
        </w:tc>
      </w:tr>
      <w:tr w:rsidR="00730DE4" w:rsidRPr="00730DE4" w14:paraId="0D858629" w14:textId="77777777" w:rsidTr="00163849">
        <w:trPr>
          <w:trHeight w:val="454"/>
        </w:trPr>
        <w:tc>
          <w:tcPr>
            <w:tcW w:w="376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91A72DB" w14:textId="77777777" w:rsidR="00730DE4" w:rsidRPr="00730DE4" w:rsidRDefault="00730DE4" w:rsidP="00362B44">
            <w:pPr>
              <w:pStyle w:val="NoSpacing"/>
              <w:rPr>
                <w:rStyle w:val="Strong"/>
              </w:rPr>
            </w:pPr>
            <w:r w:rsidRPr="00730DE4">
              <w:rPr>
                <w:rStyle w:val="Strong"/>
              </w:rPr>
              <w:t>Administered expenses</w:t>
            </w:r>
          </w:p>
        </w:tc>
        <w:tc>
          <w:tcPr>
            <w:tcW w:w="61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06B5446B" w14:textId="77777777" w:rsidR="00730DE4" w:rsidRPr="00730DE4" w:rsidRDefault="00730DE4" w:rsidP="00362B44">
            <w:pPr>
              <w:pStyle w:val="NoSpacing"/>
              <w:jc w:val="right"/>
            </w:pPr>
          </w:p>
        </w:tc>
        <w:tc>
          <w:tcPr>
            <w:tcW w:w="615"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tcPr>
          <w:p w14:paraId="730E7AAF" w14:textId="77777777" w:rsidR="00730DE4" w:rsidRPr="00730DE4" w:rsidRDefault="00730DE4" w:rsidP="00362B44">
            <w:pPr>
              <w:pStyle w:val="NoSpacing"/>
              <w:jc w:val="right"/>
            </w:pPr>
          </w:p>
        </w:tc>
      </w:tr>
      <w:tr w:rsidR="00730DE4" w:rsidRPr="00730DE4" w14:paraId="78D9647C" w14:textId="77777777" w:rsidTr="008A2F83">
        <w:trPr>
          <w:trHeight w:val="240"/>
        </w:trPr>
        <w:tc>
          <w:tcPr>
            <w:tcW w:w="376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56788CAA" w14:textId="77777777" w:rsidR="00730DE4" w:rsidRPr="00730DE4" w:rsidRDefault="00730DE4" w:rsidP="00362B44">
            <w:pPr>
              <w:pStyle w:val="NoSpacing"/>
            </w:pPr>
            <w:r w:rsidRPr="00730DE4">
              <w:t>Supplies and services</w:t>
            </w:r>
          </w:p>
        </w:tc>
        <w:tc>
          <w:tcPr>
            <w:tcW w:w="61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9B93151" w14:textId="77777777" w:rsidR="00730DE4" w:rsidRPr="00730DE4" w:rsidRDefault="00730DE4" w:rsidP="00362B44">
            <w:pPr>
              <w:pStyle w:val="NoSpacing"/>
              <w:jc w:val="right"/>
            </w:pPr>
            <w:r w:rsidRPr="00730DE4">
              <w:t xml:space="preserve">14,849 </w:t>
            </w:r>
          </w:p>
        </w:tc>
        <w:tc>
          <w:tcPr>
            <w:tcW w:w="615"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0A5EF49" w14:textId="77777777" w:rsidR="00730DE4" w:rsidRPr="00730DE4" w:rsidRDefault="00730DE4" w:rsidP="00362B44">
            <w:pPr>
              <w:pStyle w:val="NoSpacing"/>
              <w:jc w:val="right"/>
            </w:pPr>
            <w:r w:rsidRPr="00730DE4">
              <w:t xml:space="preserve">95 </w:t>
            </w:r>
          </w:p>
        </w:tc>
      </w:tr>
      <w:tr w:rsidR="00730DE4" w:rsidRPr="00730DE4" w14:paraId="6F915ECA" w14:textId="77777777" w:rsidTr="008A2F83">
        <w:trPr>
          <w:trHeight w:val="240"/>
        </w:trPr>
        <w:tc>
          <w:tcPr>
            <w:tcW w:w="376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46F0E641" w14:textId="77777777" w:rsidR="00730DE4" w:rsidRPr="00730DE4" w:rsidRDefault="00730DE4" w:rsidP="00362B44">
            <w:pPr>
              <w:pStyle w:val="NoSpacing"/>
            </w:pPr>
            <w:r w:rsidRPr="00730DE4">
              <w:t>Grants and subsidies</w:t>
            </w:r>
          </w:p>
        </w:tc>
        <w:tc>
          <w:tcPr>
            <w:tcW w:w="61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2BE1EB6" w14:textId="77777777" w:rsidR="00730DE4" w:rsidRPr="00730DE4" w:rsidRDefault="00730DE4" w:rsidP="00362B44">
            <w:pPr>
              <w:pStyle w:val="NoSpacing"/>
              <w:jc w:val="right"/>
            </w:pPr>
            <w:r w:rsidRPr="00730DE4">
              <w:t xml:space="preserve">116,354 </w:t>
            </w:r>
          </w:p>
        </w:tc>
        <w:tc>
          <w:tcPr>
            <w:tcW w:w="615"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2ACF073" w14:textId="77777777" w:rsidR="00730DE4" w:rsidRPr="00730DE4" w:rsidRDefault="00730DE4" w:rsidP="00362B44">
            <w:pPr>
              <w:pStyle w:val="NoSpacing"/>
              <w:jc w:val="right"/>
            </w:pPr>
            <w:r w:rsidRPr="00730DE4">
              <w:t xml:space="preserve">81,615 </w:t>
            </w:r>
          </w:p>
        </w:tc>
      </w:tr>
      <w:tr w:rsidR="00730DE4" w:rsidRPr="00730DE4" w14:paraId="205E1CEB" w14:textId="77777777" w:rsidTr="008A2F83">
        <w:trPr>
          <w:trHeight w:val="240"/>
        </w:trPr>
        <w:tc>
          <w:tcPr>
            <w:tcW w:w="376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36EE64B1" w14:textId="77777777" w:rsidR="00730DE4" w:rsidRPr="00730DE4" w:rsidRDefault="00730DE4" w:rsidP="00362B44">
            <w:pPr>
              <w:pStyle w:val="NoSpacing"/>
            </w:pPr>
            <w:r w:rsidRPr="00730DE4">
              <w:t>Impairment losses on trade receivables</w:t>
            </w:r>
          </w:p>
        </w:tc>
        <w:tc>
          <w:tcPr>
            <w:tcW w:w="61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299B722" w14:textId="77777777" w:rsidR="00730DE4" w:rsidRPr="00730DE4" w:rsidRDefault="00730DE4" w:rsidP="00362B44">
            <w:pPr>
              <w:pStyle w:val="NoSpacing"/>
              <w:jc w:val="right"/>
            </w:pPr>
            <w:r w:rsidRPr="00730DE4">
              <w:t xml:space="preserve">17 </w:t>
            </w:r>
          </w:p>
        </w:tc>
        <w:tc>
          <w:tcPr>
            <w:tcW w:w="615"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E139595" w14:textId="77777777" w:rsidR="00730DE4" w:rsidRPr="00730DE4" w:rsidRDefault="00730DE4" w:rsidP="00362B44">
            <w:pPr>
              <w:pStyle w:val="NoSpacing"/>
              <w:jc w:val="right"/>
            </w:pPr>
            <w:r w:rsidRPr="00730DE4">
              <w:t xml:space="preserve">8 </w:t>
            </w:r>
          </w:p>
        </w:tc>
      </w:tr>
      <w:tr w:rsidR="00730DE4" w:rsidRPr="00730DE4" w14:paraId="4E6694AD" w14:textId="77777777" w:rsidTr="00163849">
        <w:trPr>
          <w:trHeight w:val="240"/>
        </w:trPr>
        <w:tc>
          <w:tcPr>
            <w:tcW w:w="376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55882827" w14:textId="77777777" w:rsidR="00730DE4" w:rsidRPr="00730DE4" w:rsidRDefault="00730DE4" w:rsidP="00362B44">
            <w:pPr>
              <w:pStyle w:val="NoSpacing"/>
            </w:pPr>
            <w:r w:rsidRPr="00730DE4">
              <w:t>Transfers of administered revenue to government</w:t>
            </w:r>
          </w:p>
        </w:tc>
        <w:tc>
          <w:tcPr>
            <w:tcW w:w="61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37956A1" w14:textId="77777777" w:rsidR="00730DE4" w:rsidRPr="00730DE4" w:rsidRDefault="00730DE4" w:rsidP="00362B44">
            <w:pPr>
              <w:pStyle w:val="NoSpacing"/>
              <w:jc w:val="right"/>
            </w:pPr>
            <w:r w:rsidRPr="00730DE4">
              <w:t xml:space="preserve">3,127,269 </w:t>
            </w:r>
          </w:p>
        </w:tc>
        <w:tc>
          <w:tcPr>
            <w:tcW w:w="615"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40FD3EFF" w14:textId="77777777" w:rsidR="00730DE4" w:rsidRPr="00730DE4" w:rsidRDefault="00730DE4" w:rsidP="00362B44">
            <w:pPr>
              <w:pStyle w:val="NoSpacing"/>
              <w:jc w:val="right"/>
            </w:pPr>
            <w:r w:rsidRPr="00730DE4">
              <w:t xml:space="preserve">2,999,791 </w:t>
            </w:r>
          </w:p>
        </w:tc>
      </w:tr>
      <w:tr w:rsidR="00730DE4" w:rsidRPr="00730DE4" w14:paraId="45CC0D72" w14:textId="77777777" w:rsidTr="00163849">
        <w:trPr>
          <w:trHeight w:val="240"/>
        </w:trPr>
        <w:tc>
          <w:tcPr>
            <w:tcW w:w="3768"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50629B18" w14:textId="77777777" w:rsidR="00730DE4" w:rsidRPr="00730DE4" w:rsidRDefault="00730DE4" w:rsidP="00362B44">
            <w:pPr>
              <w:pStyle w:val="NoSpacing"/>
            </w:pPr>
            <w:r w:rsidRPr="00730DE4">
              <w:t>Other</w:t>
            </w:r>
          </w:p>
        </w:tc>
        <w:tc>
          <w:tcPr>
            <w:tcW w:w="617"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71E4D749" w14:textId="77777777" w:rsidR="00730DE4" w:rsidRPr="00730DE4" w:rsidRDefault="00730DE4" w:rsidP="00362B44">
            <w:pPr>
              <w:pStyle w:val="NoSpacing"/>
              <w:jc w:val="right"/>
            </w:pPr>
            <w:r w:rsidRPr="00730DE4">
              <w:t xml:space="preserve">17 </w:t>
            </w:r>
          </w:p>
        </w:tc>
        <w:tc>
          <w:tcPr>
            <w:tcW w:w="615"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7323F71D" w14:textId="77777777" w:rsidR="00730DE4" w:rsidRPr="00730DE4" w:rsidRDefault="00730DE4" w:rsidP="00362B44">
            <w:pPr>
              <w:pStyle w:val="NoSpacing"/>
              <w:jc w:val="right"/>
            </w:pPr>
            <w:r w:rsidRPr="00730DE4">
              <w:t xml:space="preserve">466 </w:t>
            </w:r>
          </w:p>
        </w:tc>
      </w:tr>
      <w:tr w:rsidR="00730DE4" w:rsidRPr="00730DE4" w14:paraId="1C871C35" w14:textId="77777777" w:rsidTr="00163849">
        <w:tc>
          <w:tcPr>
            <w:tcW w:w="3768" w:type="pct"/>
            <w:tcBorders>
              <w:top w:val="single" w:sz="4" w:space="0" w:color="auto"/>
              <w:left w:val="nil"/>
              <w:bottom w:val="single" w:sz="4" w:space="0" w:color="auto"/>
              <w:right w:val="dotted" w:sz="4" w:space="0" w:color="BFBFBF" w:themeColor="background1" w:themeShade="BF"/>
            </w:tcBorders>
            <w:shd w:val="clear" w:color="auto" w:fill="auto"/>
            <w:noWrap/>
            <w:hideMark/>
          </w:tcPr>
          <w:p w14:paraId="402C9645" w14:textId="77777777" w:rsidR="00730DE4" w:rsidRPr="00730DE4" w:rsidRDefault="00730DE4" w:rsidP="00362B44">
            <w:pPr>
              <w:pStyle w:val="NoSpacing"/>
              <w:rPr>
                <w:b/>
                <w:bCs/>
              </w:rPr>
            </w:pPr>
            <w:r w:rsidRPr="00730DE4">
              <w:rPr>
                <w:rStyle w:val="Strong"/>
              </w:rPr>
              <w:t>Total expenses</w:t>
            </w:r>
          </w:p>
        </w:tc>
        <w:tc>
          <w:tcPr>
            <w:tcW w:w="617"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hideMark/>
          </w:tcPr>
          <w:p w14:paraId="098DB654" w14:textId="77777777" w:rsidR="00730DE4" w:rsidRPr="00730DE4" w:rsidRDefault="00730DE4" w:rsidP="00362B44">
            <w:pPr>
              <w:pStyle w:val="NoSpacing"/>
              <w:jc w:val="right"/>
              <w:rPr>
                <w:b/>
                <w:bCs/>
              </w:rPr>
            </w:pPr>
            <w:r w:rsidRPr="00730DE4">
              <w:rPr>
                <w:rStyle w:val="Strong"/>
              </w:rPr>
              <w:t xml:space="preserve">3,258,506 </w:t>
            </w:r>
          </w:p>
        </w:tc>
        <w:tc>
          <w:tcPr>
            <w:tcW w:w="615" w:type="pct"/>
            <w:tcBorders>
              <w:top w:val="single" w:sz="4" w:space="0" w:color="auto"/>
              <w:left w:val="dotted" w:sz="4" w:space="0" w:color="BFBFBF" w:themeColor="background1" w:themeShade="BF"/>
              <w:bottom w:val="single" w:sz="4" w:space="0" w:color="auto"/>
              <w:right w:val="nil"/>
            </w:tcBorders>
            <w:shd w:val="clear" w:color="auto" w:fill="auto"/>
            <w:noWrap/>
            <w:hideMark/>
          </w:tcPr>
          <w:p w14:paraId="1C985F27" w14:textId="77777777" w:rsidR="00730DE4" w:rsidRPr="00730DE4" w:rsidRDefault="00730DE4" w:rsidP="00362B44">
            <w:pPr>
              <w:pStyle w:val="NoSpacing"/>
              <w:jc w:val="right"/>
              <w:rPr>
                <w:rStyle w:val="Strong"/>
              </w:rPr>
            </w:pPr>
            <w:r w:rsidRPr="00730DE4">
              <w:rPr>
                <w:rStyle w:val="Strong"/>
              </w:rPr>
              <w:t xml:space="preserve">3,081,975 </w:t>
            </w:r>
          </w:p>
        </w:tc>
      </w:tr>
      <w:tr w:rsidR="00730DE4" w:rsidRPr="00730DE4" w14:paraId="1053EC32" w14:textId="77777777" w:rsidTr="00163849">
        <w:trPr>
          <w:trHeight w:val="454"/>
        </w:trPr>
        <w:tc>
          <w:tcPr>
            <w:tcW w:w="3768"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0651EA36" w14:textId="77777777" w:rsidR="00730DE4" w:rsidRPr="00730DE4" w:rsidRDefault="00730DE4" w:rsidP="00362B44">
            <w:pPr>
              <w:pStyle w:val="NoSpacing"/>
              <w:rPr>
                <w:b/>
                <w:bCs/>
              </w:rPr>
            </w:pPr>
            <w:r w:rsidRPr="00730DE4">
              <w:rPr>
                <w:rStyle w:val="Strong"/>
              </w:rPr>
              <w:t>Operating result for the year</w:t>
            </w:r>
          </w:p>
        </w:tc>
        <w:tc>
          <w:tcPr>
            <w:tcW w:w="617"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0F92BBA3" w14:textId="77777777" w:rsidR="00730DE4" w:rsidRPr="00730DE4" w:rsidRDefault="00730DE4" w:rsidP="00362B44">
            <w:pPr>
              <w:pStyle w:val="NoSpacing"/>
              <w:jc w:val="right"/>
              <w:rPr>
                <w:rStyle w:val="Strong"/>
              </w:rPr>
            </w:pPr>
            <w:r w:rsidRPr="00730DE4">
              <w:rPr>
                <w:rStyle w:val="Strong"/>
              </w:rPr>
              <w:t>(7)</w:t>
            </w:r>
          </w:p>
        </w:tc>
        <w:tc>
          <w:tcPr>
            <w:tcW w:w="615" w:type="pct"/>
            <w:tcBorders>
              <w:top w:val="single" w:sz="4" w:space="0" w:color="auto"/>
              <w:left w:val="dotted" w:sz="4" w:space="0" w:color="BFBFBF" w:themeColor="background1" w:themeShade="BF"/>
              <w:bottom w:val="double" w:sz="4" w:space="0" w:color="auto"/>
              <w:right w:val="nil"/>
            </w:tcBorders>
            <w:shd w:val="clear" w:color="auto" w:fill="auto"/>
            <w:noWrap/>
            <w:hideMark/>
          </w:tcPr>
          <w:p w14:paraId="0B352187" w14:textId="77777777" w:rsidR="00730DE4" w:rsidRPr="00730DE4" w:rsidRDefault="00730DE4" w:rsidP="00362B44">
            <w:pPr>
              <w:pStyle w:val="NoSpacing"/>
              <w:jc w:val="right"/>
              <w:rPr>
                <w:rStyle w:val="Strong"/>
              </w:rPr>
            </w:pPr>
            <w:r w:rsidRPr="00730DE4">
              <w:rPr>
                <w:rStyle w:val="Strong"/>
              </w:rPr>
              <w:t>(592)</w:t>
            </w:r>
          </w:p>
        </w:tc>
      </w:tr>
      <w:tr w:rsidR="00730DE4" w:rsidRPr="00730DE4" w14:paraId="1F676B58" w14:textId="77777777" w:rsidTr="00163849">
        <w:trPr>
          <w:trHeight w:val="454"/>
        </w:trPr>
        <w:tc>
          <w:tcPr>
            <w:tcW w:w="3768" w:type="pct"/>
            <w:tcBorders>
              <w:top w:val="double" w:sz="4" w:space="0" w:color="auto"/>
              <w:left w:val="nil"/>
              <w:right w:val="nil"/>
            </w:tcBorders>
            <w:shd w:val="clear" w:color="auto" w:fill="auto"/>
            <w:noWrap/>
            <w:vAlign w:val="bottom"/>
            <w:hideMark/>
          </w:tcPr>
          <w:p w14:paraId="7E98FDD2" w14:textId="77777777" w:rsidR="00730DE4" w:rsidRPr="00730DE4" w:rsidRDefault="00730DE4" w:rsidP="00362B44">
            <w:pPr>
              <w:pStyle w:val="NoSpacing"/>
              <w:rPr>
                <w:b/>
                <w:bCs/>
              </w:rPr>
            </w:pPr>
            <w:r w:rsidRPr="00730DE4">
              <w:rPr>
                <w:rStyle w:val="Strong"/>
              </w:rPr>
              <w:t>Administered assets</w:t>
            </w:r>
          </w:p>
        </w:tc>
        <w:tc>
          <w:tcPr>
            <w:tcW w:w="617" w:type="pct"/>
            <w:tcBorders>
              <w:top w:val="double" w:sz="4" w:space="0" w:color="auto"/>
              <w:left w:val="nil"/>
              <w:right w:val="nil"/>
            </w:tcBorders>
            <w:shd w:val="clear" w:color="auto" w:fill="F2F2F2" w:themeFill="background1" w:themeFillShade="F2"/>
            <w:noWrap/>
            <w:vAlign w:val="bottom"/>
          </w:tcPr>
          <w:p w14:paraId="4E4E6251" w14:textId="77777777" w:rsidR="00730DE4" w:rsidRPr="00730DE4" w:rsidRDefault="00730DE4" w:rsidP="00362B44">
            <w:pPr>
              <w:pStyle w:val="NoSpacing"/>
              <w:jc w:val="right"/>
              <w:rPr>
                <w:rStyle w:val="Strong"/>
              </w:rPr>
            </w:pPr>
          </w:p>
        </w:tc>
        <w:tc>
          <w:tcPr>
            <w:tcW w:w="615" w:type="pct"/>
            <w:tcBorders>
              <w:top w:val="double" w:sz="4" w:space="0" w:color="auto"/>
              <w:left w:val="nil"/>
              <w:right w:val="nil"/>
            </w:tcBorders>
            <w:shd w:val="clear" w:color="auto" w:fill="auto"/>
            <w:noWrap/>
            <w:vAlign w:val="bottom"/>
          </w:tcPr>
          <w:p w14:paraId="301E8F2D" w14:textId="77777777" w:rsidR="00730DE4" w:rsidRPr="00730DE4" w:rsidRDefault="00730DE4" w:rsidP="00362B44">
            <w:pPr>
              <w:pStyle w:val="NoSpacing"/>
              <w:jc w:val="right"/>
            </w:pPr>
          </w:p>
        </w:tc>
      </w:tr>
      <w:tr w:rsidR="00730DE4" w:rsidRPr="00730DE4" w14:paraId="69D7B50F" w14:textId="77777777" w:rsidTr="008A2F83">
        <w:trPr>
          <w:trHeight w:val="240"/>
        </w:trPr>
        <w:tc>
          <w:tcPr>
            <w:tcW w:w="3768" w:type="pct"/>
            <w:tcBorders>
              <w:top w:val="nil"/>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5D8DD912" w14:textId="77777777" w:rsidR="00730DE4" w:rsidRPr="00730DE4" w:rsidRDefault="00730DE4" w:rsidP="00362B44">
            <w:pPr>
              <w:pStyle w:val="NoSpacing"/>
              <w:rPr>
                <w:i/>
                <w:iCs/>
              </w:rPr>
            </w:pPr>
            <w:r w:rsidRPr="00730DE4">
              <w:rPr>
                <w:i/>
                <w:iCs/>
              </w:rPr>
              <w:t xml:space="preserve">Current </w:t>
            </w:r>
          </w:p>
        </w:tc>
        <w:tc>
          <w:tcPr>
            <w:tcW w:w="617" w:type="pct"/>
            <w:tcBorders>
              <w:top w:val="nil"/>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5CD7A08" w14:textId="77777777" w:rsidR="00730DE4" w:rsidRPr="00730DE4" w:rsidRDefault="00730DE4" w:rsidP="00362B44">
            <w:pPr>
              <w:pStyle w:val="NoSpacing"/>
              <w:jc w:val="right"/>
              <w:rPr>
                <w:i/>
                <w:iCs/>
              </w:rPr>
            </w:pPr>
          </w:p>
        </w:tc>
        <w:tc>
          <w:tcPr>
            <w:tcW w:w="615" w:type="pct"/>
            <w:tcBorders>
              <w:top w:val="nil"/>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6CF4D5C" w14:textId="77777777" w:rsidR="00730DE4" w:rsidRPr="00730DE4" w:rsidRDefault="00730DE4" w:rsidP="00362B44">
            <w:pPr>
              <w:pStyle w:val="NoSpacing"/>
              <w:jc w:val="right"/>
            </w:pPr>
          </w:p>
        </w:tc>
      </w:tr>
      <w:tr w:rsidR="00730DE4" w:rsidRPr="00730DE4" w14:paraId="4D104D89" w14:textId="77777777" w:rsidTr="00163849">
        <w:trPr>
          <w:trHeight w:val="240"/>
        </w:trPr>
        <w:tc>
          <w:tcPr>
            <w:tcW w:w="376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1349FD35" w14:textId="77777777" w:rsidR="00730DE4" w:rsidRPr="00730DE4" w:rsidRDefault="00730DE4" w:rsidP="00362B44">
            <w:pPr>
              <w:pStyle w:val="NoSpacing"/>
            </w:pPr>
            <w:r w:rsidRPr="00730DE4">
              <w:t>Cash</w:t>
            </w:r>
          </w:p>
        </w:tc>
        <w:tc>
          <w:tcPr>
            <w:tcW w:w="61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8839E4B" w14:textId="77777777" w:rsidR="00730DE4" w:rsidRPr="00730DE4" w:rsidRDefault="00730DE4" w:rsidP="00362B44">
            <w:pPr>
              <w:pStyle w:val="NoSpacing"/>
              <w:jc w:val="right"/>
            </w:pPr>
            <w:r w:rsidRPr="00730DE4">
              <w:t xml:space="preserve">35,386 </w:t>
            </w:r>
          </w:p>
        </w:tc>
        <w:tc>
          <w:tcPr>
            <w:tcW w:w="615"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C5C5407" w14:textId="77777777" w:rsidR="00730DE4" w:rsidRPr="00730DE4" w:rsidRDefault="00730DE4" w:rsidP="00362B44">
            <w:pPr>
              <w:pStyle w:val="NoSpacing"/>
              <w:jc w:val="right"/>
            </w:pPr>
            <w:r w:rsidRPr="00730DE4">
              <w:t xml:space="preserve">18,402 </w:t>
            </w:r>
          </w:p>
        </w:tc>
      </w:tr>
      <w:tr w:rsidR="00730DE4" w:rsidRPr="00730DE4" w14:paraId="5AE4B1A4" w14:textId="77777777" w:rsidTr="00163849">
        <w:tc>
          <w:tcPr>
            <w:tcW w:w="3768"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057B5511" w14:textId="77777777" w:rsidR="00730DE4" w:rsidRPr="00730DE4" w:rsidRDefault="00730DE4" w:rsidP="00362B44">
            <w:pPr>
              <w:pStyle w:val="NoSpacing"/>
            </w:pPr>
            <w:r w:rsidRPr="00730DE4">
              <w:t>Receivables</w:t>
            </w:r>
          </w:p>
        </w:tc>
        <w:tc>
          <w:tcPr>
            <w:tcW w:w="617"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677B2DE9" w14:textId="77777777" w:rsidR="00730DE4" w:rsidRPr="00730DE4" w:rsidRDefault="00730DE4" w:rsidP="00362B44">
            <w:pPr>
              <w:pStyle w:val="NoSpacing"/>
              <w:jc w:val="right"/>
            </w:pPr>
            <w:r w:rsidRPr="00730DE4">
              <w:t xml:space="preserve">29,212 </w:t>
            </w:r>
          </w:p>
        </w:tc>
        <w:tc>
          <w:tcPr>
            <w:tcW w:w="615"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7B9D4172" w14:textId="77777777" w:rsidR="00730DE4" w:rsidRPr="00730DE4" w:rsidRDefault="00730DE4" w:rsidP="00362B44">
            <w:pPr>
              <w:pStyle w:val="NoSpacing"/>
              <w:jc w:val="right"/>
            </w:pPr>
            <w:r w:rsidRPr="00730DE4">
              <w:t xml:space="preserve">29,706 </w:t>
            </w:r>
          </w:p>
        </w:tc>
      </w:tr>
      <w:tr w:rsidR="00730DE4" w:rsidRPr="00730DE4" w14:paraId="7C15644C" w14:textId="77777777" w:rsidTr="00163849">
        <w:tc>
          <w:tcPr>
            <w:tcW w:w="3768"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hideMark/>
          </w:tcPr>
          <w:p w14:paraId="127FCAE8" w14:textId="77777777" w:rsidR="00730DE4" w:rsidRPr="00730DE4" w:rsidRDefault="00730DE4" w:rsidP="004B7C3B">
            <w:pPr>
              <w:pStyle w:val="NoSpacing"/>
              <w:rPr>
                <w:b/>
                <w:bCs/>
              </w:rPr>
            </w:pPr>
            <w:r w:rsidRPr="00730DE4">
              <w:rPr>
                <w:rStyle w:val="Strong"/>
              </w:rPr>
              <w:t>Total current assets</w:t>
            </w:r>
          </w:p>
        </w:tc>
        <w:tc>
          <w:tcPr>
            <w:tcW w:w="617"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4B97D017" w14:textId="77777777" w:rsidR="00730DE4" w:rsidRPr="00730DE4" w:rsidRDefault="00730DE4" w:rsidP="004B7C3B">
            <w:pPr>
              <w:pStyle w:val="NoSpacing"/>
              <w:jc w:val="right"/>
              <w:rPr>
                <w:b/>
                <w:bCs/>
              </w:rPr>
            </w:pPr>
            <w:r w:rsidRPr="00730DE4">
              <w:rPr>
                <w:rStyle w:val="Strong"/>
              </w:rPr>
              <w:t xml:space="preserve">64,598 </w:t>
            </w:r>
          </w:p>
        </w:tc>
        <w:tc>
          <w:tcPr>
            <w:tcW w:w="615"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hideMark/>
          </w:tcPr>
          <w:p w14:paraId="1A16E9D6" w14:textId="77777777" w:rsidR="00730DE4" w:rsidRPr="00730DE4" w:rsidRDefault="00730DE4" w:rsidP="004B7C3B">
            <w:pPr>
              <w:pStyle w:val="NoSpacing"/>
              <w:jc w:val="right"/>
              <w:rPr>
                <w:rStyle w:val="Strong"/>
              </w:rPr>
            </w:pPr>
            <w:r w:rsidRPr="00730DE4">
              <w:rPr>
                <w:rStyle w:val="Strong"/>
              </w:rPr>
              <w:t xml:space="preserve">48,108 </w:t>
            </w:r>
          </w:p>
        </w:tc>
      </w:tr>
      <w:tr w:rsidR="00730DE4" w:rsidRPr="00730DE4" w14:paraId="11308229" w14:textId="77777777" w:rsidTr="00163849">
        <w:tc>
          <w:tcPr>
            <w:tcW w:w="376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5BB5A23B" w14:textId="77777777" w:rsidR="00730DE4" w:rsidRPr="00730DE4" w:rsidRDefault="00730DE4" w:rsidP="00362B44">
            <w:pPr>
              <w:pStyle w:val="NoSpacing"/>
              <w:rPr>
                <w:i/>
                <w:iCs/>
              </w:rPr>
            </w:pPr>
            <w:r w:rsidRPr="00730DE4">
              <w:rPr>
                <w:i/>
                <w:iCs/>
              </w:rPr>
              <w:t xml:space="preserve">Non-current </w:t>
            </w:r>
          </w:p>
        </w:tc>
        <w:tc>
          <w:tcPr>
            <w:tcW w:w="61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21D9D8E" w14:textId="77777777" w:rsidR="00730DE4" w:rsidRPr="00730DE4" w:rsidRDefault="00730DE4" w:rsidP="00362B44">
            <w:pPr>
              <w:pStyle w:val="NoSpacing"/>
              <w:jc w:val="right"/>
            </w:pPr>
            <w:r w:rsidRPr="00730DE4">
              <w:t> </w:t>
            </w:r>
          </w:p>
        </w:tc>
        <w:tc>
          <w:tcPr>
            <w:tcW w:w="615"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5322E8C" w14:textId="77777777" w:rsidR="00730DE4" w:rsidRPr="00730DE4" w:rsidRDefault="00730DE4" w:rsidP="00362B44">
            <w:pPr>
              <w:pStyle w:val="NoSpacing"/>
              <w:jc w:val="right"/>
            </w:pPr>
          </w:p>
        </w:tc>
      </w:tr>
      <w:tr w:rsidR="00730DE4" w:rsidRPr="00730DE4" w14:paraId="3503A7C5" w14:textId="77777777" w:rsidTr="00163849">
        <w:tc>
          <w:tcPr>
            <w:tcW w:w="376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0CFE1572" w14:textId="77777777" w:rsidR="00730DE4" w:rsidRPr="00730DE4" w:rsidRDefault="00730DE4" w:rsidP="00362B44">
            <w:pPr>
              <w:pStyle w:val="NoSpacing"/>
            </w:pPr>
            <w:r w:rsidRPr="00730DE4">
              <w:t>Land</w:t>
            </w:r>
          </w:p>
        </w:tc>
        <w:tc>
          <w:tcPr>
            <w:tcW w:w="61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A8972E3" w14:textId="77777777" w:rsidR="00730DE4" w:rsidRPr="00730DE4" w:rsidRDefault="00730DE4" w:rsidP="00362B44">
            <w:pPr>
              <w:pStyle w:val="NoSpacing"/>
              <w:jc w:val="right"/>
            </w:pPr>
            <w:r w:rsidRPr="00730DE4">
              <w:t xml:space="preserve">145,276 </w:t>
            </w:r>
          </w:p>
        </w:tc>
        <w:tc>
          <w:tcPr>
            <w:tcW w:w="615"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60911FB" w14:textId="77777777" w:rsidR="00730DE4" w:rsidRPr="00730DE4" w:rsidRDefault="00730DE4" w:rsidP="00362B44">
            <w:pPr>
              <w:pStyle w:val="NoSpacing"/>
              <w:jc w:val="right"/>
            </w:pPr>
            <w:r w:rsidRPr="00730DE4">
              <w:t xml:space="preserve">134,327 </w:t>
            </w:r>
          </w:p>
        </w:tc>
      </w:tr>
      <w:tr w:rsidR="00730DE4" w:rsidRPr="00730DE4" w14:paraId="3E75B20C" w14:textId="77777777" w:rsidTr="00163849">
        <w:tc>
          <w:tcPr>
            <w:tcW w:w="3768"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68480562" w14:textId="77777777" w:rsidR="00730DE4" w:rsidRPr="00730DE4" w:rsidRDefault="00730DE4" w:rsidP="00362B44">
            <w:pPr>
              <w:pStyle w:val="NoSpacing"/>
            </w:pPr>
            <w:r w:rsidRPr="00730DE4">
              <w:t>Receivables **</w:t>
            </w:r>
          </w:p>
        </w:tc>
        <w:tc>
          <w:tcPr>
            <w:tcW w:w="617"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2E03721F" w14:textId="77777777" w:rsidR="00730DE4" w:rsidRPr="00730DE4" w:rsidRDefault="00730DE4" w:rsidP="00362B44">
            <w:pPr>
              <w:pStyle w:val="NoSpacing"/>
              <w:jc w:val="right"/>
            </w:pPr>
            <w:r w:rsidRPr="00730DE4">
              <w:t xml:space="preserve">282,261 </w:t>
            </w:r>
          </w:p>
        </w:tc>
        <w:tc>
          <w:tcPr>
            <w:tcW w:w="615"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553DC9DB" w14:textId="77777777" w:rsidR="00730DE4" w:rsidRPr="00730DE4" w:rsidRDefault="00730DE4" w:rsidP="00362B44">
            <w:pPr>
              <w:pStyle w:val="NoSpacing"/>
              <w:jc w:val="right"/>
            </w:pPr>
            <w:r w:rsidRPr="00730DE4">
              <w:t xml:space="preserve">197,033 </w:t>
            </w:r>
          </w:p>
        </w:tc>
      </w:tr>
      <w:tr w:rsidR="00730DE4" w:rsidRPr="00730DE4" w14:paraId="59F4DE17" w14:textId="77777777" w:rsidTr="00163849">
        <w:tc>
          <w:tcPr>
            <w:tcW w:w="3768" w:type="pct"/>
            <w:tcBorders>
              <w:top w:val="single" w:sz="4" w:space="0" w:color="auto"/>
              <w:left w:val="nil"/>
              <w:bottom w:val="single" w:sz="4" w:space="0" w:color="auto"/>
              <w:right w:val="dotted" w:sz="4" w:space="0" w:color="BFBFBF" w:themeColor="background1" w:themeShade="BF"/>
            </w:tcBorders>
            <w:shd w:val="clear" w:color="auto" w:fill="auto"/>
            <w:noWrap/>
            <w:hideMark/>
          </w:tcPr>
          <w:p w14:paraId="443C47E2" w14:textId="77777777" w:rsidR="00730DE4" w:rsidRPr="00730DE4" w:rsidRDefault="00730DE4" w:rsidP="00362B44">
            <w:pPr>
              <w:pStyle w:val="NoSpacing"/>
              <w:rPr>
                <w:b/>
                <w:bCs/>
              </w:rPr>
            </w:pPr>
            <w:r w:rsidRPr="00730DE4">
              <w:rPr>
                <w:rStyle w:val="Strong"/>
              </w:rPr>
              <w:t>Total non-current assets</w:t>
            </w:r>
          </w:p>
        </w:tc>
        <w:tc>
          <w:tcPr>
            <w:tcW w:w="617"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hideMark/>
          </w:tcPr>
          <w:p w14:paraId="579E748E" w14:textId="77777777" w:rsidR="00730DE4" w:rsidRPr="00730DE4" w:rsidRDefault="00730DE4" w:rsidP="00362B44">
            <w:pPr>
              <w:pStyle w:val="NoSpacing"/>
              <w:jc w:val="right"/>
              <w:rPr>
                <w:b/>
                <w:bCs/>
              </w:rPr>
            </w:pPr>
            <w:r w:rsidRPr="00730DE4">
              <w:rPr>
                <w:rStyle w:val="Strong"/>
              </w:rPr>
              <w:t xml:space="preserve">427,537 </w:t>
            </w:r>
          </w:p>
        </w:tc>
        <w:tc>
          <w:tcPr>
            <w:tcW w:w="615" w:type="pct"/>
            <w:tcBorders>
              <w:top w:val="single" w:sz="4" w:space="0" w:color="auto"/>
              <w:left w:val="dotted" w:sz="4" w:space="0" w:color="BFBFBF" w:themeColor="background1" w:themeShade="BF"/>
              <w:bottom w:val="single" w:sz="4" w:space="0" w:color="auto"/>
              <w:right w:val="nil"/>
            </w:tcBorders>
            <w:shd w:val="clear" w:color="auto" w:fill="auto"/>
            <w:noWrap/>
            <w:hideMark/>
          </w:tcPr>
          <w:p w14:paraId="74EA420D" w14:textId="77777777" w:rsidR="00730DE4" w:rsidRPr="00730DE4" w:rsidRDefault="00730DE4" w:rsidP="00362B44">
            <w:pPr>
              <w:pStyle w:val="NoSpacing"/>
              <w:jc w:val="right"/>
              <w:rPr>
                <w:rStyle w:val="Strong"/>
              </w:rPr>
            </w:pPr>
            <w:r w:rsidRPr="00730DE4">
              <w:rPr>
                <w:rStyle w:val="Strong"/>
              </w:rPr>
              <w:t xml:space="preserve">331,360 </w:t>
            </w:r>
          </w:p>
        </w:tc>
      </w:tr>
      <w:tr w:rsidR="00730DE4" w:rsidRPr="00730DE4" w14:paraId="4BA2D454" w14:textId="77777777" w:rsidTr="00163849">
        <w:tc>
          <w:tcPr>
            <w:tcW w:w="3768" w:type="pct"/>
            <w:tcBorders>
              <w:top w:val="single" w:sz="4" w:space="0" w:color="auto"/>
              <w:left w:val="nil"/>
              <w:bottom w:val="single" w:sz="4" w:space="0" w:color="auto"/>
              <w:right w:val="dotted" w:sz="4" w:space="0" w:color="BFBFBF" w:themeColor="background1" w:themeShade="BF"/>
            </w:tcBorders>
            <w:shd w:val="clear" w:color="auto" w:fill="auto"/>
            <w:noWrap/>
            <w:hideMark/>
          </w:tcPr>
          <w:p w14:paraId="21F8EB74" w14:textId="77777777" w:rsidR="00730DE4" w:rsidRPr="00730DE4" w:rsidRDefault="00730DE4" w:rsidP="00362B44">
            <w:pPr>
              <w:pStyle w:val="NoSpacing"/>
              <w:rPr>
                <w:b/>
                <w:bCs/>
              </w:rPr>
            </w:pPr>
            <w:r w:rsidRPr="00730DE4">
              <w:rPr>
                <w:rStyle w:val="Strong"/>
              </w:rPr>
              <w:t>Total assets</w:t>
            </w:r>
          </w:p>
        </w:tc>
        <w:tc>
          <w:tcPr>
            <w:tcW w:w="617"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hideMark/>
          </w:tcPr>
          <w:p w14:paraId="656D8579" w14:textId="77777777" w:rsidR="00730DE4" w:rsidRPr="00730DE4" w:rsidRDefault="00730DE4" w:rsidP="00362B44">
            <w:pPr>
              <w:pStyle w:val="NoSpacing"/>
              <w:jc w:val="right"/>
              <w:rPr>
                <w:b/>
                <w:bCs/>
              </w:rPr>
            </w:pPr>
            <w:r w:rsidRPr="00730DE4">
              <w:rPr>
                <w:rStyle w:val="Strong"/>
              </w:rPr>
              <w:t xml:space="preserve">492,135 </w:t>
            </w:r>
          </w:p>
        </w:tc>
        <w:tc>
          <w:tcPr>
            <w:tcW w:w="615" w:type="pct"/>
            <w:tcBorders>
              <w:top w:val="single" w:sz="4" w:space="0" w:color="auto"/>
              <w:left w:val="dotted" w:sz="4" w:space="0" w:color="BFBFBF" w:themeColor="background1" w:themeShade="BF"/>
              <w:bottom w:val="single" w:sz="4" w:space="0" w:color="auto"/>
              <w:right w:val="nil"/>
            </w:tcBorders>
            <w:shd w:val="clear" w:color="auto" w:fill="auto"/>
            <w:noWrap/>
            <w:hideMark/>
          </w:tcPr>
          <w:p w14:paraId="35A665F9" w14:textId="77777777" w:rsidR="00730DE4" w:rsidRPr="00730DE4" w:rsidRDefault="00730DE4" w:rsidP="00362B44">
            <w:pPr>
              <w:pStyle w:val="NoSpacing"/>
              <w:jc w:val="right"/>
              <w:rPr>
                <w:rStyle w:val="Strong"/>
              </w:rPr>
            </w:pPr>
            <w:r w:rsidRPr="00730DE4">
              <w:rPr>
                <w:rStyle w:val="Strong"/>
              </w:rPr>
              <w:t xml:space="preserve">379,468 </w:t>
            </w:r>
          </w:p>
        </w:tc>
      </w:tr>
      <w:tr w:rsidR="00730DE4" w:rsidRPr="00730DE4" w14:paraId="2D96AE81" w14:textId="77777777" w:rsidTr="00163849">
        <w:trPr>
          <w:trHeight w:val="454"/>
        </w:trPr>
        <w:tc>
          <w:tcPr>
            <w:tcW w:w="3768"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40B8704F" w14:textId="77777777" w:rsidR="00730DE4" w:rsidRPr="00730DE4" w:rsidRDefault="00730DE4" w:rsidP="00362B44">
            <w:pPr>
              <w:pStyle w:val="NoSpacing"/>
              <w:rPr>
                <w:b/>
                <w:bCs/>
              </w:rPr>
            </w:pPr>
            <w:r w:rsidRPr="00730DE4">
              <w:rPr>
                <w:rStyle w:val="Strong"/>
              </w:rPr>
              <w:t>Administered liabilities</w:t>
            </w:r>
          </w:p>
        </w:tc>
        <w:tc>
          <w:tcPr>
            <w:tcW w:w="617"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7EB95FB6" w14:textId="77777777" w:rsidR="00730DE4" w:rsidRPr="00730DE4" w:rsidRDefault="00730DE4" w:rsidP="00362B44">
            <w:pPr>
              <w:pStyle w:val="NoSpacing"/>
              <w:jc w:val="right"/>
              <w:rPr>
                <w:rStyle w:val="Strong"/>
              </w:rPr>
            </w:pPr>
          </w:p>
        </w:tc>
        <w:tc>
          <w:tcPr>
            <w:tcW w:w="615"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vAlign w:val="bottom"/>
          </w:tcPr>
          <w:p w14:paraId="2899C13B" w14:textId="77777777" w:rsidR="00730DE4" w:rsidRPr="00730DE4" w:rsidRDefault="00730DE4" w:rsidP="00362B44">
            <w:pPr>
              <w:pStyle w:val="NoSpacing"/>
              <w:jc w:val="right"/>
            </w:pPr>
          </w:p>
        </w:tc>
      </w:tr>
      <w:tr w:rsidR="00730DE4" w:rsidRPr="00730DE4" w14:paraId="06CC2B65" w14:textId="77777777" w:rsidTr="008A2F83">
        <w:trPr>
          <w:trHeight w:val="240"/>
        </w:trPr>
        <w:tc>
          <w:tcPr>
            <w:tcW w:w="376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08B15BF0" w14:textId="77777777" w:rsidR="00730DE4" w:rsidRPr="00730DE4" w:rsidRDefault="00730DE4" w:rsidP="00362B44">
            <w:pPr>
              <w:pStyle w:val="NoSpacing"/>
              <w:rPr>
                <w:i/>
                <w:iCs/>
              </w:rPr>
            </w:pPr>
            <w:r w:rsidRPr="00730DE4">
              <w:rPr>
                <w:i/>
                <w:iCs/>
              </w:rPr>
              <w:t>Current</w:t>
            </w:r>
          </w:p>
        </w:tc>
        <w:tc>
          <w:tcPr>
            <w:tcW w:w="61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1720CE32" w14:textId="77777777" w:rsidR="00730DE4" w:rsidRPr="00730DE4" w:rsidRDefault="00730DE4" w:rsidP="00362B44">
            <w:pPr>
              <w:pStyle w:val="NoSpacing"/>
              <w:jc w:val="right"/>
              <w:rPr>
                <w:i/>
                <w:iCs/>
              </w:rPr>
            </w:pPr>
          </w:p>
        </w:tc>
        <w:tc>
          <w:tcPr>
            <w:tcW w:w="615"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0931CFE" w14:textId="77777777" w:rsidR="00730DE4" w:rsidRPr="00730DE4" w:rsidRDefault="00730DE4" w:rsidP="00362B44">
            <w:pPr>
              <w:pStyle w:val="NoSpacing"/>
              <w:jc w:val="right"/>
            </w:pPr>
          </w:p>
        </w:tc>
      </w:tr>
      <w:tr w:rsidR="00730DE4" w:rsidRPr="00730DE4" w14:paraId="2E66F42B" w14:textId="77777777" w:rsidTr="00163849">
        <w:trPr>
          <w:trHeight w:val="240"/>
        </w:trPr>
        <w:tc>
          <w:tcPr>
            <w:tcW w:w="376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61A9837A" w14:textId="77777777" w:rsidR="00730DE4" w:rsidRPr="00730DE4" w:rsidRDefault="00730DE4" w:rsidP="00362B44">
            <w:pPr>
              <w:pStyle w:val="NoSpacing"/>
            </w:pPr>
            <w:r w:rsidRPr="00730DE4">
              <w:t>Payables</w:t>
            </w:r>
          </w:p>
        </w:tc>
        <w:tc>
          <w:tcPr>
            <w:tcW w:w="61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3F25CB98" w14:textId="77777777" w:rsidR="00730DE4" w:rsidRPr="00730DE4" w:rsidRDefault="00730DE4" w:rsidP="00362B44">
            <w:pPr>
              <w:pStyle w:val="NoSpacing"/>
              <w:jc w:val="right"/>
            </w:pPr>
            <w:r w:rsidRPr="00730DE4">
              <w:t xml:space="preserve">58,179 </w:t>
            </w:r>
          </w:p>
        </w:tc>
        <w:tc>
          <w:tcPr>
            <w:tcW w:w="615"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8004BC1" w14:textId="77777777" w:rsidR="00730DE4" w:rsidRPr="00730DE4" w:rsidRDefault="00730DE4" w:rsidP="00362B44">
            <w:pPr>
              <w:pStyle w:val="NoSpacing"/>
              <w:jc w:val="right"/>
            </w:pPr>
            <w:r w:rsidRPr="00730DE4">
              <w:t xml:space="preserve">38,383 </w:t>
            </w:r>
          </w:p>
        </w:tc>
      </w:tr>
      <w:tr w:rsidR="00730DE4" w:rsidRPr="00730DE4" w14:paraId="21311340" w14:textId="77777777" w:rsidTr="00163849">
        <w:trPr>
          <w:trHeight w:val="240"/>
        </w:trPr>
        <w:tc>
          <w:tcPr>
            <w:tcW w:w="3768"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3EB1F348" w14:textId="77777777" w:rsidR="00730DE4" w:rsidRPr="00730DE4" w:rsidRDefault="00730DE4" w:rsidP="00362B44">
            <w:pPr>
              <w:pStyle w:val="NoSpacing"/>
            </w:pPr>
            <w:r w:rsidRPr="00730DE4">
              <w:t>Unearned revenue</w:t>
            </w:r>
          </w:p>
        </w:tc>
        <w:tc>
          <w:tcPr>
            <w:tcW w:w="617"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4BCEECF1" w14:textId="77777777" w:rsidR="00730DE4" w:rsidRPr="00730DE4" w:rsidRDefault="00730DE4" w:rsidP="00362B44">
            <w:pPr>
              <w:pStyle w:val="NoSpacing"/>
              <w:jc w:val="right"/>
            </w:pPr>
            <w:r w:rsidRPr="00730DE4">
              <w:t xml:space="preserve">5,840 </w:t>
            </w:r>
          </w:p>
        </w:tc>
        <w:tc>
          <w:tcPr>
            <w:tcW w:w="615"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5C64C6F2" w14:textId="77777777" w:rsidR="00730DE4" w:rsidRPr="00730DE4" w:rsidRDefault="00730DE4" w:rsidP="00362B44">
            <w:pPr>
              <w:pStyle w:val="NoSpacing"/>
              <w:jc w:val="right"/>
            </w:pPr>
            <w:r w:rsidRPr="00730DE4">
              <w:t xml:space="preserve">5,789 </w:t>
            </w:r>
          </w:p>
        </w:tc>
      </w:tr>
      <w:tr w:rsidR="00730DE4" w:rsidRPr="00730DE4" w14:paraId="7C908F08" w14:textId="77777777" w:rsidTr="00163849">
        <w:tc>
          <w:tcPr>
            <w:tcW w:w="3768" w:type="pct"/>
            <w:tcBorders>
              <w:top w:val="single" w:sz="4" w:space="0" w:color="auto"/>
              <w:left w:val="nil"/>
              <w:bottom w:val="single" w:sz="4" w:space="0" w:color="auto"/>
              <w:right w:val="dotted" w:sz="4" w:space="0" w:color="BFBFBF" w:themeColor="background1" w:themeShade="BF"/>
            </w:tcBorders>
            <w:shd w:val="clear" w:color="auto" w:fill="auto"/>
            <w:noWrap/>
            <w:hideMark/>
          </w:tcPr>
          <w:p w14:paraId="72BC2FDA" w14:textId="77777777" w:rsidR="00730DE4" w:rsidRPr="00730DE4" w:rsidRDefault="00730DE4" w:rsidP="004B7C3B">
            <w:pPr>
              <w:pStyle w:val="NoSpacing"/>
              <w:rPr>
                <w:b/>
                <w:bCs/>
              </w:rPr>
            </w:pPr>
            <w:r w:rsidRPr="00730DE4">
              <w:rPr>
                <w:rStyle w:val="Strong"/>
              </w:rPr>
              <w:t>Total current liabilities</w:t>
            </w:r>
          </w:p>
        </w:tc>
        <w:tc>
          <w:tcPr>
            <w:tcW w:w="617"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hideMark/>
          </w:tcPr>
          <w:p w14:paraId="3884A17A" w14:textId="77777777" w:rsidR="00730DE4" w:rsidRPr="00730DE4" w:rsidRDefault="00730DE4" w:rsidP="004B7C3B">
            <w:pPr>
              <w:pStyle w:val="NoSpacing"/>
              <w:jc w:val="right"/>
              <w:rPr>
                <w:b/>
                <w:bCs/>
              </w:rPr>
            </w:pPr>
            <w:r w:rsidRPr="00730DE4">
              <w:rPr>
                <w:rStyle w:val="Strong"/>
              </w:rPr>
              <w:t xml:space="preserve">64,019 </w:t>
            </w:r>
          </w:p>
        </w:tc>
        <w:tc>
          <w:tcPr>
            <w:tcW w:w="615" w:type="pct"/>
            <w:tcBorders>
              <w:top w:val="single" w:sz="4" w:space="0" w:color="auto"/>
              <w:left w:val="dotted" w:sz="4" w:space="0" w:color="BFBFBF" w:themeColor="background1" w:themeShade="BF"/>
              <w:bottom w:val="single" w:sz="4" w:space="0" w:color="auto"/>
              <w:right w:val="nil"/>
            </w:tcBorders>
            <w:shd w:val="clear" w:color="auto" w:fill="auto"/>
            <w:noWrap/>
            <w:hideMark/>
          </w:tcPr>
          <w:p w14:paraId="533392B8" w14:textId="77777777" w:rsidR="00730DE4" w:rsidRPr="00730DE4" w:rsidRDefault="00730DE4" w:rsidP="004B7C3B">
            <w:pPr>
              <w:pStyle w:val="NoSpacing"/>
              <w:jc w:val="right"/>
              <w:rPr>
                <w:rStyle w:val="Strong"/>
              </w:rPr>
            </w:pPr>
            <w:r w:rsidRPr="00730DE4">
              <w:rPr>
                <w:rStyle w:val="Strong"/>
              </w:rPr>
              <w:t xml:space="preserve">44,172 </w:t>
            </w:r>
          </w:p>
        </w:tc>
      </w:tr>
      <w:tr w:rsidR="00730DE4" w:rsidRPr="00730DE4" w14:paraId="5FDD7162" w14:textId="77777777" w:rsidTr="00163849">
        <w:tc>
          <w:tcPr>
            <w:tcW w:w="3768"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50CC1F37" w14:textId="77777777" w:rsidR="00730DE4" w:rsidRPr="00730DE4" w:rsidRDefault="00730DE4" w:rsidP="00362B44">
            <w:pPr>
              <w:pStyle w:val="NoSpacing"/>
              <w:rPr>
                <w:i/>
                <w:iCs/>
              </w:rPr>
            </w:pPr>
            <w:r w:rsidRPr="00730DE4">
              <w:rPr>
                <w:i/>
                <w:iCs/>
              </w:rPr>
              <w:t xml:space="preserve">Non-current </w:t>
            </w:r>
          </w:p>
        </w:tc>
        <w:tc>
          <w:tcPr>
            <w:tcW w:w="617"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41D65DD1" w14:textId="77777777" w:rsidR="00730DE4" w:rsidRPr="00730DE4" w:rsidRDefault="00730DE4" w:rsidP="00362B44">
            <w:pPr>
              <w:pStyle w:val="NoSpacing"/>
              <w:jc w:val="right"/>
              <w:rPr>
                <w:b/>
                <w:bCs/>
              </w:rPr>
            </w:pPr>
            <w:r w:rsidRPr="00730DE4">
              <w:rPr>
                <w:rStyle w:val="Strong"/>
              </w:rPr>
              <w:t> </w:t>
            </w:r>
          </w:p>
        </w:tc>
        <w:tc>
          <w:tcPr>
            <w:tcW w:w="615"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7D9F6C9" w14:textId="77777777" w:rsidR="00730DE4" w:rsidRPr="00730DE4" w:rsidRDefault="00730DE4" w:rsidP="00362B44">
            <w:pPr>
              <w:pStyle w:val="NoSpacing"/>
              <w:jc w:val="right"/>
            </w:pPr>
          </w:p>
        </w:tc>
      </w:tr>
      <w:tr w:rsidR="00730DE4" w:rsidRPr="00730DE4" w14:paraId="05E48CEF" w14:textId="77777777" w:rsidTr="00163849">
        <w:tc>
          <w:tcPr>
            <w:tcW w:w="3768"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4D5399D0" w14:textId="77777777" w:rsidR="00730DE4" w:rsidRPr="00730DE4" w:rsidRDefault="00730DE4" w:rsidP="00362B44">
            <w:pPr>
              <w:pStyle w:val="NoSpacing"/>
            </w:pPr>
            <w:r w:rsidRPr="00730DE4">
              <w:t>Payables **</w:t>
            </w:r>
          </w:p>
        </w:tc>
        <w:tc>
          <w:tcPr>
            <w:tcW w:w="617"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1B4098E8" w14:textId="77777777" w:rsidR="00730DE4" w:rsidRPr="00730DE4" w:rsidRDefault="00730DE4" w:rsidP="00362B44">
            <w:pPr>
              <w:pStyle w:val="NoSpacing"/>
              <w:jc w:val="right"/>
            </w:pPr>
            <w:r w:rsidRPr="00730DE4">
              <w:t xml:space="preserve">282,261 </w:t>
            </w:r>
          </w:p>
        </w:tc>
        <w:tc>
          <w:tcPr>
            <w:tcW w:w="615"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1836B5AE" w14:textId="77777777" w:rsidR="00730DE4" w:rsidRPr="00730DE4" w:rsidRDefault="00730DE4" w:rsidP="00362B44">
            <w:pPr>
              <w:pStyle w:val="NoSpacing"/>
              <w:jc w:val="right"/>
            </w:pPr>
            <w:r w:rsidRPr="00730DE4">
              <w:t xml:space="preserve">197,033 </w:t>
            </w:r>
          </w:p>
        </w:tc>
      </w:tr>
      <w:tr w:rsidR="00730DE4" w:rsidRPr="00730DE4" w14:paraId="0079C939" w14:textId="77777777" w:rsidTr="00390F2D">
        <w:tc>
          <w:tcPr>
            <w:tcW w:w="3768" w:type="pct"/>
            <w:tcBorders>
              <w:top w:val="single" w:sz="4" w:space="0" w:color="auto"/>
              <w:left w:val="nil"/>
              <w:bottom w:val="single" w:sz="4" w:space="0" w:color="auto"/>
              <w:right w:val="dotted" w:sz="4" w:space="0" w:color="BFBFBF" w:themeColor="background1" w:themeShade="BF"/>
            </w:tcBorders>
            <w:shd w:val="clear" w:color="auto" w:fill="auto"/>
            <w:noWrap/>
            <w:hideMark/>
          </w:tcPr>
          <w:p w14:paraId="2BFF738F" w14:textId="77777777" w:rsidR="00730DE4" w:rsidRPr="00730DE4" w:rsidRDefault="00730DE4" w:rsidP="00362B44">
            <w:pPr>
              <w:pStyle w:val="NoSpacing"/>
              <w:rPr>
                <w:b/>
                <w:bCs/>
              </w:rPr>
            </w:pPr>
            <w:r w:rsidRPr="00730DE4">
              <w:rPr>
                <w:rStyle w:val="Strong"/>
              </w:rPr>
              <w:t>Total non-current liabilities</w:t>
            </w:r>
          </w:p>
        </w:tc>
        <w:tc>
          <w:tcPr>
            <w:tcW w:w="617"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0200FA69" w14:textId="77777777" w:rsidR="00730DE4" w:rsidRPr="00730DE4" w:rsidRDefault="00730DE4" w:rsidP="00390F2D">
            <w:pPr>
              <w:pStyle w:val="NoSpacing"/>
              <w:jc w:val="right"/>
              <w:rPr>
                <w:b/>
              </w:rPr>
            </w:pPr>
            <w:r w:rsidRPr="00730DE4">
              <w:rPr>
                <w:rStyle w:val="Strong"/>
              </w:rPr>
              <w:t>282,261</w:t>
            </w:r>
          </w:p>
        </w:tc>
        <w:tc>
          <w:tcPr>
            <w:tcW w:w="615" w:type="pct"/>
            <w:tcBorders>
              <w:top w:val="single" w:sz="4" w:space="0" w:color="auto"/>
              <w:left w:val="dotted" w:sz="4" w:space="0" w:color="BFBFBF" w:themeColor="background1" w:themeShade="BF"/>
              <w:bottom w:val="single" w:sz="4" w:space="0" w:color="auto"/>
              <w:right w:val="nil"/>
            </w:tcBorders>
            <w:shd w:val="clear" w:color="auto" w:fill="auto"/>
            <w:noWrap/>
            <w:vAlign w:val="bottom"/>
            <w:hideMark/>
          </w:tcPr>
          <w:p w14:paraId="7A93503A" w14:textId="77777777" w:rsidR="00730DE4" w:rsidRPr="00730DE4" w:rsidRDefault="00730DE4" w:rsidP="00390F2D">
            <w:pPr>
              <w:pStyle w:val="NoSpacing"/>
              <w:jc w:val="right"/>
              <w:rPr>
                <w:rStyle w:val="Strong"/>
              </w:rPr>
            </w:pPr>
            <w:r w:rsidRPr="00730DE4">
              <w:rPr>
                <w:rStyle w:val="Strong"/>
              </w:rPr>
              <w:t>197,033</w:t>
            </w:r>
          </w:p>
        </w:tc>
      </w:tr>
      <w:tr w:rsidR="00730DE4" w:rsidRPr="00730DE4" w14:paraId="11136A6D" w14:textId="77777777" w:rsidTr="00163849">
        <w:tc>
          <w:tcPr>
            <w:tcW w:w="3768" w:type="pct"/>
            <w:tcBorders>
              <w:top w:val="single" w:sz="4" w:space="0" w:color="auto"/>
              <w:left w:val="nil"/>
              <w:bottom w:val="single" w:sz="4" w:space="0" w:color="auto"/>
              <w:right w:val="dotted" w:sz="4" w:space="0" w:color="BFBFBF" w:themeColor="background1" w:themeShade="BF"/>
            </w:tcBorders>
            <w:shd w:val="clear" w:color="auto" w:fill="auto"/>
            <w:noWrap/>
            <w:hideMark/>
          </w:tcPr>
          <w:p w14:paraId="5B293565" w14:textId="77777777" w:rsidR="00730DE4" w:rsidRPr="00730DE4" w:rsidRDefault="00730DE4" w:rsidP="00362B44">
            <w:pPr>
              <w:pStyle w:val="NoSpacing"/>
              <w:rPr>
                <w:b/>
                <w:bCs/>
              </w:rPr>
            </w:pPr>
            <w:r w:rsidRPr="00730DE4">
              <w:rPr>
                <w:rStyle w:val="Strong"/>
              </w:rPr>
              <w:t>Total liabilities</w:t>
            </w:r>
          </w:p>
        </w:tc>
        <w:tc>
          <w:tcPr>
            <w:tcW w:w="617"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hideMark/>
          </w:tcPr>
          <w:p w14:paraId="56F24B8B" w14:textId="77777777" w:rsidR="00730DE4" w:rsidRPr="00730DE4" w:rsidRDefault="00730DE4" w:rsidP="00362B44">
            <w:pPr>
              <w:pStyle w:val="NoSpacing"/>
              <w:jc w:val="right"/>
              <w:rPr>
                <w:b/>
                <w:bCs/>
              </w:rPr>
            </w:pPr>
            <w:r w:rsidRPr="00730DE4">
              <w:rPr>
                <w:rStyle w:val="Strong"/>
              </w:rPr>
              <w:t xml:space="preserve">346,280 </w:t>
            </w:r>
          </w:p>
        </w:tc>
        <w:tc>
          <w:tcPr>
            <w:tcW w:w="615" w:type="pct"/>
            <w:tcBorders>
              <w:top w:val="single" w:sz="4" w:space="0" w:color="auto"/>
              <w:left w:val="dotted" w:sz="4" w:space="0" w:color="BFBFBF" w:themeColor="background1" w:themeShade="BF"/>
              <w:bottom w:val="single" w:sz="4" w:space="0" w:color="auto"/>
              <w:right w:val="nil"/>
            </w:tcBorders>
            <w:shd w:val="clear" w:color="auto" w:fill="auto"/>
            <w:noWrap/>
            <w:hideMark/>
          </w:tcPr>
          <w:p w14:paraId="2848EF5C" w14:textId="77777777" w:rsidR="00730DE4" w:rsidRPr="00730DE4" w:rsidRDefault="00730DE4" w:rsidP="00362B44">
            <w:pPr>
              <w:pStyle w:val="NoSpacing"/>
              <w:jc w:val="right"/>
              <w:rPr>
                <w:rStyle w:val="Strong"/>
              </w:rPr>
            </w:pPr>
            <w:r w:rsidRPr="00730DE4">
              <w:rPr>
                <w:rStyle w:val="Strong"/>
              </w:rPr>
              <w:t xml:space="preserve">241,205 </w:t>
            </w:r>
          </w:p>
        </w:tc>
      </w:tr>
      <w:tr w:rsidR="00730DE4" w:rsidRPr="00730DE4" w14:paraId="0067E41A" w14:textId="77777777" w:rsidTr="00163849">
        <w:trPr>
          <w:trHeight w:val="454"/>
        </w:trPr>
        <w:tc>
          <w:tcPr>
            <w:tcW w:w="3768" w:type="pct"/>
            <w:tcBorders>
              <w:top w:val="single" w:sz="4" w:space="0" w:color="auto"/>
              <w:left w:val="nil"/>
              <w:bottom w:val="double" w:sz="4" w:space="0" w:color="auto"/>
              <w:right w:val="dotted" w:sz="4" w:space="0" w:color="BFBFBF" w:themeColor="background1" w:themeShade="BF"/>
            </w:tcBorders>
            <w:shd w:val="clear" w:color="auto" w:fill="auto"/>
            <w:noWrap/>
            <w:vAlign w:val="bottom"/>
            <w:hideMark/>
          </w:tcPr>
          <w:p w14:paraId="30E68E72" w14:textId="77777777" w:rsidR="00730DE4" w:rsidRPr="00730DE4" w:rsidRDefault="00730DE4" w:rsidP="00163849">
            <w:pPr>
              <w:pStyle w:val="NoSpacing"/>
              <w:rPr>
                <w:b/>
                <w:bCs/>
              </w:rPr>
            </w:pPr>
            <w:r w:rsidRPr="00730DE4">
              <w:rPr>
                <w:rStyle w:val="Strong"/>
              </w:rPr>
              <w:t>Net administered assets</w:t>
            </w:r>
          </w:p>
        </w:tc>
        <w:tc>
          <w:tcPr>
            <w:tcW w:w="617"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vAlign w:val="bottom"/>
            <w:hideMark/>
          </w:tcPr>
          <w:p w14:paraId="17F383C2" w14:textId="77777777" w:rsidR="00730DE4" w:rsidRPr="00730DE4" w:rsidRDefault="00730DE4" w:rsidP="00163849">
            <w:pPr>
              <w:pStyle w:val="NoSpacing"/>
              <w:jc w:val="right"/>
              <w:rPr>
                <w:b/>
                <w:bCs/>
              </w:rPr>
            </w:pPr>
            <w:r w:rsidRPr="00730DE4">
              <w:rPr>
                <w:rStyle w:val="Strong"/>
              </w:rPr>
              <w:t xml:space="preserve">145,855 </w:t>
            </w:r>
          </w:p>
        </w:tc>
        <w:tc>
          <w:tcPr>
            <w:tcW w:w="615" w:type="pct"/>
            <w:tcBorders>
              <w:top w:val="single" w:sz="4" w:space="0" w:color="auto"/>
              <w:left w:val="dotted" w:sz="4" w:space="0" w:color="BFBFBF" w:themeColor="background1" w:themeShade="BF"/>
              <w:bottom w:val="double" w:sz="4" w:space="0" w:color="auto"/>
              <w:right w:val="nil"/>
            </w:tcBorders>
            <w:shd w:val="clear" w:color="auto" w:fill="auto"/>
            <w:noWrap/>
            <w:vAlign w:val="bottom"/>
            <w:hideMark/>
          </w:tcPr>
          <w:p w14:paraId="741262DE" w14:textId="77777777" w:rsidR="00730DE4" w:rsidRPr="00730DE4" w:rsidRDefault="00730DE4" w:rsidP="00163849">
            <w:pPr>
              <w:pStyle w:val="NoSpacing"/>
              <w:jc w:val="right"/>
              <w:rPr>
                <w:rStyle w:val="Strong"/>
              </w:rPr>
            </w:pPr>
            <w:r w:rsidRPr="00730DE4">
              <w:rPr>
                <w:rStyle w:val="Strong"/>
              </w:rPr>
              <w:t xml:space="preserve">138,263 </w:t>
            </w:r>
          </w:p>
        </w:tc>
      </w:tr>
      <w:tr w:rsidR="00730DE4" w:rsidRPr="00730DE4" w14:paraId="4D7A0FE0" w14:textId="77777777" w:rsidTr="00163849">
        <w:trPr>
          <w:trHeight w:val="454"/>
        </w:trPr>
        <w:tc>
          <w:tcPr>
            <w:tcW w:w="3768" w:type="pct"/>
            <w:tcBorders>
              <w:top w:val="doub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CA659E4" w14:textId="77777777" w:rsidR="00730DE4" w:rsidRPr="00730DE4" w:rsidRDefault="00730DE4" w:rsidP="00362B44">
            <w:pPr>
              <w:pStyle w:val="NoSpacing"/>
              <w:rPr>
                <w:b/>
                <w:bCs/>
              </w:rPr>
            </w:pPr>
            <w:r w:rsidRPr="00730DE4">
              <w:rPr>
                <w:rStyle w:val="Strong"/>
              </w:rPr>
              <w:t>Administered equity</w:t>
            </w:r>
          </w:p>
        </w:tc>
        <w:tc>
          <w:tcPr>
            <w:tcW w:w="617"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04D34C43" w14:textId="77777777" w:rsidR="00730DE4" w:rsidRPr="00730DE4" w:rsidRDefault="00730DE4" w:rsidP="00362B44">
            <w:pPr>
              <w:pStyle w:val="NoSpacing"/>
              <w:jc w:val="right"/>
              <w:rPr>
                <w:rStyle w:val="Strong"/>
              </w:rPr>
            </w:pPr>
          </w:p>
        </w:tc>
        <w:tc>
          <w:tcPr>
            <w:tcW w:w="615" w:type="pct"/>
            <w:tcBorders>
              <w:top w:val="double" w:sz="4" w:space="0" w:color="auto"/>
              <w:left w:val="dotted" w:sz="4" w:space="0" w:color="BFBFBF" w:themeColor="background1" w:themeShade="BF"/>
              <w:bottom w:val="dotted" w:sz="4" w:space="0" w:color="BFBFBF" w:themeColor="background1" w:themeShade="BF"/>
              <w:right w:val="nil"/>
            </w:tcBorders>
            <w:shd w:val="clear" w:color="auto" w:fill="auto"/>
            <w:noWrap/>
            <w:vAlign w:val="bottom"/>
          </w:tcPr>
          <w:p w14:paraId="39214C54" w14:textId="77777777" w:rsidR="00730DE4" w:rsidRPr="00730DE4" w:rsidRDefault="00730DE4" w:rsidP="00362B44">
            <w:pPr>
              <w:pStyle w:val="NoSpacing"/>
              <w:jc w:val="right"/>
            </w:pPr>
          </w:p>
        </w:tc>
      </w:tr>
      <w:tr w:rsidR="00730DE4" w:rsidRPr="00730DE4" w14:paraId="74588C55" w14:textId="77777777" w:rsidTr="008A2F83">
        <w:trPr>
          <w:trHeight w:val="240"/>
        </w:trPr>
        <w:tc>
          <w:tcPr>
            <w:tcW w:w="376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5EBFEAA7" w14:textId="77777777" w:rsidR="00730DE4" w:rsidRPr="00730DE4" w:rsidRDefault="00730DE4" w:rsidP="00362B44">
            <w:pPr>
              <w:pStyle w:val="NoSpacing"/>
            </w:pPr>
            <w:r w:rsidRPr="00730DE4">
              <w:t>Contributed equity</w:t>
            </w:r>
          </w:p>
        </w:tc>
        <w:tc>
          <w:tcPr>
            <w:tcW w:w="61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0399E030" w14:textId="77777777" w:rsidR="00730DE4" w:rsidRPr="00730DE4" w:rsidRDefault="00730DE4" w:rsidP="00362B44">
            <w:pPr>
              <w:pStyle w:val="NoSpacing"/>
              <w:jc w:val="right"/>
            </w:pPr>
            <w:r w:rsidRPr="00730DE4">
              <w:t>(1,002)</w:t>
            </w:r>
          </w:p>
        </w:tc>
        <w:tc>
          <w:tcPr>
            <w:tcW w:w="615"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413A4AE8" w14:textId="77777777" w:rsidR="00730DE4" w:rsidRPr="00730DE4" w:rsidRDefault="00730DE4" w:rsidP="00362B44">
            <w:pPr>
              <w:pStyle w:val="NoSpacing"/>
              <w:jc w:val="right"/>
            </w:pPr>
            <w:r w:rsidRPr="00730DE4">
              <w:t xml:space="preserve">3,648 </w:t>
            </w:r>
          </w:p>
        </w:tc>
      </w:tr>
      <w:tr w:rsidR="00730DE4" w:rsidRPr="00730DE4" w14:paraId="5A30EC0B" w14:textId="77777777" w:rsidTr="00163849">
        <w:trPr>
          <w:trHeight w:val="240"/>
        </w:trPr>
        <w:tc>
          <w:tcPr>
            <w:tcW w:w="376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040C81DC" w14:textId="77777777" w:rsidR="00730DE4" w:rsidRPr="00730DE4" w:rsidRDefault="00730DE4" w:rsidP="00362B44">
            <w:pPr>
              <w:pStyle w:val="NoSpacing"/>
            </w:pPr>
            <w:r w:rsidRPr="00730DE4">
              <w:t>Accumulated deficit</w:t>
            </w:r>
          </w:p>
        </w:tc>
        <w:tc>
          <w:tcPr>
            <w:tcW w:w="61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EDE7477" w14:textId="77777777" w:rsidR="00730DE4" w:rsidRPr="00730DE4" w:rsidRDefault="00730DE4" w:rsidP="00362B44">
            <w:pPr>
              <w:pStyle w:val="NoSpacing"/>
              <w:jc w:val="right"/>
            </w:pPr>
            <w:r w:rsidRPr="00730DE4">
              <w:t>(76,466)</w:t>
            </w:r>
          </w:p>
        </w:tc>
        <w:tc>
          <w:tcPr>
            <w:tcW w:w="615"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726E520" w14:textId="77777777" w:rsidR="00730DE4" w:rsidRPr="00730DE4" w:rsidRDefault="00730DE4" w:rsidP="00362B44">
            <w:pPr>
              <w:pStyle w:val="NoSpacing"/>
              <w:jc w:val="right"/>
            </w:pPr>
            <w:r w:rsidRPr="00730DE4">
              <w:t>(76,460)</w:t>
            </w:r>
          </w:p>
        </w:tc>
      </w:tr>
      <w:tr w:rsidR="00730DE4" w:rsidRPr="00730DE4" w14:paraId="0FCF9120" w14:textId="77777777" w:rsidTr="00163849">
        <w:trPr>
          <w:trHeight w:val="240"/>
        </w:trPr>
        <w:tc>
          <w:tcPr>
            <w:tcW w:w="3768"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21DC3FA9" w14:textId="77777777" w:rsidR="00730DE4" w:rsidRPr="00730DE4" w:rsidRDefault="00730DE4" w:rsidP="00362B44">
            <w:pPr>
              <w:pStyle w:val="NoSpacing"/>
            </w:pPr>
            <w:r w:rsidRPr="00730DE4">
              <w:t>Asset revaluation surplus</w:t>
            </w:r>
          </w:p>
        </w:tc>
        <w:tc>
          <w:tcPr>
            <w:tcW w:w="617"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1982EBD2" w14:textId="77777777" w:rsidR="00730DE4" w:rsidRPr="00730DE4" w:rsidRDefault="00730DE4" w:rsidP="00362B44">
            <w:pPr>
              <w:pStyle w:val="NoSpacing"/>
              <w:jc w:val="right"/>
            </w:pPr>
            <w:r w:rsidRPr="00730DE4">
              <w:t xml:space="preserve">223,323 </w:t>
            </w:r>
          </w:p>
        </w:tc>
        <w:tc>
          <w:tcPr>
            <w:tcW w:w="615"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4E9D9E52" w14:textId="77777777" w:rsidR="00730DE4" w:rsidRPr="00730DE4" w:rsidRDefault="00730DE4" w:rsidP="00362B44">
            <w:pPr>
              <w:pStyle w:val="NoSpacing"/>
              <w:jc w:val="right"/>
            </w:pPr>
            <w:r w:rsidRPr="00730DE4">
              <w:t xml:space="preserve">211,075 </w:t>
            </w:r>
          </w:p>
        </w:tc>
      </w:tr>
      <w:tr w:rsidR="00730DE4" w:rsidRPr="00730DE4" w14:paraId="3C97930A" w14:textId="77777777" w:rsidTr="00163849">
        <w:tc>
          <w:tcPr>
            <w:tcW w:w="3768"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28FF2A3B" w14:textId="77777777" w:rsidR="00730DE4" w:rsidRPr="00730DE4" w:rsidRDefault="00730DE4" w:rsidP="00362B44">
            <w:pPr>
              <w:pStyle w:val="NoSpacing"/>
              <w:rPr>
                <w:b/>
                <w:bCs/>
              </w:rPr>
            </w:pPr>
            <w:r w:rsidRPr="00730DE4">
              <w:rPr>
                <w:rStyle w:val="Strong"/>
              </w:rPr>
              <w:t>Total administered equity</w:t>
            </w:r>
          </w:p>
        </w:tc>
        <w:tc>
          <w:tcPr>
            <w:tcW w:w="617"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6003D659" w14:textId="77777777" w:rsidR="00730DE4" w:rsidRPr="00730DE4" w:rsidRDefault="00730DE4" w:rsidP="00362B44">
            <w:pPr>
              <w:pStyle w:val="NoSpacing"/>
              <w:jc w:val="right"/>
              <w:rPr>
                <w:b/>
                <w:bCs/>
              </w:rPr>
            </w:pPr>
            <w:r w:rsidRPr="00730DE4">
              <w:rPr>
                <w:rStyle w:val="Strong"/>
              </w:rPr>
              <w:t xml:space="preserve">145,855 </w:t>
            </w:r>
          </w:p>
        </w:tc>
        <w:tc>
          <w:tcPr>
            <w:tcW w:w="615" w:type="pct"/>
            <w:tcBorders>
              <w:top w:val="single" w:sz="4" w:space="0" w:color="auto"/>
              <w:left w:val="dotted" w:sz="4" w:space="0" w:color="BFBFBF" w:themeColor="background1" w:themeShade="BF"/>
              <w:bottom w:val="double" w:sz="4" w:space="0" w:color="auto"/>
              <w:right w:val="nil"/>
            </w:tcBorders>
            <w:shd w:val="clear" w:color="auto" w:fill="auto"/>
            <w:noWrap/>
            <w:hideMark/>
          </w:tcPr>
          <w:p w14:paraId="0E430806" w14:textId="77777777" w:rsidR="00730DE4" w:rsidRPr="00730DE4" w:rsidRDefault="00730DE4" w:rsidP="00362B44">
            <w:pPr>
              <w:pStyle w:val="NoSpacing"/>
              <w:jc w:val="right"/>
              <w:rPr>
                <w:rStyle w:val="Strong"/>
              </w:rPr>
            </w:pPr>
            <w:r w:rsidRPr="00730DE4">
              <w:rPr>
                <w:rStyle w:val="Strong"/>
              </w:rPr>
              <w:t xml:space="preserve">138,263 </w:t>
            </w:r>
          </w:p>
        </w:tc>
      </w:tr>
      <w:tr w:rsidR="00730DE4" w:rsidRPr="00730DE4" w14:paraId="57F2EE76" w14:textId="77777777" w:rsidTr="00163849">
        <w:trPr>
          <w:trHeight w:val="454"/>
        </w:trPr>
        <w:tc>
          <w:tcPr>
            <w:tcW w:w="3768" w:type="pct"/>
            <w:tcBorders>
              <w:top w:val="doub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1DF0BDB4" w14:textId="77777777" w:rsidR="00730DE4" w:rsidRPr="00730DE4" w:rsidRDefault="00730DE4" w:rsidP="00362B44">
            <w:pPr>
              <w:pStyle w:val="NoSpacing"/>
            </w:pPr>
            <w:bookmarkStart w:id="1639" w:name="_Hlk101962715"/>
            <w:r w:rsidRPr="00730DE4">
              <w:t xml:space="preserve">* </w:t>
            </w:r>
            <w:r w:rsidRPr="00730DE4">
              <w:rPr>
                <w:rStyle w:val="Strong"/>
              </w:rPr>
              <w:t>User charges, fees and fines includes:</w:t>
            </w:r>
          </w:p>
        </w:tc>
        <w:tc>
          <w:tcPr>
            <w:tcW w:w="617"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tcPr>
          <w:p w14:paraId="37AA586A" w14:textId="77777777" w:rsidR="00730DE4" w:rsidRPr="00730DE4" w:rsidRDefault="00730DE4" w:rsidP="00362B44">
            <w:pPr>
              <w:pStyle w:val="NoSpacing"/>
              <w:jc w:val="right"/>
            </w:pPr>
          </w:p>
        </w:tc>
        <w:tc>
          <w:tcPr>
            <w:tcW w:w="615" w:type="pct"/>
            <w:tcBorders>
              <w:top w:val="double" w:sz="4" w:space="0" w:color="auto"/>
              <w:left w:val="dotted" w:sz="4" w:space="0" w:color="BFBFBF" w:themeColor="background1" w:themeShade="BF"/>
              <w:bottom w:val="dotted" w:sz="4" w:space="0" w:color="BFBFBF" w:themeColor="background1" w:themeShade="BF"/>
              <w:right w:val="nil"/>
            </w:tcBorders>
            <w:shd w:val="clear" w:color="auto" w:fill="auto"/>
            <w:noWrap/>
            <w:vAlign w:val="bottom"/>
          </w:tcPr>
          <w:p w14:paraId="1D0EB2ED" w14:textId="77777777" w:rsidR="00730DE4" w:rsidRPr="00730DE4" w:rsidRDefault="00730DE4" w:rsidP="00362B44">
            <w:pPr>
              <w:pStyle w:val="NoSpacing"/>
              <w:jc w:val="right"/>
            </w:pPr>
          </w:p>
        </w:tc>
      </w:tr>
      <w:tr w:rsidR="00730DE4" w:rsidRPr="00730DE4" w14:paraId="5E51502D" w14:textId="77777777" w:rsidTr="008A2F83">
        <w:trPr>
          <w:trHeight w:val="240"/>
        </w:trPr>
        <w:tc>
          <w:tcPr>
            <w:tcW w:w="376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1DB2FFD5" w14:textId="77777777" w:rsidR="00730DE4" w:rsidRPr="00730DE4" w:rsidRDefault="00730DE4" w:rsidP="00362B44">
            <w:pPr>
              <w:pStyle w:val="NoSpacing"/>
            </w:pPr>
            <w:r w:rsidRPr="00730DE4">
              <w:t>Fines and forfeiture ***</w:t>
            </w:r>
          </w:p>
        </w:tc>
        <w:tc>
          <w:tcPr>
            <w:tcW w:w="61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70D557C" w14:textId="77777777" w:rsidR="00730DE4" w:rsidRPr="00730DE4" w:rsidRDefault="00730DE4" w:rsidP="00362B44">
            <w:pPr>
              <w:pStyle w:val="NoSpacing"/>
              <w:jc w:val="right"/>
            </w:pPr>
            <w:r w:rsidRPr="00730DE4">
              <w:t xml:space="preserve">- </w:t>
            </w:r>
          </w:p>
        </w:tc>
        <w:tc>
          <w:tcPr>
            <w:tcW w:w="615"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5955E59" w14:textId="77777777" w:rsidR="00730DE4" w:rsidRPr="00730DE4" w:rsidRDefault="00730DE4" w:rsidP="00362B44">
            <w:pPr>
              <w:pStyle w:val="NoSpacing"/>
              <w:jc w:val="right"/>
            </w:pPr>
            <w:r w:rsidRPr="00730DE4">
              <w:t xml:space="preserve">32,171 </w:t>
            </w:r>
          </w:p>
        </w:tc>
      </w:tr>
      <w:tr w:rsidR="00730DE4" w:rsidRPr="00730DE4" w14:paraId="43A6EEF9" w14:textId="77777777" w:rsidTr="008A2F83">
        <w:trPr>
          <w:trHeight w:val="240"/>
        </w:trPr>
        <w:tc>
          <w:tcPr>
            <w:tcW w:w="376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07DB200" w14:textId="77777777" w:rsidR="00730DE4" w:rsidRPr="00730DE4" w:rsidRDefault="00730DE4" w:rsidP="00362B44">
            <w:pPr>
              <w:pStyle w:val="NoSpacing"/>
            </w:pPr>
            <w:r w:rsidRPr="00730DE4">
              <w:t>Motor vehicle registration</w:t>
            </w:r>
          </w:p>
        </w:tc>
        <w:tc>
          <w:tcPr>
            <w:tcW w:w="61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21229A2B" w14:textId="77777777" w:rsidR="00730DE4" w:rsidRPr="00730DE4" w:rsidRDefault="00730DE4" w:rsidP="00362B44">
            <w:pPr>
              <w:pStyle w:val="NoSpacing"/>
              <w:jc w:val="right"/>
            </w:pPr>
            <w:r w:rsidRPr="00730DE4">
              <w:t xml:space="preserve">2,375,297 </w:t>
            </w:r>
          </w:p>
        </w:tc>
        <w:tc>
          <w:tcPr>
            <w:tcW w:w="615"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47813A50" w14:textId="77777777" w:rsidR="00730DE4" w:rsidRPr="00730DE4" w:rsidRDefault="00730DE4" w:rsidP="00362B44">
            <w:pPr>
              <w:pStyle w:val="NoSpacing"/>
              <w:jc w:val="right"/>
            </w:pPr>
            <w:r w:rsidRPr="00730DE4">
              <w:t xml:space="preserve">2,230,061 </w:t>
            </w:r>
          </w:p>
        </w:tc>
      </w:tr>
      <w:tr w:rsidR="00730DE4" w:rsidRPr="00730DE4" w14:paraId="549748EB" w14:textId="77777777" w:rsidTr="008A2F83">
        <w:trPr>
          <w:trHeight w:val="240"/>
        </w:trPr>
        <w:tc>
          <w:tcPr>
            <w:tcW w:w="376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62A8D1D" w14:textId="77777777" w:rsidR="00730DE4" w:rsidRPr="00730DE4" w:rsidRDefault="00730DE4" w:rsidP="00362B44">
            <w:pPr>
              <w:pStyle w:val="NoSpacing"/>
            </w:pPr>
            <w:r w:rsidRPr="00730DE4">
              <w:t>Transport and traffic fees</w:t>
            </w:r>
          </w:p>
        </w:tc>
        <w:tc>
          <w:tcPr>
            <w:tcW w:w="61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59747663" w14:textId="77777777" w:rsidR="00730DE4" w:rsidRPr="00730DE4" w:rsidRDefault="00730DE4" w:rsidP="00362B44">
            <w:pPr>
              <w:pStyle w:val="NoSpacing"/>
              <w:jc w:val="right"/>
            </w:pPr>
            <w:r w:rsidRPr="00730DE4">
              <w:t xml:space="preserve">564,032 </w:t>
            </w:r>
          </w:p>
        </w:tc>
        <w:tc>
          <w:tcPr>
            <w:tcW w:w="615"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3EEA0AF" w14:textId="77777777" w:rsidR="00730DE4" w:rsidRPr="00730DE4" w:rsidRDefault="00730DE4" w:rsidP="00362B44">
            <w:pPr>
              <w:pStyle w:val="NoSpacing"/>
              <w:jc w:val="right"/>
            </w:pPr>
            <w:r w:rsidRPr="00730DE4">
              <w:t xml:space="preserve">553,512 </w:t>
            </w:r>
          </w:p>
        </w:tc>
      </w:tr>
      <w:tr w:rsidR="00730DE4" w:rsidRPr="00730DE4" w14:paraId="06066138" w14:textId="77777777" w:rsidTr="008A2F83">
        <w:trPr>
          <w:trHeight w:val="240"/>
        </w:trPr>
        <w:tc>
          <w:tcPr>
            <w:tcW w:w="376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4AD53610" w14:textId="77777777" w:rsidR="00730DE4" w:rsidRPr="00730DE4" w:rsidRDefault="00730DE4" w:rsidP="00362B44">
            <w:pPr>
              <w:pStyle w:val="NoSpacing"/>
            </w:pPr>
            <w:r w:rsidRPr="00730DE4">
              <w:t>Other registration</w:t>
            </w:r>
          </w:p>
        </w:tc>
        <w:tc>
          <w:tcPr>
            <w:tcW w:w="61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7087E3B8" w14:textId="77777777" w:rsidR="00730DE4" w:rsidRPr="00730DE4" w:rsidRDefault="00730DE4" w:rsidP="00362B44">
            <w:pPr>
              <w:pStyle w:val="NoSpacing"/>
              <w:jc w:val="right"/>
            </w:pPr>
            <w:r w:rsidRPr="00730DE4">
              <w:t xml:space="preserve">93,332 </w:t>
            </w:r>
          </w:p>
        </w:tc>
        <w:tc>
          <w:tcPr>
            <w:tcW w:w="615"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837F6DE" w14:textId="77777777" w:rsidR="00730DE4" w:rsidRPr="00730DE4" w:rsidRDefault="00730DE4" w:rsidP="00362B44">
            <w:pPr>
              <w:pStyle w:val="NoSpacing"/>
              <w:jc w:val="right"/>
            </w:pPr>
            <w:r w:rsidRPr="00730DE4">
              <w:t xml:space="preserve">91,270 </w:t>
            </w:r>
          </w:p>
        </w:tc>
      </w:tr>
      <w:tr w:rsidR="00730DE4" w:rsidRPr="00730DE4" w14:paraId="4124016F" w14:textId="77777777" w:rsidTr="00163849">
        <w:trPr>
          <w:trHeight w:val="240"/>
        </w:trPr>
        <w:tc>
          <w:tcPr>
            <w:tcW w:w="376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3DCC4828" w14:textId="77777777" w:rsidR="00730DE4" w:rsidRPr="00730DE4" w:rsidRDefault="00730DE4" w:rsidP="00362B44">
            <w:pPr>
              <w:pStyle w:val="NoSpacing"/>
            </w:pPr>
            <w:r w:rsidRPr="00730DE4">
              <w:t>Other regulatory fees</w:t>
            </w:r>
          </w:p>
        </w:tc>
        <w:tc>
          <w:tcPr>
            <w:tcW w:w="61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0F903D1" w14:textId="77777777" w:rsidR="00730DE4" w:rsidRPr="00730DE4" w:rsidRDefault="00730DE4" w:rsidP="00362B44">
            <w:pPr>
              <w:pStyle w:val="NoSpacing"/>
              <w:jc w:val="right"/>
            </w:pPr>
            <w:r w:rsidRPr="00730DE4">
              <w:t xml:space="preserve">82,535 </w:t>
            </w:r>
          </w:p>
        </w:tc>
        <w:tc>
          <w:tcPr>
            <w:tcW w:w="615"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4C14483C" w14:textId="77777777" w:rsidR="00730DE4" w:rsidRPr="00730DE4" w:rsidRDefault="00730DE4" w:rsidP="00362B44">
            <w:pPr>
              <w:pStyle w:val="NoSpacing"/>
              <w:jc w:val="right"/>
            </w:pPr>
            <w:r w:rsidRPr="00730DE4">
              <w:t xml:space="preserve">81,318 </w:t>
            </w:r>
          </w:p>
        </w:tc>
      </w:tr>
      <w:tr w:rsidR="00730DE4" w:rsidRPr="00730DE4" w14:paraId="7786C8A0" w14:textId="77777777" w:rsidTr="00163849">
        <w:tc>
          <w:tcPr>
            <w:tcW w:w="3768"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1D57DEC9" w14:textId="77777777" w:rsidR="00730DE4" w:rsidRPr="00730DE4" w:rsidRDefault="00730DE4" w:rsidP="00362B44">
            <w:pPr>
              <w:pStyle w:val="NoSpacing"/>
            </w:pPr>
            <w:r w:rsidRPr="00730DE4">
              <w:t>Other</w:t>
            </w:r>
          </w:p>
        </w:tc>
        <w:tc>
          <w:tcPr>
            <w:tcW w:w="617"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vAlign w:val="bottom"/>
            <w:hideMark/>
          </w:tcPr>
          <w:p w14:paraId="4F0A883B" w14:textId="77777777" w:rsidR="00730DE4" w:rsidRPr="00730DE4" w:rsidRDefault="00730DE4" w:rsidP="00362B44">
            <w:pPr>
              <w:pStyle w:val="NoSpacing"/>
              <w:jc w:val="right"/>
            </w:pPr>
            <w:r w:rsidRPr="00730DE4">
              <w:t xml:space="preserve">1,156 </w:t>
            </w:r>
          </w:p>
        </w:tc>
        <w:tc>
          <w:tcPr>
            <w:tcW w:w="615"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621916A6" w14:textId="77777777" w:rsidR="00730DE4" w:rsidRPr="00730DE4" w:rsidRDefault="00730DE4" w:rsidP="00362B44">
            <w:pPr>
              <w:pStyle w:val="NoSpacing"/>
              <w:jc w:val="right"/>
            </w:pPr>
            <w:r w:rsidRPr="00730DE4">
              <w:t xml:space="preserve">1,090 </w:t>
            </w:r>
          </w:p>
        </w:tc>
      </w:tr>
      <w:tr w:rsidR="00730DE4" w:rsidRPr="00730DE4" w14:paraId="074D70DE" w14:textId="77777777" w:rsidTr="00163849">
        <w:tc>
          <w:tcPr>
            <w:tcW w:w="3768"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08CB98AA" w14:textId="77777777" w:rsidR="00730DE4" w:rsidRPr="00730DE4" w:rsidRDefault="00730DE4" w:rsidP="00362B44">
            <w:pPr>
              <w:pStyle w:val="NoSpacing"/>
              <w:rPr>
                <w:rStyle w:val="Strong"/>
              </w:rPr>
            </w:pPr>
            <w:r w:rsidRPr="00730DE4">
              <w:rPr>
                <w:rStyle w:val="Strong"/>
              </w:rPr>
              <w:t>Total</w:t>
            </w:r>
          </w:p>
        </w:tc>
        <w:tc>
          <w:tcPr>
            <w:tcW w:w="617"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05AC7306" w14:textId="77777777" w:rsidR="00730DE4" w:rsidRPr="00730DE4" w:rsidRDefault="00730DE4" w:rsidP="00362B44">
            <w:pPr>
              <w:pStyle w:val="NoSpacing"/>
              <w:jc w:val="right"/>
              <w:rPr>
                <w:rStyle w:val="Strong"/>
              </w:rPr>
            </w:pPr>
            <w:r w:rsidRPr="00730DE4">
              <w:rPr>
                <w:rStyle w:val="Strong"/>
              </w:rPr>
              <w:t xml:space="preserve">3,116,352 </w:t>
            </w:r>
          </w:p>
        </w:tc>
        <w:tc>
          <w:tcPr>
            <w:tcW w:w="615" w:type="pct"/>
            <w:tcBorders>
              <w:top w:val="single" w:sz="4" w:space="0" w:color="auto"/>
              <w:left w:val="dotted" w:sz="4" w:space="0" w:color="BFBFBF" w:themeColor="background1" w:themeShade="BF"/>
              <w:bottom w:val="double" w:sz="4" w:space="0" w:color="auto"/>
              <w:right w:val="nil"/>
            </w:tcBorders>
            <w:shd w:val="clear" w:color="auto" w:fill="auto"/>
            <w:noWrap/>
            <w:hideMark/>
          </w:tcPr>
          <w:p w14:paraId="43C568AC" w14:textId="77777777" w:rsidR="00730DE4" w:rsidRPr="00730DE4" w:rsidRDefault="00730DE4" w:rsidP="00362B44">
            <w:pPr>
              <w:pStyle w:val="NoSpacing"/>
              <w:jc w:val="right"/>
              <w:rPr>
                <w:rStyle w:val="Strong"/>
              </w:rPr>
            </w:pPr>
            <w:r w:rsidRPr="00730DE4">
              <w:rPr>
                <w:rStyle w:val="Strong"/>
              </w:rPr>
              <w:t xml:space="preserve">2,989,422 </w:t>
            </w:r>
          </w:p>
        </w:tc>
      </w:tr>
    </w:tbl>
    <w:p w14:paraId="40EFBB15" w14:textId="77777777" w:rsidR="00730DE4" w:rsidRPr="00730DE4" w:rsidRDefault="00730DE4" w:rsidP="00390F2D">
      <w:pPr>
        <w:pStyle w:val="List1"/>
      </w:pPr>
      <w:r w:rsidRPr="00730DE4">
        <w:t>** Represents $282.261m of payables in 2024 (2023: $197.033m) relating to grant funding for the Cross River Rail Delivery Authority.</w:t>
      </w:r>
    </w:p>
    <w:p w14:paraId="47E8E494" w14:textId="77777777" w:rsidR="00730DE4" w:rsidRPr="00730DE4" w:rsidRDefault="00730DE4" w:rsidP="00390F2D">
      <w:pPr>
        <w:pStyle w:val="List6"/>
      </w:pPr>
      <w:r w:rsidRPr="00730DE4">
        <w:t>*** Fines and forfeiture functions were transferred to the Queensland Revenue Office within Queensland Treasury effective 1 December 2022.</w:t>
      </w:r>
    </w:p>
    <w:p w14:paraId="4C95D456" w14:textId="77777777" w:rsidR="00730DE4" w:rsidRPr="00730DE4" w:rsidRDefault="00730DE4" w:rsidP="00D16D4F">
      <w:pPr>
        <w:pStyle w:val="Heading4"/>
      </w:pPr>
      <w:r w:rsidRPr="00730DE4">
        <w:br w:type="page"/>
      </w:r>
    </w:p>
    <w:p w14:paraId="2AFFC787" w14:textId="77777777" w:rsidR="00730DE4" w:rsidRPr="00730DE4" w:rsidRDefault="00730DE4" w:rsidP="00D16D4F">
      <w:pPr>
        <w:pStyle w:val="Heading4"/>
      </w:pPr>
      <w:bookmarkStart w:id="1640" w:name="_Toc179365625"/>
      <w:bookmarkStart w:id="1641" w:name="_Toc180490974"/>
      <w:bookmarkStart w:id="1642" w:name="_Toc180492007"/>
      <w:r w:rsidRPr="00730DE4">
        <w:t>29 Administered appropriations</w:t>
      </w:r>
      <w:bookmarkEnd w:id="1640"/>
      <w:bookmarkEnd w:id="1641"/>
      <w:bookmarkEnd w:id="1642"/>
    </w:p>
    <w:p w14:paraId="3196492E" w14:textId="77777777" w:rsidR="00730DE4" w:rsidRPr="00730DE4" w:rsidRDefault="00730DE4" w:rsidP="00B6006F">
      <w:pPr>
        <w:pStyle w:val="NoSpacing"/>
      </w:pPr>
    </w:p>
    <w:tbl>
      <w:tblPr>
        <w:tblW w:w="5000" w:type="pct"/>
        <w:tblLayout w:type="fixed"/>
        <w:tblCellMar>
          <w:top w:w="23" w:type="dxa"/>
          <w:left w:w="23" w:type="dxa"/>
          <w:bottom w:w="23" w:type="dxa"/>
          <w:right w:w="23" w:type="dxa"/>
        </w:tblCellMar>
        <w:tblLook w:val="04A0" w:firstRow="1" w:lastRow="0" w:firstColumn="1" w:lastColumn="0" w:noHBand="0" w:noVBand="1"/>
      </w:tblPr>
      <w:tblGrid>
        <w:gridCol w:w="6804"/>
        <w:gridCol w:w="1132"/>
        <w:gridCol w:w="1134"/>
      </w:tblGrid>
      <w:tr w:rsidR="00730DE4" w:rsidRPr="00730DE4" w14:paraId="61935B24" w14:textId="77777777" w:rsidTr="008A2F83">
        <w:trPr>
          <w:trHeight w:val="240"/>
        </w:trPr>
        <w:tc>
          <w:tcPr>
            <w:tcW w:w="3751" w:type="pct"/>
            <w:tcBorders>
              <w:top w:val="nil"/>
              <w:left w:val="nil"/>
              <w:bottom w:val="single" w:sz="4" w:space="0" w:color="auto"/>
              <w:right w:val="nil"/>
            </w:tcBorders>
            <w:shd w:val="clear" w:color="auto" w:fill="auto"/>
            <w:noWrap/>
            <w:vAlign w:val="bottom"/>
            <w:hideMark/>
          </w:tcPr>
          <w:p w14:paraId="6D8239F5" w14:textId="77777777" w:rsidR="00730DE4" w:rsidRPr="00730DE4" w:rsidRDefault="00730DE4" w:rsidP="00362B44">
            <w:pPr>
              <w:pStyle w:val="NoSpacing"/>
              <w:rPr>
                <w:color w:val="080C0F" w:themeColor="text1"/>
              </w:rPr>
            </w:pPr>
          </w:p>
        </w:tc>
        <w:tc>
          <w:tcPr>
            <w:tcW w:w="624" w:type="pct"/>
            <w:tcBorders>
              <w:top w:val="nil"/>
              <w:left w:val="nil"/>
              <w:bottom w:val="single" w:sz="4" w:space="0" w:color="auto"/>
              <w:right w:val="nil"/>
            </w:tcBorders>
            <w:shd w:val="clear" w:color="auto" w:fill="auto"/>
            <w:noWrap/>
            <w:hideMark/>
          </w:tcPr>
          <w:p w14:paraId="37F65A73" w14:textId="77777777" w:rsidR="00730DE4" w:rsidRPr="00730DE4" w:rsidRDefault="00730DE4" w:rsidP="00362B44">
            <w:pPr>
              <w:pStyle w:val="NoSpacing"/>
              <w:jc w:val="right"/>
              <w:rPr>
                <w:rStyle w:val="Strong"/>
              </w:rPr>
            </w:pPr>
            <w:r w:rsidRPr="00730DE4">
              <w:rPr>
                <w:rStyle w:val="Strong"/>
              </w:rPr>
              <w:t xml:space="preserve">2024 </w:t>
            </w:r>
            <w:r w:rsidRPr="00730DE4">
              <w:rPr>
                <w:rStyle w:val="Strong"/>
              </w:rPr>
              <w:br/>
              <w:t>$'000</w:t>
            </w:r>
          </w:p>
        </w:tc>
        <w:tc>
          <w:tcPr>
            <w:tcW w:w="625" w:type="pct"/>
            <w:tcBorders>
              <w:top w:val="nil"/>
              <w:left w:val="nil"/>
              <w:bottom w:val="single" w:sz="4" w:space="0" w:color="auto"/>
              <w:right w:val="nil"/>
            </w:tcBorders>
            <w:shd w:val="clear" w:color="auto" w:fill="auto"/>
            <w:noWrap/>
            <w:hideMark/>
          </w:tcPr>
          <w:p w14:paraId="00F8BDBB" w14:textId="77777777" w:rsidR="00730DE4" w:rsidRPr="00730DE4" w:rsidRDefault="00730DE4" w:rsidP="00362B44">
            <w:pPr>
              <w:pStyle w:val="NoSpacing"/>
              <w:jc w:val="right"/>
              <w:rPr>
                <w:color w:val="080C0F" w:themeColor="text1"/>
              </w:rPr>
            </w:pPr>
            <w:r w:rsidRPr="00730DE4">
              <w:rPr>
                <w:rStyle w:val="Strong"/>
              </w:rPr>
              <w:t xml:space="preserve">2023 </w:t>
            </w:r>
            <w:r w:rsidRPr="00730DE4">
              <w:rPr>
                <w:rStyle w:val="Strong"/>
              </w:rPr>
              <w:br/>
              <w:t>$'000</w:t>
            </w:r>
          </w:p>
        </w:tc>
      </w:tr>
      <w:tr w:rsidR="00730DE4" w:rsidRPr="00730DE4" w14:paraId="550673D8" w14:textId="77777777" w:rsidTr="00C60C9C">
        <w:trPr>
          <w:trHeight w:val="680"/>
        </w:trPr>
        <w:tc>
          <w:tcPr>
            <w:tcW w:w="3751"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vAlign w:val="bottom"/>
          </w:tcPr>
          <w:p w14:paraId="6D1C545C" w14:textId="77777777" w:rsidR="00730DE4" w:rsidRPr="00730DE4" w:rsidRDefault="00730DE4" w:rsidP="00362B44">
            <w:pPr>
              <w:pStyle w:val="NoSpacing"/>
              <w:rPr>
                <w:rStyle w:val="Strong"/>
              </w:rPr>
            </w:pPr>
            <w:r w:rsidRPr="00730DE4">
              <w:rPr>
                <w:rStyle w:val="Strong"/>
              </w:rPr>
              <w:t>Reconciliation of payments from Consolidated Fund to administered income</w:t>
            </w:r>
          </w:p>
        </w:tc>
        <w:tc>
          <w:tcPr>
            <w:tcW w:w="624"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tcPr>
          <w:p w14:paraId="72DD4262" w14:textId="77777777" w:rsidR="00730DE4" w:rsidRPr="00730DE4" w:rsidRDefault="00730DE4" w:rsidP="00362B44">
            <w:pPr>
              <w:pStyle w:val="NoSpacing"/>
              <w:jc w:val="right"/>
              <w:rPr>
                <w:rStyle w:val="Strong"/>
              </w:rPr>
            </w:pPr>
          </w:p>
        </w:tc>
        <w:tc>
          <w:tcPr>
            <w:tcW w:w="625"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tcPr>
          <w:p w14:paraId="2D489846" w14:textId="77777777" w:rsidR="00730DE4" w:rsidRPr="00730DE4" w:rsidRDefault="00730DE4" w:rsidP="00362B44">
            <w:pPr>
              <w:pStyle w:val="NoSpacing"/>
              <w:jc w:val="right"/>
              <w:rPr>
                <w:rStyle w:val="Strong"/>
              </w:rPr>
            </w:pPr>
          </w:p>
        </w:tc>
      </w:tr>
      <w:tr w:rsidR="00730DE4" w:rsidRPr="00730DE4" w14:paraId="3782FFD9" w14:textId="77777777" w:rsidTr="008A2F83">
        <w:trPr>
          <w:trHeight w:val="240"/>
        </w:trPr>
        <w:tc>
          <w:tcPr>
            <w:tcW w:w="3751"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3970B12" w14:textId="77777777" w:rsidR="00730DE4" w:rsidRPr="00730DE4" w:rsidRDefault="00730DE4" w:rsidP="00362B44">
            <w:pPr>
              <w:pStyle w:val="NoSpacing"/>
              <w:rPr>
                <w:color w:val="080C0F" w:themeColor="text1"/>
              </w:rPr>
            </w:pPr>
            <w:r w:rsidRPr="00730DE4">
              <w:rPr>
                <w:color w:val="080C0F" w:themeColor="text1"/>
              </w:rPr>
              <w:t>Budgeted administered appropriation revenue</w:t>
            </w:r>
          </w:p>
        </w:tc>
        <w:tc>
          <w:tcPr>
            <w:tcW w:w="62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04909712" w14:textId="77777777" w:rsidR="00730DE4" w:rsidRPr="00730DE4" w:rsidRDefault="00730DE4" w:rsidP="00362B44">
            <w:pPr>
              <w:pStyle w:val="NoSpacing"/>
              <w:jc w:val="right"/>
              <w:rPr>
                <w:color w:val="080C0F" w:themeColor="text1"/>
              </w:rPr>
            </w:pPr>
            <w:r w:rsidRPr="00730DE4">
              <w:rPr>
                <w:color w:val="080C0F" w:themeColor="text1"/>
              </w:rPr>
              <w:t xml:space="preserve">107,397 </w:t>
            </w:r>
          </w:p>
        </w:tc>
        <w:tc>
          <w:tcPr>
            <w:tcW w:w="625"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hideMark/>
          </w:tcPr>
          <w:p w14:paraId="3A0045D0" w14:textId="77777777" w:rsidR="00730DE4" w:rsidRPr="00730DE4" w:rsidRDefault="00730DE4" w:rsidP="00362B44">
            <w:pPr>
              <w:pStyle w:val="NoSpacing"/>
              <w:jc w:val="right"/>
              <w:rPr>
                <w:color w:val="080C0F" w:themeColor="text1"/>
              </w:rPr>
            </w:pPr>
            <w:r w:rsidRPr="00730DE4">
              <w:rPr>
                <w:color w:val="080C0F" w:themeColor="text1"/>
              </w:rPr>
              <w:t xml:space="preserve">111,437 </w:t>
            </w:r>
          </w:p>
        </w:tc>
      </w:tr>
      <w:tr w:rsidR="00730DE4" w:rsidRPr="00730DE4" w14:paraId="0D9FCFB9" w14:textId="77777777" w:rsidTr="008A2F83">
        <w:trPr>
          <w:trHeight w:val="240"/>
        </w:trPr>
        <w:tc>
          <w:tcPr>
            <w:tcW w:w="3751"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379E0605" w14:textId="77777777" w:rsidR="00730DE4" w:rsidRPr="00730DE4" w:rsidRDefault="00730DE4" w:rsidP="00362B44">
            <w:pPr>
              <w:pStyle w:val="NoSpacing"/>
              <w:rPr>
                <w:color w:val="080C0F" w:themeColor="text1"/>
              </w:rPr>
            </w:pPr>
            <w:r w:rsidRPr="00730DE4">
              <w:rPr>
                <w:color w:val="080C0F" w:themeColor="text1"/>
              </w:rPr>
              <w:t>Unforeseen expenditure *</w:t>
            </w:r>
          </w:p>
        </w:tc>
        <w:tc>
          <w:tcPr>
            <w:tcW w:w="62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4459ADA8" w14:textId="77777777" w:rsidR="00730DE4" w:rsidRPr="00730DE4" w:rsidRDefault="00730DE4" w:rsidP="00362B44">
            <w:pPr>
              <w:pStyle w:val="NoSpacing"/>
              <w:jc w:val="right"/>
              <w:rPr>
                <w:color w:val="080C0F" w:themeColor="text1"/>
              </w:rPr>
            </w:pPr>
            <w:r w:rsidRPr="00730DE4">
              <w:rPr>
                <w:color w:val="080C0F" w:themeColor="text1"/>
              </w:rPr>
              <w:t>(62,725)</w:t>
            </w:r>
          </w:p>
        </w:tc>
        <w:tc>
          <w:tcPr>
            <w:tcW w:w="625"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hideMark/>
          </w:tcPr>
          <w:p w14:paraId="3F67D694" w14:textId="77777777" w:rsidR="00730DE4" w:rsidRPr="00730DE4" w:rsidRDefault="00730DE4" w:rsidP="00362B44">
            <w:pPr>
              <w:pStyle w:val="NoSpacing"/>
              <w:jc w:val="right"/>
              <w:rPr>
                <w:color w:val="080C0F" w:themeColor="text1"/>
              </w:rPr>
            </w:pPr>
            <w:r w:rsidRPr="00730DE4">
              <w:rPr>
                <w:color w:val="080C0F" w:themeColor="text1"/>
              </w:rPr>
              <w:t xml:space="preserve">- </w:t>
            </w:r>
          </w:p>
        </w:tc>
      </w:tr>
      <w:tr w:rsidR="00730DE4" w:rsidRPr="00730DE4" w14:paraId="0FF7920F" w14:textId="77777777" w:rsidTr="008A2F83">
        <w:trPr>
          <w:trHeight w:val="240"/>
        </w:trPr>
        <w:tc>
          <w:tcPr>
            <w:tcW w:w="3751"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46F0AB85" w14:textId="77777777" w:rsidR="00730DE4" w:rsidRPr="00730DE4" w:rsidRDefault="00730DE4" w:rsidP="00362B44">
            <w:pPr>
              <w:pStyle w:val="NoSpacing"/>
              <w:rPr>
                <w:color w:val="080C0F" w:themeColor="text1"/>
              </w:rPr>
            </w:pPr>
            <w:r w:rsidRPr="00730DE4">
              <w:rPr>
                <w:color w:val="080C0F" w:themeColor="text1"/>
              </w:rPr>
              <w:t>Transfers to other headings</w:t>
            </w:r>
          </w:p>
        </w:tc>
        <w:tc>
          <w:tcPr>
            <w:tcW w:w="624"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hideMark/>
          </w:tcPr>
          <w:p w14:paraId="19F0F9D1" w14:textId="77777777" w:rsidR="00730DE4" w:rsidRPr="00730DE4" w:rsidRDefault="00730DE4" w:rsidP="00362B44">
            <w:pPr>
              <w:pStyle w:val="NoSpacing"/>
              <w:jc w:val="right"/>
              <w:rPr>
                <w:color w:val="080C0F" w:themeColor="text1"/>
              </w:rPr>
            </w:pPr>
            <w:r w:rsidRPr="00730DE4">
              <w:rPr>
                <w:color w:val="080C0F" w:themeColor="text1"/>
              </w:rPr>
              <w:t xml:space="preserve">- </w:t>
            </w:r>
          </w:p>
        </w:tc>
        <w:tc>
          <w:tcPr>
            <w:tcW w:w="625"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hideMark/>
          </w:tcPr>
          <w:p w14:paraId="4CAC7B00" w14:textId="77777777" w:rsidR="00730DE4" w:rsidRPr="00730DE4" w:rsidRDefault="00730DE4" w:rsidP="00362B44">
            <w:pPr>
              <w:pStyle w:val="NoSpacing"/>
              <w:jc w:val="right"/>
              <w:rPr>
                <w:color w:val="080C0F" w:themeColor="text1"/>
              </w:rPr>
            </w:pPr>
            <w:r w:rsidRPr="00730DE4">
              <w:rPr>
                <w:color w:val="080C0F" w:themeColor="text1"/>
              </w:rPr>
              <w:t>(99,844)</w:t>
            </w:r>
          </w:p>
        </w:tc>
      </w:tr>
      <w:tr w:rsidR="00730DE4" w:rsidRPr="00730DE4" w14:paraId="1F21019D" w14:textId="77777777" w:rsidTr="00390F2D">
        <w:tc>
          <w:tcPr>
            <w:tcW w:w="3751"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hideMark/>
          </w:tcPr>
          <w:p w14:paraId="27AB01DF" w14:textId="77777777" w:rsidR="00730DE4" w:rsidRPr="00730DE4" w:rsidRDefault="00730DE4" w:rsidP="003B0A91">
            <w:pPr>
              <w:pStyle w:val="NoSpacing"/>
            </w:pPr>
            <w:r w:rsidRPr="00730DE4">
              <w:t>Total administered revenue</w:t>
            </w:r>
          </w:p>
        </w:tc>
        <w:tc>
          <w:tcPr>
            <w:tcW w:w="624"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vAlign w:val="bottom"/>
            <w:hideMark/>
          </w:tcPr>
          <w:p w14:paraId="6673993B" w14:textId="77777777" w:rsidR="00730DE4" w:rsidRPr="00730DE4" w:rsidRDefault="00730DE4" w:rsidP="00390F2D">
            <w:pPr>
              <w:pStyle w:val="NoSpacing"/>
              <w:jc w:val="right"/>
            </w:pPr>
            <w:r w:rsidRPr="00730DE4">
              <w:t xml:space="preserve">44,672 </w:t>
            </w:r>
          </w:p>
        </w:tc>
        <w:tc>
          <w:tcPr>
            <w:tcW w:w="625"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BCA68BC" w14:textId="77777777" w:rsidR="00730DE4" w:rsidRPr="00730DE4" w:rsidRDefault="00730DE4" w:rsidP="00390F2D">
            <w:pPr>
              <w:pStyle w:val="NoSpacing"/>
              <w:jc w:val="right"/>
            </w:pPr>
            <w:r w:rsidRPr="00730DE4">
              <w:t xml:space="preserve">11,593 </w:t>
            </w:r>
          </w:p>
        </w:tc>
      </w:tr>
      <w:tr w:rsidR="00730DE4" w:rsidRPr="00730DE4" w14:paraId="2B27452E" w14:textId="77777777" w:rsidTr="00C60C9C">
        <w:trPr>
          <w:trHeight w:val="240"/>
        </w:trPr>
        <w:tc>
          <w:tcPr>
            <w:tcW w:w="3751"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5047ADB0" w14:textId="77777777" w:rsidR="00730DE4" w:rsidRPr="00730DE4" w:rsidRDefault="00730DE4" w:rsidP="00362B44">
            <w:pPr>
              <w:pStyle w:val="NoSpacing"/>
              <w:rPr>
                <w:color w:val="080C0F" w:themeColor="text1"/>
              </w:rPr>
            </w:pPr>
            <w:r w:rsidRPr="00730DE4">
              <w:rPr>
                <w:color w:val="080C0F" w:themeColor="text1"/>
              </w:rPr>
              <w:t>Less: Opening balance of administered revenue receivable</w:t>
            </w:r>
          </w:p>
        </w:tc>
        <w:tc>
          <w:tcPr>
            <w:tcW w:w="62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68DF27FB" w14:textId="77777777" w:rsidR="00730DE4" w:rsidRPr="00730DE4" w:rsidRDefault="00730DE4" w:rsidP="00362B44">
            <w:pPr>
              <w:pStyle w:val="NoSpacing"/>
              <w:jc w:val="right"/>
              <w:rPr>
                <w:color w:val="080C0F" w:themeColor="text1"/>
              </w:rPr>
            </w:pPr>
            <w:r w:rsidRPr="00730DE4">
              <w:rPr>
                <w:color w:val="080C0F" w:themeColor="text1"/>
              </w:rPr>
              <w:t>(196,678)</w:t>
            </w:r>
          </w:p>
        </w:tc>
        <w:tc>
          <w:tcPr>
            <w:tcW w:w="625"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hideMark/>
          </w:tcPr>
          <w:p w14:paraId="540DA95D" w14:textId="77777777" w:rsidR="00730DE4" w:rsidRPr="00730DE4" w:rsidRDefault="00730DE4" w:rsidP="00362B44">
            <w:pPr>
              <w:pStyle w:val="NoSpacing"/>
              <w:jc w:val="right"/>
              <w:rPr>
                <w:color w:val="080C0F" w:themeColor="text1"/>
              </w:rPr>
            </w:pPr>
            <w:r w:rsidRPr="00730DE4">
              <w:rPr>
                <w:color w:val="080C0F" w:themeColor="text1"/>
              </w:rPr>
              <w:t>(127,101)</w:t>
            </w:r>
          </w:p>
        </w:tc>
      </w:tr>
      <w:tr w:rsidR="00730DE4" w:rsidRPr="00730DE4" w14:paraId="0E30F965" w14:textId="77777777" w:rsidTr="00C60C9C">
        <w:trPr>
          <w:trHeight w:val="240"/>
        </w:trPr>
        <w:tc>
          <w:tcPr>
            <w:tcW w:w="3751"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1C95BADF" w14:textId="77777777" w:rsidR="00730DE4" w:rsidRPr="00730DE4" w:rsidRDefault="00730DE4" w:rsidP="00362B44">
            <w:pPr>
              <w:pStyle w:val="NoSpacing"/>
              <w:rPr>
                <w:color w:val="080C0F" w:themeColor="text1"/>
              </w:rPr>
            </w:pPr>
            <w:r w:rsidRPr="00730DE4">
              <w:rPr>
                <w:color w:val="080C0F" w:themeColor="text1"/>
              </w:rPr>
              <w:t>Plus: Closing balance of administered revenue receivable</w:t>
            </w:r>
          </w:p>
        </w:tc>
        <w:tc>
          <w:tcPr>
            <w:tcW w:w="624"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hideMark/>
          </w:tcPr>
          <w:p w14:paraId="372EC997" w14:textId="77777777" w:rsidR="00730DE4" w:rsidRPr="00730DE4" w:rsidRDefault="00730DE4" w:rsidP="00362B44">
            <w:pPr>
              <w:pStyle w:val="NoSpacing"/>
              <w:jc w:val="right"/>
              <w:rPr>
                <w:color w:val="080C0F" w:themeColor="text1"/>
              </w:rPr>
            </w:pPr>
            <w:r w:rsidRPr="00730DE4">
              <w:rPr>
                <w:color w:val="080C0F" w:themeColor="text1"/>
              </w:rPr>
              <w:t xml:space="preserve">282,954 </w:t>
            </w:r>
          </w:p>
        </w:tc>
        <w:tc>
          <w:tcPr>
            <w:tcW w:w="625"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hideMark/>
          </w:tcPr>
          <w:p w14:paraId="18F871C3" w14:textId="77777777" w:rsidR="00730DE4" w:rsidRPr="00730DE4" w:rsidRDefault="00730DE4" w:rsidP="00362B44">
            <w:pPr>
              <w:pStyle w:val="NoSpacing"/>
              <w:jc w:val="right"/>
              <w:rPr>
                <w:color w:val="080C0F" w:themeColor="text1"/>
              </w:rPr>
            </w:pPr>
            <w:r w:rsidRPr="00730DE4">
              <w:rPr>
                <w:color w:val="080C0F" w:themeColor="text1"/>
              </w:rPr>
              <w:t xml:space="preserve">196,678 </w:t>
            </w:r>
          </w:p>
        </w:tc>
      </w:tr>
      <w:tr w:rsidR="00730DE4" w:rsidRPr="00730DE4" w14:paraId="5BE04832" w14:textId="77777777" w:rsidTr="00C60C9C">
        <w:tc>
          <w:tcPr>
            <w:tcW w:w="3751"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07DC49F9" w14:textId="77777777" w:rsidR="00730DE4" w:rsidRPr="00730DE4" w:rsidRDefault="00730DE4" w:rsidP="00362B44">
            <w:pPr>
              <w:pStyle w:val="NoSpacing"/>
              <w:rPr>
                <w:color w:val="080C0F" w:themeColor="text1"/>
              </w:rPr>
            </w:pPr>
            <w:r w:rsidRPr="00730DE4">
              <w:rPr>
                <w:rStyle w:val="Strong"/>
              </w:rPr>
              <w:t>Administered income recognised in Note 28</w:t>
            </w:r>
          </w:p>
        </w:tc>
        <w:tc>
          <w:tcPr>
            <w:tcW w:w="624"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290E845D" w14:textId="77777777" w:rsidR="00730DE4" w:rsidRPr="00730DE4" w:rsidRDefault="00730DE4" w:rsidP="00362B44">
            <w:pPr>
              <w:pStyle w:val="NoSpacing"/>
              <w:jc w:val="right"/>
              <w:rPr>
                <w:color w:val="080C0F" w:themeColor="text1"/>
              </w:rPr>
            </w:pPr>
            <w:r w:rsidRPr="00730DE4">
              <w:rPr>
                <w:rStyle w:val="Strong"/>
              </w:rPr>
              <w:t xml:space="preserve">130,948 </w:t>
            </w:r>
          </w:p>
        </w:tc>
        <w:tc>
          <w:tcPr>
            <w:tcW w:w="625" w:type="pct"/>
            <w:tcBorders>
              <w:top w:val="single" w:sz="4" w:space="0" w:color="auto"/>
              <w:left w:val="dotted" w:sz="4" w:space="0" w:color="BFBFBF" w:themeColor="background1" w:themeShade="BF"/>
              <w:bottom w:val="double" w:sz="4" w:space="0" w:color="auto"/>
              <w:right w:val="nil"/>
            </w:tcBorders>
            <w:shd w:val="clear" w:color="auto" w:fill="auto"/>
            <w:noWrap/>
            <w:hideMark/>
          </w:tcPr>
          <w:p w14:paraId="2CF8B263" w14:textId="77777777" w:rsidR="00730DE4" w:rsidRPr="00730DE4" w:rsidRDefault="00730DE4" w:rsidP="00362B44">
            <w:pPr>
              <w:pStyle w:val="NoSpacing"/>
              <w:jc w:val="right"/>
              <w:rPr>
                <w:rStyle w:val="Strong"/>
              </w:rPr>
            </w:pPr>
            <w:r w:rsidRPr="00730DE4">
              <w:rPr>
                <w:rStyle w:val="Strong"/>
              </w:rPr>
              <w:t xml:space="preserve">81,170 </w:t>
            </w:r>
          </w:p>
        </w:tc>
      </w:tr>
      <w:tr w:rsidR="00730DE4" w:rsidRPr="00730DE4" w14:paraId="41B9CE2A" w14:textId="77777777" w:rsidTr="00C60C9C">
        <w:trPr>
          <w:trHeight w:val="680"/>
        </w:trPr>
        <w:tc>
          <w:tcPr>
            <w:tcW w:w="3751" w:type="pct"/>
            <w:tcBorders>
              <w:top w:val="doub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463E83E6" w14:textId="77777777" w:rsidR="00730DE4" w:rsidRPr="00730DE4" w:rsidRDefault="00730DE4" w:rsidP="00362B44">
            <w:pPr>
              <w:pStyle w:val="NoSpacing"/>
              <w:rPr>
                <w:color w:val="080C0F" w:themeColor="text1"/>
              </w:rPr>
            </w:pPr>
            <w:r w:rsidRPr="00730DE4">
              <w:rPr>
                <w:rStyle w:val="Strong"/>
              </w:rPr>
              <w:t>Reconciliation of payments from Consolidated Fund to administered equity adjustment</w:t>
            </w:r>
          </w:p>
        </w:tc>
        <w:tc>
          <w:tcPr>
            <w:tcW w:w="624"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tcPr>
          <w:p w14:paraId="6756F14F" w14:textId="77777777" w:rsidR="00730DE4" w:rsidRPr="00730DE4" w:rsidRDefault="00730DE4" w:rsidP="00362B44">
            <w:pPr>
              <w:pStyle w:val="NoSpacing"/>
              <w:jc w:val="right"/>
              <w:rPr>
                <w:rStyle w:val="Strong"/>
              </w:rPr>
            </w:pPr>
          </w:p>
        </w:tc>
        <w:tc>
          <w:tcPr>
            <w:tcW w:w="625" w:type="pct"/>
            <w:tcBorders>
              <w:top w:val="double" w:sz="4" w:space="0" w:color="auto"/>
              <w:left w:val="dotted" w:sz="4" w:space="0" w:color="BFBFBF" w:themeColor="background1" w:themeShade="BF"/>
              <w:bottom w:val="dotted" w:sz="4" w:space="0" w:color="BFBFBF" w:themeColor="background1" w:themeShade="BF"/>
              <w:right w:val="nil"/>
            </w:tcBorders>
            <w:shd w:val="clear" w:color="auto" w:fill="auto"/>
            <w:noWrap/>
          </w:tcPr>
          <w:p w14:paraId="0D744CFA" w14:textId="77777777" w:rsidR="00730DE4" w:rsidRPr="00730DE4" w:rsidRDefault="00730DE4" w:rsidP="00362B44">
            <w:pPr>
              <w:pStyle w:val="NoSpacing"/>
              <w:jc w:val="right"/>
              <w:rPr>
                <w:color w:val="080C0F" w:themeColor="text1"/>
              </w:rPr>
            </w:pPr>
          </w:p>
        </w:tc>
      </w:tr>
      <w:tr w:rsidR="00730DE4" w:rsidRPr="00730DE4" w14:paraId="4F401C7D" w14:textId="77777777" w:rsidTr="008A2F83">
        <w:trPr>
          <w:trHeight w:val="240"/>
        </w:trPr>
        <w:tc>
          <w:tcPr>
            <w:tcW w:w="3751"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1026F5B5" w14:textId="77777777" w:rsidR="00730DE4" w:rsidRPr="00730DE4" w:rsidRDefault="00730DE4" w:rsidP="00362B44">
            <w:pPr>
              <w:pStyle w:val="NoSpacing"/>
              <w:rPr>
                <w:color w:val="080C0F" w:themeColor="text1"/>
              </w:rPr>
            </w:pPr>
            <w:r w:rsidRPr="00730DE4">
              <w:rPr>
                <w:color w:val="080C0F" w:themeColor="text1"/>
              </w:rPr>
              <w:t>Budgeted administered equity adjustment appropriation</w:t>
            </w:r>
          </w:p>
        </w:tc>
        <w:tc>
          <w:tcPr>
            <w:tcW w:w="62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41ACC911" w14:textId="77777777" w:rsidR="00730DE4" w:rsidRPr="00730DE4" w:rsidRDefault="00730DE4" w:rsidP="00362B44">
            <w:pPr>
              <w:pStyle w:val="NoSpacing"/>
              <w:jc w:val="right"/>
              <w:rPr>
                <w:color w:val="080C0F" w:themeColor="text1"/>
              </w:rPr>
            </w:pPr>
            <w:r w:rsidRPr="00730DE4">
              <w:rPr>
                <w:color w:val="080C0F" w:themeColor="text1"/>
              </w:rPr>
              <w:t xml:space="preserve">630,999 </w:t>
            </w:r>
          </w:p>
        </w:tc>
        <w:tc>
          <w:tcPr>
            <w:tcW w:w="625"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hideMark/>
          </w:tcPr>
          <w:p w14:paraId="1CAA6061" w14:textId="77777777" w:rsidR="00730DE4" w:rsidRPr="00730DE4" w:rsidRDefault="00730DE4" w:rsidP="00362B44">
            <w:pPr>
              <w:pStyle w:val="NoSpacing"/>
              <w:jc w:val="right"/>
              <w:rPr>
                <w:color w:val="080C0F" w:themeColor="text1"/>
              </w:rPr>
            </w:pPr>
            <w:r w:rsidRPr="00730DE4">
              <w:rPr>
                <w:color w:val="080C0F" w:themeColor="text1"/>
              </w:rPr>
              <w:t xml:space="preserve">1,116,746 </w:t>
            </w:r>
          </w:p>
        </w:tc>
      </w:tr>
      <w:tr w:rsidR="00730DE4" w:rsidRPr="00730DE4" w14:paraId="25B6DAFF" w14:textId="77777777" w:rsidTr="008A2F83">
        <w:trPr>
          <w:trHeight w:val="240"/>
        </w:trPr>
        <w:tc>
          <w:tcPr>
            <w:tcW w:w="3751"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6991CA8A" w14:textId="77777777" w:rsidR="00730DE4" w:rsidRPr="00730DE4" w:rsidRDefault="00730DE4" w:rsidP="00362B44">
            <w:pPr>
              <w:pStyle w:val="NoSpacing"/>
              <w:rPr>
                <w:color w:val="080C0F" w:themeColor="text1"/>
              </w:rPr>
            </w:pPr>
            <w:r w:rsidRPr="00730DE4">
              <w:rPr>
                <w:color w:val="080C0F" w:themeColor="text1"/>
              </w:rPr>
              <w:t>Transfers to other headings</w:t>
            </w:r>
          </w:p>
        </w:tc>
        <w:tc>
          <w:tcPr>
            <w:tcW w:w="62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1913F5E3" w14:textId="77777777" w:rsidR="00730DE4" w:rsidRPr="00730DE4" w:rsidRDefault="00730DE4" w:rsidP="00362B44">
            <w:pPr>
              <w:pStyle w:val="NoSpacing"/>
              <w:jc w:val="right"/>
              <w:rPr>
                <w:color w:val="080C0F" w:themeColor="text1"/>
              </w:rPr>
            </w:pPr>
            <w:r w:rsidRPr="00730DE4">
              <w:rPr>
                <w:color w:val="080C0F" w:themeColor="text1"/>
              </w:rPr>
              <w:t xml:space="preserve">- </w:t>
            </w:r>
          </w:p>
        </w:tc>
        <w:tc>
          <w:tcPr>
            <w:tcW w:w="625"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hideMark/>
          </w:tcPr>
          <w:p w14:paraId="2DCCD291" w14:textId="77777777" w:rsidR="00730DE4" w:rsidRPr="00730DE4" w:rsidRDefault="00730DE4" w:rsidP="00362B44">
            <w:pPr>
              <w:pStyle w:val="NoSpacing"/>
              <w:jc w:val="right"/>
              <w:rPr>
                <w:color w:val="080C0F" w:themeColor="text1"/>
              </w:rPr>
            </w:pPr>
            <w:r w:rsidRPr="00730DE4">
              <w:rPr>
                <w:color w:val="080C0F" w:themeColor="text1"/>
              </w:rPr>
              <w:t>(246,000)</w:t>
            </w:r>
          </w:p>
        </w:tc>
      </w:tr>
      <w:tr w:rsidR="00730DE4" w:rsidRPr="00730DE4" w14:paraId="392549DD" w14:textId="77777777" w:rsidTr="008A2F83">
        <w:trPr>
          <w:trHeight w:val="240"/>
        </w:trPr>
        <w:tc>
          <w:tcPr>
            <w:tcW w:w="3751"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72FC25B3" w14:textId="77777777" w:rsidR="00730DE4" w:rsidRPr="00730DE4" w:rsidRDefault="00730DE4" w:rsidP="00362B44">
            <w:pPr>
              <w:pStyle w:val="NoSpacing"/>
              <w:rPr>
                <w:color w:val="080C0F" w:themeColor="text1"/>
              </w:rPr>
            </w:pPr>
            <w:r w:rsidRPr="00730DE4">
              <w:rPr>
                <w:color w:val="080C0F" w:themeColor="text1"/>
              </w:rPr>
              <w:t>Unforeseen expenditure *</w:t>
            </w:r>
          </w:p>
        </w:tc>
        <w:tc>
          <w:tcPr>
            <w:tcW w:w="624"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hideMark/>
          </w:tcPr>
          <w:p w14:paraId="4E3F45A7" w14:textId="77777777" w:rsidR="00730DE4" w:rsidRPr="00730DE4" w:rsidRDefault="00730DE4" w:rsidP="00362B44">
            <w:pPr>
              <w:pStyle w:val="NoSpacing"/>
              <w:jc w:val="right"/>
              <w:rPr>
                <w:color w:val="080C0F" w:themeColor="text1"/>
              </w:rPr>
            </w:pPr>
            <w:r w:rsidRPr="00730DE4">
              <w:rPr>
                <w:color w:val="080C0F" w:themeColor="text1"/>
              </w:rPr>
              <w:t xml:space="preserve">151,291 </w:t>
            </w:r>
          </w:p>
        </w:tc>
        <w:tc>
          <w:tcPr>
            <w:tcW w:w="625"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hideMark/>
          </w:tcPr>
          <w:p w14:paraId="6C5FFACC" w14:textId="77777777" w:rsidR="00730DE4" w:rsidRPr="00730DE4" w:rsidRDefault="00730DE4" w:rsidP="00362B44">
            <w:pPr>
              <w:pStyle w:val="NoSpacing"/>
              <w:jc w:val="right"/>
              <w:rPr>
                <w:color w:val="080C0F" w:themeColor="text1"/>
              </w:rPr>
            </w:pPr>
            <w:r w:rsidRPr="00730DE4">
              <w:rPr>
                <w:color w:val="080C0F" w:themeColor="text1"/>
              </w:rPr>
              <w:t xml:space="preserve">- </w:t>
            </w:r>
          </w:p>
        </w:tc>
      </w:tr>
      <w:tr w:rsidR="00730DE4" w:rsidRPr="00730DE4" w14:paraId="68070B29" w14:textId="77777777" w:rsidTr="008A2F83">
        <w:trPr>
          <w:trHeight w:val="240"/>
        </w:trPr>
        <w:tc>
          <w:tcPr>
            <w:tcW w:w="3751"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668F7089" w14:textId="77777777" w:rsidR="00730DE4" w:rsidRPr="00730DE4" w:rsidRDefault="00730DE4" w:rsidP="00362B44">
            <w:pPr>
              <w:pStyle w:val="NoSpacing"/>
              <w:rPr>
                <w:color w:val="080C0F" w:themeColor="text1"/>
              </w:rPr>
            </w:pPr>
            <w:r w:rsidRPr="00730DE4">
              <w:rPr>
                <w:color w:val="080C0F" w:themeColor="text1"/>
              </w:rPr>
              <w:t>Total administered equity adjustment receipts</w:t>
            </w:r>
          </w:p>
        </w:tc>
        <w:tc>
          <w:tcPr>
            <w:tcW w:w="624"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27DD1C06" w14:textId="77777777" w:rsidR="00730DE4" w:rsidRPr="00730DE4" w:rsidRDefault="00730DE4" w:rsidP="00362B44">
            <w:pPr>
              <w:pStyle w:val="NoSpacing"/>
              <w:jc w:val="right"/>
              <w:rPr>
                <w:color w:val="080C0F" w:themeColor="text1"/>
              </w:rPr>
            </w:pPr>
            <w:r w:rsidRPr="00730DE4">
              <w:rPr>
                <w:color w:val="080C0F" w:themeColor="text1"/>
              </w:rPr>
              <w:t xml:space="preserve">782,290 </w:t>
            </w:r>
          </w:p>
        </w:tc>
        <w:tc>
          <w:tcPr>
            <w:tcW w:w="625"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hideMark/>
          </w:tcPr>
          <w:p w14:paraId="6888ED5E" w14:textId="77777777" w:rsidR="00730DE4" w:rsidRPr="00730DE4" w:rsidRDefault="00730DE4" w:rsidP="00362B44">
            <w:pPr>
              <w:pStyle w:val="NoSpacing"/>
              <w:jc w:val="right"/>
              <w:rPr>
                <w:color w:val="080C0F" w:themeColor="text1"/>
              </w:rPr>
            </w:pPr>
            <w:r w:rsidRPr="00730DE4">
              <w:rPr>
                <w:color w:val="080C0F" w:themeColor="text1"/>
              </w:rPr>
              <w:t xml:space="preserve">870,746 </w:t>
            </w:r>
          </w:p>
        </w:tc>
      </w:tr>
      <w:tr w:rsidR="00730DE4" w:rsidRPr="00730DE4" w14:paraId="790E95B0" w14:textId="77777777" w:rsidTr="00C60C9C">
        <w:trPr>
          <w:trHeight w:val="240"/>
        </w:trPr>
        <w:tc>
          <w:tcPr>
            <w:tcW w:w="3751"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143FFD4" w14:textId="77777777" w:rsidR="00730DE4" w:rsidRPr="00730DE4" w:rsidRDefault="00730DE4" w:rsidP="00362B44">
            <w:pPr>
              <w:pStyle w:val="NoSpacing"/>
              <w:rPr>
                <w:color w:val="080C0F" w:themeColor="text1"/>
              </w:rPr>
            </w:pPr>
            <w:r w:rsidRPr="00730DE4">
              <w:rPr>
                <w:color w:val="080C0F" w:themeColor="text1"/>
              </w:rPr>
              <w:t>Less: Opening balance of administered equity adjustment receivable</w:t>
            </w:r>
          </w:p>
        </w:tc>
        <w:tc>
          <w:tcPr>
            <w:tcW w:w="62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noWrap/>
            <w:hideMark/>
          </w:tcPr>
          <w:p w14:paraId="58BA6359" w14:textId="77777777" w:rsidR="00730DE4" w:rsidRPr="00730DE4" w:rsidRDefault="00730DE4" w:rsidP="00362B44">
            <w:pPr>
              <w:pStyle w:val="NoSpacing"/>
              <w:jc w:val="right"/>
              <w:rPr>
                <w:color w:val="080C0F" w:themeColor="text1"/>
              </w:rPr>
            </w:pPr>
            <w:r w:rsidRPr="00730DE4">
              <w:rPr>
                <w:color w:val="080C0F" w:themeColor="text1"/>
              </w:rPr>
              <w:t xml:space="preserve">- </w:t>
            </w:r>
          </w:p>
        </w:tc>
        <w:tc>
          <w:tcPr>
            <w:tcW w:w="625"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hideMark/>
          </w:tcPr>
          <w:p w14:paraId="01822693" w14:textId="77777777" w:rsidR="00730DE4" w:rsidRPr="00730DE4" w:rsidRDefault="00730DE4" w:rsidP="00362B44">
            <w:pPr>
              <w:pStyle w:val="NoSpacing"/>
              <w:jc w:val="right"/>
              <w:rPr>
                <w:color w:val="080C0F" w:themeColor="text1"/>
              </w:rPr>
            </w:pPr>
            <w:r w:rsidRPr="00730DE4">
              <w:rPr>
                <w:color w:val="080C0F" w:themeColor="text1"/>
              </w:rPr>
              <w:t xml:space="preserve">- </w:t>
            </w:r>
          </w:p>
        </w:tc>
      </w:tr>
      <w:tr w:rsidR="00730DE4" w:rsidRPr="00730DE4" w14:paraId="24F68E8B" w14:textId="77777777" w:rsidTr="00C60C9C">
        <w:trPr>
          <w:trHeight w:val="240"/>
        </w:trPr>
        <w:tc>
          <w:tcPr>
            <w:tcW w:w="3751"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3F917B4C" w14:textId="77777777" w:rsidR="00730DE4" w:rsidRPr="00730DE4" w:rsidRDefault="00730DE4" w:rsidP="00362B44">
            <w:pPr>
              <w:pStyle w:val="NoSpacing"/>
              <w:rPr>
                <w:color w:val="080C0F" w:themeColor="text1"/>
              </w:rPr>
            </w:pPr>
            <w:r w:rsidRPr="00730DE4">
              <w:rPr>
                <w:color w:val="080C0F" w:themeColor="text1"/>
              </w:rPr>
              <w:t>Plus: Closing balance of administered equity adjustment receivable</w:t>
            </w:r>
          </w:p>
        </w:tc>
        <w:tc>
          <w:tcPr>
            <w:tcW w:w="624"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F2F2F2" w:themeFill="background1" w:themeFillShade="F2"/>
            <w:noWrap/>
            <w:hideMark/>
          </w:tcPr>
          <w:p w14:paraId="4B33E973" w14:textId="77777777" w:rsidR="00730DE4" w:rsidRPr="00730DE4" w:rsidRDefault="00730DE4" w:rsidP="00362B44">
            <w:pPr>
              <w:pStyle w:val="NoSpacing"/>
              <w:jc w:val="right"/>
              <w:rPr>
                <w:color w:val="080C0F" w:themeColor="text1"/>
              </w:rPr>
            </w:pPr>
            <w:r w:rsidRPr="00730DE4">
              <w:rPr>
                <w:color w:val="080C0F" w:themeColor="text1"/>
              </w:rPr>
              <w:t xml:space="preserve">82 </w:t>
            </w:r>
          </w:p>
        </w:tc>
        <w:tc>
          <w:tcPr>
            <w:tcW w:w="625"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hideMark/>
          </w:tcPr>
          <w:p w14:paraId="218FCEA0" w14:textId="77777777" w:rsidR="00730DE4" w:rsidRPr="00730DE4" w:rsidRDefault="00730DE4" w:rsidP="00362B44">
            <w:pPr>
              <w:pStyle w:val="NoSpacing"/>
              <w:jc w:val="right"/>
              <w:rPr>
                <w:color w:val="080C0F" w:themeColor="text1"/>
              </w:rPr>
            </w:pPr>
            <w:r w:rsidRPr="00730DE4">
              <w:rPr>
                <w:color w:val="080C0F" w:themeColor="text1"/>
              </w:rPr>
              <w:t xml:space="preserve">- </w:t>
            </w:r>
          </w:p>
        </w:tc>
      </w:tr>
      <w:tr w:rsidR="00730DE4" w:rsidRPr="00730DE4" w14:paraId="74838972" w14:textId="77777777" w:rsidTr="00C60C9C">
        <w:tc>
          <w:tcPr>
            <w:tcW w:w="3751" w:type="pct"/>
            <w:tcBorders>
              <w:top w:val="single" w:sz="4" w:space="0" w:color="auto"/>
              <w:left w:val="nil"/>
              <w:bottom w:val="double" w:sz="4" w:space="0" w:color="auto"/>
              <w:right w:val="dotted" w:sz="4" w:space="0" w:color="BFBFBF" w:themeColor="background1" w:themeShade="BF"/>
            </w:tcBorders>
            <w:shd w:val="clear" w:color="auto" w:fill="auto"/>
            <w:noWrap/>
            <w:hideMark/>
          </w:tcPr>
          <w:p w14:paraId="21C729BD" w14:textId="77777777" w:rsidR="00730DE4" w:rsidRPr="00730DE4" w:rsidRDefault="00730DE4" w:rsidP="00362B44">
            <w:pPr>
              <w:pStyle w:val="NoSpacing"/>
              <w:rPr>
                <w:color w:val="080C0F" w:themeColor="text1"/>
              </w:rPr>
            </w:pPr>
            <w:r w:rsidRPr="00730DE4">
              <w:rPr>
                <w:rStyle w:val="Strong"/>
              </w:rPr>
              <w:t>Administered equity adjustment recognised in contributed equity</w:t>
            </w:r>
          </w:p>
        </w:tc>
        <w:tc>
          <w:tcPr>
            <w:tcW w:w="624"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F2F2F2" w:themeFill="background1" w:themeFillShade="F2"/>
            <w:noWrap/>
            <w:hideMark/>
          </w:tcPr>
          <w:p w14:paraId="7098F6D2" w14:textId="77777777" w:rsidR="00730DE4" w:rsidRPr="00730DE4" w:rsidRDefault="00730DE4" w:rsidP="00362B44">
            <w:pPr>
              <w:pStyle w:val="NoSpacing"/>
              <w:jc w:val="right"/>
              <w:rPr>
                <w:color w:val="080C0F" w:themeColor="text1"/>
              </w:rPr>
            </w:pPr>
            <w:r w:rsidRPr="00730DE4">
              <w:rPr>
                <w:rStyle w:val="Strong"/>
              </w:rPr>
              <w:t xml:space="preserve">782,372 </w:t>
            </w:r>
          </w:p>
        </w:tc>
        <w:tc>
          <w:tcPr>
            <w:tcW w:w="625" w:type="pct"/>
            <w:tcBorders>
              <w:top w:val="single" w:sz="4" w:space="0" w:color="auto"/>
              <w:left w:val="dotted" w:sz="4" w:space="0" w:color="BFBFBF" w:themeColor="background1" w:themeShade="BF"/>
              <w:bottom w:val="double" w:sz="4" w:space="0" w:color="auto"/>
              <w:right w:val="nil"/>
            </w:tcBorders>
            <w:shd w:val="clear" w:color="auto" w:fill="auto"/>
            <w:noWrap/>
            <w:hideMark/>
          </w:tcPr>
          <w:p w14:paraId="3741DB36" w14:textId="77777777" w:rsidR="00730DE4" w:rsidRPr="00730DE4" w:rsidRDefault="00730DE4" w:rsidP="00362B44">
            <w:pPr>
              <w:pStyle w:val="NoSpacing"/>
              <w:jc w:val="right"/>
              <w:rPr>
                <w:rStyle w:val="Strong"/>
              </w:rPr>
            </w:pPr>
            <w:r w:rsidRPr="00730DE4">
              <w:rPr>
                <w:rStyle w:val="Strong"/>
              </w:rPr>
              <w:t xml:space="preserve">870,746 </w:t>
            </w:r>
          </w:p>
        </w:tc>
      </w:tr>
    </w:tbl>
    <w:p w14:paraId="753CCAA7" w14:textId="77777777" w:rsidR="00730DE4" w:rsidRPr="00730DE4" w:rsidRDefault="00730DE4" w:rsidP="00390F2D">
      <w:pPr>
        <w:pStyle w:val="List0"/>
      </w:pPr>
      <w:r w:rsidRPr="00730DE4">
        <w:t>* Relates to additional funding for the Port of Gladstone Northern Land Expansion Project of $100m and the Cairns Marine Precinct Common User Facility of $10m, partly offset by timing adjustments for various programs including the Mount Isa to Townsville Rail Line ($33.5m).</w:t>
      </w:r>
    </w:p>
    <w:p w14:paraId="38376CC4" w14:textId="77777777" w:rsidR="00730DE4" w:rsidRPr="00730DE4" w:rsidRDefault="00730DE4" w:rsidP="00D16D4F">
      <w:pPr>
        <w:pStyle w:val="Heading4"/>
      </w:pPr>
      <w:r w:rsidRPr="00730DE4">
        <w:br w:type="page"/>
      </w:r>
    </w:p>
    <w:p w14:paraId="41547E09" w14:textId="77777777" w:rsidR="00730DE4" w:rsidRPr="00730DE4" w:rsidRDefault="00730DE4" w:rsidP="00D16D4F">
      <w:pPr>
        <w:pStyle w:val="Heading4"/>
      </w:pPr>
      <w:bookmarkStart w:id="1643" w:name="_Toc179365626"/>
      <w:bookmarkStart w:id="1644" w:name="_Toc180490975"/>
      <w:bookmarkStart w:id="1645" w:name="_Toc180492008"/>
      <w:r w:rsidRPr="00730DE4">
        <w:t>30 Budgetary reporting</w:t>
      </w:r>
      <w:bookmarkEnd w:id="1643"/>
      <w:bookmarkEnd w:id="1644"/>
      <w:bookmarkEnd w:id="1645"/>
    </w:p>
    <w:p w14:paraId="6173E926" w14:textId="77777777" w:rsidR="00730DE4" w:rsidRPr="00730DE4" w:rsidRDefault="00730DE4" w:rsidP="00BF3C78">
      <w:pPr>
        <w:pStyle w:val="Heading5"/>
      </w:pPr>
      <w:bookmarkStart w:id="1646" w:name="_Toc180487771"/>
      <w:bookmarkStart w:id="1647" w:name="_Toc180490976"/>
      <w:bookmarkStart w:id="1648" w:name="_Toc180492009"/>
      <w:r w:rsidRPr="00730DE4">
        <w:t>Statement of comprehensive income</w:t>
      </w:r>
      <w:bookmarkEnd w:id="1646"/>
      <w:bookmarkEnd w:id="1647"/>
      <w:bookmarkEnd w:id="1648"/>
    </w:p>
    <w:tbl>
      <w:tblPr>
        <w:tblW w:w="5000" w:type="pct"/>
        <w:tblCellMar>
          <w:top w:w="23" w:type="dxa"/>
          <w:left w:w="23" w:type="dxa"/>
          <w:bottom w:w="23" w:type="dxa"/>
          <w:right w:w="23" w:type="dxa"/>
        </w:tblCellMar>
        <w:tblLook w:val="04A0" w:firstRow="1" w:lastRow="0" w:firstColumn="1" w:lastColumn="0" w:noHBand="0" w:noVBand="1"/>
      </w:tblPr>
      <w:tblGrid>
        <w:gridCol w:w="5293"/>
        <w:gridCol w:w="1259"/>
        <w:gridCol w:w="1259"/>
        <w:gridCol w:w="1259"/>
      </w:tblGrid>
      <w:tr w:rsidR="00730DE4" w:rsidRPr="00730DE4" w14:paraId="709C78DA" w14:textId="77777777" w:rsidTr="008A2F83">
        <w:trPr>
          <w:trHeight w:val="480"/>
        </w:trPr>
        <w:tc>
          <w:tcPr>
            <w:tcW w:w="2918" w:type="pct"/>
            <w:tcBorders>
              <w:top w:val="nil"/>
              <w:left w:val="nil"/>
              <w:bottom w:val="single" w:sz="4" w:space="0" w:color="auto"/>
              <w:right w:val="nil"/>
            </w:tcBorders>
            <w:shd w:val="clear" w:color="auto" w:fill="auto"/>
            <w:noWrap/>
            <w:vAlign w:val="bottom"/>
            <w:hideMark/>
          </w:tcPr>
          <w:p w14:paraId="36C43464" w14:textId="77777777" w:rsidR="00730DE4" w:rsidRPr="00730DE4" w:rsidRDefault="00730DE4" w:rsidP="00362B44">
            <w:pPr>
              <w:pStyle w:val="NoSpacing"/>
              <w:rPr>
                <w:color w:val="080C0F" w:themeColor="text1"/>
              </w:rPr>
            </w:pPr>
          </w:p>
        </w:tc>
        <w:tc>
          <w:tcPr>
            <w:tcW w:w="694" w:type="pct"/>
            <w:tcBorders>
              <w:top w:val="nil"/>
              <w:left w:val="nil"/>
              <w:bottom w:val="single" w:sz="4" w:space="0" w:color="auto"/>
              <w:right w:val="nil"/>
            </w:tcBorders>
            <w:shd w:val="clear" w:color="auto" w:fill="auto"/>
            <w:vAlign w:val="bottom"/>
            <w:hideMark/>
          </w:tcPr>
          <w:p w14:paraId="201AB526" w14:textId="77777777" w:rsidR="00730DE4" w:rsidRPr="00730DE4" w:rsidRDefault="00730DE4" w:rsidP="00362B44">
            <w:pPr>
              <w:pStyle w:val="NoSpacing"/>
              <w:jc w:val="right"/>
              <w:rPr>
                <w:color w:val="080C0F" w:themeColor="text1"/>
              </w:rPr>
            </w:pPr>
            <w:r w:rsidRPr="00730DE4">
              <w:rPr>
                <w:rStyle w:val="Strong"/>
              </w:rPr>
              <w:t xml:space="preserve">Original budget </w:t>
            </w:r>
            <w:r w:rsidRPr="00730DE4">
              <w:rPr>
                <w:rStyle w:val="Strong"/>
              </w:rPr>
              <w:br/>
            </w:r>
            <w:r w:rsidRPr="00730DE4">
              <w:rPr>
                <w:rStyle w:val="Strong"/>
              </w:rPr>
              <w:br/>
              <w:t>2024</w:t>
            </w:r>
            <w:r w:rsidRPr="00730DE4">
              <w:rPr>
                <w:rStyle w:val="Strong"/>
              </w:rPr>
              <w:br/>
              <w:t>$'000</w:t>
            </w:r>
          </w:p>
        </w:tc>
        <w:tc>
          <w:tcPr>
            <w:tcW w:w="694" w:type="pct"/>
            <w:tcBorders>
              <w:top w:val="nil"/>
              <w:left w:val="nil"/>
              <w:bottom w:val="single" w:sz="4" w:space="0" w:color="auto"/>
              <w:right w:val="nil"/>
            </w:tcBorders>
            <w:shd w:val="clear" w:color="auto" w:fill="auto"/>
            <w:vAlign w:val="bottom"/>
            <w:hideMark/>
          </w:tcPr>
          <w:p w14:paraId="3BA43DF5" w14:textId="77777777" w:rsidR="00730DE4" w:rsidRPr="00730DE4" w:rsidRDefault="00730DE4" w:rsidP="00362B44">
            <w:pPr>
              <w:pStyle w:val="NoSpacing"/>
              <w:jc w:val="right"/>
              <w:rPr>
                <w:color w:val="080C0F" w:themeColor="text1"/>
              </w:rPr>
            </w:pPr>
            <w:r w:rsidRPr="00730DE4">
              <w:rPr>
                <w:rStyle w:val="Strong"/>
              </w:rPr>
              <w:t>Actual</w:t>
            </w:r>
            <w:r w:rsidRPr="00730DE4">
              <w:rPr>
                <w:rStyle w:val="Strong"/>
              </w:rPr>
              <w:br/>
              <w:t xml:space="preserve">result </w:t>
            </w:r>
            <w:r w:rsidRPr="00730DE4">
              <w:rPr>
                <w:rStyle w:val="Strong"/>
              </w:rPr>
              <w:br/>
            </w:r>
            <w:r w:rsidRPr="00730DE4">
              <w:rPr>
                <w:rStyle w:val="Strong"/>
              </w:rPr>
              <w:br/>
              <w:t>2024</w:t>
            </w:r>
            <w:r w:rsidRPr="00730DE4">
              <w:rPr>
                <w:rStyle w:val="Strong"/>
              </w:rPr>
              <w:br/>
              <w:t>$'000</w:t>
            </w:r>
          </w:p>
        </w:tc>
        <w:tc>
          <w:tcPr>
            <w:tcW w:w="694" w:type="pct"/>
            <w:tcBorders>
              <w:top w:val="nil"/>
              <w:left w:val="nil"/>
              <w:bottom w:val="single" w:sz="4" w:space="0" w:color="auto"/>
              <w:right w:val="nil"/>
            </w:tcBorders>
            <w:shd w:val="clear" w:color="auto" w:fill="auto"/>
            <w:vAlign w:val="bottom"/>
            <w:hideMark/>
          </w:tcPr>
          <w:p w14:paraId="26E9C0F7" w14:textId="77777777" w:rsidR="00730DE4" w:rsidRPr="00730DE4" w:rsidRDefault="00730DE4" w:rsidP="00362B44">
            <w:pPr>
              <w:pStyle w:val="NoSpacing"/>
              <w:jc w:val="right"/>
              <w:rPr>
                <w:rStyle w:val="Strong"/>
              </w:rPr>
            </w:pPr>
            <w:r w:rsidRPr="00730DE4">
              <w:rPr>
                <w:rStyle w:val="Strong"/>
              </w:rPr>
              <w:t>Variance</w:t>
            </w:r>
            <w:r w:rsidRPr="00730DE4">
              <w:rPr>
                <w:rStyle w:val="Strong"/>
              </w:rPr>
              <w:br/>
              <w:t xml:space="preserve"> </w:t>
            </w:r>
            <w:r w:rsidRPr="00730DE4">
              <w:rPr>
                <w:rStyle w:val="Strong"/>
              </w:rPr>
              <w:br/>
            </w:r>
            <w:r w:rsidRPr="00730DE4">
              <w:rPr>
                <w:rStyle w:val="Strong"/>
              </w:rPr>
              <w:br/>
              <w:t>2024</w:t>
            </w:r>
            <w:r w:rsidRPr="00730DE4">
              <w:rPr>
                <w:rStyle w:val="Strong"/>
              </w:rPr>
              <w:br/>
              <w:t>$'000</w:t>
            </w:r>
          </w:p>
        </w:tc>
      </w:tr>
      <w:tr w:rsidR="00730DE4" w:rsidRPr="00730DE4" w14:paraId="3990FD03" w14:textId="77777777" w:rsidTr="00B32C86">
        <w:trPr>
          <w:trHeight w:val="480"/>
        </w:trPr>
        <w:tc>
          <w:tcPr>
            <w:tcW w:w="2918"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vAlign w:val="bottom"/>
          </w:tcPr>
          <w:p w14:paraId="3DD53B15" w14:textId="77777777" w:rsidR="00730DE4" w:rsidRPr="00730DE4" w:rsidRDefault="00730DE4" w:rsidP="00362B44">
            <w:pPr>
              <w:pStyle w:val="NoSpacing"/>
              <w:rPr>
                <w:rStyle w:val="Strong"/>
              </w:rPr>
            </w:pPr>
            <w:r w:rsidRPr="00730DE4">
              <w:rPr>
                <w:rStyle w:val="Strong"/>
              </w:rPr>
              <w:t>Income</w:t>
            </w:r>
          </w:p>
        </w:tc>
        <w:tc>
          <w:tcPr>
            <w:tcW w:w="694"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tcPr>
          <w:p w14:paraId="38486015" w14:textId="77777777" w:rsidR="00730DE4" w:rsidRPr="00730DE4" w:rsidRDefault="00730DE4" w:rsidP="00362B44">
            <w:pPr>
              <w:pStyle w:val="NoSpacing"/>
              <w:jc w:val="right"/>
              <w:rPr>
                <w:rStyle w:val="Strong"/>
              </w:rPr>
            </w:pPr>
          </w:p>
        </w:tc>
        <w:tc>
          <w:tcPr>
            <w:tcW w:w="694"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tcPr>
          <w:p w14:paraId="4B9ADC19" w14:textId="77777777" w:rsidR="00730DE4" w:rsidRPr="00730DE4" w:rsidRDefault="00730DE4" w:rsidP="00362B44">
            <w:pPr>
              <w:pStyle w:val="NoSpacing"/>
              <w:jc w:val="right"/>
              <w:rPr>
                <w:rStyle w:val="Strong"/>
              </w:rPr>
            </w:pPr>
          </w:p>
        </w:tc>
        <w:tc>
          <w:tcPr>
            <w:tcW w:w="694"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vAlign w:val="bottom"/>
          </w:tcPr>
          <w:p w14:paraId="0EFA7617" w14:textId="77777777" w:rsidR="00730DE4" w:rsidRPr="00730DE4" w:rsidRDefault="00730DE4" w:rsidP="00362B44">
            <w:pPr>
              <w:pStyle w:val="NoSpacing"/>
              <w:jc w:val="right"/>
              <w:rPr>
                <w:rStyle w:val="Strong"/>
              </w:rPr>
            </w:pPr>
          </w:p>
        </w:tc>
      </w:tr>
      <w:tr w:rsidR="00730DE4" w:rsidRPr="00730DE4" w14:paraId="1AD924B6" w14:textId="77777777" w:rsidTr="008A2F83">
        <w:trPr>
          <w:trHeight w:val="238"/>
        </w:trPr>
        <w:tc>
          <w:tcPr>
            <w:tcW w:w="291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0A473FD3" w14:textId="77777777" w:rsidR="00730DE4" w:rsidRPr="00730DE4" w:rsidRDefault="00730DE4" w:rsidP="00362B44">
            <w:pPr>
              <w:pStyle w:val="NoSpacing"/>
              <w:rPr>
                <w:color w:val="080C0F" w:themeColor="text1"/>
              </w:rPr>
            </w:pPr>
            <w:r w:rsidRPr="00730DE4">
              <w:rPr>
                <w:color w:val="080C0F" w:themeColor="text1"/>
              </w:rPr>
              <w:t>Appropriation revenue</w:t>
            </w:r>
          </w:p>
        </w:tc>
        <w:tc>
          <w:tcPr>
            <w:tcW w:w="69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A682C0F" w14:textId="77777777" w:rsidR="00730DE4" w:rsidRPr="00730DE4" w:rsidRDefault="00730DE4" w:rsidP="00362B44">
            <w:pPr>
              <w:pStyle w:val="NoSpacing"/>
              <w:jc w:val="right"/>
              <w:rPr>
                <w:color w:val="080C0F" w:themeColor="text1"/>
              </w:rPr>
            </w:pPr>
            <w:r w:rsidRPr="00730DE4">
              <w:rPr>
                <w:color w:val="080C0F" w:themeColor="text1"/>
              </w:rPr>
              <w:t xml:space="preserve">6,943,193 </w:t>
            </w:r>
          </w:p>
        </w:tc>
        <w:tc>
          <w:tcPr>
            <w:tcW w:w="69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96F344F" w14:textId="77777777" w:rsidR="00730DE4" w:rsidRPr="00730DE4" w:rsidRDefault="00730DE4" w:rsidP="00362B44">
            <w:pPr>
              <w:pStyle w:val="NoSpacing"/>
              <w:jc w:val="right"/>
              <w:rPr>
                <w:color w:val="080C0F" w:themeColor="text1"/>
              </w:rPr>
            </w:pPr>
            <w:r w:rsidRPr="00730DE4">
              <w:rPr>
                <w:color w:val="080C0F" w:themeColor="text1"/>
              </w:rPr>
              <w:t xml:space="preserve">6,957,051 </w:t>
            </w:r>
          </w:p>
        </w:tc>
        <w:tc>
          <w:tcPr>
            <w:tcW w:w="694"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A369403" w14:textId="77777777" w:rsidR="00730DE4" w:rsidRPr="00730DE4" w:rsidRDefault="00730DE4" w:rsidP="00362B44">
            <w:pPr>
              <w:pStyle w:val="NoSpacing"/>
              <w:jc w:val="right"/>
              <w:rPr>
                <w:color w:val="080C0F" w:themeColor="text1"/>
              </w:rPr>
            </w:pPr>
            <w:r w:rsidRPr="00730DE4">
              <w:rPr>
                <w:color w:val="080C0F" w:themeColor="text1"/>
              </w:rPr>
              <w:t xml:space="preserve">13,858 </w:t>
            </w:r>
          </w:p>
        </w:tc>
      </w:tr>
      <w:tr w:rsidR="00730DE4" w:rsidRPr="00730DE4" w14:paraId="40994003" w14:textId="77777777" w:rsidTr="008A2F83">
        <w:trPr>
          <w:trHeight w:val="238"/>
        </w:trPr>
        <w:tc>
          <w:tcPr>
            <w:tcW w:w="291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17622A12" w14:textId="77777777" w:rsidR="00730DE4" w:rsidRPr="00730DE4" w:rsidRDefault="00730DE4" w:rsidP="00362B44">
            <w:pPr>
              <w:pStyle w:val="NoSpacing"/>
              <w:rPr>
                <w:color w:val="080C0F" w:themeColor="text1"/>
              </w:rPr>
            </w:pPr>
            <w:r w:rsidRPr="00730DE4">
              <w:rPr>
                <w:color w:val="080C0F" w:themeColor="text1"/>
              </w:rPr>
              <w:t>User charges and fees</w:t>
            </w:r>
          </w:p>
        </w:tc>
        <w:tc>
          <w:tcPr>
            <w:tcW w:w="69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BF4A0C0" w14:textId="77777777" w:rsidR="00730DE4" w:rsidRPr="00730DE4" w:rsidRDefault="00730DE4" w:rsidP="00362B44">
            <w:pPr>
              <w:pStyle w:val="NoSpacing"/>
              <w:jc w:val="right"/>
              <w:rPr>
                <w:color w:val="080C0F" w:themeColor="text1"/>
              </w:rPr>
            </w:pPr>
            <w:r w:rsidRPr="00730DE4">
              <w:rPr>
                <w:color w:val="080C0F" w:themeColor="text1"/>
              </w:rPr>
              <w:t xml:space="preserve">1,086,925 </w:t>
            </w:r>
          </w:p>
        </w:tc>
        <w:tc>
          <w:tcPr>
            <w:tcW w:w="69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2C79FAB" w14:textId="77777777" w:rsidR="00730DE4" w:rsidRPr="00730DE4" w:rsidRDefault="00730DE4" w:rsidP="00362B44">
            <w:pPr>
              <w:pStyle w:val="NoSpacing"/>
              <w:jc w:val="right"/>
              <w:rPr>
                <w:color w:val="080C0F" w:themeColor="text1"/>
              </w:rPr>
            </w:pPr>
            <w:r w:rsidRPr="00730DE4">
              <w:rPr>
                <w:color w:val="080C0F" w:themeColor="text1"/>
              </w:rPr>
              <w:t xml:space="preserve">1,104,337 </w:t>
            </w:r>
          </w:p>
        </w:tc>
        <w:tc>
          <w:tcPr>
            <w:tcW w:w="694"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F454C9F" w14:textId="77777777" w:rsidR="00730DE4" w:rsidRPr="00730DE4" w:rsidRDefault="00730DE4" w:rsidP="00362B44">
            <w:pPr>
              <w:pStyle w:val="NoSpacing"/>
              <w:jc w:val="right"/>
              <w:rPr>
                <w:color w:val="080C0F" w:themeColor="text1"/>
              </w:rPr>
            </w:pPr>
            <w:r w:rsidRPr="00730DE4">
              <w:rPr>
                <w:color w:val="080C0F" w:themeColor="text1"/>
              </w:rPr>
              <w:t xml:space="preserve">17,412 </w:t>
            </w:r>
          </w:p>
        </w:tc>
      </w:tr>
      <w:tr w:rsidR="00730DE4" w:rsidRPr="00730DE4" w14:paraId="2ADCD38E" w14:textId="77777777" w:rsidTr="008A2F83">
        <w:trPr>
          <w:trHeight w:val="238"/>
        </w:trPr>
        <w:tc>
          <w:tcPr>
            <w:tcW w:w="291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52397B2C" w14:textId="77777777" w:rsidR="00730DE4" w:rsidRPr="00730DE4" w:rsidRDefault="00730DE4" w:rsidP="00362B44">
            <w:pPr>
              <w:pStyle w:val="NoSpacing"/>
              <w:rPr>
                <w:color w:val="080C0F" w:themeColor="text1"/>
              </w:rPr>
            </w:pPr>
            <w:r w:rsidRPr="00730DE4">
              <w:rPr>
                <w:color w:val="080C0F" w:themeColor="text1"/>
              </w:rPr>
              <w:t>Grants and other contributions</w:t>
            </w:r>
          </w:p>
        </w:tc>
        <w:tc>
          <w:tcPr>
            <w:tcW w:w="69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23716C9" w14:textId="77777777" w:rsidR="00730DE4" w:rsidRPr="00730DE4" w:rsidRDefault="00730DE4" w:rsidP="00362B44">
            <w:pPr>
              <w:pStyle w:val="NoSpacing"/>
              <w:jc w:val="right"/>
              <w:rPr>
                <w:color w:val="080C0F" w:themeColor="text1"/>
              </w:rPr>
            </w:pPr>
            <w:r w:rsidRPr="00730DE4">
              <w:rPr>
                <w:color w:val="080C0F" w:themeColor="text1"/>
              </w:rPr>
              <w:t xml:space="preserve">325,334 </w:t>
            </w:r>
          </w:p>
        </w:tc>
        <w:tc>
          <w:tcPr>
            <w:tcW w:w="69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671E1A8" w14:textId="77777777" w:rsidR="00730DE4" w:rsidRPr="00730DE4" w:rsidRDefault="00730DE4" w:rsidP="00362B44">
            <w:pPr>
              <w:pStyle w:val="NoSpacing"/>
              <w:jc w:val="right"/>
              <w:rPr>
                <w:color w:val="080C0F" w:themeColor="text1"/>
              </w:rPr>
            </w:pPr>
            <w:r w:rsidRPr="00730DE4">
              <w:rPr>
                <w:color w:val="080C0F" w:themeColor="text1"/>
              </w:rPr>
              <w:t xml:space="preserve">597,013 </w:t>
            </w:r>
          </w:p>
        </w:tc>
        <w:tc>
          <w:tcPr>
            <w:tcW w:w="694"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9EAAC32" w14:textId="77777777" w:rsidR="00730DE4" w:rsidRPr="00730DE4" w:rsidRDefault="00730DE4" w:rsidP="00362B44">
            <w:pPr>
              <w:pStyle w:val="NoSpacing"/>
              <w:jc w:val="right"/>
              <w:rPr>
                <w:color w:val="080C0F" w:themeColor="text1"/>
              </w:rPr>
            </w:pPr>
            <w:r w:rsidRPr="00730DE4">
              <w:rPr>
                <w:color w:val="080C0F" w:themeColor="text1"/>
              </w:rPr>
              <w:t xml:space="preserve">271,679 </w:t>
            </w:r>
          </w:p>
        </w:tc>
      </w:tr>
      <w:tr w:rsidR="00730DE4" w:rsidRPr="00730DE4" w14:paraId="4D0BCE62" w14:textId="77777777" w:rsidTr="00B32C86">
        <w:trPr>
          <w:trHeight w:val="238"/>
        </w:trPr>
        <w:tc>
          <w:tcPr>
            <w:tcW w:w="291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4ACBCCF" w14:textId="77777777" w:rsidR="00730DE4" w:rsidRPr="00730DE4" w:rsidRDefault="00730DE4" w:rsidP="00362B44">
            <w:pPr>
              <w:pStyle w:val="NoSpacing"/>
              <w:rPr>
                <w:color w:val="080C0F" w:themeColor="text1"/>
              </w:rPr>
            </w:pPr>
            <w:r w:rsidRPr="00730DE4">
              <w:rPr>
                <w:color w:val="080C0F" w:themeColor="text1"/>
              </w:rPr>
              <w:t>Service concession arrangements revenue</w:t>
            </w:r>
          </w:p>
        </w:tc>
        <w:tc>
          <w:tcPr>
            <w:tcW w:w="69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1D44351" w14:textId="77777777" w:rsidR="00730DE4" w:rsidRPr="00730DE4" w:rsidRDefault="00730DE4" w:rsidP="00362B44">
            <w:pPr>
              <w:pStyle w:val="NoSpacing"/>
              <w:jc w:val="right"/>
              <w:rPr>
                <w:color w:val="080C0F" w:themeColor="text1"/>
              </w:rPr>
            </w:pPr>
            <w:r w:rsidRPr="00730DE4">
              <w:rPr>
                <w:color w:val="080C0F" w:themeColor="text1"/>
              </w:rPr>
              <w:t xml:space="preserve">232,180 </w:t>
            </w:r>
          </w:p>
        </w:tc>
        <w:tc>
          <w:tcPr>
            <w:tcW w:w="69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727467A" w14:textId="77777777" w:rsidR="00730DE4" w:rsidRPr="00730DE4" w:rsidRDefault="00730DE4" w:rsidP="00362B44">
            <w:pPr>
              <w:pStyle w:val="NoSpacing"/>
              <w:jc w:val="right"/>
              <w:rPr>
                <w:color w:val="080C0F" w:themeColor="text1"/>
              </w:rPr>
            </w:pPr>
            <w:r w:rsidRPr="00730DE4">
              <w:rPr>
                <w:color w:val="080C0F" w:themeColor="text1"/>
              </w:rPr>
              <w:t xml:space="preserve">232,180 </w:t>
            </w:r>
          </w:p>
        </w:tc>
        <w:tc>
          <w:tcPr>
            <w:tcW w:w="694"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8C79E2B" w14:textId="77777777" w:rsidR="00730DE4" w:rsidRPr="00730DE4" w:rsidRDefault="00730DE4" w:rsidP="00362B44">
            <w:pPr>
              <w:pStyle w:val="NoSpacing"/>
              <w:jc w:val="right"/>
              <w:rPr>
                <w:color w:val="080C0F" w:themeColor="text1"/>
              </w:rPr>
            </w:pPr>
            <w:r w:rsidRPr="00730DE4">
              <w:rPr>
                <w:color w:val="080C0F" w:themeColor="text1"/>
              </w:rPr>
              <w:t xml:space="preserve">- </w:t>
            </w:r>
          </w:p>
        </w:tc>
      </w:tr>
      <w:tr w:rsidR="00730DE4" w:rsidRPr="00730DE4" w14:paraId="05EC88E1" w14:textId="77777777" w:rsidTr="00B32C86">
        <w:trPr>
          <w:trHeight w:val="238"/>
        </w:trPr>
        <w:tc>
          <w:tcPr>
            <w:tcW w:w="2918"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58F95B9E" w14:textId="77777777" w:rsidR="00730DE4" w:rsidRPr="00730DE4" w:rsidRDefault="00730DE4" w:rsidP="00362B44">
            <w:pPr>
              <w:pStyle w:val="NoSpacing"/>
              <w:rPr>
                <w:color w:val="080C0F" w:themeColor="text1"/>
              </w:rPr>
            </w:pPr>
            <w:r w:rsidRPr="00730DE4">
              <w:rPr>
                <w:color w:val="080C0F" w:themeColor="text1"/>
              </w:rPr>
              <w:t>Other revenue</w:t>
            </w:r>
          </w:p>
        </w:tc>
        <w:tc>
          <w:tcPr>
            <w:tcW w:w="694"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713CAA51" w14:textId="77777777" w:rsidR="00730DE4" w:rsidRPr="00730DE4" w:rsidRDefault="00730DE4" w:rsidP="00362B44">
            <w:pPr>
              <w:pStyle w:val="NoSpacing"/>
              <w:jc w:val="right"/>
              <w:rPr>
                <w:color w:val="080C0F" w:themeColor="text1"/>
              </w:rPr>
            </w:pPr>
            <w:r w:rsidRPr="00730DE4">
              <w:rPr>
                <w:color w:val="080C0F" w:themeColor="text1"/>
              </w:rPr>
              <w:t xml:space="preserve">36,676 </w:t>
            </w:r>
          </w:p>
        </w:tc>
        <w:tc>
          <w:tcPr>
            <w:tcW w:w="694"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3F5ED12C" w14:textId="77777777" w:rsidR="00730DE4" w:rsidRPr="00730DE4" w:rsidRDefault="00730DE4" w:rsidP="00362B44">
            <w:pPr>
              <w:pStyle w:val="NoSpacing"/>
              <w:jc w:val="right"/>
              <w:rPr>
                <w:color w:val="080C0F" w:themeColor="text1"/>
              </w:rPr>
            </w:pPr>
            <w:r w:rsidRPr="00730DE4">
              <w:rPr>
                <w:color w:val="080C0F" w:themeColor="text1"/>
              </w:rPr>
              <w:t xml:space="preserve">61,931 </w:t>
            </w:r>
          </w:p>
        </w:tc>
        <w:tc>
          <w:tcPr>
            <w:tcW w:w="694"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338B669E" w14:textId="77777777" w:rsidR="00730DE4" w:rsidRPr="00730DE4" w:rsidRDefault="00730DE4" w:rsidP="00362B44">
            <w:pPr>
              <w:pStyle w:val="NoSpacing"/>
              <w:jc w:val="right"/>
              <w:rPr>
                <w:color w:val="080C0F" w:themeColor="text1"/>
              </w:rPr>
            </w:pPr>
            <w:r w:rsidRPr="00730DE4">
              <w:rPr>
                <w:color w:val="080C0F" w:themeColor="text1"/>
              </w:rPr>
              <w:t xml:space="preserve">25,255 </w:t>
            </w:r>
          </w:p>
        </w:tc>
      </w:tr>
      <w:tr w:rsidR="00730DE4" w:rsidRPr="00730DE4" w14:paraId="5987CAEA" w14:textId="77777777" w:rsidTr="00B32C86">
        <w:trPr>
          <w:trHeight w:val="454"/>
        </w:trPr>
        <w:tc>
          <w:tcPr>
            <w:tcW w:w="2918"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hideMark/>
          </w:tcPr>
          <w:p w14:paraId="5E4BCC2B" w14:textId="77777777" w:rsidR="00730DE4" w:rsidRPr="00730DE4" w:rsidRDefault="00730DE4" w:rsidP="00362B44">
            <w:pPr>
              <w:pStyle w:val="NoSpacing"/>
              <w:rPr>
                <w:color w:val="080C0F" w:themeColor="text1"/>
              </w:rPr>
            </w:pPr>
            <w:r w:rsidRPr="00730DE4">
              <w:rPr>
                <w:rStyle w:val="Strong"/>
              </w:rPr>
              <w:t>Total revenue</w:t>
            </w:r>
          </w:p>
        </w:tc>
        <w:tc>
          <w:tcPr>
            <w:tcW w:w="694"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hideMark/>
          </w:tcPr>
          <w:p w14:paraId="1CE482D0" w14:textId="77777777" w:rsidR="00730DE4" w:rsidRPr="00730DE4" w:rsidRDefault="00730DE4" w:rsidP="00362B44">
            <w:pPr>
              <w:pStyle w:val="NoSpacing"/>
              <w:jc w:val="right"/>
              <w:rPr>
                <w:color w:val="080C0F" w:themeColor="text1"/>
              </w:rPr>
            </w:pPr>
            <w:r w:rsidRPr="00730DE4">
              <w:rPr>
                <w:rStyle w:val="Strong"/>
              </w:rPr>
              <w:t xml:space="preserve">8,624,308 </w:t>
            </w:r>
          </w:p>
        </w:tc>
        <w:tc>
          <w:tcPr>
            <w:tcW w:w="694"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hideMark/>
          </w:tcPr>
          <w:p w14:paraId="057B1C57" w14:textId="77777777" w:rsidR="00730DE4" w:rsidRPr="00730DE4" w:rsidRDefault="00730DE4" w:rsidP="00362B44">
            <w:pPr>
              <w:pStyle w:val="NoSpacing"/>
              <w:jc w:val="right"/>
              <w:rPr>
                <w:color w:val="080C0F" w:themeColor="text1"/>
              </w:rPr>
            </w:pPr>
            <w:r w:rsidRPr="00730DE4">
              <w:rPr>
                <w:rStyle w:val="Strong"/>
              </w:rPr>
              <w:t xml:space="preserve">8,952,512 </w:t>
            </w:r>
          </w:p>
        </w:tc>
        <w:tc>
          <w:tcPr>
            <w:tcW w:w="694"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hideMark/>
          </w:tcPr>
          <w:p w14:paraId="5EFAE09D" w14:textId="77777777" w:rsidR="00730DE4" w:rsidRPr="00730DE4" w:rsidRDefault="00730DE4" w:rsidP="00362B44">
            <w:pPr>
              <w:pStyle w:val="NoSpacing"/>
              <w:jc w:val="right"/>
              <w:rPr>
                <w:rStyle w:val="Strong"/>
              </w:rPr>
            </w:pPr>
            <w:r w:rsidRPr="00730DE4">
              <w:rPr>
                <w:rStyle w:val="Strong"/>
              </w:rPr>
              <w:t xml:space="preserve">328,204 </w:t>
            </w:r>
          </w:p>
        </w:tc>
      </w:tr>
      <w:tr w:rsidR="00730DE4" w:rsidRPr="00730DE4" w14:paraId="4F7509D8" w14:textId="77777777" w:rsidTr="00B32C86">
        <w:trPr>
          <w:trHeight w:val="238"/>
        </w:trPr>
        <w:tc>
          <w:tcPr>
            <w:tcW w:w="2918"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498051B8" w14:textId="77777777" w:rsidR="00730DE4" w:rsidRPr="00730DE4" w:rsidRDefault="00730DE4" w:rsidP="00362B44">
            <w:pPr>
              <w:pStyle w:val="NoSpacing"/>
              <w:rPr>
                <w:color w:val="080C0F" w:themeColor="text1"/>
              </w:rPr>
            </w:pPr>
            <w:r w:rsidRPr="00730DE4">
              <w:rPr>
                <w:color w:val="080C0F" w:themeColor="text1"/>
              </w:rPr>
              <w:t>Gains on disposal of assets</w:t>
            </w:r>
          </w:p>
        </w:tc>
        <w:tc>
          <w:tcPr>
            <w:tcW w:w="694"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5ACBCA19" w14:textId="77777777" w:rsidR="00730DE4" w:rsidRPr="00730DE4" w:rsidRDefault="00730DE4" w:rsidP="00362B44">
            <w:pPr>
              <w:pStyle w:val="NoSpacing"/>
              <w:jc w:val="right"/>
              <w:rPr>
                <w:color w:val="080C0F" w:themeColor="text1"/>
              </w:rPr>
            </w:pPr>
            <w:r w:rsidRPr="00730DE4">
              <w:rPr>
                <w:color w:val="080C0F" w:themeColor="text1"/>
              </w:rPr>
              <w:t xml:space="preserve">4,227 </w:t>
            </w:r>
          </w:p>
        </w:tc>
        <w:tc>
          <w:tcPr>
            <w:tcW w:w="694"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5714FB25" w14:textId="77777777" w:rsidR="00730DE4" w:rsidRPr="00730DE4" w:rsidRDefault="00730DE4" w:rsidP="00362B44">
            <w:pPr>
              <w:pStyle w:val="NoSpacing"/>
              <w:jc w:val="right"/>
              <w:rPr>
                <w:color w:val="080C0F" w:themeColor="text1"/>
              </w:rPr>
            </w:pPr>
            <w:r w:rsidRPr="00730DE4">
              <w:rPr>
                <w:color w:val="080C0F" w:themeColor="text1"/>
              </w:rPr>
              <w:t xml:space="preserve">2,419 </w:t>
            </w:r>
          </w:p>
        </w:tc>
        <w:tc>
          <w:tcPr>
            <w:tcW w:w="694"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5AF3A104" w14:textId="77777777" w:rsidR="00730DE4" w:rsidRPr="00730DE4" w:rsidRDefault="00730DE4" w:rsidP="00362B44">
            <w:pPr>
              <w:pStyle w:val="NoSpacing"/>
              <w:jc w:val="right"/>
              <w:rPr>
                <w:color w:val="080C0F" w:themeColor="text1"/>
              </w:rPr>
            </w:pPr>
            <w:r w:rsidRPr="00730DE4">
              <w:rPr>
                <w:color w:val="080C0F" w:themeColor="text1"/>
              </w:rPr>
              <w:t>(1,808)</w:t>
            </w:r>
          </w:p>
        </w:tc>
      </w:tr>
      <w:tr w:rsidR="00730DE4" w:rsidRPr="00730DE4" w14:paraId="1B469D89" w14:textId="77777777" w:rsidTr="00B32C86">
        <w:tc>
          <w:tcPr>
            <w:tcW w:w="2918" w:type="pct"/>
            <w:tcBorders>
              <w:top w:val="single" w:sz="4" w:space="0" w:color="auto"/>
              <w:left w:val="nil"/>
              <w:right w:val="dotted" w:sz="4" w:space="0" w:color="BFBFBF" w:themeColor="background1" w:themeShade="BF"/>
            </w:tcBorders>
            <w:shd w:val="clear" w:color="auto" w:fill="auto"/>
            <w:noWrap/>
            <w:hideMark/>
          </w:tcPr>
          <w:p w14:paraId="580772D1" w14:textId="77777777" w:rsidR="00730DE4" w:rsidRPr="00730DE4" w:rsidRDefault="00730DE4" w:rsidP="00362B44">
            <w:pPr>
              <w:pStyle w:val="NoSpacing"/>
              <w:rPr>
                <w:color w:val="080C0F" w:themeColor="text1"/>
              </w:rPr>
            </w:pPr>
            <w:r w:rsidRPr="00730DE4">
              <w:rPr>
                <w:rStyle w:val="Strong"/>
              </w:rPr>
              <w:t>Total income</w:t>
            </w:r>
          </w:p>
        </w:tc>
        <w:tc>
          <w:tcPr>
            <w:tcW w:w="694"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30CCA37A" w14:textId="77777777" w:rsidR="00730DE4" w:rsidRPr="00730DE4" w:rsidRDefault="00730DE4" w:rsidP="00362B44">
            <w:pPr>
              <w:pStyle w:val="NoSpacing"/>
              <w:jc w:val="right"/>
              <w:rPr>
                <w:color w:val="080C0F" w:themeColor="text1"/>
              </w:rPr>
            </w:pPr>
            <w:r w:rsidRPr="00730DE4">
              <w:rPr>
                <w:rStyle w:val="Strong"/>
              </w:rPr>
              <w:t xml:space="preserve">8,628,535 </w:t>
            </w:r>
          </w:p>
        </w:tc>
        <w:tc>
          <w:tcPr>
            <w:tcW w:w="694"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35A85A36" w14:textId="77777777" w:rsidR="00730DE4" w:rsidRPr="00730DE4" w:rsidRDefault="00730DE4" w:rsidP="00362B44">
            <w:pPr>
              <w:pStyle w:val="NoSpacing"/>
              <w:jc w:val="right"/>
              <w:rPr>
                <w:color w:val="080C0F" w:themeColor="text1"/>
              </w:rPr>
            </w:pPr>
            <w:r w:rsidRPr="00730DE4">
              <w:rPr>
                <w:rStyle w:val="Strong"/>
              </w:rPr>
              <w:t xml:space="preserve">8,954,931 </w:t>
            </w:r>
          </w:p>
        </w:tc>
        <w:tc>
          <w:tcPr>
            <w:tcW w:w="694" w:type="pct"/>
            <w:tcBorders>
              <w:top w:val="single" w:sz="4" w:space="0" w:color="auto"/>
              <w:left w:val="dotted" w:sz="4" w:space="0" w:color="BFBFBF" w:themeColor="background1" w:themeShade="BF"/>
              <w:right w:val="nil"/>
            </w:tcBorders>
            <w:shd w:val="clear" w:color="auto" w:fill="auto"/>
            <w:noWrap/>
            <w:hideMark/>
          </w:tcPr>
          <w:p w14:paraId="169989C2" w14:textId="77777777" w:rsidR="00730DE4" w:rsidRPr="00730DE4" w:rsidRDefault="00730DE4" w:rsidP="00362B44">
            <w:pPr>
              <w:pStyle w:val="NoSpacing"/>
              <w:jc w:val="right"/>
              <w:rPr>
                <w:rStyle w:val="Strong"/>
              </w:rPr>
            </w:pPr>
            <w:r w:rsidRPr="00730DE4">
              <w:rPr>
                <w:rStyle w:val="Strong"/>
              </w:rPr>
              <w:t xml:space="preserve">326,396 </w:t>
            </w:r>
          </w:p>
        </w:tc>
      </w:tr>
      <w:tr w:rsidR="00730DE4" w:rsidRPr="00730DE4" w14:paraId="62E50395" w14:textId="77777777" w:rsidTr="00B32C86">
        <w:trPr>
          <w:trHeight w:val="454"/>
        </w:trPr>
        <w:tc>
          <w:tcPr>
            <w:tcW w:w="2918" w:type="pct"/>
            <w:tcBorders>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F16643C" w14:textId="77777777" w:rsidR="00730DE4" w:rsidRPr="00730DE4" w:rsidRDefault="00730DE4" w:rsidP="00362B44">
            <w:pPr>
              <w:pStyle w:val="NoSpacing"/>
              <w:rPr>
                <w:color w:val="080C0F" w:themeColor="text1"/>
              </w:rPr>
            </w:pPr>
            <w:r w:rsidRPr="00730DE4">
              <w:rPr>
                <w:rStyle w:val="Strong"/>
              </w:rPr>
              <w:t>Expenses</w:t>
            </w:r>
          </w:p>
        </w:tc>
        <w:tc>
          <w:tcPr>
            <w:tcW w:w="694"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tcPr>
          <w:p w14:paraId="19105F57" w14:textId="77777777" w:rsidR="00730DE4" w:rsidRPr="00730DE4" w:rsidRDefault="00730DE4" w:rsidP="00362B44">
            <w:pPr>
              <w:pStyle w:val="NoSpacing"/>
              <w:jc w:val="right"/>
              <w:rPr>
                <w:rStyle w:val="Strong"/>
              </w:rPr>
            </w:pPr>
          </w:p>
        </w:tc>
        <w:tc>
          <w:tcPr>
            <w:tcW w:w="694"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tcPr>
          <w:p w14:paraId="242644BB" w14:textId="77777777" w:rsidR="00730DE4" w:rsidRPr="00730DE4" w:rsidRDefault="00730DE4" w:rsidP="00362B44">
            <w:pPr>
              <w:pStyle w:val="NoSpacing"/>
              <w:jc w:val="right"/>
              <w:rPr>
                <w:color w:val="080C0F" w:themeColor="text1"/>
              </w:rPr>
            </w:pPr>
          </w:p>
        </w:tc>
        <w:tc>
          <w:tcPr>
            <w:tcW w:w="694" w:type="pct"/>
            <w:tcBorders>
              <w:left w:val="dotted" w:sz="4" w:space="0" w:color="BFBFBF" w:themeColor="background1" w:themeShade="BF"/>
              <w:bottom w:val="dotted" w:sz="4" w:space="0" w:color="BFBFBF" w:themeColor="background1" w:themeShade="BF"/>
              <w:right w:val="nil"/>
            </w:tcBorders>
            <w:shd w:val="clear" w:color="auto" w:fill="auto"/>
            <w:noWrap/>
            <w:vAlign w:val="bottom"/>
          </w:tcPr>
          <w:p w14:paraId="6B276F48" w14:textId="77777777" w:rsidR="00730DE4" w:rsidRPr="00730DE4" w:rsidRDefault="00730DE4" w:rsidP="00362B44">
            <w:pPr>
              <w:pStyle w:val="NoSpacing"/>
              <w:jc w:val="right"/>
              <w:rPr>
                <w:color w:val="080C0F" w:themeColor="text1"/>
              </w:rPr>
            </w:pPr>
          </w:p>
        </w:tc>
      </w:tr>
      <w:tr w:rsidR="00730DE4" w:rsidRPr="00730DE4" w14:paraId="3AC6A2BB" w14:textId="77777777" w:rsidTr="008A2F83">
        <w:trPr>
          <w:trHeight w:val="198"/>
        </w:trPr>
        <w:tc>
          <w:tcPr>
            <w:tcW w:w="291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06C750A9" w14:textId="77777777" w:rsidR="00730DE4" w:rsidRPr="00730DE4" w:rsidRDefault="00730DE4" w:rsidP="00362B44">
            <w:pPr>
              <w:pStyle w:val="NoSpacing"/>
              <w:rPr>
                <w:color w:val="080C0F" w:themeColor="text1"/>
              </w:rPr>
            </w:pPr>
            <w:r w:rsidRPr="00730DE4">
              <w:rPr>
                <w:color w:val="080C0F" w:themeColor="text1"/>
              </w:rPr>
              <w:t>Employee expenses</w:t>
            </w:r>
          </w:p>
        </w:tc>
        <w:tc>
          <w:tcPr>
            <w:tcW w:w="69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76E1B98" w14:textId="77777777" w:rsidR="00730DE4" w:rsidRPr="00730DE4" w:rsidRDefault="00730DE4" w:rsidP="00362B44">
            <w:pPr>
              <w:pStyle w:val="NoSpacing"/>
              <w:jc w:val="right"/>
              <w:rPr>
                <w:color w:val="080C0F" w:themeColor="text1"/>
              </w:rPr>
            </w:pPr>
            <w:r w:rsidRPr="00730DE4">
              <w:rPr>
                <w:color w:val="080C0F" w:themeColor="text1"/>
              </w:rPr>
              <w:t xml:space="preserve">981,726 </w:t>
            </w:r>
          </w:p>
        </w:tc>
        <w:tc>
          <w:tcPr>
            <w:tcW w:w="69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6255289" w14:textId="77777777" w:rsidR="00730DE4" w:rsidRPr="00730DE4" w:rsidRDefault="00730DE4" w:rsidP="00362B44">
            <w:pPr>
              <w:pStyle w:val="NoSpacing"/>
              <w:jc w:val="right"/>
              <w:rPr>
                <w:color w:val="080C0F" w:themeColor="text1"/>
              </w:rPr>
            </w:pPr>
            <w:r w:rsidRPr="00730DE4">
              <w:rPr>
                <w:color w:val="080C0F" w:themeColor="text1"/>
              </w:rPr>
              <w:t xml:space="preserve">1,083,824 </w:t>
            </w:r>
          </w:p>
        </w:tc>
        <w:tc>
          <w:tcPr>
            <w:tcW w:w="694"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0DC3414" w14:textId="77777777" w:rsidR="00730DE4" w:rsidRPr="00730DE4" w:rsidRDefault="00730DE4" w:rsidP="00362B44">
            <w:pPr>
              <w:pStyle w:val="NoSpacing"/>
              <w:jc w:val="right"/>
              <w:rPr>
                <w:color w:val="080C0F" w:themeColor="text1"/>
              </w:rPr>
            </w:pPr>
            <w:r w:rsidRPr="00730DE4">
              <w:rPr>
                <w:color w:val="080C0F" w:themeColor="text1"/>
              </w:rPr>
              <w:t xml:space="preserve">102,098 </w:t>
            </w:r>
          </w:p>
        </w:tc>
      </w:tr>
      <w:tr w:rsidR="00730DE4" w:rsidRPr="00730DE4" w14:paraId="7F3D45D2" w14:textId="77777777" w:rsidTr="008A2F83">
        <w:trPr>
          <w:trHeight w:val="198"/>
        </w:trPr>
        <w:tc>
          <w:tcPr>
            <w:tcW w:w="291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15DB400" w14:textId="77777777" w:rsidR="00730DE4" w:rsidRPr="00730DE4" w:rsidRDefault="00730DE4" w:rsidP="00362B44">
            <w:pPr>
              <w:pStyle w:val="NoSpacing"/>
              <w:rPr>
                <w:color w:val="080C0F" w:themeColor="text1"/>
              </w:rPr>
            </w:pPr>
            <w:r w:rsidRPr="00730DE4">
              <w:rPr>
                <w:color w:val="080C0F" w:themeColor="text1"/>
              </w:rPr>
              <w:t>Supplies and services</w:t>
            </w:r>
          </w:p>
        </w:tc>
        <w:tc>
          <w:tcPr>
            <w:tcW w:w="69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2CF5C90" w14:textId="77777777" w:rsidR="00730DE4" w:rsidRPr="00730DE4" w:rsidRDefault="00730DE4" w:rsidP="00362B44">
            <w:pPr>
              <w:pStyle w:val="NoSpacing"/>
              <w:jc w:val="right"/>
              <w:rPr>
                <w:color w:val="080C0F" w:themeColor="text1"/>
              </w:rPr>
            </w:pPr>
            <w:r w:rsidRPr="00730DE4">
              <w:rPr>
                <w:color w:val="080C0F" w:themeColor="text1"/>
              </w:rPr>
              <w:t xml:space="preserve">4,901,116 </w:t>
            </w:r>
          </w:p>
        </w:tc>
        <w:tc>
          <w:tcPr>
            <w:tcW w:w="69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81EBDD4" w14:textId="77777777" w:rsidR="00730DE4" w:rsidRPr="00730DE4" w:rsidRDefault="00730DE4" w:rsidP="00362B44">
            <w:pPr>
              <w:pStyle w:val="NoSpacing"/>
              <w:jc w:val="right"/>
              <w:rPr>
                <w:color w:val="080C0F" w:themeColor="text1"/>
              </w:rPr>
            </w:pPr>
            <w:r w:rsidRPr="00730DE4">
              <w:rPr>
                <w:color w:val="080C0F" w:themeColor="text1"/>
              </w:rPr>
              <w:t xml:space="preserve">4,977,004 </w:t>
            </w:r>
          </w:p>
        </w:tc>
        <w:tc>
          <w:tcPr>
            <w:tcW w:w="694"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E654CBA" w14:textId="77777777" w:rsidR="00730DE4" w:rsidRPr="00730DE4" w:rsidRDefault="00730DE4" w:rsidP="00362B44">
            <w:pPr>
              <w:pStyle w:val="NoSpacing"/>
              <w:jc w:val="right"/>
              <w:rPr>
                <w:color w:val="080C0F" w:themeColor="text1"/>
              </w:rPr>
            </w:pPr>
            <w:r w:rsidRPr="00730DE4">
              <w:rPr>
                <w:color w:val="080C0F" w:themeColor="text1"/>
              </w:rPr>
              <w:t xml:space="preserve">75,888 </w:t>
            </w:r>
          </w:p>
        </w:tc>
      </w:tr>
      <w:tr w:rsidR="00730DE4" w:rsidRPr="00730DE4" w14:paraId="0C03D0F9" w14:textId="77777777" w:rsidTr="008A2F83">
        <w:trPr>
          <w:trHeight w:val="198"/>
        </w:trPr>
        <w:tc>
          <w:tcPr>
            <w:tcW w:w="291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6CAC89B7" w14:textId="77777777" w:rsidR="00730DE4" w:rsidRPr="00730DE4" w:rsidRDefault="00730DE4" w:rsidP="00362B44">
            <w:pPr>
              <w:pStyle w:val="NoSpacing"/>
              <w:rPr>
                <w:color w:val="080C0F" w:themeColor="text1"/>
              </w:rPr>
            </w:pPr>
            <w:r w:rsidRPr="00730DE4">
              <w:rPr>
                <w:color w:val="080C0F" w:themeColor="text1"/>
              </w:rPr>
              <w:t xml:space="preserve">Grants and subsidies </w:t>
            </w:r>
          </w:p>
        </w:tc>
        <w:tc>
          <w:tcPr>
            <w:tcW w:w="69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22C1835" w14:textId="77777777" w:rsidR="00730DE4" w:rsidRPr="00730DE4" w:rsidRDefault="00730DE4" w:rsidP="00362B44">
            <w:pPr>
              <w:pStyle w:val="NoSpacing"/>
              <w:jc w:val="right"/>
              <w:rPr>
                <w:color w:val="080C0F" w:themeColor="text1"/>
              </w:rPr>
            </w:pPr>
            <w:r w:rsidRPr="00730DE4">
              <w:rPr>
                <w:color w:val="080C0F" w:themeColor="text1"/>
              </w:rPr>
              <w:t xml:space="preserve">858,972 </w:t>
            </w:r>
          </w:p>
        </w:tc>
        <w:tc>
          <w:tcPr>
            <w:tcW w:w="69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0A9844A" w14:textId="77777777" w:rsidR="00730DE4" w:rsidRPr="00730DE4" w:rsidRDefault="00730DE4" w:rsidP="00362B44">
            <w:pPr>
              <w:pStyle w:val="NoSpacing"/>
              <w:jc w:val="right"/>
              <w:rPr>
                <w:color w:val="080C0F" w:themeColor="text1"/>
              </w:rPr>
            </w:pPr>
            <w:r w:rsidRPr="00730DE4">
              <w:rPr>
                <w:color w:val="080C0F" w:themeColor="text1"/>
              </w:rPr>
              <w:t xml:space="preserve">790,233 </w:t>
            </w:r>
          </w:p>
        </w:tc>
        <w:tc>
          <w:tcPr>
            <w:tcW w:w="694"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244FF52" w14:textId="77777777" w:rsidR="00730DE4" w:rsidRPr="00730DE4" w:rsidRDefault="00730DE4" w:rsidP="00362B44">
            <w:pPr>
              <w:pStyle w:val="NoSpacing"/>
              <w:jc w:val="right"/>
              <w:rPr>
                <w:color w:val="080C0F" w:themeColor="text1"/>
              </w:rPr>
            </w:pPr>
            <w:r w:rsidRPr="00730DE4">
              <w:rPr>
                <w:color w:val="080C0F" w:themeColor="text1"/>
              </w:rPr>
              <w:t>(68,739)</w:t>
            </w:r>
          </w:p>
        </w:tc>
      </w:tr>
      <w:tr w:rsidR="00730DE4" w:rsidRPr="00730DE4" w14:paraId="2C472525" w14:textId="77777777" w:rsidTr="008A2F83">
        <w:trPr>
          <w:trHeight w:val="198"/>
        </w:trPr>
        <w:tc>
          <w:tcPr>
            <w:tcW w:w="291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09748E51" w14:textId="77777777" w:rsidR="00730DE4" w:rsidRPr="00730DE4" w:rsidRDefault="00730DE4" w:rsidP="00362B44">
            <w:pPr>
              <w:pStyle w:val="NoSpacing"/>
              <w:rPr>
                <w:color w:val="080C0F" w:themeColor="text1"/>
              </w:rPr>
            </w:pPr>
            <w:r w:rsidRPr="00730DE4">
              <w:rPr>
                <w:color w:val="080C0F" w:themeColor="text1"/>
              </w:rPr>
              <w:t>Finance and borrowing costs</w:t>
            </w:r>
          </w:p>
        </w:tc>
        <w:tc>
          <w:tcPr>
            <w:tcW w:w="69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7847332" w14:textId="77777777" w:rsidR="00730DE4" w:rsidRPr="00730DE4" w:rsidRDefault="00730DE4" w:rsidP="00362B44">
            <w:pPr>
              <w:pStyle w:val="NoSpacing"/>
              <w:jc w:val="right"/>
              <w:rPr>
                <w:color w:val="080C0F" w:themeColor="text1"/>
              </w:rPr>
            </w:pPr>
            <w:r w:rsidRPr="00730DE4">
              <w:rPr>
                <w:color w:val="080C0F" w:themeColor="text1"/>
              </w:rPr>
              <w:t xml:space="preserve">99,572 </w:t>
            </w:r>
          </w:p>
        </w:tc>
        <w:tc>
          <w:tcPr>
            <w:tcW w:w="69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F4420BB" w14:textId="77777777" w:rsidR="00730DE4" w:rsidRPr="00730DE4" w:rsidRDefault="00730DE4" w:rsidP="00362B44">
            <w:pPr>
              <w:pStyle w:val="NoSpacing"/>
              <w:jc w:val="right"/>
              <w:rPr>
                <w:color w:val="080C0F" w:themeColor="text1"/>
              </w:rPr>
            </w:pPr>
            <w:r w:rsidRPr="00730DE4">
              <w:rPr>
                <w:color w:val="080C0F" w:themeColor="text1"/>
              </w:rPr>
              <w:t xml:space="preserve">102,645 </w:t>
            </w:r>
          </w:p>
        </w:tc>
        <w:tc>
          <w:tcPr>
            <w:tcW w:w="694"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43A85810" w14:textId="77777777" w:rsidR="00730DE4" w:rsidRPr="00730DE4" w:rsidRDefault="00730DE4" w:rsidP="00362B44">
            <w:pPr>
              <w:pStyle w:val="NoSpacing"/>
              <w:jc w:val="right"/>
              <w:rPr>
                <w:color w:val="080C0F" w:themeColor="text1"/>
              </w:rPr>
            </w:pPr>
            <w:r w:rsidRPr="00730DE4">
              <w:rPr>
                <w:color w:val="080C0F" w:themeColor="text1"/>
              </w:rPr>
              <w:t xml:space="preserve">3,073 </w:t>
            </w:r>
          </w:p>
        </w:tc>
      </w:tr>
      <w:tr w:rsidR="00730DE4" w:rsidRPr="00730DE4" w14:paraId="080090B9" w14:textId="77777777" w:rsidTr="008A2F83">
        <w:trPr>
          <w:trHeight w:val="198"/>
        </w:trPr>
        <w:tc>
          <w:tcPr>
            <w:tcW w:w="291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4068D349" w14:textId="77777777" w:rsidR="00730DE4" w:rsidRPr="00730DE4" w:rsidRDefault="00730DE4" w:rsidP="00362B44">
            <w:pPr>
              <w:pStyle w:val="NoSpacing"/>
              <w:rPr>
                <w:color w:val="080C0F" w:themeColor="text1"/>
              </w:rPr>
            </w:pPr>
            <w:r w:rsidRPr="00730DE4">
              <w:rPr>
                <w:color w:val="080C0F" w:themeColor="text1"/>
              </w:rPr>
              <w:t>Depreciation and amortisation</w:t>
            </w:r>
          </w:p>
        </w:tc>
        <w:tc>
          <w:tcPr>
            <w:tcW w:w="69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07E5F01" w14:textId="77777777" w:rsidR="00730DE4" w:rsidRPr="00730DE4" w:rsidRDefault="00730DE4" w:rsidP="00362B44">
            <w:pPr>
              <w:pStyle w:val="NoSpacing"/>
              <w:jc w:val="right"/>
              <w:rPr>
                <w:color w:val="080C0F" w:themeColor="text1"/>
              </w:rPr>
            </w:pPr>
            <w:r w:rsidRPr="00730DE4">
              <w:rPr>
                <w:color w:val="080C0F" w:themeColor="text1"/>
              </w:rPr>
              <w:t xml:space="preserve">1,549,663 </w:t>
            </w:r>
          </w:p>
        </w:tc>
        <w:tc>
          <w:tcPr>
            <w:tcW w:w="69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B0F67C7" w14:textId="77777777" w:rsidR="00730DE4" w:rsidRPr="00730DE4" w:rsidRDefault="00730DE4" w:rsidP="00362B44">
            <w:pPr>
              <w:pStyle w:val="NoSpacing"/>
              <w:jc w:val="right"/>
              <w:rPr>
                <w:color w:val="080C0F" w:themeColor="text1"/>
              </w:rPr>
            </w:pPr>
            <w:r w:rsidRPr="00730DE4">
              <w:rPr>
                <w:color w:val="080C0F" w:themeColor="text1"/>
              </w:rPr>
              <w:t xml:space="preserve">1,646,691 </w:t>
            </w:r>
          </w:p>
        </w:tc>
        <w:tc>
          <w:tcPr>
            <w:tcW w:w="694"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90D22E4" w14:textId="77777777" w:rsidR="00730DE4" w:rsidRPr="00730DE4" w:rsidRDefault="00730DE4" w:rsidP="00362B44">
            <w:pPr>
              <w:pStyle w:val="NoSpacing"/>
              <w:jc w:val="right"/>
              <w:rPr>
                <w:color w:val="080C0F" w:themeColor="text1"/>
              </w:rPr>
            </w:pPr>
            <w:r w:rsidRPr="00730DE4">
              <w:rPr>
                <w:color w:val="080C0F" w:themeColor="text1"/>
              </w:rPr>
              <w:t xml:space="preserve">97,028 </w:t>
            </w:r>
          </w:p>
        </w:tc>
      </w:tr>
      <w:tr w:rsidR="00730DE4" w:rsidRPr="00730DE4" w14:paraId="3FEA9A2F" w14:textId="77777777" w:rsidTr="00B32C86">
        <w:trPr>
          <w:trHeight w:val="198"/>
        </w:trPr>
        <w:tc>
          <w:tcPr>
            <w:tcW w:w="2918"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18BCC17B" w14:textId="77777777" w:rsidR="00730DE4" w:rsidRPr="00730DE4" w:rsidRDefault="00730DE4" w:rsidP="00362B44">
            <w:pPr>
              <w:pStyle w:val="NoSpacing"/>
              <w:rPr>
                <w:color w:val="080C0F" w:themeColor="text1"/>
              </w:rPr>
            </w:pPr>
            <w:r w:rsidRPr="00730DE4">
              <w:rPr>
                <w:color w:val="080C0F" w:themeColor="text1"/>
              </w:rPr>
              <w:t>Impairment losses</w:t>
            </w:r>
          </w:p>
        </w:tc>
        <w:tc>
          <w:tcPr>
            <w:tcW w:w="69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C574EF9" w14:textId="77777777" w:rsidR="00730DE4" w:rsidRPr="00730DE4" w:rsidRDefault="00730DE4" w:rsidP="00362B44">
            <w:pPr>
              <w:pStyle w:val="NoSpacing"/>
              <w:jc w:val="right"/>
              <w:rPr>
                <w:color w:val="080C0F" w:themeColor="text1"/>
              </w:rPr>
            </w:pPr>
            <w:r w:rsidRPr="00730DE4">
              <w:rPr>
                <w:color w:val="080C0F" w:themeColor="text1"/>
              </w:rPr>
              <w:t xml:space="preserve">1,620 </w:t>
            </w:r>
          </w:p>
        </w:tc>
        <w:tc>
          <w:tcPr>
            <w:tcW w:w="69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C7D5E47" w14:textId="77777777" w:rsidR="00730DE4" w:rsidRPr="00730DE4" w:rsidRDefault="00730DE4" w:rsidP="00362B44">
            <w:pPr>
              <w:pStyle w:val="NoSpacing"/>
              <w:jc w:val="right"/>
              <w:rPr>
                <w:color w:val="080C0F" w:themeColor="text1"/>
              </w:rPr>
            </w:pPr>
            <w:r w:rsidRPr="00730DE4">
              <w:rPr>
                <w:color w:val="080C0F" w:themeColor="text1"/>
              </w:rPr>
              <w:t xml:space="preserve">1,824 </w:t>
            </w:r>
          </w:p>
        </w:tc>
        <w:tc>
          <w:tcPr>
            <w:tcW w:w="694"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096AFFF" w14:textId="77777777" w:rsidR="00730DE4" w:rsidRPr="00730DE4" w:rsidRDefault="00730DE4" w:rsidP="00362B44">
            <w:pPr>
              <w:pStyle w:val="NoSpacing"/>
              <w:jc w:val="right"/>
              <w:rPr>
                <w:color w:val="080C0F" w:themeColor="text1"/>
              </w:rPr>
            </w:pPr>
            <w:r w:rsidRPr="00730DE4">
              <w:rPr>
                <w:color w:val="080C0F" w:themeColor="text1"/>
              </w:rPr>
              <w:t xml:space="preserve">204 </w:t>
            </w:r>
          </w:p>
        </w:tc>
      </w:tr>
      <w:tr w:rsidR="00730DE4" w:rsidRPr="00730DE4" w14:paraId="5F067C8D" w14:textId="77777777" w:rsidTr="00B32C86">
        <w:trPr>
          <w:trHeight w:val="198"/>
        </w:trPr>
        <w:tc>
          <w:tcPr>
            <w:tcW w:w="2918"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2629E108" w14:textId="77777777" w:rsidR="00730DE4" w:rsidRPr="00730DE4" w:rsidRDefault="00730DE4" w:rsidP="00362B44">
            <w:pPr>
              <w:pStyle w:val="NoSpacing"/>
              <w:rPr>
                <w:color w:val="080C0F" w:themeColor="text1"/>
              </w:rPr>
            </w:pPr>
            <w:r w:rsidRPr="00730DE4">
              <w:rPr>
                <w:color w:val="080C0F" w:themeColor="text1"/>
              </w:rPr>
              <w:t>Other expenses</w:t>
            </w:r>
          </w:p>
        </w:tc>
        <w:tc>
          <w:tcPr>
            <w:tcW w:w="694"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2FAAAF39" w14:textId="77777777" w:rsidR="00730DE4" w:rsidRPr="00730DE4" w:rsidRDefault="00730DE4" w:rsidP="00362B44">
            <w:pPr>
              <w:pStyle w:val="NoSpacing"/>
              <w:jc w:val="right"/>
              <w:rPr>
                <w:color w:val="080C0F" w:themeColor="text1"/>
              </w:rPr>
            </w:pPr>
            <w:r w:rsidRPr="00730DE4">
              <w:rPr>
                <w:color w:val="080C0F" w:themeColor="text1"/>
              </w:rPr>
              <w:t xml:space="preserve">24,050 </w:t>
            </w:r>
          </w:p>
        </w:tc>
        <w:tc>
          <w:tcPr>
            <w:tcW w:w="694"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4210E3D7" w14:textId="77777777" w:rsidR="00730DE4" w:rsidRPr="00730DE4" w:rsidRDefault="00730DE4" w:rsidP="00362B44">
            <w:pPr>
              <w:pStyle w:val="NoSpacing"/>
              <w:jc w:val="right"/>
              <w:rPr>
                <w:color w:val="080C0F" w:themeColor="text1"/>
              </w:rPr>
            </w:pPr>
            <w:r w:rsidRPr="00730DE4">
              <w:rPr>
                <w:color w:val="080C0F" w:themeColor="text1"/>
              </w:rPr>
              <w:t xml:space="preserve">23,303 </w:t>
            </w:r>
          </w:p>
        </w:tc>
        <w:tc>
          <w:tcPr>
            <w:tcW w:w="694"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1D01898C" w14:textId="77777777" w:rsidR="00730DE4" w:rsidRPr="00730DE4" w:rsidRDefault="00730DE4" w:rsidP="00362B44">
            <w:pPr>
              <w:pStyle w:val="NoSpacing"/>
              <w:jc w:val="right"/>
              <w:rPr>
                <w:color w:val="080C0F" w:themeColor="text1"/>
              </w:rPr>
            </w:pPr>
            <w:r w:rsidRPr="00730DE4">
              <w:rPr>
                <w:color w:val="080C0F" w:themeColor="text1"/>
              </w:rPr>
              <w:t>(747)</w:t>
            </w:r>
          </w:p>
        </w:tc>
      </w:tr>
      <w:tr w:rsidR="00730DE4" w:rsidRPr="00730DE4" w14:paraId="16A0E8FD" w14:textId="77777777" w:rsidTr="00B32C86">
        <w:tc>
          <w:tcPr>
            <w:tcW w:w="2918" w:type="pct"/>
            <w:tcBorders>
              <w:top w:val="single" w:sz="4" w:space="0" w:color="auto"/>
              <w:left w:val="nil"/>
              <w:right w:val="dotted" w:sz="4" w:space="0" w:color="BFBFBF" w:themeColor="background1" w:themeShade="BF"/>
            </w:tcBorders>
            <w:shd w:val="clear" w:color="auto" w:fill="auto"/>
            <w:noWrap/>
            <w:hideMark/>
          </w:tcPr>
          <w:p w14:paraId="16E50C03" w14:textId="77777777" w:rsidR="00730DE4" w:rsidRPr="00730DE4" w:rsidRDefault="00730DE4" w:rsidP="00362B44">
            <w:pPr>
              <w:pStyle w:val="NoSpacing"/>
              <w:rPr>
                <w:color w:val="080C0F" w:themeColor="text1"/>
              </w:rPr>
            </w:pPr>
            <w:r w:rsidRPr="00730DE4">
              <w:rPr>
                <w:rStyle w:val="Strong"/>
              </w:rPr>
              <w:t>Total expenses</w:t>
            </w:r>
          </w:p>
        </w:tc>
        <w:tc>
          <w:tcPr>
            <w:tcW w:w="694"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6C0A79F2" w14:textId="77777777" w:rsidR="00730DE4" w:rsidRPr="00730DE4" w:rsidRDefault="00730DE4" w:rsidP="00362B44">
            <w:pPr>
              <w:pStyle w:val="NoSpacing"/>
              <w:jc w:val="right"/>
              <w:rPr>
                <w:color w:val="080C0F" w:themeColor="text1"/>
              </w:rPr>
            </w:pPr>
            <w:r w:rsidRPr="00730DE4">
              <w:rPr>
                <w:rStyle w:val="Strong"/>
              </w:rPr>
              <w:t xml:space="preserve">8,416,719 </w:t>
            </w:r>
          </w:p>
        </w:tc>
        <w:tc>
          <w:tcPr>
            <w:tcW w:w="694"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68F53538" w14:textId="77777777" w:rsidR="00730DE4" w:rsidRPr="00730DE4" w:rsidRDefault="00730DE4" w:rsidP="00362B44">
            <w:pPr>
              <w:pStyle w:val="NoSpacing"/>
              <w:jc w:val="right"/>
              <w:rPr>
                <w:color w:val="080C0F" w:themeColor="text1"/>
              </w:rPr>
            </w:pPr>
            <w:r w:rsidRPr="00730DE4">
              <w:rPr>
                <w:rStyle w:val="Strong"/>
              </w:rPr>
              <w:t xml:space="preserve">8,625,524 </w:t>
            </w:r>
          </w:p>
        </w:tc>
        <w:tc>
          <w:tcPr>
            <w:tcW w:w="694" w:type="pct"/>
            <w:tcBorders>
              <w:top w:val="single" w:sz="4" w:space="0" w:color="auto"/>
              <w:left w:val="dotted" w:sz="4" w:space="0" w:color="BFBFBF" w:themeColor="background1" w:themeShade="BF"/>
              <w:right w:val="nil"/>
            </w:tcBorders>
            <w:shd w:val="clear" w:color="auto" w:fill="auto"/>
            <w:noWrap/>
            <w:hideMark/>
          </w:tcPr>
          <w:p w14:paraId="22078C5F" w14:textId="77777777" w:rsidR="00730DE4" w:rsidRPr="00730DE4" w:rsidRDefault="00730DE4" w:rsidP="00362B44">
            <w:pPr>
              <w:pStyle w:val="NoSpacing"/>
              <w:jc w:val="right"/>
              <w:rPr>
                <w:rStyle w:val="Strong"/>
              </w:rPr>
            </w:pPr>
            <w:r w:rsidRPr="00730DE4">
              <w:rPr>
                <w:rStyle w:val="Strong"/>
              </w:rPr>
              <w:t xml:space="preserve">208,805 </w:t>
            </w:r>
          </w:p>
        </w:tc>
      </w:tr>
      <w:tr w:rsidR="00730DE4" w:rsidRPr="00730DE4" w14:paraId="3B93BF05" w14:textId="77777777" w:rsidTr="00B32C86">
        <w:trPr>
          <w:trHeight w:val="454"/>
        </w:trPr>
        <w:tc>
          <w:tcPr>
            <w:tcW w:w="2918" w:type="pct"/>
            <w:tcBorders>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3616E889" w14:textId="77777777" w:rsidR="00730DE4" w:rsidRPr="00730DE4" w:rsidRDefault="00730DE4" w:rsidP="007F0D48">
            <w:pPr>
              <w:pStyle w:val="NoSpacing"/>
              <w:rPr>
                <w:color w:val="080C0F" w:themeColor="text1"/>
              </w:rPr>
            </w:pPr>
            <w:r w:rsidRPr="00730DE4">
              <w:rPr>
                <w:rStyle w:val="Strong"/>
              </w:rPr>
              <w:t>Operating result before income tax equivalent expense</w:t>
            </w:r>
          </w:p>
        </w:tc>
        <w:tc>
          <w:tcPr>
            <w:tcW w:w="694"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7E39335" w14:textId="77777777" w:rsidR="00730DE4" w:rsidRPr="00730DE4" w:rsidRDefault="00730DE4" w:rsidP="007F0D48">
            <w:pPr>
              <w:pStyle w:val="NoSpacing"/>
              <w:jc w:val="right"/>
              <w:rPr>
                <w:color w:val="080C0F" w:themeColor="text1"/>
              </w:rPr>
            </w:pPr>
            <w:r w:rsidRPr="00730DE4">
              <w:rPr>
                <w:rStyle w:val="Strong"/>
              </w:rPr>
              <w:t xml:space="preserve">211,816 </w:t>
            </w:r>
          </w:p>
        </w:tc>
        <w:tc>
          <w:tcPr>
            <w:tcW w:w="694"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0931E03" w14:textId="77777777" w:rsidR="00730DE4" w:rsidRPr="00730DE4" w:rsidRDefault="00730DE4" w:rsidP="007F0D48">
            <w:pPr>
              <w:pStyle w:val="NoSpacing"/>
              <w:jc w:val="right"/>
              <w:rPr>
                <w:color w:val="080C0F" w:themeColor="text1"/>
              </w:rPr>
            </w:pPr>
            <w:r w:rsidRPr="00730DE4">
              <w:rPr>
                <w:rStyle w:val="Strong"/>
              </w:rPr>
              <w:t xml:space="preserve">329,407 </w:t>
            </w:r>
          </w:p>
        </w:tc>
        <w:tc>
          <w:tcPr>
            <w:tcW w:w="694" w:type="pct"/>
            <w:tcBorders>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6F3370E" w14:textId="77777777" w:rsidR="00730DE4" w:rsidRPr="00730DE4" w:rsidRDefault="00730DE4" w:rsidP="007F0D48">
            <w:pPr>
              <w:pStyle w:val="NoSpacing"/>
              <w:jc w:val="right"/>
              <w:rPr>
                <w:rStyle w:val="Strong"/>
              </w:rPr>
            </w:pPr>
            <w:r w:rsidRPr="00730DE4">
              <w:rPr>
                <w:rStyle w:val="Strong"/>
              </w:rPr>
              <w:t xml:space="preserve">117,591 </w:t>
            </w:r>
          </w:p>
        </w:tc>
      </w:tr>
      <w:tr w:rsidR="00730DE4" w:rsidRPr="00730DE4" w14:paraId="020FA9FD" w14:textId="77777777" w:rsidTr="00B32C86">
        <w:tc>
          <w:tcPr>
            <w:tcW w:w="2918"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hideMark/>
          </w:tcPr>
          <w:p w14:paraId="2E13FFBB" w14:textId="77777777" w:rsidR="00730DE4" w:rsidRPr="00730DE4" w:rsidRDefault="00730DE4" w:rsidP="007F0D48">
            <w:pPr>
              <w:pStyle w:val="NoSpacing"/>
              <w:rPr>
                <w:color w:val="080C0F" w:themeColor="text1"/>
              </w:rPr>
            </w:pPr>
            <w:r w:rsidRPr="00730DE4">
              <w:rPr>
                <w:color w:val="080C0F" w:themeColor="text1"/>
              </w:rPr>
              <w:t>Income tax equivalent expense</w:t>
            </w:r>
          </w:p>
        </w:tc>
        <w:tc>
          <w:tcPr>
            <w:tcW w:w="694"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hideMark/>
          </w:tcPr>
          <w:p w14:paraId="50466566" w14:textId="77777777" w:rsidR="00730DE4" w:rsidRPr="00730DE4" w:rsidRDefault="00730DE4" w:rsidP="007F0D48">
            <w:pPr>
              <w:pStyle w:val="NoSpacing"/>
              <w:jc w:val="right"/>
              <w:rPr>
                <w:color w:val="080C0F" w:themeColor="text1"/>
              </w:rPr>
            </w:pPr>
            <w:r w:rsidRPr="00730DE4">
              <w:rPr>
                <w:color w:val="080C0F" w:themeColor="text1"/>
              </w:rPr>
              <w:t xml:space="preserve">8,921 </w:t>
            </w:r>
          </w:p>
        </w:tc>
        <w:tc>
          <w:tcPr>
            <w:tcW w:w="694"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hideMark/>
          </w:tcPr>
          <w:p w14:paraId="37ACEA4C" w14:textId="77777777" w:rsidR="00730DE4" w:rsidRPr="00730DE4" w:rsidRDefault="00730DE4" w:rsidP="007F0D48">
            <w:pPr>
              <w:pStyle w:val="NoSpacing"/>
              <w:jc w:val="right"/>
              <w:rPr>
                <w:color w:val="080C0F" w:themeColor="text1"/>
              </w:rPr>
            </w:pPr>
            <w:r w:rsidRPr="00730DE4">
              <w:rPr>
                <w:color w:val="080C0F" w:themeColor="text1"/>
              </w:rPr>
              <w:t xml:space="preserve">6,797 </w:t>
            </w:r>
          </w:p>
        </w:tc>
        <w:tc>
          <w:tcPr>
            <w:tcW w:w="694"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hideMark/>
          </w:tcPr>
          <w:p w14:paraId="7FA54331" w14:textId="77777777" w:rsidR="00730DE4" w:rsidRPr="00730DE4" w:rsidRDefault="00730DE4" w:rsidP="007F0D48">
            <w:pPr>
              <w:pStyle w:val="NoSpacing"/>
              <w:jc w:val="right"/>
              <w:rPr>
                <w:color w:val="080C0F" w:themeColor="text1"/>
              </w:rPr>
            </w:pPr>
            <w:r w:rsidRPr="00730DE4">
              <w:rPr>
                <w:color w:val="080C0F" w:themeColor="text1"/>
              </w:rPr>
              <w:t>(2,124)</w:t>
            </w:r>
          </w:p>
        </w:tc>
      </w:tr>
      <w:tr w:rsidR="00730DE4" w:rsidRPr="00730DE4" w14:paraId="49C12EA2" w14:textId="77777777" w:rsidTr="00B32C86">
        <w:trPr>
          <w:trHeight w:val="454"/>
        </w:trPr>
        <w:tc>
          <w:tcPr>
            <w:tcW w:w="2918" w:type="pct"/>
            <w:tcBorders>
              <w:top w:val="single" w:sz="4" w:space="0" w:color="auto"/>
              <w:left w:val="nil"/>
              <w:bottom w:val="single" w:sz="4" w:space="0" w:color="auto"/>
              <w:right w:val="dotted" w:sz="4" w:space="0" w:color="BFBFBF" w:themeColor="background1" w:themeShade="BF"/>
            </w:tcBorders>
            <w:shd w:val="clear" w:color="auto" w:fill="auto"/>
            <w:noWrap/>
            <w:vAlign w:val="bottom"/>
            <w:hideMark/>
          </w:tcPr>
          <w:p w14:paraId="2DF8F3B4" w14:textId="77777777" w:rsidR="00730DE4" w:rsidRPr="00730DE4" w:rsidRDefault="00730DE4" w:rsidP="00B32C86">
            <w:pPr>
              <w:pStyle w:val="NoSpacing"/>
              <w:rPr>
                <w:color w:val="080C0F" w:themeColor="text1"/>
              </w:rPr>
            </w:pPr>
            <w:r w:rsidRPr="00730DE4">
              <w:rPr>
                <w:rStyle w:val="Strong"/>
              </w:rPr>
              <w:t>Operating result for the year</w:t>
            </w:r>
          </w:p>
        </w:tc>
        <w:tc>
          <w:tcPr>
            <w:tcW w:w="694"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42A9FAFD" w14:textId="77777777" w:rsidR="00730DE4" w:rsidRPr="00730DE4" w:rsidRDefault="00730DE4" w:rsidP="00B32C86">
            <w:pPr>
              <w:pStyle w:val="NoSpacing"/>
              <w:jc w:val="right"/>
              <w:rPr>
                <w:color w:val="080C0F" w:themeColor="text1"/>
              </w:rPr>
            </w:pPr>
            <w:r w:rsidRPr="00730DE4">
              <w:rPr>
                <w:rStyle w:val="Strong"/>
              </w:rPr>
              <w:t xml:space="preserve">202,895 </w:t>
            </w:r>
          </w:p>
        </w:tc>
        <w:tc>
          <w:tcPr>
            <w:tcW w:w="694"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0E0E880A" w14:textId="77777777" w:rsidR="00730DE4" w:rsidRPr="00730DE4" w:rsidRDefault="00730DE4" w:rsidP="00B32C86">
            <w:pPr>
              <w:pStyle w:val="NoSpacing"/>
              <w:jc w:val="right"/>
              <w:rPr>
                <w:color w:val="080C0F" w:themeColor="text1"/>
              </w:rPr>
            </w:pPr>
            <w:r w:rsidRPr="00730DE4">
              <w:rPr>
                <w:rStyle w:val="Strong"/>
              </w:rPr>
              <w:t xml:space="preserve">322,610 </w:t>
            </w:r>
          </w:p>
        </w:tc>
        <w:tc>
          <w:tcPr>
            <w:tcW w:w="694" w:type="pct"/>
            <w:tcBorders>
              <w:top w:val="single" w:sz="4" w:space="0" w:color="auto"/>
              <w:left w:val="dotted" w:sz="4" w:space="0" w:color="BFBFBF" w:themeColor="background1" w:themeShade="BF"/>
              <w:bottom w:val="single" w:sz="4" w:space="0" w:color="auto"/>
              <w:right w:val="nil"/>
            </w:tcBorders>
            <w:shd w:val="clear" w:color="auto" w:fill="auto"/>
            <w:noWrap/>
            <w:vAlign w:val="bottom"/>
            <w:hideMark/>
          </w:tcPr>
          <w:p w14:paraId="5E85B016" w14:textId="77777777" w:rsidR="00730DE4" w:rsidRPr="00730DE4" w:rsidRDefault="00730DE4" w:rsidP="00B32C86">
            <w:pPr>
              <w:pStyle w:val="NoSpacing"/>
              <w:jc w:val="right"/>
              <w:rPr>
                <w:rStyle w:val="Strong"/>
              </w:rPr>
            </w:pPr>
            <w:r w:rsidRPr="00730DE4">
              <w:rPr>
                <w:rStyle w:val="Strong"/>
              </w:rPr>
              <w:t xml:space="preserve">119,715 </w:t>
            </w:r>
          </w:p>
        </w:tc>
      </w:tr>
      <w:tr w:rsidR="00730DE4" w:rsidRPr="00730DE4" w14:paraId="7924193A" w14:textId="77777777" w:rsidTr="00B32C86">
        <w:trPr>
          <w:trHeight w:val="454"/>
        </w:trPr>
        <w:tc>
          <w:tcPr>
            <w:tcW w:w="2918"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1326D33F" w14:textId="77777777" w:rsidR="00730DE4" w:rsidRPr="00730DE4" w:rsidRDefault="00730DE4" w:rsidP="00362B44">
            <w:pPr>
              <w:pStyle w:val="NoSpacing"/>
            </w:pPr>
            <w:r w:rsidRPr="00730DE4">
              <w:rPr>
                <w:rStyle w:val="Strong"/>
              </w:rPr>
              <w:t>Items not reclassified to operating result</w:t>
            </w:r>
          </w:p>
        </w:tc>
        <w:tc>
          <w:tcPr>
            <w:tcW w:w="694"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5382DBEC" w14:textId="77777777" w:rsidR="00730DE4" w:rsidRPr="00730DE4" w:rsidRDefault="00730DE4" w:rsidP="00362B44">
            <w:pPr>
              <w:pStyle w:val="NoSpacing"/>
              <w:jc w:val="right"/>
              <w:rPr>
                <w:rStyle w:val="Strong"/>
              </w:rPr>
            </w:pPr>
          </w:p>
        </w:tc>
        <w:tc>
          <w:tcPr>
            <w:tcW w:w="694"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5E3BC3E0" w14:textId="77777777" w:rsidR="00730DE4" w:rsidRPr="00730DE4" w:rsidRDefault="00730DE4" w:rsidP="00362B44">
            <w:pPr>
              <w:pStyle w:val="NoSpacing"/>
              <w:jc w:val="right"/>
              <w:rPr>
                <w:color w:val="080C0F" w:themeColor="text1"/>
              </w:rPr>
            </w:pPr>
          </w:p>
        </w:tc>
        <w:tc>
          <w:tcPr>
            <w:tcW w:w="694"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vAlign w:val="bottom"/>
          </w:tcPr>
          <w:p w14:paraId="35D64BBB" w14:textId="77777777" w:rsidR="00730DE4" w:rsidRPr="00730DE4" w:rsidRDefault="00730DE4" w:rsidP="00362B44">
            <w:pPr>
              <w:pStyle w:val="NoSpacing"/>
              <w:jc w:val="right"/>
              <w:rPr>
                <w:color w:val="080C0F" w:themeColor="text1"/>
              </w:rPr>
            </w:pPr>
          </w:p>
        </w:tc>
      </w:tr>
      <w:tr w:rsidR="00730DE4" w:rsidRPr="00730DE4" w14:paraId="3BB0ED20" w14:textId="77777777" w:rsidTr="00B32C86">
        <w:trPr>
          <w:trHeight w:val="198"/>
        </w:trPr>
        <w:tc>
          <w:tcPr>
            <w:tcW w:w="2918"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78E8AD2B" w14:textId="77777777" w:rsidR="00730DE4" w:rsidRPr="00730DE4" w:rsidRDefault="00730DE4" w:rsidP="00362B44">
            <w:pPr>
              <w:pStyle w:val="NoSpacing"/>
              <w:rPr>
                <w:color w:val="080C0F" w:themeColor="text1"/>
              </w:rPr>
            </w:pPr>
            <w:r w:rsidRPr="00730DE4">
              <w:rPr>
                <w:color w:val="080C0F" w:themeColor="text1"/>
              </w:rPr>
              <w:t>Increase in asset revaluation surplus</w:t>
            </w:r>
          </w:p>
        </w:tc>
        <w:tc>
          <w:tcPr>
            <w:tcW w:w="694"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1148486E" w14:textId="77777777" w:rsidR="00730DE4" w:rsidRPr="00730DE4" w:rsidRDefault="00730DE4" w:rsidP="00362B44">
            <w:pPr>
              <w:pStyle w:val="NoSpacing"/>
              <w:jc w:val="right"/>
              <w:rPr>
                <w:color w:val="080C0F" w:themeColor="text1"/>
              </w:rPr>
            </w:pPr>
            <w:r w:rsidRPr="00730DE4">
              <w:rPr>
                <w:color w:val="080C0F" w:themeColor="text1"/>
              </w:rPr>
              <w:t xml:space="preserve">- </w:t>
            </w:r>
          </w:p>
        </w:tc>
        <w:tc>
          <w:tcPr>
            <w:tcW w:w="694"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1D0F568A" w14:textId="77777777" w:rsidR="00730DE4" w:rsidRPr="00730DE4" w:rsidRDefault="00730DE4" w:rsidP="00362B44">
            <w:pPr>
              <w:pStyle w:val="NoSpacing"/>
              <w:jc w:val="right"/>
              <w:rPr>
                <w:color w:val="080C0F" w:themeColor="text1"/>
              </w:rPr>
            </w:pPr>
            <w:r w:rsidRPr="00730DE4">
              <w:rPr>
                <w:color w:val="080C0F" w:themeColor="text1"/>
              </w:rPr>
              <w:t xml:space="preserve">2,650,364 </w:t>
            </w:r>
          </w:p>
        </w:tc>
        <w:tc>
          <w:tcPr>
            <w:tcW w:w="694"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7077B6E9" w14:textId="77777777" w:rsidR="00730DE4" w:rsidRPr="00730DE4" w:rsidRDefault="00730DE4" w:rsidP="00362B44">
            <w:pPr>
              <w:pStyle w:val="NoSpacing"/>
              <w:jc w:val="right"/>
              <w:rPr>
                <w:color w:val="080C0F" w:themeColor="text1"/>
              </w:rPr>
            </w:pPr>
            <w:r w:rsidRPr="00730DE4">
              <w:rPr>
                <w:color w:val="080C0F" w:themeColor="text1"/>
              </w:rPr>
              <w:t xml:space="preserve">2,650,364 </w:t>
            </w:r>
          </w:p>
        </w:tc>
      </w:tr>
      <w:tr w:rsidR="00730DE4" w:rsidRPr="00730DE4" w14:paraId="2212A609" w14:textId="77777777" w:rsidTr="00B32C86">
        <w:tc>
          <w:tcPr>
            <w:tcW w:w="2918" w:type="pct"/>
            <w:tcBorders>
              <w:top w:val="single" w:sz="4" w:space="0" w:color="auto"/>
              <w:left w:val="nil"/>
              <w:bottom w:val="single" w:sz="4" w:space="0" w:color="auto"/>
              <w:right w:val="dotted" w:sz="4" w:space="0" w:color="BFBFBF" w:themeColor="background1" w:themeShade="BF"/>
            </w:tcBorders>
            <w:shd w:val="clear" w:color="auto" w:fill="auto"/>
            <w:noWrap/>
            <w:hideMark/>
          </w:tcPr>
          <w:p w14:paraId="0D85AE6F" w14:textId="77777777" w:rsidR="00730DE4" w:rsidRPr="00730DE4" w:rsidRDefault="00730DE4" w:rsidP="00362B44">
            <w:pPr>
              <w:pStyle w:val="NoSpacing"/>
              <w:rPr>
                <w:color w:val="080C0F" w:themeColor="text1"/>
              </w:rPr>
            </w:pPr>
            <w:r w:rsidRPr="00730DE4">
              <w:rPr>
                <w:rStyle w:val="Strong"/>
              </w:rPr>
              <w:t>Total other comprehensive income</w:t>
            </w:r>
          </w:p>
        </w:tc>
        <w:tc>
          <w:tcPr>
            <w:tcW w:w="694"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auto"/>
            <w:noWrap/>
            <w:hideMark/>
          </w:tcPr>
          <w:p w14:paraId="5C818894" w14:textId="77777777" w:rsidR="00730DE4" w:rsidRPr="00730DE4" w:rsidRDefault="00730DE4" w:rsidP="00362B44">
            <w:pPr>
              <w:pStyle w:val="NoSpacing"/>
              <w:jc w:val="right"/>
              <w:rPr>
                <w:color w:val="080C0F" w:themeColor="text1"/>
              </w:rPr>
            </w:pPr>
            <w:r w:rsidRPr="00730DE4">
              <w:rPr>
                <w:rStyle w:val="Strong"/>
              </w:rPr>
              <w:t xml:space="preserve">- </w:t>
            </w:r>
          </w:p>
        </w:tc>
        <w:tc>
          <w:tcPr>
            <w:tcW w:w="694"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auto"/>
            <w:noWrap/>
            <w:hideMark/>
          </w:tcPr>
          <w:p w14:paraId="70616EB4" w14:textId="77777777" w:rsidR="00730DE4" w:rsidRPr="00730DE4" w:rsidRDefault="00730DE4" w:rsidP="00362B44">
            <w:pPr>
              <w:pStyle w:val="NoSpacing"/>
              <w:jc w:val="right"/>
              <w:rPr>
                <w:color w:val="080C0F" w:themeColor="text1"/>
              </w:rPr>
            </w:pPr>
            <w:r w:rsidRPr="00730DE4">
              <w:rPr>
                <w:rStyle w:val="Strong"/>
              </w:rPr>
              <w:t xml:space="preserve">2,650,364 </w:t>
            </w:r>
          </w:p>
        </w:tc>
        <w:tc>
          <w:tcPr>
            <w:tcW w:w="694" w:type="pct"/>
            <w:tcBorders>
              <w:top w:val="single" w:sz="4" w:space="0" w:color="auto"/>
              <w:left w:val="dotted" w:sz="4" w:space="0" w:color="BFBFBF" w:themeColor="background1" w:themeShade="BF"/>
              <w:bottom w:val="single" w:sz="4" w:space="0" w:color="auto"/>
              <w:right w:val="nil"/>
            </w:tcBorders>
            <w:shd w:val="clear" w:color="auto" w:fill="auto"/>
            <w:noWrap/>
            <w:hideMark/>
          </w:tcPr>
          <w:p w14:paraId="64E0E088" w14:textId="77777777" w:rsidR="00730DE4" w:rsidRPr="00730DE4" w:rsidRDefault="00730DE4" w:rsidP="00362B44">
            <w:pPr>
              <w:pStyle w:val="NoSpacing"/>
              <w:jc w:val="right"/>
              <w:rPr>
                <w:rStyle w:val="Strong"/>
              </w:rPr>
            </w:pPr>
            <w:r w:rsidRPr="00730DE4">
              <w:rPr>
                <w:rStyle w:val="Strong"/>
              </w:rPr>
              <w:t xml:space="preserve">2,650,364 </w:t>
            </w:r>
          </w:p>
        </w:tc>
      </w:tr>
      <w:tr w:rsidR="00730DE4" w:rsidRPr="00730DE4" w14:paraId="4FEF94DB" w14:textId="77777777" w:rsidTr="00B32C86">
        <w:trPr>
          <w:trHeight w:val="454"/>
        </w:trPr>
        <w:tc>
          <w:tcPr>
            <w:tcW w:w="2918" w:type="pct"/>
            <w:tcBorders>
              <w:top w:val="single" w:sz="4" w:space="0" w:color="auto"/>
              <w:left w:val="nil"/>
              <w:bottom w:val="double" w:sz="4" w:space="0" w:color="auto"/>
              <w:right w:val="dotted" w:sz="4" w:space="0" w:color="BFBFBF" w:themeColor="background1" w:themeShade="BF"/>
            </w:tcBorders>
            <w:shd w:val="clear" w:color="auto" w:fill="auto"/>
            <w:noWrap/>
            <w:vAlign w:val="bottom"/>
            <w:hideMark/>
          </w:tcPr>
          <w:p w14:paraId="40787EF0" w14:textId="77777777" w:rsidR="00730DE4" w:rsidRPr="00730DE4" w:rsidRDefault="00730DE4" w:rsidP="00B32C86">
            <w:pPr>
              <w:pStyle w:val="NoSpacing"/>
              <w:rPr>
                <w:color w:val="080C0F" w:themeColor="text1"/>
              </w:rPr>
            </w:pPr>
            <w:r w:rsidRPr="00730DE4">
              <w:rPr>
                <w:rStyle w:val="Strong"/>
              </w:rPr>
              <w:t>Total comprehensive income</w:t>
            </w:r>
          </w:p>
        </w:tc>
        <w:tc>
          <w:tcPr>
            <w:tcW w:w="694"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vAlign w:val="bottom"/>
            <w:hideMark/>
          </w:tcPr>
          <w:p w14:paraId="69AA8498" w14:textId="77777777" w:rsidR="00730DE4" w:rsidRPr="00730DE4" w:rsidRDefault="00730DE4" w:rsidP="00B32C86">
            <w:pPr>
              <w:pStyle w:val="NoSpacing"/>
              <w:jc w:val="right"/>
              <w:rPr>
                <w:color w:val="080C0F" w:themeColor="text1"/>
              </w:rPr>
            </w:pPr>
            <w:r w:rsidRPr="00730DE4">
              <w:rPr>
                <w:rStyle w:val="Strong"/>
              </w:rPr>
              <w:t xml:space="preserve">202,895 </w:t>
            </w:r>
          </w:p>
        </w:tc>
        <w:tc>
          <w:tcPr>
            <w:tcW w:w="694"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vAlign w:val="bottom"/>
            <w:hideMark/>
          </w:tcPr>
          <w:p w14:paraId="4DAD9907" w14:textId="77777777" w:rsidR="00730DE4" w:rsidRPr="00730DE4" w:rsidRDefault="00730DE4" w:rsidP="00B32C86">
            <w:pPr>
              <w:pStyle w:val="NoSpacing"/>
              <w:jc w:val="right"/>
              <w:rPr>
                <w:color w:val="080C0F" w:themeColor="text1"/>
              </w:rPr>
            </w:pPr>
            <w:r w:rsidRPr="00730DE4">
              <w:rPr>
                <w:rStyle w:val="Strong"/>
              </w:rPr>
              <w:t xml:space="preserve">2,972,974 </w:t>
            </w:r>
          </w:p>
        </w:tc>
        <w:tc>
          <w:tcPr>
            <w:tcW w:w="694" w:type="pct"/>
            <w:tcBorders>
              <w:top w:val="single" w:sz="4" w:space="0" w:color="auto"/>
              <w:left w:val="dotted" w:sz="4" w:space="0" w:color="BFBFBF" w:themeColor="background1" w:themeShade="BF"/>
              <w:bottom w:val="double" w:sz="4" w:space="0" w:color="auto"/>
              <w:right w:val="nil"/>
            </w:tcBorders>
            <w:shd w:val="clear" w:color="auto" w:fill="auto"/>
            <w:noWrap/>
            <w:vAlign w:val="bottom"/>
            <w:hideMark/>
          </w:tcPr>
          <w:p w14:paraId="17D48B45" w14:textId="77777777" w:rsidR="00730DE4" w:rsidRPr="00730DE4" w:rsidRDefault="00730DE4" w:rsidP="00B32C86">
            <w:pPr>
              <w:pStyle w:val="NoSpacing"/>
              <w:jc w:val="right"/>
              <w:rPr>
                <w:rStyle w:val="Strong"/>
              </w:rPr>
            </w:pPr>
            <w:r w:rsidRPr="00730DE4">
              <w:rPr>
                <w:rStyle w:val="Strong"/>
              </w:rPr>
              <w:t xml:space="preserve">2,770,079 </w:t>
            </w:r>
          </w:p>
        </w:tc>
      </w:tr>
    </w:tbl>
    <w:p w14:paraId="352E77A4" w14:textId="77777777" w:rsidR="00730DE4" w:rsidRPr="00730DE4" w:rsidRDefault="00730DE4" w:rsidP="00246692">
      <w:pPr>
        <w:pStyle w:val="Heading5"/>
      </w:pPr>
      <w:r w:rsidRPr="00730DE4">
        <w:br w:type="page"/>
      </w:r>
    </w:p>
    <w:p w14:paraId="52B09F80" w14:textId="77777777" w:rsidR="00730DE4" w:rsidRPr="00730DE4" w:rsidRDefault="00730DE4" w:rsidP="00390F2D">
      <w:pPr>
        <w:pStyle w:val="Heading6"/>
      </w:pPr>
      <w:r w:rsidRPr="00730DE4">
        <w:t>Explanation of major variances</w:t>
      </w:r>
    </w:p>
    <w:p w14:paraId="5CE3D1EE" w14:textId="77777777" w:rsidR="00730DE4" w:rsidRPr="00730DE4" w:rsidRDefault="00730DE4" w:rsidP="00390F2D">
      <w:pPr>
        <w:pStyle w:val="Heading7"/>
      </w:pPr>
      <w:r w:rsidRPr="00730DE4">
        <w:t>Grants and other contributions</w:t>
      </w:r>
    </w:p>
    <w:p w14:paraId="2AF98EE6" w14:textId="77777777" w:rsidR="00730DE4" w:rsidRPr="00730DE4" w:rsidRDefault="00730DE4" w:rsidP="003C13D4">
      <w:pPr>
        <w:rPr>
          <w:color w:val="080C0F" w:themeColor="text1"/>
        </w:rPr>
      </w:pPr>
      <w:r w:rsidRPr="00730DE4">
        <w:rPr>
          <w:color w:val="080C0F" w:themeColor="text1"/>
        </w:rPr>
        <w:t>Variance of $271.679m mainly reflects:</w:t>
      </w:r>
    </w:p>
    <w:p w14:paraId="42EBD590" w14:textId="77777777" w:rsidR="00730DE4" w:rsidRPr="00730DE4" w:rsidRDefault="00730DE4" w:rsidP="00B6006F">
      <w:pPr>
        <w:pStyle w:val="ListBullet"/>
      </w:pPr>
      <w:r w:rsidRPr="00730DE4">
        <w:t>$226.772m higher than anticipated reimbursements from the Queensland Reconstruction Authority. This is a timing issue only.</w:t>
      </w:r>
    </w:p>
    <w:p w14:paraId="6C6CBE24" w14:textId="77777777" w:rsidR="00730DE4" w:rsidRPr="00730DE4" w:rsidRDefault="00730DE4" w:rsidP="00B6006F">
      <w:pPr>
        <w:pStyle w:val="ListBullet"/>
      </w:pPr>
      <w:r w:rsidRPr="00730DE4">
        <w:t>$26.587m recognition of the Boyne Burnett Inland Rail Trail (BBIRT) assets progressively transferred from Queensland Rail.</w:t>
      </w:r>
    </w:p>
    <w:p w14:paraId="22C75A33" w14:textId="77777777" w:rsidR="00730DE4" w:rsidRPr="00730DE4" w:rsidRDefault="00730DE4" w:rsidP="00B6006F">
      <w:pPr>
        <w:pStyle w:val="ListBullet"/>
      </w:pPr>
      <w:r w:rsidRPr="00730DE4">
        <w:t>$11.075m for recognition of the Sunwater in kind works at Foleyvale Crossing.</w:t>
      </w:r>
    </w:p>
    <w:p w14:paraId="54DC1863" w14:textId="77777777" w:rsidR="00730DE4" w:rsidRPr="00730DE4" w:rsidRDefault="00730DE4" w:rsidP="00390F2D">
      <w:pPr>
        <w:pStyle w:val="Heading7"/>
      </w:pPr>
      <w:r w:rsidRPr="00730DE4">
        <w:t>Other revenue</w:t>
      </w:r>
    </w:p>
    <w:p w14:paraId="1AA08135" w14:textId="77777777" w:rsidR="00730DE4" w:rsidRPr="00730DE4" w:rsidRDefault="00730DE4" w:rsidP="003C13D4">
      <w:pPr>
        <w:rPr>
          <w:color w:val="080C0F" w:themeColor="text1"/>
        </w:rPr>
      </w:pPr>
      <w:r w:rsidRPr="00730DE4">
        <w:rPr>
          <w:color w:val="080C0F" w:themeColor="text1"/>
        </w:rPr>
        <w:t>Variance of $25.255m mainly reflects:</w:t>
      </w:r>
    </w:p>
    <w:p w14:paraId="1A898FAB" w14:textId="77777777" w:rsidR="00730DE4" w:rsidRPr="00730DE4" w:rsidRDefault="00730DE4" w:rsidP="00B6006F">
      <w:pPr>
        <w:pStyle w:val="ListBullet"/>
      </w:pPr>
      <w:r w:rsidRPr="00730DE4">
        <w:t>$15.530m cost recovery funding received as a result of a settlement agreement.</w:t>
      </w:r>
    </w:p>
    <w:p w14:paraId="2A595C8D" w14:textId="77777777" w:rsidR="00730DE4" w:rsidRPr="00730DE4" w:rsidRDefault="00730DE4" w:rsidP="00B6006F">
      <w:pPr>
        <w:pStyle w:val="ListBullet"/>
      </w:pPr>
      <w:r w:rsidRPr="00730DE4">
        <w:t>$4.127m for recognition of interest gain from the Construction Proceeds Account due to pre-completion payments made for the Gold Coast Light Rail Stage 3 project.</w:t>
      </w:r>
    </w:p>
    <w:p w14:paraId="4140675D" w14:textId="77777777" w:rsidR="00730DE4" w:rsidRPr="00730DE4" w:rsidRDefault="00730DE4" w:rsidP="00390F2D">
      <w:pPr>
        <w:pStyle w:val="Heading7"/>
      </w:pPr>
      <w:r w:rsidRPr="00730DE4">
        <w:t>Employee expenses</w:t>
      </w:r>
    </w:p>
    <w:p w14:paraId="5ECA21F7" w14:textId="77777777" w:rsidR="00730DE4" w:rsidRPr="00730DE4" w:rsidRDefault="00730DE4" w:rsidP="003C13D4">
      <w:pPr>
        <w:rPr>
          <w:color w:val="080C0F" w:themeColor="text1"/>
        </w:rPr>
      </w:pPr>
      <w:r w:rsidRPr="00730DE4">
        <w:rPr>
          <w:color w:val="080C0F" w:themeColor="text1"/>
        </w:rPr>
        <w:t>Variance of $102.098m mainly reflects:</w:t>
      </w:r>
    </w:p>
    <w:p w14:paraId="0B85F001" w14:textId="77777777" w:rsidR="00730DE4" w:rsidRPr="00730DE4" w:rsidRDefault="00730DE4" w:rsidP="00B6006F">
      <w:pPr>
        <w:pStyle w:val="ListBullet"/>
      </w:pPr>
      <w:r w:rsidRPr="00730DE4">
        <w:t>$31.159m for the four percent pay rise under TMR Enterprise Bargaining Agreements for 2022–23 with backpay paid in 2023–24.</w:t>
      </w:r>
    </w:p>
    <w:p w14:paraId="2C54FFBA" w14:textId="77777777" w:rsidR="00730DE4" w:rsidRPr="00730DE4" w:rsidRDefault="00730DE4" w:rsidP="00390F2D">
      <w:pPr>
        <w:pStyle w:val="ListBullet"/>
        <w:spacing w:before="0" w:after="0"/>
      </w:pPr>
      <w:r w:rsidRPr="00730DE4">
        <w:t>$28.035m for the three percent Cost of Living Adjustment (COLA) payment and associated oncosts paid to eligible employees of the department covered by certified agreements.</w:t>
      </w:r>
    </w:p>
    <w:p w14:paraId="53E3403C" w14:textId="77777777" w:rsidR="00730DE4" w:rsidRPr="00730DE4" w:rsidRDefault="00730DE4" w:rsidP="00390F2D">
      <w:pPr>
        <w:pStyle w:val="ListBullet"/>
        <w:spacing w:before="0" w:after="0"/>
      </w:pPr>
      <w:r w:rsidRPr="00730DE4">
        <w:t>$21.908m reflects:</w:t>
      </w:r>
    </w:p>
    <w:p w14:paraId="50242A71" w14:textId="77777777" w:rsidR="00730DE4" w:rsidRPr="00730DE4" w:rsidRDefault="00730DE4" w:rsidP="00730DE4">
      <w:pPr>
        <w:pStyle w:val="ListBullet2"/>
        <w:spacing w:before="0"/>
        <w:ind w:left="714" w:hanging="357"/>
      </w:pPr>
      <w:r w:rsidRPr="00730DE4">
        <w:t>additional superannuation contributions due to the four percent pay rise under TMR Enterprise Bargaining Agreements</w:t>
      </w:r>
    </w:p>
    <w:p w14:paraId="167D196E" w14:textId="77777777" w:rsidR="00730DE4" w:rsidRPr="00730DE4" w:rsidRDefault="00730DE4" w:rsidP="00730DE4">
      <w:pPr>
        <w:pStyle w:val="ListBullet2"/>
        <w:spacing w:before="0"/>
        <w:ind w:left="714" w:hanging="357"/>
      </w:pPr>
      <w:r w:rsidRPr="00730DE4">
        <w:t>the 2023 Core Agreement with backpay paid in 2023–24</w:t>
      </w:r>
    </w:p>
    <w:p w14:paraId="58454569" w14:textId="77777777" w:rsidR="00730DE4" w:rsidRPr="00730DE4" w:rsidRDefault="00730DE4" w:rsidP="00730DE4">
      <w:pPr>
        <w:pStyle w:val="ListBullet2"/>
        <w:spacing w:before="0"/>
        <w:ind w:left="714" w:hanging="357"/>
      </w:pPr>
      <w:r w:rsidRPr="00730DE4">
        <w:t>Queensland Government Customer and Digital Group employees excluding CITEC, moving from the Core to TMR Award</w:t>
      </w:r>
    </w:p>
    <w:p w14:paraId="7484ACAD" w14:textId="77777777" w:rsidR="00730DE4" w:rsidRPr="00730DE4" w:rsidRDefault="00730DE4" w:rsidP="00730DE4">
      <w:pPr>
        <w:pStyle w:val="ListBullet2"/>
        <w:spacing w:before="0"/>
        <w:ind w:left="714" w:hanging="357"/>
      </w:pPr>
      <w:r w:rsidRPr="00730DE4">
        <w:t>the CITEC Certified Agreement 2023 and associated costs following the machinery-of-government change on 18 May 2023.</w:t>
      </w:r>
    </w:p>
    <w:p w14:paraId="20E15964" w14:textId="77777777" w:rsidR="00730DE4" w:rsidRPr="00730DE4" w:rsidRDefault="00730DE4" w:rsidP="00390F2D">
      <w:pPr>
        <w:pStyle w:val="ListBullet"/>
        <w:spacing w:before="0" w:after="0"/>
      </w:pPr>
      <w:r w:rsidRPr="00730DE4">
        <w:t>$5.767m due to a shift in the mix of time charged to operating versus capital projects resulting in a realignment of employee expenses and capitalised employee expenses.</w:t>
      </w:r>
    </w:p>
    <w:p w14:paraId="002F2494" w14:textId="77777777" w:rsidR="00730DE4" w:rsidRPr="00730DE4" w:rsidRDefault="00730DE4" w:rsidP="00A925F0">
      <w:pPr>
        <w:pStyle w:val="ListBullet"/>
        <w:rPr>
          <w:rStyle w:val="Strong"/>
        </w:rPr>
      </w:pPr>
      <w:r w:rsidRPr="00730DE4">
        <w:t>$5.631m reflects voluntary redundancy payments which were not budgeted for due to the unavailability of reliable estimates.</w:t>
      </w:r>
    </w:p>
    <w:p w14:paraId="2B9AEDAD" w14:textId="77777777" w:rsidR="00730DE4" w:rsidRPr="00730DE4" w:rsidRDefault="00730DE4" w:rsidP="00390F2D">
      <w:pPr>
        <w:pStyle w:val="Heading7"/>
      </w:pPr>
      <w:r w:rsidRPr="00730DE4">
        <w:t>Increase in asset revaluation surplus</w:t>
      </w:r>
    </w:p>
    <w:p w14:paraId="719CCA42" w14:textId="77777777" w:rsidR="00730DE4" w:rsidRPr="00730DE4" w:rsidRDefault="00730DE4" w:rsidP="003C13D4">
      <w:pPr>
        <w:rPr>
          <w:color w:val="080C0F" w:themeColor="text1"/>
        </w:rPr>
      </w:pPr>
      <w:r w:rsidRPr="00730DE4">
        <w:rPr>
          <w:color w:val="080C0F" w:themeColor="text1"/>
        </w:rPr>
        <w:t>Variance of $2,650m mainly consists of a revaluation increment in infrastructure assets as a result of the annual revaluation for 2023–24. A budget was not allocated due to the unavailability of reliable measures for future movement in replacement costs of existing and new infrastructure assets.</w:t>
      </w:r>
    </w:p>
    <w:p w14:paraId="270827FC" w14:textId="77777777" w:rsidR="00730DE4" w:rsidRPr="00730DE4" w:rsidRDefault="00730DE4" w:rsidP="00390F2D">
      <w:pPr>
        <w:pStyle w:val="Heading5"/>
      </w:pPr>
      <w:bookmarkStart w:id="1649" w:name="_Toc180487772"/>
      <w:bookmarkStart w:id="1650" w:name="_Toc180490977"/>
      <w:bookmarkStart w:id="1651" w:name="_Toc180492010"/>
      <w:r w:rsidRPr="00730DE4">
        <w:t>Statement of financial position</w:t>
      </w:r>
      <w:bookmarkEnd w:id="1649"/>
      <w:bookmarkEnd w:id="1650"/>
      <w:bookmarkEnd w:id="1651"/>
    </w:p>
    <w:p w14:paraId="7EF2B87F" w14:textId="77777777" w:rsidR="00730DE4" w:rsidRPr="00730DE4" w:rsidRDefault="00730DE4" w:rsidP="00B6006F">
      <w:pPr>
        <w:pStyle w:val="NoSpacing"/>
      </w:pPr>
    </w:p>
    <w:tbl>
      <w:tblPr>
        <w:tblW w:w="5001" w:type="pct"/>
        <w:tblLayout w:type="fixed"/>
        <w:tblCellMar>
          <w:top w:w="23" w:type="dxa"/>
          <w:left w:w="23" w:type="dxa"/>
          <w:bottom w:w="23" w:type="dxa"/>
          <w:right w:w="23" w:type="dxa"/>
        </w:tblCellMar>
        <w:tblLook w:val="04A0" w:firstRow="1" w:lastRow="0" w:firstColumn="1" w:lastColumn="0" w:noHBand="0" w:noVBand="1"/>
      </w:tblPr>
      <w:tblGrid>
        <w:gridCol w:w="4219"/>
        <w:gridCol w:w="1618"/>
        <w:gridCol w:w="1618"/>
        <w:gridCol w:w="1617"/>
      </w:tblGrid>
      <w:tr w:rsidR="00730DE4" w:rsidRPr="00730DE4" w14:paraId="177B64E6" w14:textId="77777777" w:rsidTr="00CA309A">
        <w:trPr>
          <w:trHeight w:val="198"/>
        </w:trPr>
        <w:tc>
          <w:tcPr>
            <w:tcW w:w="2325" w:type="pct"/>
            <w:tcBorders>
              <w:top w:val="nil"/>
              <w:left w:val="nil"/>
              <w:bottom w:val="single" w:sz="4" w:space="0" w:color="auto"/>
              <w:right w:val="nil"/>
            </w:tcBorders>
            <w:shd w:val="clear" w:color="auto" w:fill="auto"/>
            <w:noWrap/>
            <w:vAlign w:val="bottom"/>
            <w:hideMark/>
          </w:tcPr>
          <w:p w14:paraId="409CEB0E" w14:textId="77777777" w:rsidR="00730DE4" w:rsidRPr="00730DE4" w:rsidRDefault="00730DE4" w:rsidP="00362B44">
            <w:pPr>
              <w:pStyle w:val="NoSpacing"/>
              <w:rPr>
                <w:color w:val="080C0F" w:themeColor="text1"/>
              </w:rPr>
            </w:pPr>
          </w:p>
        </w:tc>
        <w:tc>
          <w:tcPr>
            <w:tcW w:w="892" w:type="pct"/>
            <w:tcBorders>
              <w:top w:val="nil"/>
              <w:left w:val="nil"/>
              <w:bottom w:val="single" w:sz="4" w:space="0" w:color="auto"/>
              <w:right w:val="nil"/>
            </w:tcBorders>
            <w:shd w:val="clear" w:color="auto" w:fill="auto"/>
            <w:vAlign w:val="bottom"/>
            <w:hideMark/>
          </w:tcPr>
          <w:p w14:paraId="5EF248EF" w14:textId="77777777" w:rsidR="00730DE4" w:rsidRPr="00730DE4" w:rsidRDefault="00730DE4" w:rsidP="00362B44">
            <w:pPr>
              <w:pStyle w:val="NoSpacing"/>
              <w:jc w:val="right"/>
              <w:rPr>
                <w:color w:val="080C0F" w:themeColor="text1"/>
              </w:rPr>
            </w:pPr>
            <w:r w:rsidRPr="00730DE4">
              <w:rPr>
                <w:rStyle w:val="Strong"/>
              </w:rPr>
              <w:t>Original budget</w:t>
            </w:r>
            <w:r w:rsidRPr="00730DE4">
              <w:rPr>
                <w:rStyle w:val="Strong"/>
              </w:rPr>
              <w:br/>
              <w:t xml:space="preserve"> </w:t>
            </w:r>
            <w:r w:rsidRPr="00730DE4">
              <w:rPr>
                <w:rStyle w:val="Strong"/>
              </w:rPr>
              <w:br/>
            </w:r>
            <w:r w:rsidRPr="00730DE4">
              <w:rPr>
                <w:rStyle w:val="Strong"/>
              </w:rPr>
              <w:br/>
              <w:t>2024</w:t>
            </w:r>
            <w:r w:rsidRPr="00730DE4">
              <w:rPr>
                <w:rStyle w:val="Strong"/>
              </w:rPr>
              <w:br/>
              <w:t>$'000</w:t>
            </w:r>
          </w:p>
        </w:tc>
        <w:tc>
          <w:tcPr>
            <w:tcW w:w="892" w:type="pct"/>
            <w:tcBorders>
              <w:top w:val="nil"/>
              <w:left w:val="nil"/>
              <w:bottom w:val="single" w:sz="4" w:space="0" w:color="auto"/>
              <w:right w:val="nil"/>
            </w:tcBorders>
            <w:shd w:val="clear" w:color="auto" w:fill="auto"/>
            <w:vAlign w:val="bottom"/>
            <w:hideMark/>
          </w:tcPr>
          <w:p w14:paraId="0FE4D24B" w14:textId="77777777" w:rsidR="00730DE4" w:rsidRPr="00730DE4" w:rsidRDefault="00730DE4" w:rsidP="00362B44">
            <w:pPr>
              <w:pStyle w:val="NoSpacing"/>
              <w:jc w:val="right"/>
              <w:rPr>
                <w:color w:val="080C0F" w:themeColor="text1"/>
              </w:rPr>
            </w:pPr>
            <w:r w:rsidRPr="00730DE4">
              <w:rPr>
                <w:rStyle w:val="Strong"/>
              </w:rPr>
              <w:t>Actual</w:t>
            </w:r>
            <w:r w:rsidRPr="00730DE4">
              <w:rPr>
                <w:rStyle w:val="Strong"/>
              </w:rPr>
              <w:br/>
              <w:t xml:space="preserve">result </w:t>
            </w:r>
            <w:r w:rsidRPr="00730DE4">
              <w:rPr>
                <w:rStyle w:val="Strong"/>
              </w:rPr>
              <w:br/>
            </w:r>
            <w:r w:rsidRPr="00730DE4">
              <w:rPr>
                <w:rStyle w:val="Strong"/>
              </w:rPr>
              <w:br/>
              <w:t>2024</w:t>
            </w:r>
            <w:r w:rsidRPr="00730DE4">
              <w:rPr>
                <w:rStyle w:val="Strong"/>
              </w:rPr>
              <w:br/>
              <w:t>$'000</w:t>
            </w:r>
          </w:p>
        </w:tc>
        <w:tc>
          <w:tcPr>
            <w:tcW w:w="892" w:type="pct"/>
            <w:tcBorders>
              <w:top w:val="nil"/>
              <w:left w:val="nil"/>
              <w:bottom w:val="single" w:sz="4" w:space="0" w:color="auto"/>
              <w:right w:val="nil"/>
            </w:tcBorders>
            <w:shd w:val="clear" w:color="auto" w:fill="auto"/>
            <w:vAlign w:val="bottom"/>
            <w:hideMark/>
          </w:tcPr>
          <w:p w14:paraId="58643613" w14:textId="77777777" w:rsidR="00730DE4" w:rsidRPr="00730DE4" w:rsidRDefault="00730DE4" w:rsidP="00362B44">
            <w:pPr>
              <w:pStyle w:val="NoSpacing"/>
              <w:jc w:val="right"/>
              <w:rPr>
                <w:rStyle w:val="Strong"/>
              </w:rPr>
            </w:pPr>
            <w:r w:rsidRPr="00730DE4">
              <w:rPr>
                <w:rStyle w:val="Strong"/>
              </w:rPr>
              <w:t>Variance</w:t>
            </w:r>
            <w:r w:rsidRPr="00730DE4">
              <w:rPr>
                <w:rStyle w:val="Strong"/>
              </w:rPr>
              <w:br/>
              <w:t xml:space="preserve"> </w:t>
            </w:r>
            <w:r w:rsidRPr="00730DE4">
              <w:rPr>
                <w:rStyle w:val="Strong"/>
              </w:rPr>
              <w:br/>
            </w:r>
            <w:r w:rsidRPr="00730DE4">
              <w:rPr>
                <w:rStyle w:val="Strong"/>
              </w:rPr>
              <w:br/>
              <w:t>2024</w:t>
            </w:r>
            <w:r w:rsidRPr="00730DE4">
              <w:rPr>
                <w:rStyle w:val="Strong"/>
              </w:rPr>
              <w:br/>
              <w:t>$'000</w:t>
            </w:r>
          </w:p>
        </w:tc>
      </w:tr>
      <w:tr w:rsidR="00730DE4" w:rsidRPr="00730DE4" w14:paraId="38F65E85" w14:textId="77777777" w:rsidTr="00CA309A">
        <w:trPr>
          <w:trHeight w:val="454"/>
        </w:trPr>
        <w:tc>
          <w:tcPr>
            <w:tcW w:w="2325"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vAlign w:val="bottom"/>
          </w:tcPr>
          <w:p w14:paraId="73DA97E7" w14:textId="77777777" w:rsidR="00730DE4" w:rsidRPr="00730DE4" w:rsidRDefault="00730DE4" w:rsidP="00362B44">
            <w:pPr>
              <w:pStyle w:val="NoSpacing"/>
              <w:rPr>
                <w:rStyle w:val="Strong"/>
              </w:rPr>
            </w:pPr>
            <w:r w:rsidRPr="00730DE4">
              <w:rPr>
                <w:rStyle w:val="Strong"/>
              </w:rPr>
              <w:t>Assets</w:t>
            </w:r>
          </w:p>
        </w:tc>
        <w:tc>
          <w:tcPr>
            <w:tcW w:w="892"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tcPr>
          <w:p w14:paraId="24027CA5" w14:textId="77777777" w:rsidR="00730DE4" w:rsidRPr="00730DE4" w:rsidRDefault="00730DE4" w:rsidP="00362B44">
            <w:pPr>
              <w:pStyle w:val="NoSpacing"/>
              <w:jc w:val="right"/>
              <w:rPr>
                <w:rStyle w:val="Strong"/>
              </w:rPr>
            </w:pPr>
          </w:p>
        </w:tc>
        <w:tc>
          <w:tcPr>
            <w:tcW w:w="892"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tcPr>
          <w:p w14:paraId="0E748602" w14:textId="77777777" w:rsidR="00730DE4" w:rsidRPr="00730DE4" w:rsidRDefault="00730DE4" w:rsidP="00362B44">
            <w:pPr>
              <w:pStyle w:val="NoSpacing"/>
              <w:jc w:val="right"/>
              <w:rPr>
                <w:rStyle w:val="Strong"/>
              </w:rPr>
            </w:pPr>
          </w:p>
        </w:tc>
        <w:tc>
          <w:tcPr>
            <w:tcW w:w="892"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vAlign w:val="bottom"/>
          </w:tcPr>
          <w:p w14:paraId="2745B9D1" w14:textId="77777777" w:rsidR="00730DE4" w:rsidRPr="00730DE4" w:rsidRDefault="00730DE4" w:rsidP="00362B44">
            <w:pPr>
              <w:pStyle w:val="NoSpacing"/>
              <w:jc w:val="right"/>
              <w:rPr>
                <w:rStyle w:val="Strong"/>
              </w:rPr>
            </w:pPr>
          </w:p>
        </w:tc>
      </w:tr>
      <w:tr w:rsidR="00730DE4" w:rsidRPr="00730DE4" w14:paraId="15BFA358" w14:textId="77777777" w:rsidTr="00CA309A">
        <w:trPr>
          <w:trHeight w:val="198"/>
        </w:trPr>
        <w:tc>
          <w:tcPr>
            <w:tcW w:w="2325"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5E94D4C1" w14:textId="77777777" w:rsidR="00730DE4" w:rsidRPr="00730DE4" w:rsidRDefault="00730DE4" w:rsidP="00362B44">
            <w:pPr>
              <w:pStyle w:val="NoSpacing"/>
              <w:rPr>
                <w:color w:val="080C0F" w:themeColor="text1"/>
              </w:rPr>
            </w:pPr>
            <w:r w:rsidRPr="00730DE4">
              <w:rPr>
                <w:rStyle w:val="Strong"/>
              </w:rPr>
              <w:t>Current assets</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0EB2D20C" w14:textId="77777777" w:rsidR="00730DE4" w:rsidRPr="00730DE4" w:rsidRDefault="00730DE4" w:rsidP="00362B44">
            <w:pPr>
              <w:pStyle w:val="NoSpacing"/>
              <w:jc w:val="right"/>
              <w:rPr>
                <w:rStyle w:val="Strong"/>
              </w:rPr>
            </w:pP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7D30D958" w14:textId="77777777" w:rsidR="00730DE4" w:rsidRPr="00730DE4" w:rsidRDefault="00730DE4" w:rsidP="00362B44">
            <w:pPr>
              <w:pStyle w:val="NoSpacing"/>
              <w:jc w:val="right"/>
              <w:rPr>
                <w:color w:val="080C0F" w:themeColor="text1"/>
              </w:rPr>
            </w:pP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60EEDA4" w14:textId="77777777" w:rsidR="00730DE4" w:rsidRPr="00730DE4" w:rsidRDefault="00730DE4" w:rsidP="00362B44">
            <w:pPr>
              <w:pStyle w:val="NoSpacing"/>
              <w:jc w:val="right"/>
              <w:rPr>
                <w:color w:val="080C0F" w:themeColor="text1"/>
              </w:rPr>
            </w:pPr>
          </w:p>
        </w:tc>
      </w:tr>
      <w:tr w:rsidR="00730DE4" w:rsidRPr="00730DE4" w14:paraId="469625B6" w14:textId="77777777" w:rsidTr="00CA309A">
        <w:trPr>
          <w:trHeight w:val="198"/>
        </w:trPr>
        <w:tc>
          <w:tcPr>
            <w:tcW w:w="2325"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3EA169F" w14:textId="77777777" w:rsidR="00730DE4" w:rsidRPr="00730DE4" w:rsidRDefault="00730DE4" w:rsidP="00362B44">
            <w:pPr>
              <w:pStyle w:val="NoSpacing"/>
              <w:rPr>
                <w:color w:val="080C0F" w:themeColor="text1"/>
              </w:rPr>
            </w:pPr>
            <w:r w:rsidRPr="00730DE4">
              <w:rPr>
                <w:color w:val="080C0F" w:themeColor="text1"/>
              </w:rPr>
              <w:t>Cash</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672BFAE" w14:textId="77777777" w:rsidR="00730DE4" w:rsidRPr="00730DE4" w:rsidRDefault="00730DE4" w:rsidP="00362B44">
            <w:pPr>
              <w:pStyle w:val="NoSpacing"/>
              <w:jc w:val="right"/>
              <w:rPr>
                <w:color w:val="080C0F" w:themeColor="text1"/>
              </w:rPr>
            </w:pPr>
            <w:r w:rsidRPr="00730DE4">
              <w:rPr>
                <w:color w:val="080C0F" w:themeColor="text1"/>
              </w:rPr>
              <w:t xml:space="preserve">212,328 </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B306209" w14:textId="77777777" w:rsidR="00730DE4" w:rsidRPr="00730DE4" w:rsidRDefault="00730DE4" w:rsidP="00362B44">
            <w:pPr>
              <w:pStyle w:val="NoSpacing"/>
              <w:jc w:val="right"/>
              <w:rPr>
                <w:color w:val="080C0F" w:themeColor="text1"/>
              </w:rPr>
            </w:pPr>
            <w:r w:rsidRPr="00730DE4">
              <w:rPr>
                <w:color w:val="080C0F" w:themeColor="text1"/>
              </w:rPr>
              <w:t xml:space="preserve">382,058 </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A2DB56E" w14:textId="77777777" w:rsidR="00730DE4" w:rsidRPr="00730DE4" w:rsidRDefault="00730DE4" w:rsidP="00362B44">
            <w:pPr>
              <w:pStyle w:val="NoSpacing"/>
              <w:jc w:val="right"/>
              <w:rPr>
                <w:color w:val="080C0F" w:themeColor="text1"/>
              </w:rPr>
            </w:pPr>
            <w:r w:rsidRPr="00730DE4">
              <w:rPr>
                <w:color w:val="080C0F" w:themeColor="text1"/>
              </w:rPr>
              <w:t xml:space="preserve">169,730 </w:t>
            </w:r>
          </w:p>
        </w:tc>
      </w:tr>
      <w:tr w:rsidR="00730DE4" w:rsidRPr="00730DE4" w14:paraId="50234DE9" w14:textId="77777777" w:rsidTr="00CA309A">
        <w:trPr>
          <w:trHeight w:val="198"/>
        </w:trPr>
        <w:tc>
          <w:tcPr>
            <w:tcW w:w="2325"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09318E90" w14:textId="77777777" w:rsidR="00730DE4" w:rsidRPr="00730DE4" w:rsidRDefault="00730DE4" w:rsidP="00362B44">
            <w:pPr>
              <w:pStyle w:val="NoSpacing"/>
              <w:rPr>
                <w:color w:val="080C0F" w:themeColor="text1"/>
              </w:rPr>
            </w:pPr>
            <w:r w:rsidRPr="00730DE4">
              <w:rPr>
                <w:color w:val="080C0F" w:themeColor="text1"/>
              </w:rPr>
              <w:t>Receivables</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D36DCD0" w14:textId="77777777" w:rsidR="00730DE4" w:rsidRPr="00730DE4" w:rsidRDefault="00730DE4" w:rsidP="00362B44">
            <w:pPr>
              <w:pStyle w:val="NoSpacing"/>
              <w:jc w:val="right"/>
              <w:rPr>
                <w:color w:val="080C0F" w:themeColor="text1"/>
              </w:rPr>
            </w:pPr>
            <w:r w:rsidRPr="00730DE4">
              <w:rPr>
                <w:color w:val="080C0F" w:themeColor="text1"/>
              </w:rPr>
              <w:t xml:space="preserve">276,604 </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CC201BC" w14:textId="77777777" w:rsidR="00730DE4" w:rsidRPr="00730DE4" w:rsidRDefault="00730DE4" w:rsidP="00362B44">
            <w:pPr>
              <w:pStyle w:val="NoSpacing"/>
              <w:jc w:val="right"/>
              <w:rPr>
                <w:color w:val="080C0F" w:themeColor="text1"/>
              </w:rPr>
            </w:pPr>
            <w:r w:rsidRPr="00730DE4">
              <w:rPr>
                <w:color w:val="080C0F" w:themeColor="text1"/>
              </w:rPr>
              <w:t xml:space="preserve">504,767 </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49C971E6" w14:textId="77777777" w:rsidR="00730DE4" w:rsidRPr="00730DE4" w:rsidRDefault="00730DE4" w:rsidP="00362B44">
            <w:pPr>
              <w:pStyle w:val="NoSpacing"/>
              <w:jc w:val="right"/>
              <w:rPr>
                <w:color w:val="080C0F" w:themeColor="text1"/>
              </w:rPr>
            </w:pPr>
            <w:r w:rsidRPr="00730DE4">
              <w:rPr>
                <w:color w:val="080C0F" w:themeColor="text1"/>
              </w:rPr>
              <w:t xml:space="preserve">228,163 </w:t>
            </w:r>
          </w:p>
        </w:tc>
      </w:tr>
      <w:tr w:rsidR="00730DE4" w:rsidRPr="00730DE4" w14:paraId="0B777D5F" w14:textId="77777777" w:rsidTr="00CA309A">
        <w:trPr>
          <w:trHeight w:val="198"/>
        </w:trPr>
        <w:tc>
          <w:tcPr>
            <w:tcW w:w="2325"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570B6D0" w14:textId="77777777" w:rsidR="00730DE4" w:rsidRPr="00730DE4" w:rsidRDefault="00730DE4" w:rsidP="00362B44">
            <w:pPr>
              <w:pStyle w:val="NoSpacing"/>
              <w:rPr>
                <w:color w:val="080C0F" w:themeColor="text1"/>
              </w:rPr>
            </w:pPr>
            <w:r w:rsidRPr="00730DE4">
              <w:rPr>
                <w:color w:val="080C0F" w:themeColor="text1"/>
              </w:rPr>
              <w:t>Inventories</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0223B3C" w14:textId="77777777" w:rsidR="00730DE4" w:rsidRPr="00730DE4" w:rsidRDefault="00730DE4" w:rsidP="00362B44">
            <w:pPr>
              <w:pStyle w:val="NoSpacing"/>
              <w:jc w:val="right"/>
              <w:rPr>
                <w:color w:val="080C0F" w:themeColor="text1"/>
              </w:rPr>
            </w:pPr>
            <w:r w:rsidRPr="00730DE4">
              <w:rPr>
                <w:color w:val="080C0F" w:themeColor="text1"/>
              </w:rPr>
              <w:t xml:space="preserve">3,986 </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C470F0A" w14:textId="77777777" w:rsidR="00730DE4" w:rsidRPr="00730DE4" w:rsidRDefault="00730DE4" w:rsidP="00362B44">
            <w:pPr>
              <w:pStyle w:val="NoSpacing"/>
              <w:jc w:val="right"/>
              <w:rPr>
                <w:color w:val="080C0F" w:themeColor="text1"/>
              </w:rPr>
            </w:pPr>
            <w:r w:rsidRPr="00730DE4">
              <w:rPr>
                <w:color w:val="080C0F" w:themeColor="text1"/>
              </w:rPr>
              <w:t xml:space="preserve">20,128 </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D18CCDA" w14:textId="77777777" w:rsidR="00730DE4" w:rsidRPr="00730DE4" w:rsidRDefault="00730DE4" w:rsidP="00362B44">
            <w:pPr>
              <w:pStyle w:val="NoSpacing"/>
              <w:jc w:val="right"/>
              <w:rPr>
                <w:color w:val="080C0F" w:themeColor="text1"/>
              </w:rPr>
            </w:pPr>
            <w:r w:rsidRPr="00730DE4">
              <w:rPr>
                <w:color w:val="080C0F" w:themeColor="text1"/>
              </w:rPr>
              <w:t xml:space="preserve">16,142 </w:t>
            </w:r>
          </w:p>
        </w:tc>
      </w:tr>
      <w:tr w:rsidR="00730DE4" w:rsidRPr="00730DE4" w14:paraId="77CD9709" w14:textId="77777777" w:rsidTr="00CA309A">
        <w:trPr>
          <w:trHeight w:val="198"/>
        </w:trPr>
        <w:tc>
          <w:tcPr>
            <w:tcW w:w="2325"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02116581" w14:textId="77777777" w:rsidR="00730DE4" w:rsidRPr="00730DE4" w:rsidRDefault="00730DE4" w:rsidP="00362B44">
            <w:pPr>
              <w:pStyle w:val="NoSpacing"/>
              <w:rPr>
                <w:color w:val="080C0F" w:themeColor="text1"/>
              </w:rPr>
            </w:pPr>
            <w:r w:rsidRPr="00730DE4">
              <w:rPr>
                <w:color w:val="080C0F" w:themeColor="text1"/>
              </w:rPr>
              <w:t>Prepayments</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06FBDFB" w14:textId="77777777" w:rsidR="00730DE4" w:rsidRPr="00730DE4" w:rsidRDefault="00730DE4" w:rsidP="00362B44">
            <w:pPr>
              <w:pStyle w:val="NoSpacing"/>
              <w:jc w:val="right"/>
              <w:rPr>
                <w:color w:val="080C0F" w:themeColor="text1"/>
              </w:rPr>
            </w:pPr>
            <w:r w:rsidRPr="00730DE4">
              <w:rPr>
                <w:color w:val="080C0F" w:themeColor="text1"/>
              </w:rPr>
              <w:t xml:space="preserve">53,343 </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9D84844" w14:textId="77777777" w:rsidR="00730DE4" w:rsidRPr="00730DE4" w:rsidRDefault="00730DE4" w:rsidP="00362B44">
            <w:pPr>
              <w:pStyle w:val="NoSpacing"/>
              <w:jc w:val="right"/>
              <w:rPr>
                <w:color w:val="080C0F" w:themeColor="text1"/>
              </w:rPr>
            </w:pPr>
            <w:r w:rsidRPr="00730DE4">
              <w:rPr>
                <w:color w:val="080C0F" w:themeColor="text1"/>
              </w:rPr>
              <w:t xml:space="preserve">75,576 </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4959097B" w14:textId="77777777" w:rsidR="00730DE4" w:rsidRPr="00730DE4" w:rsidRDefault="00730DE4" w:rsidP="00362B44">
            <w:pPr>
              <w:pStyle w:val="NoSpacing"/>
              <w:jc w:val="right"/>
              <w:rPr>
                <w:color w:val="080C0F" w:themeColor="text1"/>
              </w:rPr>
            </w:pPr>
            <w:r w:rsidRPr="00730DE4">
              <w:rPr>
                <w:color w:val="080C0F" w:themeColor="text1"/>
              </w:rPr>
              <w:t xml:space="preserve">22,233 </w:t>
            </w:r>
          </w:p>
        </w:tc>
      </w:tr>
      <w:tr w:rsidR="00730DE4" w:rsidRPr="00730DE4" w14:paraId="5FB1E361" w14:textId="77777777" w:rsidTr="00CA309A">
        <w:trPr>
          <w:trHeight w:val="24"/>
        </w:trPr>
        <w:tc>
          <w:tcPr>
            <w:tcW w:w="2325"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25282EEE" w14:textId="77777777" w:rsidR="00730DE4" w:rsidRPr="00730DE4" w:rsidRDefault="00730DE4" w:rsidP="00362B44">
            <w:pPr>
              <w:pStyle w:val="NoSpacing"/>
              <w:rPr>
                <w:color w:val="080C0F" w:themeColor="text1"/>
              </w:rPr>
            </w:pPr>
            <w:r w:rsidRPr="00730DE4">
              <w:rPr>
                <w:color w:val="080C0F" w:themeColor="text1"/>
              </w:rPr>
              <w:t>Non-current assets classified as held for sale</w:t>
            </w:r>
          </w:p>
        </w:tc>
        <w:tc>
          <w:tcPr>
            <w:tcW w:w="892"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119D2147" w14:textId="77777777" w:rsidR="00730DE4" w:rsidRPr="00730DE4" w:rsidRDefault="00730DE4" w:rsidP="00362B44">
            <w:pPr>
              <w:pStyle w:val="NoSpacing"/>
              <w:jc w:val="right"/>
              <w:rPr>
                <w:color w:val="080C0F" w:themeColor="text1"/>
              </w:rPr>
            </w:pPr>
            <w:r w:rsidRPr="00730DE4">
              <w:rPr>
                <w:color w:val="080C0F" w:themeColor="text1"/>
              </w:rPr>
              <w:t xml:space="preserve">2,824 </w:t>
            </w:r>
          </w:p>
        </w:tc>
        <w:tc>
          <w:tcPr>
            <w:tcW w:w="892"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541258D7" w14:textId="77777777" w:rsidR="00730DE4" w:rsidRPr="00730DE4" w:rsidRDefault="00730DE4" w:rsidP="00362B44">
            <w:pPr>
              <w:pStyle w:val="NoSpacing"/>
              <w:jc w:val="right"/>
              <w:rPr>
                <w:color w:val="080C0F" w:themeColor="text1"/>
              </w:rPr>
            </w:pPr>
            <w:r w:rsidRPr="00730DE4">
              <w:rPr>
                <w:color w:val="080C0F" w:themeColor="text1"/>
              </w:rPr>
              <w:t xml:space="preserve">-   </w:t>
            </w:r>
          </w:p>
        </w:tc>
        <w:tc>
          <w:tcPr>
            <w:tcW w:w="892"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5EE704D9" w14:textId="77777777" w:rsidR="00730DE4" w:rsidRPr="00730DE4" w:rsidRDefault="00730DE4" w:rsidP="00362B44">
            <w:pPr>
              <w:pStyle w:val="NoSpacing"/>
              <w:jc w:val="right"/>
              <w:rPr>
                <w:color w:val="080C0F" w:themeColor="text1"/>
              </w:rPr>
            </w:pPr>
            <w:r w:rsidRPr="00730DE4">
              <w:rPr>
                <w:color w:val="080C0F" w:themeColor="text1"/>
              </w:rPr>
              <w:t>(2,824)</w:t>
            </w:r>
          </w:p>
        </w:tc>
      </w:tr>
      <w:tr w:rsidR="00730DE4" w:rsidRPr="00730DE4" w14:paraId="79AE965F" w14:textId="77777777" w:rsidTr="00CA309A">
        <w:trPr>
          <w:trHeight w:val="454"/>
        </w:trPr>
        <w:tc>
          <w:tcPr>
            <w:tcW w:w="2325" w:type="pct"/>
            <w:tcBorders>
              <w:top w:val="single" w:sz="4" w:space="0" w:color="auto"/>
              <w:left w:val="nil"/>
              <w:right w:val="dotted" w:sz="4" w:space="0" w:color="BFBFBF" w:themeColor="background1" w:themeShade="BF"/>
            </w:tcBorders>
            <w:shd w:val="clear" w:color="auto" w:fill="auto"/>
            <w:noWrap/>
            <w:hideMark/>
          </w:tcPr>
          <w:p w14:paraId="466CE551" w14:textId="77777777" w:rsidR="00730DE4" w:rsidRPr="00730DE4" w:rsidRDefault="00730DE4" w:rsidP="00362B44">
            <w:pPr>
              <w:pStyle w:val="NoSpacing"/>
              <w:rPr>
                <w:color w:val="080C0F" w:themeColor="text1"/>
              </w:rPr>
            </w:pPr>
            <w:r w:rsidRPr="00730DE4">
              <w:rPr>
                <w:rStyle w:val="Strong"/>
              </w:rPr>
              <w:t>Total current assets</w:t>
            </w:r>
          </w:p>
        </w:tc>
        <w:tc>
          <w:tcPr>
            <w:tcW w:w="892"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5AA62F8A" w14:textId="77777777" w:rsidR="00730DE4" w:rsidRPr="00730DE4" w:rsidRDefault="00730DE4" w:rsidP="00362B44">
            <w:pPr>
              <w:pStyle w:val="NoSpacing"/>
              <w:jc w:val="right"/>
              <w:rPr>
                <w:color w:val="080C0F" w:themeColor="text1"/>
              </w:rPr>
            </w:pPr>
            <w:r w:rsidRPr="00730DE4">
              <w:rPr>
                <w:rStyle w:val="Strong"/>
              </w:rPr>
              <w:t xml:space="preserve">549,085 </w:t>
            </w:r>
          </w:p>
        </w:tc>
        <w:tc>
          <w:tcPr>
            <w:tcW w:w="892"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347A962D" w14:textId="77777777" w:rsidR="00730DE4" w:rsidRPr="00730DE4" w:rsidRDefault="00730DE4" w:rsidP="00362B44">
            <w:pPr>
              <w:pStyle w:val="NoSpacing"/>
              <w:jc w:val="right"/>
              <w:rPr>
                <w:color w:val="080C0F" w:themeColor="text1"/>
              </w:rPr>
            </w:pPr>
            <w:r w:rsidRPr="00730DE4">
              <w:rPr>
                <w:rStyle w:val="Strong"/>
              </w:rPr>
              <w:t xml:space="preserve">982,529 </w:t>
            </w:r>
          </w:p>
        </w:tc>
        <w:tc>
          <w:tcPr>
            <w:tcW w:w="892" w:type="pct"/>
            <w:tcBorders>
              <w:top w:val="single" w:sz="4" w:space="0" w:color="auto"/>
              <w:left w:val="dotted" w:sz="4" w:space="0" w:color="BFBFBF" w:themeColor="background1" w:themeShade="BF"/>
              <w:right w:val="nil"/>
            </w:tcBorders>
            <w:shd w:val="clear" w:color="auto" w:fill="auto"/>
            <w:noWrap/>
            <w:hideMark/>
          </w:tcPr>
          <w:p w14:paraId="5DE01C67" w14:textId="77777777" w:rsidR="00730DE4" w:rsidRPr="00730DE4" w:rsidRDefault="00730DE4" w:rsidP="00362B44">
            <w:pPr>
              <w:pStyle w:val="NoSpacing"/>
              <w:jc w:val="right"/>
              <w:rPr>
                <w:rStyle w:val="Strong"/>
              </w:rPr>
            </w:pPr>
            <w:r w:rsidRPr="00730DE4">
              <w:rPr>
                <w:rStyle w:val="Strong"/>
              </w:rPr>
              <w:t xml:space="preserve">433,444 </w:t>
            </w:r>
          </w:p>
        </w:tc>
      </w:tr>
      <w:tr w:rsidR="00730DE4" w:rsidRPr="00730DE4" w14:paraId="17667FD5" w14:textId="77777777" w:rsidTr="00CA309A">
        <w:tc>
          <w:tcPr>
            <w:tcW w:w="2325" w:type="pct"/>
            <w:tcBorders>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39CBBD7D" w14:textId="77777777" w:rsidR="00730DE4" w:rsidRPr="00730DE4" w:rsidRDefault="00730DE4" w:rsidP="00362B44">
            <w:pPr>
              <w:pStyle w:val="NoSpacing"/>
              <w:rPr>
                <w:color w:val="080C0F" w:themeColor="text1"/>
              </w:rPr>
            </w:pPr>
            <w:r w:rsidRPr="00730DE4">
              <w:rPr>
                <w:rStyle w:val="Strong"/>
              </w:rPr>
              <w:t>Non-current assets</w:t>
            </w:r>
          </w:p>
        </w:tc>
        <w:tc>
          <w:tcPr>
            <w:tcW w:w="892"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8312B5E" w14:textId="77777777" w:rsidR="00730DE4" w:rsidRPr="00730DE4" w:rsidRDefault="00730DE4" w:rsidP="00362B44">
            <w:pPr>
              <w:pStyle w:val="NoSpacing"/>
              <w:jc w:val="right"/>
              <w:rPr>
                <w:rStyle w:val="Strong"/>
              </w:rPr>
            </w:pPr>
          </w:p>
        </w:tc>
        <w:tc>
          <w:tcPr>
            <w:tcW w:w="892"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1598F82" w14:textId="77777777" w:rsidR="00730DE4" w:rsidRPr="00730DE4" w:rsidRDefault="00730DE4" w:rsidP="00362B44">
            <w:pPr>
              <w:pStyle w:val="NoSpacing"/>
              <w:jc w:val="right"/>
              <w:rPr>
                <w:color w:val="080C0F" w:themeColor="text1"/>
              </w:rPr>
            </w:pPr>
          </w:p>
        </w:tc>
        <w:tc>
          <w:tcPr>
            <w:tcW w:w="892" w:type="pct"/>
            <w:tcBorders>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3E370AE" w14:textId="77777777" w:rsidR="00730DE4" w:rsidRPr="00730DE4" w:rsidRDefault="00730DE4" w:rsidP="00362B44">
            <w:pPr>
              <w:pStyle w:val="NoSpacing"/>
              <w:jc w:val="right"/>
              <w:rPr>
                <w:color w:val="080C0F" w:themeColor="text1"/>
              </w:rPr>
            </w:pPr>
          </w:p>
        </w:tc>
      </w:tr>
      <w:tr w:rsidR="00730DE4" w:rsidRPr="00730DE4" w14:paraId="22BCF89B" w14:textId="77777777" w:rsidTr="00CA309A">
        <w:trPr>
          <w:trHeight w:val="198"/>
        </w:trPr>
        <w:tc>
          <w:tcPr>
            <w:tcW w:w="2325"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5242BFD5" w14:textId="77777777" w:rsidR="00730DE4" w:rsidRPr="00730DE4" w:rsidRDefault="00730DE4" w:rsidP="00362B44">
            <w:pPr>
              <w:pStyle w:val="NoSpacing"/>
              <w:rPr>
                <w:color w:val="080C0F" w:themeColor="text1"/>
              </w:rPr>
            </w:pPr>
            <w:r w:rsidRPr="00730DE4">
              <w:rPr>
                <w:color w:val="080C0F" w:themeColor="text1"/>
              </w:rPr>
              <w:t>Receivables</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5C623B8" w14:textId="77777777" w:rsidR="00730DE4" w:rsidRPr="00730DE4" w:rsidRDefault="00730DE4" w:rsidP="00362B44">
            <w:pPr>
              <w:pStyle w:val="NoSpacing"/>
              <w:jc w:val="right"/>
              <w:rPr>
                <w:color w:val="080C0F" w:themeColor="text1"/>
              </w:rPr>
            </w:pPr>
            <w:r w:rsidRPr="00730DE4">
              <w:rPr>
                <w:color w:val="080C0F" w:themeColor="text1"/>
              </w:rPr>
              <w:t xml:space="preserve">3,273 </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D5545C6" w14:textId="77777777" w:rsidR="00730DE4" w:rsidRPr="00730DE4" w:rsidRDefault="00730DE4" w:rsidP="00362B44">
            <w:pPr>
              <w:pStyle w:val="NoSpacing"/>
              <w:jc w:val="right"/>
              <w:rPr>
                <w:color w:val="080C0F" w:themeColor="text1"/>
              </w:rPr>
            </w:pPr>
            <w:r w:rsidRPr="00730DE4">
              <w:rPr>
                <w:color w:val="080C0F" w:themeColor="text1"/>
              </w:rPr>
              <w:t xml:space="preserve">3,452 </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4B62A767" w14:textId="77777777" w:rsidR="00730DE4" w:rsidRPr="00730DE4" w:rsidRDefault="00730DE4" w:rsidP="00362B44">
            <w:pPr>
              <w:pStyle w:val="NoSpacing"/>
              <w:jc w:val="right"/>
              <w:rPr>
                <w:color w:val="080C0F" w:themeColor="text1"/>
              </w:rPr>
            </w:pPr>
            <w:r w:rsidRPr="00730DE4">
              <w:rPr>
                <w:color w:val="080C0F" w:themeColor="text1"/>
              </w:rPr>
              <w:t xml:space="preserve">179 </w:t>
            </w:r>
          </w:p>
        </w:tc>
      </w:tr>
      <w:tr w:rsidR="00730DE4" w:rsidRPr="00730DE4" w14:paraId="77B1B6AD" w14:textId="77777777" w:rsidTr="00CA309A">
        <w:trPr>
          <w:trHeight w:val="198"/>
        </w:trPr>
        <w:tc>
          <w:tcPr>
            <w:tcW w:w="2325"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469A1226" w14:textId="77777777" w:rsidR="00730DE4" w:rsidRPr="00730DE4" w:rsidRDefault="00730DE4" w:rsidP="00362B44">
            <w:pPr>
              <w:pStyle w:val="NoSpacing"/>
              <w:rPr>
                <w:color w:val="080C0F" w:themeColor="text1"/>
              </w:rPr>
            </w:pPr>
            <w:r w:rsidRPr="00730DE4">
              <w:rPr>
                <w:color w:val="080C0F" w:themeColor="text1"/>
              </w:rPr>
              <w:t>Prepayments</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FB70C5B" w14:textId="77777777" w:rsidR="00730DE4" w:rsidRPr="00730DE4" w:rsidRDefault="00730DE4" w:rsidP="00362B44">
            <w:pPr>
              <w:pStyle w:val="NoSpacing"/>
              <w:jc w:val="right"/>
              <w:rPr>
                <w:color w:val="080C0F" w:themeColor="text1"/>
              </w:rPr>
            </w:pPr>
            <w:r w:rsidRPr="00730DE4">
              <w:rPr>
                <w:color w:val="080C0F" w:themeColor="text1"/>
              </w:rPr>
              <w:t xml:space="preserve">65,076 </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C61BCA6" w14:textId="77777777" w:rsidR="00730DE4" w:rsidRPr="00730DE4" w:rsidRDefault="00730DE4" w:rsidP="00362B44">
            <w:pPr>
              <w:pStyle w:val="NoSpacing"/>
              <w:jc w:val="right"/>
              <w:rPr>
                <w:color w:val="080C0F" w:themeColor="text1"/>
              </w:rPr>
            </w:pPr>
            <w:r w:rsidRPr="00730DE4">
              <w:rPr>
                <w:color w:val="080C0F" w:themeColor="text1"/>
              </w:rPr>
              <w:t xml:space="preserve">75,086 </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C8F11FB" w14:textId="77777777" w:rsidR="00730DE4" w:rsidRPr="00730DE4" w:rsidRDefault="00730DE4" w:rsidP="00362B44">
            <w:pPr>
              <w:pStyle w:val="NoSpacing"/>
              <w:jc w:val="right"/>
              <w:rPr>
                <w:color w:val="080C0F" w:themeColor="text1"/>
              </w:rPr>
            </w:pPr>
            <w:r w:rsidRPr="00730DE4">
              <w:rPr>
                <w:color w:val="080C0F" w:themeColor="text1"/>
              </w:rPr>
              <w:t xml:space="preserve">10,010 </w:t>
            </w:r>
          </w:p>
        </w:tc>
      </w:tr>
      <w:tr w:rsidR="00730DE4" w:rsidRPr="00730DE4" w14:paraId="0063045C" w14:textId="77777777" w:rsidTr="00CA309A">
        <w:trPr>
          <w:trHeight w:val="198"/>
        </w:trPr>
        <w:tc>
          <w:tcPr>
            <w:tcW w:w="2325"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7BA0BA5" w14:textId="77777777" w:rsidR="00730DE4" w:rsidRPr="00730DE4" w:rsidRDefault="00730DE4" w:rsidP="00362B44">
            <w:pPr>
              <w:pStyle w:val="NoSpacing"/>
              <w:rPr>
                <w:color w:val="080C0F" w:themeColor="text1"/>
              </w:rPr>
            </w:pPr>
            <w:r w:rsidRPr="00730DE4">
              <w:rPr>
                <w:color w:val="080C0F" w:themeColor="text1"/>
              </w:rPr>
              <w:t>Intangible assets</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75DC270" w14:textId="77777777" w:rsidR="00730DE4" w:rsidRPr="00730DE4" w:rsidRDefault="00730DE4" w:rsidP="00362B44">
            <w:pPr>
              <w:pStyle w:val="NoSpacing"/>
              <w:jc w:val="right"/>
              <w:rPr>
                <w:color w:val="080C0F" w:themeColor="text1"/>
              </w:rPr>
            </w:pPr>
            <w:r w:rsidRPr="00730DE4">
              <w:rPr>
                <w:color w:val="080C0F" w:themeColor="text1"/>
              </w:rPr>
              <w:t xml:space="preserve">124,154 </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2F90227" w14:textId="77777777" w:rsidR="00730DE4" w:rsidRPr="00730DE4" w:rsidRDefault="00730DE4" w:rsidP="00362B44">
            <w:pPr>
              <w:pStyle w:val="NoSpacing"/>
              <w:jc w:val="right"/>
              <w:rPr>
                <w:color w:val="080C0F" w:themeColor="text1"/>
              </w:rPr>
            </w:pPr>
            <w:r w:rsidRPr="00730DE4">
              <w:rPr>
                <w:color w:val="080C0F" w:themeColor="text1"/>
              </w:rPr>
              <w:t xml:space="preserve">57,901 </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45D4663D" w14:textId="77777777" w:rsidR="00730DE4" w:rsidRPr="00730DE4" w:rsidRDefault="00730DE4" w:rsidP="00362B44">
            <w:pPr>
              <w:pStyle w:val="NoSpacing"/>
              <w:jc w:val="right"/>
              <w:rPr>
                <w:color w:val="080C0F" w:themeColor="text1"/>
              </w:rPr>
            </w:pPr>
            <w:r w:rsidRPr="00730DE4">
              <w:rPr>
                <w:color w:val="080C0F" w:themeColor="text1"/>
              </w:rPr>
              <w:t>(66,253)</w:t>
            </w:r>
          </w:p>
        </w:tc>
      </w:tr>
      <w:tr w:rsidR="00730DE4" w:rsidRPr="00730DE4" w14:paraId="68353D72" w14:textId="77777777" w:rsidTr="00CA309A">
        <w:trPr>
          <w:trHeight w:val="198"/>
        </w:trPr>
        <w:tc>
          <w:tcPr>
            <w:tcW w:w="2325"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1AAFADC" w14:textId="77777777" w:rsidR="00730DE4" w:rsidRPr="00730DE4" w:rsidRDefault="00730DE4" w:rsidP="00362B44">
            <w:pPr>
              <w:pStyle w:val="NoSpacing"/>
              <w:rPr>
                <w:color w:val="080C0F" w:themeColor="text1"/>
              </w:rPr>
            </w:pPr>
            <w:r w:rsidRPr="00730DE4">
              <w:rPr>
                <w:color w:val="080C0F" w:themeColor="text1"/>
              </w:rPr>
              <w:t>Property, plant and equipment</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766C807" w14:textId="77777777" w:rsidR="00730DE4" w:rsidRPr="00730DE4" w:rsidRDefault="00730DE4" w:rsidP="00362B44">
            <w:pPr>
              <w:pStyle w:val="NoSpacing"/>
              <w:jc w:val="right"/>
              <w:rPr>
                <w:color w:val="080C0F" w:themeColor="text1"/>
              </w:rPr>
            </w:pPr>
            <w:r w:rsidRPr="00730DE4">
              <w:rPr>
                <w:color w:val="080C0F" w:themeColor="text1"/>
              </w:rPr>
              <w:t xml:space="preserve">93,451,327 </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D149161" w14:textId="77777777" w:rsidR="00730DE4" w:rsidRPr="00730DE4" w:rsidRDefault="00730DE4" w:rsidP="00362B44">
            <w:pPr>
              <w:pStyle w:val="NoSpacing"/>
              <w:jc w:val="right"/>
              <w:rPr>
                <w:color w:val="080C0F" w:themeColor="text1"/>
              </w:rPr>
            </w:pPr>
            <w:r w:rsidRPr="00730DE4">
              <w:rPr>
                <w:color w:val="080C0F" w:themeColor="text1"/>
              </w:rPr>
              <w:t xml:space="preserve">109,819,852 </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91A121A" w14:textId="77777777" w:rsidR="00730DE4" w:rsidRPr="00730DE4" w:rsidRDefault="00730DE4" w:rsidP="00362B44">
            <w:pPr>
              <w:pStyle w:val="NoSpacing"/>
              <w:jc w:val="right"/>
              <w:rPr>
                <w:color w:val="080C0F" w:themeColor="text1"/>
              </w:rPr>
            </w:pPr>
            <w:r w:rsidRPr="00730DE4">
              <w:rPr>
                <w:color w:val="080C0F" w:themeColor="text1"/>
              </w:rPr>
              <w:t xml:space="preserve">16,368,525 </w:t>
            </w:r>
          </w:p>
        </w:tc>
      </w:tr>
      <w:tr w:rsidR="00730DE4" w:rsidRPr="00730DE4" w14:paraId="22031E5F" w14:textId="77777777" w:rsidTr="00CA309A">
        <w:trPr>
          <w:trHeight w:val="198"/>
        </w:trPr>
        <w:tc>
          <w:tcPr>
            <w:tcW w:w="2325"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5D831BA0" w14:textId="77777777" w:rsidR="00730DE4" w:rsidRPr="00730DE4" w:rsidRDefault="00730DE4" w:rsidP="00362B44">
            <w:pPr>
              <w:pStyle w:val="NoSpacing"/>
              <w:rPr>
                <w:color w:val="080C0F" w:themeColor="text1"/>
              </w:rPr>
            </w:pPr>
            <w:r w:rsidRPr="00730DE4">
              <w:rPr>
                <w:color w:val="080C0F" w:themeColor="text1"/>
              </w:rPr>
              <w:t>Service concession assets</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9C7A178" w14:textId="77777777" w:rsidR="00730DE4" w:rsidRPr="00730DE4" w:rsidRDefault="00730DE4" w:rsidP="00362B44">
            <w:pPr>
              <w:pStyle w:val="NoSpacing"/>
              <w:jc w:val="right"/>
              <w:rPr>
                <w:color w:val="080C0F" w:themeColor="text1"/>
              </w:rPr>
            </w:pPr>
            <w:r w:rsidRPr="00730DE4">
              <w:rPr>
                <w:color w:val="080C0F" w:themeColor="text1"/>
              </w:rPr>
              <w:t xml:space="preserve">12,639,555 </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A8A31FD" w14:textId="77777777" w:rsidR="00730DE4" w:rsidRPr="00730DE4" w:rsidRDefault="00730DE4" w:rsidP="00362B44">
            <w:pPr>
              <w:pStyle w:val="NoSpacing"/>
              <w:jc w:val="right"/>
              <w:rPr>
                <w:color w:val="080C0F" w:themeColor="text1"/>
              </w:rPr>
            </w:pPr>
            <w:r w:rsidRPr="00730DE4">
              <w:rPr>
                <w:color w:val="080C0F" w:themeColor="text1"/>
              </w:rPr>
              <w:t xml:space="preserve">15,077,913 </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2AC95FF" w14:textId="77777777" w:rsidR="00730DE4" w:rsidRPr="00730DE4" w:rsidRDefault="00730DE4" w:rsidP="00362B44">
            <w:pPr>
              <w:pStyle w:val="NoSpacing"/>
              <w:jc w:val="right"/>
              <w:rPr>
                <w:color w:val="080C0F" w:themeColor="text1"/>
              </w:rPr>
            </w:pPr>
            <w:r w:rsidRPr="00730DE4">
              <w:rPr>
                <w:color w:val="080C0F" w:themeColor="text1"/>
              </w:rPr>
              <w:t xml:space="preserve">2,438,358 </w:t>
            </w:r>
          </w:p>
        </w:tc>
      </w:tr>
      <w:tr w:rsidR="00730DE4" w:rsidRPr="00730DE4" w14:paraId="0C428998" w14:textId="77777777" w:rsidTr="00CA309A">
        <w:trPr>
          <w:trHeight w:val="198"/>
        </w:trPr>
        <w:tc>
          <w:tcPr>
            <w:tcW w:w="2325"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6CB0E7F8" w14:textId="77777777" w:rsidR="00730DE4" w:rsidRPr="00730DE4" w:rsidRDefault="00730DE4" w:rsidP="00362B44">
            <w:pPr>
              <w:pStyle w:val="NoSpacing"/>
              <w:rPr>
                <w:color w:val="080C0F" w:themeColor="text1"/>
              </w:rPr>
            </w:pPr>
            <w:r w:rsidRPr="00730DE4">
              <w:rPr>
                <w:color w:val="080C0F" w:themeColor="text1"/>
              </w:rPr>
              <w:t>Deferred tax assets</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9BFFD8B" w14:textId="77777777" w:rsidR="00730DE4" w:rsidRPr="00730DE4" w:rsidRDefault="00730DE4" w:rsidP="00362B44">
            <w:pPr>
              <w:pStyle w:val="NoSpacing"/>
              <w:jc w:val="right"/>
              <w:rPr>
                <w:color w:val="080C0F" w:themeColor="text1"/>
              </w:rPr>
            </w:pPr>
            <w:r w:rsidRPr="00730DE4">
              <w:rPr>
                <w:color w:val="080C0F" w:themeColor="text1"/>
              </w:rPr>
              <w:t xml:space="preserve">2,525 </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56E9F6E" w14:textId="77777777" w:rsidR="00730DE4" w:rsidRPr="00730DE4" w:rsidRDefault="00730DE4" w:rsidP="00362B44">
            <w:pPr>
              <w:pStyle w:val="NoSpacing"/>
              <w:jc w:val="right"/>
              <w:rPr>
                <w:color w:val="080C0F" w:themeColor="text1"/>
              </w:rPr>
            </w:pPr>
            <w:r w:rsidRPr="00730DE4">
              <w:rPr>
                <w:color w:val="080C0F" w:themeColor="text1"/>
              </w:rPr>
              <w:t xml:space="preserve">3,769 </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FE701F2" w14:textId="77777777" w:rsidR="00730DE4" w:rsidRPr="00730DE4" w:rsidRDefault="00730DE4" w:rsidP="00362B44">
            <w:pPr>
              <w:pStyle w:val="NoSpacing"/>
              <w:jc w:val="right"/>
              <w:rPr>
                <w:color w:val="080C0F" w:themeColor="text1"/>
              </w:rPr>
            </w:pPr>
            <w:r w:rsidRPr="00730DE4">
              <w:rPr>
                <w:color w:val="080C0F" w:themeColor="text1"/>
              </w:rPr>
              <w:t xml:space="preserve">1,244 </w:t>
            </w:r>
          </w:p>
        </w:tc>
      </w:tr>
      <w:tr w:rsidR="00730DE4" w:rsidRPr="00730DE4" w14:paraId="7EF3EC85" w14:textId="77777777" w:rsidTr="00CA309A">
        <w:trPr>
          <w:trHeight w:val="198"/>
        </w:trPr>
        <w:tc>
          <w:tcPr>
            <w:tcW w:w="2325"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6FA53640" w14:textId="77777777" w:rsidR="00730DE4" w:rsidRPr="00730DE4" w:rsidRDefault="00730DE4" w:rsidP="00362B44">
            <w:pPr>
              <w:pStyle w:val="NoSpacing"/>
              <w:rPr>
                <w:color w:val="080C0F" w:themeColor="text1"/>
              </w:rPr>
            </w:pPr>
            <w:r w:rsidRPr="00730DE4">
              <w:rPr>
                <w:color w:val="080C0F" w:themeColor="text1"/>
              </w:rPr>
              <w:t>Right-of-use assets</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01F31A2" w14:textId="77777777" w:rsidR="00730DE4" w:rsidRPr="00730DE4" w:rsidRDefault="00730DE4" w:rsidP="00362B44">
            <w:pPr>
              <w:pStyle w:val="NoSpacing"/>
              <w:jc w:val="right"/>
              <w:rPr>
                <w:color w:val="080C0F" w:themeColor="text1"/>
              </w:rPr>
            </w:pPr>
            <w:r w:rsidRPr="00730DE4">
              <w:rPr>
                <w:color w:val="080C0F" w:themeColor="text1"/>
              </w:rPr>
              <w:t xml:space="preserve">78,208 </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7BFDB69" w14:textId="77777777" w:rsidR="00730DE4" w:rsidRPr="00730DE4" w:rsidRDefault="00730DE4" w:rsidP="00362B44">
            <w:pPr>
              <w:pStyle w:val="NoSpacing"/>
              <w:jc w:val="right"/>
              <w:rPr>
                <w:color w:val="080C0F" w:themeColor="text1"/>
              </w:rPr>
            </w:pPr>
            <w:r w:rsidRPr="00730DE4">
              <w:rPr>
                <w:color w:val="080C0F" w:themeColor="text1"/>
              </w:rPr>
              <w:t xml:space="preserve">83,341 </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6511087" w14:textId="77777777" w:rsidR="00730DE4" w:rsidRPr="00730DE4" w:rsidRDefault="00730DE4" w:rsidP="00362B44">
            <w:pPr>
              <w:pStyle w:val="NoSpacing"/>
              <w:jc w:val="right"/>
              <w:rPr>
                <w:color w:val="080C0F" w:themeColor="text1"/>
              </w:rPr>
            </w:pPr>
            <w:r w:rsidRPr="00730DE4">
              <w:rPr>
                <w:color w:val="080C0F" w:themeColor="text1"/>
              </w:rPr>
              <w:t xml:space="preserve">5,133 </w:t>
            </w:r>
          </w:p>
        </w:tc>
      </w:tr>
      <w:tr w:rsidR="00730DE4" w:rsidRPr="00730DE4" w14:paraId="3BDDE494" w14:textId="77777777" w:rsidTr="00CA309A">
        <w:trPr>
          <w:trHeight w:val="198"/>
        </w:trPr>
        <w:tc>
          <w:tcPr>
            <w:tcW w:w="2325"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6EC5B694" w14:textId="77777777" w:rsidR="00730DE4" w:rsidRPr="00730DE4" w:rsidRDefault="00730DE4" w:rsidP="00362B44">
            <w:pPr>
              <w:pStyle w:val="NoSpacing"/>
              <w:rPr>
                <w:color w:val="080C0F" w:themeColor="text1"/>
              </w:rPr>
            </w:pPr>
            <w:r w:rsidRPr="00730DE4">
              <w:rPr>
                <w:color w:val="080C0F" w:themeColor="text1"/>
              </w:rPr>
              <w:t>Investment in subsidiary</w:t>
            </w:r>
          </w:p>
        </w:tc>
        <w:tc>
          <w:tcPr>
            <w:tcW w:w="892"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31FA4D2B" w14:textId="77777777" w:rsidR="00730DE4" w:rsidRPr="00730DE4" w:rsidRDefault="00730DE4" w:rsidP="00362B44">
            <w:pPr>
              <w:pStyle w:val="NoSpacing"/>
              <w:jc w:val="right"/>
              <w:rPr>
                <w:color w:val="080C0F" w:themeColor="text1"/>
              </w:rPr>
            </w:pPr>
            <w:r w:rsidRPr="00730DE4">
              <w:rPr>
                <w:color w:val="080C0F" w:themeColor="text1"/>
              </w:rPr>
              <w:t xml:space="preserve">5,601 </w:t>
            </w:r>
          </w:p>
        </w:tc>
        <w:tc>
          <w:tcPr>
            <w:tcW w:w="892"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6A6F38C5" w14:textId="77777777" w:rsidR="00730DE4" w:rsidRPr="00730DE4" w:rsidRDefault="00730DE4" w:rsidP="00362B44">
            <w:pPr>
              <w:pStyle w:val="NoSpacing"/>
              <w:jc w:val="right"/>
              <w:rPr>
                <w:color w:val="080C0F" w:themeColor="text1"/>
              </w:rPr>
            </w:pPr>
            <w:r w:rsidRPr="00730DE4">
              <w:rPr>
                <w:color w:val="080C0F" w:themeColor="text1"/>
              </w:rPr>
              <w:t xml:space="preserve">34,027 </w:t>
            </w:r>
          </w:p>
        </w:tc>
        <w:tc>
          <w:tcPr>
            <w:tcW w:w="892"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47E1C8B7" w14:textId="77777777" w:rsidR="00730DE4" w:rsidRPr="00730DE4" w:rsidRDefault="00730DE4" w:rsidP="00362B44">
            <w:pPr>
              <w:pStyle w:val="NoSpacing"/>
              <w:jc w:val="right"/>
              <w:rPr>
                <w:color w:val="080C0F" w:themeColor="text1"/>
              </w:rPr>
            </w:pPr>
            <w:r w:rsidRPr="00730DE4">
              <w:rPr>
                <w:color w:val="080C0F" w:themeColor="text1"/>
              </w:rPr>
              <w:t xml:space="preserve">28,426 </w:t>
            </w:r>
          </w:p>
        </w:tc>
      </w:tr>
      <w:tr w:rsidR="00730DE4" w:rsidRPr="00730DE4" w14:paraId="4EA3D528" w14:textId="77777777" w:rsidTr="00CA309A">
        <w:trPr>
          <w:trHeight w:val="454"/>
        </w:trPr>
        <w:tc>
          <w:tcPr>
            <w:tcW w:w="2325"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hideMark/>
          </w:tcPr>
          <w:p w14:paraId="4A96E246" w14:textId="77777777" w:rsidR="00730DE4" w:rsidRPr="00730DE4" w:rsidRDefault="00730DE4" w:rsidP="00362B44">
            <w:pPr>
              <w:pStyle w:val="NoSpacing"/>
              <w:rPr>
                <w:color w:val="080C0F" w:themeColor="text1"/>
              </w:rPr>
            </w:pPr>
            <w:r w:rsidRPr="00730DE4">
              <w:rPr>
                <w:rStyle w:val="Strong"/>
              </w:rPr>
              <w:t>Total non-current assets</w:t>
            </w:r>
          </w:p>
        </w:tc>
        <w:tc>
          <w:tcPr>
            <w:tcW w:w="892"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hideMark/>
          </w:tcPr>
          <w:p w14:paraId="19736F79" w14:textId="77777777" w:rsidR="00730DE4" w:rsidRPr="00730DE4" w:rsidRDefault="00730DE4" w:rsidP="00362B44">
            <w:pPr>
              <w:pStyle w:val="NoSpacing"/>
              <w:jc w:val="right"/>
              <w:rPr>
                <w:color w:val="080C0F" w:themeColor="text1"/>
              </w:rPr>
            </w:pPr>
            <w:r w:rsidRPr="00730DE4">
              <w:rPr>
                <w:rStyle w:val="Strong"/>
              </w:rPr>
              <w:t xml:space="preserve">106,369,719 </w:t>
            </w:r>
          </w:p>
        </w:tc>
        <w:tc>
          <w:tcPr>
            <w:tcW w:w="892"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hideMark/>
          </w:tcPr>
          <w:p w14:paraId="7C8838D7" w14:textId="77777777" w:rsidR="00730DE4" w:rsidRPr="00730DE4" w:rsidRDefault="00730DE4" w:rsidP="00362B44">
            <w:pPr>
              <w:pStyle w:val="NoSpacing"/>
              <w:jc w:val="right"/>
              <w:rPr>
                <w:color w:val="080C0F" w:themeColor="text1"/>
              </w:rPr>
            </w:pPr>
            <w:r w:rsidRPr="00730DE4">
              <w:rPr>
                <w:rStyle w:val="Strong"/>
              </w:rPr>
              <w:t xml:space="preserve">125,155,341 </w:t>
            </w:r>
          </w:p>
        </w:tc>
        <w:tc>
          <w:tcPr>
            <w:tcW w:w="892"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hideMark/>
          </w:tcPr>
          <w:p w14:paraId="10F97FAD" w14:textId="77777777" w:rsidR="00730DE4" w:rsidRPr="00730DE4" w:rsidRDefault="00730DE4" w:rsidP="00362B44">
            <w:pPr>
              <w:pStyle w:val="NoSpacing"/>
              <w:jc w:val="right"/>
              <w:rPr>
                <w:rStyle w:val="Strong"/>
              </w:rPr>
            </w:pPr>
            <w:r w:rsidRPr="00730DE4">
              <w:rPr>
                <w:rStyle w:val="Strong"/>
              </w:rPr>
              <w:t xml:space="preserve">18,785,622 </w:t>
            </w:r>
          </w:p>
        </w:tc>
      </w:tr>
      <w:tr w:rsidR="00730DE4" w:rsidRPr="00730DE4" w14:paraId="012B5A79" w14:textId="77777777" w:rsidTr="00CA309A">
        <w:trPr>
          <w:trHeight w:val="454"/>
        </w:trPr>
        <w:tc>
          <w:tcPr>
            <w:tcW w:w="2325"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7E353A0B" w14:textId="77777777" w:rsidR="00730DE4" w:rsidRPr="00730DE4" w:rsidRDefault="00730DE4" w:rsidP="00CA309A">
            <w:pPr>
              <w:pStyle w:val="NoSpacing"/>
              <w:rPr>
                <w:color w:val="080C0F" w:themeColor="text1"/>
              </w:rPr>
            </w:pPr>
            <w:r w:rsidRPr="00730DE4">
              <w:rPr>
                <w:rStyle w:val="Strong"/>
              </w:rPr>
              <w:t>Total assets</w:t>
            </w:r>
          </w:p>
        </w:tc>
        <w:tc>
          <w:tcPr>
            <w:tcW w:w="892"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5B00A205" w14:textId="77777777" w:rsidR="00730DE4" w:rsidRPr="00730DE4" w:rsidRDefault="00730DE4" w:rsidP="00CA309A">
            <w:pPr>
              <w:pStyle w:val="NoSpacing"/>
              <w:jc w:val="right"/>
              <w:rPr>
                <w:color w:val="080C0F" w:themeColor="text1"/>
              </w:rPr>
            </w:pPr>
            <w:r w:rsidRPr="00730DE4">
              <w:rPr>
                <w:rStyle w:val="Strong"/>
              </w:rPr>
              <w:t xml:space="preserve">106,918,804 </w:t>
            </w:r>
          </w:p>
        </w:tc>
        <w:tc>
          <w:tcPr>
            <w:tcW w:w="892"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4254748E" w14:textId="77777777" w:rsidR="00730DE4" w:rsidRPr="00730DE4" w:rsidRDefault="00730DE4" w:rsidP="00CA309A">
            <w:pPr>
              <w:pStyle w:val="NoSpacing"/>
              <w:jc w:val="right"/>
              <w:rPr>
                <w:color w:val="080C0F" w:themeColor="text1"/>
              </w:rPr>
            </w:pPr>
            <w:r w:rsidRPr="00730DE4">
              <w:rPr>
                <w:rStyle w:val="Strong"/>
              </w:rPr>
              <w:t xml:space="preserve">126,137,870 </w:t>
            </w:r>
          </w:p>
        </w:tc>
        <w:tc>
          <w:tcPr>
            <w:tcW w:w="892"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3D084427" w14:textId="77777777" w:rsidR="00730DE4" w:rsidRPr="00730DE4" w:rsidRDefault="00730DE4" w:rsidP="00CA309A">
            <w:pPr>
              <w:pStyle w:val="NoSpacing"/>
              <w:jc w:val="right"/>
              <w:rPr>
                <w:rStyle w:val="Strong"/>
              </w:rPr>
            </w:pPr>
            <w:r w:rsidRPr="00730DE4">
              <w:rPr>
                <w:rStyle w:val="Strong"/>
              </w:rPr>
              <w:t xml:space="preserve">19,219,066 </w:t>
            </w:r>
          </w:p>
        </w:tc>
      </w:tr>
      <w:tr w:rsidR="00730DE4" w:rsidRPr="00730DE4" w14:paraId="5FECBA51" w14:textId="77777777" w:rsidTr="00CA309A">
        <w:trPr>
          <w:trHeight w:val="454"/>
        </w:trPr>
        <w:tc>
          <w:tcPr>
            <w:tcW w:w="2325"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73A8050" w14:textId="77777777" w:rsidR="00730DE4" w:rsidRPr="00730DE4" w:rsidRDefault="00730DE4" w:rsidP="00362B44">
            <w:pPr>
              <w:pStyle w:val="NoSpacing"/>
              <w:rPr>
                <w:color w:val="080C0F" w:themeColor="text1"/>
              </w:rPr>
            </w:pPr>
            <w:r w:rsidRPr="00730DE4">
              <w:rPr>
                <w:rStyle w:val="Strong"/>
              </w:rPr>
              <w:t>Liabilities</w:t>
            </w:r>
          </w:p>
        </w:tc>
        <w:tc>
          <w:tcPr>
            <w:tcW w:w="892"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tcPr>
          <w:p w14:paraId="1A596B49" w14:textId="77777777" w:rsidR="00730DE4" w:rsidRPr="00730DE4" w:rsidRDefault="00730DE4" w:rsidP="00362B44">
            <w:pPr>
              <w:pStyle w:val="NoSpacing"/>
              <w:jc w:val="right"/>
              <w:rPr>
                <w:rStyle w:val="Strong"/>
              </w:rPr>
            </w:pPr>
          </w:p>
        </w:tc>
        <w:tc>
          <w:tcPr>
            <w:tcW w:w="892"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tcPr>
          <w:p w14:paraId="73759606" w14:textId="77777777" w:rsidR="00730DE4" w:rsidRPr="00730DE4" w:rsidRDefault="00730DE4" w:rsidP="00362B44">
            <w:pPr>
              <w:pStyle w:val="NoSpacing"/>
              <w:jc w:val="right"/>
              <w:rPr>
                <w:color w:val="080C0F" w:themeColor="text1"/>
              </w:rPr>
            </w:pPr>
          </w:p>
        </w:tc>
        <w:tc>
          <w:tcPr>
            <w:tcW w:w="892"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vAlign w:val="bottom"/>
          </w:tcPr>
          <w:p w14:paraId="01096177" w14:textId="77777777" w:rsidR="00730DE4" w:rsidRPr="00730DE4" w:rsidRDefault="00730DE4" w:rsidP="00362B44">
            <w:pPr>
              <w:pStyle w:val="NoSpacing"/>
              <w:jc w:val="right"/>
              <w:rPr>
                <w:color w:val="080C0F" w:themeColor="text1"/>
              </w:rPr>
            </w:pPr>
          </w:p>
        </w:tc>
      </w:tr>
      <w:tr w:rsidR="00730DE4" w:rsidRPr="00730DE4" w14:paraId="5EAA1ED0" w14:textId="77777777" w:rsidTr="00CA309A">
        <w:trPr>
          <w:trHeight w:val="198"/>
        </w:trPr>
        <w:tc>
          <w:tcPr>
            <w:tcW w:w="2325"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17B49616" w14:textId="77777777" w:rsidR="00730DE4" w:rsidRPr="00730DE4" w:rsidRDefault="00730DE4" w:rsidP="00362B44">
            <w:pPr>
              <w:pStyle w:val="NoSpacing"/>
              <w:rPr>
                <w:color w:val="080C0F" w:themeColor="text1"/>
              </w:rPr>
            </w:pPr>
            <w:r w:rsidRPr="00730DE4">
              <w:rPr>
                <w:rStyle w:val="Strong"/>
              </w:rPr>
              <w:t>Current liabilities</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05EE9513" w14:textId="77777777" w:rsidR="00730DE4" w:rsidRPr="00730DE4" w:rsidRDefault="00730DE4" w:rsidP="00362B44">
            <w:pPr>
              <w:pStyle w:val="NoSpacing"/>
              <w:jc w:val="right"/>
              <w:rPr>
                <w:rStyle w:val="Strong"/>
              </w:rPr>
            </w:pP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2CD9AD88" w14:textId="77777777" w:rsidR="00730DE4" w:rsidRPr="00730DE4" w:rsidRDefault="00730DE4" w:rsidP="00362B44">
            <w:pPr>
              <w:pStyle w:val="NoSpacing"/>
              <w:jc w:val="right"/>
              <w:rPr>
                <w:color w:val="080C0F" w:themeColor="text1"/>
              </w:rPr>
            </w:pP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vAlign w:val="bottom"/>
            <w:hideMark/>
          </w:tcPr>
          <w:p w14:paraId="35E2F3A7" w14:textId="77777777" w:rsidR="00730DE4" w:rsidRPr="00730DE4" w:rsidRDefault="00730DE4" w:rsidP="00362B44">
            <w:pPr>
              <w:pStyle w:val="NoSpacing"/>
              <w:jc w:val="right"/>
              <w:rPr>
                <w:color w:val="080C0F" w:themeColor="text1"/>
              </w:rPr>
            </w:pPr>
          </w:p>
        </w:tc>
      </w:tr>
      <w:tr w:rsidR="00730DE4" w:rsidRPr="00730DE4" w14:paraId="03EBAF37" w14:textId="77777777" w:rsidTr="00CA309A">
        <w:trPr>
          <w:trHeight w:val="198"/>
        </w:trPr>
        <w:tc>
          <w:tcPr>
            <w:tcW w:w="2325"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3F6D06E7" w14:textId="77777777" w:rsidR="00730DE4" w:rsidRPr="00730DE4" w:rsidRDefault="00730DE4" w:rsidP="00362B44">
            <w:pPr>
              <w:pStyle w:val="NoSpacing"/>
              <w:rPr>
                <w:color w:val="080C0F" w:themeColor="text1"/>
              </w:rPr>
            </w:pPr>
            <w:r w:rsidRPr="00730DE4">
              <w:rPr>
                <w:color w:val="080C0F" w:themeColor="text1"/>
              </w:rPr>
              <w:t>Payables</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4AE90A0" w14:textId="77777777" w:rsidR="00730DE4" w:rsidRPr="00730DE4" w:rsidRDefault="00730DE4" w:rsidP="00362B44">
            <w:pPr>
              <w:pStyle w:val="NoSpacing"/>
              <w:jc w:val="right"/>
              <w:rPr>
                <w:color w:val="080C0F" w:themeColor="text1"/>
              </w:rPr>
            </w:pPr>
            <w:r w:rsidRPr="00730DE4">
              <w:rPr>
                <w:color w:val="080C0F" w:themeColor="text1"/>
              </w:rPr>
              <w:t xml:space="preserve">735,586 </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7EF399E" w14:textId="77777777" w:rsidR="00730DE4" w:rsidRPr="00730DE4" w:rsidRDefault="00730DE4" w:rsidP="00362B44">
            <w:pPr>
              <w:pStyle w:val="NoSpacing"/>
              <w:jc w:val="right"/>
              <w:rPr>
                <w:color w:val="080C0F" w:themeColor="text1"/>
              </w:rPr>
            </w:pPr>
            <w:r w:rsidRPr="00730DE4">
              <w:rPr>
                <w:color w:val="080C0F" w:themeColor="text1"/>
              </w:rPr>
              <w:t xml:space="preserve">899,177 </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F824707" w14:textId="77777777" w:rsidR="00730DE4" w:rsidRPr="00730DE4" w:rsidRDefault="00730DE4" w:rsidP="00362B44">
            <w:pPr>
              <w:pStyle w:val="NoSpacing"/>
              <w:jc w:val="right"/>
              <w:rPr>
                <w:color w:val="080C0F" w:themeColor="text1"/>
              </w:rPr>
            </w:pPr>
            <w:r w:rsidRPr="00730DE4">
              <w:rPr>
                <w:color w:val="080C0F" w:themeColor="text1"/>
              </w:rPr>
              <w:t xml:space="preserve">163,591 </w:t>
            </w:r>
          </w:p>
        </w:tc>
      </w:tr>
      <w:tr w:rsidR="00730DE4" w:rsidRPr="00730DE4" w14:paraId="53D99098" w14:textId="77777777" w:rsidTr="00CA309A">
        <w:trPr>
          <w:trHeight w:val="198"/>
        </w:trPr>
        <w:tc>
          <w:tcPr>
            <w:tcW w:w="2325"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03AD7207" w14:textId="77777777" w:rsidR="00730DE4" w:rsidRPr="00730DE4" w:rsidRDefault="00730DE4" w:rsidP="00362B44">
            <w:pPr>
              <w:pStyle w:val="NoSpacing"/>
              <w:rPr>
                <w:color w:val="080C0F" w:themeColor="text1"/>
              </w:rPr>
            </w:pPr>
            <w:r w:rsidRPr="00730DE4">
              <w:rPr>
                <w:color w:val="080C0F" w:themeColor="text1"/>
              </w:rPr>
              <w:t>Borrowings</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FFC2DFE" w14:textId="77777777" w:rsidR="00730DE4" w:rsidRPr="00730DE4" w:rsidRDefault="00730DE4" w:rsidP="00362B44">
            <w:pPr>
              <w:pStyle w:val="NoSpacing"/>
              <w:jc w:val="right"/>
              <w:rPr>
                <w:color w:val="080C0F" w:themeColor="text1"/>
              </w:rPr>
            </w:pPr>
            <w:r w:rsidRPr="00730DE4">
              <w:rPr>
                <w:color w:val="080C0F" w:themeColor="text1"/>
              </w:rPr>
              <w:t xml:space="preserve">60,228 </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87D2CA1" w14:textId="77777777" w:rsidR="00730DE4" w:rsidRPr="00730DE4" w:rsidRDefault="00730DE4" w:rsidP="00362B44">
            <w:pPr>
              <w:pStyle w:val="NoSpacing"/>
              <w:jc w:val="right"/>
              <w:rPr>
                <w:color w:val="080C0F" w:themeColor="text1"/>
              </w:rPr>
            </w:pPr>
            <w:r w:rsidRPr="00730DE4">
              <w:rPr>
                <w:color w:val="080C0F" w:themeColor="text1"/>
              </w:rPr>
              <w:t xml:space="preserve">48,548 </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5262800" w14:textId="77777777" w:rsidR="00730DE4" w:rsidRPr="00730DE4" w:rsidRDefault="00730DE4" w:rsidP="00362B44">
            <w:pPr>
              <w:pStyle w:val="NoSpacing"/>
              <w:jc w:val="right"/>
              <w:rPr>
                <w:color w:val="080C0F" w:themeColor="text1"/>
              </w:rPr>
            </w:pPr>
            <w:r w:rsidRPr="00730DE4">
              <w:rPr>
                <w:color w:val="080C0F" w:themeColor="text1"/>
              </w:rPr>
              <w:t>(11,680)</w:t>
            </w:r>
          </w:p>
        </w:tc>
      </w:tr>
      <w:tr w:rsidR="00730DE4" w:rsidRPr="00730DE4" w14:paraId="387B5A09" w14:textId="77777777" w:rsidTr="00CA309A">
        <w:trPr>
          <w:trHeight w:val="198"/>
        </w:trPr>
        <w:tc>
          <w:tcPr>
            <w:tcW w:w="2325"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5C8CF627" w14:textId="77777777" w:rsidR="00730DE4" w:rsidRPr="00730DE4" w:rsidRDefault="00730DE4" w:rsidP="00362B44">
            <w:pPr>
              <w:pStyle w:val="NoSpacing"/>
              <w:rPr>
                <w:color w:val="080C0F" w:themeColor="text1"/>
              </w:rPr>
            </w:pPr>
            <w:r w:rsidRPr="00730DE4">
              <w:rPr>
                <w:color w:val="080C0F" w:themeColor="text1"/>
              </w:rPr>
              <w:t>Provisions</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6CC1554" w14:textId="77777777" w:rsidR="00730DE4" w:rsidRPr="00730DE4" w:rsidRDefault="00730DE4" w:rsidP="00362B44">
            <w:pPr>
              <w:pStyle w:val="NoSpacing"/>
              <w:jc w:val="right"/>
              <w:rPr>
                <w:color w:val="080C0F" w:themeColor="text1"/>
              </w:rPr>
            </w:pPr>
            <w:r w:rsidRPr="00730DE4">
              <w:rPr>
                <w:color w:val="080C0F" w:themeColor="text1"/>
              </w:rPr>
              <w:t xml:space="preserve">189,644 </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E5B0536" w14:textId="77777777" w:rsidR="00730DE4" w:rsidRPr="00730DE4" w:rsidRDefault="00730DE4" w:rsidP="00362B44">
            <w:pPr>
              <w:pStyle w:val="NoSpacing"/>
              <w:jc w:val="right"/>
              <w:rPr>
                <w:color w:val="080C0F" w:themeColor="text1"/>
              </w:rPr>
            </w:pPr>
            <w:r w:rsidRPr="00730DE4">
              <w:rPr>
                <w:color w:val="080C0F" w:themeColor="text1"/>
              </w:rPr>
              <w:t xml:space="preserve">241,779 </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4E3F6AF" w14:textId="77777777" w:rsidR="00730DE4" w:rsidRPr="00730DE4" w:rsidRDefault="00730DE4" w:rsidP="00362B44">
            <w:pPr>
              <w:pStyle w:val="NoSpacing"/>
              <w:jc w:val="right"/>
              <w:rPr>
                <w:color w:val="080C0F" w:themeColor="text1"/>
              </w:rPr>
            </w:pPr>
            <w:r w:rsidRPr="00730DE4">
              <w:rPr>
                <w:color w:val="080C0F" w:themeColor="text1"/>
              </w:rPr>
              <w:t xml:space="preserve">52,135 </w:t>
            </w:r>
          </w:p>
        </w:tc>
      </w:tr>
      <w:tr w:rsidR="00730DE4" w:rsidRPr="00730DE4" w14:paraId="009EAB39" w14:textId="77777777" w:rsidTr="00CA309A">
        <w:trPr>
          <w:trHeight w:val="198"/>
        </w:trPr>
        <w:tc>
          <w:tcPr>
            <w:tcW w:w="2325"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6F39E987" w14:textId="77777777" w:rsidR="00730DE4" w:rsidRPr="00730DE4" w:rsidRDefault="00730DE4" w:rsidP="00362B44">
            <w:pPr>
              <w:pStyle w:val="NoSpacing"/>
              <w:rPr>
                <w:color w:val="080C0F" w:themeColor="text1"/>
              </w:rPr>
            </w:pPr>
            <w:r w:rsidRPr="00730DE4">
              <w:rPr>
                <w:color w:val="080C0F" w:themeColor="text1"/>
              </w:rPr>
              <w:t>Accrued employee benefits</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BC0CD37" w14:textId="77777777" w:rsidR="00730DE4" w:rsidRPr="00730DE4" w:rsidRDefault="00730DE4" w:rsidP="00362B44">
            <w:pPr>
              <w:pStyle w:val="NoSpacing"/>
              <w:jc w:val="right"/>
              <w:rPr>
                <w:color w:val="080C0F" w:themeColor="text1"/>
              </w:rPr>
            </w:pPr>
            <w:r w:rsidRPr="00730DE4">
              <w:rPr>
                <w:color w:val="080C0F" w:themeColor="text1"/>
              </w:rPr>
              <w:t xml:space="preserve">37,546 </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E8D837B" w14:textId="77777777" w:rsidR="00730DE4" w:rsidRPr="00730DE4" w:rsidRDefault="00730DE4" w:rsidP="00362B44">
            <w:pPr>
              <w:pStyle w:val="NoSpacing"/>
              <w:jc w:val="right"/>
              <w:rPr>
                <w:color w:val="080C0F" w:themeColor="text1"/>
              </w:rPr>
            </w:pPr>
            <w:r w:rsidRPr="00730DE4">
              <w:rPr>
                <w:color w:val="080C0F" w:themeColor="text1"/>
              </w:rPr>
              <w:t xml:space="preserve">48,115 </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5F9F0FC" w14:textId="77777777" w:rsidR="00730DE4" w:rsidRPr="00730DE4" w:rsidRDefault="00730DE4" w:rsidP="00362B44">
            <w:pPr>
              <w:pStyle w:val="NoSpacing"/>
              <w:jc w:val="right"/>
              <w:rPr>
                <w:color w:val="080C0F" w:themeColor="text1"/>
              </w:rPr>
            </w:pPr>
            <w:r w:rsidRPr="00730DE4">
              <w:rPr>
                <w:color w:val="080C0F" w:themeColor="text1"/>
              </w:rPr>
              <w:t xml:space="preserve">10,569 </w:t>
            </w:r>
          </w:p>
        </w:tc>
      </w:tr>
      <w:tr w:rsidR="00730DE4" w:rsidRPr="00730DE4" w14:paraId="3D6CE998" w14:textId="77777777" w:rsidTr="00CA309A">
        <w:trPr>
          <w:trHeight w:val="198"/>
        </w:trPr>
        <w:tc>
          <w:tcPr>
            <w:tcW w:w="2325"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621B5B9C" w14:textId="77777777" w:rsidR="00730DE4" w:rsidRPr="00730DE4" w:rsidRDefault="00730DE4" w:rsidP="00362B44">
            <w:pPr>
              <w:pStyle w:val="NoSpacing"/>
              <w:rPr>
                <w:color w:val="080C0F" w:themeColor="text1"/>
              </w:rPr>
            </w:pPr>
            <w:r w:rsidRPr="00730DE4">
              <w:rPr>
                <w:color w:val="080C0F" w:themeColor="text1"/>
              </w:rPr>
              <w:t>Current tax liabilities</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E964876" w14:textId="77777777" w:rsidR="00730DE4" w:rsidRPr="00730DE4" w:rsidRDefault="00730DE4" w:rsidP="00362B44">
            <w:pPr>
              <w:pStyle w:val="NoSpacing"/>
              <w:jc w:val="right"/>
              <w:rPr>
                <w:color w:val="080C0F" w:themeColor="text1"/>
              </w:rPr>
            </w:pPr>
            <w:r w:rsidRPr="00730DE4">
              <w:rPr>
                <w:color w:val="080C0F" w:themeColor="text1"/>
              </w:rPr>
              <w:t xml:space="preserve">- </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666C589" w14:textId="77777777" w:rsidR="00730DE4" w:rsidRPr="00730DE4" w:rsidRDefault="00730DE4" w:rsidP="00362B44">
            <w:pPr>
              <w:pStyle w:val="NoSpacing"/>
              <w:jc w:val="right"/>
              <w:rPr>
                <w:color w:val="080C0F" w:themeColor="text1"/>
              </w:rPr>
            </w:pPr>
            <w:r w:rsidRPr="00730DE4">
              <w:rPr>
                <w:color w:val="080C0F" w:themeColor="text1"/>
              </w:rPr>
              <w:t xml:space="preserve">41 </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FB4FD79" w14:textId="77777777" w:rsidR="00730DE4" w:rsidRPr="00730DE4" w:rsidRDefault="00730DE4" w:rsidP="00362B44">
            <w:pPr>
              <w:pStyle w:val="NoSpacing"/>
              <w:jc w:val="right"/>
              <w:rPr>
                <w:color w:val="080C0F" w:themeColor="text1"/>
              </w:rPr>
            </w:pPr>
            <w:r w:rsidRPr="00730DE4">
              <w:rPr>
                <w:color w:val="080C0F" w:themeColor="text1"/>
              </w:rPr>
              <w:t xml:space="preserve">41 </w:t>
            </w:r>
          </w:p>
        </w:tc>
      </w:tr>
      <w:tr w:rsidR="00730DE4" w:rsidRPr="00730DE4" w14:paraId="1B6A4FE1" w14:textId="77777777" w:rsidTr="00CA309A">
        <w:trPr>
          <w:trHeight w:val="198"/>
        </w:trPr>
        <w:tc>
          <w:tcPr>
            <w:tcW w:w="2325"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164A2F82" w14:textId="77777777" w:rsidR="00730DE4" w:rsidRPr="00730DE4" w:rsidRDefault="00730DE4" w:rsidP="00362B44">
            <w:pPr>
              <w:pStyle w:val="NoSpacing"/>
              <w:rPr>
                <w:color w:val="080C0F" w:themeColor="text1"/>
              </w:rPr>
            </w:pPr>
            <w:r w:rsidRPr="00730DE4">
              <w:rPr>
                <w:color w:val="080C0F" w:themeColor="text1"/>
              </w:rPr>
              <w:t>Unearned revenue – service concession arrangements</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70D460D" w14:textId="77777777" w:rsidR="00730DE4" w:rsidRPr="00730DE4" w:rsidRDefault="00730DE4" w:rsidP="00362B44">
            <w:pPr>
              <w:pStyle w:val="NoSpacing"/>
              <w:jc w:val="right"/>
              <w:rPr>
                <w:color w:val="080C0F" w:themeColor="text1"/>
              </w:rPr>
            </w:pPr>
            <w:r w:rsidRPr="00730DE4">
              <w:rPr>
                <w:color w:val="080C0F" w:themeColor="text1"/>
              </w:rPr>
              <w:t xml:space="preserve">232,180 </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3452091" w14:textId="77777777" w:rsidR="00730DE4" w:rsidRPr="00730DE4" w:rsidRDefault="00730DE4" w:rsidP="00362B44">
            <w:pPr>
              <w:pStyle w:val="NoSpacing"/>
              <w:jc w:val="right"/>
              <w:rPr>
                <w:color w:val="080C0F" w:themeColor="text1"/>
              </w:rPr>
            </w:pPr>
            <w:r w:rsidRPr="00730DE4">
              <w:rPr>
                <w:color w:val="080C0F" w:themeColor="text1"/>
              </w:rPr>
              <w:t xml:space="preserve">232,180 </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DFF04DC" w14:textId="77777777" w:rsidR="00730DE4" w:rsidRPr="00730DE4" w:rsidRDefault="00730DE4" w:rsidP="00362B44">
            <w:pPr>
              <w:pStyle w:val="NoSpacing"/>
              <w:jc w:val="right"/>
              <w:rPr>
                <w:color w:val="080C0F" w:themeColor="text1"/>
              </w:rPr>
            </w:pPr>
            <w:r w:rsidRPr="00730DE4">
              <w:rPr>
                <w:color w:val="080C0F" w:themeColor="text1"/>
              </w:rPr>
              <w:t xml:space="preserve">- </w:t>
            </w:r>
          </w:p>
        </w:tc>
      </w:tr>
      <w:tr w:rsidR="00730DE4" w:rsidRPr="00730DE4" w14:paraId="657106E6" w14:textId="77777777" w:rsidTr="00CA309A">
        <w:trPr>
          <w:trHeight w:val="198"/>
        </w:trPr>
        <w:tc>
          <w:tcPr>
            <w:tcW w:w="2325"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58872A0D" w14:textId="77777777" w:rsidR="00730DE4" w:rsidRPr="00730DE4" w:rsidRDefault="00730DE4" w:rsidP="00362B44">
            <w:pPr>
              <w:pStyle w:val="NoSpacing"/>
              <w:rPr>
                <w:color w:val="080C0F" w:themeColor="text1"/>
              </w:rPr>
            </w:pPr>
            <w:r w:rsidRPr="00730DE4">
              <w:rPr>
                <w:color w:val="080C0F" w:themeColor="text1"/>
              </w:rPr>
              <w:t>Lease liabilities</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4652138" w14:textId="77777777" w:rsidR="00730DE4" w:rsidRPr="00730DE4" w:rsidRDefault="00730DE4" w:rsidP="00362B44">
            <w:pPr>
              <w:pStyle w:val="NoSpacing"/>
              <w:jc w:val="right"/>
              <w:rPr>
                <w:color w:val="080C0F" w:themeColor="text1"/>
              </w:rPr>
            </w:pPr>
            <w:r w:rsidRPr="00730DE4">
              <w:rPr>
                <w:color w:val="080C0F" w:themeColor="text1"/>
              </w:rPr>
              <w:t xml:space="preserve">19,119 </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6B83BC8" w14:textId="77777777" w:rsidR="00730DE4" w:rsidRPr="00730DE4" w:rsidRDefault="00730DE4" w:rsidP="00362B44">
            <w:pPr>
              <w:pStyle w:val="NoSpacing"/>
              <w:jc w:val="right"/>
              <w:rPr>
                <w:color w:val="080C0F" w:themeColor="text1"/>
              </w:rPr>
            </w:pPr>
            <w:r w:rsidRPr="00730DE4">
              <w:rPr>
                <w:color w:val="080C0F" w:themeColor="text1"/>
              </w:rPr>
              <w:t xml:space="preserve">21,954 </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4DA4AB7" w14:textId="77777777" w:rsidR="00730DE4" w:rsidRPr="00730DE4" w:rsidRDefault="00730DE4" w:rsidP="00362B44">
            <w:pPr>
              <w:pStyle w:val="NoSpacing"/>
              <w:jc w:val="right"/>
              <w:rPr>
                <w:color w:val="080C0F" w:themeColor="text1"/>
              </w:rPr>
            </w:pPr>
            <w:r w:rsidRPr="00730DE4">
              <w:rPr>
                <w:color w:val="080C0F" w:themeColor="text1"/>
              </w:rPr>
              <w:t xml:space="preserve">2,835 </w:t>
            </w:r>
          </w:p>
        </w:tc>
      </w:tr>
      <w:tr w:rsidR="00730DE4" w:rsidRPr="00730DE4" w14:paraId="784DF0A5" w14:textId="77777777" w:rsidTr="00CA309A">
        <w:trPr>
          <w:trHeight w:val="198"/>
        </w:trPr>
        <w:tc>
          <w:tcPr>
            <w:tcW w:w="2325"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3C229D24" w14:textId="77777777" w:rsidR="00730DE4" w:rsidRPr="00730DE4" w:rsidRDefault="00730DE4" w:rsidP="00362B44">
            <w:pPr>
              <w:pStyle w:val="NoSpacing"/>
              <w:rPr>
                <w:color w:val="080C0F" w:themeColor="text1"/>
              </w:rPr>
            </w:pPr>
            <w:r w:rsidRPr="00730DE4">
              <w:rPr>
                <w:color w:val="080C0F" w:themeColor="text1"/>
              </w:rPr>
              <w:t>Other</w:t>
            </w:r>
          </w:p>
        </w:tc>
        <w:tc>
          <w:tcPr>
            <w:tcW w:w="892"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16F34406" w14:textId="77777777" w:rsidR="00730DE4" w:rsidRPr="00730DE4" w:rsidRDefault="00730DE4" w:rsidP="00362B44">
            <w:pPr>
              <w:pStyle w:val="NoSpacing"/>
              <w:jc w:val="right"/>
              <w:rPr>
                <w:color w:val="080C0F" w:themeColor="text1"/>
              </w:rPr>
            </w:pPr>
            <w:r w:rsidRPr="00730DE4">
              <w:rPr>
                <w:color w:val="080C0F" w:themeColor="text1"/>
              </w:rPr>
              <w:t xml:space="preserve">239,326 </w:t>
            </w:r>
          </w:p>
        </w:tc>
        <w:tc>
          <w:tcPr>
            <w:tcW w:w="892"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0D855AC5" w14:textId="77777777" w:rsidR="00730DE4" w:rsidRPr="00730DE4" w:rsidRDefault="00730DE4" w:rsidP="00362B44">
            <w:pPr>
              <w:pStyle w:val="NoSpacing"/>
              <w:jc w:val="right"/>
              <w:rPr>
                <w:color w:val="080C0F" w:themeColor="text1"/>
              </w:rPr>
            </w:pPr>
            <w:r w:rsidRPr="00730DE4">
              <w:rPr>
                <w:color w:val="080C0F" w:themeColor="text1"/>
              </w:rPr>
              <w:t xml:space="preserve">298,435 </w:t>
            </w:r>
          </w:p>
        </w:tc>
        <w:tc>
          <w:tcPr>
            <w:tcW w:w="892"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4FF80112" w14:textId="77777777" w:rsidR="00730DE4" w:rsidRPr="00730DE4" w:rsidRDefault="00730DE4" w:rsidP="00362B44">
            <w:pPr>
              <w:pStyle w:val="NoSpacing"/>
              <w:jc w:val="right"/>
              <w:rPr>
                <w:color w:val="080C0F" w:themeColor="text1"/>
              </w:rPr>
            </w:pPr>
            <w:r w:rsidRPr="00730DE4">
              <w:rPr>
                <w:color w:val="080C0F" w:themeColor="text1"/>
              </w:rPr>
              <w:t xml:space="preserve">59,109 </w:t>
            </w:r>
          </w:p>
        </w:tc>
      </w:tr>
      <w:tr w:rsidR="00730DE4" w:rsidRPr="00730DE4" w14:paraId="27D9E9EF" w14:textId="77777777" w:rsidTr="00CA309A">
        <w:trPr>
          <w:trHeight w:val="454"/>
        </w:trPr>
        <w:tc>
          <w:tcPr>
            <w:tcW w:w="2325" w:type="pct"/>
            <w:tcBorders>
              <w:top w:val="single" w:sz="4" w:space="0" w:color="auto"/>
              <w:left w:val="nil"/>
              <w:right w:val="dotted" w:sz="4" w:space="0" w:color="BFBFBF" w:themeColor="background1" w:themeShade="BF"/>
            </w:tcBorders>
            <w:shd w:val="clear" w:color="auto" w:fill="auto"/>
            <w:noWrap/>
            <w:hideMark/>
          </w:tcPr>
          <w:p w14:paraId="6115D35D" w14:textId="77777777" w:rsidR="00730DE4" w:rsidRPr="00730DE4" w:rsidRDefault="00730DE4" w:rsidP="00362B44">
            <w:pPr>
              <w:pStyle w:val="NoSpacing"/>
              <w:rPr>
                <w:color w:val="080C0F" w:themeColor="text1"/>
              </w:rPr>
            </w:pPr>
            <w:r w:rsidRPr="00730DE4">
              <w:rPr>
                <w:rStyle w:val="Strong"/>
              </w:rPr>
              <w:t>Total current liabilities</w:t>
            </w:r>
          </w:p>
        </w:tc>
        <w:tc>
          <w:tcPr>
            <w:tcW w:w="892"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1D5A8681" w14:textId="77777777" w:rsidR="00730DE4" w:rsidRPr="00730DE4" w:rsidRDefault="00730DE4" w:rsidP="00362B44">
            <w:pPr>
              <w:pStyle w:val="NoSpacing"/>
              <w:jc w:val="right"/>
              <w:rPr>
                <w:color w:val="080C0F" w:themeColor="text1"/>
              </w:rPr>
            </w:pPr>
            <w:r w:rsidRPr="00730DE4">
              <w:rPr>
                <w:rStyle w:val="Strong"/>
              </w:rPr>
              <w:t xml:space="preserve">1,513,629 </w:t>
            </w:r>
          </w:p>
        </w:tc>
        <w:tc>
          <w:tcPr>
            <w:tcW w:w="892"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34E6D609" w14:textId="77777777" w:rsidR="00730DE4" w:rsidRPr="00730DE4" w:rsidRDefault="00730DE4" w:rsidP="00362B44">
            <w:pPr>
              <w:pStyle w:val="NoSpacing"/>
              <w:jc w:val="right"/>
              <w:rPr>
                <w:color w:val="080C0F" w:themeColor="text1"/>
              </w:rPr>
            </w:pPr>
            <w:r w:rsidRPr="00730DE4">
              <w:rPr>
                <w:rStyle w:val="Strong"/>
              </w:rPr>
              <w:t xml:space="preserve">1,790,229 </w:t>
            </w:r>
          </w:p>
        </w:tc>
        <w:tc>
          <w:tcPr>
            <w:tcW w:w="892" w:type="pct"/>
            <w:tcBorders>
              <w:top w:val="single" w:sz="4" w:space="0" w:color="auto"/>
              <w:left w:val="dotted" w:sz="4" w:space="0" w:color="BFBFBF" w:themeColor="background1" w:themeShade="BF"/>
              <w:right w:val="nil"/>
            </w:tcBorders>
            <w:shd w:val="clear" w:color="auto" w:fill="auto"/>
            <w:noWrap/>
            <w:hideMark/>
          </w:tcPr>
          <w:p w14:paraId="16ADE293" w14:textId="77777777" w:rsidR="00730DE4" w:rsidRPr="00730DE4" w:rsidRDefault="00730DE4" w:rsidP="00362B44">
            <w:pPr>
              <w:pStyle w:val="NoSpacing"/>
              <w:jc w:val="right"/>
              <w:rPr>
                <w:rStyle w:val="Strong"/>
              </w:rPr>
            </w:pPr>
            <w:r w:rsidRPr="00730DE4">
              <w:rPr>
                <w:rStyle w:val="Strong"/>
              </w:rPr>
              <w:t xml:space="preserve">276,600 </w:t>
            </w:r>
          </w:p>
        </w:tc>
      </w:tr>
      <w:tr w:rsidR="00730DE4" w:rsidRPr="00730DE4" w14:paraId="611589F2" w14:textId="77777777" w:rsidTr="00CA309A">
        <w:tc>
          <w:tcPr>
            <w:tcW w:w="2325" w:type="pct"/>
            <w:tcBorders>
              <w:left w:val="nil"/>
              <w:bottom w:val="dotted" w:sz="4" w:space="0" w:color="BFBFBF" w:themeColor="background1" w:themeShade="BF"/>
              <w:right w:val="dotted" w:sz="4" w:space="0" w:color="BFBFBF" w:themeColor="background1" w:themeShade="BF"/>
            </w:tcBorders>
            <w:shd w:val="clear" w:color="auto" w:fill="auto"/>
            <w:noWrap/>
            <w:vAlign w:val="bottom"/>
          </w:tcPr>
          <w:p w14:paraId="6DF04911" w14:textId="77777777" w:rsidR="00730DE4" w:rsidRPr="00730DE4" w:rsidRDefault="00730DE4" w:rsidP="00237805">
            <w:pPr>
              <w:pStyle w:val="NoSpacing"/>
              <w:rPr>
                <w:rStyle w:val="Strong"/>
              </w:rPr>
            </w:pPr>
            <w:r w:rsidRPr="00730DE4">
              <w:rPr>
                <w:rStyle w:val="Strong"/>
              </w:rPr>
              <w:t>Non-current liabilities</w:t>
            </w:r>
          </w:p>
        </w:tc>
        <w:tc>
          <w:tcPr>
            <w:tcW w:w="892"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363009D0" w14:textId="77777777" w:rsidR="00730DE4" w:rsidRPr="00730DE4" w:rsidRDefault="00730DE4" w:rsidP="00237805">
            <w:pPr>
              <w:pStyle w:val="NoSpacing"/>
              <w:rPr>
                <w:rStyle w:val="Strong"/>
              </w:rPr>
            </w:pPr>
          </w:p>
        </w:tc>
        <w:tc>
          <w:tcPr>
            <w:tcW w:w="892"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6BF5351F" w14:textId="77777777" w:rsidR="00730DE4" w:rsidRPr="00730DE4" w:rsidRDefault="00730DE4" w:rsidP="00237805">
            <w:pPr>
              <w:pStyle w:val="NoSpacing"/>
              <w:rPr>
                <w:rStyle w:val="Strong"/>
              </w:rPr>
            </w:pPr>
          </w:p>
        </w:tc>
        <w:tc>
          <w:tcPr>
            <w:tcW w:w="892" w:type="pct"/>
            <w:tcBorders>
              <w:left w:val="dotted" w:sz="4" w:space="0" w:color="BFBFBF" w:themeColor="background1" w:themeShade="BF"/>
              <w:bottom w:val="dotted" w:sz="4" w:space="0" w:color="BFBFBF" w:themeColor="background1" w:themeShade="BF"/>
              <w:right w:val="nil"/>
            </w:tcBorders>
            <w:shd w:val="clear" w:color="auto" w:fill="auto"/>
            <w:noWrap/>
            <w:vAlign w:val="bottom"/>
          </w:tcPr>
          <w:p w14:paraId="3903C7D2" w14:textId="77777777" w:rsidR="00730DE4" w:rsidRPr="00730DE4" w:rsidRDefault="00730DE4" w:rsidP="00237805">
            <w:pPr>
              <w:pStyle w:val="NoSpacing"/>
              <w:rPr>
                <w:rStyle w:val="Strong"/>
              </w:rPr>
            </w:pPr>
          </w:p>
        </w:tc>
      </w:tr>
      <w:tr w:rsidR="00730DE4" w:rsidRPr="00730DE4" w14:paraId="64EDC081" w14:textId="77777777" w:rsidTr="00CA309A">
        <w:trPr>
          <w:trHeight w:val="198"/>
        </w:trPr>
        <w:tc>
          <w:tcPr>
            <w:tcW w:w="2325"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tcPr>
          <w:p w14:paraId="1259EDC5" w14:textId="77777777" w:rsidR="00730DE4" w:rsidRPr="00730DE4" w:rsidRDefault="00730DE4" w:rsidP="00362B44">
            <w:pPr>
              <w:pStyle w:val="NoSpacing"/>
              <w:rPr>
                <w:rStyle w:val="Strong"/>
              </w:rPr>
            </w:pPr>
            <w:r w:rsidRPr="00730DE4">
              <w:rPr>
                <w:color w:val="080C0F" w:themeColor="text1"/>
              </w:rPr>
              <w:t>Borrowings</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1F0364C7" w14:textId="77777777" w:rsidR="00730DE4" w:rsidRPr="00730DE4" w:rsidRDefault="00730DE4" w:rsidP="00362B44">
            <w:pPr>
              <w:pStyle w:val="NoSpacing"/>
              <w:jc w:val="right"/>
              <w:rPr>
                <w:rStyle w:val="Strong"/>
              </w:rPr>
            </w:pPr>
            <w:r w:rsidRPr="00730DE4">
              <w:rPr>
                <w:color w:val="080C0F" w:themeColor="text1"/>
              </w:rPr>
              <w:t xml:space="preserve">1,122,371 </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603DE156" w14:textId="77777777" w:rsidR="00730DE4" w:rsidRPr="00730DE4" w:rsidRDefault="00730DE4" w:rsidP="00362B44">
            <w:pPr>
              <w:pStyle w:val="NoSpacing"/>
              <w:jc w:val="right"/>
              <w:rPr>
                <w:rStyle w:val="Strong"/>
              </w:rPr>
            </w:pPr>
            <w:r w:rsidRPr="00730DE4">
              <w:rPr>
                <w:color w:val="080C0F" w:themeColor="text1"/>
              </w:rPr>
              <w:t xml:space="preserve">1,082,889 </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tcPr>
          <w:p w14:paraId="40FA7F2D" w14:textId="77777777" w:rsidR="00730DE4" w:rsidRPr="00730DE4" w:rsidRDefault="00730DE4" w:rsidP="00362B44">
            <w:pPr>
              <w:pStyle w:val="NoSpacing"/>
              <w:jc w:val="right"/>
              <w:rPr>
                <w:rStyle w:val="Strong"/>
              </w:rPr>
            </w:pPr>
            <w:r w:rsidRPr="00730DE4">
              <w:rPr>
                <w:color w:val="080C0F" w:themeColor="text1"/>
              </w:rPr>
              <w:t>(39,482)</w:t>
            </w:r>
          </w:p>
        </w:tc>
      </w:tr>
      <w:tr w:rsidR="00730DE4" w:rsidRPr="00730DE4" w14:paraId="61E60EF3" w14:textId="77777777" w:rsidTr="00CA309A">
        <w:trPr>
          <w:trHeight w:val="198"/>
        </w:trPr>
        <w:tc>
          <w:tcPr>
            <w:tcW w:w="2325"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tcPr>
          <w:p w14:paraId="0FFF08EE" w14:textId="77777777" w:rsidR="00730DE4" w:rsidRPr="00730DE4" w:rsidRDefault="00730DE4" w:rsidP="00362B44">
            <w:pPr>
              <w:pStyle w:val="NoSpacing"/>
              <w:rPr>
                <w:rStyle w:val="Strong"/>
              </w:rPr>
            </w:pPr>
            <w:r w:rsidRPr="00730DE4">
              <w:rPr>
                <w:color w:val="080C0F" w:themeColor="text1"/>
              </w:rPr>
              <w:t>Provisions</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460653CC" w14:textId="77777777" w:rsidR="00730DE4" w:rsidRPr="00730DE4" w:rsidRDefault="00730DE4" w:rsidP="00362B44">
            <w:pPr>
              <w:pStyle w:val="NoSpacing"/>
              <w:jc w:val="right"/>
              <w:rPr>
                <w:rStyle w:val="Strong"/>
              </w:rPr>
            </w:pPr>
            <w:r w:rsidRPr="00730DE4">
              <w:rPr>
                <w:color w:val="080C0F" w:themeColor="text1"/>
              </w:rPr>
              <w:t xml:space="preserve">123,236 </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7BC9A1EE" w14:textId="77777777" w:rsidR="00730DE4" w:rsidRPr="00730DE4" w:rsidRDefault="00730DE4" w:rsidP="00362B44">
            <w:pPr>
              <w:pStyle w:val="NoSpacing"/>
              <w:jc w:val="right"/>
              <w:rPr>
                <w:rStyle w:val="Strong"/>
              </w:rPr>
            </w:pPr>
            <w:r w:rsidRPr="00730DE4">
              <w:rPr>
                <w:color w:val="080C0F" w:themeColor="text1"/>
              </w:rPr>
              <w:t xml:space="preserve">202,654 </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tcPr>
          <w:p w14:paraId="01562C17" w14:textId="77777777" w:rsidR="00730DE4" w:rsidRPr="00730DE4" w:rsidRDefault="00730DE4" w:rsidP="00362B44">
            <w:pPr>
              <w:pStyle w:val="NoSpacing"/>
              <w:jc w:val="right"/>
              <w:rPr>
                <w:rStyle w:val="Strong"/>
              </w:rPr>
            </w:pPr>
            <w:r w:rsidRPr="00730DE4">
              <w:rPr>
                <w:color w:val="080C0F" w:themeColor="text1"/>
              </w:rPr>
              <w:t xml:space="preserve">79,418 </w:t>
            </w:r>
          </w:p>
        </w:tc>
      </w:tr>
      <w:tr w:rsidR="00730DE4" w:rsidRPr="00730DE4" w14:paraId="47FCA5AB" w14:textId="77777777" w:rsidTr="00CA309A">
        <w:trPr>
          <w:trHeight w:val="198"/>
        </w:trPr>
        <w:tc>
          <w:tcPr>
            <w:tcW w:w="2325"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tcPr>
          <w:p w14:paraId="51D85AA4" w14:textId="77777777" w:rsidR="00730DE4" w:rsidRPr="00730DE4" w:rsidRDefault="00730DE4" w:rsidP="00362B44">
            <w:pPr>
              <w:pStyle w:val="NoSpacing"/>
              <w:rPr>
                <w:rStyle w:val="Strong"/>
              </w:rPr>
            </w:pPr>
            <w:r w:rsidRPr="00730DE4">
              <w:rPr>
                <w:color w:val="080C0F" w:themeColor="text1"/>
              </w:rPr>
              <w:t xml:space="preserve">Unearned revenue – service concession arrangements </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741A2D20" w14:textId="77777777" w:rsidR="00730DE4" w:rsidRPr="00730DE4" w:rsidRDefault="00730DE4" w:rsidP="00362B44">
            <w:pPr>
              <w:pStyle w:val="NoSpacing"/>
              <w:jc w:val="right"/>
              <w:rPr>
                <w:rStyle w:val="Strong"/>
              </w:rPr>
            </w:pPr>
            <w:r w:rsidRPr="00730DE4">
              <w:rPr>
                <w:color w:val="080C0F" w:themeColor="text1"/>
              </w:rPr>
              <w:t xml:space="preserve">6,690,954 </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2B4225E1" w14:textId="77777777" w:rsidR="00730DE4" w:rsidRPr="00730DE4" w:rsidRDefault="00730DE4" w:rsidP="00362B44">
            <w:pPr>
              <w:pStyle w:val="NoSpacing"/>
              <w:jc w:val="right"/>
              <w:rPr>
                <w:rStyle w:val="Strong"/>
              </w:rPr>
            </w:pPr>
            <w:r w:rsidRPr="00730DE4">
              <w:rPr>
                <w:color w:val="080C0F" w:themeColor="text1"/>
              </w:rPr>
              <w:t xml:space="preserve">6,690,955 </w:t>
            </w:r>
          </w:p>
        </w:tc>
        <w:tc>
          <w:tcPr>
            <w:tcW w:w="892" w:type="pct"/>
            <w:tcBorders>
              <w:top w:val="dotted" w:sz="4" w:space="0" w:color="BFBFBF" w:themeColor="background1" w:themeShade="BF"/>
              <w:left w:val="dotted" w:sz="4" w:space="0" w:color="BFBFBF" w:themeColor="background1" w:themeShade="BF"/>
              <w:right w:val="nil"/>
            </w:tcBorders>
            <w:shd w:val="clear" w:color="auto" w:fill="auto"/>
            <w:noWrap/>
            <w:vAlign w:val="bottom"/>
          </w:tcPr>
          <w:p w14:paraId="23B3E8F4" w14:textId="77777777" w:rsidR="00730DE4" w:rsidRPr="00730DE4" w:rsidRDefault="00730DE4" w:rsidP="00362B44">
            <w:pPr>
              <w:pStyle w:val="NoSpacing"/>
              <w:jc w:val="right"/>
              <w:rPr>
                <w:rStyle w:val="Strong"/>
              </w:rPr>
            </w:pPr>
            <w:r w:rsidRPr="00730DE4">
              <w:rPr>
                <w:color w:val="080C0F" w:themeColor="text1"/>
              </w:rPr>
              <w:t xml:space="preserve">1 </w:t>
            </w:r>
          </w:p>
        </w:tc>
      </w:tr>
      <w:tr w:rsidR="00730DE4" w:rsidRPr="00730DE4" w14:paraId="43AAD3E0" w14:textId="77777777" w:rsidTr="00CA309A">
        <w:trPr>
          <w:trHeight w:val="198"/>
        </w:trPr>
        <w:tc>
          <w:tcPr>
            <w:tcW w:w="2325"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tcPr>
          <w:p w14:paraId="426C6078" w14:textId="77777777" w:rsidR="00730DE4" w:rsidRPr="00730DE4" w:rsidRDefault="00730DE4" w:rsidP="00362B44">
            <w:pPr>
              <w:pStyle w:val="NoSpacing"/>
              <w:rPr>
                <w:rStyle w:val="Strong"/>
              </w:rPr>
            </w:pPr>
            <w:r w:rsidRPr="00730DE4">
              <w:rPr>
                <w:color w:val="080C0F" w:themeColor="text1"/>
              </w:rPr>
              <w:t>Lease liabilities</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52BDC325" w14:textId="77777777" w:rsidR="00730DE4" w:rsidRPr="00730DE4" w:rsidRDefault="00730DE4" w:rsidP="00362B44">
            <w:pPr>
              <w:pStyle w:val="NoSpacing"/>
              <w:jc w:val="right"/>
              <w:rPr>
                <w:rStyle w:val="Strong"/>
              </w:rPr>
            </w:pPr>
            <w:r w:rsidRPr="00730DE4">
              <w:rPr>
                <w:color w:val="080C0F" w:themeColor="text1"/>
              </w:rPr>
              <w:t xml:space="preserve">69,968 </w:t>
            </w:r>
          </w:p>
        </w:tc>
        <w:tc>
          <w:tcPr>
            <w:tcW w:w="89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54F43D54" w14:textId="77777777" w:rsidR="00730DE4" w:rsidRPr="00730DE4" w:rsidRDefault="00730DE4" w:rsidP="00362B44">
            <w:pPr>
              <w:pStyle w:val="NoSpacing"/>
              <w:jc w:val="right"/>
              <w:rPr>
                <w:rStyle w:val="Strong"/>
              </w:rPr>
            </w:pPr>
            <w:r w:rsidRPr="00730DE4">
              <w:rPr>
                <w:color w:val="080C0F" w:themeColor="text1"/>
              </w:rPr>
              <w:t xml:space="preserve">73,557 </w:t>
            </w:r>
          </w:p>
        </w:tc>
        <w:tc>
          <w:tcPr>
            <w:tcW w:w="892" w:type="pct"/>
            <w:tcBorders>
              <w:left w:val="dotted" w:sz="4" w:space="0" w:color="BFBFBF" w:themeColor="background1" w:themeShade="BF"/>
              <w:bottom w:val="dotted" w:sz="4" w:space="0" w:color="BFBFBF" w:themeColor="background1" w:themeShade="BF"/>
              <w:right w:val="nil"/>
            </w:tcBorders>
            <w:shd w:val="clear" w:color="auto" w:fill="auto"/>
            <w:noWrap/>
            <w:vAlign w:val="bottom"/>
          </w:tcPr>
          <w:p w14:paraId="38E1A605" w14:textId="77777777" w:rsidR="00730DE4" w:rsidRPr="00730DE4" w:rsidRDefault="00730DE4" w:rsidP="00362B44">
            <w:pPr>
              <w:pStyle w:val="NoSpacing"/>
              <w:jc w:val="right"/>
              <w:rPr>
                <w:rStyle w:val="Strong"/>
              </w:rPr>
            </w:pPr>
            <w:r w:rsidRPr="00730DE4">
              <w:rPr>
                <w:color w:val="080C0F" w:themeColor="text1"/>
              </w:rPr>
              <w:t xml:space="preserve">3,589 </w:t>
            </w:r>
          </w:p>
        </w:tc>
      </w:tr>
      <w:tr w:rsidR="00730DE4" w:rsidRPr="00730DE4" w14:paraId="776ECC3C" w14:textId="77777777" w:rsidTr="00CA309A">
        <w:trPr>
          <w:trHeight w:val="198"/>
        </w:trPr>
        <w:tc>
          <w:tcPr>
            <w:tcW w:w="2325"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tcPr>
          <w:p w14:paraId="0B8F0BD9" w14:textId="77777777" w:rsidR="00730DE4" w:rsidRPr="00730DE4" w:rsidRDefault="00730DE4" w:rsidP="00362B44">
            <w:pPr>
              <w:pStyle w:val="NoSpacing"/>
              <w:rPr>
                <w:rStyle w:val="Strong"/>
              </w:rPr>
            </w:pPr>
            <w:r w:rsidRPr="00730DE4">
              <w:rPr>
                <w:color w:val="080C0F" w:themeColor="text1"/>
              </w:rPr>
              <w:t>Other</w:t>
            </w:r>
          </w:p>
        </w:tc>
        <w:tc>
          <w:tcPr>
            <w:tcW w:w="892"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tcPr>
          <w:p w14:paraId="09C644A6" w14:textId="77777777" w:rsidR="00730DE4" w:rsidRPr="00730DE4" w:rsidRDefault="00730DE4" w:rsidP="00362B44">
            <w:pPr>
              <w:pStyle w:val="NoSpacing"/>
              <w:jc w:val="right"/>
              <w:rPr>
                <w:rStyle w:val="Strong"/>
              </w:rPr>
            </w:pPr>
            <w:r w:rsidRPr="00730DE4">
              <w:rPr>
                <w:color w:val="080C0F" w:themeColor="text1"/>
              </w:rPr>
              <w:t xml:space="preserve">203 </w:t>
            </w:r>
          </w:p>
        </w:tc>
        <w:tc>
          <w:tcPr>
            <w:tcW w:w="892"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tcPr>
          <w:p w14:paraId="16444C5B" w14:textId="77777777" w:rsidR="00730DE4" w:rsidRPr="00730DE4" w:rsidRDefault="00730DE4" w:rsidP="00362B44">
            <w:pPr>
              <w:pStyle w:val="NoSpacing"/>
              <w:jc w:val="right"/>
              <w:rPr>
                <w:rStyle w:val="Strong"/>
              </w:rPr>
            </w:pPr>
            <w:r w:rsidRPr="00730DE4">
              <w:rPr>
                <w:color w:val="080C0F" w:themeColor="text1"/>
              </w:rPr>
              <w:t xml:space="preserve">620 </w:t>
            </w:r>
          </w:p>
        </w:tc>
        <w:tc>
          <w:tcPr>
            <w:tcW w:w="892"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tcPr>
          <w:p w14:paraId="5531ED70" w14:textId="77777777" w:rsidR="00730DE4" w:rsidRPr="00730DE4" w:rsidRDefault="00730DE4" w:rsidP="00362B44">
            <w:pPr>
              <w:pStyle w:val="NoSpacing"/>
              <w:jc w:val="right"/>
              <w:rPr>
                <w:rStyle w:val="Strong"/>
              </w:rPr>
            </w:pPr>
            <w:r w:rsidRPr="00730DE4">
              <w:rPr>
                <w:color w:val="080C0F" w:themeColor="text1"/>
              </w:rPr>
              <w:t xml:space="preserve">417 </w:t>
            </w:r>
          </w:p>
        </w:tc>
      </w:tr>
      <w:tr w:rsidR="00730DE4" w:rsidRPr="00730DE4" w14:paraId="0002972A" w14:textId="77777777" w:rsidTr="00CA309A">
        <w:trPr>
          <w:trHeight w:val="454"/>
        </w:trPr>
        <w:tc>
          <w:tcPr>
            <w:tcW w:w="2325"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tcPr>
          <w:p w14:paraId="709DFEDF" w14:textId="77777777" w:rsidR="00730DE4" w:rsidRPr="00730DE4" w:rsidRDefault="00730DE4" w:rsidP="00362B44">
            <w:pPr>
              <w:pStyle w:val="NoSpacing"/>
              <w:rPr>
                <w:rStyle w:val="Strong"/>
              </w:rPr>
            </w:pPr>
            <w:r w:rsidRPr="00730DE4">
              <w:rPr>
                <w:rStyle w:val="Strong"/>
              </w:rPr>
              <w:t>Total non-current liabilities</w:t>
            </w:r>
          </w:p>
        </w:tc>
        <w:tc>
          <w:tcPr>
            <w:tcW w:w="892"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tcPr>
          <w:p w14:paraId="7847B28F" w14:textId="77777777" w:rsidR="00730DE4" w:rsidRPr="00730DE4" w:rsidRDefault="00730DE4" w:rsidP="00362B44">
            <w:pPr>
              <w:pStyle w:val="NoSpacing"/>
              <w:jc w:val="right"/>
              <w:rPr>
                <w:rStyle w:val="Strong"/>
              </w:rPr>
            </w:pPr>
            <w:r w:rsidRPr="00730DE4">
              <w:rPr>
                <w:rStyle w:val="Strong"/>
              </w:rPr>
              <w:t xml:space="preserve">8,006,732 </w:t>
            </w:r>
          </w:p>
        </w:tc>
        <w:tc>
          <w:tcPr>
            <w:tcW w:w="892"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tcPr>
          <w:p w14:paraId="719A1A66" w14:textId="77777777" w:rsidR="00730DE4" w:rsidRPr="00730DE4" w:rsidRDefault="00730DE4" w:rsidP="00362B44">
            <w:pPr>
              <w:pStyle w:val="NoSpacing"/>
              <w:jc w:val="right"/>
              <w:rPr>
                <w:rStyle w:val="Strong"/>
              </w:rPr>
            </w:pPr>
            <w:r w:rsidRPr="00730DE4">
              <w:rPr>
                <w:rStyle w:val="Strong"/>
              </w:rPr>
              <w:t xml:space="preserve">8,050,675 </w:t>
            </w:r>
          </w:p>
        </w:tc>
        <w:tc>
          <w:tcPr>
            <w:tcW w:w="892"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tcPr>
          <w:p w14:paraId="3FF39E09" w14:textId="77777777" w:rsidR="00730DE4" w:rsidRPr="00730DE4" w:rsidRDefault="00730DE4" w:rsidP="00362B44">
            <w:pPr>
              <w:pStyle w:val="NoSpacing"/>
              <w:jc w:val="right"/>
              <w:rPr>
                <w:rStyle w:val="Strong"/>
              </w:rPr>
            </w:pPr>
            <w:r w:rsidRPr="00730DE4">
              <w:rPr>
                <w:rStyle w:val="Strong"/>
              </w:rPr>
              <w:t xml:space="preserve">43,943 </w:t>
            </w:r>
          </w:p>
        </w:tc>
      </w:tr>
      <w:tr w:rsidR="00730DE4" w:rsidRPr="00730DE4" w14:paraId="4BBBFE22" w14:textId="77777777" w:rsidTr="00CA309A">
        <w:trPr>
          <w:trHeight w:val="454"/>
        </w:trPr>
        <w:tc>
          <w:tcPr>
            <w:tcW w:w="2325"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tcPr>
          <w:p w14:paraId="7E6DDC34" w14:textId="77777777" w:rsidR="00730DE4" w:rsidRPr="00730DE4" w:rsidRDefault="00730DE4" w:rsidP="00CA309A">
            <w:pPr>
              <w:pStyle w:val="NoSpacing"/>
              <w:rPr>
                <w:rStyle w:val="Strong"/>
              </w:rPr>
            </w:pPr>
            <w:r w:rsidRPr="00730DE4">
              <w:rPr>
                <w:rStyle w:val="Strong"/>
              </w:rPr>
              <w:t>Total liabilities</w:t>
            </w:r>
          </w:p>
        </w:tc>
        <w:tc>
          <w:tcPr>
            <w:tcW w:w="892"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tcPr>
          <w:p w14:paraId="57A5AEB4" w14:textId="77777777" w:rsidR="00730DE4" w:rsidRPr="00730DE4" w:rsidRDefault="00730DE4" w:rsidP="00CA309A">
            <w:pPr>
              <w:pStyle w:val="NoSpacing"/>
              <w:jc w:val="right"/>
              <w:rPr>
                <w:rStyle w:val="Strong"/>
              </w:rPr>
            </w:pPr>
            <w:r w:rsidRPr="00730DE4">
              <w:rPr>
                <w:rStyle w:val="Strong"/>
              </w:rPr>
              <w:t>9,520,361</w:t>
            </w:r>
          </w:p>
        </w:tc>
        <w:tc>
          <w:tcPr>
            <w:tcW w:w="892"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tcPr>
          <w:p w14:paraId="0A2C01BE" w14:textId="77777777" w:rsidR="00730DE4" w:rsidRPr="00730DE4" w:rsidRDefault="00730DE4" w:rsidP="00CA309A">
            <w:pPr>
              <w:pStyle w:val="NoSpacing"/>
              <w:jc w:val="right"/>
              <w:rPr>
                <w:rStyle w:val="Strong"/>
              </w:rPr>
            </w:pPr>
            <w:r w:rsidRPr="00730DE4">
              <w:rPr>
                <w:rStyle w:val="Strong"/>
              </w:rPr>
              <w:t>9,840,904</w:t>
            </w:r>
          </w:p>
        </w:tc>
        <w:tc>
          <w:tcPr>
            <w:tcW w:w="892"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tcPr>
          <w:p w14:paraId="554B7B09" w14:textId="77777777" w:rsidR="00730DE4" w:rsidRPr="00730DE4" w:rsidRDefault="00730DE4" w:rsidP="00CA309A">
            <w:pPr>
              <w:pStyle w:val="NoSpacing"/>
              <w:jc w:val="right"/>
              <w:rPr>
                <w:rStyle w:val="Strong"/>
              </w:rPr>
            </w:pPr>
            <w:r w:rsidRPr="00730DE4">
              <w:rPr>
                <w:rStyle w:val="Strong"/>
              </w:rPr>
              <w:t>320,543</w:t>
            </w:r>
          </w:p>
        </w:tc>
      </w:tr>
      <w:tr w:rsidR="00730DE4" w:rsidRPr="00730DE4" w14:paraId="04C697F0" w14:textId="77777777" w:rsidTr="00CA309A">
        <w:trPr>
          <w:trHeight w:val="454"/>
        </w:trPr>
        <w:tc>
          <w:tcPr>
            <w:tcW w:w="2325" w:type="pct"/>
            <w:tcBorders>
              <w:top w:val="single" w:sz="4" w:space="0" w:color="auto"/>
              <w:left w:val="nil"/>
              <w:bottom w:val="double" w:sz="6" w:space="0" w:color="auto"/>
              <w:right w:val="dotted" w:sz="4" w:space="0" w:color="BFBFBF" w:themeColor="background1" w:themeShade="BF"/>
            </w:tcBorders>
            <w:shd w:val="clear" w:color="auto" w:fill="auto"/>
            <w:noWrap/>
            <w:vAlign w:val="bottom"/>
            <w:hideMark/>
          </w:tcPr>
          <w:p w14:paraId="06112D7B" w14:textId="77777777" w:rsidR="00730DE4" w:rsidRPr="00730DE4" w:rsidRDefault="00730DE4" w:rsidP="00CA309A">
            <w:pPr>
              <w:pStyle w:val="NoSpacing"/>
              <w:rPr>
                <w:color w:val="080C0F" w:themeColor="text1"/>
              </w:rPr>
            </w:pPr>
            <w:r w:rsidRPr="00730DE4">
              <w:rPr>
                <w:rStyle w:val="Strong"/>
              </w:rPr>
              <w:t>Net assets</w:t>
            </w:r>
          </w:p>
        </w:tc>
        <w:tc>
          <w:tcPr>
            <w:tcW w:w="892" w:type="pct"/>
            <w:tcBorders>
              <w:top w:val="single" w:sz="4" w:space="0" w:color="auto"/>
              <w:left w:val="dotted" w:sz="4" w:space="0" w:color="BFBFBF" w:themeColor="background1" w:themeShade="BF"/>
              <w:bottom w:val="double" w:sz="6" w:space="0" w:color="auto"/>
              <w:right w:val="dotted" w:sz="4" w:space="0" w:color="BFBFBF" w:themeColor="background1" w:themeShade="BF"/>
            </w:tcBorders>
            <w:shd w:val="clear" w:color="auto" w:fill="auto"/>
            <w:noWrap/>
            <w:vAlign w:val="bottom"/>
            <w:hideMark/>
          </w:tcPr>
          <w:p w14:paraId="5C0A73F7" w14:textId="77777777" w:rsidR="00730DE4" w:rsidRPr="00730DE4" w:rsidRDefault="00730DE4" w:rsidP="00CA309A">
            <w:pPr>
              <w:pStyle w:val="NoSpacing"/>
              <w:jc w:val="right"/>
              <w:rPr>
                <w:color w:val="080C0F" w:themeColor="text1"/>
              </w:rPr>
            </w:pPr>
            <w:r w:rsidRPr="00730DE4">
              <w:rPr>
                <w:rStyle w:val="Strong"/>
              </w:rPr>
              <w:t xml:space="preserve">97,398,443 </w:t>
            </w:r>
          </w:p>
        </w:tc>
        <w:tc>
          <w:tcPr>
            <w:tcW w:w="892" w:type="pct"/>
            <w:tcBorders>
              <w:top w:val="single" w:sz="4" w:space="0" w:color="auto"/>
              <w:left w:val="dotted" w:sz="4" w:space="0" w:color="BFBFBF" w:themeColor="background1" w:themeShade="BF"/>
              <w:bottom w:val="double" w:sz="6" w:space="0" w:color="auto"/>
              <w:right w:val="dotted" w:sz="4" w:space="0" w:color="BFBFBF" w:themeColor="background1" w:themeShade="BF"/>
            </w:tcBorders>
            <w:shd w:val="clear" w:color="auto" w:fill="auto"/>
            <w:noWrap/>
            <w:vAlign w:val="bottom"/>
            <w:hideMark/>
          </w:tcPr>
          <w:p w14:paraId="180FB1FC" w14:textId="77777777" w:rsidR="00730DE4" w:rsidRPr="00730DE4" w:rsidRDefault="00730DE4" w:rsidP="00CA309A">
            <w:pPr>
              <w:pStyle w:val="NoSpacing"/>
              <w:jc w:val="right"/>
              <w:rPr>
                <w:color w:val="080C0F" w:themeColor="text1"/>
              </w:rPr>
            </w:pPr>
            <w:r w:rsidRPr="00730DE4">
              <w:rPr>
                <w:rStyle w:val="Strong"/>
              </w:rPr>
              <w:t xml:space="preserve">116,296,966 </w:t>
            </w:r>
          </w:p>
        </w:tc>
        <w:tc>
          <w:tcPr>
            <w:tcW w:w="892" w:type="pct"/>
            <w:tcBorders>
              <w:top w:val="single" w:sz="4" w:space="0" w:color="auto"/>
              <w:left w:val="dotted" w:sz="4" w:space="0" w:color="BFBFBF" w:themeColor="background1" w:themeShade="BF"/>
              <w:bottom w:val="double" w:sz="6" w:space="0" w:color="auto"/>
              <w:right w:val="nil"/>
            </w:tcBorders>
            <w:shd w:val="clear" w:color="auto" w:fill="auto"/>
            <w:noWrap/>
            <w:vAlign w:val="bottom"/>
            <w:hideMark/>
          </w:tcPr>
          <w:p w14:paraId="2D2BCF90" w14:textId="77777777" w:rsidR="00730DE4" w:rsidRPr="00730DE4" w:rsidRDefault="00730DE4" w:rsidP="00CA309A">
            <w:pPr>
              <w:pStyle w:val="NoSpacing"/>
              <w:jc w:val="right"/>
              <w:rPr>
                <w:rStyle w:val="Strong"/>
              </w:rPr>
            </w:pPr>
            <w:r w:rsidRPr="00730DE4">
              <w:rPr>
                <w:rStyle w:val="Strong"/>
              </w:rPr>
              <w:t xml:space="preserve">18,898,523 </w:t>
            </w:r>
          </w:p>
        </w:tc>
      </w:tr>
      <w:tr w:rsidR="00730DE4" w:rsidRPr="00730DE4" w14:paraId="4DF7A49E" w14:textId="77777777" w:rsidTr="00CA309A">
        <w:trPr>
          <w:trHeight w:val="454"/>
        </w:trPr>
        <w:tc>
          <w:tcPr>
            <w:tcW w:w="2325" w:type="pct"/>
            <w:tcBorders>
              <w:top w:val="double" w:sz="6" w:space="0" w:color="auto"/>
              <w:left w:val="nil"/>
              <w:bottom w:val="double" w:sz="6" w:space="0" w:color="auto"/>
              <w:right w:val="dotted" w:sz="4" w:space="0" w:color="BFBFBF" w:themeColor="background1" w:themeShade="BF"/>
            </w:tcBorders>
            <w:shd w:val="clear" w:color="auto" w:fill="auto"/>
            <w:noWrap/>
            <w:vAlign w:val="bottom"/>
            <w:hideMark/>
          </w:tcPr>
          <w:p w14:paraId="51BF96BF" w14:textId="77777777" w:rsidR="00730DE4" w:rsidRPr="00730DE4" w:rsidRDefault="00730DE4" w:rsidP="00CA309A">
            <w:pPr>
              <w:pStyle w:val="NoSpacing"/>
              <w:rPr>
                <w:color w:val="080C0F" w:themeColor="text1"/>
              </w:rPr>
            </w:pPr>
            <w:r w:rsidRPr="00730DE4">
              <w:rPr>
                <w:rStyle w:val="Strong"/>
              </w:rPr>
              <w:t>Total equity</w:t>
            </w:r>
          </w:p>
        </w:tc>
        <w:tc>
          <w:tcPr>
            <w:tcW w:w="892" w:type="pct"/>
            <w:tcBorders>
              <w:top w:val="double" w:sz="6" w:space="0" w:color="auto"/>
              <w:left w:val="dotted" w:sz="4" w:space="0" w:color="BFBFBF" w:themeColor="background1" w:themeShade="BF"/>
              <w:bottom w:val="double" w:sz="6" w:space="0" w:color="auto"/>
              <w:right w:val="dotted" w:sz="4" w:space="0" w:color="BFBFBF" w:themeColor="background1" w:themeShade="BF"/>
            </w:tcBorders>
            <w:shd w:val="clear" w:color="auto" w:fill="auto"/>
            <w:noWrap/>
            <w:vAlign w:val="bottom"/>
            <w:hideMark/>
          </w:tcPr>
          <w:p w14:paraId="3E06FEF2" w14:textId="77777777" w:rsidR="00730DE4" w:rsidRPr="00730DE4" w:rsidRDefault="00730DE4" w:rsidP="00CA309A">
            <w:pPr>
              <w:pStyle w:val="NoSpacing"/>
              <w:jc w:val="right"/>
              <w:rPr>
                <w:color w:val="080C0F" w:themeColor="text1"/>
              </w:rPr>
            </w:pPr>
            <w:r w:rsidRPr="00730DE4">
              <w:rPr>
                <w:rStyle w:val="Strong"/>
              </w:rPr>
              <w:t xml:space="preserve">97,398,443 </w:t>
            </w:r>
          </w:p>
        </w:tc>
        <w:tc>
          <w:tcPr>
            <w:tcW w:w="892" w:type="pct"/>
            <w:tcBorders>
              <w:top w:val="double" w:sz="6" w:space="0" w:color="auto"/>
              <w:left w:val="dotted" w:sz="4" w:space="0" w:color="BFBFBF" w:themeColor="background1" w:themeShade="BF"/>
              <w:bottom w:val="double" w:sz="6" w:space="0" w:color="auto"/>
              <w:right w:val="dotted" w:sz="4" w:space="0" w:color="BFBFBF" w:themeColor="background1" w:themeShade="BF"/>
            </w:tcBorders>
            <w:shd w:val="clear" w:color="auto" w:fill="auto"/>
            <w:noWrap/>
            <w:vAlign w:val="bottom"/>
            <w:hideMark/>
          </w:tcPr>
          <w:p w14:paraId="2D6F506C" w14:textId="77777777" w:rsidR="00730DE4" w:rsidRPr="00730DE4" w:rsidRDefault="00730DE4" w:rsidP="00CA309A">
            <w:pPr>
              <w:pStyle w:val="NoSpacing"/>
              <w:jc w:val="right"/>
              <w:rPr>
                <w:color w:val="080C0F" w:themeColor="text1"/>
              </w:rPr>
            </w:pPr>
            <w:r w:rsidRPr="00730DE4">
              <w:rPr>
                <w:rStyle w:val="Strong"/>
              </w:rPr>
              <w:t xml:space="preserve">116,296,966 </w:t>
            </w:r>
          </w:p>
        </w:tc>
        <w:tc>
          <w:tcPr>
            <w:tcW w:w="892" w:type="pct"/>
            <w:tcBorders>
              <w:top w:val="double" w:sz="6" w:space="0" w:color="auto"/>
              <w:left w:val="dotted" w:sz="4" w:space="0" w:color="BFBFBF" w:themeColor="background1" w:themeShade="BF"/>
              <w:bottom w:val="double" w:sz="6" w:space="0" w:color="auto"/>
              <w:right w:val="nil"/>
            </w:tcBorders>
            <w:shd w:val="clear" w:color="auto" w:fill="auto"/>
            <w:noWrap/>
            <w:vAlign w:val="bottom"/>
            <w:hideMark/>
          </w:tcPr>
          <w:p w14:paraId="226D1627" w14:textId="77777777" w:rsidR="00730DE4" w:rsidRPr="00730DE4" w:rsidRDefault="00730DE4" w:rsidP="00CA309A">
            <w:pPr>
              <w:pStyle w:val="NoSpacing"/>
              <w:jc w:val="right"/>
              <w:rPr>
                <w:rStyle w:val="Strong"/>
              </w:rPr>
            </w:pPr>
            <w:r w:rsidRPr="00730DE4">
              <w:rPr>
                <w:rStyle w:val="Strong"/>
              </w:rPr>
              <w:t xml:space="preserve">18,898,523 </w:t>
            </w:r>
          </w:p>
        </w:tc>
      </w:tr>
    </w:tbl>
    <w:bookmarkEnd w:id="1639"/>
    <w:p w14:paraId="3073220F" w14:textId="77777777" w:rsidR="00730DE4" w:rsidRPr="00730DE4" w:rsidRDefault="00730DE4" w:rsidP="00390F2D">
      <w:pPr>
        <w:pStyle w:val="Heading6"/>
      </w:pPr>
      <w:r w:rsidRPr="00730DE4">
        <w:t xml:space="preserve">Explanation of major variances </w:t>
      </w:r>
    </w:p>
    <w:p w14:paraId="4BEE5910" w14:textId="77777777" w:rsidR="00730DE4" w:rsidRPr="00730DE4" w:rsidRDefault="00730DE4" w:rsidP="00390F2D">
      <w:pPr>
        <w:pStyle w:val="Heading7"/>
      </w:pPr>
      <w:r w:rsidRPr="00730DE4">
        <w:t xml:space="preserve">Cash </w:t>
      </w:r>
    </w:p>
    <w:p w14:paraId="11DB9CD2" w14:textId="77777777" w:rsidR="00730DE4" w:rsidRPr="00730DE4" w:rsidRDefault="00730DE4" w:rsidP="003C13D4">
      <w:pPr>
        <w:rPr>
          <w:color w:val="080C0F" w:themeColor="text1"/>
        </w:rPr>
      </w:pPr>
      <w:r w:rsidRPr="00730DE4">
        <w:rPr>
          <w:color w:val="080C0F" w:themeColor="text1"/>
        </w:rPr>
        <w:t>Variance of $169.730m reflects a higher than anticipated opening balance of $358.882 due to the timing of future planned transport operations and maintenance expenditure. This is offset by a decrease in cash of ($189.443m) as illustrated in the Statement of cash flows largely due to the acceleration of equity funding to align with capital program delivery and timing of planned expenditure.</w:t>
      </w:r>
    </w:p>
    <w:p w14:paraId="311BEE3F" w14:textId="77777777" w:rsidR="00730DE4" w:rsidRPr="00730DE4" w:rsidRDefault="00730DE4" w:rsidP="00390F2D">
      <w:pPr>
        <w:pStyle w:val="Heading7"/>
      </w:pPr>
      <w:r w:rsidRPr="00730DE4">
        <w:t xml:space="preserve">Receivables – current </w:t>
      </w:r>
    </w:p>
    <w:p w14:paraId="178FA514" w14:textId="77777777" w:rsidR="00730DE4" w:rsidRPr="00730DE4" w:rsidRDefault="00730DE4" w:rsidP="003C13D4">
      <w:pPr>
        <w:rPr>
          <w:color w:val="080C0F" w:themeColor="text1"/>
        </w:rPr>
      </w:pPr>
      <w:r w:rsidRPr="00730DE4">
        <w:rPr>
          <w:color w:val="080C0F" w:themeColor="text1"/>
        </w:rPr>
        <w:t>Variance of $228.163m reflects a higher than anticipated trade debtors balance including GST receivable/payable and the accrual of grant revenue from Queensland Reconstruction Authority relating to the natural disaster events.</w:t>
      </w:r>
    </w:p>
    <w:p w14:paraId="7CBCC0F6" w14:textId="77777777" w:rsidR="00730DE4" w:rsidRPr="00730DE4" w:rsidRDefault="00730DE4" w:rsidP="00390F2D">
      <w:pPr>
        <w:pStyle w:val="Heading7"/>
      </w:pPr>
      <w:r w:rsidRPr="00730DE4">
        <w:t xml:space="preserve">Prepayments – current </w:t>
      </w:r>
    </w:p>
    <w:p w14:paraId="70438F41" w14:textId="77777777" w:rsidR="00730DE4" w:rsidRPr="00730DE4" w:rsidRDefault="00730DE4" w:rsidP="003C13D4">
      <w:pPr>
        <w:rPr>
          <w:color w:val="080C0F" w:themeColor="text1"/>
        </w:rPr>
      </w:pPr>
      <w:r w:rsidRPr="00730DE4">
        <w:rPr>
          <w:color w:val="080C0F" w:themeColor="text1"/>
        </w:rPr>
        <w:t>Variance of $22.233m reflects a higher than anticipated insurance premium payment made due to increased capital program delivery and increased payments made for software and data agreements.</w:t>
      </w:r>
    </w:p>
    <w:p w14:paraId="6ADBB469" w14:textId="77777777" w:rsidR="00730DE4" w:rsidRPr="00730DE4" w:rsidRDefault="00730DE4" w:rsidP="00390F2D">
      <w:pPr>
        <w:pStyle w:val="Heading7"/>
      </w:pPr>
      <w:r w:rsidRPr="00730DE4">
        <w:t xml:space="preserve">Intangible assets </w:t>
      </w:r>
    </w:p>
    <w:p w14:paraId="09A50D78" w14:textId="77777777" w:rsidR="00730DE4" w:rsidRPr="00730DE4" w:rsidRDefault="00730DE4" w:rsidP="003C13D4">
      <w:pPr>
        <w:rPr>
          <w:color w:val="080C0F" w:themeColor="text1"/>
        </w:rPr>
      </w:pPr>
      <w:r w:rsidRPr="00730DE4">
        <w:rPr>
          <w:color w:val="080C0F" w:themeColor="text1"/>
        </w:rPr>
        <w:t>The variance of ($66.253m) primarily reflects $39.436m of projects written off in 2023 and lower than anticipated software purchases due to projects expensed as a result of a review of software as a service arrangement following a change in Australian Accounting Standards.</w:t>
      </w:r>
    </w:p>
    <w:p w14:paraId="1C0268AC" w14:textId="77777777" w:rsidR="00730DE4" w:rsidRPr="00730DE4" w:rsidRDefault="00730DE4" w:rsidP="00390F2D">
      <w:pPr>
        <w:pStyle w:val="Heading7"/>
      </w:pPr>
      <w:r w:rsidRPr="00730DE4">
        <w:t xml:space="preserve">Property, plant and equipment </w:t>
      </w:r>
    </w:p>
    <w:p w14:paraId="23764B2E" w14:textId="77777777" w:rsidR="00730DE4" w:rsidRPr="00730DE4" w:rsidRDefault="00730DE4" w:rsidP="005B60B8">
      <w:pPr>
        <w:spacing w:before="80"/>
        <w:rPr>
          <w:color w:val="080C0F" w:themeColor="text1"/>
        </w:rPr>
      </w:pPr>
      <w:r w:rsidRPr="00730DE4">
        <w:rPr>
          <w:color w:val="080C0F" w:themeColor="text1"/>
        </w:rPr>
        <w:t>The variance of $16,369m is mainly due to the timing differences to obtain reliable measures for road infrastructure valuations to enable budget allocations. Actual asset revaluation increments were not able to be determined at the time of budget development.</w:t>
      </w:r>
    </w:p>
    <w:p w14:paraId="0C2EDC23" w14:textId="77777777" w:rsidR="00730DE4" w:rsidRPr="00730DE4" w:rsidRDefault="00730DE4" w:rsidP="00390F2D">
      <w:pPr>
        <w:pStyle w:val="Heading7"/>
      </w:pPr>
      <w:r w:rsidRPr="00730DE4">
        <w:t xml:space="preserve">Service concession assets </w:t>
      </w:r>
    </w:p>
    <w:p w14:paraId="7CBFD592" w14:textId="77777777" w:rsidR="00730DE4" w:rsidRPr="00730DE4" w:rsidRDefault="00730DE4" w:rsidP="005B60B8">
      <w:pPr>
        <w:spacing w:before="80"/>
        <w:rPr>
          <w:color w:val="080C0F" w:themeColor="text1"/>
        </w:rPr>
      </w:pPr>
      <w:r w:rsidRPr="00730DE4">
        <w:rPr>
          <w:color w:val="080C0F" w:themeColor="text1"/>
        </w:rPr>
        <w:t>The variance of $2,438m is mainly due to the timing differences to obtain reliable measures for service concession asset valuations to enable budget allocations. Actual asset revaluation increments were not able to be determined at the time of budget development.</w:t>
      </w:r>
    </w:p>
    <w:p w14:paraId="66713E58" w14:textId="77777777" w:rsidR="00730DE4" w:rsidRPr="00730DE4" w:rsidRDefault="00730DE4" w:rsidP="00390F2D">
      <w:pPr>
        <w:pStyle w:val="Heading7"/>
      </w:pPr>
      <w:r w:rsidRPr="00730DE4">
        <w:t xml:space="preserve">Investment in subsidiary </w:t>
      </w:r>
    </w:p>
    <w:p w14:paraId="21719CFF" w14:textId="77777777" w:rsidR="00730DE4" w:rsidRPr="00730DE4" w:rsidRDefault="00730DE4" w:rsidP="005B60B8">
      <w:pPr>
        <w:spacing w:before="80"/>
        <w:rPr>
          <w:color w:val="080C0F" w:themeColor="text1"/>
        </w:rPr>
      </w:pPr>
      <w:r w:rsidRPr="00730DE4">
        <w:rPr>
          <w:color w:val="080C0F" w:themeColor="text1"/>
        </w:rPr>
        <w:t>The variance of $28.426m reflects the department's equity injection of $10m in 2023 and $18.426m in 2024 for Transmax's STREAMS Next Generation Mobility Platform.</w:t>
      </w:r>
    </w:p>
    <w:p w14:paraId="1EA0B31D" w14:textId="77777777" w:rsidR="00730DE4" w:rsidRPr="00730DE4" w:rsidRDefault="00730DE4" w:rsidP="00390F2D">
      <w:pPr>
        <w:pStyle w:val="Heading7"/>
      </w:pPr>
      <w:r w:rsidRPr="00730DE4">
        <w:t xml:space="preserve">Payables </w:t>
      </w:r>
    </w:p>
    <w:p w14:paraId="16041629" w14:textId="77777777" w:rsidR="00730DE4" w:rsidRPr="00730DE4" w:rsidRDefault="00730DE4" w:rsidP="005009C7">
      <w:pPr>
        <w:spacing w:before="80"/>
        <w:rPr>
          <w:color w:val="080C0F" w:themeColor="text1"/>
        </w:rPr>
      </w:pPr>
      <w:r w:rsidRPr="00730DE4">
        <w:rPr>
          <w:color w:val="080C0F" w:themeColor="text1"/>
        </w:rPr>
        <w:t>Variance of $163.591m is primarily due to higher than anticipated capital program delivery.</w:t>
      </w:r>
    </w:p>
    <w:p w14:paraId="35D2E655" w14:textId="77777777" w:rsidR="00730DE4" w:rsidRPr="00730DE4" w:rsidRDefault="00730DE4" w:rsidP="00390F2D">
      <w:pPr>
        <w:pStyle w:val="Heading7"/>
      </w:pPr>
      <w:r w:rsidRPr="00730DE4">
        <w:t xml:space="preserve">Provisions – current </w:t>
      </w:r>
    </w:p>
    <w:p w14:paraId="76DB10A2" w14:textId="77777777" w:rsidR="00730DE4" w:rsidRPr="00730DE4" w:rsidRDefault="00730DE4" w:rsidP="005009C7">
      <w:pPr>
        <w:spacing w:before="80"/>
        <w:rPr>
          <w:color w:val="080C0F" w:themeColor="text1"/>
        </w:rPr>
      </w:pPr>
      <w:r w:rsidRPr="00730DE4">
        <w:rPr>
          <w:color w:val="080C0F" w:themeColor="text1"/>
        </w:rPr>
        <w:t>Variance of $52.135m reflects an increase in provision re-measurement of the value of land resumptions after the budget had been published. Actual re-measurement of the value of land resumptions were not budgeted for due to the unavailability of reliable estimates.</w:t>
      </w:r>
    </w:p>
    <w:p w14:paraId="4D1A1B2D" w14:textId="77777777" w:rsidR="00730DE4" w:rsidRPr="00730DE4" w:rsidRDefault="00730DE4" w:rsidP="00390F2D">
      <w:pPr>
        <w:pStyle w:val="Heading7"/>
      </w:pPr>
      <w:r w:rsidRPr="00730DE4">
        <w:t xml:space="preserve">Other Liabilities – current </w:t>
      </w:r>
    </w:p>
    <w:p w14:paraId="7D915ECB" w14:textId="77777777" w:rsidR="00730DE4" w:rsidRPr="00730DE4" w:rsidRDefault="00730DE4" w:rsidP="005009C7">
      <w:pPr>
        <w:spacing w:before="80"/>
        <w:rPr>
          <w:color w:val="080C0F" w:themeColor="text1"/>
        </w:rPr>
      </w:pPr>
      <w:r w:rsidRPr="00730DE4">
        <w:rPr>
          <w:color w:val="080C0F" w:themeColor="text1"/>
        </w:rPr>
        <w:t>Variance of $59.109m mainly comprises higher than anticipated advance payments from the Queensland Reconstruction Authority for expenditure incurred on works related to natural disaster events.</w:t>
      </w:r>
    </w:p>
    <w:p w14:paraId="4CEE7C98" w14:textId="77777777" w:rsidR="00730DE4" w:rsidRPr="00730DE4" w:rsidRDefault="00730DE4" w:rsidP="00390F2D">
      <w:pPr>
        <w:pStyle w:val="Heading7"/>
      </w:pPr>
      <w:r w:rsidRPr="00730DE4">
        <w:t xml:space="preserve">Provisions – non-current </w:t>
      </w:r>
    </w:p>
    <w:p w14:paraId="742EADF4" w14:textId="77777777" w:rsidR="00730DE4" w:rsidRPr="00730DE4" w:rsidRDefault="00730DE4" w:rsidP="005009C7">
      <w:pPr>
        <w:spacing w:before="80"/>
        <w:rPr>
          <w:color w:val="080C0F" w:themeColor="text1"/>
        </w:rPr>
      </w:pPr>
      <w:r w:rsidRPr="00730DE4">
        <w:rPr>
          <w:color w:val="080C0F" w:themeColor="text1"/>
        </w:rPr>
        <w:t>Variance of $79.418m reflects an increase in provision re-measurement of the value of land resumptions after the budget had been published. Actual re-measurement of the value of land resumptions were not budgeted for due to the unavailability of reliable estimates.</w:t>
      </w:r>
    </w:p>
    <w:p w14:paraId="3DD46892" w14:textId="77777777" w:rsidR="00730DE4" w:rsidRPr="00730DE4" w:rsidRDefault="00730DE4" w:rsidP="00390F2D">
      <w:pPr>
        <w:pStyle w:val="Heading7"/>
      </w:pPr>
      <w:r w:rsidRPr="00730DE4">
        <w:t xml:space="preserve">Total equity </w:t>
      </w:r>
    </w:p>
    <w:p w14:paraId="18BC777E" w14:textId="77777777" w:rsidR="00730DE4" w:rsidRPr="00730DE4" w:rsidRDefault="00730DE4" w:rsidP="005009C7">
      <w:pPr>
        <w:spacing w:before="80"/>
        <w:rPr>
          <w:color w:val="080C0F" w:themeColor="text1"/>
        </w:rPr>
      </w:pPr>
      <w:r w:rsidRPr="00730DE4">
        <w:rPr>
          <w:color w:val="080C0F" w:themeColor="text1"/>
        </w:rPr>
        <w:t>The variance of $18,899m is mainly due to the timing differences to obtain reliable measures for asset valuations to enable budget allocations. $17,753m in asset revaluation increments were not able to be determined at the time of budget development.</w:t>
      </w:r>
    </w:p>
    <w:p w14:paraId="1140D712" w14:textId="77777777" w:rsidR="00730DE4" w:rsidRPr="00730DE4" w:rsidRDefault="00730DE4" w:rsidP="00BF3C78">
      <w:pPr>
        <w:pStyle w:val="Heading5"/>
      </w:pPr>
      <w:bookmarkStart w:id="1652" w:name="_Toc180487773"/>
      <w:bookmarkStart w:id="1653" w:name="_Toc180490978"/>
      <w:bookmarkStart w:id="1654" w:name="_Toc180492011"/>
      <w:r w:rsidRPr="00730DE4">
        <w:t>Statement of cash flows</w:t>
      </w:r>
      <w:bookmarkEnd w:id="1652"/>
      <w:bookmarkEnd w:id="1653"/>
      <w:bookmarkEnd w:id="1654"/>
    </w:p>
    <w:tbl>
      <w:tblPr>
        <w:tblW w:w="5000" w:type="pct"/>
        <w:tblLayout w:type="fixed"/>
        <w:tblCellMar>
          <w:top w:w="23" w:type="dxa"/>
          <w:left w:w="23" w:type="dxa"/>
          <w:bottom w:w="23" w:type="dxa"/>
          <w:right w:w="23" w:type="dxa"/>
        </w:tblCellMar>
        <w:tblLook w:val="04A0" w:firstRow="1" w:lastRow="0" w:firstColumn="1" w:lastColumn="0" w:noHBand="0" w:noVBand="1"/>
      </w:tblPr>
      <w:tblGrid>
        <w:gridCol w:w="4541"/>
        <w:gridCol w:w="1509"/>
        <w:gridCol w:w="1509"/>
        <w:gridCol w:w="1511"/>
      </w:tblGrid>
      <w:tr w:rsidR="00730DE4" w:rsidRPr="00730DE4" w14:paraId="772588BD" w14:textId="77777777" w:rsidTr="00B7676A">
        <w:trPr>
          <w:trHeight w:val="198"/>
        </w:trPr>
        <w:tc>
          <w:tcPr>
            <w:tcW w:w="2502" w:type="pct"/>
            <w:tcBorders>
              <w:top w:val="nil"/>
              <w:left w:val="nil"/>
              <w:bottom w:val="single" w:sz="4" w:space="0" w:color="auto"/>
              <w:right w:val="nil"/>
            </w:tcBorders>
            <w:shd w:val="clear" w:color="auto" w:fill="auto"/>
            <w:noWrap/>
            <w:vAlign w:val="bottom"/>
            <w:hideMark/>
          </w:tcPr>
          <w:p w14:paraId="7F878D26" w14:textId="77777777" w:rsidR="00730DE4" w:rsidRPr="00730DE4" w:rsidRDefault="00730DE4" w:rsidP="00BA44B1">
            <w:pPr>
              <w:pStyle w:val="NoSpacing"/>
              <w:rPr>
                <w:color w:val="080C0F" w:themeColor="text1"/>
              </w:rPr>
            </w:pPr>
          </w:p>
        </w:tc>
        <w:tc>
          <w:tcPr>
            <w:tcW w:w="832" w:type="pct"/>
            <w:tcBorders>
              <w:top w:val="nil"/>
              <w:left w:val="nil"/>
              <w:bottom w:val="single" w:sz="4" w:space="0" w:color="auto"/>
              <w:right w:val="nil"/>
            </w:tcBorders>
            <w:shd w:val="clear" w:color="auto" w:fill="auto"/>
            <w:vAlign w:val="bottom"/>
            <w:hideMark/>
          </w:tcPr>
          <w:p w14:paraId="0E3EF32D" w14:textId="77777777" w:rsidR="00730DE4" w:rsidRPr="00730DE4" w:rsidRDefault="00730DE4" w:rsidP="00BA44B1">
            <w:pPr>
              <w:pStyle w:val="NoSpacing"/>
              <w:jc w:val="right"/>
              <w:rPr>
                <w:color w:val="080C0F" w:themeColor="text1"/>
              </w:rPr>
            </w:pPr>
            <w:r w:rsidRPr="00730DE4">
              <w:rPr>
                <w:rStyle w:val="Strong"/>
              </w:rPr>
              <w:t xml:space="preserve">Original </w:t>
            </w:r>
            <w:r w:rsidRPr="00730DE4">
              <w:rPr>
                <w:rStyle w:val="Strong"/>
              </w:rPr>
              <w:br/>
              <w:t xml:space="preserve">budget </w:t>
            </w:r>
            <w:r w:rsidRPr="00730DE4">
              <w:rPr>
                <w:rStyle w:val="Strong"/>
              </w:rPr>
              <w:br/>
            </w:r>
            <w:r w:rsidRPr="00730DE4">
              <w:rPr>
                <w:rStyle w:val="Strong"/>
              </w:rPr>
              <w:br/>
              <w:t>2024</w:t>
            </w:r>
            <w:r w:rsidRPr="00730DE4">
              <w:rPr>
                <w:rStyle w:val="Strong"/>
              </w:rPr>
              <w:br/>
              <w:t>$'000</w:t>
            </w:r>
          </w:p>
        </w:tc>
        <w:tc>
          <w:tcPr>
            <w:tcW w:w="832" w:type="pct"/>
            <w:tcBorders>
              <w:top w:val="nil"/>
              <w:left w:val="nil"/>
              <w:bottom w:val="single" w:sz="4" w:space="0" w:color="auto"/>
              <w:right w:val="nil"/>
            </w:tcBorders>
            <w:shd w:val="clear" w:color="auto" w:fill="auto"/>
            <w:vAlign w:val="bottom"/>
            <w:hideMark/>
          </w:tcPr>
          <w:p w14:paraId="2003CF4E" w14:textId="77777777" w:rsidR="00730DE4" w:rsidRPr="00730DE4" w:rsidRDefault="00730DE4" w:rsidP="00BA44B1">
            <w:pPr>
              <w:pStyle w:val="NoSpacing"/>
              <w:jc w:val="right"/>
              <w:rPr>
                <w:color w:val="080C0F" w:themeColor="text1"/>
              </w:rPr>
            </w:pPr>
            <w:r w:rsidRPr="00730DE4">
              <w:rPr>
                <w:rStyle w:val="Strong"/>
              </w:rPr>
              <w:t>Actual</w:t>
            </w:r>
            <w:r w:rsidRPr="00730DE4">
              <w:rPr>
                <w:rStyle w:val="Strong"/>
              </w:rPr>
              <w:br/>
              <w:t xml:space="preserve">result </w:t>
            </w:r>
            <w:r w:rsidRPr="00730DE4">
              <w:rPr>
                <w:rStyle w:val="Strong"/>
              </w:rPr>
              <w:br/>
            </w:r>
            <w:r w:rsidRPr="00730DE4">
              <w:rPr>
                <w:rStyle w:val="Strong"/>
              </w:rPr>
              <w:br/>
              <w:t>2024</w:t>
            </w:r>
            <w:r w:rsidRPr="00730DE4">
              <w:rPr>
                <w:rStyle w:val="Strong"/>
              </w:rPr>
              <w:br/>
              <w:t>$'000</w:t>
            </w:r>
          </w:p>
        </w:tc>
        <w:tc>
          <w:tcPr>
            <w:tcW w:w="833" w:type="pct"/>
            <w:tcBorders>
              <w:top w:val="nil"/>
              <w:left w:val="nil"/>
              <w:bottom w:val="single" w:sz="4" w:space="0" w:color="auto"/>
              <w:right w:val="nil"/>
            </w:tcBorders>
            <w:shd w:val="clear" w:color="auto" w:fill="auto"/>
            <w:vAlign w:val="bottom"/>
            <w:hideMark/>
          </w:tcPr>
          <w:p w14:paraId="4D34A187" w14:textId="77777777" w:rsidR="00730DE4" w:rsidRPr="00730DE4" w:rsidRDefault="00730DE4" w:rsidP="00BA44B1">
            <w:pPr>
              <w:pStyle w:val="NoSpacing"/>
              <w:jc w:val="right"/>
              <w:rPr>
                <w:rStyle w:val="Strong"/>
              </w:rPr>
            </w:pPr>
            <w:r w:rsidRPr="00730DE4">
              <w:rPr>
                <w:rStyle w:val="Strong"/>
              </w:rPr>
              <w:t>Variance</w:t>
            </w:r>
            <w:r w:rsidRPr="00730DE4">
              <w:rPr>
                <w:rStyle w:val="Strong"/>
              </w:rPr>
              <w:br/>
              <w:t xml:space="preserve"> </w:t>
            </w:r>
            <w:r w:rsidRPr="00730DE4">
              <w:rPr>
                <w:rStyle w:val="Strong"/>
              </w:rPr>
              <w:br/>
            </w:r>
            <w:r w:rsidRPr="00730DE4">
              <w:rPr>
                <w:rStyle w:val="Strong"/>
              </w:rPr>
              <w:br/>
              <w:t>2024</w:t>
            </w:r>
            <w:r w:rsidRPr="00730DE4">
              <w:rPr>
                <w:rStyle w:val="Strong"/>
              </w:rPr>
              <w:br/>
              <w:t>$'000</w:t>
            </w:r>
          </w:p>
        </w:tc>
      </w:tr>
      <w:tr w:rsidR="00730DE4" w:rsidRPr="00730DE4" w14:paraId="396C8289" w14:textId="77777777" w:rsidTr="00B7676A">
        <w:trPr>
          <w:trHeight w:val="454"/>
        </w:trPr>
        <w:tc>
          <w:tcPr>
            <w:tcW w:w="2502"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vAlign w:val="bottom"/>
          </w:tcPr>
          <w:p w14:paraId="75FBAC8C" w14:textId="77777777" w:rsidR="00730DE4" w:rsidRPr="00730DE4" w:rsidRDefault="00730DE4" w:rsidP="00BA44B1">
            <w:pPr>
              <w:pStyle w:val="NoSpacing"/>
              <w:rPr>
                <w:rStyle w:val="Strong"/>
              </w:rPr>
            </w:pPr>
            <w:r w:rsidRPr="00730DE4">
              <w:rPr>
                <w:rStyle w:val="Strong"/>
              </w:rPr>
              <w:t>Cash flows from operating activities</w:t>
            </w:r>
          </w:p>
        </w:tc>
        <w:tc>
          <w:tcPr>
            <w:tcW w:w="832"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tcPr>
          <w:p w14:paraId="53177AA8" w14:textId="77777777" w:rsidR="00730DE4" w:rsidRPr="00730DE4" w:rsidRDefault="00730DE4" w:rsidP="00BA44B1">
            <w:pPr>
              <w:pStyle w:val="NoSpacing"/>
              <w:jc w:val="right"/>
              <w:rPr>
                <w:rStyle w:val="Strong"/>
              </w:rPr>
            </w:pPr>
          </w:p>
        </w:tc>
        <w:tc>
          <w:tcPr>
            <w:tcW w:w="832"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tcPr>
          <w:p w14:paraId="46C96C5A" w14:textId="77777777" w:rsidR="00730DE4" w:rsidRPr="00730DE4" w:rsidRDefault="00730DE4" w:rsidP="00BA44B1">
            <w:pPr>
              <w:pStyle w:val="NoSpacing"/>
              <w:jc w:val="right"/>
              <w:rPr>
                <w:rStyle w:val="Strong"/>
              </w:rPr>
            </w:pPr>
          </w:p>
        </w:tc>
        <w:tc>
          <w:tcPr>
            <w:tcW w:w="833"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vAlign w:val="bottom"/>
          </w:tcPr>
          <w:p w14:paraId="384E930F" w14:textId="77777777" w:rsidR="00730DE4" w:rsidRPr="00730DE4" w:rsidRDefault="00730DE4" w:rsidP="00BA44B1">
            <w:pPr>
              <w:pStyle w:val="NoSpacing"/>
              <w:jc w:val="right"/>
              <w:rPr>
                <w:rStyle w:val="Strong"/>
              </w:rPr>
            </w:pPr>
          </w:p>
        </w:tc>
      </w:tr>
      <w:tr w:rsidR="00730DE4" w:rsidRPr="00730DE4" w14:paraId="2D4CE8B5" w14:textId="77777777" w:rsidTr="00B7676A">
        <w:trPr>
          <w:trHeight w:val="198"/>
        </w:trPr>
        <w:tc>
          <w:tcPr>
            <w:tcW w:w="250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12D8A4AE" w14:textId="77777777" w:rsidR="00730DE4" w:rsidRPr="00730DE4" w:rsidRDefault="00730DE4" w:rsidP="00BA44B1">
            <w:pPr>
              <w:pStyle w:val="NoSpacing"/>
              <w:rPr>
                <w:i/>
                <w:iCs/>
                <w:color w:val="080C0F" w:themeColor="text1"/>
              </w:rPr>
            </w:pPr>
            <w:r w:rsidRPr="00730DE4">
              <w:rPr>
                <w:i/>
                <w:iCs/>
                <w:color w:val="080C0F" w:themeColor="text1"/>
              </w:rPr>
              <w:t>Inflows:</w:t>
            </w:r>
          </w:p>
        </w:tc>
        <w:tc>
          <w:tcPr>
            <w:tcW w:w="83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1C3251B3" w14:textId="77777777" w:rsidR="00730DE4" w:rsidRPr="00730DE4" w:rsidRDefault="00730DE4" w:rsidP="00BA44B1">
            <w:pPr>
              <w:pStyle w:val="NoSpacing"/>
              <w:jc w:val="right"/>
              <w:rPr>
                <w:i/>
                <w:iCs/>
                <w:color w:val="080C0F" w:themeColor="text1"/>
              </w:rPr>
            </w:pPr>
          </w:p>
        </w:tc>
        <w:tc>
          <w:tcPr>
            <w:tcW w:w="83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hideMark/>
          </w:tcPr>
          <w:p w14:paraId="5174F321" w14:textId="77777777" w:rsidR="00730DE4" w:rsidRPr="00730DE4" w:rsidRDefault="00730DE4" w:rsidP="00BA44B1">
            <w:pPr>
              <w:pStyle w:val="NoSpacing"/>
              <w:jc w:val="right"/>
              <w:rPr>
                <w:color w:val="080C0F" w:themeColor="text1"/>
              </w:rPr>
            </w:pP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EA00E2F" w14:textId="77777777" w:rsidR="00730DE4" w:rsidRPr="00730DE4" w:rsidRDefault="00730DE4" w:rsidP="00BA44B1">
            <w:pPr>
              <w:pStyle w:val="NoSpacing"/>
              <w:jc w:val="right"/>
              <w:rPr>
                <w:color w:val="080C0F" w:themeColor="text1"/>
              </w:rPr>
            </w:pPr>
          </w:p>
        </w:tc>
      </w:tr>
      <w:tr w:rsidR="00730DE4" w:rsidRPr="00730DE4" w14:paraId="6E6B6927" w14:textId="77777777" w:rsidTr="00B7676A">
        <w:trPr>
          <w:trHeight w:val="198"/>
        </w:trPr>
        <w:tc>
          <w:tcPr>
            <w:tcW w:w="250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A88341A" w14:textId="77777777" w:rsidR="00730DE4" w:rsidRPr="00730DE4" w:rsidRDefault="00730DE4" w:rsidP="00BA44B1">
            <w:pPr>
              <w:pStyle w:val="NoSpacing"/>
              <w:rPr>
                <w:color w:val="080C0F" w:themeColor="text1"/>
              </w:rPr>
            </w:pPr>
            <w:r w:rsidRPr="00730DE4">
              <w:rPr>
                <w:color w:val="080C0F" w:themeColor="text1"/>
              </w:rPr>
              <w:t>Service appropriation receipts</w:t>
            </w:r>
          </w:p>
        </w:tc>
        <w:tc>
          <w:tcPr>
            <w:tcW w:w="83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643CD2B" w14:textId="77777777" w:rsidR="00730DE4" w:rsidRPr="00730DE4" w:rsidRDefault="00730DE4" w:rsidP="00BA44B1">
            <w:pPr>
              <w:pStyle w:val="NoSpacing"/>
              <w:jc w:val="right"/>
              <w:rPr>
                <w:color w:val="080C0F" w:themeColor="text1"/>
              </w:rPr>
            </w:pPr>
            <w:r w:rsidRPr="00730DE4">
              <w:rPr>
                <w:color w:val="080C0F" w:themeColor="text1"/>
              </w:rPr>
              <w:t xml:space="preserve">6,943,193 </w:t>
            </w:r>
          </w:p>
        </w:tc>
        <w:tc>
          <w:tcPr>
            <w:tcW w:w="83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222D10D" w14:textId="77777777" w:rsidR="00730DE4" w:rsidRPr="00730DE4" w:rsidRDefault="00730DE4" w:rsidP="00BA44B1">
            <w:pPr>
              <w:pStyle w:val="NoSpacing"/>
              <w:jc w:val="right"/>
              <w:rPr>
                <w:color w:val="080C0F" w:themeColor="text1"/>
              </w:rPr>
            </w:pPr>
            <w:r w:rsidRPr="00730DE4">
              <w:rPr>
                <w:color w:val="080C0F" w:themeColor="text1"/>
              </w:rPr>
              <w:t xml:space="preserve">7,022,253 </w:t>
            </w: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CBA9ED1" w14:textId="77777777" w:rsidR="00730DE4" w:rsidRPr="00730DE4" w:rsidRDefault="00730DE4" w:rsidP="00BA44B1">
            <w:pPr>
              <w:pStyle w:val="NoSpacing"/>
              <w:jc w:val="right"/>
              <w:rPr>
                <w:color w:val="080C0F" w:themeColor="text1"/>
              </w:rPr>
            </w:pPr>
            <w:r w:rsidRPr="00730DE4">
              <w:rPr>
                <w:color w:val="080C0F" w:themeColor="text1"/>
              </w:rPr>
              <w:t xml:space="preserve">79,060 </w:t>
            </w:r>
          </w:p>
        </w:tc>
      </w:tr>
      <w:tr w:rsidR="00730DE4" w:rsidRPr="00730DE4" w14:paraId="48D20DA7" w14:textId="77777777" w:rsidTr="00B7676A">
        <w:trPr>
          <w:trHeight w:val="198"/>
        </w:trPr>
        <w:tc>
          <w:tcPr>
            <w:tcW w:w="250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9ADFAF7" w14:textId="77777777" w:rsidR="00730DE4" w:rsidRPr="00730DE4" w:rsidRDefault="00730DE4" w:rsidP="00BA44B1">
            <w:pPr>
              <w:pStyle w:val="NoSpacing"/>
              <w:rPr>
                <w:color w:val="080C0F" w:themeColor="text1"/>
              </w:rPr>
            </w:pPr>
            <w:r w:rsidRPr="00730DE4">
              <w:rPr>
                <w:color w:val="080C0F" w:themeColor="text1"/>
              </w:rPr>
              <w:t>User charges and fees</w:t>
            </w:r>
          </w:p>
        </w:tc>
        <w:tc>
          <w:tcPr>
            <w:tcW w:w="83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2819F63" w14:textId="77777777" w:rsidR="00730DE4" w:rsidRPr="00730DE4" w:rsidRDefault="00730DE4" w:rsidP="00BA44B1">
            <w:pPr>
              <w:pStyle w:val="NoSpacing"/>
              <w:jc w:val="right"/>
              <w:rPr>
                <w:color w:val="080C0F" w:themeColor="text1"/>
              </w:rPr>
            </w:pPr>
            <w:r w:rsidRPr="00730DE4">
              <w:rPr>
                <w:color w:val="080C0F" w:themeColor="text1"/>
              </w:rPr>
              <w:t xml:space="preserve">1,067,842 </w:t>
            </w:r>
          </w:p>
        </w:tc>
        <w:tc>
          <w:tcPr>
            <w:tcW w:w="83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1CC61A6" w14:textId="77777777" w:rsidR="00730DE4" w:rsidRPr="00730DE4" w:rsidRDefault="00730DE4" w:rsidP="00BA44B1">
            <w:pPr>
              <w:pStyle w:val="NoSpacing"/>
              <w:jc w:val="right"/>
              <w:rPr>
                <w:color w:val="080C0F" w:themeColor="text1"/>
              </w:rPr>
            </w:pPr>
            <w:r w:rsidRPr="00730DE4">
              <w:rPr>
                <w:color w:val="080C0F" w:themeColor="text1"/>
              </w:rPr>
              <w:t xml:space="preserve">963,850 </w:t>
            </w: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8CAD81F" w14:textId="77777777" w:rsidR="00730DE4" w:rsidRPr="00730DE4" w:rsidRDefault="00730DE4" w:rsidP="00BA44B1">
            <w:pPr>
              <w:pStyle w:val="NoSpacing"/>
              <w:jc w:val="right"/>
              <w:rPr>
                <w:color w:val="080C0F" w:themeColor="text1"/>
              </w:rPr>
            </w:pPr>
            <w:r w:rsidRPr="00730DE4">
              <w:rPr>
                <w:color w:val="080C0F" w:themeColor="text1"/>
              </w:rPr>
              <w:t>(103,992)</w:t>
            </w:r>
          </w:p>
        </w:tc>
      </w:tr>
      <w:tr w:rsidR="00730DE4" w:rsidRPr="00730DE4" w14:paraId="271D7AEA" w14:textId="77777777" w:rsidTr="00B7676A">
        <w:trPr>
          <w:trHeight w:val="198"/>
        </w:trPr>
        <w:tc>
          <w:tcPr>
            <w:tcW w:w="250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3D62AB31" w14:textId="77777777" w:rsidR="00730DE4" w:rsidRPr="00730DE4" w:rsidRDefault="00730DE4" w:rsidP="00BA44B1">
            <w:pPr>
              <w:pStyle w:val="NoSpacing"/>
              <w:rPr>
                <w:color w:val="080C0F" w:themeColor="text1"/>
              </w:rPr>
            </w:pPr>
            <w:r w:rsidRPr="00730DE4">
              <w:rPr>
                <w:color w:val="080C0F" w:themeColor="text1"/>
              </w:rPr>
              <w:t xml:space="preserve">Grants and other contributions </w:t>
            </w:r>
          </w:p>
        </w:tc>
        <w:tc>
          <w:tcPr>
            <w:tcW w:w="83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D4E4362" w14:textId="77777777" w:rsidR="00730DE4" w:rsidRPr="00730DE4" w:rsidRDefault="00730DE4" w:rsidP="00BA44B1">
            <w:pPr>
              <w:pStyle w:val="NoSpacing"/>
              <w:jc w:val="right"/>
              <w:rPr>
                <w:color w:val="080C0F" w:themeColor="text1"/>
              </w:rPr>
            </w:pPr>
            <w:r w:rsidRPr="00730DE4">
              <w:rPr>
                <w:color w:val="080C0F" w:themeColor="text1"/>
              </w:rPr>
              <w:t xml:space="preserve">323,714 </w:t>
            </w:r>
          </w:p>
        </w:tc>
        <w:tc>
          <w:tcPr>
            <w:tcW w:w="83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E7BAC25" w14:textId="77777777" w:rsidR="00730DE4" w:rsidRPr="00730DE4" w:rsidRDefault="00730DE4" w:rsidP="00BA44B1">
            <w:pPr>
              <w:pStyle w:val="NoSpacing"/>
              <w:jc w:val="right"/>
              <w:rPr>
                <w:color w:val="080C0F" w:themeColor="text1"/>
              </w:rPr>
            </w:pPr>
            <w:r w:rsidRPr="00730DE4">
              <w:rPr>
                <w:color w:val="080C0F" w:themeColor="text1"/>
              </w:rPr>
              <w:t xml:space="preserve">555,035 </w:t>
            </w: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987BAFE" w14:textId="77777777" w:rsidR="00730DE4" w:rsidRPr="00730DE4" w:rsidRDefault="00730DE4" w:rsidP="00BA44B1">
            <w:pPr>
              <w:pStyle w:val="NoSpacing"/>
              <w:jc w:val="right"/>
              <w:rPr>
                <w:color w:val="080C0F" w:themeColor="text1"/>
              </w:rPr>
            </w:pPr>
            <w:r w:rsidRPr="00730DE4">
              <w:rPr>
                <w:color w:val="080C0F" w:themeColor="text1"/>
              </w:rPr>
              <w:t xml:space="preserve">231,321 </w:t>
            </w:r>
          </w:p>
        </w:tc>
      </w:tr>
      <w:tr w:rsidR="00730DE4" w:rsidRPr="00730DE4" w14:paraId="6D1EF959" w14:textId="77777777" w:rsidTr="00B7676A">
        <w:trPr>
          <w:trHeight w:val="198"/>
        </w:trPr>
        <w:tc>
          <w:tcPr>
            <w:tcW w:w="250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31013847" w14:textId="77777777" w:rsidR="00730DE4" w:rsidRPr="00730DE4" w:rsidRDefault="00730DE4" w:rsidP="00BA44B1">
            <w:pPr>
              <w:pStyle w:val="NoSpacing"/>
              <w:rPr>
                <w:color w:val="080C0F" w:themeColor="text1"/>
              </w:rPr>
            </w:pPr>
            <w:r w:rsidRPr="00730DE4">
              <w:rPr>
                <w:color w:val="080C0F" w:themeColor="text1"/>
              </w:rPr>
              <w:t>GST input tax credits from ATO</w:t>
            </w:r>
          </w:p>
        </w:tc>
        <w:tc>
          <w:tcPr>
            <w:tcW w:w="83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6D8CA65" w14:textId="77777777" w:rsidR="00730DE4" w:rsidRPr="00730DE4" w:rsidRDefault="00730DE4" w:rsidP="00BA44B1">
            <w:pPr>
              <w:pStyle w:val="NoSpacing"/>
              <w:jc w:val="right"/>
              <w:rPr>
                <w:color w:val="080C0F" w:themeColor="text1"/>
              </w:rPr>
            </w:pPr>
            <w:r w:rsidRPr="00730DE4">
              <w:rPr>
                <w:color w:val="080C0F" w:themeColor="text1"/>
              </w:rPr>
              <w:t xml:space="preserve">846,163 </w:t>
            </w:r>
          </w:p>
        </w:tc>
        <w:tc>
          <w:tcPr>
            <w:tcW w:w="83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5D94CED" w14:textId="77777777" w:rsidR="00730DE4" w:rsidRPr="00730DE4" w:rsidRDefault="00730DE4" w:rsidP="00BA44B1">
            <w:pPr>
              <w:pStyle w:val="NoSpacing"/>
              <w:jc w:val="right"/>
              <w:rPr>
                <w:color w:val="080C0F" w:themeColor="text1"/>
              </w:rPr>
            </w:pPr>
            <w:r w:rsidRPr="00730DE4">
              <w:rPr>
                <w:color w:val="080C0F" w:themeColor="text1"/>
              </w:rPr>
              <w:t xml:space="preserve">1,039,416 </w:t>
            </w: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4C68D778" w14:textId="77777777" w:rsidR="00730DE4" w:rsidRPr="00730DE4" w:rsidRDefault="00730DE4" w:rsidP="00BA44B1">
            <w:pPr>
              <w:pStyle w:val="NoSpacing"/>
              <w:jc w:val="right"/>
              <w:rPr>
                <w:color w:val="080C0F" w:themeColor="text1"/>
              </w:rPr>
            </w:pPr>
            <w:r w:rsidRPr="00730DE4">
              <w:rPr>
                <w:color w:val="080C0F" w:themeColor="text1"/>
              </w:rPr>
              <w:t xml:space="preserve">193,253 </w:t>
            </w:r>
          </w:p>
        </w:tc>
      </w:tr>
      <w:tr w:rsidR="00730DE4" w:rsidRPr="00730DE4" w14:paraId="60D979D5" w14:textId="77777777" w:rsidTr="00B7676A">
        <w:trPr>
          <w:trHeight w:val="198"/>
        </w:trPr>
        <w:tc>
          <w:tcPr>
            <w:tcW w:w="250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5850B49B" w14:textId="77777777" w:rsidR="00730DE4" w:rsidRPr="00730DE4" w:rsidRDefault="00730DE4" w:rsidP="00BA44B1">
            <w:pPr>
              <w:pStyle w:val="NoSpacing"/>
              <w:rPr>
                <w:color w:val="080C0F" w:themeColor="text1"/>
              </w:rPr>
            </w:pPr>
            <w:r w:rsidRPr="00730DE4">
              <w:rPr>
                <w:color w:val="080C0F" w:themeColor="text1"/>
              </w:rPr>
              <w:t>GST collected from customers</w:t>
            </w:r>
          </w:p>
        </w:tc>
        <w:tc>
          <w:tcPr>
            <w:tcW w:w="83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B2D8017" w14:textId="77777777" w:rsidR="00730DE4" w:rsidRPr="00730DE4" w:rsidRDefault="00730DE4" w:rsidP="00BA44B1">
            <w:pPr>
              <w:pStyle w:val="NoSpacing"/>
              <w:jc w:val="right"/>
              <w:rPr>
                <w:color w:val="080C0F" w:themeColor="text1"/>
              </w:rPr>
            </w:pPr>
            <w:r w:rsidRPr="00730DE4">
              <w:rPr>
                <w:color w:val="080C0F" w:themeColor="text1"/>
              </w:rPr>
              <w:t xml:space="preserve">118,144 </w:t>
            </w:r>
          </w:p>
        </w:tc>
        <w:tc>
          <w:tcPr>
            <w:tcW w:w="83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B97CDC6" w14:textId="77777777" w:rsidR="00730DE4" w:rsidRPr="00730DE4" w:rsidRDefault="00730DE4" w:rsidP="00BA44B1">
            <w:pPr>
              <w:pStyle w:val="NoSpacing"/>
              <w:jc w:val="right"/>
              <w:rPr>
                <w:color w:val="080C0F" w:themeColor="text1"/>
              </w:rPr>
            </w:pPr>
            <w:r w:rsidRPr="00730DE4">
              <w:rPr>
                <w:color w:val="080C0F" w:themeColor="text1"/>
              </w:rPr>
              <w:t xml:space="preserve">137,618 </w:t>
            </w: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9BDC91E" w14:textId="77777777" w:rsidR="00730DE4" w:rsidRPr="00730DE4" w:rsidRDefault="00730DE4" w:rsidP="00BA44B1">
            <w:pPr>
              <w:pStyle w:val="NoSpacing"/>
              <w:jc w:val="right"/>
              <w:rPr>
                <w:color w:val="080C0F" w:themeColor="text1"/>
              </w:rPr>
            </w:pPr>
            <w:r w:rsidRPr="00730DE4">
              <w:rPr>
                <w:color w:val="080C0F" w:themeColor="text1"/>
              </w:rPr>
              <w:t xml:space="preserve">19,474 </w:t>
            </w:r>
          </w:p>
        </w:tc>
      </w:tr>
      <w:tr w:rsidR="00730DE4" w:rsidRPr="00730DE4" w14:paraId="68B08B0A" w14:textId="77777777" w:rsidTr="00B7676A">
        <w:trPr>
          <w:trHeight w:val="198"/>
        </w:trPr>
        <w:tc>
          <w:tcPr>
            <w:tcW w:w="250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1223DCD7" w14:textId="77777777" w:rsidR="00730DE4" w:rsidRPr="00730DE4" w:rsidRDefault="00730DE4" w:rsidP="00BA44B1">
            <w:pPr>
              <w:pStyle w:val="NoSpacing"/>
              <w:rPr>
                <w:color w:val="080C0F" w:themeColor="text1"/>
              </w:rPr>
            </w:pPr>
            <w:r w:rsidRPr="00730DE4">
              <w:rPr>
                <w:color w:val="080C0F" w:themeColor="text1"/>
              </w:rPr>
              <w:t xml:space="preserve">Other </w:t>
            </w:r>
          </w:p>
        </w:tc>
        <w:tc>
          <w:tcPr>
            <w:tcW w:w="83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4DBCC45" w14:textId="77777777" w:rsidR="00730DE4" w:rsidRPr="00730DE4" w:rsidRDefault="00730DE4" w:rsidP="00BA44B1">
            <w:pPr>
              <w:pStyle w:val="NoSpacing"/>
              <w:jc w:val="right"/>
              <w:rPr>
                <w:color w:val="080C0F" w:themeColor="text1"/>
              </w:rPr>
            </w:pPr>
            <w:r w:rsidRPr="00730DE4">
              <w:rPr>
                <w:color w:val="080C0F" w:themeColor="text1"/>
              </w:rPr>
              <w:t xml:space="preserve">36,676 </w:t>
            </w:r>
          </w:p>
        </w:tc>
        <w:tc>
          <w:tcPr>
            <w:tcW w:w="83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F383453" w14:textId="77777777" w:rsidR="00730DE4" w:rsidRPr="00730DE4" w:rsidRDefault="00730DE4" w:rsidP="00BA44B1">
            <w:pPr>
              <w:pStyle w:val="NoSpacing"/>
              <w:jc w:val="right"/>
              <w:rPr>
                <w:color w:val="080C0F" w:themeColor="text1"/>
              </w:rPr>
            </w:pPr>
            <w:r w:rsidRPr="00730DE4">
              <w:rPr>
                <w:color w:val="080C0F" w:themeColor="text1"/>
              </w:rPr>
              <w:t xml:space="preserve">36,481 </w:t>
            </w: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2A3C5C60" w14:textId="77777777" w:rsidR="00730DE4" w:rsidRPr="00730DE4" w:rsidRDefault="00730DE4" w:rsidP="00BA44B1">
            <w:pPr>
              <w:pStyle w:val="NoSpacing"/>
              <w:jc w:val="right"/>
              <w:rPr>
                <w:color w:val="080C0F" w:themeColor="text1"/>
              </w:rPr>
            </w:pPr>
            <w:r w:rsidRPr="00730DE4">
              <w:rPr>
                <w:color w:val="080C0F" w:themeColor="text1"/>
              </w:rPr>
              <w:t>(195)</w:t>
            </w:r>
          </w:p>
        </w:tc>
      </w:tr>
      <w:tr w:rsidR="00730DE4" w:rsidRPr="00730DE4" w14:paraId="2A010B8C" w14:textId="77777777" w:rsidTr="00B7676A">
        <w:trPr>
          <w:trHeight w:val="198"/>
        </w:trPr>
        <w:tc>
          <w:tcPr>
            <w:tcW w:w="250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57D2F95D" w14:textId="77777777" w:rsidR="00730DE4" w:rsidRPr="00730DE4" w:rsidRDefault="00730DE4" w:rsidP="00BA44B1">
            <w:pPr>
              <w:pStyle w:val="NoSpacing"/>
              <w:rPr>
                <w:i/>
                <w:iCs/>
                <w:color w:val="080C0F" w:themeColor="text1"/>
              </w:rPr>
            </w:pPr>
            <w:r w:rsidRPr="00730DE4">
              <w:rPr>
                <w:i/>
                <w:iCs/>
                <w:color w:val="080C0F" w:themeColor="text1"/>
              </w:rPr>
              <w:t>Outflows:</w:t>
            </w:r>
          </w:p>
        </w:tc>
        <w:tc>
          <w:tcPr>
            <w:tcW w:w="83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3B552DB" w14:textId="77777777" w:rsidR="00730DE4" w:rsidRPr="00730DE4" w:rsidRDefault="00730DE4" w:rsidP="00BA44B1">
            <w:pPr>
              <w:pStyle w:val="NoSpacing"/>
              <w:jc w:val="right"/>
              <w:rPr>
                <w:i/>
                <w:iCs/>
                <w:color w:val="080C0F" w:themeColor="text1"/>
              </w:rPr>
            </w:pPr>
          </w:p>
        </w:tc>
        <w:tc>
          <w:tcPr>
            <w:tcW w:w="83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E386EE0" w14:textId="77777777" w:rsidR="00730DE4" w:rsidRPr="00730DE4" w:rsidRDefault="00730DE4" w:rsidP="00BA44B1">
            <w:pPr>
              <w:pStyle w:val="NoSpacing"/>
              <w:jc w:val="right"/>
              <w:rPr>
                <w:color w:val="080C0F" w:themeColor="text1"/>
              </w:rPr>
            </w:pP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60286FB" w14:textId="77777777" w:rsidR="00730DE4" w:rsidRPr="00730DE4" w:rsidRDefault="00730DE4" w:rsidP="00BA44B1">
            <w:pPr>
              <w:pStyle w:val="NoSpacing"/>
              <w:jc w:val="right"/>
              <w:rPr>
                <w:color w:val="080C0F" w:themeColor="text1"/>
              </w:rPr>
            </w:pPr>
          </w:p>
        </w:tc>
      </w:tr>
      <w:tr w:rsidR="00730DE4" w:rsidRPr="00730DE4" w14:paraId="1FDEC772" w14:textId="77777777" w:rsidTr="00B7676A">
        <w:trPr>
          <w:trHeight w:val="198"/>
        </w:trPr>
        <w:tc>
          <w:tcPr>
            <w:tcW w:w="250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0524D4D4" w14:textId="77777777" w:rsidR="00730DE4" w:rsidRPr="00730DE4" w:rsidRDefault="00730DE4" w:rsidP="00BA44B1">
            <w:pPr>
              <w:pStyle w:val="NoSpacing"/>
              <w:rPr>
                <w:color w:val="080C0F" w:themeColor="text1"/>
              </w:rPr>
            </w:pPr>
            <w:r w:rsidRPr="00730DE4">
              <w:rPr>
                <w:color w:val="080C0F" w:themeColor="text1"/>
              </w:rPr>
              <w:t>Employee expenses</w:t>
            </w:r>
          </w:p>
        </w:tc>
        <w:tc>
          <w:tcPr>
            <w:tcW w:w="83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10569C2" w14:textId="77777777" w:rsidR="00730DE4" w:rsidRPr="00730DE4" w:rsidRDefault="00730DE4" w:rsidP="00BA44B1">
            <w:pPr>
              <w:pStyle w:val="NoSpacing"/>
              <w:jc w:val="right"/>
              <w:rPr>
                <w:color w:val="080C0F" w:themeColor="text1"/>
              </w:rPr>
            </w:pPr>
            <w:r w:rsidRPr="00730DE4">
              <w:rPr>
                <w:color w:val="080C0F" w:themeColor="text1"/>
              </w:rPr>
              <w:t>(981,577)</w:t>
            </w:r>
          </w:p>
        </w:tc>
        <w:tc>
          <w:tcPr>
            <w:tcW w:w="83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7B71FC6" w14:textId="77777777" w:rsidR="00730DE4" w:rsidRPr="00730DE4" w:rsidRDefault="00730DE4" w:rsidP="00BA44B1">
            <w:pPr>
              <w:pStyle w:val="NoSpacing"/>
              <w:jc w:val="right"/>
              <w:rPr>
                <w:color w:val="080C0F" w:themeColor="text1"/>
              </w:rPr>
            </w:pPr>
            <w:r w:rsidRPr="00730DE4">
              <w:rPr>
                <w:color w:val="080C0F" w:themeColor="text1"/>
              </w:rPr>
              <w:t>(1,046,838)</w:t>
            </w: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474AE923" w14:textId="77777777" w:rsidR="00730DE4" w:rsidRPr="00730DE4" w:rsidRDefault="00730DE4" w:rsidP="00BA44B1">
            <w:pPr>
              <w:pStyle w:val="NoSpacing"/>
              <w:jc w:val="right"/>
              <w:rPr>
                <w:color w:val="080C0F" w:themeColor="text1"/>
              </w:rPr>
            </w:pPr>
            <w:r w:rsidRPr="00730DE4">
              <w:rPr>
                <w:color w:val="080C0F" w:themeColor="text1"/>
              </w:rPr>
              <w:t>(65,261)</w:t>
            </w:r>
          </w:p>
        </w:tc>
      </w:tr>
      <w:tr w:rsidR="00730DE4" w:rsidRPr="00730DE4" w14:paraId="2B04391E" w14:textId="77777777" w:rsidTr="00B7676A">
        <w:trPr>
          <w:trHeight w:val="198"/>
        </w:trPr>
        <w:tc>
          <w:tcPr>
            <w:tcW w:w="250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40963130" w14:textId="77777777" w:rsidR="00730DE4" w:rsidRPr="00730DE4" w:rsidRDefault="00730DE4" w:rsidP="00BA44B1">
            <w:pPr>
              <w:pStyle w:val="NoSpacing"/>
              <w:rPr>
                <w:color w:val="080C0F" w:themeColor="text1"/>
              </w:rPr>
            </w:pPr>
            <w:r w:rsidRPr="00730DE4">
              <w:rPr>
                <w:color w:val="080C0F" w:themeColor="text1"/>
              </w:rPr>
              <w:t xml:space="preserve">Supplies and services </w:t>
            </w:r>
          </w:p>
        </w:tc>
        <w:tc>
          <w:tcPr>
            <w:tcW w:w="83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CE9D0EF" w14:textId="77777777" w:rsidR="00730DE4" w:rsidRPr="00730DE4" w:rsidRDefault="00730DE4" w:rsidP="00BA44B1">
            <w:pPr>
              <w:pStyle w:val="NoSpacing"/>
              <w:jc w:val="right"/>
              <w:rPr>
                <w:color w:val="080C0F" w:themeColor="text1"/>
              </w:rPr>
            </w:pPr>
            <w:r w:rsidRPr="00730DE4">
              <w:rPr>
                <w:color w:val="080C0F" w:themeColor="text1"/>
              </w:rPr>
              <w:t>(4,892,893)</w:t>
            </w:r>
          </w:p>
        </w:tc>
        <w:tc>
          <w:tcPr>
            <w:tcW w:w="83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1013A24" w14:textId="77777777" w:rsidR="00730DE4" w:rsidRPr="00730DE4" w:rsidRDefault="00730DE4" w:rsidP="00BA44B1">
            <w:pPr>
              <w:pStyle w:val="NoSpacing"/>
              <w:jc w:val="right"/>
              <w:rPr>
                <w:color w:val="080C0F" w:themeColor="text1"/>
              </w:rPr>
            </w:pPr>
            <w:r w:rsidRPr="00730DE4">
              <w:rPr>
                <w:color w:val="080C0F" w:themeColor="text1"/>
              </w:rPr>
              <w:t>(4,972,938)</w:t>
            </w: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7203E55" w14:textId="77777777" w:rsidR="00730DE4" w:rsidRPr="00730DE4" w:rsidRDefault="00730DE4" w:rsidP="00BA44B1">
            <w:pPr>
              <w:pStyle w:val="NoSpacing"/>
              <w:jc w:val="right"/>
              <w:rPr>
                <w:color w:val="080C0F" w:themeColor="text1"/>
              </w:rPr>
            </w:pPr>
            <w:r w:rsidRPr="00730DE4">
              <w:rPr>
                <w:color w:val="080C0F" w:themeColor="text1"/>
              </w:rPr>
              <w:t>(80,045)</w:t>
            </w:r>
          </w:p>
        </w:tc>
      </w:tr>
      <w:tr w:rsidR="00730DE4" w:rsidRPr="00730DE4" w14:paraId="2EFB4793" w14:textId="77777777" w:rsidTr="00B7676A">
        <w:trPr>
          <w:trHeight w:val="198"/>
        </w:trPr>
        <w:tc>
          <w:tcPr>
            <w:tcW w:w="250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5C0FFFA6" w14:textId="77777777" w:rsidR="00730DE4" w:rsidRPr="00730DE4" w:rsidRDefault="00730DE4" w:rsidP="00BA44B1">
            <w:pPr>
              <w:pStyle w:val="NoSpacing"/>
              <w:rPr>
                <w:color w:val="080C0F" w:themeColor="text1"/>
              </w:rPr>
            </w:pPr>
            <w:r w:rsidRPr="00730DE4">
              <w:rPr>
                <w:color w:val="080C0F" w:themeColor="text1"/>
              </w:rPr>
              <w:t>Grants and subsidies</w:t>
            </w:r>
          </w:p>
        </w:tc>
        <w:tc>
          <w:tcPr>
            <w:tcW w:w="83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CCF75A5" w14:textId="77777777" w:rsidR="00730DE4" w:rsidRPr="00730DE4" w:rsidRDefault="00730DE4" w:rsidP="00BA44B1">
            <w:pPr>
              <w:pStyle w:val="NoSpacing"/>
              <w:jc w:val="right"/>
              <w:rPr>
                <w:color w:val="080C0F" w:themeColor="text1"/>
              </w:rPr>
            </w:pPr>
            <w:r w:rsidRPr="00730DE4">
              <w:rPr>
                <w:color w:val="080C0F" w:themeColor="text1"/>
              </w:rPr>
              <w:t>(834,161)</w:t>
            </w:r>
          </w:p>
        </w:tc>
        <w:tc>
          <w:tcPr>
            <w:tcW w:w="83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DE11BD2" w14:textId="77777777" w:rsidR="00730DE4" w:rsidRPr="00730DE4" w:rsidRDefault="00730DE4" w:rsidP="00BA44B1">
            <w:pPr>
              <w:pStyle w:val="NoSpacing"/>
              <w:jc w:val="right"/>
              <w:rPr>
                <w:color w:val="080C0F" w:themeColor="text1"/>
              </w:rPr>
            </w:pPr>
            <w:r w:rsidRPr="00730DE4">
              <w:rPr>
                <w:color w:val="080C0F" w:themeColor="text1"/>
              </w:rPr>
              <w:t>(781,195)</w:t>
            </w: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FF5423E" w14:textId="77777777" w:rsidR="00730DE4" w:rsidRPr="00730DE4" w:rsidRDefault="00730DE4" w:rsidP="00BA44B1">
            <w:pPr>
              <w:pStyle w:val="NoSpacing"/>
              <w:jc w:val="right"/>
              <w:rPr>
                <w:color w:val="080C0F" w:themeColor="text1"/>
              </w:rPr>
            </w:pPr>
            <w:r w:rsidRPr="00730DE4">
              <w:rPr>
                <w:color w:val="080C0F" w:themeColor="text1"/>
              </w:rPr>
              <w:t xml:space="preserve">52,966 </w:t>
            </w:r>
          </w:p>
        </w:tc>
      </w:tr>
      <w:tr w:rsidR="00730DE4" w:rsidRPr="00730DE4" w14:paraId="18AE0A05" w14:textId="77777777" w:rsidTr="00B7676A">
        <w:trPr>
          <w:trHeight w:val="198"/>
        </w:trPr>
        <w:tc>
          <w:tcPr>
            <w:tcW w:w="250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8F5A066" w14:textId="77777777" w:rsidR="00730DE4" w:rsidRPr="00730DE4" w:rsidRDefault="00730DE4" w:rsidP="00BA44B1">
            <w:pPr>
              <w:pStyle w:val="NoSpacing"/>
              <w:rPr>
                <w:color w:val="080C0F" w:themeColor="text1"/>
              </w:rPr>
            </w:pPr>
            <w:r w:rsidRPr="00730DE4">
              <w:rPr>
                <w:color w:val="080C0F" w:themeColor="text1"/>
              </w:rPr>
              <w:t>Finance and borrowing costs</w:t>
            </w:r>
          </w:p>
        </w:tc>
        <w:tc>
          <w:tcPr>
            <w:tcW w:w="83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2176CA2" w14:textId="77777777" w:rsidR="00730DE4" w:rsidRPr="00730DE4" w:rsidRDefault="00730DE4" w:rsidP="00BA44B1">
            <w:pPr>
              <w:pStyle w:val="NoSpacing"/>
              <w:jc w:val="right"/>
              <w:rPr>
                <w:color w:val="080C0F" w:themeColor="text1"/>
              </w:rPr>
            </w:pPr>
            <w:r w:rsidRPr="00730DE4">
              <w:rPr>
                <w:color w:val="080C0F" w:themeColor="text1"/>
              </w:rPr>
              <w:t>(95,542)</w:t>
            </w:r>
          </w:p>
        </w:tc>
        <w:tc>
          <w:tcPr>
            <w:tcW w:w="83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7AF34D4" w14:textId="77777777" w:rsidR="00730DE4" w:rsidRPr="00730DE4" w:rsidRDefault="00730DE4" w:rsidP="00BA44B1">
            <w:pPr>
              <w:pStyle w:val="NoSpacing"/>
              <w:jc w:val="right"/>
              <w:rPr>
                <w:color w:val="080C0F" w:themeColor="text1"/>
              </w:rPr>
            </w:pPr>
            <w:r w:rsidRPr="00730DE4">
              <w:rPr>
                <w:color w:val="080C0F" w:themeColor="text1"/>
              </w:rPr>
              <w:t>(101,018)</w:t>
            </w: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78A88C6" w14:textId="77777777" w:rsidR="00730DE4" w:rsidRPr="00730DE4" w:rsidRDefault="00730DE4" w:rsidP="00BA44B1">
            <w:pPr>
              <w:pStyle w:val="NoSpacing"/>
              <w:jc w:val="right"/>
              <w:rPr>
                <w:color w:val="080C0F" w:themeColor="text1"/>
              </w:rPr>
            </w:pPr>
            <w:r w:rsidRPr="00730DE4">
              <w:rPr>
                <w:color w:val="080C0F" w:themeColor="text1"/>
              </w:rPr>
              <w:t>(5,476)</w:t>
            </w:r>
          </w:p>
        </w:tc>
      </w:tr>
      <w:tr w:rsidR="00730DE4" w:rsidRPr="00730DE4" w14:paraId="307C481D" w14:textId="77777777" w:rsidTr="00B7676A">
        <w:trPr>
          <w:trHeight w:val="198"/>
        </w:trPr>
        <w:tc>
          <w:tcPr>
            <w:tcW w:w="250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67C31F7B" w14:textId="77777777" w:rsidR="00730DE4" w:rsidRPr="00730DE4" w:rsidRDefault="00730DE4" w:rsidP="00BA44B1">
            <w:pPr>
              <w:pStyle w:val="NoSpacing"/>
              <w:rPr>
                <w:color w:val="080C0F" w:themeColor="text1"/>
              </w:rPr>
            </w:pPr>
            <w:r w:rsidRPr="00730DE4">
              <w:rPr>
                <w:color w:val="080C0F" w:themeColor="text1"/>
              </w:rPr>
              <w:t>GST paid to suppliers</w:t>
            </w:r>
          </w:p>
        </w:tc>
        <w:tc>
          <w:tcPr>
            <w:tcW w:w="83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39B9E54" w14:textId="77777777" w:rsidR="00730DE4" w:rsidRPr="00730DE4" w:rsidRDefault="00730DE4" w:rsidP="00BA44B1">
            <w:pPr>
              <w:pStyle w:val="NoSpacing"/>
              <w:jc w:val="right"/>
              <w:rPr>
                <w:color w:val="080C0F" w:themeColor="text1"/>
              </w:rPr>
            </w:pPr>
            <w:r w:rsidRPr="00730DE4">
              <w:rPr>
                <w:color w:val="080C0F" w:themeColor="text1"/>
              </w:rPr>
              <w:t>(847,228)</w:t>
            </w:r>
          </w:p>
        </w:tc>
        <w:tc>
          <w:tcPr>
            <w:tcW w:w="83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415E4E4" w14:textId="77777777" w:rsidR="00730DE4" w:rsidRPr="00730DE4" w:rsidRDefault="00730DE4" w:rsidP="00BA44B1">
            <w:pPr>
              <w:pStyle w:val="NoSpacing"/>
              <w:jc w:val="right"/>
              <w:rPr>
                <w:color w:val="080C0F" w:themeColor="text1"/>
              </w:rPr>
            </w:pPr>
            <w:r w:rsidRPr="00730DE4">
              <w:rPr>
                <w:color w:val="080C0F" w:themeColor="text1"/>
              </w:rPr>
              <w:t>(1,054,762)</w:t>
            </w: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6FAD9A5" w14:textId="77777777" w:rsidR="00730DE4" w:rsidRPr="00730DE4" w:rsidRDefault="00730DE4" w:rsidP="00BA44B1">
            <w:pPr>
              <w:pStyle w:val="NoSpacing"/>
              <w:jc w:val="right"/>
              <w:rPr>
                <w:color w:val="080C0F" w:themeColor="text1"/>
              </w:rPr>
            </w:pPr>
            <w:r w:rsidRPr="00730DE4">
              <w:rPr>
                <w:color w:val="080C0F" w:themeColor="text1"/>
              </w:rPr>
              <w:t>(207,534)</w:t>
            </w:r>
          </w:p>
        </w:tc>
      </w:tr>
      <w:tr w:rsidR="00730DE4" w:rsidRPr="00730DE4" w14:paraId="4F41E2F4" w14:textId="77777777" w:rsidTr="00B7676A">
        <w:trPr>
          <w:trHeight w:val="198"/>
        </w:trPr>
        <w:tc>
          <w:tcPr>
            <w:tcW w:w="250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AE74AB7" w14:textId="77777777" w:rsidR="00730DE4" w:rsidRPr="00730DE4" w:rsidRDefault="00730DE4" w:rsidP="00BA44B1">
            <w:pPr>
              <w:pStyle w:val="NoSpacing"/>
              <w:rPr>
                <w:color w:val="080C0F" w:themeColor="text1"/>
              </w:rPr>
            </w:pPr>
            <w:r w:rsidRPr="00730DE4">
              <w:rPr>
                <w:color w:val="080C0F" w:themeColor="text1"/>
              </w:rPr>
              <w:t>GST remitted to ATO</w:t>
            </w:r>
          </w:p>
        </w:tc>
        <w:tc>
          <w:tcPr>
            <w:tcW w:w="83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62A2194" w14:textId="77777777" w:rsidR="00730DE4" w:rsidRPr="00730DE4" w:rsidRDefault="00730DE4" w:rsidP="00BA44B1">
            <w:pPr>
              <w:pStyle w:val="NoSpacing"/>
              <w:jc w:val="right"/>
              <w:rPr>
                <w:color w:val="080C0F" w:themeColor="text1"/>
              </w:rPr>
            </w:pPr>
            <w:r w:rsidRPr="00730DE4">
              <w:rPr>
                <w:color w:val="080C0F" w:themeColor="text1"/>
              </w:rPr>
              <w:t>(94,045)</w:t>
            </w:r>
          </w:p>
        </w:tc>
        <w:tc>
          <w:tcPr>
            <w:tcW w:w="83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956EF1A" w14:textId="77777777" w:rsidR="00730DE4" w:rsidRPr="00730DE4" w:rsidRDefault="00730DE4" w:rsidP="00BA44B1">
            <w:pPr>
              <w:pStyle w:val="NoSpacing"/>
              <w:jc w:val="right"/>
              <w:rPr>
                <w:color w:val="080C0F" w:themeColor="text1"/>
              </w:rPr>
            </w:pPr>
            <w:r w:rsidRPr="00730DE4">
              <w:rPr>
                <w:color w:val="080C0F" w:themeColor="text1"/>
              </w:rPr>
              <w:t>(130,997)</w:t>
            </w: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71F8519" w14:textId="77777777" w:rsidR="00730DE4" w:rsidRPr="00730DE4" w:rsidRDefault="00730DE4" w:rsidP="00BA44B1">
            <w:pPr>
              <w:pStyle w:val="NoSpacing"/>
              <w:jc w:val="right"/>
              <w:rPr>
                <w:color w:val="080C0F" w:themeColor="text1"/>
              </w:rPr>
            </w:pPr>
            <w:r w:rsidRPr="00730DE4">
              <w:rPr>
                <w:color w:val="080C0F" w:themeColor="text1"/>
              </w:rPr>
              <w:t>(36,952)</w:t>
            </w:r>
          </w:p>
        </w:tc>
      </w:tr>
      <w:tr w:rsidR="00730DE4" w:rsidRPr="00730DE4" w14:paraId="426C8631" w14:textId="77777777" w:rsidTr="00B7676A">
        <w:trPr>
          <w:trHeight w:val="198"/>
        </w:trPr>
        <w:tc>
          <w:tcPr>
            <w:tcW w:w="250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DAC806F" w14:textId="77777777" w:rsidR="00730DE4" w:rsidRPr="00730DE4" w:rsidRDefault="00730DE4" w:rsidP="00BA44B1">
            <w:pPr>
              <w:pStyle w:val="NoSpacing"/>
              <w:rPr>
                <w:color w:val="080C0F" w:themeColor="text1"/>
              </w:rPr>
            </w:pPr>
            <w:r w:rsidRPr="00730DE4">
              <w:rPr>
                <w:color w:val="080C0F" w:themeColor="text1"/>
              </w:rPr>
              <w:t>Income tax equivalent paid</w:t>
            </w:r>
          </w:p>
        </w:tc>
        <w:tc>
          <w:tcPr>
            <w:tcW w:w="83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DC7FB57" w14:textId="77777777" w:rsidR="00730DE4" w:rsidRPr="00730DE4" w:rsidRDefault="00730DE4" w:rsidP="00BA44B1">
            <w:pPr>
              <w:pStyle w:val="NoSpacing"/>
              <w:jc w:val="right"/>
              <w:rPr>
                <w:color w:val="080C0F" w:themeColor="text1"/>
              </w:rPr>
            </w:pPr>
            <w:r w:rsidRPr="00730DE4">
              <w:rPr>
                <w:color w:val="080C0F" w:themeColor="text1"/>
              </w:rPr>
              <w:t>(9,263)</w:t>
            </w:r>
          </w:p>
        </w:tc>
        <w:tc>
          <w:tcPr>
            <w:tcW w:w="83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C020A5B" w14:textId="77777777" w:rsidR="00730DE4" w:rsidRPr="00730DE4" w:rsidRDefault="00730DE4" w:rsidP="00BA44B1">
            <w:pPr>
              <w:pStyle w:val="NoSpacing"/>
              <w:jc w:val="right"/>
              <w:rPr>
                <w:color w:val="080C0F" w:themeColor="text1"/>
              </w:rPr>
            </w:pPr>
            <w:r w:rsidRPr="00730DE4">
              <w:rPr>
                <w:color w:val="080C0F" w:themeColor="text1"/>
              </w:rPr>
              <w:t>(4,697)</w:t>
            </w: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4553FF0E" w14:textId="77777777" w:rsidR="00730DE4" w:rsidRPr="00730DE4" w:rsidRDefault="00730DE4" w:rsidP="00BA44B1">
            <w:pPr>
              <w:pStyle w:val="NoSpacing"/>
              <w:jc w:val="right"/>
              <w:rPr>
                <w:color w:val="080C0F" w:themeColor="text1"/>
              </w:rPr>
            </w:pPr>
            <w:r w:rsidRPr="00730DE4">
              <w:rPr>
                <w:color w:val="080C0F" w:themeColor="text1"/>
              </w:rPr>
              <w:t xml:space="preserve">4,566 </w:t>
            </w:r>
          </w:p>
        </w:tc>
      </w:tr>
      <w:tr w:rsidR="00730DE4" w:rsidRPr="00730DE4" w14:paraId="4A2FEB23" w14:textId="77777777" w:rsidTr="00B7676A">
        <w:trPr>
          <w:trHeight w:val="198"/>
        </w:trPr>
        <w:tc>
          <w:tcPr>
            <w:tcW w:w="2502"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5864D1ED" w14:textId="77777777" w:rsidR="00730DE4" w:rsidRPr="00730DE4" w:rsidRDefault="00730DE4" w:rsidP="00BA44B1">
            <w:pPr>
              <w:pStyle w:val="NoSpacing"/>
              <w:rPr>
                <w:color w:val="080C0F" w:themeColor="text1"/>
              </w:rPr>
            </w:pPr>
            <w:r w:rsidRPr="00730DE4">
              <w:rPr>
                <w:color w:val="080C0F" w:themeColor="text1"/>
              </w:rPr>
              <w:t xml:space="preserve">Other </w:t>
            </w:r>
          </w:p>
        </w:tc>
        <w:tc>
          <w:tcPr>
            <w:tcW w:w="832"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2ED65FEB" w14:textId="77777777" w:rsidR="00730DE4" w:rsidRPr="00730DE4" w:rsidRDefault="00730DE4" w:rsidP="00BA44B1">
            <w:pPr>
              <w:pStyle w:val="NoSpacing"/>
              <w:jc w:val="right"/>
              <w:rPr>
                <w:color w:val="080C0F" w:themeColor="text1"/>
              </w:rPr>
            </w:pPr>
            <w:r w:rsidRPr="00730DE4">
              <w:rPr>
                <w:color w:val="080C0F" w:themeColor="text1"/>
              </w:rPr>
              <w:t>(19,724)</w:t>
            </w:r>
          </w:p>
        </w:tc>
        <w:tc>
          <w:tcPr>
            <w:tcW w:w="832"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712A86A5" w14:textId="77777777" w:rsidR="00730DE4" w:rsidRPr="00730DE4" w:rsidRDefault="00730DE4" w:rsidP="00BA44B1">
            <w:pPr>
              <w:pStyle w:val="NoSpacing"/>
              <w:jc w:val="right"/>
              <w:rPr>
                <w:color w:val="080C0F" w:themeColor="text1"/>
              </w:rPr>
            </w:pPr>
            <w:r w:rsidRPr="00730DE4">
              <w:rPr>
                <w:color w:val="080C0F" w:themeColor="text1"/>
              </w:rPr>
              <w:t>(21,935)</w:t>
            </w:r>
          </w:p>
        </w:tc>
        <w:tc>
          <w:tcPr>
            <w:tcW w:w="833"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077C64B3" w14:textId="77777777" w:rsidR="00730DE4" w:rsidRPr="00730DE4" w:rsidRDefault="00730DE4" w:rsidP="00BA44B1">
            <w:pPr>
              <w:pStyle w:val="NoSpacing"/>
              <w:jc w:val="right"/>
              <w:rPr>
                <w:color w:val="080C0F" w:themeColor="text1"/>
              </w:rPr>
            </w:pPr>
            <w:r w:rsidRPr="00730DE4">
              <w:rPr>
                <w:color w:val="080C0F" w:themeColor="text1"/>
              </w:rPr>
              <w:t>(2,211)</w:t>
            </w:r>
          </w:p>
        </w:tc>
      </w:tr>
      <w:tr w:rsidR="00730DE4" w:rsidRPr="00730DE4" w14:paraId="3D7BFFA9" w14:textId="77777777" w:rsidTr="00B7676A">
        <w:tc>
          <w:tcPr>
            <w:tcW w:w="2502" w:type="pct"/>
            <w:tcBorders>
              <w:top w:val="single" w:sz="4" w:space="0" w:color="auto"/>
              <w:left w:val="nil"/>
              <w:right w:val="dotted" w:sz="4" w:space="0" w:color="BFBFBF" w:themeColor="background1" w:themeShade="BF"/>
            </w:tcBorders>
            <w:shd w:val="clear" w:color="auto" w:fill="auto"/>
            <w:noWrap/>
            <w:hideMark/>
          </w:tcPr>
          <w:p w14:paraId="2B5C7BD4" w14:textId="77777777" w:rsidR="00730DE4" w:rsidRPr="00730DE4" w:rsidRDefault="00730DE4" w:rsidP="00BA44B1">
            <w:pPr>
              <w:pStyle w:val="NoSpacing"/>
              <w:rPr>
                <w:color w:val="080C0F" w:themeColor="text1"/>
              </w:rPr>
            </w:pPr>
            <w:r w:rsidRPr="00730DE4">
              <w:rPr>
                <w:rStyle w:val="Strong"/>
              </w:rPr>
              <w:t>Net cash provided by operating activities</w:t>
            </w:r>
          </w:p>
        </w:tc>
        <w:tc>
          <w:tcPr>
            <w:tcW w:w="832"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16072CE4" w14:textId="77777777" w:rsidR="00730DE4" w:rsidRPr="00730DE4" w:rsidRDefault="00730DE4" w:rsidP="00BA44B1">
            <w:pPr>
              <w:pStyle w:val="NoSpacing"/>
              <w:jc w:val="right"/>
              <w:rPr>
                <w:color w:val="080C0F" w:themeColor="text1"/>
              </w:rPr>
            </w:pPr>
            <w:r w:rsidRPr="00730DE4">
              <w:rPr>
                <w:rStyle w:val="Strong"/>
              </w:rPr>
              <w:t xml:space="preserve">1,561,299 </w:t>
            </w:r>
          </w:p>
        </w:tc>
        <w:tc>
          <w:tcPr>
            <w:tcW w:w="832"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2C51D523" w14:textId="77777777" w:rsidR="00730DE4" w:rsidRPr="00730DE4" w:rsidRDefault="00730DE4" w:rsidP="00BA44B1">
            <w:pPr>
              <w:pStyle w:val="NoSpacing"/>
              <w:jc w:val="right"/>
              <w:rPr>
                <w:color w:val="080C0F" w:themeColor="text1"/>
              </w:rPr>
            </w:pPr>
            <w:r w:rsidRPr="00730DE4">
              <w:rPr>
                <w:rStyle w:val="Strong"/>
              </w:rPr>
              <w:t xml:space="preserve">1,640,273 </w:t>
            </w:r>
          </w:p>
        </w:tc>
        <w:tc>
          <w:tcPr>
            <w:tcW w:w="833" w:type="pct"/>
            <w:tcBorders>
              <w:top w:val="single" w:sz="4" w:space="0" w:color="auto"/>
              <w:left w:val="dotted" w:sz="4" w:space="0" w:color="BFBFBF" w:themeColor="background1" w:themeShade="BF"/>
              <w:right w:val="nil"/>
            </w:tcBorders>
            <w:shd w:val="clear" w:color="auto" w:fill="auto"/>
            <w:noWrap/>
            <w:hideMark/>
          </w:tcPr>
          <w:p w14:paraId="5A6A5CEE" w14:textId="77777777" w:rsidR="00730DE4" w:rsidRPr="00730DE4" w:rsidRDefault="00730DE4" w:rsidP="00BA44B1">
            <w:pPr>
              <w:pStyle w:val="NoSpacing"/>
              <w:jc w:val="right"/>
              <w:rPr>
                <w:rStyle w:val="Strong"/>
              </w:rPr>
            </w:pPr>
            <w:r w:rsidRPr="00730DE4">
              <w:rPr>
                <w:rStyle w:val="Strong"/>
              </w:rPr>
              <w:t xml:space="preserve">78,974 </w:t>
            </w:r>
          </w:p>
        </w:tc>
      </w:tr>
      <w:tr w:rsidR="00730DE4" w:rsidRPr="00730DE4" w14:paraId="28CB8C1D" w14:textId="77777777" w:rsidTr="00B7676A">
        <w:trPr>
          <w:trHeight w:val="454"/>
        </w:trPr>
        <w:tc>
          <w:tcPr>
            <w:tcW w:w="2502" w:type="pct"/>
            <w:tcBorders>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590BD122" w14:textId="77777777" w:rsidR="00730DE4" w:rsidRPr="00730DE4" w:rsidRDefault="00730DE4" w:rsidP="00BA44B1">
            <w:pPr>
              <w:pStyle w:val="NoSpacing"/>
              <w:rPr>
                <w:color w:val="080C0F" w:themeColor="text1"/>
              </w:rPr>
            </w:pPr>
            <w:r w:rsidRPr="00730DE4">
              <w:rPr>
                <w:rStyle w:val="Strong"/>
              </w:rPr>
              <w:t>Cash flows from investing activities</w:t>
            </w:r>
          </w:p>
        </w:tc>
        <w:tc>
          <w:tcPr>
            <w:tcW w:w="832"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3562DDEB" w14:textId="77777777" w:rsidR="00730DE4" w:rsidRPr="00730DE4" w:rsidRDefault="00730DE4" w:rsidP="00BA44B1">
            <w:pPr>
              <w:pStyle w:val="NoSpacing"/>
              <w:jc w:val="right"/>
              <w:rPr>
                <w:rStyle w:val="Strong"/>
              </w:rPr>
            </w:pPr>
          </w:p>
        </w:tc>
        <w:tc>
          <w:tcPr>
            <w:tcW w:w="832"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2CE84EAC" w14:textId="77777777" w:rsidR="00730DE4" w:rsidRPr="00730DE4" w:rsidRDefault="00730DE4" w:rsidP="00BA44B1">
            <w:pPr>
              <w:pStyle w:val="NoSpacing"/>
              <w:jc w:val="right"/>
              <w:rPr>
                <w:color w:val="080C0F" w:themeColor="text1"/>
              </w:rPr>
            </w:pPr>
          </w:p>
        </w:tc>
        <w:tc>
          <w:tcPr>
            <w:tcW w:w="833" w:type="pct"/>
            <w:tcBorders>
              <w:left w:val="dotted" w:sz="4" w:space="0" w:color="BFBFBF" w:themeColor="background1" w:themeShade="BF"/>
              <w:bottom w:val="dotted" w:sz="4" w:space="0" w:color="BFBFBF" w:themeColor="background1" w:themeShade="BF"/>
              <w:right w:val="nil"/>
            </w:tcBorders>
            <w:shd w:val="clear" w:color="auto" w:fill="auto"/>
            <w:noWrap/>
            <w:vAlign w:val="bottom"/>
          </w:tcPr>
          <w:p w14:paraId="671EEF34" w14:textId="77777777" w:rsidR="00730DE4" w:rsidRPr="00730DE4" w:rsidRDefault="00730DE4" w:rsidP="00BA44B1">
            <w:pPr>
              <w:pStyle w:val="NoSpacing"/>
              <w:jc w:val="right"/>
              <w:rPr>
                <w:color w:val="080C0F" w:themeColor="text1"/>
              </w:rPr>
            </w:pPr>
          </w:p>
        </w:tc>
      </w:tr>
      <w:tr w:rsidR="00730DE4" w:rsidRPr="00730DE4" w14:paraId="566837AD" w14:textId="77777777" w:rsidTr="00B7676A">
        <w:trPr>
          <w:trHeight w:val="198"/>
        </w:trPr>
        <w:tc>
          <w:tcPr>
            <w:tcW w:w="250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3CAEF6E" w14:textId="77777777" w:rsidR="00730DE4" w:rsidRPr="00730DE4" w:rsidRDefault="00730DE4" w:rsidP="00BA44B1">
            <w:pPr>
              <w:pStyle w:val="NoSpacing"/>
              <w:rPr>
                <w:i/>
                <w:iCs/>
                <w:color w:val="080C0F" w:themeColor="text1"/>
              </w:rPr>
            </w:pPr>
            <w:r w:rsidRPr="00730DE4">
              <w:rPr>
                <w:i/>
                <w:iCs/>
                <w:color w:val="080C0F" w:themeColor="text1"/>
              </w:rPr>
              <w:t>Inflows:</w:t>
            </w:r>
          </w:p>
        </w:tc>
        <w:tc>
          <w:tcPr>
            <w:tcW w:w="83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B501FF6" w14:textId="77777777" w:rsidR="00730DE4" w:rsidRPr="00730DE4" w:rsidRDefault="00730DE4" w:rsidP="00BA44B1">
            <w:pPr>
              <w:pStyle w:val="NoSpacing"/>
              <w:jc w:val="right"/>
              <w:rPr>
                <w:i/>
                <w:iCs/>
                <w:color w:val="080C0F" w:themeColor="text1"/>
              </w:rPr>
            </w:pPr>
          </w:p>
        </w:tc>
        <w:tc>
          <w:tcPr>
            <w:tcW w:w="83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BE6E169" w14:textId="77777777" w:rsidR="00730DE4" w:rsidRPr="00730DE4" w:rsidRDefault="00730DE4" w:rsidP="00BA44B1">
            <w:pPr>
              <w:pStyle w:val="NoSpacing"/>
              <w:jc w:val="right"/>
              <w:rPr>
                <w:color w:val="080C0F" w:themeColor="text1"/>
              </w:rPr>
            </w:pP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33621FBC" w14:textId="77777777" w:rsidR="00730DE4" w:rsidRPr="00730DE4" w:rsidRDefault="00730DE4" w:rsidP="00BA44B1">
            <w:pPr>
              <w:pStyle w:val="NoSpacing"/>
              <w:jc w:val="right"/>
              <w:rPr>
                <w:color w:val="080C0F" w:themeColor="text1"/>
              </w:rPr>
            </w:pPr>
          </w:p>
        </w:tc>
      </w:tr>
      <w:tr w:rsidR="00730DE4" w:rsidRPr="00730DE4" w14:paraId="25547935" w14:textId="77777777" w:rsidTr="00B7676A">
        <w:trPr>
          <w:trHeight w:val="198"/>
        </w:trPr>
        <w:tc>
          <w:tcPr>
            <w:tcW w:w="250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72CD384" w14:textId="77777777" w:rsidR="00730DE4" w:rsidRPr="00730DE4" w:rsidRDefault="00730DE4" w:rsidP="00BA44B1">
            <w:pPr>
              <w:pStyle w:val="NoSpacing"/>
              <w:rPr>
                <w:color w:val="080C0F" w:themeColor="text1"/>
              </w:rPr>
            </w:pPr>
            <w:r w:rsidRPr="00730DE4">
              <w:rPr>
                <w:color w:val="080C0F" w:themeColor="text1"/>
              </w:rPr>
              <w:t>Sales of property, plant and equipment</w:t>
            </w:r>
          </w:p>
        </w:tc>
        <w:tc>
          <w:tcPr>
            <w:tcW w:w="83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DBB6FD5" w14:textId="77777777" w:rsidR="00730DE4" w:rsidRPr="00730DE4" w:rsidRDefault="00730DE4" w:rsidP="00BA44B1">
            <w:pPr>
              <w:pStyle w:val="NoSpacing"/>
              <w:jc w:val="right"/>
              <w:rPr>
                <w:color w:val="080C0F" w:themeColor="text1"/>
              </w:rPr>
            </w:pPr>
            <w:r w:rsidRPr="00730DE4">
              <w:rPr>
                <w:color w:val="080C0F" w:themeColor="text1"/>
              </w:rPr>
              <w:t xml:space="preserve">27,577 </w:t>
            </w:r>
          </w:p>
        </w:tc>
        <w:tc>
          <w:tcPr>
            <w:tcW w:w="83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ABE0209" w14:textId="77777777" w:rsidR="00730DE4" w:rsidRPr="00730DE4" w:rsidRDefault="00730DE4" w:rsidP="00BA44B1">
            <w:pPr>
              <w:pStyle w:val="NoSpacing"/>
              <w:jc w:val="right"/>
              <w:rPr>
                <w:color w:val="080C0F" w:themeColor="text1"/>
              </w:rPr>
            </w:pPr>
            <w:r w:rsidRPr="00730DE4">
              <w:rPr>
                <w:color w:val="080C0F" w:themeColor="text1"/>
              </w:rPr>
              <w:t xml:space="preserve">28,093 </w:t>
            </w: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661144D" w14:textId="77777777" w:rsidR="00730DE4" w:rsidRPr="00730DE4" w:rsidRDefault="00730DE4" w:rsidP="00BA44B1">
            <w:pPr>
              <w:pStyle w:val="NoSpacing"/>
              <w:jc w:val="right"/>
              <w:rPr>
                <w:color w:val="080C0F" w:themeColor="text1"/>
              </w:rPr>
            </w:pPr>
            <w:r w:rsidRPr="00730DE4">
              <w:rPr>
                <w:color w:val="080C0F" w:themeColor="text1"/>
              </w:rPr>
              <w:t xml:space="preserve">516 </w:t>
            </w:r>
          </w:p>
        </w:tc>
      </w:tr>
      <w:tr w:rsidR="00730DE4" w:rsidRPr="00730DE4" w14:paraId="0EE74081" w14:textId="77777777" w:rsidTr="00B7676A">
        <w:trPr>
          <w:trHeight w:val="198"/>
        </w:trPr>
        <w:tc>
          <w:tcPr>
            <w:tcW w:w="250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34BAB8AD" w14:textId="77777777" w:rsidR="00730DE4" w:rsidRPr="00730DE4" w:rsidRDefault="00730DE4" w:rsidP="00BA44B1">
            <w:pPr>
              <w:pStyle w:val="NoSpacing"/>
              <w:rPr>
                <w:i/>
                <w:iCs/>
                <w:color w:val="080C0F" w:themeColor="text1"/>
              </w:rPr>
            </w:pPr>
            <w:r w:rsidRPr="00730DE4">
              <w:rPr>
                <w:i/>
                <w:iCs/>
                <w:color w:val="080C0F" w:themeColor="text1"/>
              </w:rPr>
              <w:t>Outflows:</w:t>
            </w:r>
          </w:p>
        </w:tc>
        <w:tc>
          <w:tcPr>
            <w:tcW w:w="83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A4B9731" w14:textId="77777777" w:rsidR="00730DE4" w:rsidRPr="00730DE4" w:rsidRDefault="00730DE4" w:rsidP="00BA44B1">
            <w:pPr>
              <w:pStyle w:val="NoSpacing"/>
              <w:jc w:val="right"/>
              <w:rPr>
                <w:i/>
                <w:iCs/>
                <w:color w:val="080C0F" w:themeColor="text1"/>
              </w:rPr>
            </w:pPr>
          </w:p>
        </w:tc>
        <w:tc>
          <w:tcPr>
            <w:tcW w:w="83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0F4248B" w14:textId="77777777" w:rsidR="00730DE4" w:rsidRPr="00730DE4" w:rsidRDefault="00730DE4" w:rsidP="00BA44B1">
            <w:pPr>
              <w:pStyle w:val="NoSpacing"/>
              <w:jc w:val="right"/>
              <w:rPr>
                <w:color w:val="080C0F" w:themeColor="text1"/>
              </w:rPr>
            </w:pP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12AB824" w14:textId="77777777" w:rsidR="00730DE4" w:rsidRPr="00730DE4" w:rsidRDefault="00730DE4" w:rsidP="00BA44B1">
            <w:pPr>
              <w:pStyle w:val="NoSpacing"/>
              <w:jc w:val="right"/>
              <w:rPr>
                <w:color w:val="080C0F" w:themeColor="text1"/>
              </w:rPr>
            </w:pPr>
          </w:p>
        </w:tc>
      </w:tr>
      <w:tr w:rsidR="00730DE4" w:rsidRPr="00730DE4" w14:paraId="1FCF7C61" w14:textId="77777777" w:rsidTr="00B7676A">
        <w:trPr>
          <w:trHeight w:val="198"/>
        </w:trPr>
        <w:tc>
          <w:tcPr>
            <w:tcW w:w="250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58A25F6A" w14:textId="77777777" w:rsidR="00730DE4" w:rsidRPr="00730DE4" w:rsidRDefault="00730DE4" w:rsidP="00BA44B1">
            <w:pPr>
              <w:pStyle w:val="NoSpacing"/>
              <w:rPr>
                <w:color w:val="080C0F" w:themeColor="text1"/>
              </w:rPr>
            </w:pPr>
            <w:r w:rsidRPr="00730DE4">
              <w:rPr>
                <w:color w:val="080C0F" w:themeColor="text1"/>
              </w:rPr>
              <w:t>Payments for property, plant and equipment</w:t>
            </w:r>
          </w:p>
        </w:tc>
        <w:tc>
          <w:tcPr>
            <w:tcW w:w="83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8335B71" w14:textId="77777777" w:rsidR="00730DE4" w:rsidRPr="00730DE4" w:rsidRDefault="00730DE4" w:rsidP="00BA44B1">
            <w:pPr>
              <w:pStyle w:val="NoSpacing"/>
              <w:jc w:val="right"/>
              <w:rPr>
                <w:color w:val="080C0F" w:themeColor="text1"/>
              </w:rPr>
            </w:pPr>
            <w:r w:rsidRPr="00730DE4">
              <w:rPr>
                <w:color w:val="080C0F" w:themeColor="text1"/>
              </w:rPr>
              <w:t>(3,875,852)</w:t>
            </w:r>
          </w:p>
        </w:tc>
        <w:tc>
          <w:tcPr>
            <w:tcW w:w="83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547FA82" w14:textId="77777777" w:rsidR="00730DE4" w:rsidRPr="00730DE4" w:rsidRDefault="00730DE4" w:rsidP="00BA44B1">
            <w:pPr>
              <w:pStyle w:val="NoSpacing"/>
              <w:jc w:val="right"/>
              <w:rPr>
                <w:color w:val="080C0F" w:themeColor="text1"/>
              </w:rPr>
            </w:pPr>
            <w:r w:rsidRPr="00730DE4">
              <w:rPr>
                <w:color w:val="080C0F" w:themeColor="text1"/>
              </w:rPr>
              <w:t>(5,315,626)</w:t>
            </w: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5621BC1" w14:textId="77777777" w:rsidR="00730DE4" w:rsidRPr="00730DE4" w:rsidRDefault="00730DE4" w:rsidP="00BA44B1">
            <w:pPr>
              <w:pStyle w:val="NoSpacing"/>
              <w:jc w:val="right"/>
              <w:rPr>
                <w:color w:val="080C0F" w:themeColor="text1"/>
              </w:rPr>
            </w:pPr>
            <w:r w:rsidRPr="00730DE4">
              <w:rPr>
                <w:color w:val="080C0F" w:themeColor="text1"/>
              </w:rPr>
              <w:t>(1,439,774)</w:t>
            </w:r>
          </w:p>
        </w:tc>
      </w:tr>
      <w:tr w:rsidR="00730DE4" w:rsidRPr="00730DE4" w14:paraId="1F04BB7A" w14:textId="77777777" w:rsidTr="00B7676A">
        <w:trPr>
          <w:trHeight w:val="198"/>
        </w:trPr>
        <w:tc>
          <w:tcPr>
            <w:tcW w:w="250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5E350BA" w14:textId="77777777" w:rsidR="00730DE4" w:rsidRPr="00730DE4" w:rsidRDefault="00730DE4" w:rsidP="00BA44B1">
            <w:pPr>
              <w:pStyle w:val="NoSpacing"/>
              <w:rPr>
                <w:color w:val="080C0F" w:themeColor="text1"/>
              </w:rPr>
            </w:pPr>
            <w:r w:rsidRPr="00730DE4">
              <w:rPr>
                <w:color w:val="080C0F" w:themeColor="text1"/>
              </w:rPr>
              <w:t>Payments for intangibles</w:t>
            </w:r>
          </w:p>
        </w:tc>
        <w:tc>
          <w:tcPr>
            <w:tcW w:w="83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C9CF851" w14:textId="77777777" w:rsidR="00730DE4" w:rsidRPr="00730DE4" w:rsidRDefault="00730DE4" w:rsidP="00BA44B1">
            <w:pPr>
              <w:pStyle w:val="NoSpacing"/>
              <w:jc w:val="right"/>
              <w:rPr>
                <w:color w:val="080C0F" w:themeColor="text1"/>
              </w:rPr>
            </w:pPr>
            <w:r w:rsidRPr="00730DE4">
              <w:rPr>
                <w:color w:val="080C0F" w:themeColor="text1"/>
              </w:rPr>
              <w:t>(29,233)</w:t>
            </w:r>
          </w:p>
        </w:tc>
        <w:tc>
          <w:tcPr>
            <w:tcW w:w="83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CEF01F0" w14:textId="77777777" w:rsidR="00730DE4" w:rsidRPr="00730DE4" w:rsidRDefault="00730DE4" w:rsidP="00BA44B1">
            <w:pPr>
              <w:pStyle w:val="NoSpacing"/>
              <w:jc w:val="right"/>
              <w:rPr>
                <w:color w:val="080C0F" w:themeColor="text1"/>
              </w:rPr>
            </w:pPr>
            <w:r w:rsidRPr="00730DE4">
              <w:rPr>
                <w:color w:val="080C0F" w:themeColor="text1"/>
              </w:rPr>
              <w:t>(3,347)</w:t>
            </w: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82A04BE" w14:textId="77777777" w:rsidR="00730DE4" w:rsidRPr="00730DE4" w:rsidRDefault="00730DE4" w:rsidP="00BA44B1">
            <w:pPr>
              <w:pStyle w:val="NoSpacing"/>
              <w:jc w:val="right"/>
              <w:rPr>
                <w:color w:val="080C0F" w:themeColor="text1"/>
              </w:rPr>
            </w:pPr>
            <w:r w:rsidRPr="00730DE4">
              <w:rPr>
                <w:color w:val="080C0F" w:themeColor="text1"/>
              </w:rPr>
              <w:t xml:space="preserve">25,886 </w:t>
            </w:r>
          </w:p>
        </w:tc>
      </w:tr>
      <w:tr w:rsidR="00730DE4" w:rsidRPr="00730DE4" w14:paraId="6150A1E6" w14:textId="77777777" w:rsidTr="00B7676A">
        <w:trPr>
          <w:trHeight w:val="198"/>
        </w:trPr>
        <w:tc>
          <w:tcPr>
            <w:tcW w:w="2502"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1398F19E" w14:textId="77777777" w:rsidR="00730DE4" w:rsidRPr="00730DE4" w:rsidRDefault="00730DE4" w:rsidP="00BA44B1">
            <w:pPr>
              <w:pStyle w:val="NoSpacing"/>
              <w:rPr>
                <w:color w:val="080C0F" w:themeColor="text1"/>
              </w:rPr>
            </w:pPr>
            <w:r w:rsidRPr="00730DE4">
              <w:rPr>
                <w:color w:val="080C0F" w:themeColor="text1"/>
              </w:rPr>
              <w:t>Payments for investment in subsidiary</w:t>
            </w:r>
          </w:p>
        </w:tc>
        <w:tc>
          <w:tcPr>
            <w:tcW w:w="832"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6D79FA03" w14:textId="77777777" w:rsidR="00730DE4" w:rsidRPr="00730DE4" w:rsidRDefault="00730DE4" w:rsidP="00BA44B1">
            <w:pPr>
              <w:pStyle w:val="NoSpacing"/>
              <w:jc w:val="right"/>
              <w:rPr>
                <w:color w:val="080C0F" w:themeColor="text1"/>
              </w:rPr>
            </w:pPr>
            <w:r w:rsidRPr="00730DE4">
              <w:rPr>
                <w:color w:val="080C0F" w:themeColor="text1"/>
              </w:rPr>
              <w:t xml:space="preserve">- </w:t>
            </w:r>
          </w:p>
        </w:tc>
        <w:tc>
          <w:tcPr>
            <w:tcW w:w="832"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7B792718" w14:textId="77777777" w:rsidR="00730DE4" w:rsidRPr="00730DE4" w:rsidRDefault="00730DE4" w:rsidP="00BA44B1">
            <w:pPr>
              <w:pStyle w:val="NoSpacing"/>
              <w:jc w:val="right"/>
              <w:rPr>
                <w:color w:val="080C0F" w:themeColor="text1"/>
              </w:rPr>
            </w:pPr>
            <w:r w:rsidRPr="00730DE4">
              <w:rPr>
                <w:color w:val="080C0F" w:themeColor="text1"/>
              </w:rPr>
              <w:t>(18,426)</w:t>
            </w:r>
          </w:p>
        </w:tc>
        <w:tc>
          <w:tcPr>
            <w:tcW w:w="833"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71DDB409" w14:textId="77777777" w:rsidR="00730DE4" w:rsidRPr="00730DE4" w:rsidRDefault="00730DE4" w:rsidP="00BA44B1">
            <w:pPr>
              <w:pStyle w:val="NoSpacing"/>
              <w:jc w:val="right"/>
              <w:rPr>
                <w:color w:val="080C0F" w:themeColor="text1"/>
              </w:rPr>
            </w:pPr>
            <w:r w:rsidRPr="00730DE4">
              <w:rPr>
                <w:color w:val="080C0F" w:themeColor="text1"/>
              </w:rPr>
              <w:t>(18,426)</w:t>
            </w:r>
          </w:p>
        </w:tc>
      </w:tr>
      <w:tr w:rsidR="00730DE4" w:rsidRPr="00730DE4" w14:paraId="11ABB79C" w14:textId="77777777" w:rsidTr="00B7676A">
        <w:tc>
          <w:tcPr>
            <w:tcW w:w="2502" w:type="pct"/>
            <w:tcBorders>
              <w:top w:val="single" w:sz="4" w:space="0" w:color="auto"/>
              <w:left w:val="nil"/>
              <w:right w:val="dotted" w:sz="4" w:space="0" w:color="BFBFBF" w:themeColor="background1" w:themeShade="BF"/>
            </w:tcBorders>
            <w:shd w:val="clear" w:color="auto" w:fill="auto"/>
            <w:noWrap/>
            <w:hideMark/>
          </w:tcPr>
          <w:p w14:paraId="6D5FCC4B" w14:textId="77777777" w:rsidR="00730DE4" w:rsidRPr="00730DE4" w:rsidRDefault="00730DE4" w:rsidP="00BA44B1">
            <w:pPr>
              <w:pStyle w:val="NoSpacing"/>
              <w:rPr>
                <w:color w:val="080C0F" w:themeColor="text1"/>
              </w:rPr>
            </w:pPr>
            <w:r w:rsidRPr="00730DE4">
              <w:rPr>
                <w:rStyle w:val="Strong"/>
              </w:rPr>
              <w:t>Net cash used in investing activities</w:t>
            </w:r>
          </w:p>
        </w:tc>
        <w:tc>
          <w:tcPr>
            <w:tcW w:w="832"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0F2D4DFD" w14:textId="77777777" w:rsidR="00730DE4" w:rsidRPr="00730DE4" w:rsidRDefault="00730DE4" w:rsidP="00BA44B1">
            <w:pPr>
              <w:pStyle w:val="NoSpacing"/>
              <w:jc w:val="right"/>
              <w:rPr>
                <w:color w:val="080C0F" w:themeColor="text1"/>
              </w:rPr>
            </w:pPr>
            <w:r w:rsidRPr="00730DE4">
              <w:rPr>
                <w:rStyle w:val="Strong"/>
              </w:rPr>
              <w:t>(3,877,508)</w:t>
            </w:r>
          </w:p>
        </w:tc>
        <w:tc>
          <w:tcPr>
            <w:tcW w:w="832"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58159662" w14:textId="77777777" w:rsidR="00730DE4" w:rsidRPr="00730DE4" w:rsidRDefault="00730DE4" w:rsidP="00BA44B1">
            <w:pPr>
              <w:pStyle w:val="NoSpacing"/>
              <w:jc w:val="right"/>
              <w:rPr>
                <w:color w:val="080C0F" w:themeColor="text1"/>
              </w:rPr>
            </w:pPr>
            <w:r w:rsidRPr="00730DE4">
              <w:rPr>
                <w:rStyle w:val="Strong"/>
              </w:rPr>
              <w:t>(5,309,306)</w:t>
            </w:r>
          </w:p>
        </w:tc>
        <w:tc>
          <w:tcPr>
            <w:tcW w:w="833" w:type="pct"/>
            <w:tcBorders>
              <w:top w:val="single" w:sz="4" w:space="0" w:color="auto"/>
              <w:left w:val="dotted" w:sz="4" w:space="0" w:color="BFBFBF" w:themeColor="background1" w:themeShade="BF"/>
              <w:right w:val="nil"/>
            </w:tcBorders>
            <w:shd w:val="clear" w:color="auto" w:fill="auto"/>
            <w:noWrap/>
            <w:hideMark/>
          </w:tcPr>
          <w:p w14:paraId="4F3725A3" w14:textId="77777777" w:rsidR="00730DE4" w:rsidRPr="00730DE4" w:rsidRDefault="00730DE4" w:rsidP="00BA44B1">
            <w:pPr>
              <w:pStyle w:val="NoSpacing"/>
              <w:jc w:val="right"/>
              <w:rPr>
                <w:rStyle w:val="Strong"/>
              </w:rPr>
            </w:pPr>
            <w:r w:rsidRPr="00730DE4">
              <w:rPr>
                <w:rStyle w:val="Strong"/>
              </w:rPr>
              <w:t>(1,431,798)</w:t>
            </w:r>
          </w:p>
        </w:tc>
      </w:tr>
      <w:tr w:rsidR="00730DE4" w:rsidRPr="00730DE4" w14:paraId="49A3D045" w14:textId="77777777" w:rsidTr="00B7676A">
        <w:trPr>
          <w:trHeight w:val="454"/>
        </w:trPr>
        <w:tc>
          <w:tcPr>
            <w:tcW w:w="2502" w:type="pct"/>
            <w:tcBorders>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03AF838A" w14:textId="77777777" w:rsidR="00730DE4" w:rsidRPr="00730DE4" w:rsidRDefault="00730DE4" w:rsidP="00BA44B1">
            <w:pPr>
              <w:pStyle w:val="NoSpacing"/>
              <w:rPr>
                <w:color w:val="080C0F" w:themeColor="text1"/>
              </w:rPr>
            </w:pPr>
            <w:r w:rsidRPr="00730DE4">
              <w:rPr>
                <w:rStyle w:val="Strong"/>
              </w:rPr>
              <w:t>Cash flows from financing activities</w:t>
            </w:r>
          </w:p>
        </w:tc>
        <w:tc>
          <w:tcPr>
            <w:tcW w:w="832"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7F55EA85" w14:textId="77777777" w:rsidR="00730DE4" w:rsidRPr="00730DE4" w:rsidRDefault="00730DE4" w:rsidP="00BA44B1">
            <w:pPr>
              <w:pStyle w:val="NoSpacing"/>
              <w:jc w:val="right"/>
              <w:rPr>
                <w:rStyle w:val="Strong"/>
              </w:rPr>
            </w:pPr>
          </w:p>
        </w:tc>
        <w:tc>
          <w:tcPr>
            <w:tcW w:w="832"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1E12E2A9" w14:textId="77777777" w:rsidR="00730DE4" w:rsidRPr="00730DE4" w:rsidRDefault="00730DE4" w:rsidP="00BA44B1">
            <w:pPr>
              <w:pStyle w:val="NoSpacing"/>
              <w:jc w:val="right"/>
              <w:rPr>
                <w:color w:val="080C0F" w:themeColor="text1"/>
              </w:rPr>
            </w:pPr>
          </w:p>
        </w:tc>
        <w:tc>
          <w:tcPr>
            <w:tcW w:w="833" w:type="pct"/>
            <w:tcBorders>
              <w:left w:val="dotted" w:sz="4" w:space="0" w:color="BFBFBF" w:themeColor="background1" w:themeShade="BF"/>
              <w:bottom w:val="dotted" w:sz="4" w:space="0" w:color="BFBFBF" w:themeColor="background1" w:themeShade="BF"/>
              <w:right w:val="nil"/>
            </w:tcBorders>
            <w:shd w:val="clear" w:color="auto" w:fill="auto"/>
            <w:noWrap/>
            <w:vAlign w:val="bottom"/>
          </w:tcPr>
          <w:p w14:paraId="558E2810" w14:textId="77777777" w:rsidR="00730DE4" w:rsidRPr="00730DE4" w:rsidRDefault="00730DE4" w:rsidP="00BA44B1">
            <w:pPr>
              <w:pStyle w:val="NoSpacing"/>
              <w:jc w:val="right"/>
              <w:rPr>
                <w:color w:val="080C0F" w:themeColor="text1"/>
              </w:rPr>
            </w:pPr>
          </w:p>
        </w:tc>
      </w:tr>
      <w:tr w:rsidR="00730DE4" w:rsidRPr="00730DE4" w14:paraId="710C7CD9" w14:textId="77777777" w:rsidTr="00B7676A">
        <w:trPr>
          <w:trHeight w:val="198"/>
        </w:trPr>
        <w:tc>
          <w:tcPr>
            <w:tcW w:w="250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C79B478" w14:textId="77777777" w:rsidR="00730DE4" w:rsidRPr="00730DE4" w:rsidRDefault="00730DE4" w:rsidP="00BA44B1">
            <w:pPr>
              <w:pStyle w:val="NoSpacing"/>
              <w:rPr>
                <w:i/>
                <w:iCs/>
                <w:color w:val="080C0F" w:themeColor="text1"/>
              </w:rPr>
            </w:pPr>
            <w:r w:rsidRPr="00730DE4">
              <w:rPr>
                <w:i/>
                <w:iCs/>
                <w:color w:val="080C0F" w:themeColor="text1"/>
              </w:rPr>
              <w:t>Inflows:</w:t>
            </w:r>
          </w:p>
        </w:tc>
        <w:tc>
          <w:tcPr>
            <w:tcW w:w="83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40D2B6C" w14:textId="77777777" w:rsidR="00730DE4" w:rsidRPr="00730DE4" w:rsidRDefault="00730DE4" w:rsidP="00BA44B1">
            <w:pPr>
              <w:pStyle w:val="NoSpacing"/>
              <w:jc w:val="right"/>
              <w:rPr>
                <w:i/>
                <w:iCs/>
                <w:color w:val="080C0F" w:themeColor="text1"/>
              </w:rPr>
            </w:pPr>
          </w:p>
        </w:tc>
        <w:tc>
          <w:tcPr>
            <w:tcW w:w="83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847A12F" w14:textId="77777777" w:rsidR="00730DE4" w:rsidRPr="00730DE4" w:rsidRDefault="00730DE4" w:rsidP="00BA44B1">
            <w:pPr>
              <w:pStyle w:val="NoSpacing"/>
              <w:jc w:val="right"/>
              <w:rPr>
                <w:color w:val="080C0F" w:themeColor="text1"/>
              </w:rPr>
            </w:pP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EFF3E7A" w14:textId="77777777" w:rsidR="00730DE4" w:rsidRPr="00730DE4" w:rsidRDefault="00730DE4" w:rsidP="00BA44B1">
            <w:pPr>
              <w:pStyle w:val="NoSpacing"/>
              <w:jc w:val="right"/>
              <w:rPr>
                <w:color w:val="080C0F" w:themeColor="text1"/>
              </w:rPr>
            </w:pPr>
          </w:p>
        </w:tc>
      </w:tr>
      <w:tr w:rsidR="00730DE4" w:rsidRPr="00730DE4" w14:paraId="0F8CAF0B" w14:textId="77777777" w:rsidTr="00B7676A">
        <w:trPr>
          <w:trHeight w:val="198"/>
        </w:trPr>
        <w:tc>
          <w:tcPr>
            <w:tcW w:w="250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071E8952" w14:textId="77777777" w:rsidR="00730DE4" w:rsidRPr="00730DE4" w:rsidRDefault="00730DE4" w:rsidP="00BA44B1">
            <w:pPr>
              <w:pStyle w:val="NoSpacing"/>
              <w:rPr>
                <w:color w:val="080C0F" w:themeColor="text1"/>
              </w:rPr>
            </w:pPr>
            <w:r w:rsidRPr="00730DE4">
              <w:rPr>
                <w:color w:val="080C0F" w:themeColor="text1"/>
              </w:rPr>
              <w:t>Equity injections</w:t>
            </w:r>
          </w:p>
        </w:tc>
        <w:tc>
          <w:tcPr>
            <w:tcW w:w="83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986C543" w14:textId="77777777" w:rsidR="00730DE4" w:rsidRPr="00730DE4" w:rsidRDefault="00730DE4" w:rsidP="00BA44B1">
            <w:pPr>
              <w:pStyle w:val="NoSpacing"/>
              <w:jc w:val="right"/>
              <w:rPr>
                <w:color w:val="080C0F" w:themeColor="text1"/>
              </w:rPr>
            </w:pPr>
            <w:r w:rsidRPr="00730DE4">
              <w:rPr>
                <w:color w:val="080C0F" w:themeColor="text1"/>
              </w:rPr>
              <w:t xml:space="preserve">3,792,942 </w:t>
            </w:r>
          </w:p>
        </w:tc>
        <w:tc>
          <w:tcPr>
            <w:tcW w:w="83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24A7735" w14:textId="77777777" w:rsidR="00730DE4" w:rsidRPr="00730DE4" w:rsidRDefault="00730DE4" w:rsidP="00BA44B1">
            <w:pPr>
              <w:pStyle w:val="NoSpacing"/>
              <w:jc w:val="right"/>
              <w:rPr>
                <w:color w:val="080C0F" w:themeColor="text1"/>
              </w:rPr>
            </w:pPr>
            <w:r w:rsidRPr="00730DE4">
              <w:rPr>
                <w:color w:val="080C0F" w:themeColor="text1"/>
              </w:rPr>
              <w:t xml:space="preserve">5,063,171 </w:t>
            </w: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DCBD3E3" w14:textId="77777777" w:rsidR="00730DE4" w:rsidRPr="00730DE4" w:rsidRDefault="00730DE4" w:rsidP="00BA44B1">
            <w:pPr>
              <w:pStyle w:val="NoSpacing"/>
              <w:jc w:val="right"/>
              <w:rPr>
                <w:color w:val="080C0F" w:themeColor="text1"/>
              </w:rPr>
            </w:pPr>
            <w:r w:rsidRPr="00730DE4">
              <w:rPr>
                <w:color w:val="080C0F" w:themeColor="text1"/>
              </w:rPr>
              <w:t xml:space="preserve">1,270,229 </w:t>
            </w:r>
          </w:p>
        </w:tc>
      </w:tr>
      <w:tr w:rsidR="00730DE4" w:rsidRPr="00730DE4" w14:paraId="5D5F56C1" w14:textId="77777777" w:rsidTr="00B7676A">
        <w:trPr>
          <w:trHeight w:val="198"/>
        </w:trPr>
        <w:tc>
          <w:tcPr>
            <w:tcW w:w="250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324020E" w14:textId="77777777" w:rsidR="00730DE4" w:rsidRPr="00730DE4" w:rsidRDefault="00730DE4" w:rsidP="00BA44B1">
            <w:pPr>
              <w:pStyle w:val="NoSpacing"/>
              <w:rPr>
                <w:i/>
                <w:iCs/>
                <w:color w:val="080C0F" w:themeColor="text1"/>
              </w:rPr>
            </w:pPr>
            <w:r w:rsidRPr="00730DE4">
              <w:rPr>
                <w:i/>
                <w:iCs/>
                <w:color w:val="080C0F" w:themeColor="text1"/>
              </w:rPr>
              <w:t>Outflows:</w:t>
            </w:r>
          </w:p>
        </w:tc>
        <w:tc>
          <w:tcPr>
            <w:tcW w:w="83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76F8A62" w14:textId="77777777" w:rsidR="00730DE4" w:rsidRPr="00730DE4" w:rsidRDefault="00730DE4" w:rsidP="00BA44B1">
            <w:pPr>
              <w:pStyle w:val="NoSpacing"/>
              <w:jc w:val="right"/>
              <w:rPr>
                <w:i/>
                <w:iCs/>
                <w:color w:val="080C0F" w:themeColor="text1"/>
              </w:rPr>
            </w:pPr>
          </w:p>
        </w:tc>
        <w:tc>
          <w:tcPr>
            <w:tcW w:w="83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D1CAD63" w14:textId="77777777" w:rsidR="00730DE4" w:rsidRPr="00730DE4" w:rsidRDefault="00730DE4" w:rsidP="00BA44B1">
            <w:pPr>
              <w:pStyle w:val="NoSpacing"/>
              <w:jc w:val="right"/>
              <w:rPr>
                <w:color w:val="080C0F" w:themeColor="text1"/>
              </w:rPr>
            </w:pP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0349C5C" w14:textId="77777777" w:rsidR="00730DE4" w:rsidRPr="00730DE4" w:rsidRDefault="00730DE4" w:rsidP="00BA44B1">
            <w:pPr>
              <w:pStyle w:val="NoSpacing"/>
              <w:jc w:val="right"/>
              <w:rPr>
                <w:color w:val="080C0F" w:themeColor="text1"/>
              </w:rPr>
            </w:pPr>
          </w:p>
        </w:tc>
      </w:tr>
      <w:tr w:rsidR="00730DE4" w:rsidRPr="00730DE4" w14:paraId="7749ACAC" w14:textId="77777777" w:rsidTr="00B7676A">
        <w:trPr>
          <w:trHeight w:val="198"/>
        </w:trPr>
        <w:tc>
          <w:tcPr>
            <w:tcW w:w="250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D900215" w14:textId="77777777" w:rsidR="00730DE4" w:rsidRPr="00730DE4" w:rsidRDefault="00730DE4" w:rsidP="00BA44B1">
            <w:pPr>
              <w:pStyle w:val="NoSpacing"/>
              <w:rPr>
                <w:color w:val="080C0F" w:themeColor="text1"/>
              </w:rPr>
            </w:pPr>
            <w:r w:rsidRPr="00730DE4">
              <w:rPr>
                <w:color w:val="080C0F" w:themeColor="text1"/>
              </w:rPr>
              <w:t xml:space="preserve">Equity withdrawals </w:t>
            </w:r>
          </w:p>
        </w:tc>
        <w:tc>
          <w:tcPr>
            <w:tcW w:w="83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8AC9C8D" w14:textId="77777777" w:rsidR="00730DE4" w:rsidRPr="00730DE4" w:rsidRDefault="00730DE4" w:rsidP="00BA44B1">
            <w:pPr>
              <w:pStyle w:val="NoSpacing"/>
              <w:jc w:val="right"/>
              <w:rPr>
                <w:color w:val="080C0F" w:themeColor="text1"/>
              </w:rPr>
            </w:pPr>
            <w:r w:rsidRPr="00730DE4">
              <w:rPr>
                <w:color w:val="080C0F" w:themeColor="text1"/>
              </w:rPr>
              <w:t>(1,320,706)</w:t>
            </w:r>
          </w:p>
        </w:tc>
        <w:tc>
          <w:tcPr>
            <w:tcW w:w="83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0FE742F" w14:textId="77777777" w:rsidR="00730DE4" w:rsidRPr="00730DE4" w:rsidRDefault="00730DE4" w:rsidP="00BA44B1">
            <w:pPr>
              <w:pStyle w:val="NoSpacing"/>
              <w:jc w:val="right"/>
              <w:rPr>
                <w:color w:val="080C0F" w:themeColor="text1"/>
              </w:rPr>
            </w:pPr>
            <w:r w:rsidRPr="00730DE4">
              <w:rPr>
                <w:color w:val="080C0F" w:themeColor="text1"/>
              </w:rPr>
              <w:t>(1,432,614)</w:t>
            </w: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CBC1A4D" w14:textId="77777777" w:rsidR="00730DE4" w:rsidRPr="00730DE4" w:rsidRDefault="00730DE4" w:rsidP="00BA44B1">
            <w:pPr>
              <w:pStyle w:val="NoSpacing"/>
              <w:jc w:val="right"/>
              <w:rPr>
                <w:color w:val="080C0F" w:themeColor="text1"/>
              </w:rPr>
            </w:pPr>
            <w:r w:rsidRPr="00730DE4">
              <w:rPr>
                <w:color w:val="080C0F" w:themeColor="text1"/>
              </w:rPr>
              <w:t>(111,908)</w:t>
            </w:r>
          </w:p>
        </w:tc>
      </w:tr>
      <w:tr w:rsidR="00730DE4" w:rsidRPr="00730DE4" w14:paraId="691A7B22" w14:textId="77777777" w:rsidTr="00B7676A">
        <w:trPr>
          <w:trHeight w:val="198"/>
        </w:trPr>
        <w:tc>
          <w:tcPr>
            <w:tcW w:w="250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6072453C" w14:textId="77777777" w:rsidR="00730DE4" w:rsidRPr="00730DE4" w:rsidRDefault="00730DE4" w:rsidP="00BA44B1">
            <w:pPr>
              <w:pStyle w:val="NoSpacing"/>
              <w:rPr>
                <w:color w:val="080C0F" w:themeColor="text1"/>
              </w:rPr>
            </w:pPr>
            <w:r w:rsidRPr="00730DE4">
              <w:rPr>
                <w:color w:val="080C0F" w:themeColor="text1"/>
              </w:rPr>
              <w:t>Borrowing redemptions</w:t>
            </w:r>
          </w:p>
        </w:tc>
        <w:tc>
          <w:tcPr>
            <w:tcW w:w="83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AD6E74A" w14:textId="77777777" w:rsidR="00730DE4" w:rsidRPr="00730DE4" w:rsidRDefault="00730DE4" w:rsidP="00BA44B1">
            <w:pPr>
              <w:pStyle w:val="NoSpacing"/>
              <w:jc w:val="right"/>
              <w:rPr>
                <w:color w:val="080C0F" w:themeColor="text1"/>
              </w:rPr>
            </w:pPr>
            <w:r w:rsidRPr="00730DE4">
              <w:rPr>
                <w:color w:val="080C0F" w:themeColor="text1"/>
              </w:rPr>
              <w:t>(228,573)</w:t>
            </w:r>
          </w:p>
        </w:tc>
        <w:tc>
          <w:tcPr>
            <w:tcW w:w="83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173C937" w14:textId="77777777" w:rsidR="00730DE4" w:rsidRPr="00730DE4" w:rsidRDefault="00730DE4" w:rsidP="00BA44B1">
            <w:pPr>
              <w:pStyle w:val="NoSpacing"/>
              <w:jc w:val="right"/>
              <w:rPr>
                <w:color w:val="080C0F" w:themeColor="text1"/>
              </w:rPr>
            </w:pPr>
            <w:r w:rsidRPr="00730DE4">
              <w:rPr>
                <w:color w:val="080C0F" w:themeColor="text1"/>
              </w:rPr>
              <w:t>(224,233)</w:t>
            </w: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1FB19D3" w14:textId="77777777" w:rsidR="00730DE4" w:rsidRPr="00730DE4" w:rsidRDefault="00730DE4" w:rsidP="00BA44B1">
            <w:pPr>
              <w:pStyle w:val="NoSpacing"/>
              <w:jc w:val="right"/>
              <w:rPr>
                <w:color w:val="080C0F" w:themeColor="text1"/>
              </w:rPr>
            </w:pPr>
            <w:r w:rsidRPr="00730DE4">
              <w:rPr>
                <w:color w:val="080C0F" w:themeColor="text1"/>
              </w:rPr>
              <w:t xml:space="preserve">4,340 </w:t>
            </w:r>
          </w:p>
        </w:tc>
      </w:tr>
      <w:tr w:rsidR="00730DE4" w:rsidRPr="00730DE4" w14:paraId="0AA25273" w14:textId="77777777" w:rsidTr="00B7676A">
        <w:trPr>
          <w:trHeight w:val="198"/>
        </w:trPr>
        <w:tc>
          <w:tcPr>
            <w:tcW w:w="2502"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37F2AC22" w14:textId="77777777" w:rsidR="00730DE4" w:rsidRPr="00730DE4" w:rsidRDefault="00730DE4" w:rsidP="00BA44B1">
            <w:pPr>
              <w:pStyle w:val="NoSpacing"/>
              <w:rPr>
                <w:color w:val="080C0F" w:themeColor="text1"/>
              </w:rPr>
            </w:pPr>
            <w:r w:rsidRPr="00730DE4">
              <w:rPr>
                <w:color w:val="080C0F" w:themeColor="text1"/>
              </w:rPr>
              <w:t>Lease payments</w:t>
            </w:r>
          </w:p>
        </w:tc>
        <w:tc>
          <w:tcPr>
            <w:tcW w:w="832"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73C25397" w14:textId="77777777" w:rsidR="00730DE4" w:rsidRPr="00730DE4" w:rsidRDefault="00730DE4" w:rsidP="00BA44B1">
            <w:pPr>
              <w:pStyle w:val="NoSpacing"/>
              <w:jc w:val="right"/>
              <w:rPr>
                <w:color w:val="080C0F" w:themeColor="text1"/>
              </w:rPr>
            </w:pPr>
            <w:r w:rsidRPr="00730DE4">
              <w:rPr>
                <w:color w:val="080C0F" w:themeColor="text1"/>
              </w:rPr>
              <w:t>(26,345)</w:t>
            </w:r>
          </w:p>
        </w:tc>
        <w:tc>
          <w:tcPr>
            <w:tcW w:w="832"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010DAD63" w14:textId="77777777" w:rsidR="00730DE4" w:rsidRPr="00730DE4" w:rsidRDefault="00730DE4" w:rsidP="00BA44B1">
            <w:pPr>
              <w:pStyle w:val="NoSpacing"/>
              <w:jc w:val="right"/>
              <w:rPr>
                <w:color w:val="080C0F" w:themeColor="text1"/>
              </w:rPr>
            </w:pPr>
            <w:r w:rsidRPr="00730DE4">
              <w:rPr>
                <w:color w:val="080C0F" w:themeColor="text1"/>
              </w:rPr>
              <w:t>(25,625)</w:t>
            </w:r>
          </w:p>
        </w:tc>
        <w:tc>
          <w:tcPr>
            <w:tcW w:w="833"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04C1673D" w14:textId="77777777" w:rsidR="00730DE4" w:rsidRPr="00730DE4" w:rsidRDefault="00730DE4" w:rsidP="00BA44B1">
            <w:pPr>
              <w:pStyle w:val="NoSpacing"/>
              <w:jc w:val="right"/>
              <w:rPr>
                <w:color w:val="080C0F" w:themeColor="text1"/>
              </w:rPr>
            </w:pPr>
            <w:r w:rsidRPr="00730DE4">
              <w:rPr>
                <w:color w:val="080C0F" w:themeColor="text1"/>
              </w:rPr>
              <w:t xml:space="preserve">720 </w:t>
            </w:r>
          </w:p>
        </w:tc>
      </w:tr>
      <w:tr w:rsidR="00730DE4" w:rsidRPr="00730DE4" w14:paraId="69D311D3" w14:textId="77777777" w:rsidTr="00B7676A">
        <w:tc>
          <w:tcPr>
            <w:tcW w:w="2502" w:type="pct"/>
            <w:tcBorders>
              <w:top w:val="single" w:sz="4" w:space="0" w:color="auto"/>
              <w:left w:val="nil"/>
              <w:right w:val="dotted" w:sz="4" w:space="0" w:color="BFBFBF" w:themeColor="background1" w:themeShade="BF"/>
            </w:tcBorders>
            <w:shd w:val="clear" w:color="auto" w:fill="auto"/>
            <w:noWrap/>
            <w:hideMark/>
          </w:tcPr>
          <w:p w14:paraId="1041C919" w14:textId="77777777" w:rsidR="00730DE4" w:rsidRPr="00730DE4" w:rsidRDefault="00730DE4" w:rsidP="00B7676A">
            <w:pPr>
              <w:pStyle w:val="NoSpacing"/>
              <w:rPr>
                <w:color w:val="080C0F" w:themeColor="text1"/>
              </w:rPr>
            </w:pPr>
            <w:r w:rsidRPr="00730DE4">
              <w:rPr>
                <w:rStyle w:val="Strong"/>
              </w:rPr>
              <w:t>Net cash provided by financing activities</w:t>
            </w:r>
          </w:p>
        </w:tc>
        <w:tc>
          <w:tcPr>
            <w:tcW w:w="832"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46CC8AF2" w14:textId="77777777" w:rsidR="00730DE4" w:rsidRPr="00730DE4" w:rsidRDefault="00730DE4" w:rsidP="00B7676A">
            <w:pPr>
              <w:pStyle w:val="NoSpacing"/>
              <w:jc w:val="right"/>
              <w:rPr>
                <w:color w:val="080C0F" w:themeColor="text1"/>
              </w:rPr>
            </w:pPr>
            <w:r w:rsidRPr="00730DE4">
              <w:rPr>
                <w:rStyle w:val="Strong"/>
              </w:rPr>
              <w:t xml:space="preserve">2,217,318 </w:t>
            </w:r>
          </w:p>
        </w:tc>
        <w:tc>
          <w:tcPr>
            <w:tcW w:w="832" w:type="pct"/>
            <w:tcBorders>
              <w:top w:val="single" w:sz="4" w:space="0" w:color="auto"/>
              <w:left w:val="dotted" w:sz="4" w:space="0" w:color="BFBFBF" w:themeColor="background1" w:themeShade="BF"/>
              <w:right w:val="dotted" w:sz="4" w:space="0" w:color="BFBFBF" w:themeColor="background1" w:themeShade="BF"/>
            </w:tcBorders>
            <w:shd w:val="clear" w:color="auto" w:fill="auto"/>
            <w:noWrap/>
            <w:hideMark/>
          </w:tcPr>
          <w:p w14:paraId="2FFB4129" w14:textId="77777777" w:rsidR="00730DE4" w:rsidRPr="00730DE4" w:rsidRDefault="00730DE4" w:rsidP="00B7676A">
            <w:pPr>
              <w:pStyle w:val="NoSpacing"/>
              <w:jc w:val="right"/>
              <w:rPr>
                <w:color w:val="080C0F" w:themeColor="text1"/>
              </w:rPr>
            </w:pPr>
            <w:r w:rsidRPr="00730DE4">
              <w:rPr>
                <w:rStyle w:val="Strong"/>
              </w:rPr>
              <w:t xml:space="preserve">3,380,699 </w:t>
            </w:r>
          </w:p>
        </w:tc>
        <w:tc>
          <w:tcPr>
            <w:tcW w:w="833" w:type="pct"/>
            <w:tcBorders>
              <w:top w:val="single" w:sz="4" w:space="0" w:color="auto"/>
              <w:left w:val="dotted" w:sz="4" w:space="0" w:color="BFBFBF" w:themeColor="background1" w:themeShade="BF"/>
              <w:right w:val="nil"/>
            </w:tcBorders>
            <w:shd w:val="clear" w:color="auto" w:fill="auto"/>
            <w:noWrap/>
            <w:hideMark/>
          </w:tcPr>
          <w:p w14:paraId="54FF8661" w14:textId="77777777" w:rsidR="00730DE4" w:rsidRPr="00730DE4" w:rsidRDefault="00730DE4" w:rsidP="00B7676A">
            <w:pPr>
              <w:pStyle w:val="NoSpacing"/>
              <w:jc w:val="right"/>
              <w:rPr>
                <w:rStyle w:val="Strong"/>
              </w:rPr>
            </w:pPr>
            <w:r w:rsidRPr="00730DE4">
              <w:rPr>
                <w:rStyle w:val="Strong"/>
              </w:rPr>
              <w:t xml:space="preserve">1,163,381 </w:t>
            </w:r>
          </w:p>
        </w:tc>
      </w:tr>
      <w:tr w:rsidR="00730DE4" w:rsidRPr="00730DE4" w14:paraId="59E411A9" w14:textId="77777777" w:rsidTr="00B7676A">
        <w:trPr>
          <w:trHeight w:val="454"/>
        </w:trPr>
        <w:tc>
          <w:tcPr>
            <w:tcW w:w="2502" w:type="pct"/>
            <w:tcBorders>
              <w:left w:val="nil"/>
              <w:bottom w:val="dotted" w:sz="4" w:space="0" w:color="BFBFBF" w:themeColor="background1" w:themeShade="BF"/>
              <w:right w:val="dotted" w:sz="4" w:space="0" w:color="BFBFBF" w:themeColor="background1" w:themeShade="BF"/>
            </w:tcBorders>
            <w:shd w:val="clear" w:color="auto" w:fill="auto"/>
            <w:noWrap/>
            <w:vAlign w:val="bottom"/>
          </w:tcPr>
          <w:p w14:paraId="615FBCA4" w14:textId="77777777" w:rsidR="00730DE4" w:rsidRPr="00730DE4" w:rsidRDefault="00730DE4" w:rsidP="00BA44B1">
            <w:pPr>
              <w:pStyle w:val="NoSpacing"/>
              <w:rPr>
                <w:rStyle w:val="Strong"/>
              </w:rPr>
            </w:pPr>
            <w:r w:rsidRPr="00730DE4">
              <w:rPr>
                <w:rStyle w:val="Strong"/>
              </w:rPr>
              <w:t>Cash flow balance</w:t>
            </w:r>
          </w:p>
        </w:tc>
        <w:tc>
          <w:tcPr>
            <w:tcW w:w="832"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30D4DC7C" w14:textId="77777777" w:rsidR="00730DE4" w:rsidRPr="00730DE4" w:rsidRDefault="00730DE4" w:rsidP="00BA44B1">
            <w:pPr>
              <w:pStyle w:val="NoSpacing"/>
              <w:jc w:val="right"/>
              <w:rPr>
                <w:color w:val="080C0F" w:themeColor="text1"/>
              </w:rPr>
            </w:pPr>
          </w:p>
        </w:tc>
        <w:tc>
          <w:tcPr>
            <w:tcW w:w="832" w:type="pct"/>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711B5304" w14:textId="77777777" w:rsidR="00730DE4" w:rsidRPr="00730DE4" w:rsidRDefault="00730DE4" w:rsidP="00BA44B1">
            <w:pPr>
              <w:pStyle w:val="NoSpacing"/>
              <w:jc w:val="right"/>
              <w:rPr>
                <w:color w:val="080C0F" w:themeColor="text1"/>
              </w:rPr>
            </w:pPr>
          </w:p>
        </w:tc>
        <w:tc>
          <w:tcPr>
            <w:tcW w:w="833" w:type="pct"/>
            <w:tcBorders>
              <w:left w:val="dotted" w:sz="4" w:space="0" w:color="BFBFBF" w:themeColor="background1" w:themeShade="BF"/>
              <w:bottom w:val="dotted" w:sz="4" w:space="0" w:color="BFBFBF" w:themeColor="background1" w:themeShade="BF"/>
              <w:right w:val="nil"/>
            </w:tcBorders>
            <w:shd w:val="clear" w:color="auto" w:fill="auto"/>
            <w:noWrap/>
            <w:vAlign w:val="bottom"/>
          </w:tcPr>
          <w:p w14:paraId="404CB5B7" w14:textId="77777777" w:rsidR="00730DE4" w:rsidRPr="00730DE4" w:rsidRDefault="00730DE4" w:rsidP="00BA44B1">
            <w:pPr>
              <w:pStyle w:val="NoSpacing"/>
              <w:jc w:val="right"/>
              <w:rPr>
                <w:color w:val="080C0F" w:themeColor="text1"/>
              </w:rPr>
            </w:pPr>
          </w:p>
        </w:tc>
      </w:tr>
      <w:tr w:rsidR="00730DE4" w:rsidRPr="00730DE4" w14:paraId="5DB30502" w14:textId="77777777" w:rsidTr="00B7676A">
        <w:trPr>
          <w:trHeight w:val="198"/>
        </w:trPr>
        <w:tc>
          <w:tcPr>
            <w:tcW w:w="250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tcPr>
          <w:p w14:paraId="1D86549E" w14:textId="77777777" w:rsidR="00730DE4" w:rsidRPr="00730DE4" w:rsidRDefault="00730DE4" w:rsidP="00BA44B1">
            <w:pPr>
              <w:pStyle w:val="NoSpacing"/>
              <w:rPr>
                <w:color w:val="080C0F" w:themeColor="text1"/>
              </w:rPr>
            </w:pPr>
            <w:r w:rsidRPr="00730DE4">
              <w:rPr>
                <w:color w:val="080C0F" w:themeColor="text1"/>
              </w:rPr>
              <w:t xml:space="preserve">Net increase/(decrease) in cash </w:t>
            </w:r>
          </w:p>
        </w:tc>
        <w:tc>
          <w:tcPr>
            <w:tcW w:w="83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4568EB2B" w14:textId="77777777" w:rsidR="00730DE4" w:rsidRPr="00730DE4" w:rsidRDefault="00730DE4" w:rsidP="00BA44B1">
            <w:pPr>
              <w:pStyle w:val="NoSpacing"/>
              <w:jc w:val="right"/>
              <w:rPr>
                <w:color w:val="080C0F" w:themeColor="text1"/>
              </w:rPr>
            </w:pPr>
            <w:r w:rsidRPr="00730DE4">
              <w:rPr>
                <w:color w:val="080C0F" w:themeColor="text1"/>
              </w:rPr>
              <w:t>(98,891)</w:t>
            </w:r>
          </w:p>
        </w:tc>
        <w:tc>
          <w:tcPr>
            <w:tcW w:w="83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6512AC2E" w14:textId="77777777" w:rsidR="00730DE4" w:rsidRPr="00730DE4" w:rsidRDefault="00730DE4" w:rsidP="00BA44B1">
            <w:pPr>
              <w:pStyle w:val="NoSpacing"/>
              <w:jc w:val="right"/>
              <w:rPr>
                <w:color w:val="080C0F" w:themeColor="text1"/>
              </w:rPr>
            </w:pPr>
            <w:r w:rsidRPr="00730DE4">
              <w:rPr>
                <w:color w:val="080C0F" w:themeColor="text1"/>
              </w:rPr>
              <w:t>(288,334)</w:t>
            </w: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tcPr>
          <w:p w14:paraId="18645F91" w14:textId="77777777" w:rsidR="00730DE4" w:rsidRPr="00730DE4" w:rsidRDefault="00730DE4" w:rsidP="00BA44B1">
            <w:pPr>
              <w:pStyle w:val="NoSpacing"/>
              <w:jc w:val="right"/>
              <w:rPr>
                <w:color w:val="080C0F" w:themeColor="text1"/>
              </w:rPr>
            </w:pPr>
            <w:r w:rsidRPr="00730DE4">
              <w:rPr>
                <w:color w:val="080C0F" w:themeColor="text1"/>
              </w:rPr>
              <w:t>(189,443)</w:t>
            </w:r>
          </w:p>
        </w:tc>
      </w:tr>
      <w:tr w:rsidR="00730DE4" w:rsidRPr="00730DE4" w14:paraId="467B1C51" w14:textId="77777777" w:rsidTr="00B7676A">
        <w:trPr>
          <w:trHeight w:val="198"/>
        </w:trPr>
        <w:tc>
          <w:tcPr>
            <w:tcW w:w="2502"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37D3F492" w14:textId="77777777" w:rsidR="00730DE4" w:rsidRPr="00730DE4" w:rsidRDefault="00730DE4" w:rsidP="00BA44B1">
            <w:pPr>
              <w:pStyle w:val="NoSpacing"/>
              <w:rPr>
                <w:color w:val="080C0F" w:themeColor="text1"/>
              </w:rPr>
            </w:pPr>
            <w:r w:rsidRPr="00730DE4">
              <w:rPr>
                <w:color w:val="080C0F" w:themeColor="text1"/>
              </w:rPr>
              <w:t>Increase in cash due to machinery-of-government change</w:t>
            </w:r>
          </w:p>
        </w:tc>
        <w:tc>
          <w:tcPr>
            <w:tcW w:w="83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95A4C85" w14:textId="77777777" w:rsidR="00730DE4" w:rsidRPr="00730DE4" w:rsidRDefault="00730DE4" w:rsidP="00BA44B1">
            <w:pPr>
              <w:pStyle w:val="NoSpacing"/>
              <w:jc w:val="right"/>
              <w:rPr>
                <w:color w:val="080C0F" w:themeColor="text1"/>
              </w:rPr>
            </w:pPr>
            <w:r w:rsidRPr="00730DE4">
              <w:rPr>
                <w:color w:val="080C0F" w:themeColor="text1"/>
              </w:rPr>
              <w:t xml:space="preserve">- </w:t>
            </w:r>
          </w:p>
        </w:tc>
        <w:tc>
          <w:tcPr>
            <w:tcW w:w="832"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8366F18" w14:textId="77777777" w:rsidR="00730DE4" w:rsidRPr="00730DE4" w:rsidRDefault="00730DE4" w:rsidP="00BA44B1">
            <w:pPr>
              <w:pStyle w:val="NoSpacing"/>
              <w:jc w:val="right"/>
              <w:rPr>
                <w:color w:val="080C0F" w:themeColor="text1"/>
              </w:rPr>
            </w:pPr>
            <w:r w:rsidRPr="00730DE4">
              <w:rPr>
                <w:color w:val="080C0F" w:themeColor="text1"/>
              </w:rPr>
              <w:t xml:space="preserve">290 </w:t>
            </w: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B50D152" w14:textId="77777777" w:rsidR="00730DE4" w:rsidRPr="00730DE4" w:rsidRDefault="00730DE4" w:rsidP="00BA44B1">
            <w:pPr>
              <w:pStyle w:val="NoSpacing"/>
              <w:jc w:val="right"/>
              <w:rPr>
                <w:color w:val="080C0F" w:themeColor="text1"/>
              </w:rPr>
            </w:pPr>
            <w:r w:rsidRPr="00730DE4">
              <w:rPr>
                <w:color w:val="080C0F" w:themeColor="text1"/>
              </w:rPr>
              <w:t xml:space="preserve">290 </w:t>
            </w:r>
          </w:p>
        </w:tc>
      </w:tr>
      <w:tr w:rsidR="00730DE4" w:rsidRPr="00730DE4" w14:paraId="3885C55A" w14:textId="77777777" w:rsidTr="00B7676A">
        <w:trPr>
          <w:trHeight w:val="198"/>
        </w:trPr>
        <w:tc>
          <w:tcPr>
            <w:tcW w:w="2502"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7BFA2DFB" w14:textId="77777777" w:rsidR="00730DE4" w:rsidRPr="00730DE4" w:rsidRDefault="00730DE4" w:rsidP="00BA44B1">
            <w:pPr>
              <w:pStyle w:val="NoSpacing"/>
              <w:rPr>
                <w:color w:val="080C0F" w:themeColor="text1"/>
              </w:rPr>
            </w:pPr>
            <w:r w:rsidRPr="00730DE4">
              <w:rPr>
                <w:color w:val="080C0F" w:themeColor="text1"/>
              </w:rPr>
              <w:t>Cash – opening balance</w:t>
            </w:r>
          </w:p>
        </w:tc>
        <w:tc>
          <w:tcPr>
            <w:tcW w:w="832"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47C2FF3A" w14:textId="77777777" w:rsidR="00730DE4" w:rsidRPr="00730DE4" w:rsidRDefault="00730DE4" w:rsidP="00BA44B1">
            <w:pPr>
              <w:pStyle w:val="NoSpacing"/>
              <w:jc w:val="right"/>
              <w:rPr>
                <w:color w:val="080C0F" w:themeColor="text1"/>
              </w:rPr>
            </w:pPr>
            <w:r w:rsidRPr="00730DE4">
              <w:rPr>
                <w:color w:val="080C0F" w:themeColor="text1"/>
              </w:rPr>
              <w:t xml:space="preserve">311,219 </w:t>
            </w:r>
          </w:p>
        </w:tc>
        <w:tc>
          <w:tcPr>
            <w:tcW w:w="832"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1EC63674" w14:textId="77777777" w:rsidR="00730DE4" w:rsidRPr="00730DE4" w:rsidRDefault="00730DE4" w:rsidP="00BA44B1">
            <w:pPr>
              <w:pStyle w:val="NoSpacing"/>
              <w:jc w:val="right"/>
              <w:rPr>
                <w:color w:val="080C0F" w:themeColor="text1"/>
              </w:rPr>
            </w:pPr>
            <w:r w:rsidRPr="00730DE4">
              <w:rPr>
                <w:color w:val="080C0F" w:themeColor="text1"/>
              </w:rPr>
              <w:t xml:space="preserve">670,102 </w:t>
            </w:r>
          </w:p>
        </w:tc>
        <w:tc>
          <w:tcPr>
            <w:tcW w:w="833"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3523C693" w14:textId="77777777" w:rsidR="00730DE4" w:rsidRPr="00730DE4" w:rsidRDefault="00730DE4" w:rsidP="00BA44B1">
            <w:pPr>
              <w:pStyle w:val="NoSpacing"/>
              <w:jc w:val="right"/>
              <w:rPr>
                <w:color w:val="080C0F" w:themeColor="text1"/>
              </w:rPr>
            </w:pPr>
            <w:r w:rsidRPr="00730DE4">
              <w:rPr>
                <w:color w:val="080C0F" w:themeColor="text1"/>
              </w:rPr>
              <w:t xml:space="preserve">358,883 </w:t>
            </w:r>
          </w:p>
        </w:tc>
      </w:tr>
      <w:tr w:rsidR="00730DE4" w:rsidRPr="00730DE4" w14:paraId="29212397" w14:textId="77777777" w:rsidTr="00B7676A">
        <w:tc>
          <w:tcPr>
            <w:tcW w:w="2502" w:type="pct"/>
            <w:tcBorders>
              <w:top w:val="single" w:sz="4" w:space="0" w:color="auto"/>
              <w:left w:val="nil"/>
              <w:bottom w:val="double" w:sz="4" w:space="0" w:color="auto"/>
              <w:right w:val="dotted" w:sz="4" w:space="0" w:color="BFBFBF" w:themeColor="background1" w:themeShade="BF"/>
            </w:tcBorders>
            <w:shd w:val="clear" w:color="auto" w:fill="auto"/>
            <w:noWrap/>
            <w:vAlign w:val="bottom"/>
            <w:hideMark/>
          </w:tcPr>
          <w:p w14:paraId="7EF0E043" w14:textId="77777777" w:rsidR="00730DE4" w:rsidRPr="00730DE4" w:rsidRDefault="00730DE4" w:rsidP="00B7676A">
            <w:pPr>
              <w:pStyle w:val="NoSpacing"/>
              <w:rPr>
                <w:color w:val="080C0F" w:themeColor="text1"/>
              </w:rPr>
            </w:pPr>
            <w:r w:rsidRPr="00730DE4">
              <w:rPr>
                <w:rStyle w:val="Strong"/>
              </w:rPr>
              <w:t>Cash – closing balance</w:t>
            </w:r>
          </w:p>
        </w:tc>
        <w:tc>
          <w:tcPr>
            <w:tcW w:w="832"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vAlign w:val="bottom"/>
            <w:hideMark/>
          </w:tcPr>
          <w:p w14:paraId="79D870FC" w14:textId="77777777" w:rsidR="00730DE4" w:rsidRPr="00730DE4" w:rsidRDefault="00730DE4" w:rsidP="00B7676A">
            <w:pPr>
              <w:pStyle w:val="NoSpacing"/>
              <w:jc w:val="right"/>
              <w:rPr>
                <w:color w:val="080C0F" w:themeColor="text1"/>
              </w:rPr>
            </w:pPr>
            <w:r w:rsidRPr="00730DE4">
              <w:rPr>
                <w:rStyle w:val="Strong"/>
              </w:rPr>
              <w:t xml:space="preserve">212,328 </w:t>
            </w:r>
          </w:p>
        </w:tc>
        <w:tc>
          <w:tcPr>
            <w:tcW w:w="832"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vAlign w:val="bottom"/>
            <w:hideMark/>
          </w:tcPr>
          <w:p w14:paraId="7F735D1E" w14:textId="77777777" w:rsidR="00730DE4" w:rsidRPr="00730DE4" w:rsidRDefault="00730DE4" w:rsidP="00B7676A">
            <w:pPr>
              <w:pStyle w:val="NoSpacing"/>
              <w:jc w:val="right"/>
              <w:rPr>
                <w:color w:val="080C0F" w:themeColor="text1"/>
              </w:rPr>
            </w:pPr>
            <w:r w:rsidRPr="00730DE4">
              <w:rPr>
                <w:rStyle w:val="Strong"/>
              </w:rPr>
              <w:t xml:space="preserve">382,058 </w:t>
            </w:r>
          </w:p>
        </w:tc>
        <w:tc>
          <w:tcPr>
            <w:tcW w:w="833" w:type="pct"/>
            <w:tcBorders>
              <w:top w:val="single" w:sz="4" w:space="0" w:color="auto"/>
              <w:left w:val="dotted" w:sz="4" w:space="0" w:color="BFBFBF" w:themeColor="background1" w:themeShade="BF"/>
              <w:bottom w:val="double" w:sz="4" w:space="0" w:color="auto"/>
              <w:right w:val="nil"/>
            </w:tcBorders>
            <w:shd w:val="clear" w:color="auto" w:fill="auto"/>
            <w:noWrap/>
            <w:vAlign w:val="bottom"/>
            <w:hideMark/>
          </w:tcPr>
          <w:p w14:paraId="07C8458F" w14:textId="77777777" w:rsidR="00730DE4" w:rsidRPr="00730DE4" w:rsidRDefault="00730DE4" w:rsidP="00B7676A">
            <w:pPr>
              <w:pStyle w:val="NoSpacing"/>
              <w:jc w:val="right"/>
              <w:rPr>
                <w:rStyle w:val="Strong"/>
              </w:rPr>
            </w:pPr>
            <w:r w:rsidRPr="00730DE4">
              <w:rPr>
                <w:rStyle w:val="Strong"/>
              </w:rPr>
              <w:t xml:space="preserve">169,730 </w:t>
            </w:r>
          </w:p>
        </w:tc>
      </w:tr>
    </w:tbl>
    <w:p w14:paraId="775F2ADF" w14:textId="77777777" w:rsidR="00730DE4" w:rsidRPr="00730DE4" w:rsidRDefault="00730DE4" w:rsidP="00390F2D">
      <w:pPr>
        <w:pStyle w:val="Heading6"/>
      </w:pPr>
      <w:r w:rsidRPr="00730DE4">
        <w:t>Explanation of major variances</w:t>
      </w:r>
    </w:p>
    <w:p w14:paraId="18FCB71B" w14:textId="77777777" w:rsidR="00730DE4" w:rsidRPr="00730DE4" w:rsidRDefault="00730DE4" w:rsidP="00390F2D">
      <w:pPr>
        <w:pStyle w:val="Heading7"/>
      </w:pPr>
      <w:r w:rsidRPr="00730DE4">
        <w:t xml:space="preserve">Grants and other contributions </w:t>
      </w:r>
    </w:p>
    <w:p w14:paraId="320957A8" w14:textId="77777777" w:rsidR="00730DE4" w:rsidRPr="00730DE4" w:rsidRDefault="00730DE4" w:rsidP="003C13D4">
      <w:pPr>
        <w:rPr>
          <w:color w:val="080C0F" w:themeColor="text1"/>
        </w:rPr>
      </w:pPr>
      <w:r w:rsidRPr="00730DE4">
        <w:rPr>
          <w:color w:val="080C0F" w:themeColor="text1"/>
        </w:rPr>
        <w:t>Variance of $231.321m reflects higher than anticipated reimbursements from the Queensland Reconstruction Authority. This is a timing issue only.</w:t>
      </w:r>
    </w:p>
    <w:p w14:paraId="2B74A17F" w14:textId="77777777" w:rsidR="00730DE4" w:rsidRPr="00730DE4" w:rsidRDefault="00730DE4" w:rsidP="00390F2D">
      <w:pPr>
        <w:pStyle w:val="Heading7"/>
      </w:pPr>
      <w:r w:rsidRPr="00730DE4">
        <w:t xml:space="preserve">GST input tax credits from ATO </w:t>
      </w:r>
    </w:p>
    <w:p w14:paraId="34645A55" w14:textId="77777777" w:rsidR="00730DE4" w:rsidRPr="00730DE4" w:rsidRDefault="00730DE4" w:rsidP="003C13D4">
      <w:pPr>
        <w:rPr>
          <w:color w:val="080C0F" w:themeColor="text1"/>
        </w:rPr>
      </w:pPr>
      <w:r w:rsidRPr="00730DE4">
        <w:rPr>
          <w:color w:val="080C0F" w:themeColor="text1"/>
        </w:rPr>
        <w:t>Variance $193.253m is due to variability of the timing, value and payment of invoices received from external parties.</w:t>
      </w:r>
    </w:p>
    <w:p w14:paraId="08EA3684" w14:textId="77777777" w:rsidR="00730DE4" w:rsidRPr="00730DE4" w:rsidRDefault="00730DE4" w:rsidP="00390F2D">
      <w:pPr>
        <w:pStyle w:val="Heading7"/>
      </w:pPr>
      <w:r w:rsidRPr="00730DE4">
        <w:t xml:space="preserve">Other inflows </w:t>
      </w:r>
    </w:p>
    <w:p w14:paraId="1C3A0BF2" w14:textId="77777777" w:rsidR="00730DE4" w:rsidRPr="00730DE4" w:rsidRDefault="00730DE4" w:rsidP="003C13D4">
      <w:pPr>
        <w:rPr>
          <w:color w:val="080C0F" w:themeColor="text1"/>
        </w:rPr>
      </w:pPr>
      <w:r w:rsidRPr="00730DE4">
        <w:rPr>
          <w:color w:val="080C0F" w:themeColor="text1"/>
        </w:rPr>
        <w:t>Variance of $29.544m mainly reflects:</w:t>
      </w:r>
    </w:p>
    <w:p w14:paraId="79E8F9E9" w14:textId="77777777" w:rsidR="00730DE4" w:rsidRPr="00730DE4" w:rsidRDefault="00730DE4" w:rsidP="00380522">
      <w:pPr>
        <w:pStyle w:val="ListBullet"/>
      </w:pPr>
      <w:r w:rsidRPr="00730DE4">
        <w:t>$15.530m cost recovery funding received as a result of a settlement agreement.</w:t>
      </w:r>
    </w:p>
    <w:p w14:paraId="79C845EB" w14:textId="77777777" w:rsidR="00730DE4" w:rsidRPr="00730DE4" w:rsidRDefault="00730DE4" w:rsidP="00380522">
      <w:pPr>
        <w:pStyle w:val="ListBullet"/>
      </w:pPr>
      <w:r w:rsidRPr="00730DE4">
        <w:t>$4.127m for recognition of interest gain from the Construction Proceeds Account due to pre-completion payments made for the Gold Coast Light Rail Stage 3 project.</w:t>
      </w:r>
    </w:p>
    <w:p w14:paraId="132F4654" w14:textId="77777777" w:rsidR="00730DE4" w:rsidRPr="00730DE4" w:rsidRDefault="00730DE4" w:rsidP="00390F2D">
      <w:pPr>
        <w:pStyle w:val="Heading7"/>
      </w:pPr>
      <w:r w:rsidRPr="00730DE4">
        <w:t xml:space="preserve">GST paid to suppliers </w:t>
      </w:r>
    </w:p>
    <w:p w14:paraId="17A9C508" w14:textId="77777777" w:rsidR="00730DE4" w:rsidRPr="00730DE4" w:rsidRDefault="00730DE4" w:rsidP="003C13D4">
      <w:pPr>
        <w:rPr>
          <w:color w:val="080C0F" w:themeColor="text1"/>
        </w:rPr>
      </w:pPr>
      <w:r w:rsidRPr="00730DE4">
        <w:rPr>
          <w:color w:val="080C0F" w:themeColor="text1"/>
        </w:rPr>
        <w:t>Variance of ($207.534m) is due to variability of the timing, value and payment of invoices received from external parties.</w:t>
      </w:r>
    </w:p>
    <w:p w14:paraId="66F88671" w14:textId="77777777" w:rsidR="00730DE4" w:rsidRPr="00730DE4" w:rsidRDefault="00730DE4" w:rsidP="00390F2D">
      <w:pPr>
        <w:pStyle w:val="Heading7"/>
      </w:pPr>
      <w:r w:rsidRPr="00730DE4">
        <w:t xml:space="preserve">GST remitted to ATO </w:t>
      </w:r>
    </w:p>
    <w:p w14:paraId="674A8247" w14:textId="77777777" w:rsidR="00730DE4" w:rsidRPr="00730DE4" w:rsidRDefault="00730DE4" w:rsidP="003C13D4">
      <w:pPr>
        <w:rPr>
          <w:color w:val="080C0F" w:themeColor="text1"/>
        </w:rPr>
      </w:pPr>
      <w:r w:rsidRPr="00730DE4">
        <w:rPr>
          <w:color w:val="080C0F" w:themeColor="text1"/>
        </w:rPr>
        <w:t>Variance of ($36.952m) is due to variability of the timing, value and payment of invoices issued to external parties.</w:t>
      </w:r>
    </w:p>
    <w:p w14:paraId="3074C6D8" w14:textId="77777777" w:rsidR="00730DE4" w:rsidRPr="00730DE4" w:rsidRDefault="00730DE4" w:rsidP="00390F2D">
      <w:pPr>
        <w:pStyle w:val="Heading7"/>
      </w:pPr>
      <w:r w:rsidRPr="00730DE4">
        <w:t xml:space="preserve">Payments for property, plant and equipment </w:t>
      </w:r>
    </w:p>
    <w:p w14:paraId="0AFD1946" w14:textId="77777777" w:rsidR="00730DE4" w:rsidRPr="00730DE4" w:rsidRDefault="00730DE4" w:rsidP="003C13D4">
      <w:pPr>
        <w:rPr>
          <w:color w:val="080C0F" w:themeColor="text1"/>
        </w:rPr>
      </w:pPr>
      <w:r w:rsidRPr="00730DE4">
        <w:rPr>
          <w:color w:val="080C0F" w:themeColor="text1"/>
        </w:rPr>
        <w:t>Variance of ($1,504m) mainly reflects increased capital program delivery.</w:t>
      </w:r>
    </w:p>
    <w:p w14:paraId="2ABF4CE0" w14:textId="77777777" w:rsidR="00730DE4" w:rsidRPr="00730DE4" w:rsidRDefault="00730DE4" w:rsidP="00390F2D">
      <w:pPr>
        <w:pStyle w:val="Heading7"/>
      </w:pPr>
      <w:r w:rsidRPr="00730DE4">
        <w:t xml:space="preserve">Payments for intangibles </w:t>
      </w:r>
    </w:p>
    <w:p w14:paraId="07F4FAEE" w14:textId="77777777" w:rsidR="00730DE4" w:rsidRPr="00730DE4" w:rsidRDefault="00730DE4" w:rsidP="003C13D4">
      <w:pPr>
        <w:rPr>
          <w:color w:val="080C0F" w:themeColor="text1"/>
        </w:rPr>
      </w:pPr>
      <w:r w:rsidRPr="00730DE4">
        <w:rPr>
          <w:color w:val="080C0F" w:themeColor="text1"/>
        </w:rPr>
        <w:t>Variance of $25.886m reflects lower than anticipated software purchases due to projects expensed as a result of a review of software as a service arrangement following a change in Australian Accounting Standards.</w:t>
      </w:r>
    </w:p>
    <w:p w14:paraId="5C4B2FDC" w14:textId="77777777" w:rsidR="00730DE4" w:rsidRPr="00730DE4" w:rsidRDefault="00730DE4" w:rsidP="00390F2D">
      <w:pPr>
        <w:pStyle w:val="Heading7"/>
      </w:pPr>
      <w:r w:rsidRPr="00730DE4">
        <w:t xml:space="preserve">Equity injections </w:t>
      </w:r>
    </w:p>
    <w:p w14:paraId="4B77FBFD" w14:textId="77777777" w:rsidR="00730DE4" w:rsidRPr="00730DE4" w:rsidRDefault="00730DE4" w:rsidP="003C13D4">
      <w:pPr>
        <w:rPr>
          <w:color w:val="080C0F" w:themeColor="text1"/>
        </w:rPr>
      </w:pPr>
      <w:r w:rsidRPr="00730DE4">
        <w:rPr>
          <w:color w:val="080C0F" w:themeColor="text1"/>
        </w:rPr>
        <w:t>Variance of $1,270m relates to Queensland and Australian Government funding brought forward from within the forward estimates to fund increased capital program delivery and a cash injection to supplement working capital due to COVID-19 impacts.</w:t>
      </w:r>
    </w:p>
    <w:p w14:paraId="550AF66B" w14:textId="77777777" w:rsidR="00730DE4" w:rsidRPr="00730DE4" w:rsidRDefault="00730DE4" w:rsidP="00390F2D">
      <w:pPr>
        <w:pStyle w:val="Heading5"/>
      </w:pPr>
      <w:bookmarkStart w:id="1655" w:name="_Toc180487774"/>
      <w:bookmarkStart w:id="1656" w:name="_Toc180490979"/>
      <w:bookmarkStart w:id="1657" w:name="_Toc180492012"/>
      <w:r w:rsidRPr="00730DE4">
        <w:t>Schedule of administered items</w:t>
      </w:r>
      <w:bookmarkEnd w:id="1655"/>
      <w:bookmarkEnd w:id="1656"/>
      <w:bookmarkEnd w:id="1657"/>
    </w:p>
    <w:p w14:paraId="209C5B16" w14:textId="77777777" w:rsidR="00730DE4" w:rsidRPr="00730DE4" w:rsidRDefault="00730DE4" w:rsidP="00F16A24">
      <w:pPr>
        <w:pStyle w:val="NoSpacing"/>
      </w:pPr>
    </w:p>
    <w:tbl>
      <w:tblPr>
        <w:tblW w:w="5000" w:type="pct"/>
        <w:tblCellMar>
          <w:top w:w="23" w:type="dxa"/>
          <w:left w:w="23" w:type="dxa"/>
          <w:bottom w:w="23" w:type="dxa"/>
          <w:right w:w="23" w:type="dxa"/>
        </w:tblCellMar>
        <w:tblLook w:val="04A0" w:firstRow="1" w:lastRow="0" w:firstColumn="1" w:lastColumn="0" w:noHBand="0" w:noVBand="1"/>
      </w:tblPr>
      <w:tblGrid>
        <w:gridCol w:w="4537"/>
        <w:gridCol w:w="1511"/>
        <w:gridCol w:w="1511"/>
        <w:gridCol w:w="1511"/>
      </w:tblGrid>
      <w:tr w:rsidR="00730DE4" w:rsidRPr="00730DE4" w14:paraId="0BD984A4" w14:textId="77777777" w:rsidTr="002035BC">
        <w:trPr>
          <w:cantSplit/>
        </w:trPr>
        <w:tc>
          <w:tcPr>
            <w:tcW w:w="2501" w:type="pct"/>
            <w:tcBorders>
              <w:top w:val="nil"/>
              <w:left w:val="nil"/>
              <w:bottom w:val="single" w:sz="4" w:space="0" w:color="auto"/>
              <w:right w:val="nil"/>
            </w:tcBorders>
            <w:shd w:val="clear" w:color="auto" w:fill="auto"/>
            <w:noWrap/>
            <w:vAlign w:val="bottom"/>
            <w:hideMark/>
          </w:tcPr>
          <w:p w14:paraId="295F2A45" w14:textId="77777777" w:rsidR="00730DE4" w:rsidRPr="00730DE4" w:rsidRDefault="00730DE4" w:rsidP="00BA44B1">
            <w:pPr>
              <w:pStyle w:val="NoSpacing"/>
              <w:rPr>
                <w:color w:val="080C0F" w:themeColor="text1"/>
                <w:szCs w:val="20"/>
              </w:rPr>
            </w:pPr>
          </w:p>
        </w:tc>
        <w:tc>
          <w:tcPr>
            <w:tcW w:w="833" w:type="pct"/>
            <w:tcBorders>
              <w:top w:val="nil"/>
              <w:left w:val="nil"/>
              <w:bottom w:val="single" w:sz="4" w:space="0" w:color="auto"/>
              <w:right w:val="nil"/>
            </w:tcBorders>
            <w:shd w:val="clear" w:color="auto" w:fill="auto"/>
            <w:vAlign w:val="bottom"/>
            <w:hideMark/>
          </w:tcPr>
          <w:p w14:paraId="42E55349" w14:textId="77777777" w:rsidR="00730DE4" w:rsidRPr="00730DE4" w:rsidRDefault="00730DE4" w:rsidP="00BA44B1">
            <w:pPr>
              <w:pStyle w:val="NoSpacing"/>
              <w:jc w:val="right"/>
              <w:rPr>
                <w:color w:val="080C0F" w:themeColor="text1"/>
                <w:szCs w:val="20"/>
              </w:rPr>
            </w:pPr>
            <w:r w:rsidRPr="00730DE4">
              <w:rPr>
                <w:rStyle w:val="Strong"/>
              </w:rPr>
              <w:t xml:space="preserve">Original budget </w:t>
            </w:r>
            <w:r w:rsidRPr="00730DE4">
              <w:rPr>
                <w:rStyle w:val="Strong"/>
              </w:rPr>
              <w:br/>
            </w:r>
            <w:r w:rsidRPr="00730DE4">
              <w:rPr>
                <w:rStyle w:val="Strong"/>
              </w:rPr>
              <w:br/>
              <w:t>2024</w:t>
            </w:r>
            <w:r w:rsidRPr="00730DE4">
              <w:rPr>
                <w:rStyle w:val="Strong"/>
              </w:rPr>
              <w:br/>
              <w:t xml:space="preserve">$'000 </w:t>
            </w:r>
          </w:p>
        </w:tc>
        <w:tc>
          <w:tcPr>
            <w:tcW w:w="833" w:type="pct"/>
            <w:tcBorders>
              <w:top w:val="nil"/>
              <w:left w:val="nil"/>
              <w:bottom w:val="single" w:sz="4" w:space="0" w:color="auto"/>
              <w:right w:val="nil"/>
            </w:tcBorders>
            <w:shd w:val="clear" w:color="auto" w:fill="auto"/>
            <w:vAlign w:val="bottom"/>
            <w:hideMark/>
          </w:tcPr>
          <w:p w14:paraId="72B8F687" w14:textId="77777777" w:rsidR="00730DE4" w:rsidRPr="00730DE4" w:rsidRDefault="00730DE4" w:rsidP="00BA44B1">
            <w:pPr>
              <w:pStyle w:val="NoSpacing"/>
              <w:jc w:val="right"/>
              <w:rPr>
                <w:color w:val="080C0F" w:themeColor="text1"/>
                <w:szCs w:val="20"/>
              </w:rPr>
            </w:pPr>
            <w:r w:rsidRPr="00730DE4">
              <w:rPr>
                <w:rStyle w:val="Strong"/>
              </w:rPr>
              <w:t>Actual</w:t>
            </w:r>
            <w:r w:rsidRPr="00730DE4">
              <w:rPr>
                <w:rStyle w:val="Strong"/>
              </w:rPr>
              <w:br/>
              <w:t xml:space="preserve">result </w:t>
            </w:r>
            <w:r w:rsidRPr="00730DE4">
              <w:rPr>
                <w:rStyle w:val="Strong"/>
              </w:rPr>
              <w:br/>
            </w:r>
            <w:r w:rsidRPr="00730DE4">
              <w:rPr>
                <w:rStyle w:val="Strong"/>
              </w:rPr>
              <w:br/>
              <w:t>2024</w:t>
            </w:r>
            <w:r w:rsidRPr="00730DE4">
              <w:rPr>
                <w:rStyle w:val="Strong"/>
              </w:rPr>
              <w:br/>
              <w:t>$'000</w:t>
            </w:r>
          </w:p>
        </w:tc>
        <w:tc>
          <w:tcPr>
            <w:tcW w:w="833" w:type="pct"/>
            <w:tcBorders>
              <w:top w:val="nil"/>
              <w:left w:val="nil"/>
              <w:bottom w:val="single" w:sz="4" w:space="0" w:color="auto"/>
              <w:right w:val="nil"/>
            </w:tcBorders>
            <w:shd w:val="clear" w:color="auto" w:fill="auto"/>
            <w:vAlign w:val="bottom"/>
            <w:hideMark/>
          </w:tcPr>
          <w:p w14:paraId="3CD67F2C" w14:textId="77777777" w:rsidR="00730DE4" w:rsidRPr="00730DE4" w:rsidRDefault="00730DE4" w:rsidP="00BA44B1">
            <w:pPr>
              <w:pStyle w:val="NoSpacing"/>
              <w:jc w:val="right"/>
              <w:rPr>
                <w:rStyle w:val="Strong"/>
              </w:rPr>
            </w:pPr>
            <w:r w:rsidRPr="00730DE4">
              <w:rPr>
                <w:rStyle w:val="Strong"/>
              </w:rPr>
              <w:t xml:space="preserve">Variance </w:t>
            </w:r>
            <w:r w:rsidRPr="00730DE4">
              <w:rPr>
                <w:rStyle w:val="Strong"/>
              </w:rPr>
              <w:br/>
            </w:r>
            <w:r w:rsidRPr="00730DE4">
              <w:rPr>
                <w:rStyle w:val="Strong"/>
              </w:rPr>
              <w:br/>
              <w:t>2024</w:t>
            </w:r>
            <w:r w:rsidRPr="00730DE4">
              <w:rPr>
                <w:rStyle w:val="Strong"/>
              </w:rPr>
              <w:br/>
              <w:t>$'000</w:t>
            </w:r>
          </w:p>
        </w:tc>
      </w:tr>
      <w:tr w:rsidR="00730DE4" w:rsidRPr="00730DE4" w14:paraId="43373C8E" w14:textId="77777777" w:rsidTr="002035BC">
        <w:trPr>
          <w:cantSplit/>
          <w:trHeight w:val="454"/>
        </w:trPr>
        <w:tc>
          <w:tcPr>
            <w:tcW w:w="2501"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vAlign w:val="bottom"/>
          </w:tcPr>
          <w:p w14:paraId="32C25042" w14:textId="77777777" w:rsidR="00730DE4" w:rsidRPr="00730DE4" w:rsidRDefault="00730DE4" w:rsidP="00BA44B1">
            <w:pPr>
              <w:pStyle w:val="NoSpacing"/>
              <w:rPr>
                <w:rStyle w:val="Strong"/>
              </w:rPr>
            </w:pPr>
            <w:r w:rsidRPr="00730DE4">
              <w:rPr>
                <w:rStyle w:val="Strong"/>
              </w:rPr>
              <w:t>Administered income</w:t>
            </w:r>
          </w:p>
        </w:tc>
        <w:tc>
          <w:tcPr>
            <w:tcW w:w="833"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tcPr>
          <w:p w14:paraId="638DD528" w14:textId="77777777" w:rsidR="00730DE4" w:rsidRPr="00730DE4" w:rsidRDefault="00730DE4" w:rsidP="00BA44B1">
            <w:pPr>
              <w:pStyle w:val="NoSpacing"/>
              <w:jc w:val="right"/>
              <w:rPr>
                <w:rStyle w:val="Strong"/>
              </w:rPr>
            </w:pPr>
          </w:p>
        </w:tc>
        <w:tc>
          <w:tcPr>
            <w:tcW w:w="833"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vAlign w:val="bottom"/>
          </w:tcPr>
          <w:p w14:paraId="53374FEC" w14:textId="77777777" w:rsidR="00730DE4" w:rsidRPr="00730DE4" w:rsidRDefault="00730DE4" w:rsidP="00BA44B1">
            <w:pPr>
              <w:pStyle w:val="NoSpacing"/>
              <w:jc w:val="right"/>
              <w:rPr>
                <w:rStyle w:val="Strong"/>
              </w:rPr>
            </w:pPr>
          </w:p>
        </w:tc>
        <w:tc>
          <w:tcPr>
            <w:tcW w:w="833"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vAlign w:val="bottom"/>
          </w:tcPr>
          <w:p w14:paraId="0C01FC43" w14:textId="77777777" w:rsidR="00730DE4" w:rsidRPr="00730DE4" w:rsidRDefault="00730DE4" w:rsidP="00BA44B1">
            <w:pPr>
              <w:pStyle w:val="NoSpacing"/>
              <w:jc w:val="right"/>
              <w:rPr>
                <w:rStyle w:val="Strong"/>
              </w:rPr>
            </w:pPr>
          </w:p>
        </w:tc>
      </w:tr>
      <w:tr w:rsidR="00730DE4" w:rsidRPr="00730DE4" w14:paraId="601A850D" w14:textId="77777777" w:rsidTr="002035BC">
        <w:trPr>
          <w:cantSplit/>
        </w:trPr>
        <w:tc>
          <w:tcPr>
            <w:tcW w:w="2501"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391ADF7D" w14:textId="77777777" w:rsidR="00730DE4" w:rsidRPr="00730DE4" w:rsidRDefault="00730DE4" w:rsidP="00BA44B1">
            <w:pPr>
              <w:pStyle w:val="NoSpacing"/>
              <w:rPr>
                <w:color w:val="080C0F" w:themeColor="text1"/>
                <w:szCs w:val="20"/>
              </w:rPr>
            </w:pPr>
            <w:r w:rsidRPr="00730DE4">
              <w:rPr>
                <w:color w:val="080C0F" w:themeColor="text1"/>
                <w:szCs w:val="20"/>
              </w:rPr>
              <w:t>Appropriation revenue</w:t>
            </w: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6FC9853" w14:textId="77777777" w:rsidR="00730DE4" w:rsidRPr="00730DE4" w:rsidRDefault="00730DE4" w:rsidP="00BA44B1">
            <w:pPr>
              <w:pStyle w:val="NoSpacing"/>
              <w:jc w:val="right"/>
              <w:rPr>
                <w:color w:val="080C0F" w:themeColor="text1"/>
                <w:szCs w:val="20"/>
              </w:rPr>
            </w:pPr>
            <w:r w:rsidRPr="00730DE4">
              <w:rPr>
                <w:color w:val="080C0F" w:themeColor="text1"/>
                <w:szCs w:val="20"/>
              </w:rPr>
              <w:t xml:space="preserve">184,924 </w:t>
            </w: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36C80CB" w14:textId="77777777" w:rsidR="00730DE4" w:rsidRPr="00730DE4" w:rsidRDefault="00730DE4" w:rsidP="00BA44B1">
            <w:pPr>
              <w:pStyle w:val="NoSpacing"/>
              <w:jc w:val="right"/>
              <w:rPr>
                <w:color w:val="080C0F" w:themeColor="text1"/>
                <w:szCs w:val="20"/>
              </w:rPr>
            </w:pPr>
            <w:r w:rsidRPr="00730DE4">
              <w:rPr>
                <w:color w:val="080C0F" w:themeColor="text1"/>
                <w:szCs w:val="20"/>
              </w:rPr>
              <w:t xml:space="preserve">130,948 </w:t>
            </w: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495C103" w14:textId="77777777" w:rsidR="00730DE4" w:rsidRPr="00730DE4" w:rsidRDefault="00730DE4" w:rsidP="00BA44B1">
            <w:pPr>
              <w:pStyle w:val="NoSpacing"/>
              <w:jc w:val="right"/>
              <w:rPr>
                <w:color w:val="080C0F" w:themeColor="text1"/>
                <w:szCs w:val="20"/>
              </w:rPr>
            </w:pPr>
            <w:r w:rsidRPr="00730DE4">
              <w:rPr>
                <w:color w:val="080C0F" w:themeColor="text1"/>
                <w:szCs w:val="20"/>
              </w:rPr>
              <w:t>(53,976)</w:t>
            </w:r>
          </w:p>
        </w:tc>
      </w:tr>
      <w:tr w:rsidR="00730DE4" w:rsidRPr="00730DE4" w14:paraId="783FD482" w14:textId="77777777" w:rsidTr="002035BC">
        <w:trPr>
          <w:cantSplit/>
        </w:trPr>
        <w:tc>
          <w:tcPr>
            <w:tcW w:w="2501"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46F3250" w14:textId="77777777" w:rsidR="00730DE4" w:rsidRPr="00730DE4" w:rsidRDefault="00730DE4" w:rsidP="00BA44B1">
            <w:pPr>
              <w:pStyle w:val="NoSpacing"/>
              <w:rPr>
                <w:color w:val="080C0F" w:themeColor="text1"/>
                <w:szCs w:val="20"/>
              </w:rPr>
            </w:pPr>
            <w:r w:rsidRPr="00730DE4">
              <w:rPr>
                <w:color w:val="080C0F" w:themeColor="text1"/>
                <w:szCs w:val="20"/>
              </w:rPr>
              <w:t>Grants and other contributions</w:t>
            </w: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8EA2B29" w14:textId="77777777" w:rsidR="00730DE4" w:rsidRPr="00730DE4" w:rsidRDefault="00730DE4" w:rsidP="00BA44B1">
            <w:pPr>
              <w:pStyle w:val="NoSpacing"/>
              <w:jc w:val="right"/>
              <w:rPr>
                <w:color w:val="080C0F" w:themeColor="text1"/>
                <w:szCs w:val="20"/>
              </w:rPr>
            </w:pPr>
            <w:r w:rsidRPr="00730DE4">
              <w:rPr>
                <w:color w:val="080C0F" w:themeColor="text1"/>
                <w:szCs w:val="20"/>
              </w:rPr>
              <w:t xml:space="preserve">- </w:t>
            </w: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A86A6B9" w14:textId="77777777" w:rsidR="00730DE4" w:rsidRPr="00730DE4" w:rsidRDefault="00730DE4" w:rsidP="00BA44B1">
            <w:pPr>
              <w:pStyle w:val="NoSpacing"/>
              <w:jc w:val="right"/>
              <w:rPr>
                <w:color w:val="080C0F" w:themeColor="text1"/>
                <w:szCs w:val="20"/>
              </w:rPr>
            </w:pPr>
            <w:r w:rsidRPr="00730DE4">
              <w:rPr>
                <w:color w:val="080C0F" w:themeColor="text1"/>
                <w:szCs w:val="20"/>
              </w:rPr>
              <w:t xml:space="preserve">249 </w:t>
            </w: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AB6F774" w14:textId="77777777" w:rsidR="00730DE4" w:rsidRPr="00730DE4" w:rsidRDefault="00730DE4" w:rsidP="00BA44B1">
            <w:pPr>
              <w:pStyle w:val="NoSpacing"/>
              <w:jc w:val="right"/>
              <w:rPr>
                <w:color w:val="080C0F" w:themeColor="text1"/>
                <w:szCs w:val="20"/>
              </w:rPr>
            </w:pPr>
            <w:r w:rsidRPr="00730DE4">
              <w:rPr>
                <w:color w:val="080C0F" w:themeColor="text1"/>
                <w:szCs w:val="20"/>
              </w:rPr>
              <w:t xml:space="preserve">249 </w:t>
            </w:r>
          </w:p>
        </w:tc>
      </w:tr>
      <w:tr w:rsidR="00730DE4" w:rsidRPr="00730DE4" w14:paraId="326C1690" w14:textId="77777777" w:rsidTr="002035BC">
        <w:trPr>
          <w:cantSplit/>
        </w:trPr>
        <w:tc>
          <w:tcPr>
            <w:tcW w:w="2501"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43C88858" w14:textId="77777777" w:rsidR="00730DE4" w:rsidRPr="00730DE4" w:rsidRDefault="00730DE4" w:rsidP="00BA44B1">
            <w:pPr>
              <w:pStyle w:val="NoSpacing"/>
              <w:rPr>
                <w:color w:val="080C0F" w:themeColor="text1"/>
                <w:szCs w:val="20"/>
              </w:rPr>
            </w:pPr>
            <w:r w:rsidRPr="00730DE4">
              <w:rPr>
                <w:color w:val="080C0F" w:themeColor="text1"/>
                <w:szCs w:val="20"/>
              </w:rPr>
              <w:t>User charges, fees and fines</w:t>
            </w: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F238164" w14:textId="77777777" w:rsidR="00730DE4" w:rsidRPr="00730DE4" w:rsidRDefault="00730DE4" w:rsidP="00BA44B1">
            <w:pPr>
              <w:pStyle w:val="NoSpacing"/>
              <w:jc w:val="right"/>
              <w:rPr>
                <w:color w:val="080C0F" w:themeColor="text1"/>
                <w:szCs w:val="20"/>
              </w:rPr>
            </w:pPr>
            <w:r w:rsidRPr="00730DE4">
              <w:rPr>
                <w:color w:val="080C0F" w:themeColor="text1"/>
                <w:szCs w:val="20"/>
              </w:rPr>
              <w:t xml:space="preserve">3,040,519 </w:t>
            </w: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027C8F9" w14:textId="77777777" w:rsidR="00730DE4" w:rsidRPr="00730DE4" w:rsidRDefault="00730DE4" w:rsidP="00BA44B1">
            <w:pPr>
              <w:pStyle w:val="NoSpacing"/>
              <w:jc w:val="right"/>
              <w:rPr>
                <w:color w:val="080C0F" w:themeColor="text1"/>
                <w:szCs w:val="20"/>
              </w:rPr>
            </w:pPr>
            <w:r w:rsidRPr="00730DE4">
              <w:rPr>
                <w:color w:val="080C0F" w:themeColor="text1"/>
                <w:szCs w:val="20"/>
              </w:rPr>
              <w:t xml:space="preserve">3,116,352 </w:t>
            </w: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6155C4CF" w14:textId="77777777" w:rsidR="00730DE4" w:rsidRPr="00730DE4" w:rsidRDefault="00730DE4" w:rsidP="00BA44B1">
            <w:pPr>
              <w:pStyle w:val="NoSpacing"/>
              <w:jc w:val="right"/>
              <w:rPr>
                <w:color w:val="080C0F" w:themeColor="text1"/>
                <w:szCs w:val="20"/>
              </w:rPr>
            </w:pPr>
            <w:r w:rsidRPr="00730DE4">
              <w:rPr>
                <w:color w:val="080C0F" w:themeColor="text1"/>
                <w:szCs w:val="20"/>
              </w:rPr>
              <w:t xml:space="preserve">75,833 </w:t>
            </w:r>
          </w:p>
        </w:tc>
      </w:tr>
      <w:tr w:rsidR="00730DE4" w:rsidRPr="00730DE4" w14:paraId="2EF735DE" w14:textId="77777777" w:rsidTr="002035BC">
        <w:trPr>
          <w:cantSplit/>
        </w:trPr>
        <w:tc>
          <w:tcPr>
            <w:tcW w:w="2501"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77AA5239" w14:textId="77777777" w:rsidR="00730DE4" w:rsidRPr="00730DE4" w:rsidRDefault="00730DE4" w:rsidP="00BA44B1">
            <w:pPr>
              <w:pStyle w:val="NoSpacing"/>
              <w:rPr>
                <w:color w:val="080C0F" w:themeColor="text1"/>
                <w:szCs w:val="20"/>
              </w:rPr>
            </w:pPr>
            <w:r w:rsidRPr="00730DE4">
              <w:rPr>
                <w:color w:val="080C0F" w:themeColor="text1"/>
                <w:szCs w:val="20"/>
              </w:rPr>
              <w:t>Other</w:t>
            </w:r>
          </w:p>
        </w:tc>
        <w:tc>
          <w:tcPr>
            <w:tcW w:w="833"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5C215296" w14:textId="77777777" w:rsidR="00730DE4" w:rsidRPr="00730DE4" w:rsidRDefault="00730DE4" w:rsidP="00BA44B1">
            <w:pPr>
              <w:pStyle w:val="NoSpacing"/>
              <w:jc w:val="right"/>
              <w:rPr>
                <w:color w:val="080C0F" w:themeColor="text1"/>
                <w:szCs w:val="20"/>
              </w:rPr>
            </w:pPr>
            <w:r w:rsidRPr="00730DE4">
              <w:rPr>
                <w:color w:val="080C0F" w:themeColor="text1"/>
                <w:szCs w:val="20"/>
              </w:rPr>
              <w:t xml:space="preserve">10,451 </w:t>
            </w:r>
          </w:p>
        </w:tc>
        <w:tc>
          <w:tcPr>
            <w:tcW w:w="833"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056A2454" w14:textId="77777777" w:rsidR="00730DE4" w:rsidRPr="00730DE4" w:rsidRDefault="00730DE4" w:rsidP="00BA44B1">
            <w:pPr>
              <w:pStyle w:val="NoSpacing"/>
              <w:jc w:val="right"/>
              <w:rPr>
                <w:color w:val="080C0F" w:themeColor="text1"/>
                <w:szCs w:val="20"/>
              </w:rPr>
            </w:pPr>
            <w:r w:rsidRPr="00730DE4">
              <w:rPr>
                <w:color w:val="080C0F" w:themeColor="text1"/>
                <w:szCs w:val="20"/>
              </w:rPr>
              <w:t xml:space="preserve">10,950 </w:t>
            </w:r>
          </w:p>
        </w:tc>
        <w:tc>
          <w:tcPr>
            <w:tcW w:w="833"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54006A34" w14:textId="77777777" w:rsidR="00730DE4" w:rsidRPr="00730DE4" w:rsidRDefault="00730DE4" w:rsidP="00BA44B1">
            <w:pPr>
              <w:pStyle w:val="NoSpacing"/>
              <w:jc w:val="right"/>
              <w:rPr>
                <w:color w:val="080C0F" w:themeColor="text1"/>
                <w:szCs w:val="20"/>
              </w:rPr>
            </w:pPr>
            <w:r w:rsidRPr="00730DE4">
              <w:rPr>
                <w:color w:val="080C0F" w:themeColor="text1"/>
                <w:szCs w:val="20"/>
              </w:rPr>
              <w:t xml:space="preserve">499 </w:t>
            </w:r>
          </w:p>
        </w:tc>
      </w:tr>
      <w:tr w:rsidR="00730DE4" w:rsidRPr="00730DE4" w14:paraId="4766EF3A" w14:textId="77777777" w:rsidTr="002035BC">
        <w:trPr>
          <w:cantSplit/>
        </w:trPr>
        <w:tc>
          <w:tcPr>
            <w:tcW w:w="2501"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hideMark/>
          </w:tcPr>
          <w:p w14:paraId="5CDA4B7B" w14:textId="77777777" w:rsidR="00730DE4" w:rsidRPr="00730DE4" w:rsidRDefault="00730DE4" w:rsidP="00BA44B1">
            <w:pPr>
              <w:pStyle w:val="NoSpacing"/>
              <w:rPr>
                <w:color w:val="080C0F" w:themeColor="text1"/>
                <w:szCs w:val="20"/>
              </w:rPr>
            </w:pPr>
            <w:r w:rsidRPr="00730DE4">
              <w:rPr>
                <w:rStyle w:val="Strong"/>
              </w:rPr>
              <w:t>Total income</w:t>
            </w:r>
          </w:p>
        </w:tc>
        <w:tc>
          <w:tcPr>
            <w:tcW w:w="833"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hideMark/>
          </w:tcPr>
          <w:p w14:paraId="3D8E929D" w14:textId="77777777" w:rsidR="00730DE4" w:rsidRPr="00730DE4" w:rsidRDefault="00730DE4" w:rsidP="00BA44B1">
            <w:pPr>
              <w:pStyle w:val="NoSpacing"/>
              <w:jc w:val="right"/>
              <w:rPr>
                <w:color w:val="080C0F" w:themeColor="text1"/>
                <w:szCs w:val="20"/>
              </w:rPr>
            </w:pPr>
            <w:r w:rsidRPr="00730DE4">
              <w:rPr>
                <w:rStyle w:val="Strong"/>
              </w:rPr>
              <w:t xml:space="preserve">3,235,894 </w:t>
            </w:r>
          </w:p>
        </w:tc>
        <w:tc>
          <w:tcPr>
            <w:tcW w:w="833"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hideMark/>
          </w:tcPr>
          <w:p w14:paraId="219B5E37" w14:textId="77777777" w:rsidR="00730DE4" w:rsidRPr="00730DE4" w:rsidRDefault="00730DE4" w:rsidP="00BA44B1">
            <w:pPr>
              <w:pStyle w:val="NoSpacing"/>
              <w:jc w:val="right"/>
              <w:rPr>
                <w:color w:val="080C0F" w:themeColor="text1"/>
                <w:szCs w:val="20"/>
              </w:rPr>
            </w:pPr>
            <w:r w:rsidRPr="00730DE4">
              <w:rPr>
                <w:rStyle w:val="Strong"/>
              </w:rPr>
              <w:t xml:space="preserve">3,258,499 </w:t>
            </w:r>
          </w:p>
        </w:tc>
        <w:tc>
          <w:tcPr>
            <w:tcW w:w="833"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hideMark/>
          </w:tcPr>
          <w:p w14:paraId="607A1AE7" w14:textId="77777777" w:rsidR="00730DE4" w:rsidRPr="00730DE4" w:rsidRDefault="00730DE4" w:rsidP="00BA44B1">
            <w:pPr>
              <w:pStyle w:val="NoSpacing"/>
              <w:jc w:val="right"/>
              <w:rPr>
                <w:rStyle w:val="Strong"/>
              </w:rPr>
            </w:pPr>
            <w:r w:rsidRPr="00730DE4">
              <w:rPr>
                <w:rStyle w:val="Strong"/>
              </w:rPr>
              <w:t xml:space="preserve">22,605 </w:t>
            </w:r>
          </w:p>
        </w:tc>
      </w:tr>
      <w:tr w:rsidR="00730DE4" w:rsidRPr="00730DE4" w14:paraId="5451E9C7" w14:textId="77777777" w:rsidTr="002035BC">
        <w:trPr>
          <w:cantSplit/>
          <w:trHeight w:val="454"/>
        </w:trPr>
        <w:tc>
          <w:tcPr>
            <w:tcW w:w="2501"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52F45FB5" w14:textId="77777777" w:rsidR="00730DE4" w:rsidRPr="00730DE4" w:rsidRDefault="00730DE4" w:rsidP="00BA44B1">
            <w:pPr>
              <w:pStyle w:val="NoSpacing"/>
              <w:rPr>
                <w:color w:val="080C0F" w:themeColor="text1"/>
                <w:szCs w:val="20"/>
              </w:rPr>
            </w:pPr>
            <w:r w:rsidRPr="00730DE4">
              <w:rPr>
                <w:rStyle w:val="Strong"/>
              </w:rPr>
              <w:t>Administered expenses</w:t>
            </w: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04088237" w14:textId="77777777" w:rsidR="00730DE4" w:rsidRPr="00730DE4" w:rsidRDefault="00730DE4" w:rsidP="00BA44B1">
            <w:pPr>
              <w:pStyle w:val="NoSpacing"/>
              <w:jc w:val="right"/>
              <w:rPr>
                <w:rStyle w:val="Strong"/>
              </w:rPr>
            </w:pP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55783B31" w14:textId="77777777" w:rsidR="00730DE4" w:rsidRPr="00730DE4" w:rsidRDefault="00730DE4" w:rsidP="00BA44B1">
            <w:pPr>
              <w:pStyle w:val="NoSpacing"/>
              <w:jc w:val="right"/>
              <w:rPr>
                <w:color w:val="080C0F" w:themeColor="text1"/>
                <w:szCs w:val="20"/>
              </w:rPr>
            </w:pP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tcPr>
          <w:p w14:paraId="00839E06" w14:textId="77777777" w:rsidR="00730DE4" w:rsidRPr="00730DE4" w:rsidRDefault="00730DE4" w:rsidP="00BA44B1">
            <w:pPr>
              <w:pStyle w:val="NoSpacing"/>
              <w:jc w:val="right"/>
              <w:rPr>
                <w:color w:val="080C0F" w:themeColor="text1"/>
                <w:szCs w:val="20"/>
              </w:rPr>
            </w:pPr>
          </w:p>
        </w:tc>
      </w:tr>
      <w:tr w:rsidR="00730DE4" w:rsidRPr="00730DE4" w14:paraId="752CA1E0" w14:textId="77777777" w:rsidTr="002035BC">
        <w:trPr>
          <w:cantSplit/>
        </w:trPr>
        <w:tc>
          <w:tcPr>
            <w:tcW w:w="2501"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65824777" w14:textId="77777777" w:rsidR="00730DE4" w:rsidRPr="00730DE4" w:rsidRDefault="00730DE4" w:rsidP="00BA44B1">
            <w:pPr>
              <w:pStyle w:val="NoSpacing"/>
              <w:rPr>
                <w:color w:val="080C0F" w:themeColor="text1"/>
                <w:szCs w:val="20"/>
              </w:rPr>
            </w:pPr>
            <w:r w:rsidRPr="00730DE4">
              <w:rPr>
                <w:color w:val="080C0F" w:themeColor="text1"/>
                <w:szCs w:val="20"/>
              </w:rPr>
              <w:t>Supplies and services</w:t>
            </w: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1FC932B" w14:textId="77777777" w:rsidR="00730DE4" w:rsidRPr="00730DE4" w:rsidRDefault="00730DE4" w:rsidP="00BA44B1">
            <w:pPr>
              <w:pStyle w:val="NoSpacing"/>
              <w:jc w:val="right"/>
              <w:rPr>
                <w:color w:val="080C0F" w:themeColor="text1"/>
                <w:szCs w:val="20"/>
              </w:rPr>
            </w:pPr>
            <w:r w:rsidRPr="00730DE4">
              <w:rPr>
                <w:color w:val="080C0F" w:themeColor="text1"/>
                <w:szCs w:val="20"/>
              </w:rPr>
              <w:t xml:space="preserve">7,553 </w:t>
            </w: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1A6CAE3" w14:textId="77777777" w:rsidR="00730DE4" w:rsidRPr="00730DE4" w:rsidRDefault="00730DE4" w:rsidP="00BA44B1">
            <w:pPr>
              <w:pStyle w:val="NoSpacing"/>
              <w:jc w:val="right"/>
              <w:rPr>
                <w:color w:val="080C0F" w:themeColor="text1"/>
                <w:szCs w:val="20"/>
              </w:rPr>
            </w:pPr>
            <w:r w:rsidRPr="00730DE4">
              <w:rPr>
                <w:color w:val="080C0F" w:themeColor="text1"/>
                <w:szCs w:val="20"/>
              </w:rPr>
              <w:t xml:space="preserve">14,849 </w:t>
            </w: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6C24061" w14:textId="77777777" w:rsidR="00730DE4" w:rsidRPr="00730DE4" w:rsidRDefault="00730DE4" w:rsidP="00BA44B1">
            <w:pPr>
              <w:pStyle w:val="NoSpacing"/>
              <w:jc w:val="right"/>
              <w:rPr>
                <w:color w:val="080C0F" w:themeColor="text1"/>
                <w:szCs w:val="20"/>
              </w:rPr>
            </w:pPr>
            <w:r w:rsidRPr="00730DE4">
              <w:rPr>
                <w:color w:val="080C0F" w:themeColor="text1"/>
                <w:szCs w:val="20"/>
              </w:rPr>
              <w:t xml:space="preserve">7,296 </w:t>
            </w:r>
          </w:p>
        </w:tc>
      </w:tr>
      <w:tr w:rsidR="00730DE4" w:rsidRPr="00730DE4" w14:paraId="0B43D02B" w14:textId="77777777" w:rsidTr="002035BC">
        <w:trPr>
          <w:cantSplit/>
        </w:trPr>
        <w:tc>
          <w:tcPr>
            <w:tcW w:w="2501"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4C4B0A02" w14:textId="77777777" w:rsidR="00730DE4" w:rsidRPr="00730DE4" w:rsidRDefault="00730DE4" w:rsidP="00BA44B1">
            <w:pPr>
              <w:pStyle w:val="NoSpacing"/>
              <w:rPr>
                <w:color w:val="080C0F" w:themeColor="text1"/>
                <w:szCs w:val="20"/>
              </w:rPr>
            </w:pPr>
            <w:r w:rsidRPr="00730DE4">
              <w:rPr>
                <w:color w:val="080C0F" w:themeColor="text1"/>
                <w:szCs w:val="20"/>
              </w:rPr>
              <w:t>Grants and subsidies</w:t>
            </w: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5CBBD79" w14:textId="77777777" w:rsidR="00730DE4" w:rsidRPr="00730DE4" w:rsidRDefault="00730DE4" w:rsidP="00BA44B1">
            <w:pPr>
              <w:pStyle w:val="NoSpacing"/>
              <w:jc w:val="right"/>
              <w:rPr>
                <w:color w:val="080C0F" w:themeColor="text1"/>
                <w:szCs w:val="20"/>
              </w:rPr>
            </w:pPr>
            <w:r w:rsidRPr="00730DE4">
              <w:rPr>
                <w:color w:val="080C0F" w:themeColor="text1"/>
                <w:szCs w:val="20"/>
              </w:rPr>
              <w:t xml:space="preserve">177,371 </w:t>
            </w: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430C77D" w14:textId="77777777" w:rsidR="00730DE4" w:rsidRPr="00730DE4" w:rsidRDefault="00730DE4" w:rsidP="00BA44B1">
            <w:pPr>
              <w:pStyle w:val="NoSpacing"/>
              <w:jc w:val="right"/>
              <w:rPr>
                <w:color w:val="080C0F" w:themeColor="text1"/>
                <w:szCs w:val="20"/>
              </w:rPr>
            </w:pPr>
            <w:r w:rsidRPr="00730DE4">
              <w:rPr>
                <w:color w:val="080C0F" w:themeColor="text1"/>
                <w:szCs w:val="20"/>
              </w:rPr>
              <w:t xml:space="preserve">116,354 </w:t>
            </w: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E61DC0D" w14:textId="77777777" w:rsidR="00730DE4" w:rsidRPr="00730DE4" w:rsidRDefault="00730DE4" w:rsidP="00BA44B1">
            <w:pPr>
              <w:pStyle w:val="NoSpacing"/>
              <w:jc w:val="right"/>
              <w:rPr>
                <w:color w:val="080C0F" w:themeColor="text1"/>
                <w:szCs w:val="20"/>
              </w:rPr>
            </w:pPr>
            <w:r w:rsidRPr="00730DE4">
              <w:rPr>
                <w:color w:val="080C0F" w:themeColor="text1"/>
                <w:szCs w:val="20"/>
              </w:rPr>
              <w:t>(61,017)</w:t>
            </w:r>
          </w:p>
        </w:tc>
      </w:tr>
      <w:tr w:rsidR="00730DE4" w:rsidRPr="00730DE4" w14:paraId="2B8D9496" w14:textId="77777777" w:rsidTr="002035BC">
        <w:trPr>
          <w:cantSplit/>
        </w:trPr>
        <w:tc>
          <w:tcPr>
            <w:tcW w:w="2501"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4395B566" w14:textId="77777777" w:rsidR="00730DE4" w:rsidRPr="00730DE4" w:rsidRDefault="00730DE4" w:rsidP="00BA44B1">
            <w:pPr>
              <w:pStyle w:val="NoSpacing"/>
              <w:rPr>
                <w:color w:val="080C0F" w:themeColor="text1"/>
                <w:szCs w:val="20"/>
              </w:rPr>
            </w:pPr>
            <w:r w:rsidRPr="00730DE4">
              <w:rPr>
                <w:color w:val="080C0F" w:themeColor="text1"/>
                <w:szCs w:val="20"/>
              </w:rPr>
              <w:t>Impairment losses on trade receivables</w:t>
            </w: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15CD13C" w14:textId="77777777" w:rsidR="00730DE4" w:rsidRPr="00730DE4" w:rsidRDefault="00730DE4" w:rsidP="00BA44B1">
            <w:pPr>
              <w:pStyle w:val="NoSpacing"/>
              <w:jc w:val="right"/>
              <w:rPr>
                <w:color w:val="080C0F" w:themeColor="text1"/>
                <w:szCs w:val="20"/>
              </w:rPr>
            </w:pPr>
            <w:r w:rsidRPr="00730DE4">
              <w:rPr>
                <w:color w:val="080C0F" w:themeColor="text1"/>
                <w:szCs w:val="20"/>
              </w:rPr>
              <w:t xml:space="preserve">- </w:t>
            </w: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40D3DA11" w14:textId="77777777" w:rsidR="00730DE4" w:rsidRPr="00730DE4" w:rsidRDefault="00730DE4" w:rsidP="00BA44B1">
            <w:pPr>
              <w:pStyle w:val="NoSpacing"/>
              <w:jc w:val="right"/>
              <w:rPr>
                <w:color w:val="080C0F" w:themeColor="text1"/>
                <w:szCs w:val="20"/>
              </w:rPr>
            </w:pPr>
            <w:r w:rsidRPr="00730DE4">
              <w:rPr>
                <w:color w:val="080C0F" w:themeColor="text1"/>
                <w:szCs w:val="20"/>
              </w:rPr>
              <w:t xml:space="preserve">17 </w:t>
            </w: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A618DE7" w14:textId="77777777" w:rsidR="00730DE4" w:rsidRPr="00730DE4" w:rsidRDefault="00730DE4" w:rsidP="00BA44B1">
            <w:pPr>
              <w:pStyle w:val="NoSpacing"/>
              <w:jc w:val="right"/>
              <w:rPr>
                <w:color w:val="080C0F" w:themeColor="text1"/>
                <w:szCs w:val="20"/>
              </w:rPr>
            </w:pPr>
            <w:r w:rsidRPr="00730DE4">
              <w:rPr>
                <w:color w:val="080C0F" w:themeColor="text1"/>
                <w:szCs w:val="20"/>
              </w:rPr>
              <w:t xml:space="preserve">17 </w:t>
            </w:r>
          </w:p>
        </w:tc>
      </w:tr>
      <w:tr w:rsidR="00730DE4" w:rsidRPr="00730DE4" w14:paraId="3B4735AD" w14:textId="77777777" w:rsidTr="002035BC">
        <w:trPr>
          <w:cantSplit/>
        </w:trPr>
        <w:tc>
          <w:tcPr>
            <w:tcW w:w="2501"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718A04C6" w14:textId="77777777" w:rsidR="00730DE4" w:rsidRPr="00730DE4" w:rsidRDefault="00730DE4" w:rsidP="00BA44B1">
            <w:pPr>
              <w:pStyle w:val="NoSpacing"/>
              <w:rPr>
                <w:color w:val="080C0F" w:themeColor="text1"/>
                <w:szCs w:val="20"/>
              </w:rPr>
            </w:pPr>
            <w:r w:rsidRPr="00730DE4">
              <w:rPr>
                <w:color w:val="080C0F" w:themeColor="text1"/>
                <w:szCs w:val="20"/>
              </w:rPr>
              <w:t>Transfers of administered revenue to government</w:t>
            </w: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6E6084E" w14:textId="77777777" w:rsidR="00730DE4" w:rsidRPr="00730DE4" w:rsidRDefault="00730DE4" w:rsidP="00BA44B1">
            <w:pPr>
              <w:pStyle w:val="NoSpacing"/>
              <w:jc w:val="right"/>
              <w:rPr>
                <w:color w:val="080C0F" w:themeColor="text1"/>
                <w:szCs w:val="20"/>
              </w:rPr>
            </w:pPr>
            <w:r w:rsidRPr="00730DE4">
              <w:rPr>
                <w:color w:val="080C0F" w:themeColor="text1"/>
                <w:szCs w:val="20"/>
              </w:rPr>
              <w:t xml:space="preserve">3,050,970 </w:t>
            </w: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1D97339" w14:textId="77777777" w:rsidR="00730DE4" w:rsidRPr="00730DE4" w:rsidRDefault="00730DE4" w:rsidP="00BA44B1">
            <w:pPr>
              <w:pStyle w:val="NoSpacing"/>
              <w:jc w:val="right"/>
              <w:rPr>
                <w:color w:val="080C0F" w:themeColor="text1"/>
                <w:szCs w:val="20"/>
              </w:rPr>
            </w:pPr>
            <w:r w:rsidRPr="00730DE4">
              <w:rPr>
                <w:color w:val="080C0F" w:themeColor="text1"/>
                <w:szCs w:val="20"/>
              </w:rPr>
              <w:t xml:space="preserve">3,127,269 </w:t>
            </w: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E263836" w14:textId="77777777" w:rsidR="00730DE4" w:rsidRPr="00730DE4" w:rsidRDefault="00730DE4" w:rsidP="00BA44B1">
            <w:pPr>
              <w:pStyle w:val="NoSpacing"/>
              <w:jc w:val="right"/>
              <w:rPr>
                <w:color w:val="080C0F" w:themeColor="text1"/>
                <w:szCs w:val="20"/>
              </w:rPr>
            </w:pPr>
            <w:r w:rsidRPr="00730DE4">
              <w:rPr>
                <w:color w:val="080C0F" w:themeColor="text1"/>
                <w:szCs w:val="20"/>
              </w:rPr>
              <w:t xml:space="preserve">76,299 </w:t>
            </w:r>
          </w:p>
        </w:tc>
      </w:tr>
      <w:tr w:rsidR="00730DE4" w:rsidRPr="00730DE4" w14:paraId="115DE306" w14:textId="77777777" w:rsidTr="002035BC">
        <w:trPr>
          <w:cantSplit/>
        </w:trPr>
        <w:tc>
          <w:tcPr>
            <w:tcW w:w="2501"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35E30152" w14:textId="77777777" w:rsidR="00730DE4" w:rsidRPr="00730DE4" w:rsidRDefault="00730DE4" w:rsidP="00BA44B1">
            <w:pPr>
              <w:pStyle w:val="NoSpacing"/>
              <w:rPr>
                <w:color w:val="080C0F" w:themeColor="text1"/>
                <w:szCs w:val="20"/>
              </w:rPr>
            </w:pPr>
            <w:r w:rsidRPr="00730DE4">
              <w:rPr>
                <w:color w:val="080C0F" w:themeColor="text1"/>
                <w:szCs w:val="20"/>
              </w:rPr>
              <w:t>Other</w:t>
            </w:r>
          </w:p>
        </w:tc>
        <w:tc>
          <w:tcPr>
            <w:tcW w:w="833"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60B6679A" w14:textId="77777777" w:rsidR="00730DE4" w:rsidRPr="00730DE4" w:rsidRDefault="00730DE4" w:rsidP="00BA44B1">
            <w:pPr>
              <w:pStyle w:val="NoSpacing"/>
              <w:jc w:val="right"/>
              <w:rPr>
                <w:color w:val="080C0F" w:themeColor="text1"/>
                <w:szCs w:val="20"/>
              </w:rPr>
            </w:pPr>
            <w:r w:rsidRPr="00730DE4">
              <w:rPr>
                <w:color w:val="080C0F" w:themeColor="text1"/>
                <w:szCs w:val="20"/>
              </w:rPr>
              <w:t xml:space="preserve">- </w:t>
            </w:r>
          </w:p>
        </w:tc>
        <w:tc>
          <w:tcPr>
            <w:tcW w:w="833"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50B15D5B" w14:textId="77777777" w:rsidR="00730DE4" w:rsidRPr="00730DE4" w:rsidRDefault="00730DE4" w:rsidP="00BA44B1">
            <w:pPr>
              <w:pStyle w:val="NoSpacing"/>
              <w:jc w:val="right"/>
              <w:rPr>
                <w:color w:val="080C0F" w:themeColor="text1"/>
                <w:szCs w:val="20"/>
              </w:rPr>
            </w:pPr>
            <w:r w:rsidRPr="00730DE4">
              <w:rPr>
                <w:color w:val="080C0F" w:themeColor="text1"/>
                <w:szCs w:val="20"/>
              </w:rPr>
              <w:t xml:space="preserve">17 </w:t>
            </w:r>
          </w:p>
        </w:tc>
        <w:tc>
          <w:tcPr>
            <w:tcW w:w="833"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3F5740CE" w14:textId="77777777" w:rsidR="00730DE4" w:rsidRPr="00730DE4" w:rsidRDefault="00730DE4" w:rsidP="00BA44B1">
            <w:pPr>
              <w:pStyle w:val="NoSpacing"/>
              <w:jc w:val="right"/>
              <w:rPr>
                <w:color w:val="080C0F" w:themeColor="text1"/>
                <w:szCs w:val="20"/>
              </w:rPr>
            </w:pPr>
            <w:r w:rsidRPr="00730DE4">
              <w:rPr>
                <w:color w:val="080C0F" w:themeColor="text1"/>
                <w:szCs w:val="20"/>
              </w:rPr>
              <w:t xml:space="preserve">17 </w:t>
            </w:r>
          </w:p>
        </w:tc>
      </w:tr>
      <w:tr w:rsidR="00730DE4" w:rsidRPr="00730DE4" w14:paraId="2B1EB15B" w14:textId="77777777" w:rsidTr="002035BC">
        <w:trPr>
          <w:cantSplit/>
        </w:trPr>
        <w:tc>
          <w:tcPr>
            <w:tcW w:w="2501" w:type="pct"/>
            <w:tcBorders>
              <w:top w:val="single" w:sz="4" w:space="0" w:color="auto"/>
              <w:left w:val="nil"/>
              <w:bottom w:val="single" w:sz="4" w:space="0" w:color="auto"/>
              <w:right w:val="dotted" w:sz="4" w:space="0" w:color="BFBFBF" w:themeColor="background1" w:themeShade="BF"/>
            </w:tcBorders>
            <w:shd w:val="clear" w:color="auto" w:fill="auto"/>
            <w:noWrap/>
            <w:hideMark/>
          </w:tcPr>
          <w:p w14:paraId="59DB1BE5" w14:textId="77777777" w:rsidR="00730DE4" w:rsidRPr="00730DE4" w:rsidRDefault="00730DE4" w:rsidP="00BA44B1">
            <w:pPr>
              <w:pStyle w:val="NoSpacing"/>
              <w:rPr>
                <w:color w:val="080C0F" w:themeColor="text1"/>
                <w:szCs w:val="20"/>
              </w:rPr>
            </w:pPr>
            <w:r w:rsidRPr="00730DE4">
              <w:rPr>
                <w:rStyle w:val="Strong"/>
              </w:rPr>
              <w:t>Total expenses</w:t>
            </w:r>
          </w:p>
        </w:tc>
        <w:tc>
          <w:tcPr>
            <w:tcW w:w="833"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auto"/>
            <w:noWrap/>
            <w:hideMark/>
          </w:tcPr>
          <w:p w14:paraId="45C9FB4E" w14:textId="77777777" w:rsidR="00730DE4" w:rsidRPr="00730DE4" w:rsidRDefault="00730DE4" w:rsidP="00BA44B1">
            <w:pPr>
              <w:pStyle w:val="NoSpacing"/>
              <w:jc w:val="right"/>
              <w:rPr>
                <w:color w:val="080C0F" w:themeColor="text1"/>
                <w:szCs w:val="20"/>
              </w:rPr>
            </w:pPr>
            <w:r w:rsidRPr="00730DE4">
              <w:rPr>
                <w:rStyle w:val="Strong"/>
              </w:rPr>
              <w:t xml:space="preserve">3,235,894 </w:t>
            </w:r>
          </w:p>
        </w:tc>
        <w:tc>
          <w:tcPr>
            <w:tcW w:w="833"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auto"/>
            <w:noWrap/>
            <w:hideMark/>
          </w:tcPr>
          <w:p w14:paraId="70BAB460" w14:textId="77777777" w:rsidR="00730DE4" w:rsidRPr="00730DE4" w:rsidRDefault="00730DE4" w:rsidP="00BA44B1">
            <w:pPr>
              <w:pStyle w:val="NoSpacing"/>
              <w:jc w:val="right"/>
              <w:rPr>
                <w:color w:val="080C0F" w:themeColor="text1"/>
                <w:szCs w:val="20"/>
              </w:rPr>
            </w:pPr>
            <w:r w:rsidRPr="00730DE4">
              <w:rPr>
                <w:rStyle w:val="Strong"/>
              </w:rPr>
              <w:t xml:space="preserve">3,258,506 </w:t>
            </w:r>
          </w:p>
        </w:tc>
        <w:tc>
          <w:tcPr>
            <w:tcW w:w="833" w:type="pct"/>
            <w:tcBorders>
              <w:top w:val="single" w:sz="4" w:space="0" w:color="auto"/>
              <w:left w:val="dotted" w:sz="4" w:space="0" w:color="BFBFBF" w:themeColor="background1" w:themeShade="BF"/>
              <w:bottom w:val="single" w:sz="4" w:space="0" w:color="auto"/>
              <w:right w:val="nil"/>
            </w:tcBorders>
            <w:shd w:val="clear" w:color="auto" w:fill="auto"/>
            <w:noWrap/>
            <w:hideMark/>
          </w:tcPr>
          <w:p w14:paraId="45A6CD4C" w14:textId="77777777" w:rsidR="00730DE4" w:rsidRPr="00730DE4" w:rsidRDefault="00730DE4" w:rsidP="00BA44B1">
            <w:pPr>
              <w:pStyle w:val="NoSpacing"/>
              <w:jc w:val="right"/>
              <w:rPr>
                <w:rStyle w:val="Strong"/>
              </w:rPr>
            </w:pPr>
            <w:r w:rsidRPr="00730DE4">
              <w:rPr>
                <w:rStyle w:val="Strong"/>
              </w:rPr>
              <w:t xml:space="preserve">22,612 </w:t>
            </w:r>
          </w:p>
        </w:tc>
      </w:tr>
      <w:tr w:rsidR="00730DE4" w:rsidRPr="00730DE4" w14:paraId="50C78BD5" w14:textId="77777777" w:rsidTr="002035BC">
        <w:trPr>
          <w:cantSplit/>
          <w:trHeight w:val="454"/>
        </w:trPr>
        <w:tc>
          <w:tcPr>
            <w:tcW w:w="2501" w:type="pct"/>
            <w:tcBorders>
              <w:top w:val="single" w:sz="4" w:space="0" w:color="auto"/>
              <w:left w:val="nil"/>
              <w:bottom w:val="double" w:sz="4" w:space="0" w:color="auto"/>
              <w:right w:val="dotted" w:sz="4" w:space="0" w:color="BFBFBF" w:themeColor="background1" w:themeShade="BF"/>
            </w:tcBorders>
            <w:shd w:val="clear" w:color="auto" w:fill="auto"/>
            <w:noWrap/>
            <w:vAlign w:val="bottom"/>
            <w:hideMark/>
          </w:tcPr>
          <w:p w14:paraId="5386B43E" w14:textId="77777777" w:rsidR="00730DE4" w:rsidRPr="00730DE4" w:rsidRDefault="00730DE4" w:rsidP="002035BC">
            <w:pPr>
              <w:pStyle w:val="NoSpacing"/>
              <w:rPr>
                <w:color w:val="080C0F" w:themeColor="text1"/>
                <w:szCs w:val="20"/>
              </w:rPr>
            </w:pPr>
            <w:r w:rsidRPr="00730DE4">
              <w:rPr>
                <w:rStyle w:val="Strong"/>
              </w:rPr>
              <w:t>Operating result for the year</w:t>
            </w:r>
          </w:p>
        </w:tc>
        <w:tc>
          <w:tcPr>
            <w:tcW w:w="833"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vAlign w:val="bottom"/>
            <w:hideMark/>
          </w:tcPr>
          <w:p w14:paraId="71BD9399" w14:textId="77777777" w:rsidR="00730DE4" w:rsidRPr="00730DE4" w:rsidRDefault="00730DE4" w:rsidP="002035BC">
            <w:pPr>
              <w:pStyle w:val="NoSpacing"/>
              <w:jc w:val="right"/>
              <w:rPr>
                <w:color w:val="080C0F" w:themeColor="text1"/>
                <w:szCs w:val="20"/>
              </w:rPr>
            </w:pPr>
            <w:r w:rsidRPr="00730DE4">
              <w:rPr>
                <w:rStyle w:val="Strong"/>
              </w:rPr>
              <w:t xml:space="preserve">- </w:t>
            </w:r>
          </w:p>
        </w:tc>
        <w:tc>
          <w:tcPr>
            <w:tcW w:w="833"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vAlign w:val="bottom"/>
            <w:hideMark/>
          </w:tcPr>
          <w:p w14:paraId="10D45610" w14:textId="77777777" w:rsidR="00730DE4" w:rsidRPr="00730DE4" w:rsidRDefault="00730DE4" w:rsidP="002035BC">
            <w:pPr>
              <w:pStyle w:val="NoSpacing"/>
              <w:jc w:val="right"/>
              <w:rPr>
                <w:color w:val="080C0F" w:themeColor="text1"/>
                <w:szCs w:val="20"/>
              </w:rPr>
            </w:pPr>
            <w:r w:rsidRPr="00730DE4">
              <w:rPr>
                <w:rStyle w:val="Strong"/>
              </w:rPr>
              <w:t>(7)</w:t>
            </w:r>
          </w:p>
        </w:tc>
        <w:tc>
          <w:tcPr>
            <w:tcW w:w="833" w:type="pct"/>
            <w:tcBorders>
              <w:top w:val="single" w:sz="4" w:space="0" w:color="auto"/>
              <w:left w:val="dotted" w:sz="4" w:space="0" w:color="BFBFBF" w:themeColor="background1" w:themeShade="BF"/>
              <w:bottom w:val="double" w:sz="4" w:space="0" w:color="auto"/>
              <w:right w:val="nil"/>
            </w:tcBorders>
            <w:shd w:val="clear" w:color="auto" w:fill="auto"/>
            <w:noWrap/>
            <w:vAlign w:val="bottom"/>
            <w:hideMark/>
          </w:tcPr>
          <w:p w14:paraId="3CF6527E" w14:textId="77777777" w:rsidR="00730DE4" w:rsidRPr="00730DE4" w:rsidRDefault="00730DE4" w:rsidP="002035BC">
            <w:pPr>
              <w:pStyle w:val="NoSpacing"/>
              <w:jc w:val="right"/>
              <w:rPr>
                <w:rStyle w:val="Strong"/>
              </w:rPr>
            </w:pPr>
            <w:r w:rsidRPr="00730DE4">
              <w:rPr>
                <w:rStyle w:val="Strong"/>
              </w:rPr>
              <w:t>(7)</w:t>
            </w:r>
          </w:p>
        </w:tc>
      </w:tr>
      <w:tr w:rsidR="00730DE4" w:rsidRPr="00730DE4" w14:paraId="530FA496" w14:textId="77777777" w:rsidTr="002035BC">
        <w:trPr>
          <w:trHeight w:val="454"/>
        </w:trPr>
        <w:tc>
          <w:tcPr>
            <w:tcW w:w="2501" w:type="pct"/>
            <w:tcBorders>
              <w:top w:val="doub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124C3EFA" w14:textId="77777777" w:rsidR="00730DE4" w:rsidRPr="00730DE4" w:rsidRDefault="00730DE4" w:rsidP="00BA44B1">
            <w:pPr>
              <w:pStyle w:val="NoSpacing"/>
              <w:rPr>
                <w:color w:val="080C0F" w:themeColor="text1"/>
              </w:rPr>
            </w:pPr>
            <w:bookmarkStart w:id="1658" w:name="_Hlk175220883"/>
            <w:r w:rsidRPr="00730DE4">
              <w:rPr>
                <w:rStyle w:val="Strong"/>
              </w:rPr>
              <w:t>Administered assets</w:t>
            </w:r>
          </w:p>
        </w:tc>
        <w:tc>
          <w:tcPr>
            <w:tcW w:w="833"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1218B312" w14:textId="77777777" w:rsidR="00730DE4" w:rsidRPr="00730DE4" w:rsidRDefault="00730DE4" w:rsidP="00BA44B1">
            <w:pPr>
              <w:pStyle w:val="NoSpacing"/>
              <w:jc w:val="right"/>
              <w:rPr>
                <w:rStyle w:val="Strong"/>
              </w:rPr>
            </w:pPr>
          </w:p>
        </w:tc>
        <w:tc>
          <w:tcPr>
            <w:tcW w:w="833" w:type="pct"/>
            <w:tcBorders>
              <w:top w:val="doub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589A807F" w14:textId="77777777" w:rsidR="00730DE4" w:rsidRPr="00730DE4" w:rsidRDefault="00730DE4" w:rsidP="00BA44B1">
            <w:pPr>
              <w:pStyle w:val="NoSpacing"/>
              <w:jc w:val="right"/>
              <w:rPr>
                <w:color w:val="080C0F" w:themeColor="text1"/>
              </w:rPr>
            </w:pPr>
          </w:p>
        </w:tc>
        <w:tc>
          <w:tcPr>
            <w:tcW w:w="833" w:type="pct"/>
            <w:tcBorders>
              <w:top w:val="double" w:sz="4" w:space="0" w:color="auto"/>
              <w:left w:val="dotted" w:sz="4" w:space="0" w:color="BFBFBF" w:themeColor="background1" w:themeShade="BF"/>
              <w:bottom w:val="dotted" w:sz="4" w:space="0" w:color="BFBFBF" w:themeColor="background1" w:themeShade="BF"/>
              <w:right w:val="nil"/>
            </w:tcBorders>
            <w:shd w:val="clear" w:color="auto" w:fill="auto"/>
            <w:noWrap/>
            <w:vAlign w:val="bottom"/>
          </w:tcPr>
          <w:p w14:paraId="3A406280" w14:textId="77777777" w:rsidR="00730DE4" w:rsidRPr="00730DE4" w:rsidRDefault="00730DE4" w:rsidP="00BA44B1">
            <w:pPr>
              <w:pStyle w:val="NoSpacing"/>
              <w:jc w:val="right"/>
              <w:rPr>
                <w:color w:val="080C0F" w:themeColor="text1"/>
              </w:rPr>
            </w:pPr>
          </w:p>
        </w:tc>
      </w:tr>
      <w:tr w:rsidR="00730DE4" w:rsidRPr="00730DE4" w14:paraId="282AFAD1" w14:textId="77777777" w:rsidTr="002035BC">
        <w:trPr>
          <w:trHeight w:val="198"/>
        </w:trPr>
        <w:tc>
          <w:tcPr>
            <w:tcW w:w="2501"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1A29F166" w14:textId="77777777" w:rsidR="00730DE4" w:rsidRPr="00730DE4" w:rsidRDefault="00730DE4" w:rsidP="00BA44B1">
            <w:pPr>
              <w:pStyle w:val="NoSpacing"/>
              <w:rPr>
                <w:i/>
                <w:iCs/>
                <w:color w:val="080C0F" w:themeColor="text1"/>
              </w:rPr>
            </w:pPr>
            <w:r w:rsidRPr="00730DE4">
              <w:rPr>
                <w:i/>
                <w:iCs/>
                <w:color w:val="080C0F" w:themeColor="text1"/>
              </w:rPr>
              <w:t xml:space="preserve">Current </w:t>
            </w: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61EA6E7" w14:textId="77777777" w:rsidR="00730DE4" w:rsidRPr="00730DE4" w:rsidRDefault="00730DE4" w:rsidP="00BA44B1">
            <w:pPr>
              <w:pStyle w:val="NoSpacing"/>
              <w:jc w:val="right"/>
              <w:rPr>
                <w:i/>
                <w:iCs/>
                <w:color w:val="080C0F" w:themeColor="text1"/>
              </w:rPr>
            </w:pP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0F5C561" w14:textId="77777777" w:rsidR="00730DE4" w:rsidRPr="00730DE4" w:rsidRDefault="00730DE4" w:rsidP="00BA44B1">
            <w:pPr>
              <w:pStyle w:val="NoSpacing"/>
              <w:jc w:val="right"/>
              <w:rPr>
                <w:color w:val="080C0F" w:themeColor="text1"/>
              </w:rPr>
            </w:pP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FA215CC" w14:textId="77777777" w:rsidR="00730DE4" w:rsidRPr="00730DE4" w:rsidRDefault="00730DE4" w:rsidP="00BA44B1">
            <w:pPr>
              <w:pStyle w:val="NoSpacing"/>
              <w:jc w:val="right"/>
              <w:rPr>
                <w:color w:val="080C0F" w:themeColor="text1"/>
              </w:rPr>
            </w:pPr>
          </w:p>
        </w:tc>
      </w:tr>
      <w:tr w:rsidR="00730DE4" w:rsidRPr="00730DE4" w14:paraId="3A38269D" w14:textId="77777777" w:rsidTr="002035BC">
        <w:trPr>
          <w:trHeight w:val="198"/>
        </w:trPr>
        <w:tc>
          <w:tcPr>
            <w:tcW w:w="2501"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13E4F740" w14:textId="77777777" w:rsidR="00730DE4" w:rsidRPr="00730DE4" w:rsidRDefault="00730DE4" w:rsidP="00BA44B1">
            <w:pPr>
              <w:pStyle w:val="NoSpacing"/>
              <w:rPr>
                <w:color w:val="080C0F" w:themeColor="text1"/>
              </w:rPr>
            </w:pPr>
            <w:r w:rsidRPr="00730DE4">
              <w:rPr>
                <w:color w:val="080C0F" w:themeColor="text1"/>
              </w:rPr>
              <w:t>Cash</w:t>
            </w: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1EE0520" w14:textId="77777777" w:rsidR="00730DE4" w:rsidRPr="00730DE4" w:rsidRDefault="00730DE4" w:rsidP="00BA44B1">
            <w:pPr>
              <w:pStyle w:val="NoSpacing"/>
              <w:jc w:val="right"/>
              <w:rPr>
                <w:color w:val="080C0F" w:themeColor="text1"/>
              </w:rPr>
            </w:pPr>
            <w:r w:rsidRPr="00730DE4">
              <w:rPr>
                <w:color w:val="080C0F" w:themeColor="text1"/>
              </w:rPr>
              <w:t xml:space="preserve">20,032 </w:t>
            </w: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3478347" w14:textId="77777777" w:rsidR="00730DE4" w:rsidRPr="00730DE4" w:rsidRDefault="00730DE4" w:rsidP="00BA44B1">
            <w:pPr>
              <w:pStyle w:val="NoSpacing"/>
              <w:jc w:val="right"/>
              <w:rPr>
                <w:color w:val="080C0F" w:themeColor="text1"/>
              </w:rPr>
            </w:pPr>
            <w:r w:rsidRPr="00730DE4">
              <w:rPr>
                <w:color w:val="080C0F" w:themeColor="text1"/>
              </w:rPr>
              <w:t xml:space="preserve">35,386 </w:t>
            </w: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59840EC9" w14:textId="77777777" w:rsidR="00730DE4" w:rsidRPr="00730DE4" w:rsidRDefault="00730DE4" w:rsidP="00BA44B1">
            <w:pPr>
              <w:pStyle w:val="NoSpacing"/>
              <w:jc w:val="right"/>
              <w:rPr>
                <w:color w:val="080C0F" w:themeColor="text1"/>
              </w:rPr>
            </w:pPr>
            <w:r w:rsidRPr="00730DE4">
              <w:rPr>
                <w:color w:val="080C0F" w:themeColor="text1"/>
              </w:rPr>
              <w:t xml:space="preserve">15,354 </w:t>
            </w:r>
          </w:p>
        </w:tc>
      </w:tr>
      <w:tr w:rsidR="00730DE4" w:rsidRPr="00730DE4" w14:paraId="0A542006" w14:textId="77777777" w:rsidTr="002035BC">
        <w:trPr>
          <w:trHeight w:val="198"/>
        </w:trPr>
        <w:tc>
          <w:tcPr>
            <w:tcW w:w="2501"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172E169A" w14:textId="77777777" w:rsidR="00730DE4" w:rsidRPr="00730DE4" w:rsidRDefault="00730DE4" w:rsidP="00BA44B1">
            <w:pPr>
              <w:pStyle w:val="NoSpacing"/>
              <w:rPr>
                <w:color w:val="080C0F" w:themeColor="text1"/>
              </w:rPr>
            </w:pPr>
            <w:r w:rsidRPr="00730DE4">
              <w:rPr>
                <w:color w:val="080C0F" w:themeColor="text1"/>
              </w:rPr>
              <w:t>Receivables</w:t>
            </w:r>
          </w:p>
        </w:tc>
        <w:tc>
          <w:tcPr>
            <w:tcW w:w="833"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5E25C2F2" w14:textId="77777777" w:rsidR="00730DE4" w:rsidRPr="00730DE4" w:rsidRDefault="00730DE4" w:rsidP="00BA44B1">
            <w:pPr>
              <w:pStyle w:val="NoSpacing"/>
              <w:jc w:val="right"/>
              <w:rPr>
                <w:color w:val="080C0F" w:themeColor="text1"/>
              </w:rPr>
            </w:pPr>
            <w:r w:rsidRPr="00730DE4">
              <w:rPr>
                <w:color w:val="080C0F" w:themeColor="text1"/>
              </w:rPr>
              <w:t xml:space="preserve">22,663 </w:t>
            </w:r>
          </w:p>
        </w:tc>
        <w:tc>
          <w:tcPr>
            <w:tcW w:w="833"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69B4B62C" w14:textId="77777777" w:rsidR="00730DE4" w:rsidRPr="00730DE4" w:rsidRDefault="00730DE4" w:rsidP="00BA44B1">
            <w:pPr>
              <w:pStyle w:val="NoSpacing"/>
              <w:jc w:val="right"/>
              <w:rPr>
                <w:color w:val="080C0F" w:themeColor="text1"/>
              </w:rPr>
            </w:pPr>
            <w:r w:rsidRPr="00730DE4">
              <w:rPr>
                <w:color w:val="080C0F" w:themeColor="text1"/>
              </w:rPr>
              <w:t xml:space="preserve">29,212 </w:t>
            </w:r>
          </w:p>
        </w:tc>
        <w:tc>
          <w:tcPr>
            <w:tcW w:w="833"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54BDA447" w14:textId="77777777" w:rsidR="00730DE4" w:rsidRPr="00730DE4" w:rsidRDefault="00730DE4" w:rsidP="00BA44B1">
            <w:pPr>
              <w:pStyle w:val="NoSpacing"/>
              <w:jc w:val="right"/>
              <w:rPr>
                <w:color w:val="080C0F" w:themeColor="text1"/>
              </w:rPr>
            </w:pPr>
            <w:r w:rsidRPr="00730DE4">
              <w:rPr>
                <w:color w:val="080C0F" w:themeColor="text1"/>
              </w:rPr>
              <w:t xml:space="preserve">6,549 </w:t>
            </w:r>
          </w:p>
        </w:tc>
      </w:tr>
      <w:tr w:rsidR="00730DE4" w:rsidRPr="00730DE4" w14:paraId="14F16E05" w14:textId="77777777" w:rsidTr="002035BC">
        <w:tc>
          <w:tcPr>
            <w:tcW w:w="2501"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hideMark/>
          </w:tcPr>
          <w:p w14:paraId="585D2CB1" w14:textId="77777777" w:rsidR="00730DE4" w:rsidRPr="00730DE4" w:rsidRDefault="00730DE4" w:rsidP="00717ADE">
            <w:pPr>
              <w:pStyle w:val="NoSpacing"/>
              <w:rPr>
                <w:color w:val="080C0F" w:themeColor="text1"/>
              </w:rPr>
            </w:pPr>
            <w:r w:rsidRPr="00730DE4">
              <w:rPr>
                <w:rStyle w:val="Strong"/>
              </w:rPr>
              <w:t>Total current assets</w:t>
            </w:r>
          </w:p>
        </w:tc>
        <w:tc>
          <w:tcPr>
            <w:tcW w:w="833"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hideMark/>
          </w:tcPr>
          <w:p w14:paraId="09886A15" w14:textId="77777777" w:rsidR="00730DE4" w:rsidRPr="00730DE4" w:rsidRDefault="00730DE4" w:rsidP="00717ADE">
            <w:pPr>
              <w:pStyle w:val="NoSpacing"/>
              <w:jc w:val="right"/>
              <w:rPr>
                <w:rStyle w:val="Strong"/>
              </w:rPr>
            </w:pPr>
            <w:r w:rsidRPr="00730DE4">
              <w:rPr>
                <w:rStyle w:val="Strong"/>
              </w:rPr>
              <w:t xml:space="preserve">42,695 </w:t>
            </w:r>
          </w:p>
        </w:tc>
        <w:tc>
          <w:tcPr>
            <w:tcW w:w="833"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hideMark/>
          </w:tcPr>
          <w:p w14:paraId="515A4AB2" w14:textId="77777777" w:rsidR="00730DE4" w:rsidRPr="00730DE4" w:rsidRDefault="00730DE4" w:rsidP="00717ADE">
            <w:pPr>
              <w:pStyle w:val="NoSpacing"/>
              <w:jc w:val="right"/>
              <w:rPr>
                <w:rStyle w:val="Strong"/>
              </w:rPr>
            </w:pPr>
            <w:r w:rsidRPr="00730DE4">
              <w:rPr>
                <w:rStyle w:val="Strong"/>
              </w:rPr>
              <w:t xml:space="preserve">64,598 </w:t>
            </w:r>
          </w:p>
        </w:tc>
        <w:tc>
          <w:tcPr>
            <w:tcW w:w="833"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hideMark/>
          </w:tcPr>
          <w:p w14:paraId="0FF068CE" w14:textId="77777777" w:rsidR="00730DE4" w:rsidRPr="00730DE4" w:rsidRDefault="00730DE4" w:rsidP="00717ADE">
            <w:pPr>
              <w:pStyle w:val="NoSpacing"/>
              <w:jc w:val="right"/>
              <w:rPr>
                <w:rStyle w:val="Strong"/>
              </w:rPr>
            </w:pPr>
            <w:r w:rsidRPr="00730DE4">
              <w:rPr>
                <w:rStyle w:val="Strong"/>
              </w:rPr>
              <w:t xml:space="preserve">21,903 </w:t>
            </w:r>
          </w:p>
        </w:tc>
      </w:tr>
      <w:tr w:rsidR="00730DE4" w:rsidRPr="00730DE4" w14:paraId="128E0D77" w14:textId="77777777" w:rsidTr="002035BC">
        <w:trPr>
          <w:trHeight w:val="198"/>
        </w:trPr>
        <w:tc>
          <w:tcPr>
            <w:tcW w:w="2501"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0D167EBA" w14:textId="77777777" w:rsidR="00730DE4" w:rsidRPr="00730DE4" w:rsidRDefault="00730DE4" w:rsidP="00BA44B1">
            <w:pPr>
              <w:pStyle w:val="NoSpacing"/>
              <w:rPr>
                <w:i/>
                <w:iCs/>
                <w:color w:val="080C0F" w:themeColor="text1"/>
              </w:rPr>
            </w:pPr>
            <w:r w:rsidRPr="00730DE4">
              <w:rPr>
                <w:i/>
                <w:iCs/>
                <w:color w:val="080C0F" w:themeColor="text1"/>
              </w:rPr>
              <w:t xml:space="preserve">Non-current </w:t>
            </w: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33084EEF" w14:textId="77777777" w:rsidR="00730DE4" w:rsidRPr="00730DE4" w:rsidRDefault="00730DE4" w:rsidP="00BA44B1">
            <w:pPr>
              <w:pStyle w:val="NoSpacing"/>
              <w:jc w:val="right"/>
              <w:rPr>
                <w:i/>
                <w:iCs/>
                <w:color w:val="080C0F" w:themeColor="text1"/>
              </w:rPr>
            </w:pP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60C8E47D" w14:textId="77777777" w:rsidR="00730DE4" w:rsidRPr="00730DE4" w:rsidRDefault="00730DE4" w:rsidP="00BA44B1">
            <w:pPr>
              <w:pStyle w:val="NoSpacing"/>
              <w:jc w:val="right"/>
              <w:rPr>
                <w:color w:val="080C0F" w:themeColor="text1"/>
              </w:rPr>
            </w:pP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5F27C0F" w14:textId="77777777" w:rsidR="00730DE4" w:rsidRPr="00730DE4" w:rsidRDefault="00730DE4" w:rsidP="00BA44B1">
            <w:pPr>
              <w:pStyle w:val="NoSpacing"/>
              <w:jc w:val="right"/>
              <w:rPr>
                <w:color w:val="080C0F" w:themeColor="text1"/>
              </w:rPr>
            </w:pPr>
          </w:p>
        </w:tc>
      </w:tr>
      <w:tr w:rsidR="00730DE4" w:rsidRPr="00730DE4" w14:paraId="0FE22029" w14:textId="77777777" w:rsidTr="002035BC">
        <w:trPr>
          <w:trHeight w:val="198"/>
        </w:trPr>
        <w:tc>
          <w:tcPr>
            <w:tcW w:w="2501"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6EA742AE" w14:textId="77777777" w:rsidR="00730DE4" w:rsidRPr="00730DE4" w:rsidRDefault="00730DE4" w:rsidP="00BA44B1">
            <w:pPr>
              <w:pStyle w:val="NoSpacing"/>
              <w:rPr>
                <w:color w:val="080C0F" w:themeColor="text1"/>
              </w:rPr>
            </w:pPr>
            <w:r w:rsidRPr="00730DE4">
              <w:rPr>
                <w:color w:val="080C0F" w:themeColor="text1"/>
              </w:rPr>
              <w:t>Land</w:t>
            </w: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21B5ECBF" w14:textId="77777777" w:rsidR="00730DE4" w:rsidRPr="00730DE4" w:rsidRDefault="00730DE4" w:rsidP="00BA44B1">
            <w:pPr>
              <w:pStyle w:val="NoSpacing"/>
              <w:jc w:val="right"/>
              <w:rPr>
                <w:color w:val="080C0F" w:themeColor="text1"/>
              </w:rPr>
            </w:pPr>
            <w:r w:rsidRPr="00730DE4">
              <w:rPr>
                <w:color w:val="080C0F" w:themeColor="text1"/>
              </w:rPr>
              <w:t xml:space="preserve">123,279 </w:t>
            </w: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5B4825A4" w14:textId="77777777" w:rsidR="00730DE4" w:rsidRPr="00730DE4" w:rsidRDefault="00730DE4" w:rsidP="00BA44B1">
            <w:pPr>
              <w:pStyle w:val="NoSpacing"/>
              <w:jc w:val="right"/>
              <w:rPr>
                <w:color w:val="080C0F" w:themeColor="text1"/>
              </w:rPr>
            </w:pPr>
            <w:r w:rsidRPr="00730DE4">
              <w:rPr>
                <w:color w:val="080C0F" w:themeColor="text1"/>
              </w:rPr>
              <w:t xml:space="preserve">145,276 </w:t>
            </w: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79D8DEA4" w14:textId="77777777" w:rsidR="00730DE4" w:rsidRPr="00730DE4" w:rsidRDefault="00730DE4" w:rsidP="00BA44B1">
            <w:pPr>
              <w:pStyle w:val="NoSpacing"/>
              <w:jc w:val="right"/>
              <w:rPr>
                <w:color w:val="080C0F" w:themeColor="text1"/>
              </w:rPr>
            </w:pPr>
            <w:r w:rsidRPr="00730DE4">
              <w:rPr>
                <w:color w:val="080C0F" w:themeColor="text1"/>
              </w:rPr>
              <w:t xml:space="preserve">21,997 </w:t>
            </w:r>
          </w:p>
        </w:tc>
      </w:tr>
      <w:tr w:rsidR="00730DE4" w:rsidRPr="00730DE4" w14:paraId="102DC888" w14:textId="77777777" w:rsidTr="002035BC">
        <w:trPr>
          <w:trHeight w:val="198"/>
        </w:trPr>
        <w:tc>
          <w:tcPr>
            <w:tcW w:w="2501"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70F86BA1" w14:textId="77777777" w:rsidR="00730DE4" w:rsidRPr="00730DE4" w:rsidRDefault="00730DE4" w:rsidP="00BA44B1">
            <w:pPr>
              <w:pStyle w:val="NoSpacing"/>
              <w:rPr>
                <w:color w:val="080C0F" w:themeColor="text1"/>
              </w:rPr>
            </w:pPr>
            <w:r w:rsidRPr="00730DE4">
              <w:rPr>
                <w:color w:val="080C0F" w:themeColor="text1"/>
              </w:rPr>
              <w:t>Receivables</w:t>
            </w:r>
          </w:p>
        </w:tc>
        <w:tc>
          <w:tcPr>
            <w:tcW w:w="833"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0545FC2C" w14:textId="77777777" w:rsidR="00730DE4" w:rsidRPr="00730DE4" w:rsidRDefault="00730DE4" w:rsidP="00BA44B1">
            <w:pPr>
              <w:pStyle w:val="NoSpacing"/>
              <w:jc w:val="right"/>
              <w:rPr>
                <w:color w:val="080C0F" w:themeColor="text1"/>
              </w:rPr>
            </w:pPr>
            <w:r w:rsidRPr="00730DE4">
              <w:rPr>
                <w:color w:val="080C0F" w:themeColor="text1"/>
              </w:rPr>
              <w:t xml:space="preserve">275,633 </w:t>
            </w:r>
          </w:p>
        </w:tc>
        <w:tc>
          <w:tcPr>
            <w:tcW w:w="833"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68E7E10C" w14:textId="77777777" w:rsidR="00730DE4" w:rsidRPr="00730DE4" w:rsidRDefault="00730DE4" w:rsidP="00BA44B1">
            <w:pPr>
              <w:pStyle w:val="NoSpacing"/>
              <w:jc w:val="right"/>
              <w:rPr>
                <w:color w:val="080C0F" w:themeColor="text1"/>
              </w:rPr>
            </w:pPr>
            <w:r w:rsidRPr="00730DE4">
              <w:rPr>
                <w:color w:val="080C0F" w:themeColor="text1"/>
              </w:rPr>
              <w:t xml:space="preserve">282,261 </w:t>
            </w:r>
          </w:p>
        </w:tc>
        <w:tc>
          <w:tcPr>
            <w:tcW w:w="833"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22B18AFD" w14:textId="77777777" w:rsidR="00730DE4" w:rsidRPr="00730DE4" w:rsidRDefault="00730DE4" w:rsidP="00BA44B1">
            <w:pPr>
              <w:pStyle w:val="NoSpacing"/>
              <w:jc w:val="right"/>
              <w:rPr>
                <w:color w:val="080C0F" w:themeColor="text1"/>
              </w:rPr>
            </w:pPr>
            <w:r w:rsidRPr="00730DE4">
              <w:rPr>
                <w:color w:val="080C0F" w:themeColor="text1"/>
              </w:rPr>
              <w:t xml:space="preserve">6,628 </w:t>
            </w:r>
          </w:p>
        </w:tc>
      </w:tr>
      <w:tr w:rsidR="00730DE4" w:rsidRPr="00730DE4" w14:paraId="2948BA3F" w14:textId="77777777" w:rsidTr="002035BC">
        <w:tc>
          <w:tcPr>
            <w:tcW w:w="2501" w:type="pct"/>
            <w:tcBorders>
              <w:top w:val="single" w:sz="4" w:space="0" w:color="auto"/>
              <w:left w:val="nil"/>
              <w:bottom w:val="single" w:sz="4" w:space="0" w:color="auto"/>
              <w:right w:val="dotted" w:sz="4" w:space="0" w:color="BFBFBF" w:themeColor="background1" w:themeShade="BF"/>
            </w:tcBorders>
            <w:shd w:val="clear" w:color="auto" w:fill="auto"/>
            <w:noWrap/>
            <w:hideMark/>
          </w:tcPr>
          <w:p w14:paraId="4772BADC" w14:textId="77777777" w:rsidR="00730DE4" w:rsidRPr="00730DE4" w:rsidRDefault="00730DE4" w:rsidP="00BA44B1">
            <w:pPr>
              <w:pStyle w:val="NoSpacing"/>
              <w:rPr>
                <w:color w:val="080C0F" w:themeColor="text1"/>
              </w:rPr>
            </w:pPr>
            <w:r w:rsidRPr="00730DE4">
              <w:rPr>
                <w:rStyle w:val="Strong"/>
              </w:rPr>
              <w:t>Total non-current assets</w:t>
            </w:r>
          </w:p>
        </w:tc>
        <w:tc>
          <w:tcPr>
            <w:tcW w:w="833"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auto"/>
            <w:noWrap/>
            <w:hideMark/>
          </w:tcPr>
          <w:p w14:paraId="17775F45" w14:textId="77777777" w:rsidR="00730DE4" w:rsidRPr="00730DE4" w:rsidRDefault="00730DE4" w:rsidP="00BA44B1">
            <w:pPr>
              <w:pStyle w:val="NoSpacing"/>
              <w:jc w:val="right"/>
              <w:rPr>
                <w:rStyle w:val="Strong"/>
              </w:rPr>
            </w:pPr>
            <w:r w:rsidRPr="00730DE4">
              <w:rPr>
                <w:rStyle w:val="Strong"/>
              </w:rPr>
              <w:t xml:space="preserve">398,912 </w:t>
            </w:r>
          </w:p>
        </w:tc>
        <w:tc>
          <w:tcPr>
            <w:tcW w:w="833"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auto"/>
            <w:noWrap/>
            <w:hideMark/>
          </w:tcPr>
          <w:p w14:paraId="598E8945" w14:textId="77777777" w:rsidR="00730DE4" w:rsidRPr="00730DE4" w:rsidRDefault="00730DE4" w:rsidP="00BA44B1">
            <w:pPr>
              <w:pStyle w:val="NoSpacing"/>
              <w:jc w:val="right"/>
              <w:rPr>
                <w:rStyle w:val="Strong"/>
              </w:rPr>
            </w:pPr>
            <w:r w:rsidRPr="00730DE4">
              <w:rPr>
                <w:rStyle w:val="Strong"/>
              </w:rPr>
              <w:t xml:space="preserve">427,537 </w:t>
            </w:r>
          </w:p>
        </w:tc>
        <w:tc>
          <w:tcPr>
            <w:tcW w:w="833" w:type="pct"/>
            <w:tcBorders>
              <w:top w:val="single" w:sz="4" w:space="0" w:color="auto"/>
              <w:left w:val="dotted" w:sz="4" w:space="0" w:color="BFBFBF" w:themeColor="background1" w:themeShade="BF"/>
              <w:bottom w:val="single" w:sz="4" w:space="0" w:color="auto"/>
              <w:right w:val="nil"/>
            </w:tcBorders>
            <w:shd w:val="clear" w:color="auto" w:fill="auto"/>
            <w:noWrap/>
            <w:hideMark/>
          </w:tcPr>
          <w:p w14:paraId="4C35068A" w14:textId="77777777" w:rsidR="00730DE4" w:rsidRPr="00730DE4" w:rsidRDefault="00730DE4" w:rsidP="00BA44B1">
            <w:pPr>
              <w:pStyle w:val="NoSpacing"/>
              <w:jc w:val="right"/>
              <w:rPr>
                <w:rStyle w:val="Strong"/>
              </w:rPr>
            </w:pPr>
            <w:r w:rsidRPr="00730DE4">
              <w:rPr>
                <w:rStyle w:val="Strong"/>
              </w:rPr>
              <w:t xml:space="preserve">28,625 </w:t>
            </w:r>
          </w:p>
        </w:tc>
      </w:tr>
      <w:tr w:rsidR="00730DE4" w:rsidRPr="00730DE4" w14:paraId="02522E32" w14:textId="77777777" w:rsidTr="002035BC">
        <w:tc>
          <w:tcPr>
            <w:tcW w:w="2501" w:type="pct"/>
            <w:tcBorders>
              <w:top w:val="single" w:sz="4" w:space="0" w:color="auto"/>
              <w:left w:val="nil"/>
              <w:bottom w:val="single" w:sz="4" w:space="0" w:color="auto"/>
              <w:right w:val="dotted" w:sz="4" w:space="0" w:color="BFBFBF" w:themeColor="background1" w:themeShade="BF"/>
            </w:tcBorders>
            <w:shd w:val="clear" w:color="auto" w:fill="auto"/>
            <w:noWrap/>
            <w:hideMark/>
          </w:tcPr>
          <w:p w14:paraId="661DBBC1" w14:textId="77777777" w:rsidR="00730DE4" w:rsidRPr="00730DE4" w:rsidRDefault="00730DE4" w:rsidP="00BA44B1">
            <w:pPr>
              <w:pStyle w:val="NoSpacing"/>
              <w:rPr>
                <w:color w:val="080C0F" w:themeColor="text1"/>
              </w:rPr>
            </w:pPr>
            <w:r w:rsidRPr="00730DE4">
              <w:rPr>
                <w:rStyle w:val="Strong"/>
              </w:rPr>
              <w:t>Total assets</w:t>
            </w:r>
          </w:p>
        </w:tc>
        <w:tc>
          <w:tcPr>
            <w:tcW w:w="833"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auto"/>
            <w:noWrap/>
            <w:hideMark/>
          </w:tcPr>
          <w:p w14:paraId="1DB8D626" w14:textId="77777777" w:rsidR="00730DE4" w:rsidRPr="00730DE4" w:rsidRDefault="00730DE4" w:rsidP="00BA44B1">
            <w:pPr>
              <w:pStyle w:val="NoSpacing"/>
              <w:jc w:val="right"/>
              <w:rPr>
                <w:rStyle w:val="Strong"/>
              </w:rPr>
            </w:pPr>
            <w:r w:rsidRPr="00730DE4">
              <w:rPr>
                <w:rStyle w:val="Strong"/>
              </w:rPr>
              <w:t xml:space="preserve">441,607 </w:t>
            </w:r>
          </w:p>
        </w:tc>
        <w:tc>
          <w:tcPr>
            <w:tcW w:w="833"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auto"/>
            <w:noWrap/>
            <w:hideMark/>
          </w:tcPr>
          <w:p w14:paraId="56FC2D05" w14:textId="77777777" w:rsidR="00730DE4" w:rsidRPr="00730DE4" w:rsidRDefault="00730DE4" w:rsidP="00BA44B1">
            <w:pPr>
              <w:pStyle w:val="NoSpacing"/>
              <w:jc w:val="right"/>
              <w:rPr>
                <w:rStyle w:val="Strong"/>
              </w:rPr>
            </w:pPr>
            <w:r w:rsidRPr="00730DE4">
              <w:rPr>
                <w:rStyle w:val="Strong"/>
              </w:rPr>
              <w:t xml:space="preserve">492,135 </w:t>
            </w:r>
          </w:p>
        </w:tc>
        <w:tc>
          <w:tcPr>
            <w:tcW w:w="833" w:type="pct"/>
            <w:tcBorders>
              <w:top w:val="single" w:sz="4" w:space="0" w:color="auto"/>
              <w:left w:val="dotted" w:sz="4" w:space="0" w:color="BFBFBF" w:themeColor="background1" w:themeShade="BF"/>
              <w:bottom w:val="single" w:sz="4" w:space="0" w:color="auto"/>
              <w:right w:val="nil"/>
            </w:tcBorders>
            <w:shd w:val="clear" w:color="auto" w:fill="auto"/>
            <w:noWrap/>
            <w:hideMark/>
          </w:tcPr>
          <w:p w14:paraId="23580205" w14:textId="77777777" w:rsidR="00730DE4" w:rsidRPr="00730DE4" w:rsidRDefault="00730DE4" w:rsidP="00BA44B1">
            <w:pPr>
              <w:pStyle w:val="NoSpacing"/>
              <w:jc w:val="right"/>
              <w:rPr>
                <w:rStyle w:val="Strong"/>
              </w:rPr>
            </w:pPr>
            <w:r w:rsidRPr="00730DE4">
              <w:rPr>
                <w:rStyle w:val="Strong"/>
              </w:rPr>
              <w:t xml:space="preserve">50,528 </w:t>
            </w:r>
          </w:p>
        </w:tc>
      </w:tr>
      <w:tr w:rsidR="00730DE4" w:rsidRPr="00730DE4" w14:paraId="53E916C0" w14:textId="77777777" w:rsidTr="002035BC">
        <w:trPr>
          <w:trHeight w:val="454"/>
        </w:trPr>
        <w:tc>
          <w:tcPr>
            <w:tcW w:w="2501"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25C2E65E" w14:textId="77777777" w:rsidR="00730DE4" w:rsidRPr="00730DE4" w:rsidRDefault="00730DE4" w:rsidP="00BA44B1">
            <w:pPr>
              <w:pStyle w:val="NoSpacing"/>
              <w:rPr>
                <w:color w:val="080C0F" w:themeColor="text1"/>
              </w:rPr>
            </w:pPr>
            <w:bookmarkStart w:id="1659" w:name="_Hlk175220903"/>
            <w:bookmarkEnd w:id="1658"/>
            <w:r w:rsidRPr="00730DE4">
              <w:rPr>
                <w:rStyle w:val="Strong"/>
              </w:rPr>
              <w:t>Administered liabilities</w:t>
            </w:r>
          </w:p>
        </w:tc>
        <w:tc>
          <w:tcPr>
            <w:tcW w:w="833"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410C7273" w14:textId="77777777" w:rsidR="00730DE4" w:rsidRPr="00730DE4" w:rsidRDefault="00730DE4" w:rsidP="00BA44B1">
            <w:pPr>
              <w:pStyle w:val="NoSpacing"/>
              <w:jc w:val="right"/>
              <w:rPr>
                <w:rStyle w:val="Strong"/>
              </w:rPr>
            </w:pPr>
          </w:p>
        </w:tc>
        <w:tc>
          <w:tcPr>
            <w:tcW w:w="833"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tcPr>
          <w:p w14:paraId="158F8F81" w14:textId="77777777" w:rsidR="00730DE4" w:rsidRPr="00730DE4" w:rsidRDefault="00730DE4" w:rsidP="00BA44B1">
            <w:pPr>
              <w:pStyle w:val="NoSpacing"/>
              <w:jc w:val="right"/>
              <w:rPr>
                <w:color w:val="080C0F" w:themeColor="text1"/>
              </w:rPr>
            </w:pPr>
          </w:p>
        </w:tc>
        <w:tc>
          <w:tcPr>
            <w:tcW w:w="833"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vAlign w:val="bottom"/>
          </w:tcPr>
          <w:p w14:paraId="3F8106A7" w14:textId="77777777" w:rsidR="00730DE4" w:rsidRPr="00730DE4" w:rsidRDefault="00730DE4" w:rsidP="00BA44B1">
            <w:pPr>
              <w:pStyle w:val="NoSpacing"/>
              <w:jc w:val="right"/>
              <w:rPr>
                <w:color w:val="080C0F" w:themeColor="text1"/>
              </w:rPr>
            </w:pPr>
          </w:p>
        </w:tc>
      </w:tr>
      <w:tr w:rsidR="00730DE4" w:rsidRPr="00730DE4" w14:paraId="2D129B11" w14:textId="77777777" w:rsidTr="002035BC">
        <w:trPr>
          <w:trHeight w:val="198"/>
        </w:trPr>
        <w:tc>
          <w:tcPr>
            <w:tcW w:w="2501"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301A94AD" w14:textId="77777777" w:rsidR="00730DE4" w:rsidRPr="00730DE4" w:rsidRDefault="00730DE4" w:rsidP="00BA44B1">
            <w:pPr>
              <w:pStyle w:val="NoSpacing"/>
              <w:rPr>
                <w:i/>
                <w:iCs/>
                <w:color w:val="080C0F" w:themeColor="text1"/>
              </w:rPr>
            </w:pPr>
            <w:r w:rsidRPr="00730DE4">
              <w:rPr>
                <w:i/>
                <w:iCs/>
                <w:color w:val="080C0F" w:themeColor="text1"/>
              </w:rPr>
              <w:t>Current</w:t>
            </w: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6C66AEC" w14:textId="77777777" w:rsidR="00730DE4" w:rsidRPr="00730DE4" w:rsidRDefault="00730DE4" w:rsidP="00BA44B1">
            <w:pPr>
              <w:pStyle w:val="NoSpacing"/>
              <w:jc w:val="right"/>
              <w:rPr>
                <w:i/>
                <w:iCs/>
                <w:color w:val="080C0F" w:themeColor="text1"/>
              </w:rPr>
            </w:pP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5008A73" w14:textId="77777777" w:rsidR="00730DE4" w:rsidRPr="00730DE4" w:rsidRDefault="00730DE4" w:rsidP="00BA44B1">
            <w:pPr>
              <w:pStyle w:val="NoSpacing"/>
              <w:jc w:val="right"/>
              <w:rPr>
                <w:color w:val="080C0F" w:themeColor="text1"/>
              </w:rPr>
            </w:pP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0CBFF6D" w14:textId="77777777" w:rsidR="00730DE4" w:rsidRPr="00730DE4" w:rsidRDefault="00730DE4" w:rsidP="00BA44B1">
            <w:pPr>
              <w:pStyle w:val="NoSpacing"/>
              <w:jc w:val="right"/>
              <w:rPr>
                <w:color w:val="080C0F" w:themeColor="text1"/>
              </w:rPr>
            </w:pPr>
          </w:p>
        </w:tc>
      </w:tr>
      <w:tr w:rsidR="00730DE4" w:rsidRPr="00730DE4" w14:paraId="665EC502" w14:textId="77777777" w:rsidTr="002035BC">
        <w:trPr>
          <w:trHeight w:val="198"/>
        </w:trPr>
        <w:tc>
          <w:tcPr>
            <w:tcW w:w="2501" w:type="pct"/>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3DD3A3EF" w14:textId="77777777" w:rsidR="00730DE4" w:rsidRPr="00730DE4" w:rsidRDefault="00730DE4" w:rsidP="00BA44B1">
            <w:pPr>
              <w:pStyle w:val="NoSpacing"/>
              <w:rPr>
                <w:color w:val="080C0F" w:themeColor="text1"/>
              </w:rPr>
            </w:pPr>
            <w:r w:rsidRPr="00730DE4">
              <w:rPr>
                <w:color w:val="080C0F" w:themeColor="text1"/>
              </w:rPr>
              <w:t>Payables</w:t>
            </w: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B44D51C" w14:textId="77777777" w:rsidR="00730DE4" w:rsidRPr="00730DE4" w:rsidRDefault="00730DE4" w:rsidP="00BA44B1">
            <w:pPr>
              <w:pStyle w:val="NoSpacing"/>
              <w:jc w:val="right"/>
              <w:rPr>
                <w:color w:val="080C0F" w:themeColor="text1"/>
              </w:rPr>
            </w:pPr>
            <w:r w:rsidRPr="00730DE4">
              <w:rPr>
                <w:color w:val="080C0F" w:themeColor="text1"/>
              </w:rPr>
              <w:t xml:space="preserve">36,214 </w:t>
            </w: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1AB08E0F" w14:textId="77777777" w:rsidR="00730DE4" w:rsidRPr="00730DE4" w:rsidRDefault="00730DE4" w:rsidP="00BA44B1">
            <w:pPr>
              <w:pStyle w:val="NoSpacing"/>
              <w:jc w:val="right"/>
              <w:rPr>
                <w:color w:val="080C0F" w:themeColor="text1"/>
              </w:rPr>
            </w:pPr>
            <w:r w:rsidRPr="00730DE4">
              <w:rPr>
                <w:color w:val="080C0F" w:themeColor="text1"/>
              </w:rPr>
              <w:t xml:space="preserve">58,179 </w:t>
            </w:r>
          </w:p>
        </w:tc>
        <w:tc>
          <w:tcPr>
            <w:tcW w:w="833" w:type="pct"/>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024684BC" w14:textId="77777777" w:rsidR="00730DE4" w:rsidRPr="00730DE4" w:rsidRDefault="00730DE4" w:rsidP="00BA44B1">
            <w:pPr>
              <w:pStyle w:val="NoSpacing"/>
              <w:jc w:val="right"/>
              <w:rPr>
                <w:color w:val="080C0F" w:themeColor="text1"/>
              </w:rPr>
            </w:pPr>
            <w:r w:rsidRPr="00730DE4">
              <w:rPr>
                <w:color w:val="080C0F" w:themeColor="text1"/>
              </w:rPr>
              <w:t xml:space="preserve">21,965 </w:t>
            </w:r>
          </w:p>
        </w:tc>
      </w:tr>
      <w:tr w:rsidR="00730DE4" w:rsidRPr="00730DE4" w14:paraId="3B121CFE" w14:textId="77777777" w:rsidTr="002035BC">
        <w:trPr>
          <w:trHeight w:val="198"/>
        </w:trPr>
        <w:tc>
          <w:tcPr>
            <w:tcW w:w="2501"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5CB8DE14" w14:textId="77777777" w:rsidR="00730DE4" w:rsidRPr="00730DE4" w:rsidRDefault="00730DE4" w:rsidP="00BA44B1">
            <w:pPr>
              <w:pStyle w:val="NoSpacing"/>
              <w:rPr>
                <w:color w:val="080C0F" w:themeColor="text1"/>
              </w:rPr>
            </w:pPr>
            <w:r w:rsidRPr="00730DE4">
              <w:rPr>
                <w:color w:val="080C0F" w:themeColor="text1"/>
              </w:rPr>
              <w:t>Unearned revenue</w:t>
            </w:r>
          </w:p>
        </w:tc>
        <w:tc>
          <w:tcPr>
            <w:tcW w:w="833"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3B2C9BE1" w14:textId="77777777" w:rsidR="00730DE4" w:rsidRPr="00730DE4" w:rsidRDefault="00730DE4" w:rsidP="00BA44B1">
            <w:pPr>
              <w:pStyle w:val="NoSpacing"/>
              <w:jc w:val="right"/>
              <w:rPr>
                <w:color w:val="080C0F" w:themeColor="text1"/>
              </w:rPr>
            </w:pPr>
            <w:r w:rsidRPr="00730DE4">
              <w:rPr>
                <w:color w:val="080C0F" w:themeColor="text1"/>
              </w:rPr>
              <w:t xml:space="preserve">6,247 </w:t>
            </w:r>
          </w:p>
        </w:tc>
        <w:tc>
          <w:tcPr>
            <w:tcW w:w="833"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3964CED2" w14:textId="77777777" w:rsidR="00730DE4" w:rsidRPr="00730DE4" w:rsidRDefault="00730DE4" w:rsidP="00BA44B1">
            <w:pPr>
              <w:pStyle w:val="NoSpacing"/>
              <w:jc w:val="right"/>
              <w:rPr>
                <w:color w:val="080C0F" w:themeColor="text1"/>
              </w:rPr>
            </w:pPr>
            <w:r w:rsidRPr="00730DE4">
              <w:rPr>
                <w:color w:val="080C0F" w:themeColor="text1"/>
              </w:rPr>
              <w:t xml:space="preserve">5,840 </w:t>
            </w:r>
          </w:p>
        </w:tc>
        <w:tc>
          <w:tcPr>
            <w:tcW w:w="833"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6B5F1E16" w14:textId="77777777" w:rsidR="00730DE4" w:rsidRPr="00730DE4" w:rsidRDefault="00730DE4" w:rsidP="00BA44B1">
            <w:pPr>
              <w:pStyle w:val="NoSpacing"/>
              <w:jc w:val="right"/>
              <w:rPr>
                <w:color w:val="080C0F" w:themeColor="text1"/>
              </w:rPr>
            </w:pPr>
            <w:r w:rsidRPr="00730DE4">
              <w:rPr>
                <w:color w:val="080C0F" w:themeColor="text1"/>
              </w:rPr>
              <w:t>(407)</w:t>
            </w:r>
          </w:p>
        </w:tc>
      </w:tr>
      <w:tr w:rsidR="00730DE4" w:rsidRPr="00730DE4" w14:paraId="31012EC6" w14:textId="77777777" w:rsidTr="002035BC">
        <w:tc>
          <w:tcPr>
            <w:tcW w:w="2501" w:type="pct"/>
            <w:tcBorders>
              <w:top w:val="single" w:sz="4" w:space="0" w:color="auto"/>
              <w:left w:val="nil"/>
              <w:bottom w:val="single" w:sz="4" w:space="0" w:color="auto"/>
              <w:right w:val="dotted" w:sz="4" w:space="0" w:color="BFBFBF" w:themeColor="background1" w:themeShade="BF"/>
            </w:tcBorders>
            <w:shd w:val="clear" w:color="auto" w:fill="auto"/>
            <w:noWrap/>
            <w:hideMark/>
          </w:tcPr>
          <w:p w14:paraId="40EEFE6F" w14:textId="77777777" w:rsidR="00730DE4" w:rsidRPr="00730DE4" w:rsidRDefault="00730DE4" w:rsidP="00BA44B1">
            <w:pPr>
              <w:pStyle w:val="NoSpacing"/>
              <w:rPr>
                <w:color w:val="080C0F" w:themeColor="text1"/>
              </w:rPr>
            </w:pPr>
            <w:r w:rsidRPr="00730DE4">
              <w:rPr>
                <w:rStyle w:val="Strong"/>
              </w:rPr>
              <w:t>Total current liabilities</w:t>
            </w:r>
          </w:p>
        </w:tc>
        <w:tc>
          <w:tcPr>
            <w:tcW w:w="833"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auto"/>
            <w:noWrap/>
            <w:hideMark/>
          </w:tcPr>
          <w:p w14:paraId="2BA3D113" w14:textId="77777777" w:rsidR="00730DE4" w:rsidRPr="00730DE4" w:rsidRDefault="00730DE4" w:rsidP="00BA44B1">
            <w:pPr>
              <w:pStyle w:val="NoSpacing"/>
              <w:jc w:val="right"/>
              <w:rPr>
                <w:rStyle w:val="Strong"/>
              </w:rPr>
            </w:pPr>
            <w:r w:rsidRPr="00730DE4">
              <w:rPr>
                <w:rStyle w:val="Strong"/>
              </w:rPr>
              <w:t xml:space="preserve">42,461 </w:t>
            </w:r>
          </w:p>
        </w:tc>
        <w:tc>
          <w:tcPr>
            <w:tcW w:w="833"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auto"/>
            <w:noWrap/>
            <w:hideMark/>
          </w:tcPr>
          <w:p w14:paraId="46989D32" w14:textId="77777777" w:rsidR="00730DE4" w:rsidRPr="00730DE4" w:rsidRDefault="00730DE4" w:rsidP="00BA44B1">
            <w:pPr>
              <w:pStyle w:val="NoSpacing"/>
              <w:jc w:val="right"/>
              <w:rPr>
                <w:rStyle w:val="Strong"/>
              </w:rPr>
            </w:pPr>
            <w:r w:rsidRPr="00730DE4">
              <w:rPr>
                <w:rStyle w:val="Strong"/>
              </w:rPr>
              <w:t xml:space="preserve">64,019 </w:t>
            </w:r>
          </w:p>
        </w:tc>
        <w:tc>
          <w:tcPr>
            <w:tcW w:w="833" w:type="pct"/>
            <w:tcBorders>
              <w:top w:val="single" w:sz="4" w:space="0" w:color="auto"/>
              <w:left w:val="dotted" w:sz="4" w:space="0" w:color="BFBFBF" w:themeColor="background1" w:themeShade="BF"/>
              <w:bottom w:val="single" w:sz="4" w:space="0" w:color="auto"/>
              <w:right w:val="nil"/>
            </w:tcBorders>
            <w:shd w:val="clear" w:color="auto" w:fill="auto"/>
            <w:noWrap/>
            <w:hideMark/>
          </w:tcPr>
          <w:p w14:paraId="67D35217" w14:textId="77777777" w:rsidR="00730DE4" w:rsidRPr="00730DE4" w:rsidRDefault="00730DE4" w:rsidP="00BA44B1">
            <w:pPr>
              <w:pStyle w:val="NoSpacing"/>
              <w:jc w:val="right"/>
              <w:rPr>
                <w:rStyle w:val="Strong"/>
              </w:rPr>
            </w:pPr>
            <w:r w:rsidRPr="00730DE4">
              <w:rPr>
                <w:rStyle w:val="Strong"/>
              </w:rPr>
              <w:t xml:space="preserve">21,558 </w:t>
            </w:r>
          </w:p>
        </w:tc>
      </w:tr>
      <w:tr w:rsidR="00730DE4" w:rsidRPr="00730DE4" w14:paraId="12ABF29C" w14:textId="77777777" w:rsidTr="002035BC">
        <w:tc>
          <w:tcPr>
            <w:tcW w:w="2501" w:type="pct"/>
            <w:tcBorders>
              <w:top w:val="single" w:sz="4" w:space="0" w:color="auto"/>
              <w:left w:val="nil"/>
              <w:bottom w:val="dotted" w:sz="4" w:space="0" w:color="BFBFBF" w:themeColor="background1" w:themeShade="BF"/>
              <w:right w:val="dotted" w:sz="4" w:space="0" w:color="BFBFBF" w:themeColor="background1" w:themeShade="BF"/>
            </w:tcBorders>
            <w:shd w:val="clear" w:color="auto" w:fill="auto"/>
            <w:noWrap/>
            <w:vAlign w:val="bottom"/>
            <w:hideMark/>
          </w:tcPr>
          <w:p w14:paraId="156C236C" w14:textId="77777777" w:rsidR="00730DE4" w:rsidRPr="00730DE4" w:rsidRDefault="00730DE4" w:rsidP="00BA44B1">
            <w:pPr>
              <w:pStyle w:val="NoSpacing"/>
              <w:rPr>
                <w:i/>
                <w:iCs/>
                <w:color w:val="080C0F" w:themeColor="text1"/>
              </w:rPr>
            </w:pPr>
            <w:r w:rsidRPr="00730DE4">
              <w:rPr>
                <w:i/>
                <w:iCs/>
                <w:color w:val="080C0F" w:themeColor="text1"/>
              </w:rPr>
              <w:t xml:space="preserve">Non-current </w:t>
            </w:r>
          </w:p>
        </w:tc>
        <w:tc>
          <w:tcPr>
            <w:tcW w:w="833"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70979044" w14:textId="77777777" w:rsidR="00730DE4" w:rsidRPr="00730DE4" w:rsidRDefault="00730DE4" w:rsidP="00BA44B1">
            <w:pPr>
              <w:pStyle w:val="NoSpacing"/>
              <w:jc w:val="right"/>
              <w:rPr>
                <w:i/>
                <w:iCs/>
                <w:color w:val="080C0F" w:themeColor="text1"/>
              </w:rPr>
            </w:pPr>
          </w:p>
        </w:tc>
        <w:tc>
          <w:tcPr>
            <w:tcW w:w="833" w:type="pct"/>
            <w:tcBorders>
              <w:top w:val="single" w:sz="4" w:space="0" w:color="auto"/>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auto"/>
            <w:noWrap/>
            <w:vAlign w:val="bottom"/>
            <w:hideMark/>
          </w:tcPr>
          <w:p w14:paraId="01867D17" w14:textId="77777777" w:rsidR="00730DE4" w:rsidRPr="00730DE4" w:rsidRDefault="00730DE4" w:rsidP="00BA44B1">
            <w:pPr>
              <w:pStyle w:val="NoSpacing"/>
              <w:jc w:val="right"/>
              <w:rPr>
                <w:color w:val="080C0F" w:themeColor="text1"/>
              </w:rPr>
            </w:pPr>
          </w:p>
        </w:tc>
        <w:tc>
          <w:tcPr>
            <w:tcW w:w="833" w:type="pct"/>
            <w:tcBorders>
              <w:top w:val="single" w:sz="4" w:space="0" w:color="auto"/>
              <w:left w:val="dotted" w:sz="4" w:space="0" w:color="BFBFBF" w:themeColor="background1" w:themeShade="BF"/>
              <w:bottom w:val="dotted" w:sz="4" w:space="0" w:color="BFBFBF" w:themeColor="background1" w:themeShade="BF"/>
              <w:right w:val="nil"/>
            </w:tcBorders>
            <w:shd w:val="clear" w:color="auto" w:fill="auto"/>
            <w:noWrap/>
            <w:vAlign w:val="bottom"/>
            <w:hideMark/>
          </w:tcPr>
          <w:p w14:paraId="1F797C8D" w14:textId="77777777" w:rsidR="00730DE4" w:rsidRPr="00730DE4" w:rsidRDefault="00730DE4" w:rsidP="00BA44B1">
            <w:pPr>
              <w:pStyle w:val="NoSpacing"/>
              <w:jc w:val="right"/>
              <w:rPr>
                <w:color w:val="080C0F" w:themeColor="text1"/>
              </w:rPr>
            </w:pPr>
          </w:p>
        </w:tc>
      </w:tr>
      <w:tr w:rsidR="00730DE4" w:rsidRPr="00730DE4" w14:paraId="65EED38D" w14:textId="77777777" w:rsidTr="002035BC">
        <w:tc>
          <w:tcPr>
            <w:tcW w:w="2501" w:type="pct"/>
            <w:tcBorders>
              <w:top w:val="dotted" w:sz="4" w:space="0" w:color="BFBFBF" w:themeColor="background1" w:themeShade="BF"/>
              <w:left w:val="nil"/>
              <w:bottom w:val="single" w:sz="4" w:space="0" w:color="auto"/>
              <w:right w:val="dotted" w:sz="4" w:space="0" w:color="BFBFBF" w:themeColor="background1" w:themeShade="BF"/>
            </w:tcBorders>
            <w:shd w:val="clear" w:color="auto" w:fill="auto"/>
            <w:noWrap/>
            <w:vAlign w:val="bottom"/>
            <w:hideMark/>
          </w:tcPr>
          <w:p w14:paraId="6987114A" w14:textId="77777777" w:rsidR="00730DE4" w:rsidRPr="00730DE4" w:rsidRDefault="00730DE4" w:rsidP="00BA44B1">
            <w:pPr>
              <w:pStyle w:val="NoSpacing"/>
              <w:rPr>
                <w:color w:val="080C0F" w:themeColor="text1"/>
              </w:rPr>
            </w:pPr>
            <w:r w:rsidRPr="00730DE4">
              <w:rPr>
                <w:color w:val="080C0F" w:themeColor="text1"/>
              </w:rPr>
              <w:t>Payables</w:t>
            </w:r>
          </w:p>
        </w:tc>
        <w:tc>
          <w:tcPr>
            <w:tcW w:w="833"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7DAF386E" w14:textId="77777777" w:rsidR="00730DE4" w:rsidRPr="00730DE4" w:rsidRDefault="00730DE4" w:rsidP="00BA44B1">
            <w:pPr>
              <w:pStyle w:val="NoSpacing"/>
              <w:jc w:val="right"/>
              <w:rPr>
                <w:color w:val="080C0F" w:themeColor="text1"/>
              </w:rPr>
            </w:pPr>
            <w:r w:rsidRPr="00730DE4">
              <w:rPr>
                <w:color w:val="080C0F" w:themeColor="text1"/>
              </w:rPr>
              <w:t xml:space="preserve">275,633 </w:t>
            </w:r>
          </w:p>
        </w:tc>
        <w:tc>
          <w:tcPr>
            <w:tcW w:w="833" w:type="pct"/>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shd w:val="clear" w:color="auto" w:fill="auto"/>
            <w:noWrap/>
            <w:vAlign w:val="bottom"/>
            <w:hideMark/>
          </w:tcPr>
          <w:p w14:paraId="4614D5BD" w14:textId="77777777" w:rsidR="00730DE4" w:rsidRPr="00730DE4" w:rsidRDefault="00730DE4" w:rsidP="00BA44B1">
            <w:pPr>
              <w:pStyle w:val="NoSpacing"/>
              <w:jc w:val="right"/>
              <w:rPr>
                <w:color w:val="080C0F" w:themeColor="text1"/>
              </w:rPr>
            </w:pPr>
            <w:r w:rsidRPr="00730DE4">
              <w:rPr>
                <w:color w:val="080C0F" w:themeColor="text1"/>
              </w:rPr>
              <w:t xml:space="preserve">282,261 </w:t>
            </w:r>
          </w:p>
        </w:tc>
        <w:tc>
          <w:tcPr>
            <w:tcW w:w="833" w:type="pct"/>
            <w:tcBorders>
              <w:top w:val="dotted" w:sz="4" w:space="0" w:color="BFBFBF" w:themeColor="background1" w:themeShade="BF"/>
              <w:left w:val="dotted" w:sz="4" w:space="0" w:color="BFBFBF" w:themeColor="background1" w:themeShade="BF"/>
              <w:bottom w:val="single" w:sz="4" w:space="0" w:color="auto"/>
              <w:right w:val="nil"/>
            </w:tcBorders>
            <w:shd w:val="clear" w:color="auto" w:fill="auto"/>
            <w:noWrap/>
            <w:vAlign w:val="bottom"/>
            <w:hideMark/>
          </w:tcPr>
          <w:p w14:paraId="28587E37" w14:textId="77777777" w:rsidR="00730DE4" w:rsidRPr="00730DE4" w:rsidRDefault="00730DE4" w:rsidP="00BA44B1">
            <w:pPr>
              <w:pStyle w:val="NoSpacing"/>
              <w:jc w:val="right"/>
              <w:rPr>
                <w:color w:val="080C0F" w:themeColor="text1"/>
              </w:rPr>
            </w:pPr>
            <w:r w:rsidRPr="00730DE4">
              <w:rPr>
                <w:color w:val="080C0F" w:themeColor="text1"/>
              </w:rPr>
              <w:t xml:space="preserve">6,628 </w:t>
            </w:r>
          </w:p>
        </w:tc>
      </w:tr>
      <w:tr w:rsidR="00730DE4" w:rsidRPr="00730DE4" w14:paraId="7E67BA3C" w14:textId="77777777" w:rsidTr="002035BC">
        <w:tc>
          <w:tcPr>
            <w:tcW w:w="2501" w:type="pct"/>
            <w:tcBorders>
              <w:top w:val="single" w:sz="4" w:space="0" w:color="auto"/>
              <w:left w:val="nil"/>
              <w:bottom w:val="single" w:sz="4" w:space="0" w:color="auto"/>
              <w:right w:val="dotted" w:sz="4" w:space="0" w:color="BFBFBF" w:themeColor="background1" w:themeShade="BF"/>
            </w:tcBorders>
            <w:shd w:val="clear" w:color="auto" w:fill="auto"/>
            <w:noWrap/>
            <w:hideMark/>
          </w:tcPr>
          <w:p w14:paraId="1636C4AE" w14:textId="77777777" w:rsidR="00730DE4" w:rsidRPr="00730DE4" w:rsidRDefault="00730DE4" w:rsidP="00BA44B1">
            <w:pPr>
              <w:pStyle w:val="NoSpacing"/>
              <w:rPr>
                <w:color w:val="080C0F" w:themeColor="text1"/>
              </w:rPr>
            </w:pPr>
            <w:r w:rsidRPr="00730DE4">
              <w:rPr>
                <w:rStyle w:val="Strong"/>
              </w:rPr>
              <w:t>Total non-current liabilities</w:t>
            </w:r>
          </w:p>
        </w:tc>
        <w:tc>
          <w:tcPr>
            <w:tcW w:w="833"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auto"/>
            <w:noWrap/>
            <w:hideMark/>
          </w:tcPr>
          <w:p w14:paraId="4E2415BC" w14:textId="77777777" w:rsidR="00730DE4" w:rsidRPr="00730DE4" w:rsidRDefault="00730DE4" w:rsidP="00BA44B1">
            <w:pPr>
              <w:pStyle w:val="NoSpacing"/>
              <w:jc w:val="right"/>
              <w:rPr>
                <w:rStyle w:val="Strong"/>
              </w:rPr>
            </w:pPr>
            <w:r w:rsidRPr="00730DE4">
              <w:rPr>
                <w:rStyle w:val="Strong"/>
              </w:rPr>
              <w:t xml:space="preserve">275,633 </w:t>
            </w:r>
          </w:p>
        </w:tc>
        <w:tc>
          <w:tcPr>
            <w:tcW w:w="833"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auto"/>
            <w:noWrap/>
            <w:hideMark/>
          </w:tcPr>
          <w:p w14:paraId="5962B4EC" w14:textId="77777777" w:rsidR="00730DE4" w:rsidRPr="00730DE4" w:rsidRDefault="00730DE4" w:rsidP="00BA44B1">
            <w:pPr>
              <w:pStyle w:val="NoSpacing"/>
              <w:jc w:val="right"/>
              <w:rPr>
                <w:rStyle w:val="Strong"/>
              </w:rPr>
            </w:pPr>
            <w:r w:rsidRPr="00730DE4">
              <w:rPr>
                <w:rStyle w:val="Strong"/>
              </w:rPr>
              <w:t xml:space="preserve">282,261 </w:t>
            </w:r>
          </w:p>
        </w:tc>
        <w:tc>
          <w:tcPr>
            <w:tcW w:w="833" w:type="pct"/>
            <w:tcBorders>
              <w:top w:val="single" w:sz="4" w:space="0" w:color="auto"/>
              <w:left w:val="dotted" w:sz="4" w:space="0" w:color="BFBFBF" w:themeColor="background1" w:themeShade="BF"/>
              <w:bottom w:val="single" w:sz="4" w:space="0" w:color="auto"/>
              <w:right w:val="nil"/>
            </w:tcBorders>
            <w:shd w:val="clear" w:color="auto" w:fill="auto"/>
            <w:noWrap/>
            <w:hideMark/>
          </w:tcPr>
          <w:p w14:paraId="3AC3A397" w14:textId="77777777" w:rsidR="00730DE4" w:rsidRPr="00730DE4" w:rsidRDefault="00730DE4" w:rsidP="00BA44B1">
            <w:pPr>
              <w:pStyle w:val="NoSpacing"/>
              <w:jc w:val="right"/>
              <w:rPr>
                <w:rStyle w:val="Strong"/>
              </w:rPr>
            </w:pPr>
            <w:r w:rsidRPr="00730DE4">
              <w:rPr>
                <w:rStyle w:val="Strong"/>
              </w:rPr>
              <w:t xml:space="preserve">6,628 </w:t>
            </w:r>
          </w:p>
        </w:tc>
      </w:tr>
      <w:tr w:rsidR="00730DE4" w:rsidRPr="00730DE4" w14:paraId="2EA66405" w14:textId="77777777" w:rsidTr="002035BC">
        <w:tc>
          <w:tcPr>
            <w:tcW w:w="2501" w:type="pct"/>
            <w:tcBorders>
              <w:top w:val="single" w:sz="4" w:space="0" w:color="auto"/>
              <w:left w:val="nil"/>
              <w:bottom w:val="single" w:sz="4" w:space="0" w:color="auto"/>
              <w:right w:val="dotted" w:sz="4" w:space="0" w:color="BFBFBF" w:themeColor="background1" w:themeShade="BF"/>
            </w:tcBorders>
            <w:shd w:val="clear" w:color="auto" w:fill="auto"/>
            <w:noWrap/>
            <w:hideMark/>
          </w:tcPr>
          <w:p w14:paraId="6C607C97" w14:textId="77777777" w:rsidR="00730DE4" w:rsidRPr="00730DE4" w:rsidRDefault="00730DE4" w:rsidP="00BA44B1">
            <w:pPr>
              <w:pStyle w:val="NoSpacing"/>
              <w:rPr>
                <w:color w:val="080C0F" w:themeColor="text1"/>
              </w:rPr>
            </w:pPr>
            <w:r w:rsidRPr="00730DE4">
              <w:rPr>
                <w:rStyle w:val="Strong"/>
              </w:rPr>
              <w:t>Total liabilities</w:t>
            </w:r>
          </w:p>
        </w:tc>
        <w:tc>
          <w:tcPr>
            <w:tcW w:w="833"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auto"/>
            <w:noWrap/>
            <w:hideMark/>
          </w:tcPr>
          <w:p w14:paraId="4C98A32B" w14:textId="77777777" w:rsidR="00730DE4" w:rsidRPr="00730DE4" w:rsidRDefault="00730DE4" w:rsidP="00BA44B1">
            <w:pPr>
              <w:pStyle w:val="NoSpacing"/>
              <w:jc w:val="right"/>
              <w:rPr>
                <w:rStyle w:val="Strong"/>
              </w:rPr>
            </w:pPr>
            <w:r w:rsidRPr="00730DE4">
              <w:rPr>
                <w:rStyle w:val="Strong"/>
              </w:rPr>
              <w:t xml:space="preserve">318,094 </w:t>
            </w:r>
          </w:p>
        </w:tc>
        <w:tc>
          <w:tcPr>
            <w:tcW w:w="833" w:type="pct"/>
            <w:tcBorders>
              <w:top w:val="single" w:sz="4" w:space="0" w:color="auto"/>
              <w:left w:val="dotted" w:sz="4" w:space="0" w:color="BFBFBF" w:themeColor="background1" w:themeShade="BF"/>
              <w:bottom w:val="single" w:sz="4" w:space="0" w:color="auto"/>
              <w:right w:val="dotted" w:sz="4" w:space="0" w:color="BFBFBF" w:themeColor="background1" w:themeShade="BF"/>
            </w:tcBorders>
            <w:shd w:val="clear" w:color="auto" w:fill="auto"/>
            <w:noWrap/>
            <w:hideMark/>
          </w:tcPr>
          <w:p w14:paraId="16B87B45" w14:textId="77777777" w:rsidR="00730DE4" w:rsidRPr="00730DE4" w:rsidRDefault="00730DE4" w:rsidP="00BA44B1">
            <w:pPr>
              <w:pStyle w:val="NoSpacing"/>
              <w:jc w:val="right"/>
              <w:rPr>
                <w:rStyle w:val="Strong"/>
              </w:rPr>
            </w:pPr>
            <w:r w:rsidRPr="00730DE4">
              <w:rPr>
                <w:rStyle w:val="Strong"/>
              </w:rPr>
              <w:t xml:space="preserve">346,280 </w:t>
            </w:r>
          </w:p>
        </w:tc>
        <w:tc>
          <w:tcPr>
            <w:tcW w:w="833" w:type="pct"/>
            <w:tcBorders>
              <w:top w:val="single" w:sz="4" w:space="0" w:color="auto"/>
              <w:left w:val="dotted" w:sz="4" w:space="0" w:color="BFBFBF" w:themeColor="background1" w:themeShade="BF"/>
              <w:bottom w:val="single" w:sz="4" w:space="0" w:color="auto"/>
              <w:right w:val="nil"/>
            </w:tcBorders>
            <w:shd w:val="clear" w:color="auto" w:fill="auto"/>
            <w:noWrap/>
            <w:hideMark/>
          </w:tcPr>
          <w:p w14:paraId="3E5DC6F4" w14:textId="77777777" w:rsidR="00730DE4" w:rsidRPr="00730DE4" w:rsidRDefault="00730DE4" w:rsidP="00BA44B1">
            <w:pPr>
              <w:pStyle w:val="NoSpacing"/>
              <w:jc w:val="right"/>
              <w:rPr>
                <w:rStyle w:val="Strong"/>
              </w:rPr>
            </w:pPr>
            <w:r w:rsidRPr="00730DE4">
              <w:rPr>
                <w:rStyle w:val="Strong"/>
              </w:rPr>
              <w:t xml:space="preserve">28,186 </w:t>
            </w:r>
          </w:p>
        </w:tc>
      </w:tr>
      <w:tr w:rsidR="00730DE4" w:rsidRPr="00730DE4" w14:paraId="22747278" w14:textId="77777777" w:rsidTr="002035BC">
        <w:trPr>
          <w:trHeight w:val="454"/>
        </w:trPr>
        <w:tc>
          <w:tcPr>
            <w:tcW w:w="2501" w:type="pct"/>
            <w:tcBorders>
              <w:top w:val="single" w:sz="4" w:space="0" w:color="auto"/>
              <w:left w:val="nil"/>
              <w:bottom w:val="double" w:sz="4" w:space="0" w:color="auto"/>
              <w:right w:val="dotted" w:sz="4" w:space="0" w:color="BFBFBF" w:themeColor="background1" w:themeShade="BF"/>
            </w:tcBorders>
            <w:shd w:val="clear" w:color="auto" w:fill="auto"/>
            <w:noWrap/>
            <w:vAlign w:val="bottom"/>
            <w:hideMark/>
          </w:tcPr>
          <w:p w14:paraId="4057E471" w14:textId="77777777" w:rsidR="00730DE4" w:rsidRPr="00730DE4" w:rsidRDefault="00730DE4" w:rsidP="002035BC">
            <w:pPr>
              <w:pStyle w:val="NoSpacing"/>
              <w:rPr>
                <w:color w:val="080C0F" w:themeColor="text1"/>
              </w:rPr>
            </w:pPr>
            <w:r w:rsidRPr="00730DE4">
              <w:rPr>
                <w:rStyle w:val="Strong"/>
              </w:rPr>
              <w:t>Net administered assets</w:t>
            </w:r>
          </w:p>
        </w:tc>
        <w:tc>
          <w:tcPr>
            <w:tcW w:w="833"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vAlign w:val="bottom"/>
            <w:hideMark/>
          </w:tcPr>
          <w:p w14:paraId="06E3879D" w14:textId="77777777" w:rsidR="00730DE4" w:rsidRPr="00730DE4" w:rsidRDefault="00730DE4" w:rsidP="002035BC">
            <w:pPr>
              <w:pStyle w:val="NoSpacing"/>
              <w:jc w:val="right"/>
              <w:rPr>
                <w:rStyle w:val="Strong"/>
              </w:rPr>
            </w:pPr>
            <w:r w:rsidRPr="00730DE4">
              <w:rPr>
                <w:rStyle w:val="Strong"/>
              </w:rPr>
              <w:t xml:space="preserve">123,513 </w:t>
            </w:r>
          </w:p>
        </w:tc>
        <w:tc>
          <w:tcPr>
            <w:tcW w:w="833" w:type="pct"/>
            <w:tcBorders>
              <w:top w:val="sing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vAlign w:val="bottom"/>
            <w:hideMark/>
          </w:tcPr>
          <w:p w14:paraId="61D64D3A" w14:textId="77777777" w:rsidR="00730DE4" w:rsidRPr="00730DE4" w:rsidRDefault="00730DE4" w:rsidP="002035BC">
            <w:pPr>
              <w:pStyle w:val="NoSpacing"/>
              <w:jc w:val="right"/>
              <w:rPr>
                <w:rStyle w:val="Strong"/>
              </w:rPr>
            </w:pPr>
            <w:r w:rsidRPr="00730DE4">
              <w:rPr>
                <w:rStyle w:val="Strong"/>
              </w:rPr>
              <w:t xml:space="preserve">145,855 </w:t>
            </w:r>
          </w:p>
        </w:tc>
        <w:tc>
          <w:tcPr>
            <w:tcW w:w="833" w:type="pct"/>
            <w:tcBorders>
              <w:top w:val="single" w:sz="4" w:space="0" w:color="auto"/>
              <w:left w:val="dotted" w:sz="4" w:space="0" w:color="BFBFBF" w:themeColor="background1" w:themeShade="BF"/>
              <w:bottom w:val="double" w:sz="4" w:space="0" w:color="auto"/>
              <w:right w:val="nil"/>
            </w:tcBorders>
            <w:shd w:val="clear" w:color="auto" w:fill="auto"/>
            <w:noWrap/>
            <w:vAlign w:val="bottom"/>
            <w:hideMark/>
          </w:tcPr>
          <w:p w14:paraId="755D96F0" w14:textId="77777777" w:rsidR="00730DE4" w:rsidRPr="00730DE4" w:rsidRDefault="00730DE4" w:rsidP="002035BC">
            <w:pPr>
              <w:pStyle w:val="NoSpacing"/>
              <w:jc w:val="right"/>
              <w:rPr>
                <w:rStyle w:val="Strong"/>
              </w:rPr>
            </w:pPr>
            <w:r w:rsidRPr="00730DE4">
              <w:rPr>
                <w:rStyle w:val="Strong"/>
              </w:rPr>
              <w:t xml:space="preserve">22,342 </w:t>
            </w:r>
          </w:p>
        </w:tc>
      </w:tr>
      <w:tr w:rsidR="00730DE4" w:rsidRPr="00730DE4" w14:paraId="6FC5E13B" w14:textId="77777777" w:rsidTr="002035BC">
        <w:trPr>
          <w:trHeight w:val="454"/>
        </w:trPr>
        <w:tc>
          <w:tcPr>
            <w:tcW w:w="2501" w:type="pct"/>
            <w:tcBorders>
              <w:top w:val="double" w:sz="4" w:space="0" w:color="auto"/>
              <w:left w:val="nil"/>
              <w:bottom w:val="double" w:sz="4" w:space="0" w:color="auto"/>
              <w:right w:val="dotted" w:sz="4" w:space="0" w:color="BFBFBF" w:themeColor="background1" w:themeShade="BF"/>
            </w:tcBorders>
            <w:shd w:val="clear" w:color="auto" w:fill="auto"/>
            <w:noWrap/>
            <w:vAlign w:val="bottom"/>
            <w:hideMark/>
          </w:tcPr>
          <w:p w14:paraId="6858340B" w14:textId="77777777" w:rsidR="00730DE4" w:rsidRPr="00730DE4" w:rsidRDefault="00730DE4" w:rsidP="002035BC">
            <w:pPr>
              <w:pStyle w:val="NoSpacing"/>
              <w:rPr>
                <w:color w:val="080C0F" w:themeColor="text1"/>
              </w:rPr>
            </w:pPr>
            <w:r w:rsidRPr="00730DE4">
              <w:rPr>
                <w:rStyle w:val="Strong"/>
              </w:rPr>
              <w:t>Total administered equity</w:t>
            </w:r>
          </w:p>
        </w:tc>
        <w:tc>
          <w:tcPr>
            <w:tcW w:w="833" w:type="pct"/>
            <w:tcBorders>
              <w:top w:val="doub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vAlign w:val="bottom"/>
            <w:hideMark/>
          </w:tcPr>
          <w:p w14:paraId="1AD16AA8" w14:textId="77777777" w:rsidR="00730DE4" w:rsidRPr="00730DE4" w:rsidRDefault="00730DE4" w:rsidP="002035BC">
            <w:pPr>
              <w:pStyle w:val="NoSpacing"/>
              <w:jc w:val="right"/>
              <w:rPr>
                <w:rStyle w:val="Strong"/>
              </w:rPr>
            </w:pPr>
            <w:r w:rsidRPr="00730DE4">
              <w:rPr>
                <w:rStyle w:val="Strong"/>
              </w:rPr>
              <w:t xml:space="preserve">123,513 </w:t>
            </w:r>
          </w:p>
        </w:tc>
        <w:tc>
          <w:tcPr>
            <w:tcW w:w="833" w:type="pct"/>
            <w:tcBorders>
              <w:top w:val="double" w:sz="4" w:space="0" w:color="auto"/>
              <w:left w:val="dotted" w:sz="4" w:space="0" w:color="BFBFBF" w:themeColor="background1" w:themeShade="BF"/>
              <w:bottom w:val="double" w:sz="4" w:space="0" w:color="auto"/>
              <w:right w:val="dotted" w:sz="4" w:space="0" w:color="BFBFBF" w:themeColor="background1" w:themeShade="BF"/>
            </w:tcBorders>
            <w:shd w:val="clear" w:color="auto" w:fill="auto"/>
            <w:noWrap/>
            <w:vAlign w:val="bottom"/>
            <w:hideMark/>
          </w:tcPr>
          <w:p w14:paraId="6EF56EA5" w14:textId="77777777" w:rsidR="00730DE4" w:rsidRPr="00730DE4" w:rsidRDefault="00730DE4" w:rsidP="002035BC">
            <w:pPr>
              <w:pStyle w:val="NoSpacing"/>
              <w:jc w:val="right"/>
              <w:rPr>
                <w:rStyle w:val="Strong"/>
              </w:rPr>
            </w:pPr>
            <w:r w:rsidRPr="00730DE4">
              <w:rPr>
                <w:rStyle w:val="Strong"/>
              </w:rPr>
              <w:t xml:space="preserve">145,855 </w:t>
            </w:r>
          </w:p>
        </w:tc>
        <w:tc>
          <w:tcPr>
            <w:tcW w:w="833" w:type="pct"/>
            <w:tcBorders>
              <w:top w:val="double" w:sz="4" w:space="0" w:color="auto"/>
              <w:left w:val="dotted" w:sz="4" w:space="0" w:color="BFBFBF" w:themeColor="background1" w:themeShade="BF"/>
              <w:bottom w:val="double" w:sz="4" w:space="0" w:color="auto"/>
              <w:right w:val="nil"/>
            </w:tcBorders>
            <w:shd w:val="clear" w:color="auto" w:fill="auto"/>
            <w:noWrap/>
            <w:vAlign w:val="bottom"/>
            <w:hideMark/>
          </w:tcPr>
          <w:p w14:paraId="58A291F2" w14:textId="77777777" w:rsidR="00730DE4" w:rsidRPr="00730DE4" w:rsidRDefault="00730DE4" w:rsidP="002035BC">
            <w:pPr>
              <w:pStyle w:val="NoSpacing"/>
              <w:jc w:val="right"/>
              <w:rPr>
                <w:rStyle w:val="Strong"/>
              </w:rPr>
            </w:pPr>
            <w:r w:rsidRPr="00730DE4">
              <w:rPr>
                <w:rStyle w:val="Strong"/>
              </w:rPr>
              <w:t xml:space="preserve">22,342 </w:t>
            </w:r>
          </w:p>
        </w:tc>
      </w:tr>
    </w:tbl>
    <w:bookmarkEnd w:id="1659"/>
    <w:p w14:paraId="155E78FE" w14:textId="77777777" w:rsidR="00730DE4" w:rsidRPr="00730DE4" w:rsidRDefault="00730DE4" w:rsidP="00951095">
      <w:pPr>
        <w:pStyle w:val="Heading6"/>
      </w:pPr>
      <w:r w:rsidRPr="00730DE4">
        <w:t>Explanation of major variances</w:t>
      </w:r>
    </w:p>
    <w:p w14:paraId="645452C2" w14:textId="77777777" w:rsidR="00730DE4" w:rsidRPr="00730DE4" w:rsidRDefault="00730DE4" w:rsidP="00951095">
      <w:pPr>
        <w:pStyle w:val="Heading7"/>
      </w:pPr>
      <w:r w:rsidRPr="00730DE4">
        <w:t xml:space="preserve">Supplies and services </w:t>
      </w:r>
    </w:p>
    <w:p w14:paraId="11F7B5F2" w14:textId="77777777" w:rsidR="00730DE4" w:rsidRPr="00730DE4" w:rsidRDefault="00730DE4" w:rsidP="003C13D4">
      <w:pPr>
        <w:rPr>
          <w:color w:val="080C0F" w:themeColor="text1"/>
        </w:rPr>
      </w:pPr>
      <w:r w:rsidRPr="00730DE4">
        <w:rPr>
          <w:color w:val="080C0F" w:themeColor="text1"/>
        </w:rPr>
        <w:t>Variance of $7.296m mainly reflects the application of COLA, backpay and the new TMR Award and CITEC Certified Agreement 2023 from 18 May 2023 to 30 June 2024 for Queensland Shared Services, CITEC and Corporate Administration Agency employees.</w:t>
      </w:r>
    </w:p>
    <w:p w14:paraId="670BB3BE" w14:textId="77777777" w:rsidR="00730DE4" w:rsidRPr="00730DE4" w:rsidRDefault="00730DE4" w:rsidP="00951095">
      <w:pPr>
        <w:pStyle w:val="Heading7"/>
      </w:pPr>
      <w:r w:rsidRPr="00730DE4">
        <w:t xml:space="preserve">Grants and subsidies </w:t>
      </w:r>
    </w:p>
    <w:p w14:paraId="46FB6E05" w14:textId="77777777" w:rsidR="00730DE4" w:rsidRPr="00730DE4" w:rsidRDefault="00730DE4" w:rsidP="003C13D4">
      <w:pPr>
        <w:rPr>
          <w:color w:val="080C0F" w:themeColor="text1"/>
        </w:rPr>
      </w:pPr>
      <w:r w:rsidRPr="00730DE4">
        <w:rPr>
          <w:color w:val="080C0F" w:themeColor="text1"/>
        </w:rPr>
        <w:t>Variance of ($61.017m) mainly reflects the deferral of funding to 2024–25 for the Queensland Rail Mount Isa to Townsville Rail Line ($33.500m) and the Cross River Rail Delivery Authority returned works ($28.222m).</w:t>
      </w:r>
    </w:p>
    <w:p w14:paraId="36B8822B" w14:textId="77777777" w:rsidR="00730DE4" w:rsidRPr="00730DE4" w:rsidRDefault="00730DE4" w:rsidP="00951095">
      <w:pPr>
        <w:pStyle w:val="Heading7"/>
      </w:pPr>
      <w:r w:rsidRPr="00730DE4">
        <w:t xml:space="preserve">Cash </w:t>
      </w:r>
    </w:p>
    <w:p w14:paraId="5F6688FB" w14:textId="77777777" w:rsidR="00730DE4" w:rsidRPr="00730DE4" w:rsidRDefault="00730DE4" w:rsidP="003C13D4">
      <w:pPr>
        <w:rPr>
          <w:color w:val="080C0F" w:themeColor="text1"/>
        </w:rPr>
      </w:pPr>
      <w:r w:rsidRPr="00730DE4">
        <w:rPr>
          <w:color w:val="080C0F" w:themeColor="text1"/>
        </w:rPr>
        <w:t xml:space="preserve">Variance of $15.354m mainly reflects the increase in payables of $21.965m partly offset by the increase in receivables of $6.549m. </w:t>
      </w:r>
    </w:p>
    <w:p w14:paraId="7BA1EB75" w14:textId="77777777" w:rsidR="00730DE4" w:rsidRPr="00730DE4" w:rsidRDefault="00730DE4" w:rsidP="00951095">
      <w:pPr>
        <w:pStyle w:val="Heading7"/>
      </w:pPr>
      <w:r w:rsidRPr="00730DE4">
        <w:t xml:space="preserve">Receivables – current </w:t>
      </w:r>
    </w:p>
    <w:p w14:paraId="0DD2E563" w14:textId="77777777" w:rsidR="00730DE4" w:rsidRPr="00730DE4" w:rsidRDefault="00730DE4" w:rsidP="003C13D4">
      <w:pPr>
        <w:rPr>
          <w:color w:val="080C0F" w:themeColor="text1"/>
        </w:rPr>
      </w:pPr>
      <w:r w:rsidRPr="00730DE4">
        <w:rPr>
          <w:color w:val="080C0F" w:themeColor="text1"/>
        </w:rPr>
        <w:t>Variance of $6.549m reflects an increase in vehicle registration revenue owed from dealers and agencies of $5.979m.</w:t>
      </w:r>
    </w:p>
    <w:p w14:paraId="6EB6C06F" w14:textId="77777777" w:rsidR="00730DE4" w:rsidRPr="00730DE4" w:rsidRDefault="00730DE4" w:rsidP="00951095">
      <w:pPr>
        <w:pStyle w:val="Heading7"/>
      </w:pPr>
      <w:r w:rsidRPr="00730DE4">
        <w:t xml:space="preserve">Land </w:t>
      </w:r>
    </w:p>
    <w:p w14:paraId="74014860" w14:textId="77777777" w:rsidR="00730DE4" w:rsidRPr="00730DE4" w:rsidRDefault="00730DE4" w:rsidP="003C13D4">
      <w:pPr>
        <w:rPr>
          <w:color w:val="080C0F" w:themeColor="text1"/>
        </w:rPr>
      </w:pPr>
      <w:r w:rsidRPr="00730DE4">
        <w:rPr>
          <w:color w:val="080C0F" w:themeColor="text1"/>
        </w:rPr>
        <w:t>Variance of $21.997m mainly reflects land revaluation increments of $21.632m in 2022–23 and $12.248m in 2023–24, ($9.993m) in land under roads transferred in 2022–23 and ($1.299m) of land transferred to the Department of Resources in 2023–24.</w:t>
      </w:r>
    </w:p>
    <w:p w14:paraId="704273FF" w14:textId="77777777" w:rsidR="00730DE4" w:rsidRPr="00730DE4" w:rsidRDefault="00730DE4" w:rsidP="00951095">
      <w:pPr>
        <w:pStyle w:val="Heading7"/>
      </w:pPr>
      <w:r w:rsidRPr="00730DE4">
        <w:t xml:space="preserve">Payables – current </w:t>
      </w:r>
    </w:p>
    <w:p w14:paraId="4068F7D8" w14:textId="77777777" w:rsidR="00730DE4" w:rsidRPr="00730DE4" w:rsidRDefault="00730DE4" w:rsidP="003C13D4">
      <w:pPr>
        <w:rPr>
          <w:color w:val="080C0F" w:themeColor="text1"/>
        </w:rPr>
      </w:pPr>
      <w:r w:rsidRPr="00730DE4">
        <w:rPr>
          <w:color w:val="080C0F" w:themeColor="text1"/>
        </w:rPr>
        <w:t>Variance of $21.965m mainly reflects revenue transferred to government payable of $18.644m due to a credit adjustment of ($9.530m) related to the Queensland Revenue Office machinery-of-government change for fines and penalties debt administration stage two of 1 December 2022, which is not applicable in 2023–24.</w:t>
      </w:r>
    </w:p>
    <w:p w14:paraId="15F8FD34" w14:textId="77777777" w:rsidR="00730DE4" w:rsidRPr="00730DE4" w:rsidRDefault="00730DE4" w:rsidP="00951095">
      <w:pPr>
        <w:pStyle w:val="Heading7"/>
      </w:pPr>
      <w:r w:rsidRPr="00730DE4">
        <w:t xml:space="preserve">Equity </w:t>
      </w:r>
    </w:p>
    <w:p w14:paraId="0C165E4E" w14:textId="77777777" w:rsidR="00730DE4" w:rsidRPr="00730DE4" w:rsidRDefault="00730DE4" w:rsidP="003C13D4">
      <w:pPr>
        <w:rPr>
          <w:color w:val="080C0F" w:themeColor="text1"/>
        </w:rPr>
      </w:pPr>
      <w:r w:rsidRPr="00730DE4">
        <w:rPr>
          <w:color w:val="080C0F" w:themeColor="text1"/>
        </w:rPr>
        <w:t>Variance of $22.342m is mainly due to timing differences to obtain reliable measures for asset revaluation increments which were not able to be determined at the time of budget development.</w:t>
      </w:r>
    </w:p>
    <w:p w14:paraId="512C8278" w14:textId="77777777" w:rsidR="00730DE4" w:rsidRPr="00730DE4" w:rsidRDefault="00730DE4" w:rsidP="00D16D4F">
      <w:pPr>
        <w:pStyle w:val="Heading4"/>
      </w:pPr>
      <w:bookmarkStart w:id="1660" w:name="_Toc179365627"/>
      <w:bookmarkStart w:id="1661" w:name="_Toc180490980"/>
      <w:bookmarkStart w:id="1662" w:name="_Toc180492013"/>
      <w:r w:rsidRPr="00730DE4">
        <w:t>31 Events after the balance date</w:t>
      </w:r>
      <w:bookmarkEnd w:id="1660"/>
      <w:bookmarkEnd w:id="1661"/>
      <w:bookmarkEnd w:id="1662"/>
    </w:p>
    <w:p w14:paraId="33960EE9" w14:textId="77777777" w:rsidR="00730DE4" w:rsidRPr="00730DE4" w:rsidRDefault="00730DE4" w:rsidP="00246692">
      <w:pPr>
        <w:pStyle w:val="Heading5"/>
      </w:pPr>
      <w:bookmarkStart w:id="1663" w:name="_Toc180487776"/>
      <w:bookmarkStart w:id="1664" w:name="_Toc180490981"/>
      <w:bookmarkStart w:id="1665" w:name="_Toc180492014"/>
      <w:r w:rsidRPr="00730DE4">
        <w:t>Queensland Police Service – Road Safety Camera Office machinery-of-government change</w:t>
      </w:r>
      <w:bookmarkEnd w:id="1663"/>
      <w:bookmarkEnd w:id="1664"/>
      <w:bookmarkEnd w:id="1665"/>
      <w:r w:rsidRPr="00730DE4">
        <w:t xml:space="preserve"> </w:t>
      </w:r>
    </w:p>
    <w:p w14:paraId="1EC6C7E7" w14:textId="77777777" w:rsidR="00730DE4" w:rsidRPr="00730DE4" w:rsidRDefault="00730DE4" w:rsidP="003C13D4">
      <w:pPr>
        <w:rPr>
          <w:color w:val="080C0F" w:themeColor="text1"/>
        </w:rPr>
      </w:pPr>
      <w:r w:rsidRPr="00730DE4">
        <w:rPr>
          <w:color w:val="080C0F" w:themeColor="text1"/>
        </w:rPr>
        <w:t>As a result of the Public Service Departmental Arrangements Notice (No.1) 2024, the Queensland Police Service functions within the Road Safety Camera operations were transferred to the Department of Transport and Main Roads, effective from 15 July 2024. There were 65 employees transferred as part of the arrangement.</w:t>
      </w:r>
    </w:p>
    <w:p w14:paraId="4AEFB8CB" w14:textId="77777777" w:rsidR="00730DE4" w:rsidRPr="00730DE4" w:rsidRDefault="00730DE4" w:rsidP="00246692">
      <w:pPr>
        <w:pStyle w:val="Heading5"/>
      </w:pPr>
      <w:bookmarkStart w:id="1666" w:name="_Toc180487777"/>
      <w:bookmarkStart w:id="1667" w:name="_Toc180490982"/>
      <w:bookmarkStart w:id="1668" w:name="_Toc180492015"/>
      <w:r w:rsidRPr="00730DE4">
        <w:t>Reduced 50 cent fares on public transport services</w:t>
      </w:r>
      <w:bookmarkEnd w:id="1666"/>
      <w:bookmarkEnd w:id="1667"/>
      <w:bookmarkEnd w:id="1668"/>
      <w:r w:rsidRPr="00730DE4">
        <w:t xml:space="preserve"> </w:t>
      </w:r>
    </w:p>
    <w:p w14:paraId="69910F59" w14:textId="77777777" w:rsidR="00730DE4" w:rsidRPr="00730DE4" w:rsidRDefault="00730DE4" w:rsidP="003C13D4">
      <w:pPr>
        <w:rPr>
          <w:color w:val="080C0F" w:themeColor="text1"/>
        </w:rPr>
      </w:pPr>
      <w:r w:rsidRPr="00730DE4">
        <w:rPr>
          <w:color w:val="080C0F" w:themeColor="text1"/>
        </w:rPr>
        <w:t>In May 2024 the Premier announced a 50 cent fare will apply to all Translink public transport services in Queensland from 5 August 2024. This initiative will significantly reduce the cost of public transport and will encourage more people to leave the car at home and ease congestion. This will result in reduced fare revenue being reported in Note 3 User charges and fees in 2024–25.</w:t>
      </w:r>
    </w:p>
    <w:p w14:paraId="7D06ADBC" w14:textId="77777777" w:rsidR="00730DE4" w:rsidRPr="00730DE4" w:rsidRDefault="00730DE4" w:rsidP="00246692">
      <w:pPr>
        <w:pStyle w:val="Heading5"/>
      </w:pPr>
      <w:bookmarkStart w:id="1669" w:name="_Toc180487778"/>
      <w:bookmarkStart w:id="1670" w:name="_Toc180490983"/>
      <w:bookmarkStart w:id="1671" w:name="_Toc180492016"/>
      <w:r w:rsidRPr="00730DE4">
        <w:t>New Generation Rollingstock (NGR) train sets’ rectification works</w:t>
      </w:r>
      <w:bookmarkEnd w:id="1669"/>
      <w:bookmarkEnd w:id="1670"/>
      <w:bookmarkEnd w:id="1671"/>
      <w:r w:rsidRPr="00730DE4">
        <w:t xml:space="preserve"> </w:t>
      </w:r>
    </w:p>
    <w:p w14:paraId="0443EE6D" w14:textId="77777777" w:rsidR="00730DE4" w:rsidRPr="00730DE4" w:rsidRDefault="00730DE4" w:rsidP="003C13D4">
      <w:pPr>
        <w:rPr>
          <w:i/>
          <w:iCs/>
          <w:color w:val="080C0F" w:themeColor="text1"/>
        </w:rPr>
      </w:pPr>
      <w:r w:rsidRPr="00730DE4">
        <w:rPr>
          <w:color w:val="080C0F" w:themeColor="text1"/>
        </w:rPr>
        <w:t xml:space="preserve">In July 2024 the New Generation Rollingstock train accessibility update program was completed. Following a variation deed entered into with the vendor this program was undertaken to ensure compliance with </w:t>
      </w:r>
      <w:r w:rsidRPr="00730DE4">
        <w:rPr>
          <w:i/>
          <w:color w:val="080C0F" w:themeColor="text1"/>
        </w:rPr>
        <w:t xml:space="preserve">Disability Standards for Accessible Public Transport 2002 (Cth). </w:t>
      </w:r>
      <w:r w:rsidRPr="00730DE4">
        <w:rPr>
          <w:color w:val="080C0F" w:themeColor="text1"/>
        </w:rPr>
        <w:t>All of the 75 upgraded train sets’ are now in service across the South East Queensland train network.</w:t>
      </w:r>
    </w:p>
    <w:p w14:paraId="3D1E7914" w14:textId="77777777" w:rsidR="00730DE4" w:rsidRPr="00730DE4" w:rsidRDefault="00730DE4" w:rsidP="003C13D4">
      <w:pPr>
        <w:rPr>
          <w:color w:val="080C0F" w:themeColor="text1"/>
        </w:rPr>
      </w:pPr>
      <w:r w:rsidRPr="00730DE4">
        <w:rPr>
          <w:color w:val="080C0F" w:themeColor="text1"/>
        </w:rPr>
        <w:t>Refer to Note 16 and 20 of the financial statements.</w:t>
      </w:r>
    </w:p>
    <w:p w14:paraId="5517D7EB" w14:textId="77777777" w:rsidR="00730DE4" w:rsidRPr="00730DE4" w:rsidRDefault="00730DE4" w:rsidP="00246692">
      <w:pPr>
        <w:pStyle w:val="Heading5"/>
      </w:pPr>
      <w:bookmarkStart w:id="1672" w:name="_Toc180487779"/>
      <w:bookmarkStart w:id="1673" w:name="_Toc180490984"/>
      <w:bookmarkStart w:id="1674" w:name="_Toc180492017"/>
      <w:r w:rsidRPr="00730DE4">
        <w:t>Queensland Police Service – Public Safety Network Management Centre machinery-of-government change</w:t>
      </w:r>
      <w:bookmarkEnd w:id="1672"/>
      <w:bookmarkEnd w:id="1673"/>
      <w:bookmarkEnd w:id="1674"/>
      <w:r w:rsidRPr="00730DE4">
        <w:t xml:space="preserve"> </w:t>
      </w:r>
    </w:p>
    <w:p w14:paraId="0EC3428B" w14:textId="77777777" w:rsidR="00730DE4" w:rsidRPr="00730DE4" w:rsidRDefault="00730DE4" w:rsidP="003C13D4">
      <w:pPr>
        <w:rPr>
          <w:color w:val="080C0F" w:themeColor="text1"/>
        </w:rPr>
      </w:pPr>
      <w:r w:rsidRPr="00730DE4">
        <w:rPr>
          <w:color w:val="080C0F" w:themeColor="text1"/>
        </w:rPr>
        <w:t>As a result of the Public Service Departmental Arrangements Notice (No.6) 2024, the Queensland Police Service functions associated with the Public Safety Network Management Centre (PSNMC) were transferred to the CITEC business unit of the Department of Transport and Main Roads, effective from 19 August 2024. The PSNMC is a shared network service provider to a range of Queensland Government agencies across the state.</w:t>
      </w:r>
    </w:p>
    <w:p w14:paraId="73DC7EBF" w14:textId="77777777" w:rsidR="00730DE4" w:rsidRPr="00730DE4" w:rsidRDefault="00730DE4" w:rsidP="00F16A24">
      <w:pPr>
        <w:pStyle w:val="Heading2"/>
      </w:pPr>
      <w:r w:rsidRPr="00730DE4">
        <w:br w:type="page"/>
      </w:r>
      <w:bookmarkStart w:id="1675" w:name="_Toc179365628"/>
      <w:bookmarkStart w:id="1676" w:name="_Toc180490985"/>
      <w:bookmarkStart w:id="1677" w:name="_Toc180492018"/>
      <w:r w:rsidRPr="00730DE4">
        <w:t>Certification</w:t>
      </w:r>
      <w:bookmarkEnd w:id="1675"/>
      <w:bookmarkEnd w:id="1676"/>
      <w:bookmarkEnd w:id="1677"/>
    </w:p>
    <w:p w14:paraId="6CF764B0" w14:textId="77777777" w:rsidR="00730DE4" w:rsidRPr="00730DE4" w:rsidRDefault="00730DE4" w:rsidP="00F16A24">
      <w:pPr>
        <w:pStyle w:val="Heading3"/>
      </w:pPr>
      <w:bookmarkStart w:id="1678" w:name="_Toc179365629"/>
      <w:bookmarkStart w:id="1679" w:name="_Toc180490986"/>
      <w:bookmarkStart w:id="1680" w:name="_Toc180492019"/>
      <w:r w:rsidRPr="00730DE4">
        <w:t>Management Certificate of the Department of Transport and Main Roads</w:t>
      </w:r>
      <w:bookmarkEnd w:id="1678"/>
      <w:bookmarkEnd w:id="1679"/>
      <w:bookmarkEnd w:id="1680"/>
      <w:r w:rsidRPr="00730DE4">
        <w:t xml:space="preserve"> </w:t>
      </w:r>
    </w:p>
    <w:p w14:paraId="69DEA527" w14:textId="77777777" w:rsidR="00730DE4" w:rsidRPr="00730DE4" w:rsidRDefault="00730DE4" w:rsidP="003C13D4">
      <w:pPr>
        <w:rPr>
          <w:rStyle w:val="Strong"/>
        </w:rPr>
      </w:pPr>
      <w:r w:rsidRPr="00730DE4">
        <w:rPr>
          <w:color w:val="080C0F" w:themeColor="text1"/>
        </w:rPr>
        <w:t xml:space="preserve">These general purpose financial statements have been prepared pursuant to section 62(1) of the </w:t>
      </w:r>
      <w:r w:rsidRPr="00730DE4">
        <w:rPr>
          <w:i/>
          <w:iCs/>
          <w:color w:val="080C0F" w:themeColor="text1"/>
        </w:rPr>
        <w:t>Financial Accountability Act 2009</w:t>
      </w:r>
      <w:r w:rsidRPr="00730DE4">
        <w:rPr>
          <w:color w:val="080C0F" w:themeColor="text1"/>
        </w:rPr>
        <w:t xml:space="preserve"> (the Act), section 38 of the </w:t>
      </w:r>
      <w:r w:rsidRPr="00730DE4">
        <w:rPr>
          <w:i/>
          <w:iCs/>
          <w:color w:val="080C0F" w:themeColor="text1"/>
        </w:rPr>
        <w:t>Financial and Performance Management Standard 2019</w:t>
      </w:r>
      <w:r w:rsidRPr="00730DE4">
        <w:rPr>
          <w:color w:val="080C0F" w:themeColor="text1"/>
        </w:rPr>
        <w:t xml:space="preserve"> and other prescribed requirements. In accordance with section 62(1)(b) of the Act we certify that in our opinion</w:t>
      </w:r>
      <w:r w:rsidRPr="00730DE4">
        <w:rPr>
          <w:rStyle w:val="Strong"/>
        </w:rPr>
        <w:t>:</w:t>
      </w:r>
      <w:r w:rsidRPr="00730DE4">
        <w:rPr>
          <w:rStyle w:val="Strong"/>
        </w:rPr>
        <w:tab/>
      </w:r>
    </w:p>
    <w:p w14:paraId="1D72B4B1" w14:textId="77777777" w:rsidR="00730DE4" w:rsidRPr="00730DE4" w:rsidRDefault="00730DE4" w:rsidP="003C201D">
      <w:pPr>
        <w:pStyle w:val="Listletters"/>
      </w:pPr>
      <w:r w:rsidRPr="00730DE4">
        <w:t>the prescribed requirements for establishing and keeping the accounts have been complied with in all material respects; and</w:t>
      </w:r>
    </w:p>
    <w:p w14:paraId="548AB6E0" w14:textId="77777777" w:rsidR="00730DE4" w:rsidRPr="00730DE4" w:rsidRDefault="00730DE4" w:rsidP="003C201D">
      <w:pPr>
        <w:pStyle w:val="Listletters"/>
      </w:pPr>
      <w:r w:rsidRPr="00730DE4">
        <w:t>the financial statements have been drawn up to present a true and fair view, in accordance with prescribed accounting standards, of the transactions of the Department of Transport and Main Roads for the financial year ended 30 June 2024 and of the financial position of the department at the end of that year.</w:t>
      </w:r>
    </w:p>
    <w:p w14:paraId="6896A1A3" w14:textId="77777777" w:rsidR="00730DE4" w:rsidRPr="00730DE4" w:rsidRDefault="00730DE4" w:rsidP="003C13D4">
      <w:pPr>
        <w:rPr>
          <w:color w:val="080C0F" w:themeColor="text1"/>
        </w:rPr>
      </w:pPr>
      <w:r w:rsidRPr="00730DE4">
        <w:rPr>
          <w:color w:val="080C0F" w:themeColor="text1"/>
        </w:rPr>
        <w:t xml:space="preserve">The Director-General, as the Accountable Officer of the Department, acknowledges responsibility under sections 7 and 11 of the </w:t>
      </w:r>
      <w:r w:rsidRPr="00730DE4">
        <w:rPr>
          <w:i/>
          <w:iCs/>
          <w:color w:val="080C0F" w:themeColor="text1"/>
        </w:rPr>
        <w:t xml:space="preserve">Financial and Performance Management Standard 2019 </w:t>
      </w:r>
      <w:r w:rsidRPr="00730DE4">
        <w:rPr>
          <w:color w:val="080C0F" w:themeColor="text1"/>
        </w:rPr>
        <w:t>for the establishment and maintenance, in all material respects, of an appropriate and effective system of internal controls and risk management processes with respect to financial reporting throughout the reporting period.</w:t>
      </w:r>
    </w:p>
    <w:p w14:paraId="75C3EA7D" w14:textId="77777777" w:rsidR="00730DE4" w:rsidRPr="00730DE4" w:rsidRDefault="00730DE4" w:rsidP="003C13D4">
      <w:pPr>
        <w:rPr>
          <w:color w:val="080C0F" w:themeColor="text1"/>
        </w:rPr>
      </w:pPr>
      <w:r w:rsidRPr="00730DE4">
        <w:rPr>
          <w:rStyle w:val="Strong"/>
        </w:rPr>
        <w:t>Nick Shaw FCPA</w:t>
      </w:r>
      <w:r w:rsidRPr="00730DE4">
        <w:rPr>
          <w:rStyle w:val="Strong"/>
        </w:rPr>
        <w:br/>
      </w:r>
      <w:r w:rsidRPr="00730DE4">
        <w:rPr>
          <w:color w:val="080C0F" w:themeColor="text1"/>
        </w:rPr>
        <w:t>Chief Finance Officer</w:t>
      </w:r>
      <w:r w:rsidRPr="00730DE4">
        <w:rPr>
          <w:color w:val="080C0F" w:themeColor="text1"/>
        </w:rPr>
        <w:br/>
        <w:t>23 August 2024</w:t>
      </w:r>
    </w:p>
    <w:p w14:paraId="7807BC69" w14:textId="77777777" w:rsidR="00730DE4" w:rsidRPr="00730DE4" w:rsidRDefault="00730DE4" w:rsidP="003C13D4">
      <w:pPr>
        <w:rPr>
          <w:color w:val="080C0F" w:themeColor="text1"/>
        </w:rPr>
      </w:pPr>
      <w:r w:rsidRPr="00730DE4">
        <w:rPr>
          <w:rStyle w:val="Strong"/>
        </w:rPr>
        <w:t>Sally Stannard BE/BA Hons, Dip Eng Prac</w:t>
      </w:r>
      <w:r w:rsidRPr="00730DE4">
        <w:rPr>
          <w:rStyle w:val="Strong"/>
        </w:rPr>
        <w:br/>
      </w:r>
      <w:r w:rsidRPr="00730DE4">
        <w:rPr>
          <w:color w:val="080C0F" w:themeColor="text1"/>
        </w:rPr>
        <w:t>Director-General</w:t>
      </w:r>
      <w:r w:rsidRPr="00730DE4">
        <w:rPr>
          <w:color w:val="080C0F" w:themeColor="text1"/>
        </w:rPr>
        <w:br/>
        <w:t>23 August 2024</w:t>
      </w:r>
      <w:r w:rsidRPr="00730DE4">
        <w:rPr>
          <w:color w:val="080C0F" w:themeColor="text1"/>
        </w:rPr>
        <w:tab/>
      </w:r>
      <w:r w:rsidRPr="00730DE4">
        <w:rPr>
          <w:color w:val="080C0F" w:themeColor="text1"/>
        </w:rPr>
        <w:br w:type="page"/>
      </w:r>
    </w:p>
    <w:p w14:paraId="0B5B7CA3" w14:textId="6DECA401" w:rsidR="00BD14FC" w:rsidRDefault="00BD14FC" w:rsidP="00A67F6A">
      <w:pPr>
        <w:pStyle w:val="Heading3"/>
      </w:pPr>
      <w:bookmarkStart w:id="1681" w:name="_Toc180487782"/>
      <w:bookmarkStart w:id="1682" w:name="_Toc180490987"/>
      <w:bookmarkStart w:id="1683" w:name="_Toc180492020"/>
      <w:bookmarkStart w:id="1684" w:name="_Toc179365630"/>
      <w:r>
        <w:rPr>
          <w:noProof/>
        </w:rPr>
        <w:drawing>
          <wp:inline distT="0" distB="0" distL="0" distR="0" wp14:anchorId="2A5CB339" wp14:editId="4B6CFD53">
            <wp:extent cx="1266825" cy="457200"/>
            <wp:effectExtent l="0" t="0" r="9525" b="0"/>
            <wp:docPr id="96626887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268879" name="Picture 1">
                      <a:extLst>
                        <a:ext uri="{C183D7F6-B498-43B3-948B-1728B52AA6E4}">
                          <adec:decorative xmlns:adec="http://schemas.microsoft.com/office/drawing/2017/decorative" val="1"/>
                        </a:ext>
                      </a:extLst>
                    </pic:cNvPr>
                    <pic:cNvPicPr/>
                  </pic:nvPicPr>
                  <pic:blipFill>
                    <a:blip r:embed="rId151"/>
                    <a:stretch>
                      <a:fillRect/>
                    </a:stretch>
                  </pic:blipFill>
                  <pic:spPr>
                    <a:xfrm>
                      <a:off x="0" y="0"/>
                      <a:ext cx="1266825" cy="457200"/>
                    </a:xfrm>
                    <a:prstGeom prst="rect">
                      <a:avLst/>
                    </a:prstGeom>
                  </pic:spPr>
                </pic:pic>
              </a:graphicData>
            </a:graphic>
          </wp:inline>
        </w:drawing>
      </w:r>
      <w:bookmarkEnd w:id="1681"/>
      <w:bookmarkEnd w:id="1682"/>
      <w:bookmarkEnd w:id="1683"/>
    </w:p>
    <w:p w14:paraId="5BD403DA" w14:textId="282E1800" w:rsidR="00730DE4" w:rsidRPr="00730DE4" w:rsidRDefault="00730DE4" w:rsidP="00A67F6A">
      <w:pPr>
        <w:pStyle w:val="Heading3"/>
      </w:pPr>
      <w:bookmarkStart w:id="1685" w:name="_Toc180490988"/>
      <w:bookmarkStart w:id="1686" w:name="_Toc180492021"/>
      <w:r w:rsidRPr="00730DE4">
        <w:t>Independent Auditor's Report</w:t>
      </w:r>
      <w:bookmarkEnd w:id="1684"/>
      <w:bookmarkEnd w:id="1685"/>
      <w:bookmarkEnd w:id="1686"/>
    </w:p>
    <w:p w14:paraId="6FA497D6" w14:textId="77777777" w:rsidR="00730DE4" w:rsidRPr="00730DE4" w:rsidRDefault="00730DE4" w:rsidP="00A67F6A">
      <w:r w:rsidRPr="00730DE4">
        <w:t>To the Accountable Officer of the Department of Transport and Main Roads</w:t>
      </w:r>
    </w:p>
    <w:p w14:paraId="1861DE30" w14:textId="77777777" w:rsidR="00730DE4" w:rsidRPr="00730DE4" w:rsidRDefault="00730DE4" w:rsidP="00A67F6A">
      <w:pPr>
        <w:pStyle w:val="Heading4"/>
      </w:pPr>
      <w:bookmarkStart w:id="1687" w:name="_Toc179365631"/>
      <w:bookmarkStart w:id="1688" w:name="_Toc180490989"/>
      <w:bookmarkStart w:id="1689" w:name="_Toc180492022"/>
      <w:r w:rsidRPr="00730DE4">
        <w:t>Report on the audit of the financial report</w:t>
      </w:r>
      <w:bookmarkEnd w:id="1687"/>
      <w:bookmarkEnd w:id="1688"/>
      <w:bookmarkEnd w:id="1689"/>
    </w:p>
    <w:p w14:paraId="7D958B36" w14:textId="77777777" w:rsidR="00730DE4" w:rsidRPr="00730DE4" w:rsidRDefault="00730DE4" w:rsidP="00A67F6A">
      <w:pPr>
        <w:pStyle w:val="Heading5"/>
      </w:pPr>
      <w:bookmarkStart w:id="1690" w:name="_Toc180487785"/>
      <w:bookmarkStart w:id="1691" w:name="_Toc180490990"/>
      <w:bookmarkStart w:id="1692" w:name="_Toc180492023"/>
      <w:r w:rsidRPr="00730DE4">
        <w:t>Opinion</w:t>
      </w:r>
      <w:bookmarkEnd w:id="1690"/>
      <w:bookmarkEnd w:id="1691"/>
      <w:bookmarkEnd w:id="1692"/>
    </w:p>
    <w:p w14:paraId="6D0A8429" w14:textId="77777777" w:rsidR="00730DE4" w:rsidRPr="00730DE4" w:rsidRDefault="00730DE4" w:rsidP="00A67F6A">
      <w:r w:rsidRPr="00730DE4">
        <w:t>I have audited the accompanying financial report of the Department of Transport and Main Roads.</w:t>
      </w:r>
    </w:p>
    <w:p w14:paraId="477D0850" w14:textId="77777777" w:rsidR="00730DE4" w:rsidRPr="00730DE4" w:rsidRDefault="00730DE4" w:rsidP="00A67F6A">
      <w:r w:rsidRPr="00730DE4">
        <w:t>In my opinion, the financial report:</w:t>
      </w:r>
    </w:p>
    <w:p w14:paraId="22B4C2CD" w14:textId="77777777" w:rsidR="00730DE4" w:rsidRPr="00730DE4" w:rsidRDefault="00730DE4" w:rsidP="003C201D">
      <w:pPr>
        <w:pStyle w:val="Listletters"/>
        <w:numPr>
          <w:ilvl w:val="0"/>
          <w:numId w:val="19"/>
        </w:numPr>
        <w:ind w:left="360"/>
      </w:pPr>
      <w:r w:rsidRPr="003C201D">
        <w:t>gives</w:t>
      </w:r>
      <w:r w:rsidRPr="00730DE4">
        <w:t xml:space="preserve"> a true and fair view of the department's financial position as at 30 June 2024, and its financial performance and cash flows for the year then ended</w:t>
      </w:r>
    </w:p>
    <w:p w14:paraId="0BA1EEDE" w14:textId="77777777" w:rsidR="00730DE4" w:rsidRPr="00730DE4" w:rsidRDefault="00730DE4" w:rsidP="003C201D">
      <w:pPr>
        <w:pStyle w:val="Listletters"/>
      </w:pPr>
      <w:r w:rsidRPr="00730DE4">
        <w:t xml:space="preserve">complies with the </w:t>
      </w:r>
      <w:r w:rsidRPr="00730DE4">
        <w:rPr>
          <w:rStyle w:val="Emphasis"/>
        </w:rPr>
        <w:t>Financial Accountability Act 2009</w:t>
      </w:r>
      <w:r w:rsidRPr="00730DE4">
        <w:t xml:space="preserve">, the </w:t>
      </w:r>
      <w:r w:rsidRPr="00730DE4">
        <w:rPr>
          <w:rStyle w:val="Emphasis"/>
        </w:rPr>
        <w:t>Financial and Performance Management Standard 2019</w:t>
      </w:r>
      <w:r w:rsidRPr="00730DE4">
        <w:t xml:space="preserve"> and Australian Accounting Standards.</w:t>
      </w:r>
    </w:p>
    <w:p w14:paraId="5E557D8F" w14:textId="77777777" w:rsidR="00730DE4" w:rsidRPr="00730DE4" w:rsidRDefault="00730DE4" w:rsidP="00A67F6A">
      <w:r w:rsidRPr="00730DE4">
        <w:t>The financial report comprises the statement of financial position and statement of assets and liabilities by major departmental services as at 30 June 2024, the statement of comprehensive income, statement of changes in equity, statement of cash flows and statement of comprehensive income by major departmental services for the year then ended, notes to the financial statements including summaries of significant accounting policies and other explanatory information, and the management certificate.</w:t>
      </w:r>
    </w:p>
    <w:p w14:paraId="10BEB8A9" w14:textId="77777777" w:rsidR="00730DE4" w:rsidRPr="00730DE4" w:rsidRDefault="00730DE4" w:rsidP="00A67F6A">
      <w:pPr>
        <w:pStyle w:val="Heading5"/>
      </w:pPr>
      <w:bookmarkStart w:id="1693" w:name="_Toc180487786"/>
      <w:bookmarkStart w:id="1694" w:name="_Toc180490991"/>
      <w:bookmarkStart w:id="1695" w:name="_Toc180492024"/>
      <w:r w:rsidRPr="00730DE4">
        <w:t>Basis for opinion</w:t>
      </w:r>
      <w:bookmarkEnd w:id="1693"/>
      <w:bookmarkEnd w:id="1694"/>
      <w:bookmarkEnd w:id="1695"/>
    </w:p>
    <w:p w14:paraId="7FBED979" w14:textId="77777777" w:rsidR="00730DE4" w:rsidRPr="00730DE4" w:rsidRDefault="00730DE4" w:rsidP="00A67F6A">
      <w:r w:rsidRPr="00730DE4">
        <w:t xml:space="preserve">I conducted my audit in accordance with the </w:t>
      </w:r>
      <w:r w:rsidRPr="00730DE4">
        <w:rPr>
          <w:rStyle w:val="Emphasis"/>
        </w:rPr>
        <w:t>Auditor-General Auditing Standards</w:t>
      </w:r>
      <w:r w:rsidRPr="00730DE4">
        <w:t xml:space="preserve">, which incorporate the Australian Auditing Standards. My responsibilities under those standards are further described in </w:t>
      </w:r>
      <w:r w:rsidRPr="00730DE4">
        <w:rPr>
          <w:rStyle w:val="Emphasis"/>
        </w:rPr>
        <w:t>the Auditor's Responsibilities for the Audit of the Financial Report</w:t>
      </w:r>
      <w:r w:rsidRPr="00730DE4">
        <w:t xml:space="preserve"> section of my report.</w:t>
      </w:r>
    </w:p>
    <w:p w14:paraId="57A9EBFE" w14:textId="77777777" w:rsidR="00730DE4" w:rsidRPr="00730DE4" w:rsidRDefault="00730DE4" w:rsidP="00A67F6A">
      <w:r w:rsidRPr="00730DE4">
        <w:t xml:space="preserve">I am independent of the department in accordance with the ethical requirements of the Accounting Professional and Ethical Standards Board's APES 110 </w:t>
      </w:r>
      <w:r w:rsidRPr="00730DE4">
        <w:rPr>
          <w:rStyle w:val="Emphasis"/>
        </w:rPr>
        <w:t xml:space="preserve">Code of Ethics for Professional Accountants </w:t>
      </w:r>
      <w:r w:rsidRPr="00730DE4">
        <w:t xml:space="preserve">(the Code) that are relevant to my audit of the financial report in Australia. I have also fulfilled my other ethical responsibilities in accordance with the Code and the </w:t>
      </w:r>
      <w:r w:rsidRPr="00730DE4">
        <w:rPr>
          <w:rStyle w:val="Emphasis"/>
        </w:rPr>
        <w:t>Auditor-General Auditing Standards</w:t>
      </w:r>
      <w:r w:rsidRPr="00730DE4">
        <w:t>.</w:t>
      </w:r>
    </w:p>
    <w:p w14:paraId="2CCF64FD" w14:textId="77777777" w:rsidR="00730DE4" w:rsidRPr="00730DE4" w:rsidRDefault="00730DE4" w:rsidP="00A67F6A">
      <w:r w:rsidRPr="00730DE4">
        <w:t>I believe that the audit evidence I have obtained is sufficient and appropriate to provide a basis for my opinion.</w:t>
      </w:r>
    </w:p>
    <w:p w14:paraId="2B61FF19" w14:textId="77777777" w:rsidR="00730DE4" w:rsidRPr="00730DE4" w:rsidRDefault="00730DE4" w:rsidP="00A67F6A">
      <w:pPr>
        <w:pStyle w:val="Heading5"/>
      </w:pPr>
      <w:bookmarkStart w:id="1696" w:name="_Toc180487787"/>
      <w:bookmarkStart w:id="1697" w:name="_Toc180490992"/>
      <w:bookmarkStart w:id="1698" w:name="_Toc180492025"/>
      <w:r w:rsidRPr="00730DE4">
        <w:t>Key audit matters</w:t>
      </w:r>
      <w:bookmarkEnd w:id="1696"/>
      <w:bookmarkEnd w:id="1697"/>
      <w:bookmarkEnd w:id="1698"/>
    </w:p>
    <w:p w14:paraId="69843CF8" w14:textId="77777777" w:rsidR="00730DE4" w:rsidRPr="00730DE4" w:rsidRDefault="00730DE4" w:rsidP="00A67F6A">
      <w:r w:rsidRPr="00730DE4">
        <w:t>Key audit matters are those matters that, in my professional judgement, were of most significance in my audit of the financial report for the current period. I addressed these matters in the context of my audit of the financial report as a whole, and in forming my opinion thereon, and I do not provide a separate opinion on these matters.</w:t>
      </w:r>
    </w:p>
    <w:p w14:paraId="1123DC99" w14:textId="77777777" w:rsidR="00730DE4" w:rsidRPr="00730DE4" w:rsidRDefault="00730DE4" w:rsidP="00C66229">
      <w:pPr>
        <w:pStyle w:val="Heading6"/>
      </w:pPr>
      <w:r w:rsidRPr="00730DE4">
        <w:t>Valuation of infrastructure assets ($91.437 billion) and estimating depreciation expense ($1.222 billion)</w:t>
      </w:r>
    </w:p>
    <w:p w14:paraId="27D29FA4" w14:textId="77777777" w:rsidR="00730DE4" w:rsidRPr="00730DE4" w:rsidRDefault="00730DE4" w:rsidP="00A67F6A">
      <w:pPr>
        <w:pStyle w:val="Caption"/>
        <w:rPr>
          <w:rStyle w:val="Emphasis"/>
        </w:rPr>
      </w:pPr>
      <w:r w:rsidRPr="00730DE4">
        <w:rPr>
          <w:rStyle w:val="Emphasis"/>
        </w:rPr>
        <w:t>Refer to note 15 in the financial report</w:t>
      </w:r>
    </w:p>
    <w:p w14:paraId="56432A0C" w14:textId="77777777" w:rsidR="00730DE4" w:rsidRPr="00730DE4" w:rsidRDefault="00730DE4" w:rsidP="00A67F6A">
      <w:pPr>
        <w:pStyle w:val="NoSpacing"/>
      </w:pPr>
    </w:p>
    <w:tbl>
      <w:tblPr>
        <w:tblStyle w:val="TMRDefault"/>
        <w:tblW w:w="5000" w:type="pct"/>
        <w:tblLook w:val="04A0" w:firstRow="1" w:lastRow="0" w:firstColumn="1" w:lastColumn="0" w:noHBand="0" w:noVBand="1"/>
      </w:tblPr>
      <w:tblGrid>
        <w:gridCol w:w="4530"/>
        <w:gridCol w:w="4530"/>
      </w:tblGrid>
      <w:tr w:rsidR="00730DE4" w:rsidRPr="00730DE4" w14:paraId="572B2474" w14:textId="77777777" w:rsidTr="00A67F6A">
        <w:trPr>
          <w:cnfStyle w:val="100000000000" w:firstRow="1" w:lastRow="0" w:firstColumn="0" w:lastColumn="0" w:oddVBand="0" w:evenVBand="0" w:oddHBand="0" w:evenHBand="0" w:firstRowFirstColumn="0" w:firstRowLastColumn="0" w:lastRowFirstColumn="0" w:lastRowLastColumn="0"/>
        </w:trPr>
        <w:tc>
          <w:tcPr>
            <w:tcW w:w="2500" w:type="pct"/>
          </w:tcPr>
          <w:p w14:paraId="69B0F589" w14:textId="77777777" w:rsidR="00730DE4" w:rsidRPr="00730DE4" w:rsidRDefault="00730DE4" w:rsidP="00A67F6A">
            <w:pPr>
              <w:pStyle w:val="NoSpacing"/>
              <w:rPr>
                <w:rStyle w:val="Strong"/>
                <w:b/>
                <w:bCs w:val="0"/>
                <w:color w:val="FFFFFF" w:themeColor="background1"/>
              </w:rPr>
            </w:pPr>
            <w:r w:rsidRPr="00730DE4">
              <w:rPr>
                <w:rStyle w:val="Strong"/>
                <w:b/>
                <w:bCs w:val="0"/>
                <w:color w:val="FFFFFF" w:themeColor="background1"/>
              </w:rPr>
              <w:t>Key audit matter</w:t>
            </w:r>
          </w:p>
        </w:tc>
        <w:tc>
          <w:tcPr>
            <w:tcW w:w="2500" w:type="pct"/>
          </w:tcPr>
          <w:p w14:paraId="44C8672E" w14:textId="77777777" w:rsidR="00730DE4" w:rsidRPr="00730DE4" w:rsidRDefault="00730DE4" w:rsidP="00A67F6A">
            <w:pPr>
              <w:pStyle w:val="NoSpacing"/>
              <w:rPr>
                <w:rStyle w:val="Strong"/>
                <w:b/>
                <w:bCs w:val="0"/>
                <w:color w:val="FFFFFF" w:themeColor="background1"/>
              </w:rPr>
            </w:pPr>
            <w:r w:rsidRPr="00730DE4">
              <w:rPr>
                <w:rStyle w:val="Strong"/>
                <w:b/>
                <w:bCs w:val="0"/>
                <w:color w:val="FFFFFF" w:themeColor="background1"/>
              </w:rPr>
              <w:t xml:space="preserve">How my audit addressed the </w:t>
            </w:r>
            <w:r w:rsidRPr="00730DE4">
              <w:rPr>
                <w:rStyle w:val="Strong"/>
                <w:b/>
                <w:bCs w:val="0"/>
                <w:color w:val="FFFFFF" w:themeColor="background1"/>
              </w:rPr>
              <w:br/>
              <w:t>key audit matter</w:t>
            </w:r>
          </w:p>
        </w:tc>
      </w:tr>
      <w:tr w:rsidR="00730DE4" w:rsidRPr="00730DE4" w14:paraId="76FD6EC1" w14:textId="77777777" w:rsidTr="00A67F6A">
        <w:trPr>
          <w:cnfStyle w:val="000000100000" w:firstRow="0" w:lastRow="0" w:firstColumn="0" w:lastColumn="0" w:oddVBand="0" w:evenVBand="0" w:oddHBand="1" w:evenHBand="0" w:firstRowFirstColumn="0" w:firstRowLastColumn="0" w:lastRowFirstColumn="0" w:lastRowLastColumn="0"/>
        </w:trPr>
        <w:tc>
          <w:tcPr>
            <w:tcW w:w="2500" w:type="pct"/>
          </w:tcPr>
          <w:p w14:paraId="2D2260B1" w14:textId="77777777" w:rsidR="00730DE4" w:rsidRPr="00730DE4" w:rsidRDefault="00730DE4" w:rsidP="00A67F6A">
            <w:pPr>
              <w:pStyle w:val="NoSpacing"/>
            </w:pPr>
            <w:r w:rsidRPr="00730DE4">
              <w:t>The fair value measurement of infrastructure assets is based on current replacement cost (cost approach). The valuations are dependent on certain key assumptions that require significant management judgement including for the following:</w:t>
            </w:r>
            <w:r w:rsidRPr="00730DE4">
              <w:br/>
            </w:r>
          </w:p>
          <w:p w14:paraId="1AE42505" w14:textId="77777777" w:rsidR="00730DE4" w:rsidRPr="00730DE4" w:rsidRDefault="00730DE4" w:rsidP="00730DE4">
            <w:pPr>
              <w:pStyle w:val="NoSpacing"/>
              <w:numPr>
                <w:ilvl w:val="0"/>
                <w:numId w:val="12"/>
              </w:numPr>
            </w:pPr>
            <w:r w:rsidRPr="00730DE4">
              <w:t>Componentising the assets into the significant parts that have different useful lives.</w:t>
            </w:r>
          </w:p>
          <w:p w14:paraId="3D6CE591" w14:textId="77777777" w:rsidR="00730DE4" w:rsidRPr="00730DE4" w:rsidRDefault="00730DE4" w:rsidP="00730DE4">
            <w:pPr>
              <w:pStyle w:val="NoSpacing"/>
              <w:numPr>
                <w:ilvl w:val="0"/>
                <w:numId w:val="12"/>
              </w:numPr>
            </w:pPr>
            <w:r w:rsidRPr="00730DE4">
              <w:t>Classifying assets into categories that have similar replacement costs.</w:t>
            </w:r>
          </w:p>
          <w:p w14:paraId="15AFC0B9" w14:textId="77777777" w:rsidR="00730DE4" w:rsidRPr="00730DE4" w:rsidRDefault="00730DE4" w:rsidP="00730DE4">
            <w:pPr>
              <w:pStyle w:val="NoSpacing"/>
              <w:numPr>
                <w:ilvl w:val="0"/>
                <w:numId w:val="12"/>
              </w:numPr>
            </w:pPr>
            <w:r w:rsidRPr="00730DE4">
              <w:t>Estimating the gross replacement cost for each combination of asset component and category to develop unit rates for the modern equivalent asset.</w:t>
            </w:r>
          </w:p>
          <w:p w14:paraId="128132E8" w14:textId="77777777" w:rsidR="00730DE4" w:rsidRPr="00730DE4" w:rsidRDefault="00730DE4" w:rsidP="00730DE4">
            <w:pPr>
              <w:pStyle w:val="NoSpacing"/>
              <w:numPr>
                <w:ilvl w:val="0"/>
                <w:numId w:val="12"/>
              </w:numPr>
            </w:pPr>
            <w:r w:rsidRPr="00730DE4">
              <w:t>Estimating the remaining useful life of each asset.</w:t>
            </w:r>
          </w:p>
        </w:tc>
        <w:tc>
          <w:tcPr>
            <w:tcW w:w="2500" w:type="pct"/>
          </w:tcPr>
          <w:p w14:paraId="018A9C84" w14:textId="77777777" w:rsidR="00730DE4" w:rsidRPr="00730DE4" w:rsidRDefault="00730DE4" w:rsidP="00A67F6A">
            <w:pPr>
              <w:pStyle w:val="NoSpacing"/>
            </w:pPr>
            <w:r w:rsidRPr="00730DE4">
              <w:t xml:space="preserve">My procedures included, but were not </w:t>
            </w:r>
          </w:p>
          <w:p w14:paraId="3DA32A34" w14:textId="77777777" w:rsidR="00730DE4" w:rsidRPr="00730DE4" w:rsidRDefault="00730DE4" w:rsidP="00A67F6A">
            <w:pPr>
              <w:pStyle w:val="NoSpacing"/>
            </w:pPr>
            <w:r w:rsidRPr="00730DE4">
              <w:t>limited to:</w:t>
            </w:r>
            <w:r w:rsidRPr="00730DE4">
              <w:br/>
            </w:r>
          </w:p>
          <w:p w14:paraId="3796D3DA" w14:textId="77777777" w:rsidR="00730DE4" w:rsidRPr="00730DE4" w:rsidRDefault="00730DE4" w:rsidP="00730DE4">
            <w:pPr>
              <w:pStyle w:val="NoSpacing"/>
              <w:numPr>
                <w:ilvl w:val="0"/>
                <w:numId w:val="11"/>
              </w:numPr>
              <w:ind w:left="360"/>
            </w:pPr>
            <w:r w:rsidRPr="00730DE4">
              <w:t>assessing the reasonableness of the methods and accounting principles used in the cost approach and depreciation expense estimates</w:t>
            </w:r>
          </w:p>
          <w:p w14:paraId="304A11A9" w14:textId="77777777" w:rsidR="00730DE4" w:rsidRPr="00730DE4" w:rsidRDefault="00730DE4" w:rsidP="00730DE4">
            <w:pPr>
              <w:pStyle w:val="NoSpacing"/>
              <w:numPr>
                <w:ilvl w:val="0"/>
                <w:numId w:val="11"/>
              </w:numPr>
              <w:ind w:left="360"/>
            </w:pPr>
            <w:r w:rsidRPr="00730DE4">
              <w:t xml:space="preserve">evaluating the qualifications, competence, capability, and objectivity of the internal subject matter experts involved in developing and approving internally generated unit rates </w:t>
            </w:r>
          </w:p>
          <w:p w14:paraId="24945477" w14:textId="77777777" w:rsidR="00730DE4" w:rsidRPr="00730DE4" w:rsidRDefault="00730DE4" w:rsidP="00730DE4">
            <w:pPr>
              <w:pStyle w:val="NoSpacing"/>
              <w:numPr>
                <w:ilvl w:val="0"/>
                <w:numId w:val="11"/>
              </w:numPr>
              <w:ind w:left="360"/>
            </w:pPr>
            <w:r w:rsidRPr="00730DE4">
              <w:t>examining a sample of the input data used in the unit pricing model for relevance, completeness, and accuracy</w:t>
            </w:r>
          </w:p>
          <w:p w14:paraId="69792B6D" w14:textId="77777777" w:rsidR="00730DE4" w:rsidRPr="00730DE4" w:rsidRDefault="00730DE4" w:rsidP="00730DE4">
            <w:pPr>
              <w:pStyle w:val="NoSpacing"/>
              <w:numPr>
                <w:ilvl w:val="0"/>
                <w:numId w:val="11"/>
              </w:numPr>
              <w:ind w:left="360"/>
            </w:pPr>
            <w:r w:rsidRPr="00730DE4">
              <w:t>examining a sample of unit rates and evaluating the reasonableness of key assumptions and relevance, completeness, and accuracy of supporting documentation</w:t>
            </w:r>
          </w:p>
          <w:p w14:paraId="6883D866" w14:textId="77777777" w:rsidR="00730DE4" w:rsidRPr="00730DE4" w:rsidRDefault="00730DE4" w:rsidP="00730DE4">
            <w:pPr>
              <w:pStyle w:val="NoSpacing"/>
              <w:numPr>
                <w:ilvl w:val="0"/>
                <w:numId w:val="11"/>
              </w:numPr>
              <w:ind w:left="360"/>
            </w:pPr>
            <w:r w:rsidRPr="00730DE4">
              <w:t>examining a sample of asset valuation movements since the last revaluation date and corroborating the changes with other available information</w:t>
            </w:r>
          </w:p>
          <w:p w14:paraId="2511BF29" w14:textId="77777777" w:rsidR="00730DE4" w:rsidRPr="00730DE4" w:rsidRDefault="00730DE4" w:rsidP="00730DE4">
            <w:pPr>
              <w:pStyle w:val="NoSpacing"/>
              <w:numPr>
                <w:ilvl w:val="0"/>
                <w:numId w:val="11"/>
              </w:numPr>
              <w:ind w:left="360"/>
            </w:pPr>
            <w:r w:rsidRPr="00730DE4">
              <w:t>examining the reasonableness of the funding available used as input for the remaining useful lives and relevance of supporting documentation for the estimates</w:t>
            </w:r>
          </w:p>
          <w:p w14:paraId="34DF5645" w14:textId="77777777" w:rsidR="00730DE4" w:rsidRPr="00730DE4" w:rsidRDefault="00730DE4" w:rsidP="00730DE4">
            <w:pPr>
              <w:pStyle w:val="NoSpacing"/>
              <w:numPr>
                <w:ilvl w:val="0"/>
                <w:numId w:val="11"/>
              </w:numPr>
              <w:ind w:left="360"/>
            </w:pPr>
            <w:r w:rsidRPr="00730DE4">
              <w:t>testing the mathematical accuracy of the infrastructure valuation and depreciation models.</w:t>
            </w:r>
          </w:p>
        </w:tc>
      </w:tr>
    </w:tbl>
    <w:p w14:paraId="738ECC35" w14:textId="77777777" w:rsidR="00730DE4" w:rsidRPr="00730DE4" w:rsidRDefault="00730DE4" w:rsidP="00A67F6A">
      <w:pPr>
        <w:pStyle w:val="Heading5"/>
      </w:pPr>
      <w:r w:rsidRPr="00730DE4">
        <w:br w:type="page"/>
      </w:r>
    </w:p>
    <w:p w14:paraId="483D1540" w14:textId="77777777" w:rsidR="00730DE4" w:rsidRPr="00730DE4" w:rsidRDefault="00730DE4" w:rsidP="00C66229">
      <w:pPr>
        <w:pStyle w:val="Heading6"/>
      </w:pPr>
      <w:r w:rsidRPr="00730DE4">
        <w:t>Recognition and measurement of service concession assets ($15.077 billion), borrowings – financial liabilities on service concession arrangements ($583.745 million) and other liabilities on service concession arrangement ($6.923 billion)</w:t>
      </w:r>
    </w:p>
    <w:p w14:paraId="6A6505CC" w14:textId="77777777" w:rsidR="00730DE4" w:rsidRPr="00730DE4" w:rsidRDefault="00730DE4" w:rsidP="00A67F6A">
      <w:pPr>
        <w:pStyle w:val="Caption"/>
      </w:pPr>
      <w:r w:rsidRPr="00730DE4">
        <w:t>Refer to note 16 and note 19 in the financial report</w:t>
      </w:r>
    </w:p>
    <w:p w14:paraId="409C633D" w14:textId="77777777" w:rsidR="00730DE4" w:rsidRPr="00730DE4" w:rsidRDefault="00730DE4" w:rsidP="00A67F6A">
      <w:pPr>
        <w:pStyle w:val="NoSpacing"/>
      </w:pPr>
    </w:p>
    <w:tbl>
      <w:tblPr>
        <w:tblStyle w:val="TMRDefault"/>
        <w:tblW w:w="5000" w:type="pct"/>
        <w:tblLook w:val="04A0" w:firstRow="1" w:lastRow="0" w:firstColumn="1" w:lastColumn="0" w:noHBand="0" w:noVBand="1"/>
      </w:tblPr>
      <w:tblGrid>
        <w:gridCol w:w="4530"/>
        <w:gridCol w:w="4530"/>
      </w:tblGrid>
      <w:tr w:rsidR="00730DE4" w:rsidRPr="00730DE4" w14:paraId="5E755BF5" w14:textId="77777777">
        <w:trPr>
          <w:cnfStyle w:val="100000000000" w:firstRow="1" w:lastRow="0" w:firstColumn="0" w:lastColumn="0" w:oddVBand="0" w:evenVBand="0" w:oddHBand="0" w:evenHBand="0" w:firstRowFirstColumn="0" w:firstRowLastColumn="0" w:lastRowFirstColumn="0" w:lastRowLastColumn="0"/>
        </w:trPr>
        <w:tc>
          <w:tcPr>
            <w:tcW w:w="2500" w:type="pct"/>
          </w:tcPr>
          <w:p w14:paraId="4A97E5DD" w14:textId="77777777" w:rsidR="00730DE4" w:rsidRPr="00730DE4" w:rsidRDefault="00730DE4">
            <w:pPr>
              <w:pStyle w:val="NoSpacing"/>
              <w:rPr>
                <w:rStyle w:val="Strong"/>
                <w:b/>
                <w:bCs w:val="0"/>
                <w:color w:val="FFFFFF" w:themeColor="background1"/>
              </w:rPr>
            </w:pPr>
            <w:r w:rsidRPr="00730DE4">
              <w:rPr>
                <w:rStyle w:val="Strong"/>
                <w:b/>
                <w:bCs w:val="0"/>
                <w:color w:val="FFFFFF" w:themeColor="background1"/>
              </w:rPr>
              <w:t>Key audit matter</w:t>
            </w:r>
          </w:p>
        </w:tc>
        <w:tc>
          <w:tcPr>
            <w:tcW w:w="2500" w:type="pct"/>
          </w:tcPr>
          <w:p w14:paraId="405A2CCC" w14:textId="77777777" w:rsidR="00730DE4" w:rsidRPr="00730DE4" w:rsidRDefault="00730DE4">
            <w:pPr>
              <w:pStyle w:val="NoSpacing"/>
              <w:rPr>
                <w:rStyle w:val="Strong"/>
                <w:b/>
                <w:bCs w:val="0"/>
                <w:color w:val="FFFFFF" w:themeColor="background1"/>
              </w:rPr>
            </w:pPr>
            <w:r w:rsidRPr="00730DE4">
              <w:rPr>
                <w:rStyle w:val="Strong"/>
                <w:b/>
                <w:bCs w:val="0"/>
                <w:color w:val="FFFFFF" w:themeColor="background1"/>
              </w:rPr>
              <w:t xml:space="preserve">How my audit addressed the </w:t>
            </w:r>
            <w:r w:rsidRPr="00730DE4">
              <w:rPr>
                <w:rStyle w:val="Strong"/>
                <w:b/>
                <w:bCs w:val="0"/>
                <w:color w:val="FFFFFF" w:themeColor="background1"/>
              </w:rPr>
              <w:br/>
              <w:t>key audit matter</w:t>
            </w:r>
          </w:p>
        </w:tc>
      </w:tr>
      <w:tr w:rsidR="00730DE4" w:rsidRPr="00730DE4" w14:paraId="12AC5C96" w14:textId="77777777">
        <w:trPr>
          <w:cnfStyle w:val="000000100000" w:firstRow="0" w:lastRow="0" w:firstColumn="0" w:lastColumn="0" w:oddVBand="0" w:evenVBand="0" w:oddHBand="1" w:evenHBand="0" w:firstRowFirstColumn="0" w:firstRowLastColumn="0" w:lastRowFirstColumn="0" w:lastRowLastColumn="0"/>
        </w:trPr>
        <w:tc>
          <w:tcPr>
            <w:tcW w:w="2500" w:type="pct"/>
          </w:tcPr>
          <w:p w14:paraId="5755BBA4" w14:textId="77777777" w:rsidR="00730DE4" w:rsidRPr="00730DE4" w:rsidRDefault="00730DE4" w:rsidP="00A67F6A">
            <w:pPr>
              <w:pStyle w:val="NoSpacing"/>
            </w:pPr>
            <w:r w:rsidRPr="00730DE4">
              <w:t xml:space="preserve">AASB 1059 </w:t>
            </w:r>
            <w:r w:rsidRPr="00730DE4">
              <w:rPr>
                <w:rStyle w:val="Emphasis"/>
              </w:rPr>
              <w:t xml:space="preserve">Service Concession Arrangements: </w:t>
            </w:r>
            <w:r w:rsidRPr="00730DE4">
              <w:t>Grantors involves a high degree of complexity and certain key assumptions that require significant management judgement including the following:</w:t>
            </w:r>
            <w:r w:rsidRPr="00730DE4">
              <w:br/>
            </w:r>
          </w:p>
          <w:p w14:paraId="0F0C632A" w14:textId="77777777" w:rsidR="00730DE4" w:rsidRPr="00730DE4" w:rsidRDefault="00730DE4" w:rsidP="00730DE4">
            <w:pPr>
              <w:pStyle w:val="NoSpacing"/>
              <w:numPr>
                <w:ilvl w:val="0"/>
                <w:numId w:val="13"/>
              </w:numPr>
            </w:pPr>
            <w:r w:rsidRPr="00730DE4">
              <w:t xml:space="preserve">Estimating the recognition and measurement of the service concession asset at current replacement cost in accordance with the cost approach described in AASB 13 </w:t>
            </w:r>
            <w:r w:rsidRPr="00730DE4">
              <w:rPr>
                <w:rStyle w:val="Emphasis"/>
              </w:rPr>
              <w:t>Fair Value Measurement</w:t>
            </w:r>
            <w:r w:rsidRPr="00730DE4">
              <w:t>:</w:t>
            </w:r>
          </w:p>
          <w:p w14:paraId="6944FAE7" w14:textId="77777777" w:rsidR="00730DE4" w:rsidRPr="00730DE4" w:rsidRDefault="00730DE4" w:rsidP="00730DE4">
            <w:pPr>
              <w:pStyle w:val="NoSpacing"/>
              <w:numPr>
                <w:ilvl w:val="1"/>
                <w:numId w:val="13"/>
              </w:numPr>
            </w:pPr>
            <w:r w:rsidRPr="00730DE4">
              <w:t>Componentising the assets into the significant parts that have different useful lives.</w:t>
            </w:r>
          </w:p>
          <w:p w14:paraId="165A560C" w14:textId="77777777" w:rsidR="00730DE4" w:rsidRPr="00730DE4" w:rsidRDefault="00730DE4" w:rsidP="00730DE4">
            <w:pPr>
              <w:pStyle w:val="NoSpacing"/>
              <w:numPr>
                <w:ilvl w:val="1"/>
                <w:numId w:val="13"/>
              </w:numPr>
            </w:pPr>
            <w:r w:rsidRPr="00730DE4">
              <w:t>Classifying assets into categories that have similar replacement costs.</w:t>
            </w:r>
          </w:p>
          <w:p w14:paraId="22A3D3F1" w14:textId="77777777" w:rsidR="00730DE4" w:rsidRPr="00730DE4" w:rsidRDefault="00730DE4" w:rsidP="00730DE4">
            <w:pPr>
              <w:pStyle w:val="NoSpacing"/>
              <w:numPr>
                <w:ilvl w:val="1"/>
                <w:numId w:val="13"/>
              </w:numPr>
            </w:pPr>
            <w:r w:rsidRPr="00730DE4">
              <w:t>Estimating the gross replacement cost for each combination of component and asset category to develop unit rates for the modern equivalent asset.</w:t>
            </w:r>
          </w:p>
          <w:p w14:paraId="02068644" w14:textId="77777777" w:rsidR="00730DE4" w:rsidRPr="00730DE4" w:rsidRDefault="00730DE4" w:rsidP="00730DE4">
            <w:pPr>
              <w:pStyle w:val="NoSpacing"/>
              <w:numPr>
                <w:ilvl w:val="1"/>
                <w:numId w:val="13"/>
              </w:numPr>
            </w:pPr>
            <w:r w:rsidRPr="00730DE4">
              <w:t>Estimating the remaining useful life of each asset.</w:t>
            </w:r>
            <w:r w:rsidRPr="00730DE4">
              <w:br/>
            </w:r>
          </w:p>
          <w:p w14:paraId="4F599DA4" w14:textId="77777777" w:rsidR="00730DE4" w:rsidRPr="00730DE4" w:rsidRDefault="00730DE4" w:rsidP="00730DE4">
            <w:pPr>
              <w:pStyle w:val="NoSpacing"/>
              <w:numPr>
                <w:ilvl w:val="0"/>
                <w:numId w:val="13"/>
              </w:numPr>
            </w:pPr>
            <w:r w:rsidRPr="00730DE4">
              <w:t>Classifying and measuring the service concession liabilities as a financial liability or unearned revenue depending on how the operator is compensated.</w:t>
            </w:r>
          </w:p>
        </w:tc>
        <w:tc>
          <w:tcPr>
            <w:tcW w:w="2500" w:type="pct"/>
          </w:tcPr>
          <w:p w14:paraId="3C018C99" w14:textId="77777777" w:rsidR="00730DE4" w:rsidRPr="00730DE4" w:rsidRDefault="00730DE4" w:rsidP="00AB12D0">
            <w:pPr>
              <w:pStyle w:val="NoSpacing"/>
            </w:pPr>
            <w:r w:rsidRPr="00730DE4">
              <w:t xml:space="preserve">My procedures included, but were not </w:t>
            </w:r>
          </w:p>
          <w:p w14:paraId="227BA945" w14:textId="77777777" w:rsidR="00730DE4" w:rsidRPr="00730DE4" w:rsidRDefault="00730DE4" w:rsidP="00AB12D0">
            <w:pPr>
              <w:pStyle w:val="NoSpacing"/>
            </w:pPr>
            <w:r w:rsidRPr="00730DE4">
              <w:t>limited to:</w:t>
            </w:r>
            <w:r w:rsidRPr="00730DE4">
              <w:br/>
            </w:r>
          </w:p>
          <w:p w14:paraId="7D196DD1" w14:textId="77777777" w:rsidR="00730DE4" w:rsidRPr="00730DE4" w:rsidRDefault="00730DE4" w:rsidP="00730DE4">
            <w:pPr>
              <w:pStyle w:val="NoSpacing"/>
              <w:numPr>
                <w:ilvl w:val="0"/>
                <w:numId w:val="14"/>
              </w:numPr>
            </w:pPr>
            <w:r w:rsidRPr="00730DE4">
              <w:t>assessing the appropriateness of the recognition and accounting measurement principles used to determine the value and classification of service concession assets, unearned revenue and financial liabilities on service concession arrangements</w:t>
            </w:r>
          </w:p>
          <w:p w14:paraId="5396DC24" w14:textId="77777777" w:rsidR="00730DE4" w:rsidRPr="00730DE4" w:rsidRDefault="00730DE4" w:rsidP="00730DE4">
            <w:pPr>
              <w:pStyle w:val="NoSpacing"/>
              <w:numPr>
                <w:ilvl w:val="0"/>
                <w:numId w:val="14"/>
              </w:numPr>
            </w:pPr>
            <w:r w:rsidRPr="00730DE4">
              <w:t>evaluating the qualifications, competence, capability and objectivity of the internal and external subject matter experts involved in developing the current replacement cost valuations for service concession assets</w:t>
            </w:r>
          </w:p>
          <w:p w14:paraId="5D883C99" w14:textId="77777777" w:rsidR="00730DE4" w:rsidRPr="00730DE4" w:rsidRDefault="00730DE4" w:rsidP="00730DE4">
            <w:pPr>
              <w:pStyle w:val="NoSpacing"/>
              <w:numPr>
                <w:ilvl w:val="0"/>
                <w:numId w:val="14"/>
              </w:numPr>
            </w:pPr>
            <w:r w:rsidRPr="00730DE4">
              <w:t>examining the measurement estimates of service concession assets, unearned revenue and financial liabilities on service concession arrangements and evaluating a sample of supporting documentation for reasonableness, relevance, completeness and accuracy</w:t>
            </w:r>
          </w:p>
          <w:p w14:paraId="4E89AC85" w14:textId="77777777" w:rsidR="00730DE4" w:rsidRPr="00730DE4" w:rsidRDefault="00730DE4" w:rsidP="00730DE4">
            <w:pPr>
              <w:pStyle w:val="NoSpacing"/>
              <w:numPr>
                <w:ilvl w:val="0"/>
                <w:numId w:val="11"/>
              </w:numPr>
              <w:ind w:left="360"/>
            </w:pPr>
            <w:r w:rsidRPr="00730DE4">
              <w:t>testing the mathematical accuracy of the models used to calculate the service concession assets, unearned revenue estimates and financial liabilities including depreciation, interest and service payments.</w:t>
            </w:r>
          </w:p>
        </w:tc>
      </w:tr>
    </w:tbl>
    <w:p w14:paraId="79689A0A" w14:textId="77777777" w:rsidR="00730DE4" w:rsidRPr="00730DE4" w:rsidRDefault="00730DE4" w:rsidP="00AB12D0">
      <w:pPr>
        <w:pStyle w:val="Heading5"/>
      </w:pPr>
      <w:r w:rsidRPr="00730DE4">
        <w:br w:type="page"/>
      </w:r>
    </w:p>
    <w:p w14:paraId="3CEA70A3" w14:textId="77777777" w:rsidR="00730DE4" w:rsidRPr="00730DE4" w:rsidRDefault="00730DE4" w:rsidP="00AB12D0">
      <w:pPr>
        <w:pStyle w:val="Heading5"/>
      </w:pPr>
      <w:bookmarkStart w:id="1699" w:name="_Toc180487788"/>
      <w:bookmarkStart w:id="1700" w:name="_Toc180490993"/>
      <w:bookmarkStart w:id="1701" w:name="_Toc180492026"/>
      <w:r w:rsidRPr="00730DE4">
        <w:t>Other information</w:t>
      </w:r>
      <w:bookmarkEnd w:id="1699"/>
      <w:bookmarkEnd w:id="1700"/>
      <w:bookmarkEnd w:id="1701"/>
    </w:p>
    <w:p w14:paraId="08EFF290" w14:textId="77777777" w:rsidR="00730DE4" w:rsidRPr="00730DE4" w:rsidRDefault="00730DE4" w:rsidP="00AB12D0">
      <w:r w:rsidRPr="00730DE4">
        <w:t>Those charged with governance are responsible for the other information.</w:t>
      </w:r>
    </w:p>
    <w:p w14:paraId="78392D84" w14:textId="77777777" w:rsidR="00730DE4" w:rsidRPr="00730DE4" w:rsidRDefault="00730DE4" w:rsidP="00AB12D0">
      <w:r w:rsidRPr="00730DE4">
        <w:t>The other information comprises the information included in the entity's annual report for the year ended 30 June 2024, but does not include the financial report and our auditor's report thereon. My opinion on the financial report does not cover the other information and accordingly I do not express any form of assurance conclusion thereon.</w:t>
      </w:r>
    </w:p>
    <w:p w14:paraId="44940B6D" w14:textId="77777777" w:rsidR="00730DE4" w:rsidRPr="00730DE4" w:rsidRDefault="00730DE4" w:rsidP="00AB12D0">
      <w:r w:rsidRPr="00730DE4">
        <w:t>In connection with my audit of the financial report, my responsibility is to read the other information and, in doing so, consider whether the other information is materially inconsistent with the financial report or my knowledge obtained in the audit or otherwise appears to be materially misstated.</w:t>
      </w:r>
    </w:p>
    <w:p w14:paraId="7E8732C7" w14:textId="77777777" w:rsidR="00730DE4" w:rsidRPr="00730DE4" w:rsidRDefault="00730DE4" w:rsidP="00AB12D0">
      <w:r w:rsidRPr="00730DE4">
        <w:t>If, based on the work I have performed, I conclude that there is a material misstatement of this other information, I am required to report that fact. I have nothing to report in this regard.</w:t>
      </w:r>
    </w:p>
    <w:p w14:paraId="23B408DC" w14:textId="77777777" w:rsidR="00730DE4" w:rsidRPr="00730DE4" w:rsidRDefault="00730DE4" w:rsidP="00AB12D0">
      <w:pPr>
        <w:pStyle w:val="Heading5"/>
      </w:pPr>
      <w:bookmarkStart w:id="1702" w:name="_Toc180487789"/>
      <w:bookmarkStart w:id="1703" w:name="_Toc180490994"/>
      <w:bookmarkStart w:id="1704" w:name="_Toc180492027"/>
      <w:r w:rsidRPr="00730DE4">
        <w:t>Responsibilities of the department for the financial report</w:t>
      </w:r>
      <w:bookmarkEnd w:id="1702"/>
      <w:bookmarkEnd w:id="1703"/>
      <w:bookmarkEnd w:id="1704"/>
    </w:p>
    <w:p w14:paraId="4CC4B078" w14:textId="77777777" w:rsidR="00730DE4" w:rsidRPr="00730DE4" w:rsidRDefault="00730DE4" w:rsidP="00AB12D0">
      <w:r w:rsidRPr="00730DE4">
        <w:t xml:space="preserve">The Accountable Officer is responsible for the preparation of the financial report that gives a true and fair view in accordance with the </w:t>
      </w:r>
      <w:r w:rsidRPr="00730DE4">
        <w:rPr>
          <w:rStyle w:val="Emphasis"/>
        </w:rPr>
        <w:t>Financial Accountability Act 2009</w:t>
      </w:r>
      <w:r w:rsidRPr="00730DE4">
        <w:t>, the Financial and Performance Management Standard 2019 and Australian Accounting Standards, and for such internal control as the Accountable Officer determines is necessary to enable the preparation of the financial report that is free from material misstatement, whether due to fraud or error.</w:t>
      </w:r>
    </w:p>
    <w:p w14:paraId="30B2CF8D" w14:textId="77777777" w:rsidR="00730DE4" w:rsidRPr="00730DE4" w:rsidRDefault="00730DE4" w:rsidP="00AB12D0">
      <w:r w:rsidRPr="00730DE4">
        <w:t>The Accountable Officer is also responsible for assessing the department's ability to continue as a going concern, disclosing, as applicable, matters relating to going concern and using the going concern basis of accounting unless it is intended to abolish the department or to otherwise cease operations.</w:t>
      </w:r>
    </w:p>
    <w:p w14:paraId="56D11389" w14:textId="77777777" w:rsidR="00730DE4" w:rsidRPr="00730DE4" w:rsidRDefault="00730DE4" w:rsidP="00AB12D0">
      <w:pPr>
        <w:pStyle w:val="Heading5"/>
      </w:pPr>
      <w:bookmarkStart w:id="1705" w:name="_Toc180487790"/>
      <w:bookmarkStart w:id="1706" w:name="_Toc180490995"/>
      <w:bookmarkStart w:id="1707" w:name="_Toc180492028"/>
      <w:r w:rsidRPr="00730DE4">
        <w:t>Auditor’s responsibilities for the audit of the financial report</w:t>
      </w:r>
      <w:bookmarkEnd w:id="1705"/>
      <w:bookmarkEnd w:id="1706"/>
      <w:bookmarkEnd w:id="1707"/>
    </w:p>
    <w:p w14:paraId="2DE75B44" w14:textId="77777777" w:rsidR="00730DE4" w:rsidRPr="00730DE4" w:rsidRDefault="00730DE4" w:rsidP="00AB12D0">
      <w:r w:rsidRPr="00730DE4">
        <w:t>My objectives are to obtain reasonable assurance about whether the financial report as a whole is free from material misstatement, whether due to fraud or error, and to issue an auditor's report that includes my opinion. Reasonable assurance is a high level of assurance, but is not a guarantee that an audit conducted in accordance with the Australian Auditing Standards will always detect a material misstatement when it exists. Misstatements can arise from fraud or error and are considered material if, individually or in the aggregate, they could reasonably be expected to influence the economic decisions of users taken on the basis of this financial report.</w:t>
      </w:r>
    </w:p>
    <w:p w14:paraId="087BD179" w14:textId="77777777" w:rsidR="005009C7" w:rsidRDefault="005009C7" w:rsidP="00AB12D0">
      <w:r>
        <w:br w:type="page"/>
      </w:r>
    </w:p>
    <w:p w14:paraId="1FA51A25" w14:textId="54597F77" w:rsidR="00730DE4" w:rsidRPr="00730DE4" w:rsidRDefault="00730DE4" w:rsidP="00AB12D0">
      <w:r w:rsidRPr="00730DE4">
        <w:t>A further description of my responsibilities for the audit of the financial report is located at the Auditing and Assurance Standards Board website at:</w:t>
      </w:r>
    </w:p>
    <w:p w14:paraId="1BE8BA23" w14:textId="77777777" w:rsidR="00730DE4" w:rsidRPr="00730DE4" w:rsidRDefault="00730DE4" w:rsidP="00AB12D0">
      <w:pPr>
        <w:rPr>
          <w:rStyle w:val="Hyperlink"/>
        </w:rPr>
      </w:pPr>
      <w:r w:rsidRPr="00730DE4">
        <w:rPr>
          <w:rStyle w:val="Hyperlink"/>
        </w:rPr>
        <w:t>https://www.auasb.gov.au/auditors_responsibilities/ar6.pdf</w:t>
      </w:r>
    </w:p>
    <w:p w14:paraId="4A398923" w14:textId="77777777" w:rsidR="00730DE4" w:rsidRPr="00730DE4" w:rsidRDefault="00730DE4" w:rsidP="00AB12D0">
      <w:r w:rsidRPr="00730DE4">
        <w:t>This description forms part of my auditor's report.</w:t>
      </w:r>
    </w:p>
    <w:p w14:paraId="1C4ED4F1" w14:textId="77777777" w:rsidR="00730DE4" w:rsidRPr="00730DE4" w:rsidRDefault="00730DE4" w:rsidP="00AB12D0">
      <w:pPr>
        <w:pStyle w:val="Heading5"/>
      </w:pPr>
      <w:bookmarkStart w:id="1708" w:name="_Toc180487791"/>
      <w:bookmarkStart w:id="1709" w:name="_Toc180490996"/>
      <w:bookmarkStart w:id="1710" w:name="_Toc180492029"/>
      <w:r w:rsidRPr="00730DE4">
        <w:t>Report on other legal and regulatory requirements</w:t>
      </w:r>
      <w:bookmarkEnd w:id="1708"/>
      <w:bookmarkEnd w:id="1709"/>
      <w:bookmarkEnd w:id="1710"/>
    </w:p>
    <w:p w14:paraId="174BD122" w14:textId="77777777" w:rsidR="00730DE4" w:rsidRPr="00730DE4" w:rsidRDefault="00730DE4" w:rsidP="00AB12D0">
      <w:pPr>
        <w:pStyle w:val="Heading6"/>
      </w:pPr>
      <w:r w:rsidRPr="00730DE4">
        <w:t>Statement</w:t>
      </w:r>
    </w:p>
    <w:p w14:paraId="52A2C5F0" w14:textId="77777777" w:rsidR="00730DE4" w:rsidRPr="00730DE4" w:rsidRDefault="00730DE4" w:rsidP="00AB12D0">
      <w:r w:rsidRPr="00730DE4">
        <w:t xml:space="preserve">In accordance with s. 40 of the </w:t>
      </w:r>
      <w:r w:rsidRPr="00730DE4">
        <w:rPr>
          <w:rStyle w:val="Emphasis"/>
        </w:rPr>
        <w:t>Auditor-General Act 2009</w:t>
      </w:r>
      <w:r w:rsidRPr="00730DE4">
        <w:t>, for the year ended 30 June 2024:</w:t>
      </w:r>
    </w:p>
    <w:p w14:paraId="4990780E" w14:textId="77777777" w:rsidR="00730DE4" w:rsidRPr="00730DE4" w:rsidRDefault="00730DE4" w:rsidP="003C201D">
      <w:pPr>
        <w:pStyle w:val="Listletters"/>
        <w:numPr>
          <w:ilvl w:val="0"/>
          <w:numId w:val="20"/>
        </w:numPr>
        <w:ind w:left="360"/>
      </w:pPr>
      <w:r w:rsidRPr="00730DE4">
        <w:t xml:space="preserve">I </w:t>
      </w:r>
      <w:r w:rsidRPr="003C201D">
        <w:t>received</w:t>
      </w:r>
      <w:r w:rsidRPr="00730DE4">
        <w:t xml:space="preserve"> all the information and explanations I required.</w:t>
      </w:r>
    </w:p>
    <w:p w14:paraId="465A9231" w14:textId="77777777" w:rsidR="00730DE4" w:rsidRPr="00730DE4" w:rsidRDefault="00730DE4" w:rsidP="003C201D">
      <w:pPr>
        <w:pStyle w:val="Listletters"/>
      </w:pPr>
      <w:r w:rsidRPr="00730DE4">
        <w:t>I consider that, the prescribed requirements in relation to the establishment and keeping of accounts were complied with in all material respects.</w:t>
      </w:r>
    </w:p>
    <w:p w14:paraId="1BA74B3A" w14:textId="77777777" w:rsidR="00730DE4" w:rsidRPr="00730DE4" w:rsidRDefault="00730DE4" w:rsidP="00AB12D0">
      <w:pPr>
        <w:pStyle w:val="Heading6"/>
      </w:pPr>
      <w:r w:rsidRPr="00730DE4">
        <w:t>Prescribed requirements scope</w:t>
      </w:r>
    </w:p>
    <w:p w14:paraId="7BFDB959" w14:textId="77777777" w:rsidR="00730DE4" w:rsidRPr="00730DE4" w:rsidRDefault="00730DE4" w:rsidP="00AB12D0">
      <w:r w:rsidRPr="00730DE4">
        <w:t xml:space="preserve">The prescribed requirements for the establishment and keeping of accounts are contained in the </w:t>
      </w:r>
      <w:r w:rsidRPr="00730DE4">
        <w:rPr>
          <w:rStyle w:val="Emphasis"/>
        </w:rPr>
        <w:t>Financial Accountability Act 2009</w:t>
      </w:r>
      <w:r w:rsidRPr="00730DE4">
        <w:t>, any other Act and the Financial and Performance Management Standard 2019. The applicable requirements include those for keeping financial records that correctly record and explain the department's transactions and account balances to enable the preparation of a true and fair financial report.</w:t>
      </w:r>
    </w:p>
    <w:p w14:paraId="4FBC7DE6" w14:textId="77777777" w:rsidR="00730DE4" w:rsidRPr="00730DE4" w:rsidRDefault="00730DE4" w:rsidP="00AB12D0">
      <w:r w:rsidRPr="00730DE4">
        <w:rPr>
          <w:rStyle w:val="Strong"/>
        </w:rPr>
        <w:t xml:space="preserve">Vaughan Stemmett </w:t>
      </w:r>
      <w:r w:rsidRPr="00730DE4">
        <w:rPr>
          <w:rStyle w:val="Strong"/>
        </w:rPr>
        <w:br/>
      </w:r>
      <w:r w:rsidRPr="00730DE4">
        <w:t>as delegate of the Auditor-General</w:t>
      </w:r>
    </w:p>
    <w:p w14:paraId="0D36B00F" w14:textId="77777777" w:rsidR="00730DE4" w:rsidRPr="00730DE4" w:rsidRDefault="00730DE4" w:rsidP="00AB12D0">
      <w:r w:rsidRPr="00730DE4">
        <w:t>28 August 2024</w:t>
      </w:r>
      <w:r w:rsidRPr="00730DE4">
        <w:br/>
        <w:t>Queensland Audit Office</w:t>
      </w:r>
      <w:r w:rsidRPr="00730DE4">
        <w:br/>
        <w:t>Brisbane</w:t>
      </w:r>
    </w:p>
    <w:p w14:paraId="06EA4A3D" w14:textId="77777777" w:rsidR="00730DE4" w:rsidRPr="00730DE4" w:rsidRDefault="00730DE4" w:rsidP="00730DE4"/>
    <w:p w14:paraId="2FE5369D" w14:textId="77777777" w:rsidR="00797970" w:rsidRPr="00730DE4" w:rsidRDefault="00797970">
      <w:pPr>
        <w:suppressAutoHyphens w:val="0"/>
        <w:spacing w:before="0" w:line="259" w:lineRule="auto"/>
      </w:pPr>
    </w:p>
    <w:p w14:paraId="3EC1133D" w14:textId="77777777" w:rsidR="00730DE4" w:rsidRPr="00730DE4" w:rsidRDefault="00730DE4" w:rsidP="002B7001">
      <w:pPr>
        <w:pStyle w:val="Heading1"/>
        <w:sectPr w:rsidR="00730DE4" w:rsidRPr="00730DE4" w:rsidSect="00773DE6">
          <w:pgSz w:w="11906" w:h="16838" w:code="9"/>
          <w:pgMar w:top="1134" w:right="1418" w:bottom="1418" w:left="1418" w:header="454" w:footer="454" w:gutter="0"/>
          <w:cols w:space="708"/>
          <w:titlePg/>
          <w:docGrid w:linePitch="360"/>
        </w:sectPr>
      </w:pPr>
    </w:p>
    <w:p w14:paraId="78368331" w14:textId="43031EA7" w:rsidR="00FA2FF9" w:rsidRPr="00730DE4" w:rsidRDefault="00FA2FF9" w:rsidP="002B7001">
      <w:pPr>
        <w:pStyle w:val="Heading1"/>
      </w:pPr>
      <w:bookmarkStart w:id="1711" w:name="_Toc180490997"/>
      <w:bookmarkStart w:id="1712" w:name="_Toc180492030"/>
      <w:r w:rsidRPr="00730DE4">
        <w:t>Appendices</w:t>
      </w:r>
      <w:bookmarkEnd w:id="1711"/>
      <w:bookmarkEnd w:id="1712"/>
    </w:p>
    <w:p w14:paraId="5E53EB8E" w14:textId="77777777" w:rsidR="00FA2FF9" w:rsidRPr="00730DE4" w:rsidRDefault="00FA2FF9" w:rsidP="002B7001">
      <w:pPr>
        <w:pStyle w:val="Heading2"/>
      </w:pPr>
      <w:bookmarkStart w:id="1713" w:name="_Toc180490998"/>
      <w:bookmarkStart w:id="1714" w:name="_Toc180492031"/>
      <w:r w:rsidRPr="00730DE4">
        <w:t>Appendix 1:</w:t>
      </w:r>
      <w:r w:rsidRPr="00730DE4">
        <w:rPr>
          <w:lang w:val="en-US"/>
        </w:rPr>
        <w:t xml:space="preserve"> </w:t>
      </w:r>
      <w:r w:rsidRPr="00730DE4">
        <w:t>Legislation administered by the department</w:t>
      </w:r>
      <w:bookmarkEnd w:id="1713"/>
      <w:bookmarkEnd w:id="1714"/>
    </w:p>
    <w:p w14:paraId="5480910F" w14:textId="77777777" w:rsidR="00FA2FF9" w:rsidRPr="00730DE4" w:rsidRDefault="00FA2FF9" w:rsidP="0019706D">
      <w:r w:rsidRPr="00730DE4">
        <w:t>The Department of Transport and Main Roads administers a range of Acts for transport-related purposes listed below:</w:t>
      </w:r>
    </w:p>
    <w:p w14:paraId="6349CA8F" w14:textId="77777777" w:rsidR="00FA2FF9" w:rsidRPr="00730DE4" w:rsidRDefault="00FA2FF9" w:rsidP="002B7001">
      <w:pPr>
        <w:pStyle w:val="Heading4"/>
      </w:pPr>
      <w:bookmarkStart w:id="1715" w:name="_Toc180487794"/>
      <w:bookmarkStart w:id="1716" w:name="_Toc180490999"/>
      <w:bookmarkStart w:id="1717" w:name="_Toc180492032"/>
      <w:r w:rsidRPr="00730DE4">
        <w:t>Minister for Transport and Main Roads</w:t>
      </w:r>
      <w:bookmarkEnd w:id="1715"/>
      <w:bookmarkEnd w:id="1716"/>
      <w:bookmarkEnd w:id="1717"/>
    </w:p>
    <w:p w14:paraId="20ECAF2F" w14:textId="77777777" w:rsidR="00FA2FF9" w:rsidRPr="00730DE4" w:rsidRDefault="00FA2FF9" w:rsidP="0019706D">
      <w:pPr>
        <w:pStyle w:val="ListBullet"/>
        <w:rPr>
          <w:rStyle w:val="Emphasis"/>
        </w:rPr>
      </w:pPr>
      <w:r w:rsidRPr="00730DE4">
        <w:rPr>
          <w:rStyle w:val="Emphasis"/>
        </w:rPr>
        <w:t>Air Navigation Act 1937</w:t>
      </w:r>
    </w:p>
    <w:p w14:paraId="330972BF" w14:textId="77777777" w:rsidR="00FA2FF9" w:rsidRPr="00730DE4" w:rsidRDefault="00FA2FF9" w:rsidP="0019706D">
      <w:pPr>
        <w:pStyle w:val="ListBullet"/>
        <w:rPr>
          <w:rStyle w:val="Emphasis"/>
        </w:rPr>
      </w:pPr>
      <w:r w:rsidRPr="00730DE4">
        <w:rPr>
          <w:rStyle w:val="Emphasis"/>
        </w:rPr>
        <w:t xml:space="preserve">Century Zinc Project Act 1997 </w:t>
      </w:r>
      <w:r w:rsidRPr="00730DE4">
        <w:t>(sections 5(2) to (7), 11, 12 and 13)</w:t>
      </w:r>
    </w:p>
    <w:p w14:paraId="0C83C69B" w14:textId="77777777" w:rsidR="00FA2FF9" w:rsidRPr="00730DE4" w:rsidRDefault="00FA2FF9" w:rsidP="0019706D">
      <w:pPr>
        <w:pStyle w:val="ListBullet"/>
        <w:rPr>
          <w:rStyle w:val="Emphasis"/>
        </w:rPr>
      </w:pPr>
      <w:r w:rsidRPr="00730DE4">
        <w:rPr>
          <w:rStyle w:val="Emphasis"/>
        </w:rPr>
        <w:t>Civil Aviation (Carriers’ Liability) Act 1964</w:t>
      </w:r>
    </w:p>
    <w:p w14:paraId="3666EB25" w14:textId="77777777" w:rsidR="00FA2FF9" w:rsidRPr="00730DE4" w:rsidRDefault="00FA2FF9" w:rsidP="0019706D">
      <w:pPr>
        <w:pStyle w:val="ListBullet"/>
        <w:rPr>
          <w:rStyle w:val="Emphasis"/>
        </w:rPr>
      </w:pPr>
      <w:r w:rsidRPr="00730DE4">
        <w:rPr>
          <w:rStyle w:val="Emphasis"/>
        </w:rPr>
        <w:t>Cross River Rail Delivery Authority Act 2016</w:t>
      </w:r>
    </w:p>
    <w:p w14:paraId="2557C52E" w14:textId="77777777" w:rsidR="00FA2FF9" w:rsidRPr="00730DE4" w:rsidRDefault="00FA2FF9" w:rsidP="0019706D">
      <w:pPr>
        <w:pStyle w:val="ListBullet"/>
        <w:rPr>
          <w:rStyle w:val="Emphasis"/>
        </w:rPr>
      </w:pPr>
      <w:r w:rsidRPr="00730DE4">
        <w:rPr>
          <w:rStyle w:val="Emphasis"/>
        </w:rPr>
        <w:t>Gold Coast Waterways Authority Act 2012</w:t>
      </w:r>
    </w:p>
    <w:p w14:paraId="33344E47" w14:textId="77777777" w:rsidR="00FA2FF9" w:rsidRPr="00730DE4" w:rsidRDefault="00FA2FF9" w:rsidP="0019706D">
      <w:pPr>
        <w:pStyle w:val="ListBullet"/>
        <w:rPr>
          <w:rStyle w:val="Emphasis"/>
        </w:rPr>
      </w:pPr>
      <w:r w:rsidRPr="00730DE4">
        <w:rPr>
          <w:rStyle w:val="Emphasis"/>
        </w:rPr>
        <w:t>Heavy Vehicle National Law Act 2012</w:t>
      </w:r>
    </w:p>
    <w:p w14:paraId="78ABC817" w14:textId="77777777" w:rsidR="00FA2FF9" w:rsidRPr="00730DE4" w:rsidRDefault="00FA2FF9" w:rsidP="0019706D">
      <w:pPr>
        <w:pStyle w:val="ListBullet"/>
        <w:rPr>
          <w:rStyle w:val="Emphasis"/>
        </w:rPr>
      </w:pPr>
      <w:r w:rsidRPr="00730DE4">
        <w:rPr>
          <w:rStyle w:val="Emphasis"/>
        </w:rPr>
        <w:t>Maritime Safety Queensland Act 2002</w:t>
      </w:r>
    </w:p>
    <w:p w14:paraId="71281370" w14:textId="77777777" w:rsidR="00FA2FF9" w:rsidRPr="00730DE4" w:rsidRDefault="00FA2FF9" w:rsidP="0019706D">
      <w:pPr>
        <w:pStyle w:val="ListBullet"/>
        <w:rPr>
          <w:rStyle w:val="Emphasis"/>
        </w:rPr>
      </w:pPr>
      <w:r w:rsidRPr="00730DE4">
        <w:rPr>
          <w:rStyle w:val="Emphasis"/>
        </w:rPr>
        <w:t>Photo Identification Card Act 2008</w:t>
      </w:r>
    </w:p>
    <w:p w14:paraId="297E9DE9" w14:textId="77777777" w:rsidR="00FA2FF9" w:rsidRPr="00730DE4" w:rsidRDefault="00FA2FF9" w:rsidP="0019706D">
      <w:pPr>
        <w:pStyle w:val="ListBullet"/>
        <w:rPr>
          <w:rStyle w:val="Emphasis"/>
        </w:rPr>
      </w:pPr>
      <w:r w:rsidRPr="00730DE4">
        <w:rPr>
          <w:rStyle w:val="Emphasis"/>
        </w:rPr>
        <w:t>Queensland Rail Transit Authority Act 2013</w:t>
      </w:r>
    </w:p>
    <w:p w14:paraId="797CAE9C" w14:textId="77777777" w:rsidR="00FA2FF9" w:rsidRPr="00730DE4" w:rsidRDefault="00FA2FF9" w:rsidP="0019706D">
      <w:pPr>
        <w:pStyle w:val="ListBullet"/>
        <w:rPr>
          <w:rStyle w:val="Emphasis"/>
        </w:rPr>
      </w:pPr>
      <w:r w:rsidRPr="00730DE4">
        <w:rPr>
          <w:rStyle w:val="Emphasis"/>
        </w:rPr>
        <w:t>Rail Safety National Law (Queensland) Act 2017</w:t>
      </w:r>
    </w:p>
    <w:p w14:paraId="3F439500" w14:textId="77777777" w:rsidR="00FA2FF9" w:rsidRPr="00730DE4" w:rsidRDefault="00FA2FF9" w:rsidP="0019706D">
      <w:pPr>
        <w:pStyle w:val="ListBullet"/>
        <w:rPr>
          <w:rStyle w:val="Emphasis"/>
        </w:rPr>
      </w:pPr>
      <w:r w:rsidRPr="00730DE4">
        <w:rPr>
          <w:rStyle w:val="Emphasis"/>
        </w:rPr>
        <w:t>State Transport Act 1938</w:t>
      </w:r>
    </w:p>
    <w:p w14:paraId="1EB8046F" w14:textId="77777777" w:rsidR="00FA2FF9" w:rsidRPr="00730DE4" w:rsidRDefault="00FA2FF9" w:rsidP="0019706D">
      <w:pPr>
        <w:pStyle w:val="ListBullet"/>
        <w:rPr>
          <w:rStyle w:val="Emphasis"/>
        </w:rPr>
      </w:pPr>
      <w:r w:rsidRPr="00730DE4">
        <w:rPr>
          <w:rStyle w:val="Emphasis"/>
        </w:rPr>
        <w:t>State Transport (People Movers) Act 1989</w:t>
      </w:r>
    </w:p>
    <w:p w14:paraId="148ECB3A" w14:textId="77777777" w:rsidR="00FA2FF9" w:rsidRPr="00730DE4" w:rsidRDefault="00FA2FF9" w:rsidP="0019706D">
      <w:pPr>
        <w:pStyle w:val="ListBullet"/>
        <w:rPr>
          <w:rStyle w:val="Emphasis"/>
        </w:rPr>
      </w:pPr>
      <w:r w:rsidRPr="00730DE4">
        <w:rPr>
          <w:rStyle w:val="Emphasis"/>
        </w:rPr>
        <w:t>Sustainable Ports Development Act 2015</w:t>
      </w:r>
    </w:p>
    <w:p w14:paraId="45172CB0" w14:textId="77777777" w:rsidR="00FA2FF9" w:rsidRPr="00730DE4" w:rsidRDefault="00FA2FF9" w:rsidP="0019706D">
      <w:pPr>
        <w:pStyle w:val="ListBullet"/>
        <w:rPr>
          <w:rStyle w:val="Emphasis"/>
        </w:rPr>
      </w:pPr>
      <w:r w:rsidRPr="00730DE4">
        <w:rPr>
          <w:rStyle w:val="Emphasis"/>
        </w:rPr>
        <w:t>Thiess Peabody Mitsui Coal Pty. Ltd. Agreements Act 1965*</w:t>
      </w:r>
    </w:p>
    <w:p w14:paraId="251A33C1" w14:textId="77777777" w:rsidR="00FA2FF9" w:rsidRPr="00730DE4" w:rsidRDefault="00FA2FF9" w:rsidP="0019706D">
      <w:pPr>
        <w:pStyle w:val="ListBullet"/>
        <w:rPr>
          <w:rStyle w:val="Emphasis"/>
        </w:rPr>
      </w:pPr>
      <w:r w:rsidRPr="00730DE4">
        <w:rPr>
          <w:rStyle w:val="Emphasis"/>
        </w:rPr>
        <w:t>Tow Truck Act 1973</w:t>
      </w:r>
    </w:p>
    <w:p w14:paraId="79404874" w14:textId="77777777" w:rsidR="00FA2FF9" w:rsidRPr="00730DE4" w:rsidRDefault="00FA2FF9" w:rsidP="0019706D">
      <w:pPr>
        <w:pStyle w:val="ListBullet"/>
        <w:rPr>
          <w:rStyle w:val="Emphasis"/>
        </w:rPr>
      </w:pPr>
      <w:r w:rsidRPr="00730DE4">
        <w:rPr>
          <w:rStyle w:val="Emphasis"/>
        </w:rPr>
        <w:t>Tow Truck Act 2023</w:t>
      </w:r>
    </w:p>
    <w:p w14:paraId="32288613" w14:textId="77777777" w:rsidR="00FA2FF9" w:rsidRPr="00730DE4" w:rsidRDefault="00FA2FF9" w:rsidP="0019706D">
      <w:pPr>
        <w:pStyle w:val="ListBullet"/>
        <w:rPr>
          <w:rStyle w:val="Emphasis"/>
        </w:rPr>
      </w:pPr>
      <w:r w:rsidRPr="00730DE4">
        <w:rPr>
          <w:rStyle w:val="Emphasis"/>
        </w:rPr>
        <w:t>Transport Infrastructure Act 1994</w:t>
      </w:r>
    </w:p>
    <w:p w14:paraId="57AC4B29" w14:textId="77777777" w:rsidR="00FA2FF9" w:rsidRPr="00730DE4" w:rsidRDefault="00FA2FF9" w:rsidP="0019706D">
      <w:pPr>
        <w:pStyle w:val="ListBullet"/>
        <w:rPr>
          <w:rStyle w:val="Emphasis"/>
        </w:rPr>
      </w:pPr>
      <w:r w:rsidRPr="00730DE4">
        <w:rPr>
          <w:rStyle w:val="Emphasis"/>
        </w:rPr>
        <w:t>Transport Operations (Marine Pollution) Act 1995</w:t>
      </w:r>
    </w:p>
    <w:p w14:paraId="07CC4FF2" w14:textId="77777777" w:rsidR="00FA2FF9" w:rsidRPr="00730DE4" w:rsidRDefault="00FA2FF9" w:rsidP="0019706D">
      <w:pPr>
        <w:pStyle w:val="ListBullet"/>
        <w:rPr>
          <w:rStyle w:val="Emphasis"/>
        </w:rPr>
      </w:pPr>
      <w:r w:rsidRPr="00730DE4">
        <w:rPr>
          <w:rStyle w:val="Emphasis"/>
        </w:rPr>
        <w:t>Transport Operations (Marine Safety) Act 1994</w:t>
      </w:r>
    </w:p>
    <w:p w14:paraId="4423A78B" w14:textId="77777777" w:rsidR="00FA2FF9" w:rsidRPr="00730DE4" w:rsidRDefault="00FA2FF9" w:rsidP="0019706D">
      <w:pPr>
        <w:pStyle w:val="ListBullet"/>
        <w:rPr>
          <w:rStyle w:val="Emphasis"/>
        </w:rPr>
      </w:pPr>
      <w:r w:rsidRPr="00730DE4">
        <w:rPr>
          <w:rStyle w:val="Emphasis"/>
        </w:rPr>
        <w:t>Transport Operations (Marine Safety–Domestic Commercial Vessel National Law Application) Act 2016</w:t>
      </w:r>
    </w:p>
    <w:p w14:paraId="26DF54EB" w14:textId="77777777" w:rsidR="00FA2FF9" w:rsidRPr="00730DE4" w:rsidRDefault="00FA2FF9" w:rsidP="0019706D">
      <w:pPr>
        <w:pStyle w:val="ListBullet"/>
        <w:rPr>
          <w:rStyle w:val="Emphasis"/>
        </w:rPr>
      </w:pPr>
      <w:r w:rsidRPr="00730DE4">
        <w:rPr>
          <w:rStyle w:val="Emphasis"/>
        </w:rPr>
        <w:t>Transport Operations (Passenger Transport) Act 1994</w:t>
      </w:r>
    </w:p>
    <w:p w14:paraId="60C9718B" w14:textId="77777777" w:rsidR="00FA2FF9" w:rsidRPr="00730DE4" w:rsidRDefault="00FA2FF9" w:rsidP="0019706D">
      <w:pPr>
        <w:pStyle w:val="ListBullet"/>
        <w:rPr>
          <w:rStyle w:val="Emphasis"/>
        </w:rPr>
      </w:pPr>
      <w:r w:rsidRPr="00730DE4">
        <w:rPr>
          <w:rStyle w:val="Emphasis"/>
        </w:rPr>
        <w:t>Transport Operations (Road Use Management) Act 1995</w:t>
      </w:r>
    </w:p>
    <w:p w14:paraId="2B15C7DA" w14:textId="77777777" w:rsidR="00FA2FF9" w:rsidRPr="00730DE4" w:rsidRDefault="00FA2FF9" w:rsidP="0019706D">
      <w:pPr>
        <w:pStyle w:val="ListBullet"/>
        <w:rPr>
          <w:rStyle w:val="Emphasis"/>
        </w:rPr>
      </w:pPr>
      <w:r w:rsidRPr="00730DE4">
        <w:rPr>
          <w:rStyle w:val="Emphasis"/>
        </w:rPr>
        <w:t>Transport Planning and Coordination Act 1994</w:t>
      </w:r>
    </w:p>
    <w:p w14:paraId="7DA0AE50" w14:textId="77777777" w:rsidR="00FA2FF9" w:rsidRPr="00730DE4" w:rsidRDefault="00FA2FF9" w:rsidP="0019706D">
      <w:pPr>
        <w:pStyle w:val="ListBullet"/>
        <w:rPr>
          <w:rStyle w:val="Emphasis"/>
        </w:rPr>
      </w:pPr>
      <w:r w:rsidRPr="00730DE4">
        <w:rPr>
          <w:rStyle w:val="Emphasis"/>
        </w:rPr>
        <w:t>Transport (South Bank Corporation Area Land) Act 1999</w:t>
      </w:r>
    </w:p>
    <w:p w14:paraId="184C3524" w14:textId="77777777" w:rsidR="00FA2FF9" w:rsidRPr="00730DE4" w:rsidRDefault="00FA2FF9" w:rsidP="0019706D">
      <w:pPr>
        <w:pStyle w:val="ListBullet"/>
        <w:rPr>
          <w:rStyle w:val="Emphasis"/>
        </w:rPr>
      </w:pPr>
      <w:r w:rsidRPr="00730DE4">
        <w:rPr>
          <w:rStyle w:val="Emphasis"/>
        </w:rPr>
        <w:t>Transport Security (Counter-Terrorism) Act 2008</w:t>
      </w:r>
    </w:p>
    <w:p w14:paraId="3E9F6624" w14:textId="722815C9" w:rsidR="00094BA5" w:rsidRPr="00730DE4" w:rsidRDefault="00FA2FF9" w:rsidP="0019706D">
      <w:pPr>
        <w:pStyle w:val="Caption"/>
      </w:pPr>
      <w:r w:rsidRPr="00730DE4">
        <w:t>*Except to the extent administered by the Deputy Premier, Treasurer and Minister for Trade and Investment and the Minister for Resources and Critical Minerals.</w:t>
      </w:r>
    </w:p>
    <w:p w14:paraId="06D8AB78" w14:textId="77777777" w:rsidR="00094BA5" w:rsidRPr="00730DE4" w:rsidRDefault="00094BA5">
      <w:pPr>
        <w:suppressAutoHyphens w:val="0"/>
        <w:spacing w:before="0" w:line="259" w:lineRule="auto"/>
        <w:rPr>
          <w:bCs/>
          <w:color w:val="4D4D4D"/>
          <w:sz w:val="20"/>
        </w:rPr>
      </w:pPr>
      <w:r w:rsidRPr="00730DE4">
        <w:br w:type="page"/>
      </w:r>
    </w:p>
    <w:p w14:paraId="1B373100" w14:textId="77777777" w:rsidR="00FA2FF9" w:rsidRPr="00730DE4" w:rsidRDefault="00FA2FF9" w:rsidP="002B7001">
      <w:pPr>
        <w:pStyle w:val="Heading2"/>
        <w:rPr>
          <w:lang w:val="en-US"/>
        </w:rPr>
      </w:pPr>
      <w:bookmarkStart w:id="1718" w:name="_Toc180491000"/>
      <w:bookmarkStart w:id="1719" w:name="_Toc180492033"/>
      <w:r w:rsidRPr="00730DE4">
        <w:rPr>
          <w:lang w:val="en-US"/>
        </w:rPr>
        <w:t>Appendix 2: Associated authorities</w:t>
      </w:r>
      <w:bookmarkEnd w:id="1718"/>
      <w:bookmarkEnd w:id="1719"/>
    </w:p>
    <w:p w14:paraId="2F5F8D71" w14:textId="77777777" w:rsidR="00FA2FF9" w:rsidRPr="00730DE4" w:rsidRDefault="00FA2FF9" w:rsidP="00F13C27">
      <w:pPr>
        <w:rPr>
          <w:lang w:val="en-US"/>
        </w:rPr>
      </w:pPr>
      <w:r w:rsidRPr="00730DE4">
        <w:rPr>
          <w:lang w:val="en-US"/>
        </w:rPr>
        <w:t>TMR works collaboratively with three statutory authorities, four government-owned corporations (GOC), and one publicly owned private (Pty Ltd) company. TMR also provides strategic advice to the Minister regarding the Ports and Gold Coast Waterways Authority.</w:t>
      </w:r>
    </w:p>
    <w:p w14:paraId="7FC1E39D" w14:textId="77777777" w:rsidR="00FA2FF9" w:rsidRPr="00730DE4" w:rsidRDefault="00FA2FF9" w:rsidP="002B7001">
      <w:pPr>
        <w:pStyle w:val="Heading3"/>
        <w:rPr>
          <w:lang w:val="en-US"/>
        </w:rPr>
      </w:pPr>
      <w:bookmarkStart w:id="1720" w:name="_Toc180487796"/>
      <w:bookmarkStart w:id="1721" w:name="_Toc180491001"/>
      <w:bookmarkStart w:id="1722" w:name="_Toc180492034"/>
      <w:r w:rsidRPr="00730DE4">
        <w:rPr>
          <w:lang w:val="en-US"/>
        </w:rPr>
        <w:t>Statutory authorities</w:t>
      </w:r>
      <w:bookmarkEnd w:id="1720"/>
      <w:bookmarkEnd w:id="1721"/>
      <w:bookmarkEnd w:id="1722"/>
    </w:p>
    <w:p w14:paraId="4C460DBF" w14:textId="77777777" w:rsidR="00FA2FF9" w:rsidRPr="00730DE4" w:rsidRDefault="00FA2FF9" w:rsidP="00F13C27">
      <w:pPr>
        <w:pStyle w:val="ListBullet"/>
        <w:rPr>
          <w:lang w:val="en-US"/>
        </w:rPr>
      </w:pPr>
      <w:r w:rsidRPr="00730DE4">
        <w:rPr>
          <w:lang w:val="en-US"/>
        </w:rPr>
        <w:t>Gold Coast Waterways Authority</w:t>
      </w:r>
    </w:p>
    <w:p w14:paraId="368A4136" w14:textId="77777777" w:rsidR="00FA2FF9" w:rsidRPr="00730DE4" w:rsidRDefault="00FA2FF9" w:rsidP="00F13C27">
      <w:pPr>
        <w:pStyle w:val="ListBullet"/>
        <w:rPr>
          <w:lang w:val="en-US"/>
        </w:rPr>
      </w:pPr>
      <w:r w:rsidRPr="00730DE4">
        <w:rPr>
          <w:lang w:val="en-US"/>
        </w:rPr>
        <w:t>Queensland Rail</w:t>
      </w:r>
    </w:p>
    <w:p w14:paraId="70F492E0" w14:textId="77777777" w:rsidR="00FA2FF9" w:rsidRPr="00730DE4" w:rsidRDefault="00FA2FF9" w:rsidP="00F13C27">
      <w:pPr>
        <w:pStyle w:val="ListBullet"/>
        <w:rPr>
          <w:lang w:val="en-US"/>
        </w:rPr>
      </w:pPr>
      <w:r w:rsidRPr="00730DE4">
        <w:rPr>
          <w:lang w:val="en-US"/>
        </w:rPr>
        <w:t>Cross River Rail Delivery Authority</w:t>
      </w:r>
    </w:p>
    <w:p w14:paraId="71B3888B" w14:textId="77777777" w:rsidR="00FA2FF9" w:rsidRPr="00730DE4" w:rsidRDefault="00FA2FF9" w:rsidP="002B7001">
      <w:pPr>
        <w:pStyle w:val="Heading3"/>
        <w:rPr>
          <w:lang w:val="en-US"/>
        </w:rPr>
      </w:pPr>
      <w:bookmarkStart w:id="1723" w:name="_Toc180487797"/>
      <w:bookmarkStart w:id="1724" w:name="_Toc180491002"/>
      <w:bookmarkStart w:id="1725" w:name="_Toc180492035"/>
      <w:r w:rsidRPr="00730DE4">
        <w:rPr>
          <w:lang w:val="en-US"/>
        </w:rPr>
        <w:t>Government-owned corporations</w:t>
      </w:r>
      <w:bookmarkEnd w:id="1723"/>
      <w:bookmarkEnd w:id="1724"/>
      <w:bookmarkEnd w:id="1725"/>
    </w:p>
    <w:p w14:paraId="0F8A2F5D" w14:textId="77777777" w:rsidR="00FA2FF9" w:rsidRPr="00730DE4" w:rsidRDefault="00FA2FF9" w:rsidP="00F13C27">
      <w:pPr>
        <w:pStyle w:val="ListBullet"/>
        <w:rPr>
          <w:lang w:val="en-US"/>
        </w:rPr>
      </w:pPr>
      <w:r w:rsidRPr="00730DE4">
        <w:rPr>
          <w:lang w:val="en-US"/>
        </w:rPr>
        <w:t>Far North Queensland Ports Corporation Limited (Ports North)*</w:t>
      </w:r>
    </w:p>
    <w:p w14:paraId="4347C7CB" w14:textId="77777777" w:rsidR="00FA2FF9" w:rsidRPr="00730DE4" w:rsidRDefault="00FA2FF9" w:rsidP="00F13C27">
      <w:pPr>
        <w:pStyle w:val="ListBullet"/>
        <w:rPr>
          <w:lang w:val="en-US"/>
        </w:rPr>
      </w:pPr>
      <w:r w:rsidRPr="00730DE4">
        <w:rPr>
          <w:lang w:val="en-US"/>
        </w:rPr>
        <w:t>Gladstone Ports Corporation Limited*</w:t>
      </w:r>
    </w:p>
    <w:p w14:paraId="33C89BC0" w14:textId="77777777" w:rsidR="00FA2FF9" w:rsidRPr="00730DE4" w:rsidRDefault="00FA2FF9" w:rsidP="00F13C27">
      <w:pPr>
        <w:pStyle w:val="ListBullet"/>
        <w:rPr>
          <w:lang w:val="en-US"/>
        </w:rPr>
      </w:pPr>
      <w:r w:rsidRPr="00730DE4">
        <w:rPr>
          <w:lang w:val="en-US"/>
        </w:rPr>
        <w:t>North Queensland Bulk Ports Corporation Limited*</w:t>
      </w:r>
    </w:p>
    <w:p w14:paraId="320BE8E5" w14:textId="77777777" w:rsidR="00FA2FF9" w:rsidRPr="00730DE4" w:rsidRDefault="00FA2FF9" w:rsidP="00F13C27">
      <w:pPr>
        <w:pStyle w:val="ListBullet"/>
        <w:rPr>
          <w:lang w:val="en-US"/>
        </w:rPr>
      </w:pPr>
      <w:r w:rsidRPr="00730DE4">
        <w:rPr>
          <w:lang w:val="en-US"/>
        </w:rPr>
        <w:t>Port of Townsville Limited*</w:t>
      </w:r>
    </w:p>
    <w:p w14:paraId="0DF2725C" w14:textId="77777777" w:rsidR="00FA2FF9" w:rsidRPr="00730DE4" w:rsidRDefault="00FA2FF9" w:rsidP="00F13C27">
      <w:pPr>
        <w:rPr>
          <w:rStyle w:val="Emphasis"/>
        </w:rPr>
      </w:pPr>
      <w:r w:rsidRPr="00730DE4">
        <w:rPr>
          <w:rStyle w:val="Emphasis"/>
        </w:rPr>
        <w:t>*Government-owned corporation with shareholding Ministerial obligations.</w:t>
      </w:r>
    </w:p>
    <w:p w14:paraId="2919ECBE" w14:textId="77777777" w:rsidR="00FA2FF9" w:rsidRPr="00730DE4" w:rsidRDefault="00FA2FF9" w:rsidP="002B7001">
      <w:pPr>
        <w:pStyle w:val="Heading3"/>
        <w:rPr>
          <w:lang w:val="en-US"/>
        </w:rPr>
      </w:pPr>
      <w:bookmarkStart w:id="1726" w:name="_Toc180487798"/>
      <w:bookmarkStart w:id="1727" w:name="_Toc180491003"/>
      <w:bookmarkStart w:id="1728" w:name="_Toc180492036"/>
      <w:r w:rsidRPr="00730DE4">
        <w:rPr>
          <w:lang w:val="en-US"/>
        </w:rPr>
        <w:t>Publicly-owned private company</w:t>
      </w:r>
      <w:bookmarkEnd w:id="1726"/>
      <w:bookmarkEnd w:id="1727"/>
      <w:bookmarkEnd w:id="1728"/>
    </w:p>
    <w:p w14:paraId="629C0D23" w14:textId="77777777" w:rsidR="00FA2FF9" w:rsidRPr="00730DE4" w:rsidRDefault="00FA2FF9" w:rsidP="00F13C27">
      <w:pPr>
        <w:pStyle w:val="ListBullet"/>
        <w:rPr>
          <w:lang w:val="en-US"/>
        </w:rPr>
      </w:pPr>
      <w:r w:rsidRPr="00730DE4">
        <w:rPr>
          <w:lang w:val="en-US"/>
        </w:rPr>
        <w:t>Transmax Pty Ltd**</w:t>
      </w:r>
    </w:p>
    <w:p w14:paraId="17B0E8EF" w14:textId="77777777" w:rsidR="00FA2FF9" w:rsidRPr="00730DE4" w:rsidRDefault="00FA2FF9" w:rsidP="00F13C27">
      <w:pPr>
        <w:rPr>
          <w:rStyle w:val="Emphasis"/>
        </w:rPr>
      </w:pPr>
      <w:r w:rsidRPr="00730DE4">
        <w:rPr>
          <w:rStyle w:val="Emphasis"/>
        </w:rPr>
        <w:t>**Director-General of TMR is the company's sole shareholder.</w:t>
      </w:r>
    </w:p>
    <w:p w14:paraId="78E4DDE8" w14:textId="77777777" w:rsidR="00FA2FF9" w:rsidRPr="00730DE4" w:rsidRDefault="00FA2FF9" w:rsidP="002B7001">
      <w:pPr>
        <w:pStyle w:val="Heading3"/>
        <w:rPr>
          <w:lang w:val="en-US"/>
        </w:rPr>
      </w:pPr>
      <w:bookmarkStart w:id="1729" w:name="_Toc180487799"/>
      <w:bookmarkStart w:id="1730" w:name="_Toc180491004"/>
      <w:bookmarkStart w:id="1731" w:name="_Toc180492037"/>
      <w:r w:rsidRPr="00730DE4">
        <w:rPr>
          <w:lang w:val="en-US"/>
        </w:rPr>
        <w:t>Gold Coast Waterways Authority</w:t>
      </w:r>
      <w:bookmarkEnd w:id="1729"/>
      <w:bookmarkEnd w:id="1730"/>
      <w:bookmarkEnd w:id="1731"/>
    </w:p>
    <w:p w14:paraId="7F21F940" w14:textId="77777777" w:rsidR="00FA2FF9" w:rsidRPr="00730DE4" w:rsidRDefault="00FA2FF9" w:rsidP="00F13C27">
      <w:pPr>
        <w:rPr>
          <w:lang w:val="en-US"/>
        </w:rPr>
      </w:pPr>
      <w:r w:rsidRPr="00730DE4">
        <w:rPr>
          <w:lang w:val="en-US"/>
        </w:rPr>
        <w:t xml:space="preserve">The Gold Coast Waterways Authority was established to strategically plan for, facilitate, and manage the development and use of the Gold Coast waterways. The authority manages the waterways south of the Logan River to the New South Wales border. The Gold Coast Waterways Authority operates in accordance with the </w:t>
      </w:r>
      <w:r w:rsidRPr="00730DE4">
        <w:rPr>
          <w:rStyle w:val="Emphasis"/>
        </w:rPr>
        <w:t>Gold Coast Waterways Authority Act 2012</w:t>
      </w:r>
      <w:r w:rsidRPr="00730DE4">
        <w:rPr>
          <w:lang w:val="en-US"/>
        </w:rPr>
        <w:t>.</w:t>
      </w:r>
    </w:p>
    <w:p w14:paraId="556402B6" w14:textId="77777777" w:rsidR="00FA2FF9" w:rsidRPr="00730DE4" w:rsidRDefault="00FA2FF9" w:rsidP="00F13C27">
      <w:pPr>
        <w:pStyle w:val="MessageHeader"/>
        <w:rPr>
          <w:lang w:val="en-US"/>
        </w:rPr>
      </w:pPr>
      <w:r w:rsidRPr="00730DE4">
        <w:rPr>
          <w:lang w:val="en-US"/>
        </w:rPr>
        <w:t xml:space="preserve">For more information </w:t>
      </w:r>
      <w:r w:rsidRPr="00730DE4">
        <w:br/>
      </w:r>
      <w:hyperlink r:id="rId152" w:anchor="annual-reports" w:history="1">
        <w:r w:rsidRPr="00730DE4">
          <w:rPr>
            <w:rStyle w:val="Hyperlink"/>
            <w:lang w:val="en-US"/>
          </w:rPr>
          <w:t>https://gcwa.qld.gov.au/our-publications/#annual-reports</w:t>
        </w:r>
      </w:hyperlink>
    </w:p>
    <w:p w14:paraId="78C8E0B2" w14:textId="77777777" w:rsidR="00FA2FF9" w:rsidRPr="00730DE4" w:rsidRDefault="00FA2FF9" w:rsidP="002B7001">
      <w:pPr>
        <w:pStyle w:val="Heading3"/>
        <w:rPr>
          <w:lang w:val="en-US"/>
        </w:rPr>
      </w:pPr>
      <w:bookmarkStart w:id="1732" w:name="_Toc180487800"/>
      <w:bookmarkStart w:id="1733" w:name="_Toc180491005"/>
      <w:bookmarkStart w:id="1734" w:name="_Toc180492038"/>
      <w:r w:rsidRPr="00730DE4">
        <w:rPr>
          <w:lang w:val="en-US"/>
        </w:rPr>
        <w:t>Queensland Rail</w:t>
      </w:r>
      <w:bookmarkEnd w:id="1732"/>
      <w:bookmarkEnd w:id="1733"/>
      <w:bookmarkEnd w:id="1734"/>
    </w:p>
    <w:p w14:paraId="4D611209" w14:textId="77777777" w:rsidR="00FA2FF9" w:rsidRPr="00730DE4" w:rsidRDefault="00FA2FF9" w:rsidP="00F13C27">
      <w:pPr>
        <w:rPr>
          <w:lang w:val="en-US"/>
        </w:rPr>
      </w:pPr>
      <w:r w:rsidRPr="00730DE4">
        <w:rPr>
          <w:lang w:val="en-US"/>
        </w:rPr>
        <w:t xml:space="preserve">Queensland Rail is a statutory authority and operates in accordance with the </w:t>
      </w:r>
      <w:r w:rsidRPr="00730DE4">
        <w:rPr>
          <w:rStyle w:val="Emphasis"/>
        </w:rPr>
        <w:t>Queensland Rail Transit Authority Act 2013</w:t>
      </w:r>
      <w:r w:rsidRPr="00730DE4">
        <w:rPr>
          <w:lang w:val="en-US"/>
        </w:rPr>
        <w:t>. It is responsible for the operation of passenger rail services and ensuring that supporting rail infrastructure remains safe, reliable, and at a fit-for-purpose standard.</w:t>
      </w:r>
    </w:p>
    <w:p w14:paraId="1FFDC966" w14:textId="77777777" w:rsidR="00FA2FF9" w:rsidRPr="00730DE4" w:rsidRDefault="00FA2FF9" w:rsidP="00F13C27">
      <w:pPr>
        <w:rPr>
          <w:lang w:val="en-US"/>
        </w:rPr>
      </w:pPr>
      <w:r w:rsidRPr="00730DE4">
        <w:rPr>
          <w:lang w:val="en-US"/>
        </w:rPr>
        <w:t>The Rail Transport Service Contract between TMR and Queensland Rail governs the funding arrangements for new rail infrastructure, maintenance of the existing rail network, and the provision of both South East Queensland and regional long-distance passenger rail services.</w:t>
      </w:r>
    </w:p>
    <w:p w14:paraId="662417A2" w14:textId="77777777" w:rsidR="00FA2FF9" w:rsidRPr="00730DE4" w:rsidRDefault="00FA2FF9" w:rsidP="00F13C27">
      <w:pPr>
        <w:pStyle w:val="MessageHeader"/>
        <w:rPr>
          <w:lang w:val="en-US"/>
        </w:rPr>
      </w:pPr>
      <w:r w:rsidRPr="00730DE4">
        <w:rPr>
          <w:lang w:val="en-US"/>
        </w:rPr>
        <w:t>For more information</w:t>
      </w:r>
      <w:r w:rsidRPr="00730DE4">
        <w:t xml:space="preserve"> </w:t>
      </w:r>
      <w:r w:rsidRPr="00730DE4">
        <w:br/>
      </w:r>
      <w:hyperlink r:id="rId153" w:history="1">
        <w:r w:rsidRPr="00730DE4">
          <w:rPr>
            <w:rStyle w:val="Hyperlink"/>
            <w:lang w:val="en-US"/>
          </w:rPr>
          <w:t>https://www.queenslandrail.com.au/aboutus/governance/reports-and-publications</w:t>
        </w:r>
      </w:hyperlink>
      <w:r w:rsidRPr="00730DE4">
        <w:rPr>
          <w:lang w:val="en-US"/>
        </w:rPr>
        <w:t xml:space="preserve"> </w:t>
      </w:r>
    </w:p>
    <w:p w14:paraId="11AB89EE" w14:textId="77777777" w:rsidR="00FA2FF9" w:rsidRPr="00730DE4" w:rsidRDefault="00FA2FF9" w:rsidP="002B7001">
      <w:pPr>
        <w:pStyle w:val="Heading3"/>
        <w:rPr>
          <w:lang w:val="en-US"/>
        </w:rPr>
      </w:pPr>
      <w:bookmarkStart w:id="1735" w:name="_Toc180487801"/>
      <w:bookmarkStart w:id="1736" w:name="_Toc180491006"/>
      <w:bookmarkStart w:id="1737" w:name="_Toc180492039"/>
      <w:r w:rsidRPr="00730DE4">
        <w:rPr>
          <w:lang w:val="en-US"/>
        </w:rPr>
        <w:t>Cross River Rail Delivery Authority</w:t>
      </w:r>
      <w:bookmarkEnd w:id="1735"/>
      <w:bookmarkEnd w:id="1736"/>
      <w:bookmarkEnd w:id="1737"/>
      <w:r w:rsidRPr="00730DE4">
        <w:rPr>
          <w:lang w:val="en-US"/>
        </w:rPr>
        <w:t xml:space="preserve"> </w:t>
      </w:r>
    </w:p>
    <w:p w14:paraId="7CD72E66" w14:textId="77777777" w:rsidR="00FA2FF9" w:rsidRPr="00730DE4" w:rsidRDefault="00FA2FF9" w:rsidP="00F13C27">
      <w:pPr>
        <w:rPr>
          <w:lang w:val="en-US"/>
        </w:rPr>
      </w:pPr>
      <w:r w:rsidRPr="00730DE4">
        <w:rPr>
          <w:lang w:val="en-US"/>
        </w:rPr>
        <w:t xml:space="preserve">The Cross River Rail Delivery Authority was created to plan, carry out, promote, and coordinate activities to facilitate economic development, and development for community purposes in a cross river rail priority development area, and to facilitate the efficient delivery of the cross river rail project and transport-related projects. The </w:t>
      </w:r>
      <w:r w:rsidRPr="00730DE4">
        <w:rPr>
          <w:rStyle w:val="Emphasis"/>
        </w:rPr>
        <w:t>Cross River Rail Delivery Authority Act 2016</w:t>
      </w:r>
      <w:r w:rsidRPr="00730DE4">
        <w:rPr>
          <w:lang w:val="en-US"/>
        </w:rPr>
        <w:t xml:space="preserve"> has been administered by TMR's Director-General since 12 November 2020. The Director-General is also Chairperson of the Cross River Rail Delivery Board.</w:t>
      </w:r>
    </w:p>
    <w:p w14:paraId="661BEF12" w14:textId="77777777" w:rsidR="00FA2FF9" w:rsidRPr="00730DE4" w:rsidRDefault="00FA2FF9" w:rsidP="00F13C27">
      <w:pPr>
        <w:pStyle w:val="MessageHeader"/>
        <w:rPr>
          <w:lang w:val="en-US"/>
        </w:rPr>
      </w:pPr>
      <w:r w:rsidRPr="00730DE4">
        <w:rPr>
          <w:lang w:val="en-US"/>
        </w:rPr>
        <w:t xml:space="preserve">For more information </w:t>
      </w:r>
      <w:r w:rsidRPr="00730DE4">
        <w:br/>
      </w:r>
      <w:hyperlink r:id="rId154" w:history="1">
        <w:r w:rsidRPr="00730DE4">
          <w:rPr>
            <w:rStyle w:val="Hyperlink"/>
            <w:lang w:val="en-US"/>
          </w:rPr>
          <w:t>https://crossriverrail.qld.gov.au/asset-library/</w:t>
        </w:r>
      </w:hyperlink>
      <w:r w:rsidRPr="00730DE4">
        <w:rPr>
          <w:lang w:val="en-US"/>
        </w:rPr>
        <w:t xml:space="preserve"> </w:t>
      </w:r>
    </w:p>
    <w:p w14:paraId="58AF74A8" w14:textId="77777777" w:rsidR="00FA2FF9" w:rsidRPr="00730DE4" w:rsidRDefault="00FA2FF9" w:rsidP="002B7001">
      <w:pPr>
        <w:pStyle w:val="Heading3"/>
        <w:rPr>
          <w:lang w:val="en-US"/>
        </w:rPr>
      </w:pPr>
      <w:bookmarkStart w:id="1738" w:name="_Toc180487802"/>
      <w:bookmarkStart w:id="1739" w:name="_Toc180491007"/>
      <w:bookmarkStart w:id="1740" w:name="_Toc180492040"/>
      <w:r w:rsidRPr="00730DE4">
        <w:rPr>
          <w:lang w:val="en-US"/>
        </w:rPr>
        <w:t>Shareholding Ministers</w:t>
      </w:r>
      <w:bookmarkEnd w:id="1738"/>
      <w:bookmarkEnd w:id="1739"/>
      <w:bookmarkEnd w:id="1740"/>
    </w:p>
    <w:p w14:paraId="5E1B392E" w14:textId="77777777" w:rsidR="00FA2FF9" w:rsidRPr="00730DE4" w:rsidRDefault="00FA2FF9" w:rsidP="00F13C27">
      <w:pPr>
        <w:rPr>
          <w:lang w:val="en-US"/>
        </w:rPr>
      </w:pPr>
      <w:r w:rsidRPr="00730DE4">
        <w:rPr>
          <w:lang w:val="en-US"/>
        </w:rPr>
        <w:t xml:space="preserve">The ports as outlined above are GOCs governed under the </w:t>
      </w:r>
      <w:r w:rsidRPr="00730DE4">
        <w:rPr>
          <w:rStyle w:val="Emphasis"/>
        </w:rPr>
        <w:t>Government Owned Corporations Act 1993</w:t>
      </w:r>
      <w:r w:rsidRPr="00730DE4">
        <w:rPr>
          <w:lang w:val="en-US"/>
        </w:rPr>
        <w:t>. Each GOC must fulfil its obligations and keep the shareholding minister(s) reasonably informed of the operations, financial performance, financial position, and governance of the company and its subsidiaries. The companies must report in a timely manner on all issues likely to have a significant financial or operating impact. Each must also develop a Corporate Plan, Statement of Corporate Intent, and table an annual performance report each year which are available on their website.</w:t>
      </w:r>
    </w:p>
    <w:p w14:paraId="556D85FB" w14:textId="77777777" w:rsidR="00FA2FF9" w:rsidRPr="00730DE4" w:rsidRDefault="00FA2FF9" w:rsidP="002B7001">
      <w:pPr>
        <w:pStyle w:val="Heading3"/>
        <w:rPr>
          <w:lang w:val="en-US"/>
        </w:rPr>
      </w:pPr>
      <w:bookmarkStart w:id="1741" w:name="_Toc180487803"/>
      <w:bookmarkStart w:id="1742" w:name="_Toc180491008"/>
      <w:bookmarkStart w:id="1743" w:name="_Toc180492041"/>
      <w:r w:rsidRPr="00730DE4">
        <w:rPr>
          <w:lang w:val="en-US"/>
        </w:rPr>
        <w:t>Transmax</w:t>
      </w:r>
      <w:bookmarkEnd w:id="1741"/>
      <w:bookmarkEnd w:id="1742"/>
      <w:bookmarkEnd w:id="1743"/>
    </w:p>
    <w:p w14:paraId="65B9DA14" w14:textId="77777777" w:rsidR="00FA2FF9" w:rsidRPr="00730DE4" w:rsidRDefault="00FA2FF9" w:rsidP="00F13C27">
      <w:pPr>
        <w:rPr>
          <w:lang w:val="en-US"/>
        </w:rPr>
      </w:pPr>
      <w:r w:rsidRPr="00730DE4">
        <w:rPr>
          <w:lang w:val="en-US"/>
        </w:rPr>
        <w:t>Transmax Pty Ltd is an unlisted Australian company incorporated in 2002. Transmax is wholly owned by TMR and is governed by a board of directors. Transmax provides traffic management systems and other ITS used to optimise the traffic system, reduce congestion, and supports other transport departments around Australia to achieve safer and more reliable road journeys.</w:t>
      </w:r>
    </w:p>
    <w:p w14:paraId="0791AC9E" w14:textId="77777777" w:rsidR="000A65A9" w:rsidRPr="00730DE4" w:rsidRDefault="00FA2FF9" w:rsidP="000A65A9">
      <w:pPr>
        <w:pStyle w:val="MessageHeader"/>
        <w:rPr>
          <w:lang w:val="en-US"/>
        </w:rPr>
      </w:pPr>
      <w:r w:rsidRPr="00730DE4">
        <w:rPr>
          <w:lang w:val="en-US"/>
        </w:rPr>
        <w:t xml:space="preserve">For more information </w:t>
      </w:r>
      <w:r w:rsidRPr="00730DE4">
        <w:br/>
      </w:r>
      <w:hyperlink r:id="rId155" w:history="1">
        <w:r w:rsidRPr="00730DE4">
          <w:rPr>
            <w:rStyle w:val="Hyperlink"/>
            <w:lang w:val="en-US"/>
          </w:rPr>
          <w:t>https://www.transmax.com.au/who-we-are/corporate-publications/</w:t>
        </w:r>
      </w:hyperlink>
    </w:p>
    <w:p w14:paraId="62DF982E" w14:textId="77777777" w:rsidR="002D6779" w:rsidRPr="00730DE4" w:rsidRDefault="002D6779" w:rsidP="002B7001">
      <w:pPr>
        <w:pStyle w:val="Heading2"/>
        <w:rPr>
          <w:lang w:val="en-US"/>
        </w:rPr>
        <w:sectPr w:rsidR="002D6779" w:rsidRPr="00730DE4" w:rsidSect="00773DE6">
          <w:pgSz w:w="11906" w:h="16838" w:code="9"/>
          <w:pgMar w:top="1134" w:right="1418" w:bottom="1418" w:left="1418" w:header="454" w:footer="454" w:gutter="0"/>
          <w:cols w:space="708"/>
          <w:titlePg/>
          <w:docGrid w:linePitch="360"/>
        </w:sectPr>
      </w:pPr>
    </w:p>
    <w:p w14:paraId="0822B73D" w14:textId="0D3D667E" w:rsidR="00FA2FF9" w:rsidRPr="00730DE4" w:rsidRDefault="00FA2FF9" w:rsidP="002B7001">
      <w:pPr>
        <w:pStyle w:val="Heading2"/>
        <w:rPr>
          <w:lang w:val="en-US"/>
        </w:rPr>
      </w:pPr>
      <w:bookmarkStart w:id="1744" w:name="_Toc180491009"/>
      <w:bookmarkStart w:id="1745" w:name="_Toc180492042"/>
      <w:r w:rsidRPr="00730DE4">
        <w:rPr>
          <w:lang w:val="en-US"/>
        </w:rPr>
        <w:t xml:space="preserve">Appendix 3: </w:t>
      </w:r>
      <w:r w:rsidRPr="00730DE4">
        <w:t>Camera</w:t>
      </w:r>
      <w:r w:rsidRPr="00730DE4">
        <w:rPr>
          <w:lang w:val="en-US"/>
        </w:rPr>
        <w:t xml:space="preserve"> Detected Offence Program</w:t>
      </w:r>
      <w:bookmarkEnd w:id="1744"/>
      <w:bookmarkEnd w:id="1745"/>
    </w:p>
    <w:p w14:paraId="36DC5496" w14:textId="77777777" w:rsidR="00FA2FF9" w:rsidRPr="00730DE4" w:rsidRDefault="00FA2FF9" w:rsidP="00ED05E8">
      <w:pPr>
        <w:pStyle w:val="Caption"/>
        <w:rPr>
          <w:lang w:eastAsia="en-AU"/>
        </w:rPr>
      </w:pPr>
      <w:r w:rsidRPr="00730DE4">
        <w:rPr>
          <w:lang w:eastAsia="en-AU"/>
        </w:rPr>
        <w:t>Note. Total 2023–24 expenditure on CDOP related activities can include funding from prior year and expenditure brought forward.</w:t>
      </w:r>
    </w:p>
    <w:p w14:paraId="3DA5C586" w14:textId="77777777" w:rsidR="00FA2FF9" w:rsidRPr="00730DE4" w:rsidRDefault="00FA2FF9" w:rsidP="002B7001">
      <w:pPr>
        <w:pStyle w:val="Heading3"/>
      </w:pPr>
      <w:bookmarkStart w:id="1746" w:name="_Toc180487805"/>
      <w:bookmarkStart w:id="1747" w:name="_Toc180491010"/>
      <w:bookmarkStart w:id="1748" w:name="_Toc180492043"/>
      <w:r w:rsidRPr="00730DE4">
        <w:t>Revenue</w:t>
      </w:r>
      <w:bookmarkEnd w:id="1746"/>
      <w:bookmarkEnd w:id="1747"/>
      <w:bookmarkEnd w:id="1748"/>
      <w:r w:rsidRPr="00730DE4">
        <w:t xml:space="preserve"> </w:t>
      </w:r>
    </w:p>
    <w:p w14:paraId="1B978704" w14:textId="77777777" w:rsidR="00FA2FF9" w:rsidRPr="00730DE4" w:rsidRDefault="00FA2FF9" w:rsidP="004C65BE">
      <w:pPr>
        <w:pStyle w:val="FigureCaption"/>
      </w:pPr>
      <w:r w:rsidRPr="00730DE4">
        <w:t>Table 46: CDOP Financial overview for 2023–24</w:t>
      </w:r>
    </w:p>
    <w:tbl>
      <w:tblPr>
        <w:tblStyle w:val="TMRDefault"/>
        <w:tblW w:w="5000" w:type="pct"/>
        <w:tblLook w:val="04A0" w:firstRow="1" w:lastRow="0" w:firstColumn="1" w:lastColumn="0" w:noHBand="0" w:noVBand="1"/>
      </w:tblPr>
      <w:tblGrid>
        <w:gridCol w:w="6996"/>
        <w:gridCol w:w="6996"/>
      </w:tblGrid>
      <w:tr w:rsidR="00FA2FF9" w:rsidRPr="00730DE4" w14:paraId="5C30F579" w14:textId="77777777" w:rsidTr="006A2BE0">
        <w:trPr>
          <w:cnfStyle w:val="100000000000" w:firstRow="1" w:lastRow="0" w:firstColumn="0" w:lastColumn="0" w:oddVBand="0" w:evenVBand="0" w:oddHBand="0" w:evenHBand="0" w:firstRowFirstColumn="0" w:firstRowLastColumn="0" w:lastRowFirstColumn="0" w:lastRowLastColumn="0"/>
          <w:tblHeader/>
        </w:trPr>
        <w:tc>
          <w:tcPr>
            <w:tcW w:w="2500" w:type="pct"/>
          </w:tcPr>
          <w:p w14:paraId="1F23560F" w14:textId="77777777" w:rsidR="00FA2FF9" w:rsidRPr="00730DE4" w:rsidRDefault="00FA2FF9" w:rsidP="006A2BE0">
            <w:pPr>
              <w:pStyle w:val="NoSpacing"/>
              <w:rPr>
                <w:color w:val="FFFFFF" w:themeColor="background1"/>
              </w:rPr>
            </w:pPr>
            <w:r w:rsidRPr="00730DE4">
              <w:rPr>
                <w:color w:val="FFFFFF" w:themeColor="background1"/>
              </w:rPr>
              <w:t xml:space="preserve">Revenue </w:t>
            </w:r>
          </w:p>
        </w:tc>
        <w:tc>
          <w:tcPr>
            <w:tcW w:w="2500" w:type="pct"/>
          </w:tcPr>
          <w:p w14:paraId="29A93A5E" w14:textId="77777777" w:rsidR="00FA2FF9" w:rsidRPr="00730DE4" w:rsidRDefault="00FA2FF9" w:rsidP="006A2BE0">
            <w:pPr>
              <w:pStyle w:val="NoSpacing"/>
              <w:rPr>
                <w:color w:val="FFFFFF" w:themeColor="background1"/>
              </w:rPr>
            </w:pPr>
            <w:r w:rsidRPr="00730DE4">
              <w:rPr>
                <w:color w:val="FFFFFF" w:themeColor="background1"/>
              </w:rPr>
              <w:t>$’000</w:t>
            </w:r>
          </w:p>
        </w:tc>
      </w:tr>
      <w:tr w:rsidR="00FA2FF9" w:rsidRPr="00730DE4" w14:paraId="456E9BAE" w14:textId="77777777" w:rsidTr="006A2BE0">
        <w:trPr>
          <w:cnfStyle w:val="000000100000" w:firstRow="0" w:lastRow="0" w:firstColumn="0" w:lastColumn="0" w:oddVBand="0" w:evenVBand="0" w:oddHBand="1" w:evenHBand="0" w:firstRowFirstColumn="0" w:firstRowLastColumn="0" w:lastRowFirstColumn="0" w:lastRowLastColumn="0"/>
        </w:trPr>
        <w:tc>
          <w:tcPr>
            <w:tcW w:w="2500" w:type="pct"/>
          </w:tcPr>
          <w:p w14:paraId="5D460E2E" w14:textId="77777777" w:rsidR="00FA2FF9" w:rsidRPr="00730DE4" w:rsidRDefault="00FA2FF9" w:rsidP="006A2BE0">
            <w:pPr>
              <w:pStyle w:val="NoSpacing"/>
            </w:pPr>
            <w:r w:rsidRPr="00730DE4">
              <w:t>Queensland Treasury</w:t>
            </w:r>
          </w:p>
        </w:tc>
        <w:tc>
          <w:tcPr>
            <w:tcW w:w="2500" w:type="pct"/>
          </w:tcPr>
          <w:p w14:paraId="639AD1C7" w14:textId="77777777" w:rsidR="00FA2FF9" w:rsidRPr="00730DE4" w:rsidRDefault="00FA2FF9" w:rsidP="006A2BE0">
            <w:pPr>
              <w:pStyle w:val="NoSpacing"/>
            </w:pPr>
            <w:r w:rsidRPr="00730DE4">
              <w:t xml:space="preserve">464,297 </w:t>
            </w:r>
          </w:p>
        </w:tc>
      </w:tr>
    </w:tbl>
    <w:p w14:paraId="4B874BA5" w14:textId="77777777" w:rsidR="005009C7" w:rsidRDefault="005009C7" w:rsidP="002B7001">
      <w:pPr>
        <w:pStyle w:val="Heading3"/>
      </w:pPr>
      <w:r>
        <w:br w:type="page"/>
      </w:r>
    </w:p>
    <w:p w14:paraId="1070F2DB" w14:textId="026DDB6B" w:rsidR="00FA2FF9" w:rsidRPr="00730DE4" w:rsidRDefault="00FA2FF9" w:rsidP="002B7001">
      <w:pPr>
        <w:pStyle w:val="Heading3"/>
      </w:pPr>
      <w:bookmarkStart w:id="1749" w:name="_Toc180487806"/>
      <w:bookmarkStart w:id="1750" w:name="_Toc180491011"/>
      <w:bookmarkStart w:id="1751" w:name="_Toc180492044"/>
      <w:r w:rsidRPr="00730DE4">
        <w:t>Administrative/operational costs</w:t>
      </w:r>
      <w:bookmarkEnd w:id="1749"/>
      <w:bookmarkEnd w:id="1750"/>
      <w:bookmarkEnd w:id="1751"/>
      <w:r w:rsidRPr="00730DE4">
        <w:t xml:space="preserve"> </w:t>
      </w:r>
    </w:p>
    <w:p w14:paraId="58217028" w14:textId="77777777" w:rsidR="00FA2FF9" w:rsidRPr="00730DE4" w:rsidRDefault="00FA2FF9" w:rsidP="004C65BE">
      <w:pPr>
        <w:pStyle w:val="FigureCaption"/>
      </w:pPr>
      <w:r w:rsidRPr="00730DE4">
        <w:t xml:space="preserve">Table 47: CDOP financial overview for 2023–24—Administrative/operational costs </w:t>
      </w:r>
    </w:p>
    <w:tbl>
      <w:tblPr>
        <w:tblStyle w:val="TMRDefault"/>
        <w:tblW w:w="5000" w:type="pct"/>
        <w:tblLook w:val="04E0" w:firstRow="1" w:lastRow="1" w:firstColumn="1" w:lastColumn="0" w:noHBand="0" w:noVBand="1"/>
      </w:tblPr>
      <w:tblGrid>
        <w:gridCol w:w="12349"/>
        <w:gridCol w:w="1643"/>
      </w:tblGrid>
      <w:tr w:rsidR="00FA2FF9" w:rsidRPr="00730DE4" w14:paraId="4F7721D1" w14:textId="77777777" w:rsidTr="001155ED">
        <w:trPr>
          <w:cnfStyle w:val="100000000000" w:firstRow="1" w:lastRow="0" w:firstColumn="0" w:lastColumn="0" w:oddVBand="0" w:evenVBand="0" w:oddHBand="0" w:evenHBand="0" w:firstRowFirstColumn="0" w:firstRowLastColumn="0" w:lastRowFirstColumn="0" w:lastRowLastColumn="0"/>
        </w:trPr>
        <w:tc>
          <w:tcPr>
            <w:tcW w:w="4413" w:type="pct"/>
          </w:tcPr>
          <w:p w14:paraId="15D89C01" w14:textId="77777777" w:rsidR="00FA2FF9" w:rsidRPr="00730DE4" w:rsidRDefault="00FA2FF9" w:rsidP="006A2BE0">
            <w:pPr>
              <w:pStyle w:val="NoSpacing"/>
              <w:rPr>
                <w:color w:val="FFFFFF" w:themeColor="background1"/>
              </w:rPr>
            </w:pPr>
            <w:r w:rsidRPr="00730DE4">
              <w:rPr>
                <w:color w:val="FFFFFF" w:themeColor="background1"/>
              </w:rPr>
              <w:t>Expenditure</w:t>
            </w:r>
          </w:p>
        </w:tc>
        <w:tc>
          <w:tcPr>
            <w:tcW w:w="587" w:type="pct"/>
          </w:tcPr>
          <w:p w14:paraId="31E5944D" w14:textId="77777777" w:rsidR="00FA2FF9" w:rsidRPr="00730DE4" w:rsidRDefault="00FA2FF9" w:rsidP="000A65A9">
            <w:pPr>
              <w:pStyle w:val="NoSpacing"/>
              <w:jc w:val="right"/>
              <w:rPr>
                <w:color w:val="FFFFFF" w:themeColor="background1"/>
              </w:rPr>
            </w:pPr>
            <w:r w:rsidRPr="00730DE4">
              <w:rPr>
                <w:color w:val="FFFFFF" w:themeColor="background1"/>
              </w:rPr>
              <w:t>$’000</w:t>
            </w:r>
          </w:p>
        </w:tc>
      </w:tr>
      <w:tr w:rsidR="00FA2FF9" w:rsidRPr="00730DE4" w14:paraId="03327272" w14:textId="77777777" w:rsidTr="001155ED">
        <w:trPr>
          <w:cnfStyle w:val="000000100000" w:firstRow="0" w:lastRow="0" w:firstColumn="0" w:lastColumn="0" w:oddVBand="0" w:evenVBand="0" w:oddHBand="1" w:evenHBand="0" w:firstRowFirstColumn="0" w:firstRowLastColumn="0" w:lastRowFirstColumn="0" w:lastRowLastColumn="0"/>
        </w:trPr>
        <w:tc>
          <w:tcPr>
            <w:tcW w:w="4413" w:type="pct"/>
          </w:tcPr>
          <w:p w14:paraId="28593295" w14:textId="77777777" w:rsidR="00FA2FF9" w:rsidRPr="00730DE4" w:rsidRDefault="00FA2FF9" w:rsidP="006A2BE0">
            <w:pPr>
              <w:pStyle w:val="NoSpacing"/>
            </w:pPr>
            <w:r w:rsidRPr="00730DE4">
              <w:t>Department of Transport and Main Roads—operating</w:t>
            </w:r>
          </w:p>
        </w:tc>
        <w:tc>
          <w:tcPr>
            <w:tcW w:w="587" w:type="pct"/>
          </w:tcPr>
          <w:p w14:paraId="00F647F0" w14:textId="77777777" w:rsidR="00FA2FF9" w:rsidRPr="00730DE4" w:rsidRDefault="00FA2FF9" w:rsidP="000A65A9">
            <w:pPr>
              <w:pStyle w:val="NoSpacing"/>
              <w:jc w:val="right"/>
            </w:pPr>
            <w:r w:rsidRPr="00730DE4">
              <w:t>29,410</w:t>
            </w:r>
          </w:p>
        </w:tc>
      </w:tr>
      <w:tr w:rsidR="00FA2FF9" w:rsidRPr="00730DE4" w14:paraId="391C0463" w14:textId="77777777" w:rsidTr="001155ED">
        <w:tc>
          <w:tcPr>
            <w:tcW w:w="4413" w:type="pct"/>
          </w:tcPr>
          <w:p w14:paraId="415D31FE" w14:textId="77777777" w:rsidR="00FA2FF9" w:rsidRPr="00730DE4" w:rsidRDefault="00FA2FF9" w:rsidP="006A2BE0">
            <w:pPr>
              <w:pStyle w:val="NoSpacing"/>
            </w:pPr>
            <w:r w:rsidRPr="00730DE4">
              <w:t>Department of Transport and Main Roads—equity</w:t>
            </w:r>
          </w:p>
        </w:tc>
        <w:tc>
          <w:tcPr>
            <w:tcW w:w="587" w:type="pct"/>
          </w:tcPr>
          <w:p w14:paraId="2F53B38D" w14:textId="77777777" w:rsidR="00FA2FF9" w:rsidRPr="00730DE4" w:rsidRDefault="00FA2FF9" w:rsidP="000A65A9">
            <w:pPr>
              <w:pStyle w:val="NoSpacing"/>
              <w:jc w:val="right"/>
            </w:pPr>
            <w:r w:rsidRPr="00730DE4">
              <w:t>7964</w:t>
            </w:r>
          </w:p>
        </w:tc>
      </w:tr>
      <w:tr w:rsidR="00FA2FF9" w:rsidRPr="00730DE4" w14:paraId="2EC37C34" w14:textId="77777777" w:rsidTr="001155ED">
        <w:trPr>
          <w:cnfStyle w:val="000000100000" w:firstRow="0" w:lastRow="0" w:firstColumn="0" w:lastColumn="0" w:oddVBand="0" w:evenVBand="0" w:oddHBand="1" w:evenHBand="0" w:firstRowFirstColumn="0" w:firstRowLastColumn="0" w:lastRowFirstColumn="0" w:lastRowLastColumn="0"/>
        </w:trPr>
        <w:tc>
          <w:tcPr>
            <w:tcW w:w="4413" w:type="pct"/>
          </w:tcPr>
          <w:p w14:paraId="02E10D7B" w14:textId="77777777" w:rsidR="00FA2FF9" w:rsidRPr="00730DE4" w:rsidRDefault="00FA2FF9" w:rsidP="006A2BE0">
            <w:pPr>
              <w:pStyle w:val="NoSpacing"/>
            </w:pPr>
            <w:r w:rsidRPr="00730DE4">
              <w:t xml:space="preserve">Queensland Police Service—operating (including road safety enforcement initiatives) </w:t>
            </w:r>
          </w:p>
        </w:tc>
        <w:tc>
          <w:tcPr>
            <w:tcW w:w="587" w:type="pct"/>
          </w:tcPr>
          <w:p w14:paraId="0ECECE0D" w14:textId="77777777" w:rsidR="00FA2FF9" w:rsidRPr="00730DE4" w:rsidRDefault="00FA2FF9" w:rsidP="000A65A9">
            <w:pPr>
              <w:pStyle w:val="NoSpacing"/>
              <w:jc w:val="right"/>
            </w:pPr>
            <w:r w:rsidRPr="00730DE4">
              <w:t>35,689</w:t>
            </w:r>
          </w:p>
        </w:tc>
      </w:tr>
      <w:tr w:rsidR="00FA2FF9" w:rsidRPr="00730DE4" w14:paraId="79807D07" w14:textId="77777777" w:rsidTr="001155ED">
        <w:tc>
          <w:tcPr>
            <w:tcW w:w="4413" w:type="pct"/>
          </w:tcPr>
          <w:p w14:paraId="1C809934" w14:textId="77777777" w:rsidR="00FA2FF9" w:rsidRPr="00730DE4" w:rsidRDefault="00FA2FF9" w:rsidP="006A2BE0">
            <w:pPr>
              <w:pStyle w:val="NoSpacing"/>
            </w:pPr>
            <w:r w:rsidRPr="00730DE4">
              <w:t>Queensland Police Service—equity</w:t>
            </w:r>
          </w:p>
        </w:tc>
        <w:tc>
          <w:tcPr>
            <w:tcW w:w="587" w:type="pct"/>
          </w:tcPr>
          <w:p w14:paraId="0C823038" w14:textId="77777777" w:rsidR="00FA2FF9" w:rsidRPr="00730DE4" w:rsidRDefault="00FA2FF9" w:rsidP="000A65A9">
            <w:pPr>
              <w:pStyle w:val="NoSpacing"/>
              <w:jc w:val="right"/>
            </w:pPr>
            <w:r w:rsidRPr="00730DE4">
              <w:t>1865</w:t>
            </w:r>
          </w:p>
        </w:tc>
      </w:tr>
      <w:tr w:rsidR="00FA2FF9" w:rsidRPr="00730DE4" w14:paraId="0EFA953F" w14:textId="77777777" w:rsidTr="001155ED">
        <w:trPr>
          <w:cnfStyle w:val="000000100000" w:firstRow="0" w:lastRow="0" w:firstColumn="0" w:lastColumn="0" w:oddVBand="0" w:evenVBand="0" w:oddHBand="1" w:evenHBand="0" w:firstRowFirstColumn="0" w:firstRowLastColumn="0" w:lastRowFirstColumn="0" w:lastRowLastColumn="0"/>
        </w:trPr>
        <w:tc>
          <w:tcPr>
            <w:tcW w:w="4413" w:type="pct"/>
          </w:tcPr>
          <w:p w14:paraId="51496795" w14:textId="77777777" w:rsidR="00FA2FF9" w:rsidRPr="00730DE4" w:rsidRDefault="00FA2FF9" w:rsidP="006A2BE0">
            <w:pPr>
              <w:pStyle w:val="NoSpacing"/>
            </w:pPr>
            <w:r w:rsidRPr="00730DE4">
              <w:t>Queensland Treasury</w:t>
            </w:r>
          </w:p>
        </w:tc>
        <w:tc>
          <w:tcPr>
            <w:tcW w:w="587" w:type="pct"/>
          </w:tcPr>
          <w:p w14:paraId="0817AAA8" w14:textId="77777777" w:rsidR="00FA2FF9" w:rsidRPr="00730DE4" w:rsidRDefault="00FA2FF9" w:rsidP="000A65A9">
            <w:pPr>
              <w:pStyle w:val="NoSpacing"/>
              <w:jc w:val="right"/>
            </w:pPr>
            <w:r w:rsidRPr="00730DE4">
              <w:t>52,359</w:t>
            </w:r>
          </w:p>
        </w:tc>
      </w:tr>
      <w:tr w:rsidR="00FA2FF9" w:rsidRPr="00730DE4" w14:paraId="316A8440" w14:textId="77777777" w:rsidTr="001155ED">
        <w:trPr>
          <w:cnfStyle w:val="010000000000" w:firstRow="0" w:lastRow="1" w:firstColumn="0" w:lastColumn="0" w:oddVBand="0" w:evenVBand="0" w:oddHBand="0" w:evenHBand="0" w:firstRowFirstColumn="0" w:firstRowLastColumn="0" w:lastRowFirstColumn="0" w:lastRowLastColumn="0"/>
        </w:trPr>
        <w:tc>
          <w:tcPr>
            <w:tcW w:w="4413" w:type="pct"/>
          </w:tcPr>
          <w:p w14:paraId="3E3C5DCA" w14:textId="77777777" w:rsidR="00FA2FF9" w:rsidRPr="00730DE4" w:rsidRDefault="00FA2FF9" w:rsidP="006A2BE0">
            <w:pPr>
              <w:pStyle w:val="NoSpacing"/>
            </w:pPr>
            <w:r w:rsidRPr="00730DE4">
              <w:t>Total administrative/operational costs</w:t>
            </w:r>
          </w:p>
        </w:tc>
        <w:tc>
          <w:tcPr>
            <w:tcW w:w="587" w:type="pct"/>
          </w:tcPr>
          <w:p w14:paraId="2CE6E84C" w14:textId="77777777" w:rsidR="00FA2FF9" w:rsidRPr="00730DE4" w:rsidRDefault="00FA2FF9" w:rsidP="000A65A9">
            <w:pPr>
              <w:pStyle w:val="NoSpacing"/>
              <w:jc w:val="right"/>
            </w:pPr>
            <w:r w:rsidRPr="00730DE4">
              <w:t>127,289</w:t>
            </w:r>
          </w:p>
        </w:tc>
      </w:tr>
    </w:tbl>
    <w:p w14:paraId="59ADF572" w14:textId="77777777" w:rsidR="005009C7" w:rsidRDefault="005009C7" w:rsidP="002B7001">
      <w:pPr>
        <w:pStyle w:val="Heading3"/>
      </w:pPr>
      <w:r>
        <w:br w:type="page"/>
      </w:r>
    </w:p>
    <w:p w14:paraId="32639CEB" w14:textId="33302952" w:rsidR="00FA2FF9" w:rsidRPr="00730DE4" w:rsidRDefault="00FA2FF9" w:rsidP="002B7001">
      <w:pPr>
        <w:pStyle w:val="Heading3"/>
      </w:pPr>
      <w:bookmarkStart w:id="1752" w:name="_Toc180487807"/>
      <w:bookmarkStart w:id="1753" w:name="_Toc180491012"/>
      <w:bookmarkStart w:id="1754" w:name="_Toc180492045"/>
      <w:r w:rsidRPr="00730DE4">
        <w:t>Expenditure from remaining revenue</w:t>
      </w:r>
      <w:bookmarkEnd w:id="1752"/>
      <w:bookmarkEnd w:id="1753"/>
      <w:bookmarkEnd w:id="1754"/>
    </w:p>
    <w:p w14:paraId="3287AB9A" w14:textId="77777777" w:rsidR="00FA2FF9" w:rsidRPr="00730DE4" w:rsidRDefault="00FA2FF9" w:rsidP="004C65BE">
      <w:pPr>
        <w:pStyle w:val="FigureCaption"/>
      </w:pPr>
      <w:r w:rsidRPr="00730DE4">
        <w:t>Table 48: CDOP financial overview 2023–24—Road safety education and awareness and enabling practices</w:t>
      </w:r>
    </w:p>
    <w:tbl>
      <w:tblPr>
        <w:tblStyle w:val="TMRDefault"/>
        <w:tblW w:w="5000" w:type="pct"/>
        <w:tblLook w:val="04A0" w:firstRow="1" w:lastRow="0" w:firstColumn="1" w:lastColumn="0" w:noHBand="0" w:noVBand="1"/>
      </w:tblPr>
      <w:tblGrid>
        <w:gridCol w:w="10494"/>
        <w:gridCol w:w="3498"/>
      </w:tblGrid>
      <w:tr w:rsidR="00FA2FF9" w:rsidRPr="00730DE4" w14:paraId="531A7E01" w14:textId="77777777" w:rsidTr="001155ED">
        <w:trPr>
          <w:cnfStyle w:val="100000000000" w:firstRow="1" w:lastRow="0" w:firstColumn="0" w:lastColumn="0" w:oddVBand="0" w:evenVBand="0" w:oddHBand="0" w:evenHBand="0" w:firstRowFirstColumn="0" w:firstRowLastColumn="0" w:lastRowFirstColumn="0" w:lastRowLastColumn="0"/>
        </w:trPr>
        <w:tc>
          <w:tcPr>
            <w:tcW w:w="3750" w:type="pct"/>
          </w:tcPr>
          <w:p w14:paraId="19CF10AF" w14:textId="77777777" w:rsidR="00FA2FF9" w:rsidRPr="00730DE4" w:rsidRDefault="00FA2FF9" w:rsidP="006A2BE0">
            <w:pPr>
              <w:pStyle w:val="NoSpacing"/>
              <w:rPr>
                <w:color w:val="FFFFFF" w:themeColor="background1"/>
              </w:rPr>
            </w:pPr>
            <w:r w:rsidRPr="00730DE4">
              <w:rPr>
                <w:color w:val="FFFFFF" w:themeColor="background1"/>
              </w:rPr>
              <w:t>Expenditure</w:t>
            </w:r>
          </w:p>
        </w:tc>
        <w:tc>
          <w:tcPr>
            <w:tcW w:w="1250" w:type="pct"/>
          </w:tcPr>
          <w:p w14:paraId="37BFC5F8" w14:textId="77777777" w:rsidR="00FA2FF9" w:rsidRPr="00730DE4" w:rsidRDefault="00FA2FF9" w:rsidP="000A65A9">
            <w:pPr>
              <w:pStyle w:val="NoSpacing"/>
              <w:jc w:val="right"/>
              <w:rPr>
                <w:color w:val="FFFFFF" w:themeColor="background1"/>
              </w:rPr>
            </w:pPr>
            <w:r w:rsidRPr="00730DE4">
              <w:rPr>
                <w:color w:val="FFFFFF" w:themeColor="background1"/>
              </w:rPr>
              <w:t>$’000</w:t>
            </w:r>
          </w:p>
        </w:tc>
      </w:tr>
      <w:tr w:rsidR="00FA2FF9" w:rsidRPr="00730DE4" w14:paraId="3DD1FE39" w14:textId="77777777" w:rsidTr="001155ED">
        <w:trPr>
          <w:cnfStyle w:val="000000100000" w:firstRow="0" w:lastRow="0" w:firstColumn="0" w:lastColumn="0" w:oddVBand="0" w:evenVBand="0" w:oddHBand="1" w:evenHBand="0" w:firstRowFirstColumn="0" w:firstRowLastColumn="0" w:lastRowFirstColumn="0" w:lastRowLastColumn="0"/>
        </w:trPr>
        <w:tc>
          <w:tcPr>
            <w:tcW w:w="3750" w:type="pct"/>
          </w:tcPr>
          <w:p w14:paraId="3A60CE12" w14:textId="77777777" w:rsidR="00FA2FF9" w:rsidRPr="00730DE4" w:rsidRDefault="00FA2FF9" w:rsidP="006A2BE0">
            <w:pPr>
              <w:pStyle w:val="NoSpacing"/>
            </w:pPr>
            <w:r w:rsidRPr="00730DE4">
              <w:t>Department of Transport and Main Roads—operating</w:t>
            </w:r>
          </w:p>
        </w:tc>
        <w:tc>
          <w:tcPr>
            <w:tcW w:w="1250" w:type="pct"/>
          </w:tcPr>
          <w:p w14:paraId="2ECE5CFC" w14:textId="77777777" w:rsidR="00FA2FF9" w:rsidRPr="00730DE4" w:rsidRDefault="00FA2FF9" w:rsidP="000A65A9">
            <w:pPr>
              <w:pStyle w:val="NoSpacing"/>
              <w:jc w:val="right"/>
            </w:pPr>
            <w:r w:rsidRPr="00730DE4">
              <w:t>32,373</w:t>
            </w:r>
          </w:p>
        </w:tc>
      </w:tr>
      <w:tr w:rsidR="00FA2FF9" w:rsidRPr="00730DE4" w14:paraId="17CB1453" w14:textId="77777777" w:rsidTr="001155ED">
        <w:tc>
          <w:tcPr>
            <w:tcW w:w="3750" w:type="pct"/>
          </w:tcPr>
          <w:p w14:paraId="3C129FE8" w14:textId="77777777" w:rsidR="00FA2FF9" w:rsidRPr="00730DE4" w:rsidRDefault="00FA2FF9" w:rsidP="006A2BE0">
            <w:pPr>
              <w:pStyle w:val="NoSpacing"/>
            </w:pPr>
            <w:r w:rsidRPr="00730DE4">
              <w:t>Department of Transport and Main Roads—equity</w:t>
            </w:r>
          </w:p>
        </w:tc>
        <w:tc>
          <w:tcPr>
            <w:tcW w:w="1250" w:type="pct"/>
          </w:tcPr>
          <w:p w14:paraId="318D60E6" w14:textId="77777777" w:rsidR="00FA2FF9" w:rsidRPr="00730DE4" w:rsidRDefault="00FA2FF9" w:rsidP="000A65A9">
            <w:pPr>
              <w:pStyle w:val="NoSpacing"/>
              <w:jc w:val="right"/>
            </w:pPr>
            <w:r w:rsidRPr="00730DE4">
              <w:t>2714</w:t>
            </w:r>
          </w:p>
        </w:tc>
      </w:tr>
      <w:tr w:rsidR="00FA2FF9" w:rsidRPr="00730DE4" w14:paraId="7E518BE5" w14:textId="77777777" w:rsidTr="001155ED">
        <w:trPr>
          <w:cnfStyle w:val="000000100000" w:firstRow="0" w:lastRow="0" w:firstColumn="0" w:lastColumn="0" w:oddVBand="0" w:evenVBand="0" w:oddHBand="1" w:evenHBand="0" w:firstRowFirstColumn="0" w:firstRowLastColumn="0" w:lastRowFirstColumn="0" w:lastRowLastColumn="0"/>
        </w:trPr>
        <w:tc>
          <w:tcPr>
            <w:tcW w:w="3750" w:type="pct"/>
          </w:tcPr>
          <w:p w14:paraId="64D7738A" w14:textId="77777777" w:rsidR="00FA2FF9" w:rsidRPr="00730DE4" w:rsidRDefault="00FA2FF9" w:rsidP="006A2BE0">
            <w:pPr>
              <w:pStyle w:val="NoSpacing"/>
            </w:pPr>
            <w:r w:rsidRPr="00730DE4">
              <w:t>Queensland Fire and Emergency Services</w:t>
            </w:r>
          </w:p>
        </w:tc>
        <w:tc>
          <w:tcPr>
            <w:tcW w:w="1250" w:type="pct"/>
          </w:tcPr>
          <w:p w14:paraId="38786899" w14:textId="77777777" w:rsidR="00FA2FF9" w:rsidRPr="00730DE4" w:rsidRDefault="00FA2FF9" w:rsidP="000A65A9">
            <w:pPr>
              <w:pStyle w:val="NoSpacing"/>
              <w:jc w:val="right"/>
            </w:pPr>
            <w:r w:rsidRPr="00730DE4">
              <w:t>343</w:t>
            </w:r>
          </w:p>
        </w:tc>
      </w:tr>
      <w:tr w:rsidR="00FA2FF9" w:rsidRPr="00730DE4" w14:paraId="30D58F0D" w14:textId="77777777" w:rsidTr="001155ED">
        <w:tc>
          <w:tcPr>
            <w:tcW w:w="3750" w:type="pct"/>
          </w:tcPr>
          <w:p w14:paraId="1970D9FD" w14:textId="77777777" w:rsidR="00FA2FF9" w:rsidRPr="00730DE4" w:rsidRDefault="00FA2FF9" w:rsidP="006A2BE0">
            <w:pPr>
              <w:pStyle w:val="NoSpacing"/>
            </w:pPr>
            <w:r w:rsidRPr="00730DE4">
              <w:t>Queensland Reconstruction Authority</w:t>
            </w:r>
          </w:p>
        </w:tc>
        <w:tc>
          <w:tcPr>
            <w:tcW w:w="1250" w:type="pct"/>
          </w:tcPr>
          <w:p w14:paraId="196773E3" w14:textId="77777777" w:rsidR="00FA2FF9" w:rsidRPr="00730DE4" w:rsidRDefault="00FA2FF9" w:rsidP="000A65A9">
            <w:pPr>
              <w:pStyle w:val="NoSpacing"/>
              <w:jc w:val="right"/>
            </w:pPr>
            <w:r w:rsidRPr="00730DE4">
              <w:t>1881</w:t>
            </w:r>
          </w:p>
        </w:tc>
      </w:tr>
      <w:tr w:rsidR="00FA2FF9" w:rsidRPr="00730DE4" w14:paraId="473F59E7" w14:textId="77777777" w:rsidTr="001155ED">
        <w:trPr>
          <w:cnfStyle w:val="000000100000" w:firstRow="0" w:lastRow="0" w:firstColumn="0" w:lastColumn="0" w:oddVBand="0" w:evenVBand="0" w:oddHBand="1" w:evenHBand="0" w:firstRowFirstColumn="0" w:firstRowLastColumn="0" w:lastRowFirstColumn="0" w:lastRowLastColumn="0"/>
        </w:trPr>
        <w:tc>
          <w:tcPr>
            <w:tcW w:w="3750" w:type="pct"/>
          </w:tcPr>
          <w:p w14:paraId="0BDDB96C" w14:textId="77777777" w:rsidR="00FA2FF9" w:rsidRPr="00730DE4" w:rsidRDefault="00FA2FF9" w:rsidP="006A2BE0">
            <w:pPr>
              <w:pStyle w:val="NoSpacing"/>
            </w:pPr>
            <w:r w:rsidRPr="00730DE4">
              <w:t>Queensland Police Service—operating</w:t>
            </w:r>
          </w:p>
        </w:tc>
        <w:tc>
          <w:tcPr>
            <w:tcW w:w="1250" w:type="pct"/>
          </w:tcPr>
          <w:p w14:paraId="541F1397" w14:textId="77777777" w:rsidR="00FA2FF9" w:rsidRPr="00730DE4" w:rsidRDefault="00FA2FF9" w:rsidP="000A65A9">
            <w:pPr>
              <w:pStyle w:val="NoSpacing"/>
              <w:jc w:val="right"/>
            </w:pPr>
            <w:r w:rsidRPr="00730DE4">
              <w:t>1665</w:t>
            </w:r>
          </w:p>
        </w:tc>
      </w:tr>
    </w:tbl>
    <w:p w14:paraId="22EBA701" w14:textId="3083E35D" w:rsidR="00FA2FF9" w:rsidRPr="00730DE4" w:rsidRDefault="00FA2FF9" w:rsidP="005D3FA3">
      <w:pPr>
        <w:pStyle w:val="FigureCaption"/>
      </w:pPr>
      <w:r w:rsidRPr="00730DE4">
        <w:t>Table 49: CDOP financial overview for 2023–24—Road accident injury rehabilitation programs</w:t>
      </w:r>
    </w:p>
    <w:tbl>
      <w:tblPr>
        <w:tblStyle w:val="TMRDefault"/>
        <w:tblW w:w="5000" w:type="pct"/>
        <w:tblLook w:val="04A0" w:firstRow="1" w:lastRow="0" w:firstColumn="1" w:lastColumn="0" w:noHBand="0" w:noVBand="1"/>
      </w:tblPr>
      <w:tblGrid>
        <w:gridCol w:w="10494"/>
        <w:gridCol w:w="3498"/>
      </w:tblGrid>
      <w:tr w:rsidR="00FA2FF9" w:rsidRPr="00730DE4" w14:paraId="0E38F087" w14:textId="77777777" w:rsidTr="006A2BE0">
        <w:trPr>
          <w:cnfStyle w:val="100000000000" w:firstRow="1" w:lastRow="0" w:firstColumn="0" w:lastColumn="0" w:oddVBand="0" w:evenVBand="0" w:oddHBand="0" w:evenHBand="0" w:firstRowFirstColumn="0" w:firstRowLastColumn="0" w:lastRowFirstColumn="0" w:lastRowLastColumn="0"/>
          <w:tblHeader/>
        </w:trPr>
        <w:tc>
          <w:tcPr>
            <w:tcW w:w="3750" w:type="pct"/>
          </w:tcPr>
          <w:p w14:paraId="45729EFD" w14:textId="77777777" w:rsidR="00FA2FF9" w:rsidRPr="00730DE4" w:rsidRDefault="00FA2FF9" w:rsidP="006A2BE0">
            <w:pPr>
              <w:pStyle w:val="NoSpacing"/>
              <w:rPr>
                <w:color w:val="FFFFFF" w:themeColor="background1"/>
              </w:rPr>
            </w:pPr>
            <w:r w:rsidRPr="00730DE4">
              <w:rPr>
                <w:color w:val="FFFFFF" w:themeColor="background1"/>
              </w:rPr>
              <w:t xml:space="preserve">Expenditure </w:t>
            </w:r>
          </w:p>
        </w:tc>
        <w:tc>
          <w:tcPr>
            <w:tcW w:w="1250" w:type="pct"/>
          </w:tcPr>
          <w:p w14:paraId="594A30A4" w14:textId="77777777" w:rsidR="00FA2FF9" w:rsidRPr="00730DE4" w:rsidRDefault="00FA2FF9" w:rsidP="000A65A9">
            <w:pPr>
              <w:pStyle w:val="NoSpacing"/>
              <w:jc w:val="right"/>
              <w:rPr>
                <w:color w:val="FFFFFF" w:themeColor="background1"/>
              </w:rPr>
            </w:pPr>
            <w:r w:rsidRPr="00730DE4">
              <w:rPr>
                <w:color w:val="FFFFFF" w:themeColor="background1"/>
              </w:rPr>
              <w:t>$’000</w:t>
            </w:r>
          </w:p>
        </w:tc>
      </w:tr>
      <w:tr w:rsidR="00FA2FF9" w:rsidRPr="00730DE4" w14:paraId="567A0A65" w14:textId="77777777" w:rsidTr="006A2BE0">
        <w:trPr>
          <w:cnfStyle w:val="000000100000" w:firstRow="0" w:lastRow="0" w:firstColumn="0" w:lastColumn="0" w:oddVBand="0" w:evenVBand="0" w:oddHBand="1" w:evenHBand="0" w:firstRowFirstColumn="0" w:firstRowLastColumn="0" w:lastRowFirstColumn="0" w:lastRowLastColumn="0"/>
        </w:trPr>
        <w:tc>
          <w:tcPr>
            <w:tcW w:w="3750" w:type="pct"/>
          </w:tcPr>
          <w:p w14:paraId="39702291" w14:textId="77777777" w:rsidR="00FA2FF9" w:rsidRPr="00730DE4" w:rsidRDefault="00FA2FF9" w:rsidP="006A2BE0">
            <w:pPr>
              <w:pStyle w:val="NoSpacing"/>
            </w:pPr>
            <w:r w:rsidRPr="00730DE4">
              <w:t>Queensland Health—to support the purchase of blood products used in the treatment of victims of road trauma</w:t>
            </w:r>
          </w:p>
        </w:tc>
        <w:tc>
          <w:tcPr>
            <w:tcW w:w="1250" w:type="pct"/>
          </w:tcPr>
          <w:p w14:paraId="1DEADF02" w14:textId="77777777" w:rsidR="00FA2FF9" w:rsidRPr="00730DE4" w:rsidRDefault="00FA2FF9" w:rsidP="000A65A9">
            <w:pPr>
              <w:pStyle w:val="NoSpacing"/>
              <w:jc w:val="right"/>
            </w:pPr>
            <w:r w:rsidRPr="00730DE4">
              <w:t>4500</w:t>
            </w:r>
          </w:p>
        </w:tc>
      </w:tr>
    </w:tbl>
    <w:p w14:paraId="12322A35" w14:textId="77777777" w:rsidR="00FA2FF9" w:rsidRPr="00730DE4" w:rsidRDefault="00FA2FF9" w:rsidP="00A90B39">
      <w:pPr>
        <w:pStyle w:val="FigureCaption"/>
      </w:pPr>
      <w:r w:rsidRPr="00730DE4">
        <w:t>Table 50: CDOP financial overview for 2023–24—Improvements to the safety of state-controlled roads</w:t>
      </w:r>
    </w:p>
    <w:tbl>
      <w:tblPr>
        <w:tblStyle w:val="TMRDefault"/>
        <w:tblW w:w="5000" w:type="pct"/>
        <w:tblLook w:val="04A0" w:firstRow="1" w:lastRow="0" w:firstColumn="1" w:lastColumn="0" w:noHBand="0" w:noVBand="1"/>
      </w:tblPr>
      <w:tblGrid>
        <w:gridCol w:w="10494"/>
        <w:gridCol w:w="3498"/>
      </w:tblGrid>
      <w:tr w:rsidR="00FA2FF9" w:rsidRPr="00730DE4" w14:paraId="0E5C332B" w14:textId="77777777" w:rsidTr="006A2BE0">
        <w:trPr>
          <w:cnfStyle w:val="100000000000" w:firstRow="1" w:lastRow="0" w:firstColumn="0" w:lastColumn="0" w:oddVBand="0" w:evenVBand="0" w:oddHBand="0" w:evenHBand="0" w:firstRowFirstColumn="0" w:firstRowLastColumn="0" w:lastRowFirstColumn="0" w:lastRowLastColumn="0"/>
          <w:tblHeader/>
        </w:trPr>
        <w:tc>
          <w:tcPr>
            <w:tcW w:w="3750" w:type="pct"/>
          </w:tcPr>
          <w:p w14:paraId="2989FF15" w14:textId="77777777" w:rsidR="00FA2FF9" w:rsidRPr="00730DE4" w:rsidRDefault="00FA2FF9" w:rsidP="006A2BE0">
            <w:pPr>
              <w:pStyle w:val="NoSpacing"/>
              <w:rPr>
                <w:color w:val="FFFFFF" w:themeColor="background1"/>
              </w:rPr>
            </w:pPr>
            <w:r w:rsidRPr="00730DE4">
              <w:rPr>
                <w:color w:val="FFFFFF" w:themeColor="background1"/>
              </w:rPr>
              <w:t>Expenditure</w:t>
            </w:r>
          </w:p>
        </w:tc>
        <w:tc>
          <w:tcPr>
            <w:tcW w:w="1250" w:type="pct"/>
          </w:tcPr>
          <w:p w14:paraId="2E0B9B93" w14:textId="77777777" w:rsidR="00FA2FF9" w:rsidRPr="00730DE4" w:rsidRDefault="00FA2FF9" w:rsidP="000A65A9">
            <w:pPr>
              <w:pStyle w:val="NoSpacing"/>
              <w:jc w:val="right"/>
              <w:rPr>
                <w:color w:val="FFFFFF" w:themeColor="background1"/>
              </w:rPr>
            </w:pPr>
            <w:r w:rsidRPr="00730DE4">
              <w:rPr>
                <w:color w:val="FFFFFF" w:themeColor="background1"/>
              </w:rPr>
              <w:t>$’000</w:t>
            </w:r>
          </w:p>
        </w:tc>
      </w:tr>
      <w:tr w:rsidR="00FA2FF9" w:rsidRPr="00730DE4" w14:paraId="4F64D4B8" w14:textId="77777777" w:rsidTr="006A2BE0">
        <w:trPr>
          <w:cnfStyle w:val="000000100000" w:firstRow="0" w:lastRow="0" w:firstColumn="0" w:lastColumn="0" w:oddVBand="0" w:evenVBand="0" w:oddHBand="1" w:evenHBand="0" w:firstRowFirstColumn="0" w:firstRowLastColumn="0" w:lastRowFirstColumn="0" w:lastRowLastColumn="0"/>
        </w:trPr>
        <w:tc>
          <w:tcPr>
            <w:tcW w:w="3750" w:type="pct"/>
          </w:tcPr>
          <w:p w14:paraId="0223A728" w14:textId="77777777" w:rsidR="00FA2FF9" w:rsidRPr="00730DE4" w:rsidRDefault="00FA2FF9" w:rsidP="006A2BE0">
            <w:pPr>
              <w:pStyle w:val="NoSpacing"/>
            </w:pPr>
            <w:r w:rsidRPr="00730DE4">
              <w:t>Department of Transport and Main Roads—operating</w:t>
            </w:r>
          </w:p>
        </w:tc>
        <w:tc>
          <w:tcPr>
            <w:tcW w:w="1250" w:type="pct"/>
          </w:tcPr>
          <w:p w14:paraId="2CD0554A" w14:textId="77777777" w:rsidR="00FA2FF9" w:rsidRPr="00730DE4" w:rsidRDefault="00FA2FF9" w:rsidP="000A65A9">
            <w:pPr>
              <w:pStyle w:val="NoSpacing"/>
              <w:jc w:val="right"/>
            </w:pPr>
            <w:r w:rsidRPr="00730DE4">
              <w:t>2580</w:t>
            </w:r>
          </w:p>
        </w:tc>
      </w:tr>
      <w:tr w:rsidR="00FA2FF9" w:rsidRPr="00730DE4" w14:paraId="70D660C1" w14:textId="77777777" w:rsidTr="006A2BE0">
        <w:tc>
          <w:tcPr>
            <w:tcW w:w="3750" w:type="pct"/>
          </w:tcPr>
          <w:p w14:paraId="6A4189B5" w14:textId="77777777" w:rsidR="00FA2FF9" w:rsidRPr="00730DE4" w:rsidRDefault="00FA2FF9" w:rsidP="006A2BE0">
            <w:pPr>
              <w:pStyle w:val="NoSpacing"/>
            </w:pPr>
            <w:r w:rsidRPr="00730DE4">
              <w:t>Department of Transport and Main Roads—equity</w:t>
            </w:r>
          </w:p>
        </w:tc>
        <w:tc>
          <w:tcPr>
            <w:tcW w:w="1250" w:type="pct"/>
          </w:tcPr>
          <w:p w14:paraId="6F4CD00C" w14:textId="77777777" w:rsidR="00FA2FF9" w:rsidRPr="00730DE4" w:rsidRDefault="00FA2FF9" w:rsidP="000A65A9">
            <w:pPr>
              <w:pStyle w:val="NoSpacing"/>
              <w:jc w:val="right"/>
            </w:pPr>
            <w:r w:rsidRPr="00730DE4">
              <w:t>189,217</w:t>
            </w:r>
          </w:p>
        </w:tc>
      </w:tr>
    </w:tbl>
    <w:p w14:paraId="2F5393C3" w14:textId="77777777" w:rsidR="00FA2FF9" w:rsidRPr="00730DE4" w:rsidRDefault="00FA2FF9" w:rsidP="00A90B39">
      <w:pPr>
        <w:pStyle w:val="FigureCaption"/>
      </w:pPr>
      <w:r w:rsidRPr="00730DE4">
        <w:t>Table 51: CDOP financial overview for 2023–24—Totals</w:t>
      </w:r>
    </w:p>
    <w:tbl>
      <w:tblPr>
        <w:tblStyle w:val="TMRDefault"/>
        <w:tblW w:w="5000" w:type="pct"/>
        <w:tblLook w:val="04A0" w:firstRow="1" w:lastRow="0" w:firstColumn="1" w:lastColumn="0" w:noHBand="0" w:noVBand="1"/>
      </w:tblPr>
      <w:tblGrid>
        <w:gridCol w:w="7698"/>
        <w:gridCol w:w="3014"/>
        <w:gridCol w:w="3280"/>
      </w:tblGrid>
      <w:tr w:rsidR="00FA2FF9" w:rsidRPr="00730DE4" w14:paraId="71A4856F" w14:textId="77777777" w:rsidTr="006A2BE0">
        <w:trPr>
          <w:cnfStyle w:val="100000000000" w:firstRow="1" w:lastRow="0" w:firstColumn="0" w:lastColumn="0" w:oddVBand="0" w:evenVBand="0" w:oddHBand="0" w:evenHBand="0" w:firstRowFirstColumn="0" w:firstRowLastColumn="0" w:lastRowFirstColumn="0" w:lastRowLastColumn="0"/>
          <w:tblHeader/>
        </w:trPr>
        <w:tc>
          <w:tcPr>
            <w:tcW w:w="2751" w:type="pct"/>
          </w:tcPr>
          <w:p w14:paraId="34585F9B" w14:textId="77777777" w:rsidR="00FA2FF9" w:rsidRPr="00730DE4" w:rsidRDefault="00FA2FF9" w:rsidP="006A2BE0">
            <w:pPr>
              <w:pStyle w:val="NoSpacing"/>
              <w:rPr>
                <w:color w:val="FFFFFF" w:themeColor="background1"/>
              </w:rPr>
            </w:pPr>
            <w:r w:rsidRPr="00730DE4">
              <w:rPr>
                <w:color w:val="FFFFFF" w:themeColor="background1"/>
              </w:rPr>
              <w:t>Totals</w:t>
            </w:r>
          </w:p>
        </w:tc>
        <w:tc>
          <w:tcPr>
            <w:tcW w:w="1077" w:type="pct"/>
          </w:tcPr>
          <w:p w14:paraId="3D5886E3" w14:textId="77777777" w:rsidR="00FA2FF9" w:rsidRPr="00730DE4" w:rsidRDefault="00FA2FF9" w:rsidP="000A65A9">
            <w:pPr>
              <w:pStyle w:val="NoSpacing"/>
              <w:jc w:val="right"/>
              <w:rPr>
                <w:color w:val="FFFFFF" w:themeColor="background1"/>
              </w:rPr>
            </w:pPr>
            <w:r w:rsidRPr="00730DE4">
              <w:rPr>
                <w:color w:val="FFFFFF" w:themeColor="background1"/>
              </w:rPr>
              <w:t>$’000</w:t>
            </w:r>
          </w:p>
        </w:tc>
        <w:tc>
          <w:tcPr>
            <w:tcW w:w="1172" w:type="pct"/>
          </w:tcPr>
          <w:p w14:paraId="083B9A8B" w14:textId="77777777" w:rsidR="00FA2FF9" w:rsidRPr="00730DE4" w:rsidRDefault="00FA2FF9" w:rsidP="000A65A9">
            <w:pPr>
              <w:pStyle w:val="NoSpacing"/>
              <w:jc w:val="right"/>
              <w:rPr>
                <w:color w:val="FFFFFF" w:themeColor="background1"/>
              </w:rPr>
            </w:pPr>
            <w:r w:rsidRPr="00730DE4">
              <w:rPr>
                <w:color w:val="FFFFFF" w:themeColor="background1"/>
              </w:rPr>
              <w:t>$’000</w:t>
            </w:r>
          </w:p>
        </w:tc>
      </w:tr>
      <w:tr w:rsidR="000A65A9" w:rsidRPr="00730DE4" w14:paraId="0CB63355" w14:textId="77777777" w:rsidTr="006A2BE0">
        <w:trPr>
          <w:cnfStyle w:val="000000100000" w:firstRow="0" w:lastRow="0" w:firstColumn="0" w:lastColumn="0" w:oddVBand="0" w:evenVBand="0" w:oddHBand="1" w:evenHBand="0" w:firstRowFirstColumn="0" w:firstRowLastColumn="0" w:lastRowFirstColumn="0" w:lastRowLastColumn="0"/>
        </w:trPr>
        <w:tc>
          <w:tcPr>
            <w:tcW w:w="2751" w:type="pct"/>
          </w:tcPr>
          <w:p w14:paraId="4F9FE357" w14:textId="77777777" w:rsidR="00FA2FF9" w:rsidRPr="00730DE4" w:rsidRDefault="00FA2FF9" w:rsidP="006A2BE0">
            <w:pPr>
              <w:pStyle w:val="NoSpacing"/>
            </w:pPr>
            <w:r w:rsidRPr="00730DE4">
              <w:t>Total Revenue</w:t>
            </w:r>
          </w:p>
        </w:tc>
        <w:tc>
          <w:tcPr>
            <w:tcW w:w="1077" w:type="pct"/>
          </w:tcPr>
          <w:p w14:paraId="43E16FB9" w14:textId="77777777" w:rsidR="00FA2FF9" w:rsidRPr="00730DE4" w:rsidRDefault="00FA2FF9" w:rsidP="000A65A9">
            <w:pPr>
              <w:pStyle w:val="NoSpacing"/>
              <w:jc w:val="right"/>
            </w:pPr>
          </w:p>
        </w:tc>
        <w:tc>
          <w:tcPr>
            <w:tcW w:w="1172" w:type="pct"/>
          </w:tcPr>
          <w:p w14:paraId="3A87F45C" w14:textId="77777777" w:rsidR="00FA2FF9" w:rsidRPr="00730DE4" w:rsidRDefault="00FA2FF9" w:rsidP="000A65A9">
            <w:pPr>
              <w:pStyle w:val="NoSpacing"/>
              <w:jc w:val="right"/>
            </w:pPr>
            <w:r w:rsidRPr="00730DE4">
              <w:t>464,297</w:t>
            </w:r>
          </w:p>
        </w:tc>
      </w:tr>
      <w:tr w:rsidR="00FA2FF9" w:rsidRPr="00730DE4" w14:paraId="4690A93E" w14:textId="77777777" w:rsidTr="006A2BE0">
        <w:tc>
          <w:tcPr>
            <w:tcW w:w="2751" w:type="pct"/>
          </w:tcPr>
          <w:p w14:paraId="44DC096A" w14:textId="77777777" w:rsidR="00FA2FF9" w:rsidRPr="00730DE4" w:rsidRDefault="00FA2FF9" w:rsidP="006A2BE0">
            <w:pPr>
              <w:pStyle w:val="NoSpacing"/>
              <w:rPr>
                <w:rStyle w:val="Emphasis"/>
              </w:rPr>
            </w:pPr>
            <w:r w:rsidRPr="00730DE4">
              <w:rPr>
                <w:rStyle w:val="Emphasis"/>
              </w:rPr>
              <w:t>Total administrative/operational costs</w:t>
            </w:r>
          </w:p>
        </w:tc>
        <w:tc>
          <w:tcPr>
            <w:tcW w:w="1077" w:type="pct"/>
          </w:tcPr>
          <w:p w14:paraId="4861F090" w14:textId="77777777" w:rsidR="00FA2FF9" w:rsidRPr="00730DE4" w:rsidRDefault="00FA2FF9" w:rsidP="000A65A9">
            <w:pPr>
              <w:pStyle w:val="NoSpacing"/>
              <w:jc w:val="right"/>
              <w:rPr>
                <w:rStyle w:val="Emphasis"/>
              </w:rPr>
            </w:pPr>
            <w:r w:rsidRPr="00730DE4">
              <w:rPr>
                <w:rStyle w:val="Emphasis"/>
              </w:rPr>
              <w:t>127,289</w:t>
            </w:r>
          </w:p>
        </w:tc>
        <w:tc>
          <w:tcPr>
            <w:tcW w:w="1172" w:type="pct"/>
          </w:tcPr>
          <w:p w14:paraId="7056A1F8" w14:textId="77777777" w:rsidR="00FA2FF9" w:rsidRPr="00730DE4" w:rsidRDefault="00FA2FF9" w:rsidP="000A65A9">
            <w:pPr>
              <w:pStyle w:val="NoSpacing"/>
              <w:jc w:val="right"/>
            </w:pPr>
          </w:p>
        </w:tc>
      </w:tr>
      <w:tr w:rsidR="000A65A9" w:rsidRPr="00730DE4" w14:paraId="4EDEA78A" w14:textId="77777777" w:rsidTr="006A2BE0">
        <w:trPr>
          <w:cnfStyle w:val="000000100000" w:firstRow="0" w:lastRow="0" w:firstColumn="0" w:lastColumn="0" w:oddVBand="0" w:evenVBand="0" w:oddHBand="1" w:evenHBand="0" w:firstRowFirstColumn="0" w:firstRowLastColumn="0" w:lastRowFirstColumn="0" w:lastRowLastColumn="0"/>
        </w:trPr>
        <w:tc>
          <w:tcPr>
            <w:tcW w:w="2751" w:type="pct"/>
          </w:tcPr>
          <w:p w14:paraId="36B99CFF" w14:textId="77777777" w:rsidR="00FA2FF9" w:rsidRPr="00730DE4" w:rsidRDefault="00FA2FF9" w:rsidP="006A2BE0">
            <w:pPr>
              <w:pStyle w:val="NoSpacing"/>
              <w:rPr>
                <w:rStyle w:val="Emphasis"/>
              </w:rPr>
            </w:pPr>
            <w:r w:rsidRPr="00730DE4">
              <w:rPr>
                <w:rStyle w:val="Emphasis"/>
              </w:rPr>
              <w:t>Total Expenditure from remaining revenue</w:t>
            </w:r>
          </w:p>
        </w:tc>
        <w:tc>
          <w:tcPr>
            <w:tcW w:w="1077" w:type="pct"/>
          </w:tcPr>
          <w:p w14:paraId="09C8A494" w14:textId="77777777" w:rsidR="00FA2FF9" w:rsidRPr="00730DE4" w:rsidRDefault="00FA2FF9" w:rsidP="000A65A9">
            <w:pPr>
              <w:pStyle w:val="NoSpacing"/>
              <w:jc w:val="right"/>
              <w:rPr>
                <w:rStyle w:val="Emphasis"/>
              </w:rPr>
            </w:pPr>
            <w:r w:rsidRPr="00730DE4">
              <w:rPr>
                <w:rStyle w:val="Emphasis"/>
              </w:rPr>
              <w:t>235,272</w:t>
            </w:r>
          </w:p>
        </w:tc>
        <w:tc>
          <w:tcPr>
            <w:tcW w:w="1172" w:type="pct"/>
          </w:tcPr>
          <w:p w14:paraId="715E6F3F" w14:textId="77777777" w:rsidR="00FA2FF9" w:rsidRPr="00730DE4" w:rsidRDefault="00FA2FF9" w:rsidP="000A65A9">
            <w:pPr>
              <w:pStyle w:val="NoSpacing"/>
              <w:jc w:val="right"/>
            </w:pPr>
          </w:p>
        </w:tc>
      </w:tr>
      <w:tr w:rsidR="00FA2FF9" w:rsidRPr="00730DE4" w14:paraId="04AFBF4C" w14:textId="77777777" w:rsidTr="006A2BE0">
        <w:tc>
          <w:tcPr>
            <w:tcW w:w="2751" w:type="pct"/>
          </w:tcPr>
          <w:p w14:paraId="4ECE4973" w14:textId="77777777" w:rsidR="00FA2FF9" w:rsidRPr="00730DE4" w:rsidRDefault="00FA2FF9" w:rsidP="006A2BE0">
            <w:pPr>
              <w:pStyle w:val="NoSpacing"/>
            </w:pPr>
            <w:r w:rsidRPr="00730DE4">
              <w:t>Total Expenditure 2023–24</w:t>
            </w:r>
          </w:p>
        </w:tc>
        <w:tc>
          <w:tcPr>
            <w:tcW w:w="1077" w:type="pct"/>
          </w:tcPr>
          <w:p w14:paraId="5AE4A554" w14:textId="77777777" w:rsidR="00FA2FF9" w:rsidRPr="00730DE4" w:rsidRDefault="00FA2FF9" w:rsidP="000A65A9">
            <w:pPr>
              <w:pStyle w:val="NoSpacing"/>
              <w:jc w:val="right"/>
            </w:pPr>
          </w:p>
        </w:tc>
        <w:tc>
          <w:tcPr>
            <w:tcW w:w="1172" w:type="pct"/>
          </w:tcPr>
          <w:p w14:paraId="10A77E94" w14:textId="77777777" w:rsidR="00FA2FF9" w:rsidRPr="00730DE4" w:rsidRDefault="00FA2FF9" w:rsidP="000A65A9">
            <w:pPr>
              <w:pStyle w:val="NoSpacing"/>
              <w:jc w:val="right"/>
            </w:pPr>
            <w:r w:rsidRPr="00730DE4">
              <w:t>362,560</w:t>
            </w:r>
          </w:p>
        </w:tc>
      </w:tr>
      <w:tr w:rsidR="000A65A9" w:rsidRPr="00730DE4" w14:paraId="4673D7D6" w14:textId="77777777" w:rsidTr="006A2BE0">
        <w:trPr>
          <w:cnfStyle w:val="000000100000" w:firstRow="0" w:lastRow="0" w:firstColumn="0" w:lastColumn="0" w:oddVBand="0" w:evenVBand="0" w:oddHBand="1" w:evenHBand="0" w:firstRowFirstColumn="0" w:firstRowLastColumn="0" w:lastRowFirstColumn="0" w:lastRowLastColumn="0"/>
        </w:trPr>
        <w:tc>
          <w:tcPr>
            <w:tcW w:w="2751" w:type="pct"/>
          </w:tcPr>
          <w:p w14:paraId="654A7DAE" w14:textId="77777777" w:rsidR="00FA2FF9" w:rsidRPr="00730DE4" w:rsidRDefault="00FA2FF9" w:rsidP="006A2BE0">
            <w:pPr>
              <w:pStyle w:val="NoSpacing"/>
            </w:pPr>
            <w:r w:rsidRPr="00730DE4">
              <w:t>Total Revenue less Total Expenditure</w:t>
            </w:r>
          </w:p>
        </w:tc>
        <w:tc>
          <w:tcPr>
            <w:tcW w:w="1077" w:type="pct"/>
          </w:tcPr>
          <w:p w14:paraId="75C46974" w14:textId="77777777" w:rsidR="00FA2FF9" w:rsidRPr="00730DE4" w:rsidRDefault="00FA2FF9" w:rsidP="000A65A9">
            <w:pPr>
              <w:pStyle w:val="NoSpacing"/>
              <w:jc w:val="right"/>
            </w:pPr>
          </w:p>
        </w:tc>
        <w:tc>
          <w:tcPr>
            <w:tcW w:w="1172" w:type="pct"/>
          </w:tcPr>
          <w:p w14:paraId="0B0E80E7" w14:textId="77777777" w:rsidR="00FA2FF9" w:rsidRPr="00730DE4" w:rsidRDefault="00FA2FF9" w:rsidP="000A65A9">
            <w:pPr>
              <w:pStyle w:val="NoSpacing"/>
              <w:jc w:val="right"/>
            </w:pPr>
            <w:r w:rsidRPr="00730DE4">
              <w:t>101,737</w:t>
            </w:r>
          </w:p>
        </w:tc>
      </w:tr>
    </w:tbl>
    <w:p w14:paraId="675E18C5" w14:textId="1FBE8EA5" w:rsidR="00FA2FF9" w:rsidRPr="00730DE4" w:rsidRDefault="00FA2FF9" w:rsidP="002B7001">
      <w:pPr>
        <w:pStyle w:val="Heading3"/>
      </w:pPr>
      <w:bookmarkStart w:id="1755" w:name="_Toc180487808"/>
      <w:bookmarkStart w:id="1756" w:name="_Toc180491013"/>
      <w:bookmarkStart w:id="1757" w:name="_Toc180492046"/>
      <w:r w:rsidRPr="00730DE4">
        <w:t>Community attitudes</w:t>
      </w:r>
      <w:bookmarkEnd w:id="1755"/>
      <w:bookmarkEnd w:id="1756"/>
      <w:bookmarkEnd w:id="1757"/>
      <w:r w:rsidRPr="00730DE4">
        <w:t xml:space="preserve"> </w:t>
      </w:r>
    </w:p>
    <w:p w14:paraId="1FE92C03" w14:textId="1C3F6879" w:rsidR="00FA2FF9" w:rsidRPr="00730DE4" w:rsidRDefault="00FA2FF9" w:rsidP="00ED05E8">
      <w:r w:rsidRPr="00730DE4">
        <w:t>The following results were drawn from recent research* indicating that the community generally regards speeding to be a dangerous and unacceptable behaviour. With regards to low-level speeding, the community has paradoxical attitudes, such that they understand the risks associated with the behaviour, but many still report engaging in the behaviour themselves.</w:t>
      </w:r>
    </w:p>
    <w:p w14:paraId="4F4A3EE3" w14:textId="77777777" w:rsidR="00FA2FF9" w:rsidRPr="00730DE4" w:rsidRDefault="00FA2FF9" w:rsidP="00300071">
      <w:r w:rsidRPr="00730DE4">
        <w:t>Of those motorists surveyed:</w:t>
      </w:r>
    </w:p>
    <w:p w14:paraId="6E5B7576" w14:textId="77777777" w:rsidR="00FA2FF9" w:rsidRPr="00730DE4" w:rsidRDefault="00FA2FF9" w:rsidP="006A2BE0">
      <w:pPr>
        <w:pStyle w:val="ListBullet"/>
      </w:pPr>
      <w:r w:rsidRPr="00730DE4">
        <w:t>78 per cent agreed with the statement 'Speeding is unsafe in most circumstances'</w:t>
      </w:r>
    </w:p>
    <w:p w14:paraId="45B61864" w14:textId="77777777" w:rsidR="00FA2FF9" w:rsidRPr="00730DE4" w:rsidRDefault="00FA2FF9" w:rsidP="006A2BE0">
      <w:pPr>
        <w:pStyle w:val="ListBullet"/>
      </w:pPr>
      <w:r w:rsidRPr="00730DE4">
        <w:t>40 per cent agreed with the statement ‘Low-level speeding is a major contributor to crashes'</w:t>
      </w:r>
    </w:p>
    <w:p w14:paraId="75D29D26" w14:textId="77777777" w:rsidR="00FA2FF9" w:rsidRPr="00730DE4" w:rsidRDefault="00FA2FF9" w:rsidP="006A2BE0">
      <w:pPr>
        <w:pStyle w:val="ListBullet"/>
      </w:pPr>
      <w:r w:rsidRPr="00730DE4">
        <w:t>86 per cent agreed with the statement 'The faster you drive, the more severe the crash'</w:t>
      </w:r>
    </w:p>
    <w:p w14:paraId="2BE3BF6E" w14:textId="77777777" w:rsidR="00FA2FF9" w:rsidRPr="00730DE4" w:rsidRDefault="00FA2FF9" w:rsidP="006A2BE0">
      <w:pPr>
        <w:pStyle w:val="ListBullet"/>
      </w:pPr>
      <w:r w:rsidRPr="00730DE4">
        <w:t>81 per cent agreed with the statement 'If I drive 10 km/h over the speed limit, I have a greater risk of being in a crash, than if I was driving at the speed limit'</w:t>
      </w:r>
    </w:p>
    <w:p w14:paraId="5B33A5EB" w14:textId="77777777" w:rsidR="00FA2FF9" w:rsidRPr="00730DE4" w:rsidRDefault="00FA2FF9" w:rsidP="006A2BE0">
      <w:pPr>
        <w:pStyle w:val="ListBullet"/>
      </w:pPr>
      <w:r w:rsidRPr="00730DE4">
        <w:t>32 per cent were classified as compliant with speed limits, while 50 per cent were classified as low-level speeders**.</w:t>
      </w:r>
    </w:p>
    <w:p w14:paraId="677102BC" w14:textId="77777777" w:rsidR="00FA2FF9" w:rsidRPr="00730DE4" w:rsidRDefault="00FA2FF9" w:rsidP="00300071">
      <w:pPr>
        <w:pStyle w:val="Caption"/>
      </w:pPr>
      <w:r w:rsidRPr="00730DE4">
        <w:t>*Each year, TMR commissions a study investigating road safety attitudes and behaviours, which is conducted by an independent market research company. The 2023 survey asked transport-related questions of a sample of 942 Queensland motorists.</w:t>
      </w:r>
    </w:p>
    <w:p w14:paraId="7582C261" w14:textId="77777777" w:rsidR="00FA2FF9" w:rsidRPr="00730DE4" w:rsidRDefault="00FA2FF9" w:rsidP="00300071">
      <w:pPr>
        <w:pStyle w:val="Caption"/>
      </w:pPr>
      <w:r w:rsidRPr="00730DE4">
        <w:t>**Respondents were classified as ‘low-level speeders’ if they reported travelling at 1–10 km/h over the posted speed limit for more than 10 per cent of the time they were driving, but never reported travelling more than 20 km/h over the limit.</w:t>
      </w:r>
    </w:p>
    <w:p w14:paraId="34680C82" w14:textId="108DA32F" w:rsidR="00FA2FF9" w:rsidRPr="00730DE4" w:rsidRDefault="00FA2FF9" w:rsidP="00902DF1">
      <w:pPr>
        <w:pStyle w:val="FigureCaption"/>
      </w:pPr>
      <w:r w:rsidRPr="00730DE4">
        <w:t>Figure 5: Mobile speed cameras—Vehicles monitored per notice issued</w:t>
      </w:r>
    </w:p>
    <w:tbl>
      <w:tblPr>
        <w:tblStyle w:val="TMRDefault"/>
        <w:tblW w:w="4994" w:type="pct"/>
        <w:tblLook w:val="04A0" w:firstRow="1" w:lastRow="0" w:firstColumn="1" w:lastColumn="0" w:noHBand="0" w:noVBand="1"/>
      </w:tblPr>
      <w:tblGrid>
        <w:gridCol w:w="5377"/>
        <w:gridCol w:w="1434"/>
        <w:gridCol w:w="1434"/>
        <w:gridCol w:w="1434"/>
        <w:gridCol w:w="1434"/>
        <w:gridCol w:w="1434"/>
        <w:gridCol w:w="1428"/>
      </w:tblGrid>
      <w:tr w:rsidR="000A65A9" w:rsidRPr="00730DE4" w14:paraId="0B8DE408" w14:textId="77777777" w:rsidTr="003F13CE">
        <w:trPr>
          <w:cnfStyle w:val="100000000000" w:firstRow="1" w:lastRow="0" w:firstColumn="0" w:lastColumn="0" w:oddVBand="0" w:evenVBand="0" w:oddHBand="0" w:evenHBand="0" w:firstRowFirstColumn="0" w:firstRowLastColumn="0" w:lastRowFirstColumn="0" w:lastRowLastColumn="0"/>
          <w:tblHeader/>
        </w:trPr>
        <w:tc>
          <w:tcPr>
            <w:tcW w:w="1924" w:type="pct"/>
          </w:tcPr>
          <w:p w14:paraId="16B4A814" w14:textId="77777777" w:rsidR="00FA2FF9" w:rsidRPr="00730DE4" w:rsidRDefault="00FA2FF9" w:rsidP="00902DF1">
            <w:pPr>
              <w:pStyle w:val="NoSpacing"/>
              <w:rPr>
                <w:color w:val="FFFFFF" w:themeColor="background1"/>
              </w:rPr>
            </w:pPr>
          </w:p>
        </w:tc>
        <w:tc>
          <w:tcPr>
            <w:tcW w:w="513" w:type="pct"/>
          </w:tcPr>
          <w:p w14:paraId="2BA0BA5E" w14:textId="77777777" w:rsidR="00FA2FF9" w:rsidRPr="00730DE4" w:rsidRDefault="00FA2FF9" w:rsidP="000A65A9">
            <w:pPr>
              <w:pStyle w:val="NoSpacing"/>
              <w:jc w:val="right"/>
              <w:rPr>
                <w:color w:val="FFFFFF" w:themeColor="background1"/>
              </w:rPr>
            </w:pPr>
            <w:r w:rsidRPr="00730DE4">
              <w:rPr>
                <w:color w:val="FFFFFF" w:themeColor="background1"/>
              </w:rPr>
              <w:t>2018</w:t>
            </w:r>
          </w:p>
        </w:tc>
        <w:tc>
          <w:tcPr>
            <w:tcW w:w="513" w:type="pct"/>
          </w:tcPr>
          <w:p w14:paraId="501A7D57" w14:textId="77777777" w:rsidR="00FA2FF9" w:rsidRPr="00730DE4" w:rsidRDefault="00FA2FF9" w:rsidP="000A65A9">
            <w:pPr>
              <w:pStyle w:val="NoSpacing"/>
              <w:jc w:val="right"/>
              <w:rPr>
                <w:color w:val="FFFFFF" w:themeColor="background1"/>
              </w:rPr>
            </w:pPr>
            <w:r w:rsidRPr="00730DE4">
              <w:rPr>
                <w:color w:val="FFFFFF" w:themeColor="background1"/>
              </w:rPr>
              <w:t>2019</w:t>
            </w:r>
          </w:p>
        </w:tc>
        <w:tc>
          <w:tcPr>
            <w:tcW w:w="513" w:type="pct"/>
          </w:tcPr>
          <w:p w14:paraId="2347609A" w14:textId="77777777" w:rsidR="00FA2FF9" w:rsidRPr="00730DE4" w:rsidRDefault="00FA2FF9" w:rsidP="000A65A9">
            <w:pPr>
              <w:pStyle w:val="NoSpacing"/>
              <w:jc w:val="right"/>
              <w:rPr>
                <w:color w:val="FFFFFF" w:themeColor="background1"/>
              </w:rPr>
            </w:pPr>
            <w:r w:rsidRPr="00730DE4">
              <w:rPr>
                <w:color w:val="FFFFFF" w:themeColor="background1"/>
              </w:rPr>
              <w:t>2020</w:t>
            </w:r>
          </w:p>
        </w:tc>
        <w:tc>
          <w:tcPr>
            <w:tcW w:w="513" w:type="pct"/>
          </w:tcPr>
          <w:p w14:paraId="0451C04D" w14:textId="77777777" w:rsidR="00FA2FF9" w:rsidRPr="00730DE4" w:rsidRDefault="00FA2FF9" w:rsidP="000A65A9">
            <w:pPr>
              <w:pStyle w:val="NoSpacing"/>
              <w:jc w:val="right"/>
              <w:rPr>
                <w:color w:val="FFFFFF" w:themeColor="background1"/>
              </w:rPr>
            </w:pPr>
            <w:r w:rsidRPr="00730DE4">
              <w:rPr>
                <w:color w:val="FFFFFF" w:themeColor="background1"/>
              </w:rPr>
              <w:t>2021</w:t>
            </w:r>
          </w:p>
        </w:tc>
        <w:tc>
          <w:tcPr>
            <w:tcW w:w="513" w:type="pct"/>
          </w:tcPr>
          <w:p w14:paraId="4F4B00F8" w14:textId="77777777" w:rsidR="00FA2FF9" w:rsidRPr="00730DE4" w:rsidRDefault="00FA2FF9" w:rsidP="000A65A9">
            <w:pPr>
              <w:pStyle w:val="NoSpacing"/>
              <w:jc w:val="right"/>
              <w:rPr>
                <w:color w:val="FFFFFF" w:themeColor="background1"/>
              </w:rPr>
            </w:pPr>
            <w:r w:rsidRPr="00730DE4">
              <w:rPr>
                <w:color w:val="FFFFFF" w:themeColor="background1"/>
              </w:rPr>
              <w:t>2022</w:t>
            </w:r>
          </w:p>
        </w:tc>
        <w:tc>
          <w:tcPr>
            <w:tcW w:w="513" w:type="pct"/>
          </w:tcPr>
          <w:p w14:paraId="0B711060" w14:textId="77777777" w:rsidR="00FA2FF9" w:rsidRPr="00730DE4" w:rsidRDefault="00FA2FF9" w:rsidP="000A65A9">
            <w:pPr>
              <w:pStyle w:val="NoSpacing"/>
              <w:jc w:val="right"/>
              <w:rPr>
                <w:color w:val="FFFFFF" w:themeColor="background1"/>
              </w:rPr>
            </w:pPr>
            <w:r w:rsidRPr="00730DE4">
              <w:rPr>
                <w:color w:val="FFFFFF" w:themeColor="background1"/>
              </w:rPr>
              <w:t>2023</w:t>
            </w:r>
          </w:p>
        </w:tc>
      </w:tr>
      <w:tr w:rsidR="000A65A9" w:rsidRPr="00730DE4" w14:paraId="7B527688" w14:textId="77777777" w:rsidTr="003F13CE">
        <w:trPr>
          <w:cnfStyle w:val="000000100000" w:firstRow="0" w:lastRow="0" w:firstColumn="0" w:lastColumn="0" w:oddVBand="0" w:evenVBand="0" w:oddHBand="1" w:evenHBand="0" w:firstRowFirstColumn="0" w:firstRowLastColumn="0" w:lastRowFirstColumn="0" w:lastRowLastColumn="0"/>
        </w:trPr>
        <w:tc>
          <w:tcPr>
            <w:tcW w:w="1924" w:type="pct"/>
          </w:tcPr>
          <w:p w14:paraId="5D71C060" w14:textId="77777777" w:rsidR="00FA2FF9" w:rsidRPr="00730DE4" w:rsidRDefault="00FA2FF9" w:rsidP="00902DF1">
            <w:pPr>
              <w:pStyle w:val="NoSpacing"/>
            </w:pPr>
            <w:r w:rsidRPr="00730DE4">
              <w:t>Vehicles monitored per notice issued</w:t>
            </w:r>
          </w:p>
        </w:tc>
        <w:tc>
          <w:tcPr>
            <w:tcW w:w="513" w:type="pct"/>
          </w:tcPr>
          <w:p w14:paraId="6FEE08ED" w14:textId="77777777" w:rsidR="00FA2FF9" w:rsidRPr="00730DE4" w:rsidRDefault="00FA2FF9" w:rsidP="000A65A9">
            <w:pPr>
              <w:pStyle w:val="NoSpacing"/>
              <w:jc w:val="right"/>
            </w:pPr>
            <w:r w:rsidRPr="00730DE4">
              <w:t xml:space="preserve"> 1691 </w:t>
            </w:r>
          </w:p>
        </w:tc>
        <w:tc>
          <w:tcPr>
            <w:tcW w:w="513" w:type="pct"/>
          </w:tcPr>
          <w:p w14:paraId="19D95513" w14:textId="77777777" w:rsidR="00FA2FF9" w:rsidRPr="00730DE4" w:rsidRDefault="00FA2FF9" w:rsidP="000A65A9">
            <w:pPr>
              <w:pStyle w:val="NoSpacing"/>
              <w:jc w:val="right"/>
            </w:pPr>
            <w:r w:rsidRPr="00730DE4">
              <w:t xml:space="preserve"> 1759 </w:t>
            </w:r>
          </w:p>
        </w:tc>
        <w:tc>
          <w:tcPr>
            <w:tcW w:w="513" w:type="pct"/>
          </w:tcPr>
          <w:p w14:paraId="41A17FD0" w14:textId="77777777" w:rsidR="00FA2FF9" w:rsidRPr="00730DE4" w:rsidRDefault="00FA2FF9" w:rsidP="000A65A9">
            <w:pPr>
              <w:pStyle w:val="NoSpacing"/>
              <w:jc w:val="right"/>
            </w:pPr>
            <w:r w:rsidRPr="00730DE4">
              <w:t xml:space="preserve"> 1707 </w:t>
            </w:r>
          </w:p>
        </w:tc>
        <w:tc>
          <w:tcPr>
            <w:tcW w:w="513" w:type="pct"/>
          </w:tcPr>
          <w:p w14:paraId="6BB11418" w14:textId="77777777" w:rsidR="00FA2FF9" w:rsidRPr="00730DE4" w:rsidRDefault="00FA2FF9" w:rsidP="000A65A9">
            <w:pPr>
              <w:pStyle w:val="NoSpacing"/>
              <w:jc w:val="right"/>
            </w:pPr>
            <w:r w:rsidRPr="00730DE4">
              <w:t xml:space="preserve"> 1675 </w:t>
            </w:r>
          </w:p>
        </w:tc>
        <w:tc>
          <w:tcPr>
            <w:tcW w:w="513" w:type="pct"/>
          </w:tcPr>
          <w:p w14:paraId="035CCC24" w14:textId="77777777" w:rsidR="00FA2FF9" w:rsidRPr="00730DE4" w:rsidRDefault="00FA2FF9" w:rsidP="000A65A9">
            <w:pPr>
              <w:pStyle w:val="NoSpacing"/>
              <w:jc w:val="right"/>
            </w:pPr>
            <w:r w:rsidRPr="00730DE4">
              <w:t xml:space="preserve"> 2001 </w:t>
            </w:r>
          </w:p>
        </w:tc>
        <w:tc>
          <w:tcPr>
            <w:tcW w:w="513" w:type="pct"/>
          </w:tcPr>
          <w:p w14:paraId="1A103874" w14:textId="77777777" w:rsidR="00FA2FF9" w:rsidRPr="00730DE4" w:rsidRDefault="00FA2FF9" w:rsidP="000A65A9">
            <w:pPr>
              <w:pStyle w:val="NoSpacing"/>
              <w:jc w:val="right"/>
            </w:pPr>
            <w:r w:rsidRPr="00730DE4">
              <w:t xml:space="preserve"> 2237 </w:t>
            </w:r>
          </w:p>
        </w:tc>
      </w:tr>
    </w:tbl>
    <w:p w14:paraId="26177CFF" w14:textId="77777777" w:rsidR="00FA2FF9" w:rsidRPr="00730DE4" w:rsidRDefault="00FA2FF9" w:rsidP="00BF43B0">
      <w:pPr>
        <w:pStyle w:val="Caption"/>
      </w:pPr>
      <w:r w:rsidRPr="00730DE4">
        <w:t>Data source: Queensland Police Services.</w:t>
      </w:r>
    </w:p>
    <w:p w14:paraId="6E22F7AF" w14:textId="77777777" w:rsidR="00FA2FF9" w:rsidRPr="00730DE4" w:rsidRDefault="00FA2FF9" w:rsidP="00BF43B0">
      <w:pPr>
        <w:pStyle w:val="FigureCaption"/>
      </w:pPr>
      <w:r w:rsidRPr="00730DE4">
        <w:t>Table 52: Number of mobile speed camera infringements per penalty bracket for 2023</w:t>
      </w:r>
    </w:p>
    <w:tbl>
      <w:tblPr>
        <w:tblStyle w:val="TMRDefault"/>
        <w:tblW w:w="4994" w:type="pct"/>
        <w:tblLook w:val="04A0" w:firstRow="1" w:lastRow="0" w:firstColumn="1" w:lastColumn="0" w:noHBand="0" w:noVBand="1"/>
      </w:tblPr>
      <w:tblGrid>
        <w:gridCol w:w="5377"/>
        <w:gridCol w:w="1434"/>
        <w:gridCol w:w="1434"/>
        <w:gridCol w:w="1434"/>
        <w:gridCol w:w="1434"/>
        <w:gridCol w:w="1434"/>
        <w:gridCol w:w="1428"/>
      </w:tblGrid>
      <w:tr w:rsidR="000A65A9" w:rsidRPr="00730DE4" w14:paraId="3F789EB9" w14:textId="77777777" w:rsidTr="003F13CE">
        <w:trPr>
          <w:cnfStyle w:val="100000000000" w:firstRow="1" w:lastRow="0" w:firstColumn="0" w:lastColumn="0" w:oddVBand="0" w:evenVBand="0" w:oddHBand="0" w:evenHBand="0" w:firstRowFirstColumn="0" w:firstRowLastColumn="0" w:lastRowFirstColumn="0" w:lastRowLastColumn="0"/>
          <w:tblHeader/>
        </w:trPr>
        <w:tc>
          <w:tcPr>
            <w:tcW w:w="1924" w:type="pct"/>
          </w:tcPr>
          <w:p w14:paraId="4E84E57E" w14:textId="77777777" w:rsidR="00FA2FF9" w:rsidRPr="00730DE4" w:rsidRDefault="00FA2FF9" w:rsidP="00902DF1">
            <w:pPr>
              <w:pStyle w:val="NoSpacing"/>
              <w:rPr>
                <w:color w:val="FFFFFF" w:themeColor="background1"/>
              </w:rPr>
            </w:pPr>
            <w:r w:rsidRPr="00730DE4">
              <w:rPr>
                <w:color w:val="FFFFFF" w:themeColor="background1"/>
              </w:rPr>
              <w:t>Penalty bracket</w:t>
            </w:r>
          </w:p>
        </w:tc>
        <w:tc>
          <w:tcPr>
            <w:tcW w:w="513" w:type="pct"/>
          </w:tcPr>
          <w:p w14:paraId="5B64E26C" w14:textId="46AF5E9C" w:rsidR="00FA2FF9" w:rsidRPr="00730DE4" w:rsidRDefault="00FA2FF9" w:rsidP="000A65A9">
            <w:pPr>
              <w:pStyle w:val="NoSpacing"/>
              <w:jc w:val="right"/>
              <w:rPr>
                <w:color w:val="FFFFFF" w:themeColor="background1"/>
              </w:rPr>
            </w:pPr>
            <w:r w:rsidRPr="00730DE4">
              <w:rPr>
                <w:color w:val="FFFFFF" w:themeColor="background1"/>
              </w:rPr>
              <w:t>&lt; 11</w:t>
            </w:r>
            <w:r w:rsidR="003F13CE" w:rsidRPr="00730DE4">
              <w:rPr>
                <w:color w:val="FFFFFF" w:themeColor="background1"/>
              </w:rPr>
              <w:t xml:space="preserve"> </w:t>
            </w:r>
            <w:r w:rsidRPr="00730DE4">
              <w:rPr>
                <w:color w:val="FFFFFF" w:themeColor="background1"/>
              </w:rPr>
              <w:t>km/h</w:t>
            </w:r>
          </w:p>
        </w:tc>
        <w:tc>
          <w:tcPr>
            <w:tcW w:w="513" w:type="pct"/>
          </w:tcPr>
          <w:p w14:paraId="484F264C" w14:textId="73CB1E70" w:rsidR="00FA2FF9" w:rsidRPr="00730DE4" w:rsidRDefault="00FA2FF9" w:rsidP="000A65A9">
            <w:pPr>
              <w:pStyle w:val="NoSpacing"/>
              <w:jc w:val="right"/>
              <w:rPr>
                <w:color w:val="FFFFFF" w:themeColor="background1"/>
              </w:rPr>
            </w:pPr>
            <w:r w:rsidRPr="00730DE4">
              <w:rPr>
                <w:color w:val="FFFFFF" w:themeColor="background1"/>
              </w:rPr>
              <w:t>11–20</w:t>
            </w:r>
            <w:r w:rsidR="003F13CE" w:rsidRPr="00730DE4">
              <w:rPr>
                <w:color w:val="FFFFFF" w:themeColor="background1"/>
              </w:rPr>
              <w:t xml:space="preserve"> </w:t>
            </w:r>
            <w:r w:rsidRPr="00730DE4">
              <w:rPr>
                <w:color w:val="FFFFFF" w:themeColor="background1"/>
              </w:rPr>
              <w:t>km/h</w:t>
            </w:r>
          </w:p>
        </w:tc>
        <w:tc>
          <w:tcPr>
            <w:tcW w:w="513" w:type="pct"/>
          </w:tcPr>
          <w:p w14:paraId="1F7CFC04" w14:textId="208DE6F5" w:rsidR="00FA2FF9" w:rsidRPr="00730DE4" w:rsidRDefault="00FA2FF9" w:rsidP="000A65A9">
            <w:pPr>
              <w:pStyle w:val="NoSpacing"/>
              <w:jc w:val="right"/>
              <w:rPr>
                <w:color w:val="FFFFFF" w:themeColor="background1"/>
              </w:rPr>
            </w:pPr>
            <w:r w:rsidRPr="00730DE4">
              <w:rPr>
                <w:color w:val="FFFFFF" w:themeColor="background1"/>
              </w:rPr>
              <w:t>21–30</w:t>
            </w:r>
            <w:r w:rsidR="003F13CE" w:rsidRPr="00730DE4">
              <w:rPr>
                <w:color w:val="FFFFFF" w:themeColor="background1"/>
              </w:rPr>
              <w:t xml:space="preserve"> </w:t>
            </w:r>
            <w:r w:rsidRPr="00730DE4">
              <w:rPr>
                <w:color w:val="FFFFFF" w:themeColor="background1"/>
              </w:rPr>
              <w:t>km/h</w:t>
            </w:r>
          </w:p>
        </w:tc>
        <w:tc>
          <w:tcPr>
            <w:tcW w:w="513" w:type="pct"/>
          </w:tcPr>
          <w:p w14:paraId="18DCE718" w14:textId="3F456A00" w:rsidR="00FA2FF9" w:rsidRPr="00730DE4" w:rsidRDefault="00FA2FF9" w:rsidP="000A65A9">
            <w:pPr>
              <w:pStyle w:val="NoSpacing"/>
              <w:jc w:val="right"/>
              <w:rPr>
                <w:color w:val="FFFFFF" w:themeColor="background1"/>
              </w:rPr>
            </w:pPr>
            <w:r w:rsidRPr="00730DE4">
              <w:rPr>
                <w:color w:val="FFFFFF" w:themeColor="background1"/>
              </w:rPr>
              <w:t>31–40</w:t>
            </w:r>
            <w:r w:rsidR="003F13CE" w:rsidRPr="00730DE4">
              <w:rPr>
                <w:color w:val="FFFFFF" w:themeColor="background1"/>
              </w:rPr>
              <w:t xml:space="preserve"> </w:t>
            </w:r>
            <w:r w:rsidRPr="00730DE4">
              <w:rPr>
                <w:color w:val="FFFFFF" w:themeColor="background1"/>
              </w:rPr>
              <w:t>km/h</w:t>
            </w:r>
          </w:p>
        </w:tc>
        <w:tc>
          <w:tcPr>
            <w:tcW w:w="513" w:type="pct"/>
          </w:tcPr>
          <w:p w14:paraId="6D9A3BB0" w14:textId="5A31D461" w:rsidR="00FA2FF9" w:rsidRPr="00730DE4" w:rsidRDefault="00FA2FF9" w:rsidP="000A65A9">
            <w:pPr>
              <w:pStyle w:val="NoSpacing"/>
              <w:jc w:val="right"/>
              <w:rPr>
                <w:color w:val="FFFFFF" w:themeColor="background1"/>
              </w:rPr>
            </w:pPr>
            <w:r w:rsidRPr="00730DE4">
              <w:rPr>
                <w:color w:val="FFFFFF" w:themeColor="background1"/>
              </w:rPr>
              <w:t>&gt; 40</w:t>
            </w:r>
            <w:r w:rsidR="003F13CE" w:rsidRPr="00730DE4">
              <w:rPr>
                <w:color w:val="FFFFFF" w:themeColor="background1"/>
              </w:rPr>
              <w:t xml:space="preserve"> </w:t>
            </w:r>
            <w:r w:rsidRPr="00730DE4">
              <w:rPr>
                <w:color w:val="FFFFFF" w:themeColor="background1"/>
              </w:rPr>
              <w:t>km/h</w:t>
            </w:r>
          </w:p>
        </w:tc>
        <w:tc>
          <w:tcPr>
            <w:tcW w:w="513" w:type="pct"/>
          </w:tcPr>
          <w:p w14:paraId="50F0C313" w14:textId="77777777" w:rsidR="00FA2FF9" w:rsidRPr="00730DE4" w:rsidRDefault="00FA2FF9" w:rsidP="000A65A9">
            <w:pPr>
              <w:pStyle w:val="NoSpacing"/>
              <w:jc w:val="right"/>
              <w:rPr>
                <w:color w:val="FFFFFF" w:themeColor="background1"/>
              </w:rPr>
            </w:pPr>
            <w:r w:rsidRPr="00730DE4">
              <w:rPr>
                <w:color w:val="FFFFFF" w:themeColor="background1"/>
              </w:rPr>
              <w:t>Total</w:t>
            </w:r>
          </w:p>
        </w:tc>
      </w:tr>
      <w:tr w:rsidR="000A65A9" w:rsidRPr="00730DE4" w14:paraId="17BB0C50" w14:textId="77777777" w:rsidTr="003F13CE">
        <w:trPr>
          <w:cnfStyle w:val="000000100000" w:firstRow="0" w:lastRow="0" w:firstColumn="0" w:lastColumn="0" w:oddVBand="0" w:evenVBand="0" w:oddHBand="1" w:evenHBand="0" w:firstRowFirstColumn="0" w:firstRowLastColumn="0" w:lastRowFirstColumn="0" w:lastRowLastColumn="0"/>
        </w:trPr>
        <w:tc>
          <w:tcPr>
            <w:tcW w:w="1924" w:type="pct"/>
          </w:tcPr>
          <w:p w14:paraId="116DEB7D" w14:textId="77777777" w:rsidR="00FA2FF9" w:rsidRPr="00730DE4" w:rsidRDefault="00FA2FF9" w:rsidP="00902DF1">
            <w:pPr>
              <w:pStyle w:val="NoSpacing"/>
            </w:pPr>
            <w:r w:rsidRPr="00730DE4">
              <w:t>Number of mobile speed camera infringements</w:t>
            </w:r>
          </w:p>
        </w:tc>
        <w:tc>
          <w:tcPr>
            <w:tcW w:w="513" w:type="pct"/>
          </w:tcPr>
          <w:p w14:paraId="40EFCA71" w14:textId="77777777" w:rsidR="00FA2FF9" w:rsidRPr="00730DE4" w:rsidRDefault="00FA2FF9" w:rsidP="000A65A9">
            <w:pPr>
              <w:pStyle w:val="NoSpacing"/>
              <w:jc w:val="right"/>
              <w:rPr>
                <w:color w:val="auto"/>
              </w:rPr>
            </w:pPr>
            <w:r w:rsidRPr="00730DE4">
              <w:rPr>
                <w:color w:val="auto"/>
              </w:rPr>
              <w:t>279,700</w:t>
            </w:r>
          </w:p>
        </w:tc>
        <w:tc>
          <w:tcPr>
            <w:tcW w:w="513" w:type="pct"/>
          </w:tcPr>
          <w:p w14:paraId="4A361516" w14:textId="77777777" w:rsidR="00FA2FF9" w:rsidRPr="00730DE4" w:rsidRDefault="00FA2FF9" w:rsidP="000A65A9">
            <w:pPr>
              <w:pStyle w:val="NoSpacing"/>
              <w:jc w:val="right"/>
              <w:rPr>
                <w:color w:val="auto"/>
              </w:rPr>
            </w:pPr>
            <w:r w:rsidRPr="00730DE4">
              <w:rPr>
                <w:color w:val="auto"/>
              </w:rPr>
              <w:t>157,254</w:t>
            </w:r>
          </w:p>
        </w:tc>
        <w:tc>
          <w:tcPr>
            <w:tcW w:w="513" w:type="pct"/>
          </w:tcPr>
          <w:p w14:paraId="17D3C423" w14:textId="77777777" w:rsidR="00FA2FF9" w:rsidRPr="00730DE4" w:rsidRDefault="00FA2FF9" w:rsidP="000A65A9">
            <w:pPr>
              <w:pStyle w:val="NoSpacing"/>
              <w:jc w:val="right"/>
              <w:rPr>
                <w:color w:val="auto"/>
              </w:rPr>
            </w:pPr>
            <w:r w:rsidRPr="00730DE4">
              <w:rPr>
                <w:color w:val="auto"/>
              </w:rPr>
              <w:t>12,581</w:t>
            </w:r>
          </w:p>
        </w:tc>
        <w:tc>
          <w:tcPr>
            <w:tcW w:w="513" w:type="pct"/>
          </w:tcPr>
          <w:p w14:paraId="32182FB5" w14:textId="77777777" w:rsidR="00FA2FF9" w:rsidRPr="00730DE4" w:rsidRDefault="00FA2FF9" w:rsidP="000A65A9">
            <w:pPr>
              <w:pStyle w:val="NoSpacing"/>
              <w:jc w:val="right"/>
              <w:rPr>
                <w:color w:val="auto"/>
              </w:rPr>
            </w:pPr>
            <w:r w:rsidRPr="00730DE4">
              <w:rPr>
                <w:color w:val="auto"/>
              </w:rPr>
              <w:t>1959</w:t>
            </w:r>
          </w:p>
        </w:tc>
        <w:tc>
          <w:tcPr>
            <w:tcW w:w="513" w:type="pct"/>
          </w:tcPr>
          <w:p w14:paraId="64EB070C" w14:textId="77777777" w:rsidR="00FA2FF9" w:rsidRPr="00730DE4" w:rsidRDefault="00FA2FF9" w:rsidP="000A65A9">
            <w:pPr>
              <w:pStyle w:val="NoSpacing"/>
              <w:jc w:val="right"/>
              <w:rPr>
                <w:color w:val="auto"/>
              </w:rPr>
            </w:pPr>
            <w:r w:rsidRPr="00730DE4">
              <w:rPr>
                <w:color w:val="auto"/>
              </w:rPr>
              <w:t>991</w:t>
            </w:r>
          </w:p>
        </w:tc>
        <w:tc>
          <w:tcPr>
            <w:tcW w:w="513" w:type="pct"/>
          </w:tcPr>
          <w:p w14:paraId="277A3E76" w14:textId="77777777" w:rsidR="00FA2FF9" w:rsidRPr="00730DE4" w:rsidRDefault="00FA2FF9" w:rsidP="000A65A9">
            <w:pPr>
              <w:pStyle w:val="NoSpacing"/>
              <w:jc w:val="right"/>
              <w:rPr>
                <w:color w:val="auto"/>
              </w:rPr>
            </w:pPr>
            <w:r w:rsidRPr="00730DE4">
              <w:rPr>
                <w:color w:val="auto"/>
              </w:rPr>
              <w:t>452,485</w:t>
            </w:r>
          </w:p>
        </w:tc>
      </w:tr>
      <w:tr w:rsidR="000A65A9" w:rsidRPr="00730DE4" w14:paraId="73CE45B4" w14:textId="77777777" w:rsidTr="003F13CE">
        <w:tc>
          <w:tcPr>
            <w:tcW w:w="1924" w:type="pct"/>
          </w:tcPr>
          <w:p w14:paraId="7DD40B90" w14:textId="77777777" w:rsidR="00FA2FF9" w:rsidRPr="00730DE4" w:rsidRDefault="00FA2FF9" w:rsidP="00902DF1">
            <w:pPr>
              <w:pStyle w:val="NoSpacing"/>
            </w:pPr>
            <w:r w:rsidRPr="00730DE4">
              <w:t>Percentage</w:t>
            </w:r>
          </w:p>
        </w:tc>
        <w:tc>
          <w:tcPr>
            <w:tcW w:w="513" w:type="pct"/>
          </w:tcPr>
          <w:p w14:paraId="4ACC7D7C" w14:textId="77777777" w:rsidR="00FA2FF9" w:rsidRPr="00730DE4" w:rsidRDefault="00FA2FF9" w:rsidP="000A65A9">
            <w:pPr>
              <w:pStyle w:val="NoSpacing"/>
              <w:jc w:val="right"/>
            </w:pPr>
            <w:r w:rsidRPr="00730DE4">
              <w:t>61.81%</w:t>
            </w:r>
          </w:p>
        </w:tc>
        <w:tc>
          <w:tcPr>
            <w:tcW w:w="513" w:type="pct"/>
          </w:tcPr>
          <w:p w14:paraId="21F6E6B9" w14:textId="77777777" w:rsidR="00FA2FF9" w:rsidRPr="00730DE4" w:rsidRDefault="00FA2FF9" w:rsidP="000A65A9">
            <w:pPr>
              <w:pStyle w:val="NoSpacing"/>
              <w:jc w:val="right"/>
            </w:pPr>
            <w:r w:rsidRPr="00730DE4">
              <w:t>34.75%</w:t>
            </w:r>
          </w:p>
        </w:tc>
        <w:tc>
          <w:tcPr>
            <w:tcW w:w="513" w:type="pct"/>
          </w:tcPr>
          <w:p w14:paraId="17FE1788" w14:textId="77777777" w:rsidR="00FA2FF9" w:rsidRPr="00730DE4" w:rsidRDefault="00FA2FF9" w:rsidP="000A65A9">
            <w:pPr>
              <w:pStyle w:val="NoSpacing"/>
              <w:jc w:val="right"/>
            </w:pPr>
            <w:r w:rsidRPr="00730DE4">
              <w:t>2.78%</w:t>
            </w:r>
          </w:p>
        </w:tc>
        <w:tc>
          <w:tcPr>
            <w:tcW w:w="513" w:type="pct"/>
          </w:tcPr>
          <w:p w14:paraId="09D98B76" w14:textId="77777777" w:rsidR="00FA2FF9" w:rsidRPr="00730DE4" w:rsidRDefault="00FA2FF9" w:rsidP="000A65A9">
            <w:pPr>
              <w:pStyle w:val="NoSpacing"/>
              <w:jc w:val="right"/>
            </w:pPr>
            <w:r w:rsidRPr="00730DE4">
              <w:t>0.43%</w:t>
            </w:r>
          </w:p>
        </w:tc>
        <w:tc>
          <w:tcPr>
            <w:tcW w:w="513" w:type="pct"/>
          </w:tcPr>
          <w:p w14:paraId="79C7D32E" w14:textId="77777777" w:rsidR="00FA2FF9" w:rsidRPr="00730DE4" w:rsidRDefault="00FA2FF9" w:rsidP="000A65A9">
            <w:pPr>
              <w:pStyle w:val="NoSpacing"/>
              <w:jc w:val="right"/>
            </w:pPr>
            <w:r w:rsidRPr="00730DE4">
              <w:t>0.22%</w:t>
            </w:r>
          </w:p>
        </w:tc>
        <w:tc>
          <w:tcPr>
            <w:tcW w:w="513" w:type="pct"/>
          </w:tcPr>
          <w:p w14:paraId="01FD7716" w14:textId="77777777" w:rsidR="00FA2FF9" w:rsidRPr="00730DE4" w:rsidRDefault="00FA2FF9" w:rsidP="000A65A9">
            <w:pPr>
              <w:pStyle w:val="NoSpacing"/>
              <w:jc w:val="right"/>
            </w:pPr>
            <w:r w:rsidRPr="00730DE4">
              <w:t> </w:t>
            </w:r>
          </w:p>
        </w:tc>
      </w:tr>
    </w:tbl>
    <w:p w14:paraId="18B52FC6" w14:textId="77777777" w:rsidR="00FA2FF9" w:rsidRPr="00730DE4" w:rsidRDefault="00FA2FF9" w:rsidP="00BF43B0">
      <w:pPr>
        <w:pStyle w:val="Caption"/>
      </w:pPr>
      <w:r w:rsidRPr="00730DE4">
        <w:t xml:space="preserve">Data source: TMR Data Analysis Team. </w:t>
      </w:r>
    </w:p>
    <w:p w14:paraId="79F67686" w14:textId="77777777" w:rsidR="00FA2FF9" w:rsidRPr="00730DE4" w:rsidRDefault="00FA2FF9" w:rsidP="00BF43B0">
      <w:pPr>
        <w:pStyle w:val="Caption"/>
      </w:pPr>
      <w:r w:rsidRPr="00730DE4">
        <w:t>Note: Penalty bracket is vehicle exceeding the speed limit by this amount.</w:t>
      </w:r>
    </w:p>
    <w:p w14:paraId="7F2DEA56" w14:textId="77777777" w:rsidR="00FA2FF9" w:rsidRPr="00730DE4" w:rsidRDefault="00FA2FF9" w:rsidP="00902DF1">
      <w:pPr>
        <w:pStyle w:val="FigureCaption"/>
      </w:pPr>
      <w:r w:rsidRPr="00730DE4">
        <w:t>Figure 6: Red light cameras—Vehicles monitored per notice issued</w:t>
      </w:r>
    </w:p>
    <w:tbl>
      <w:tblPr>
        <w:tblStyle w:val="TMRDefault"/>
        <w:tblW w:w="4991" w:type="pct"/>
        <w:tblInd w:w="5" w:type="dxa"/>
        <w:tblLook w:val="04A0" w:firstRow="1" w:lastRow="0" w:firstColumn="1" w:lastColumn="0" w:noHBand="0" w:noVBand="1"/>
      </w:tblPr>
      <w:tblGrid>
        <w:gridCol w:w="5375"/>
        <w:gridCol w:w="1433"/>
        <w:gridCol w:w="1433"/>
        <w:gridCol w:w="1433"/>
        <w:gridCol w:w="1433"/>
        <w:gridCol w:w="1433"/>
        <w:gridCol w:w="1427"/>
      </w:tblGrid>
      <w:tr w:rsidR="000A65A9" w:rsidRPr="00730DE4" w14:paraId="5BCA06C6" w14:textId="77777777" w:rsidTr="003F13CE">
        <w:trPr>
          <w:cnfStyle w:val="100000000000" w:firstRow="1" w:lastRow="0" w:firstColumn="0" w:lastColumn="0" w:oddVBand="0" w:evenVBand="0" w:oddHBand="0" w:evenHBand="0" w:firstRowFirstColumn="0" w:firstRowLastColumn="0" w:lastRowFirstColumn="0" w:lastRowLastColumn="0"/>
          <w:tblHeader/>
        </w:trPr>
        <w:tc>
          <w:tcPr>
            <w:tcW w:w="1924" w:type="pct"/>
          </w:tcPr>
          <w:p w14:paraId="1F83E898" w14:textId="77777777" w:rsidR="00FA2FF9" w:rsidRPr="00730DE4" w:rsidRDefault="00FA2FF9" w:rsidP="00902DF1">
            <w:pPr>
              <w:pStyle w:val="NoSpacing"/>
              <w:rPr>
                <w:color w:val="FFFFFF" w:themeColor="background1"/>
              </w:rPr>
            </w:pPr>
          </w:p>
        </w:tc>
        <w:tc>
          <w:tcPr>
            <w:tcW w:w="513" w:type="pct"/>
          </w:tcPr>
          <w:p w14:paraId="227ED2BB" w14:textId="77777777" w:rsidR="00FA2FF9" w:rsidRPr="00730DE4" w:rsidRDefault="00FA2FF9" w:rsidP="000A65A9">
            <w:pPr>
              <w:pStyle w:val="NoSpacing"/>
              <w:jc w:val="right"/>
              <w:rPr>
                <w:color w:val="FFFFFF" w:themeColor="background1"/>
              </w:rPr>
            </w:pPr>
            <w:r w:rsidRPr="00730DE4">
              <w:rPr>
                <w:color w:val="FFFFFF" w:themeColor="background1"/>
              </w:rPr>
              <w:t>2018</w:t>
            </w:r>
          </w:p>
        </w:tc>
        <w:tc>
          <w:tcPr>
            <w:tcW w:w="513" w:type="pct"/>
          </w:tcPr>
          <w:p w14:paraId="76671CA8" w14:textId="77777777" w:rsidR="00FA2FF9" w:rsidRPr="00730DE4" w:rsidRDefault="00FA2FF9" w:rsidP="000A65A9">
            <w:pPr>
              <w:pStyle w:val="NoSpacing"/>
              <w:jc w:val="right"/>
              <w:rPr>
                <w:color w:val="FFFFFF" w:themeColor="background1"/>
              </w:rPr>
            </w:pPr>
            <w:r w:rsidRPr="00730DE4">
              <w:rPr>
                <w:color w:val="FFFFFF" w:themeColor="background1"/>
              </w:rPr>
              <w:t>2019</w:t>
            </w:r>
          </w:p>
        </w:tc>
        <w:tc>
          <w:tcPr>
            <w:tcW w:w="513" w:type="pct"/>
          </w:tcPr>
          <w:p w14:paraId="6CC3593B" w14:textId="77777777" w:rsidR="00FA2FF9" w:rsidRPr="00730DE4" w:rsidRDefault="00FA2FF9" w:rsidP="000A65A9">
            <w:pPr>
              <w:pStyle w:val="NoSpacing"/>
              <w:jc w:val="right"/>
              <w:rPr>
                <w:color w:val="FFFFFF" w:themeColor="background1"/>
              </w:rPr>
            </w:pPr>
            <w:r w:rsidRPr="00730DE4">
              <w:rPr>
                <w:color w:val="FFFFFF" w:themeColor="background1"/>
              </w:rPr>
              <w:t>2020</w:t>
            </w:r>
          </w:p>
        </w:tc>
        <w:tc>
          <w:tcPr>
            <w:tcW w:w="513" w:type="pct"/>
          </w:tcPr>
          <w:p w14:paraId="1D43248C" w14:textId="77777777" w:rsidR="00FA2FF9" w:rsidRPr="00730DE4" w:rsidRDefault="00FA2FF9" w:rsidP="000A65A9">
            <w:pPr>
              <w:pStyle w:val="NoSpacing"/>
              <w:jc w:val="right"/>
              <w:rPr>
                <w:color w:val="FFFFFF" w:themeColor="background1"/>
              </w:rPr>
            </w:pPr>
            <w:r w:rsidRPr="00730DE4">
              <w:rPr>
                <w:color w:val="FFFFFF" w:themeColor="background1"/>
              </w:rPr>
              <w:t>2021</w:t>
            </w:r>
          </w:p>
        </w:tc>
        <w:tc>
          <w:tcPr>
            <w:tcW w:w="513" w:type="pct"/>
          </w:tcPr>
          <w:p w14:paraId="33DDC8EE" w14:textId="77777777" w:rsidR="00FA2FF9" w:rsidRPr="00730DE4" w:rsidRDefault="00FA2FF9" w:rsidP="000A65A9">
            <w:pPr>
              <w:pStyle w:val="NoSpacing"/>
              <w:jc w:val="right"/>
              <w:rPr>
                <w:color w:val="FFFFFF" w:themeColor="background1"/>
              </w:rPr>
            </w:pPr>
            <w:r w:rsidRPr="00730DE4">
              <w:rPr>
                <w:color w:val="FFFFFF" w:themeColor="background1"/>
              </w:rPr>
              <w:t>2022</w:t>
            </w:r>
          </w:p>
        </w:tc>
        <w:tc>
          <w:tcPr>
            <w:tcW w:w="513" w:type="pct"/>
          </w:tcPr>
          <w:p w14:paraId="5E722388" w14:textId="77777777" w:rsidR="00FA2FF9" w:rsidRPr="00730DE4" w:rsidRDefault="00FA2FF9" w:rsidP="000A65A9">
            <w:pPr>
              <w:pStyle w:val="NoSpacing"/>
              <w:jc w:val="right"/>
              <w:rPr>
                <w:color w:val="FFFFFF" w:themeColor="background1"/>
              </w:rPr>
            </w:pPr>
            <w:r w:rsidRPr="00730DE4">
              <w:rPr>
                <w:color w:val="FFFFFF" w:themeColor="background1"/>
              </w:rPr>
              <w:t>2023</w:t>
            </w:r>
          </w:p>
        </w:tc>
      </w:tr>
      <w:tr w:rsidR="000A65A9" w:rsidRPr="00730DE4" w14:paraId="47CD54ED" w14:textId="77777777" w:rsidTr="003F13CE">
        <w:trPr>
          <w:cnfStyle w:val="000000100000" w:firstRow="0" w:lastRow="0" w:firstColumn="0" w:lastColumn="0" w:oddVBand="0" w:evenVBand="0" w:oddHBand="1" w:evenHBand="0" w:firstRowFirstColumn="0" w:firstRowLastColumn="0" w:lastRowFirstColumn="0" w:lastRowLastColumn="0"/>
        </w:trPr>
        <w:tc>
          <w:tcPr>
            <w:tcW w:w="1924" w:type="pct"/>
          </w:tcPr>
          <w:p w14:paraId="7072C91F" w14:textId="77777777" w:rsidR="00FA2FF9" w:rsidRPr="00730DE4" w:rsidRDefault="00FA2FF9" w:rsidP="00902DF1">
            <w:pPr>
              <w:pStyle w:val="NoSpacing"/>
            </w:pPr>
            <w:r w:rsidRPr="00730DE4">
              <w:t>Vehicles monitored per notice issued</w:t>
            </w:r>
          </w:p>
        </w:tc>
        <w:tc>
          <w:tcPr>
            <w:tcW w:w="513" w:type="pct"/>
          </w:tcPr>
          <w:p w14:paraId="7E9A9960" w14:textId="77777777" w:rsidR="00FA2FF9" w:rsidRPr="00730DE4" w:rsidRDefault="00FA2FF9" w:rsidP="000A65A9">
            <w:pPr>
              <w:pStyle w:val="NoSpacing"/>
              <w:jc w:val="right"/>
            </w:pPr>
            <w:r w:rsidRPr="00730DE4">
              <w:t xml:space="preserve"> 110,514 </w:t>
            </w:r>
          </w:p>
        </w:tc>
        <w:tc>
          <w:tcPr>
            <w:tcW w:w="513" w:type="pct"/>
          </w:tcPr>
          <w:p w14:paraId="0BFB0678" w14:textId="77777777" w:rsidR="00FA2FF9" w:rsidRPr="00730DE4" w:rsidRDefault="00FA2FF9" w:rsidP="000A65A9">
            <w:pPr>
              <w:pStyle w:val="NoSpacing"/>
              <w:jc w:val="right"/>
            </w:pPr>
            <w:r w:rsidRPr="00730DE4">
              <w:t xml:space="preserve"> 101,852 </w:t>
            </w:r>
          </w:p>
        </w:tc>
        <w:tc>
          <w:tcPr>
            <w:tcW w:w="513" w:type="pct"/>
          </w:tcPr>
          <w:p w14:paraId="3833D02F" w14:textId="77777777" w:rsidR="00FA2FF9" w:rsidRPr="00730DE4" w:rsidRDefault="00FA2FF9" w:rsidP="000A65A9">
            <w:pPr>
              <w:pStyle w:val="NoSpacing"/>
              <w:jc w:val="right"/>
            </w:pPr>
            <w:r w:rsidRPr="00730DE4">
              <w:t xml:space="preserve"> 107,054 </w:t>
            </w:r>
          </w:p>
        </w:tc>
        <w:tc>
          <w:tcPr>
            <w:tcW w:w="513" w:type="pct"/>
          </w:tcPr>
          <w:p w14:paraId="36C66375" w14:textId="77777777" w:rsidR="00FA2FF9" w:rsidRPr="00730DE4" w:rsidRDefault="00FA2FF9" w:rsidP="000A65A9">
            <w:pPr>
              <w:pStyle w:val="NoSpacing"/>
              <w:jc w:val="right"/>
            </w:pPr>
            <w:r w:rsidRPr="00730DE4">
              <w:t xml:space="preserve"> 104,310 </w:t>
            </w:r>
          </w:p>
        </w:tc>
        <w:tc>
          <w:tcPr>
            <w:tcW w:w="513" w:type="pct"/>
          </w:tcPr>
          <w:p w14:paraId="73E244CF" w14:textId="77777777" w:rsidR="00FA2FF9" w:rsidRPr="00730DE4" w:rsidRDefault="00FA2FF9" w:rsidP="000A65A9">
            <w:pPr>
              <w:pStyle w:val="NoSpacing"/>
              <w:jc w:val="right"/>
            </w:pPr>
            <w:r w:rsidRPr="00730DE4">
              <w:t xml:space="preserve"> 118,833 </w:t>
            </w:r>
          </w:p>
        </w:tc>
        <w:tc>
          <w:tcPr>
            <w:tcW w:w="513" w:type="pct"/>
          </w:tcPr>
          <w:p w14:paraId="4A76BA13" w14:textId="77777777" w:rsidR="00FA2FF9" w:rsidRPr="00730DE4" w:rsidRDefault="00FA2FF9" w:rsidP="000A65A9">
            <w:pPr>
              <w:pStyle w:val="NoSpacing"/>
              <w:jc w:val="right"/>
            </w:pPr>
            <w:r w:rsidRPr="00730DE4">
              <w:t xml:space="preserve"> 148,623 </w:t>
            </w:r>
          </w:p>
        </w:tc>
      </w:tr>
    </w:tbl>
    <w:p w14:paraId="4CEB2470" w14:textId="77777777" w:rsidR="00FA2FF9" w:rsidRPr="00730DE4" w:rsidRDefault="00FA2FF9" w:rsidP="00D449CD">
      <w:pPr>
        <w:pStyle w:val="Caption"/>
      </w:pPr>
      <w:r w:rsidRPr="00730DE4">
        <w:t>Data source: Queensland Police Service.</w:t>
      </w:r>
    </w:p>
    <w:p w14:paraId="73E1AF1B" w14:textId="77777777" w:rsidR="00FA2FF9" w:rsidRPr="00730DE4" w:rsidRDefault="00FA2FF9" w:rsidP="00A978C2">
      <w:pPr>
        <w:pStyle w:val="Caption"/>
      </w:pPr>
      <w:r w:rsidRPr="00730DE4">
        <w:t xml:space="preserve">Note: This graph does not include red light camera notices issued by combination red light/speed cameras. See Figure 8. </w:t>
      </w:r>
    </w:p>
    <w:p w14:paraId="34079785" w14:textId="77777777" w:rsidR="00FA2FF9" w:rsidRPr="00730DE4" w:rsidRDefault="00FA2FF9" w:rsidP="00902DF1">
      <w:pPr>
        <w:pStyle w:val="FigureCaption"/>
      </w:pPr>
      <w:r w:rsidRPr="00730DE4">
        <w:t>Figure 7: Fixed speed cameras—Vehicles monitored per notice issued</w:t>
      </w:r>
    </w:p>
    <w:tbl>
      <w:tblPr>
        <w:tblStyle w:val="TMRDefault"/>
        <w:tblW w:w="4992" w:type="pct"/>
        <w:tblLook w:val="04A0" w:firstRow="1" w:lastRow="0" w:firstColumn="1" w:lastColumn="0" w:noHBand="0" w:noVBand="1"/>
      </w:tblPr>
      <w:tblGrid>
        <w:gridCol w:w="5374"/>
        <w:gridCol w:w="1433"/>
        <w:gridCol w:w="1433"/>
        <w:gridCol w:w="1433"/>
        <w:gridCol w:w="1433"/>
        <w:gridCol w:w="1433"/>
        <w:gridCol w:w="1431"/>
      </w:tblGrid>
      <w:tr w:rsidR="000A65A9" w:rsidRPr="00730DE4" w14:paraId="07720DD3" w14:textId="77777777" w:rsidTr="003F13CE">
        <w:trPr>
          <w:cnfStyle w:val="100000000000" w:firstRow="1" w:lastRow="0" w:firstColumn="0" w:lastColumn="0" w:oddVBand="0" w:evenVBand="0" w:oddHBand="0" w:evenHBand="0" w:firstRowFirstColumn="0" w:firstRowLastColumn="0" w:lastRowFirstColumn="0" w:lastRowLastColumn="0"/>
          <w:tblHeader/>
        </w:trPr>
        <w:tc>
          <w:tcPr>
            <w:tcW w:w="1923" w:type="pct"/>
          </w:tcPr>
          <w:p w14:paraId="224C94C5" w14:textId="77777777" w:rsidR="00FA2FF9" w:rsidRPr="00730DE4" w:rsidRDefault="00FA2FF9" w:rsidP="00902DF1">
            <w:pPr>
              <w:pStyle w:val="NoSpacing"/>
              <w:rPr>
                <w:color w:val="FFFFFF" w:themeColor="background1"/>
              </w:rPr>
            </w:pPr>
          </w:p>
        </w:tc>
        <w:tc>
          <w:tcPr>
            <w:tcW w:w="513" w:type="pct"/>
          </w:tcPr>
          <w:p w14:paraId="6EF42008" w14:textId="77777777" w:rsidR="00FA2FF9" w:rsidRPr="00730DE4" w:rsidRDefault="00FA2FF9" w:rsidP="000A65A9">
            <w:pPr>
              <w:pStyle w:val="NoSpacing"/>
              <w:jc w:val="right"/>
              <w:rPr>
                <w:color w:val="FFFFFF" w:themeColor="background1"/>
              </w:rPr>
            </w:pPr>
            <w:r w:rsidRPr="00730DE4">
              <w:rPr>
                <w:color w:val="FFFFFF" w:themeColor="background1"/>
              </w:rPr>
              <w:t>2018</w:t>
            </w:r>
          </w:p>
        </w:tc>
        <w:tc>
          <w:tcPr>
            <w:tcW w:w="513" w:type="pct"/>
          </w:tcPr>
          <w:p w14:paraId="267DC446" w14:textId="77777777" w:rsidR="00FA2FF9" w:rsidRPr="00730DE4" w:rsidRDefault="00FA2FF9" w:rsidP="000A65A9">
            <w:pPr>
              <w:pStyle w:val="NoSpacing"/>
              <w:jc w:val="right"/>
              <w:rPr>
                <w:color w:val="FFFFFF" w:themeColor="background1"/>
              </w:rPr>
            </w:pPr>
            <w:r w:rsidRPr="00730DE4">
              <w:rPr>
                <w:color w:val="FFFFFF" w:themeColor="background1"/>
              </w:rPr>
              <w:t>2019</w:t>
            </w:r>
          </w:p>
        </w:tc>
        <w:tc>
          <w:tcPr>
            <w:tcW w:w="513" w:type="pct"/>
          </w:tcPr>
          <w:p w14:paraId="41DF8486" w14:textId="77777777" w:rsidR="00FA2FF9" w:rsidRPr="00730DE4" w:rsidRDefault="00FA2FF9" w:rsidP="000A65A9">
            <w:pPr>
              <w:pStyle w:val="NoSpacing"/>
              <w:jc w:val="right"/>
              <w:rPr>
                <w:color w:val="FFFFFF" w:themeColor="background1"/>
              </w:rPr>
            </w:pPr>
            <w:r w:rsidRPr="00730DE4">
              <w:rPr>
                <w:color w:val="FFFFFF" w:themeColor="background1"/>
              </w:rPr>
              <w:t>2020</w:t>
            </w:r>
          </w:p>
        </w:tc>
        <w:tc>
          <w:tcPr>
            <w:tcW w:w="513" w:type="pct"/>
          </w:tcPr>
          <w:p w14:paraId="36EBF361" w14:textId="77777777" w:rsidR="00FA2FF9" w:rsidRPr="00730DE4" w:rsidRDefault="00FA2FF9" w:rsidP="000A65A9">
            <w:pPr>
              <w:pStyle w:val="NoSpacing"/>
              <w:jc w:val="right"/>
              <w:rPr>
                <w:color w:val="FFFFFF" w:themeColor="background1"/>
              </w:rPr>
            </w:pPr>
            <w:r w:rsidRPr="00730DE4">
              <w:rPr>
                <w:color w:val="FFFFFF" w:themeColor="background1"/>
              </w:rPr>
              <w:t>2022</w:t>
            </w:r>
          </w:p>
        </w:tc>
        <w:tc>
          <w:tcPr>
            <w:tcW w:w="513" w:type="pct"/>
          </w:tcPr>
          <w:p w14:paraId="14E49CE5" w14:textId="77777777" w:rsidR="00FA2FF9" w:rsidRPr="00730DE4" w:rsidRDefault="00FA2FF9" w:rsidP="000A65A9">
            <w:pPr>
              <w:pStyle w:val="NoSpacing"/>
              <w:jc w:val="right"/>
              <w:rPr>
                <w:color w:val="FFFFFF" w:themeColor="background1"/>
              </w:rPr>
            </w:pPr>
            <w:r w:rsidRPr="00730DE4">
              <w:rPr>
                <w:color w:val="FFFFFF" w:themeColor="background1"/>
              </w:rPr>
              <w:t>2023</w:t>
            </w:r>
          </w:p>
        </w:tc>
        <w:tc>
          <w:tcPr>
            <w:tcW w:w="513" w:type="pct"/>
          </w:tcPr>
          <w:p w14:paraId="2163A9B3" w14:textId="77777777" w:rsidR="00FA2FF9" w:rsidRPr="00730DE4" w:rsidRDefault="00FA2FF9" w:rsidP="000A65A9">
            <w:pPr>
              <w:pStyle w:val="NoSpacing"/>
              <w:jc w:val="right"/>
              <w:rPr>
                <w:color w:val="FFFFFF" w:themeColor="background1"/>
              </w:rPr>
            </w:pPr>
            <w:r w:rsidRPr="00730DE4">
              <w:rPr>
                <w:color w:val="FFFFFF" w:themeColor="background1"/>
              </w:rPr>
              <w:t>2024</w:t>
            </w:r>
          </w:p>
        </w:tc>
      </w:tr>
      <w:tr w:rsidR="000A65A9" w:rsidRPr="00730DE4" w14:paraId="5070D7F5" w14:textId="77777777" w:rsidTr="003F13CE">
        <w:trPr>
          <w:cnfStyle w:val="000000100000" w:firstRow="0" w:lastRow="0" w:firstColumn="0" w:lastColumn="0" w:oddVBand="0" w:evenVBand="0" w:oddHBand="1" w:evenHBand="0" w:firstRowFirstColumn="0" w:firstRowLastColumn="0" w:lastRowFirstColumn="0" w:lastRowLastColumn="0"/>
        </w:trPr>
        <w:tc>
          <w:tcPr>
            <w:tcW w:w="1923" w:type="pct"/>
          </w:tcPr>
          <w:p w14:paraId="3D890A4E" w14:textId="77777777" w:rsidR="00FA2FF9" w:rsidRPr="00730DE4" w:rsidRDefault="00FA2FF9" w:rsidP="00902DF1">
            <w:pPr>
              <w:pStyle w:val="NoSpacing"/>
            </w:pPr>
            <w:r w:rsidRPr="00730DE4">
              <w:t>Vehicles monitored per notice issued</w:t>
            </w:r>
          </w:p>
        </w:tc>
        <w:tc>
          <w:tcPr>
            <w:tcW w:w="513" w:type="pct"/>
          </w:tcPr>
          <w:p w14:paraId="4D5D2415" w14:textId="77777777" w:rsidR="00FA2FF9" w:rsidRPr="00730DE4" w:rsidRDefault="00FA2FF9" w:rsidP="000A65A9">
            <w:pPr>
              <w:pStyle w:val="NoSpacing"/>
              <w:jc w:val="right"/>
            </w:pPr>
            <w:r w:rsidRPr="00730DE4">
              <w:t xml:space="preserve"> 13,107 </w:t>
            </w:r>
          </w:p>
        </w:tc>
        <w:tc>
          <w:tcPr>
            <w:tcW w:w="513" w:type="pct"/>
          </w:tcPr>
          <w:p w14:paraId="093E19FE" w14:textId="77777777" w:rsidR="00FA2FF9" w:rsidRPr="00730DE4" w:rsidRDefault="00FA2FF9" w:rsidP="000A65A9">
            <w:pPr>
              <w:pStyle w:val="NoSpacing"/>
              <w:jc w:val="right"/>
            </w:pPr>
            <w:r w:rsidRPr="00730DE4">
              <w:t xml:space="preserve"> 14,918 </w:t>
            </w:r>
          </w:p>
        </w:tc>
        <w:tc>
          <w:tcPr>
            <w:tcW w:w="513" w:type="pct"/>
          </w:tcPr>
          <w:p w14:paraId="2E77C904" w14:textId="77777777" w:rsidR="00FA2FF9" w:rsidRPr="00730DE4" w:rsidRDefault="00FA2FF9" w:rsidP="000A65A9">
            <w:pPr>
              <w:pStyle w:val="NoSpacing"/>
              <w:jc w:val="right"/>
            </w:pPr>
            <w:r w:rsidRPr="00730DE4">
              <w:t xml:space="preserve"> 13,556 </w:t>
            </w:r>
          </w:p>
        </w:tc>
        <w:tc>
          <w:tcPr>
            <w:tcW w:w="513" w:type="pct"/>
          </w:tcPr>
          <w:p w14:paraId="44676A95" w14:textId="77777777" w:rsidR="00FA2FF9" w:rsidRPr="00730DE4" w:rsidRDefault="00FA2FF9" w:rsidP="000A65A9">
            <w:pPr>
              <w:pStyle w:val="NoSpacing"/>
              <w:jc w:val="right"/>
            </w:pPr>
            <w:r w:rsidRPr="00730DE4">
              <w:t xml:space="preserve"> 15,234 </w:t>
            </w:r>
          </w:p>
        </w:tc>
        <w:tc>
          <w:tcPr>
            <w:tcW w:w="513" w:type="pct"/>
          </w:tcPr>
          <w:p w14:paraId="4E709E96" w14:textId="77777777" w:rsidR="00FA2FF9" w:rsidRPr="00730DE4" w:rsidRDefault="00FA2FF9" w:rsidP="000A65A9">
            <w:pPr>
              <w:pStyle w:val="NoSpacing"/>
              <w:jc w:val="right"/>
            </w:pPr>
            <w:r w:rsidRPr="00730DE4">
              <w:t xml:space="preserve"> 21,156 </w:t>
            </w:r>
          </w:p>
        </w:tc>
        <w:tc>
          <w:tcPr>
            <w:tcW w:w="513" w:type="pct"/>
          </w:tcPr>
          <w:p w14:paraId="5180ACC5" w14:textId="77777777" w:rsidR="00FA2FF9" w:rsidRPr="00730DE4" w:rsidRDefault="00FA2FF9" w:rsidP="000A65A9">
            <w:pPr>
              <w:pStyle w:val="NoSpacing"/>
              <w:jc w:val="right"/>
            </w:pPr>
            <w:r w:rsidRPr="00730DE4">
              <w:t xml:space="preserve"> 21,231 </w:t>
            </w:r>
          </w:p>
        </w:tc>
      </w:tr>
    </w:tbl>
    <w:p w14:paraId="3A5D928F" w14:textId="77777777" w:rsidR="00FA2FF9" w:rsidRPr="00730DE4" w:rsidRDefault="00FA2FF9" w:rsidP="00570143">
      <w:pPr>
        <w:pStyle w:val="Caption"/>
      </w:pPr>
      <w:r w:rsidRPr="00730DE4">
        <w:t xml:space="preserve">Data source: Queensland Police Service. </w:t>
      </w:r>
    </w:p>
    <w:p w14:paraId="32CC5B4E" w14:textId="77777777" w:rsidR="00FA2FF9" w:rsidRPr="00730DE4" w:rsidRDefault="00FA2FF9" w:rsidP="00570143">
      <w:pPr>
        <w:pStyle w:val="Caption"/>
      </w:pPr>
      <w:r w:rsidRPr="00730DE4">
        <w:t xml:space="preserve">Note: This graph does not include fixed speed camera notices issued by combined red light/speed cameras. See Figure 8. </w:t>
      </w:r>
    </w:p>
    <w:p w14:paraId="64D793A1" w14:textId="77777777" w:rsidR="00FA2FF9" w:rsidRPr="00730DE4" w:rsidRDefault="00FA2FF9" w:rsidP="00EE4BA8">
      <w:pPr>
        <w:pStyle w:val="FigureCaption"/>
      </w:pPr>
      <w:r w:rsidRPr="00730DE4">
        <w:t>Table 53: Number of fixed speed camera infringements per penalty bracket for 2023</w:t>
      </w:r>
    </w:p>
    <w:tbl>
      <w:tblPr>
        <w:tblStyle w:val="TMRDefault"/>
        <w:tblW w:w="4991" w:type="pct"/>
        <w:tblLook w:val="04A0" w:firstRow="1" w:lastRow="0" w:firstColumn="1" w:lastColumn="0" w:noHBand="0" w:noVBand="1"/>
      </w:tblPr>
      <w:tblGrid>
        <w:gridCol w:w="5369"/>
        <w:gridCol w:w="1433"/>
        <w:gridCol w:w="1433"/>
        <w:gridCol w:w="1433"/>
        <w:gridCol w:w="1433"/>
        <w:gridCol w:w="1433"/>
        <w:gridCol w:w="1433"/>
      </w:tblGrid>
      <w:tr w:rsidR="000A65A9" w:rsidRPr="00730DE4" w14:paraId="78EC536C" w14:textId="77777777" w:rsidTr="003F13CE">
        <w:trPr>
          <w:cnfStyle w:val="100000000000" w:firstRow="1" w:lastRow="0" w:firstColumn="0" w:lastColumn="0" w:oddVBand="0" w:evenVBand="0" w:oddHBand="0" w:evenHBand="0" w:firstRowFirstColumn="0" w:firstRowLastColumn="0" w:lastRowFirstColumn="0" w:lastRowLastColumn="0"/>
          <w:tblHeader/>
        </w:trPr>
        <w:tc>
          <w:tcPr>
            <w:tcW w:w="1922" w:type="pct"/>
          </w:tcPr>
          <w:p w14:paraId="3D476E97" w14:textId="77777777" w:rsidR="00FA2FF9" w:rsidRPr="00730DE4" w:rsidRDefault="00FA2FF9" w:rsidP="00902DF1">
            <w:pPr>
              <w:pStyle w:val="NoSpacing"/>
              <w:rPr>
                <w:color w:val="FFFFFF" w:themeColor="background1"/>
              </w:rPr>
            </w:pPr>
            <w:r w:rsidRPr="00730DE4">
              <w:rPr>
                <w:color w:val="FFFFFF" w:themeColor="background1"/>
              </w:rPr>
              <w:t>Penalty bracket</w:t>
            </w:r>
          </w:p>
        </w:tc>
        <w:tc>
          <w:tcPr>
            <w:tcW w:w="513" w:type="pct"/>
          </w:tcPr>
          <w:p w14:paraId="786A6E4B" w14:textId="5DADA071" w:rsidR="00FA2FF9" w:rsidRPr="00730DE4" w:rsidRDefault="00FA2FF9" w:rsidP="000A65A9">
            <w:pPr>
              <w:pStyle w:val="NoSpacing"/>
              <w:jc w:val="right"/>
              <w:rPr>
                <w:color w:val="FFFFFF" w:themeColor="background1"/>
              </w:rPr>
            </w:pPr>
            <w:r w:rsidRPr="00730DE4">
              <w:rPr>
                <w:color w:val="FFFFFF" w:themeColor="background1"/>
              </w:rPr>
              <w:t>&lt; 11</w:t>
            </w:r>
            <w:r w:rsidR="003F13CE" w:rsidRPr="00730DE4">
              <w:rPr>
                <w:color w:val="FFFFFF" w:themeColor="background1"/>
              </w:rPr>
              <w:t xml:space="preserve"> </w:t>
            </w:r>
            <w:r w:rsidRPr="00730DE4">
              <w:rPr>
                <w:color w:val="FFFFFF" w:themeColor="background1"/>
              </w:rPr>
              <w:t>km/h</w:t>
            </w:r>
          </w:p>
        </w:tc>
        <w:tc>
          <w:tcPr>
            <w:tcW w:w="513" w:type="pct"/>
          </w:tcPr>
          <w:p w14:paraId="2616327A" w14:textId="7F5F4AC3" w:rsidR="00FA2FF9" w:rsidRPr="00730DE4" w:rsidRDefault="00FA2FF9" w:rsidP="000A65A9">
            <w:pPr>
              <w:pStyle w:val="NoSpacing"/>
              <w:jc w:val="right"/>
              <w:rPr>
                <w:color w:val="FFFFFF" w:themeColor="background1"/>
              </w:rPr>
            </w:pPr>
            <w:r w:rsidRPr="00730DE4">
              <w:rPr>
                <w:color w:val="FFFFFF" w:themeColor="background1"/>
              </w:rPr>
              <w:t>11–20</w:t>
            </w:r>
            <w:r w:rsidR="003F13CE" w:rsidRPr="00730DE4">
              <w:rPr>
                <w:color w:val="FFFFFF" w:themeColor="background1"/>
              </w:rPr>
              <w:t xml:space="preserve"> </w:t>
            </w:r>
            <w:r w:rsidRPr="00730DE4">
              <w:rPr>
                <w:color w:val="FFFFFF" w:themeColor="background1"/>
              </w:rPr>
              <w:t>km/h</w:t>
            </w:r>
          </w:p>
        </w:tc>
        <w:tc>
          <w:tcPr>
            <w:tcW w:w="513" w:type="pct"/>
          </w:tcPr>
          <w:p w14:paraId="3C9B3648" w14:textId="4D124067" w:rsidR="00FA2FF9" w:rsidRPr="00730DE4" w:rsidRDefault="00FA2FF9" w:rsidP="000A65A9">
            <w:pPr>
              <w:pStyle w:val="NoSpacing"/>
              <w:jc w:val="right"/>
              <w:rPr>
                <w:color w:val="FFFFFF" w:themeColor="background1"/>
              </w:rPr>
            </w:pPr>
            <w:r w:rsidRPr="00730DE4">
              <w:rPr>
                <w:color w:val="FFFFFF" w:themeColor="background1"/>
              </w:rPr>
              <w:t>21–30</w:t>
            </w:r>
            <w:r w:rsidR="003F13CE" w:rsidRPr="00730DE4">
              <w:rPr>
                <w:color w:val="FFFFFF" w:themeColor="background1"/>
              </w:rPr>
              <w:t xml:space="preserve"> </w:t>
            </w:r>
            <w:r w:rsidRPr="00730DE4">
              <w:rPr>
                <w:color w:val="FFFFFF" w:themeColor="background1"/>
              </w:rPr>
              <w:t>km/h</w:t>
            </w:r>
          </w:p>
        </w:tc>
        <w:tc>
          <w:tcPr>
            <w:tcW w:w="513" w:type="pct"/>
          </w:tcPr>
          <w:p w14:paraId="297E3855" w14:textId="65E10276" w:rsidR="00FA2FF9" w:rsidRPr="00730DE4" w:rsidRDefault="00FA2FF9" w:rsidP="000A65A9">
            <w:pPr>
              <w:pStyle w:val="NoSpacing"/>
              <w:jc w:val="right"/>
              <w:rPr>
                <w:color w:val="FFFFFF" w:themeColor="background1"/>
              </w:rPr>
            </w:pPr>
            <w:r w:rsidRPr="00730DE4">
              <w:rPr>
                <w:color w:val="FFFFFF" w:themeColor="background1"/>
              </w:rPr>
              <w:t>31–40</w:t>
            </w:r>
            <w:r w:rsidR="003F13CE" w:rsidRPr="00730DE4">
              <w:rPr>
                <w:color w:val="FFFFFF" w:themeColor="background1"/>
              </w:rPr>
              <w:t xml:space="preserve"> </w:t>
            </w:r>
            <w:r w:rsidRPr="00730DE4">
              <w:rPr>
                <w:color w:val="FFFFFF" w:themeColor="background1"/>
              </w:rPr>
              <w:t>km/h</w:t>
            </w:r>
          </w:p>
        </w:tc>
        <w:tc>
          <w:tcPr>
            <w:tcW w:w="513" w:type="pct"/>
          </w:tcPr>
          <w:p w14:paraId="6A43D5FD" w14:textId="1CC10FCF" w:rsidR="00FA2FF9" w:rsidRPr="00730DE4" w:rsidRDefault="00FA2FF9" w:rsidP="000A65A9">
            <w:pPr>
              <w:pStyle w:val="NoSpacing"/>
              <w:jc w:val="right"/>
              <w:rPr>
                <w:color w:val="FFFFFF" w:themeColor="background1"/>
              </w:rPr>
            </w:pPr>
            <w:r w:rsidRPr="00730DE4">
              <w:rPr>
                <w:color w:val="FFFFFF" w:themeColor="background1"/>
              </w:rPr>
              <w:t>&gt; 40</w:t>
            </w:r>
            <w:r w:rsidR="003F13CE" w:rsidRPr="00730DE4">
              <w:rPr>
                <w:color w:val="FFFFFF" w:themeColor="background1"/>
              </w:rPr>
              <w:t xml:space="preserve"> </w:t>
            </w:r>
            <w:r w:rsidRPr="00730DE4">
              <w:rPr>
                <w:color w:val="FFFFFF" w:themeColor="background1"/>
              </w:rPr>
              <w:t>km/h</w:t>
            </w:r>
          </w:p>
        </w:tc>
        <w:tc>
          <w:tcPr>
            <w:tcW w:w="513" w:type="pct"/>
          </w:tcPr>
          <w:p w14:paraId="47754531" w14:textId="77777777" w:rsidR="00FA2FF9" w:rsidRPr="00730DE4" w:rsidRDefault="00FA2FF9" w:rsidP="000A65A9">
            <w:pPr>
              <w:pStyle w:val="NoSpacing"/>
              <w:jc w:val="right"/>
              <w:rPr>
                <w:color w:val="FFFFFF" w:themeColor="background1"/>
              </w:rPr>
            </w:pPr>
            <w:r w:rsidRPr="00730DE4">
              <w:rPr>
                <w:color w:val="FFFFFF" w:themeColor="background1"/>
              </w:rPr>
              <w:t>Total</w:t>
            </w:r>
          </w:p>
        </w:tc>
      </w:tr>
      <w:tr w:rsidR="000A65A9" w:rsidRPr="00730DE4" w14:paraId="2151A0BD" w14:textId="77777777" w:rsidTr="003F13CE">
        <w:trPr>
          <w:cnfStyle w:val="000000100000" w:firstRow="0" w:lastRow="0" w:firstColumn="0" w:lastColumn="0" w:oddVBand="0" w:evenVBand="0" w:oddHBand="1" w:evenHBand="0" w:firstRowFirstColumn="0" w:firstRowLastColumn="0" w:lastRowFirstColumn="0" w:lastRowLastColumn="0"/>
        </w:trPr>
        <w:tc>
          <w:tcPr>
            <w:tcW w:w="1922" w:type="pct"/>
          </w:tcPr>
          <w:p w14:paraId="1D494249" w14:textId="77777777" w:rsidR="00FA2FF9" w:rsidRPr="00730DE4" w:rsidRDefault="00FA2FF9" w:rsidP="00902DF1">
            <w:pPr>
              <w:pStyle w:val="NoSpacing"/>
            </w:pPr>
            <w:r w:rsidRPr="00730DE4">
              <w:t>Number of fixed speed camera infringements</w:t>
            </w:r>
          </w:p>
        </w:tc>
        <w:tc>
          <w:tcPr>
            <w:tcW w:w="513" w:type="pct"/>
          </w:tcPr>
          <w:p w14:paraId="1E809B4D" w14:textId="77777777" w:rsidR="00FA2FF9" w:rsidRPr="00730DE4" w:rsidRDefault="00FA2FF9" w:rsidP="000A65A9">
            <w:pPr>
              <w:pStyle w:val="NoSpacing"/>
              <w:jc w:val="right"/>
            </w:pPr>
            <w:r w:rsidRPr="00730DE4">
              <w:t>101,999</w:t>
            </w:r>
          </w:p>
        </w:tc>
        <w:tc>
          <w:tcPr>
            <w:tcW w:w="513" w:type="pct"/>
          </w:tcPr>
          <w:p w14:paraId="46D295F7" w14:textId="77777777" w:rsidR="00FA2FF9" w:rsidRPr="00730DE4" w:rsidRDefault="00FA2FF9" w:rsidP="000A65A9">
            <w:pPr>
              <w:pStyle w:val="NoSpacing"/>
              <w:jc w:val="right"/>
            </w:pPr>
            <w:r w:rsidRPr="00730DE4">
              <w:t>40,354</w:t>
            </w:r>
          </w:p>
        </w:tc>
        <w:tc>
          <w:tcPr>
            <w:tcW w:w="513" w:type="pct"/>
          </w:tcPr>
          <w:p w14:paraId="17CFF907" w14:textId="77777777" w:rsidR="00FA2FF9" w:rsidRPr="00730DE4" w:rsidRDefault="00FA2FF9" w:rsidP="000A65A9">
            <w:pPr>
              <w:pStyle w:val="NoSpacing"/>
              <w:jc w:val="right"/>
            </w:pPr>
            <w:r w:rsidRPr="00730DE4">
              <w:t>3047</w:t>
            </w:r>
          </w:p>
        </w:tc>
        <w:tc>
          <w:tcPr>
            <w:tcW w:w="513" w:type="pct"/>
          </w:tcPr>
          <w:p w14:paraId="20914249" w14:textId="77777777" w:rsidR="00FA2FF9" w:rsidRPr="00730DE4" w:rsidRDefault="00FA2FF9" w:rsidP="000A65A9">
            <w:pPr>
              <w:pStyle w:val="NoSpacing"/>
              <w:jc w:val="right"/>
            </w:pPr>
            <w:r w:rsidRPr="00730DE4">
              <w:t>670</w:t>
            </w:r>
          </w:p>
        </w:tc>
        <w:tc>
          <w:tcPr>
            <w:tcW w:w="513" w:type="pct"/>
          </w:tcPr>
          <w:p w14:paraId="7FA89B98" w14:textId="77777777" w:rsidR="00FA2FF9" w:rsidRPr="00730DE4" w:rsidRDefault="00FA2FF9" w:rsidP="000A65A9">
            <w:pPr>
              <w:pStyle w:val="NoSpacing"/>
              <w:jc w:val="right"/>
            </w:pPr>
            <w:r w:rsidRPr="00730DE4">
              <w:t>339</w:t>
            </w:r>
          </w:p>
        </w:tc>
        <w:tc>
          <w:tcPr>
            <w:tcW w:w="513" w:type="pct"/>
          </w:tcPr>
          <w:p w14:paraId="02661573" w14:textId="77777777" w:rsidR="00FA2FF9" w:rsidRPr="00730DE4" w:rsidRDefault="00FA2FF9" w:rsidP="000A65A9">
            <w:pPr>
              <w:pStyle w:val="NoSpacing"/>
              <w:jc w:val="right"/>
            </w:pPr>
            <w:r w:rsidRPr="00730DE4">
              <w:t>146,409</w:t>
            </w:r>
          </w:p>
        </w:tc>
      </w:tr>
      <w:tr w:rsidR="000A65A9" w:rsidRPr="00730DE4" w14:paraId="296D8859" w14:textId="77777777" w:rsidTr="003F13CE">
        <w:tc>
          <w:tcPr>
            <w:tcW w:w="1922" w:type="pct"/>
          </w:tcPr>
          <w:p w14:paraId="539042D6" w14:textId="77777777" w:rsidR="00FA2FF9" w:rsidRPr="00730DE4" w:rsidRDefault="00FA2FF9" w:rsidP="00902DF1">
            <w:pPr>
              <w:pStyle w:val="NoSpacing"/>
            </w:pPr>
            <w:r w:rsidRPr="00730DE4">
              <w:t>Percentage</w:t>
            </w:r>
          </w:p>
        </w:tc>
        <w:tc>
          <w:tcPr>
            <w:tcW w:w="513" w:type="pct"/>
          </w:tcPr>
          <w:p w14:paraId="6060E3DB" w14:textId="77777777" w:rsidR="00FA2FF9" w:rsidRPr="00730DE4" w:rsidRDefault="00FA2FF9" w:rsidP="000A65A9">
            <w:pPr>
              <w:pStyle w:val="NoSpacing"/>
              <w:jc w:val="right"/>
            </w:pPr>
            <w:r w:rsidRPr="00730DE4">
              <w:t>69.67%</w:t>
            </w:r>
          </w:p>
        </w:tc>
        <w:tc>
          <w:tcPr>
            <w:tcW w:w="513" w:type="pct"/>
          </w:tcPr>
          <w:p w14:paraId="001239C8" w14:textId="77777777" w:rsidR="00FA2FF9" w:rsidRPr="00730DE4" w:rsidRDefault="00FA2FF9" w:rsidP="000A65A9">
            <w:pPr>
              <w:pStyle w:val="NoSpacing"/>
              <w:jc w:val="right"/>
            </w:pPr>
            <w:r w:rsidRPr="00730DE4">
              <w:t>27.56%</w:t>
            </w:r>
          </w:p>
        </w:tc>
        <w:tc>
          <w:tcPr>
            <w:tcW w:w="513" w:type="pct"/>
          </w:tcPr>
          <w:p w14:paraId="563F4C60" w14:textId="77777777" w:rsidR="00FA2FF9" w:rsidRPr="00730DE4" w:rsidRDefault="00FA2FF9" w:rsidP="000A65A9">
            <w:pPr>
              <w:pStyle w:val="NoSpacing"/>
              <w:jc w:val="right"/>
            </w:pPr>
            <w:r w:rsidRPr="00730DE4">
              <w:t>2.08%</w:t>
            </w:r>
          </w:p>
        </w:tc>
        <w:tc>
          <w:tcPr>
            <w:tcW w:w="513" w:type="pct"/>
          </w:tcPr>
          <w:p w14:paraId="5561EAD9" w14:textId="77777777" w:rsidR="00FA2FF9" w:rsidRPr="00730DE4" w:rsidRDefault="00FA2FF9" w:rsidP="000A65A9">
            <w:pPr>
              <w:pStyle w:val="NoSpacing"/>
              <w:jc w:val="right"/>
            </w:pPr>
            <w:r w:rsidRPr="00730DE4">
              <w:t>0.46%</w:t>
            </w:r>
          </w:p>
        </w:tc>
        <w:tc>
          <w:tcPr>
            <w:tcW w:w="513" w:type="pct"/>
          </w:tcPr>
          <w:p w14:paraId="287B647F" w14:textId="77777777" w:rsidR="00FA2FF9" w:rsidRPr="00730DE4" w:rsidRDefault="00FA2FF9" w:rsidP="000A65A9">
            <w:pPr>
              <w:pStyle w:val="NoSpacing"/>
              <w:jc w:val="right"/>
            </w:pPr>
            <w:r w:rsidRPr="00730DE4">
              <w:t>0.23%</w:t>
            </w:r>
          </w:p>
        </w:tc>
        <w:tc>
          <w:tcPr>
            <w:tcW w:w="513" w:type="pct"/>
          </w:tcPr>
          <w:p w14:paraId="20CB1190" w14:textId="77777777" w:rsidR="00FA2FF9" w:rsidRPr="00730DE4" w:rsidRDefault="00FA2FF9" w:rsidP="000A65A9">
            <w:pPr>
              <w:pStyle w:val="NoSpacing"/>
              <w:jc w:val="right"/>
            </w:pPr>
            <w:r w:rsidRPr="00730DE4">
              <w:t> </w:t>
            </w:r>
          </w:p>
        </w:tc>
      </w:tr>
    </w:tbl>
    <w:p w14:paraId="2E7E56F1" w14:textId="77777777" w:rsidR="00FA2FF9" w:rsidRPr="00730DE4" w:rsidRDefault="00FA2FF9" w:rsidP="00EE4BA8">
      <w:pPr>
        <w:pStyle w:val="Caption"/>
      </w:pPr>
      <w:r w:rsidRPr="00730DE4">
        <w:t xml:space="preserve">Data source: Queensland Police Service. </w:t>
      </w:r>
    </w:p>
    <w:p w14:paraId="3FDA1878" w14:textId="77777777" w:rsidR="00FA2FF9" w:rsidRPr="00730DE4" w:rsidRDefault="00FA2FF9" w:rsidP="00EE4BA8">
      <w:pPr>
        <w:pStyle w:val="Caption"/>
      </w:pPr>
      <w:r w:rsidRPr="00730DE4">
        <w:t xml:space="preserve">Notes: Penalty bracket is vehicle exceeding the speed limited by this amount. This data reflects all fixed speed camera notices including those detected by combined red light/speed cameras. </w:t>
      </w:r>
    </w:p>
    <w:p w14:paraId="2CE980EC" w14:textId="71839233" w:rsidR="00FA2FF9" w:rsidRPr="00730DE4" w:rsidRDefault="00FA2FF9" w:rsidP="00902DF1">
      <w:pPr>
        <w:pStyle w:val="FigureCaption"/>
      </w:pPr>
      <w:r w:rsidRPr="00730DE4">
        <w:t>Figure 8: Combined red light/speed camera—Vehicles monitored per notice issued</w:t>
      </w:r>
    </w:p>
    <w:tbl>
      <w:tblPr>
        <w:tblStyle w:val="TMRDefault"/>
        <w:tblW w:w="4994" w:type="pct"/>
        <w:tblLook w:val="04A0" w:firstRow="1" w:lastRow="0" w:firstColumn="1" w:lastColumn="0" w:noHBand="0" w:noVBand="1"/>
      </w:tblPr>
      <w:tblGrid>
        <w:gridCol w:w="5377"/>
        <w:gridCol w:w="1434"/>
        <w:gridCol w:w="1434"/>
        <w:gridCol w:w="1434"/>
        <w:gridCol w:w="1434"/>
        <w:gridCol w:w="1434"/>
        <w:gridCol w:w="1428"/>
      </w:tblGrid>
      <w:tr w:rsidR="002D6779" w:rsidRPr="00730DE4" w14:paraId="743F7711" w14:textId="77777777" w:rsidTr="003F13CE">
        <w:trPr>
          <w:cnfStyle w:val="100000000000" w:firstRow="1" w:lastRow="0" w:firstColumn="0" w:lastColumn="0" w:oddVBand="0" w:evenVBand="0" w:oddHBand="0" w:evenHBand="0" w:firstRowFirstColumn="0" w:firstRowLastColumn="0" w:lastRowFirstColumn="0" w:lastRowLastColumn="0"/>
          <w:tblHeader/>
        </w:trPr>
        <w:tc>
          <w:tcPr>
            <w:tcW w:w="1924" w:type="pct"/>
          </w:tcPr>
          <w:p w14:paraId="1503A299" w14:textId="77777777" w:rsidR="00FA2FF9" w:rsidRPr="00730DE4" w:rsidRDefault="00FA2FF9" w:rsidP="00902DF1">
            <w:pPr>
              <w:pStyle w:val="NoSpacing"/>
              <w:rPr>
                <w:color w:val="FFFFFF" w:themeColor="background1"/>
              </w:rPr>
            </w:pPr>
          </w:p>
        </w:tc>
        <w:tc>
          <w:tcPr>
            <w:tcW w:w="513" w:type="pct"/>
          </w:tcPr>
          <w:p w14:paraId="47817849" w14:textId="77777777" w:rsidR="00FA2FF9" w:rsidRPr="00730DE4" w:rsidRDefault="00FA2FF9" w:rsidP="000A65A9">
            <w:pPr>
              <w:pStyle w:val="NoSpacing"/>
              <w:jc w:val="right"/>
              <w:rPr>
                <w:color w:val="FFFFFF" w:themeColor="background1"/>
              </w:rPr>
            </w:pPr>
            <w:r w:rsidRPr="00730DE4">
              <w:rPr>
                <w:color w:val="FFFFFF" w:themeColor="background1"/>
              </w:rPr>
              <w:t>2018</w:t>
            </w:r>
          </w:p>
        </w:tc>
        <w:tc>
          <w:tcPr>
            <w:tcW w:w="513" w:type="pct"/>
          </w:tcPr>
          <w:p w14:paraId="4CF064E8" w14:textId="77777777" w:rsidR="00FA2FF9" w:rsidRPr="00730DE4" w:rsidRDefault="00FA2FF9" w:rsidP="000A65A9">
            <w:pPr>
              <w:pStyle w:val="NoSpacing"/>
              <w:jc w:val="right"/>
              <w:rPr>
                <w:color w:val="FFFFFF" w:themeColor="background1"/>
              </w:rPr>
            </w:pPr>
            <w:r w:rsidRPr="00730DE4">
              <w:rPr>
                <w:color w:val="FFFFFF" w:themeColor="background1"/>
              </w:rPr>
              <w:t>2019</w:t>
            </w:r>
          </w:p>
        </w:tc>
        <w:tc>
          <w:tcPr>
            <w:tcW w:w="513" w:type="pct"/>
          </w:tcPr>
          <w:p w14:paraId="3D5BF0B2" w14:textId="77777777" w:rsidR="00FA2FF9" w:rsidRPr="00730DE4" w:rsidRDefault="00FA2FF9" w:rsidP="000A65A9">
            <w:pPr>
              <w:pStyle w:val="NoSpacing"/>
              <w:jc w:val="right"/>
              <w:rPr>
                <w:color w:val="FFFFFF" w:themeColor="background1"/>
              </w:rPr>
            </w:pPr>
            <w:r w:rsidRPr="00730DE4">
              <w:rPr>
                <w:color w:val="FFFFFF" w:themeColor="background1"/>
              </w:rPr>
              <w:t>2020</w:t>
            </w:r>
          </w:p>
        </w:tc>
        <w:tc>
          <w:tcPr>
            <w:tcW w:w="513" w:type="pct"/>
          </w:tcPr>
          <w:p w14:paraId="0B2DC365" w14:textId="77777777" w:rsidR="00FA2FF9" w:rsidRPr="00730DE4" w:rsidRDefault="00FA2FF9" w:rsidP="000A65A9">
            <w:pPr>
              <w:pStyle w:val="NoSpacing"/>
              <w:jc w:val="right"/>
              <w:rPr>
                <w:color w:val="FFFFFF" w:themeColor="background1"/>
              </w:rPr>
            </w:pPr>
            <w:r w:rsidRPr="00730DE4">
              <w:rPr>
                <w:color w:val="FFFFFF" w:themeColor="background1"/>
              </w:rPr>
              <w:t>2021</w:t>
            </w:r>
          </w:p>
        </w:tc>
        <w:tc>
          <w:tcPr>
            <w:tcW w:w="513" w:type="pct"/>
          </w:tcPr>
          <w:p w14:paraId="75ADAE4A" w14:textId="77777777" w:rsidR="00FA2FF9" w:rsidRPr="00730DE4" w:rsidRDefault="00FA2FF9" w:rsidP="000A65A9">
            <w:pPr>
              <w:pStyle w:val="NoSpacing"/>
              <w:jc w:val="right"/>
              <w:rPr>
                <w:color w:val="FFFFFF" w:themeColor="background1"/>
              </w:rPr>
            </w:pPr>
            <w:r w:rsidRPr="00730DE4">
              <w:rPr>
                <w:color w:val="FFFFFF" w:themeColor="background1"/>
              </w:rPr>
              <w:t>2022</w:t>
            </w:r>
          </w:p>
        </w:tc>
        <w:tc>
          <w:tcPr>
            <w:tcW w:w="513" w:type="pct"/>
          </w:tcPr>
          <w:p w14:paraId="23043A5B" w14:textId="77777777" w:rsidR="00FA2FF9" w:rsidRPr="00730DE4" w:rsidRDefault="00FA2FF9" w:rsidP="000A65A9">
            <w:pPr>
              <w:pStyle w:val="NoSpacing"/>
              <w:jc w:val="right"/>
              <w:rPr>
                <w:color w:val="FFFFFF" w:themeColor="background1"/>
              </w:rPr>
            </w:pPr>
            <w:r w:rsidRPr="00730DE4">
              <w:rPr>
                <w:color w:val="FFFFFF" w:themeColor="background1"/>
              </w:rPr>
              <w:t>2023</w:t>
            </w:r>
          </w:p>
        </w:tc>
      </w:tr>
      <w:tr w:rsidR="000A65A9" w:rsidRPr="00730DE4" w14:paraId="6F263F5C" w14:textId="77777777" w:rsidTr="003F13CE">
        <w:trPr>
          <w:cnfStyle w:val="000000100000" w:firstRow="0" w:lastRow="0" w:firstColumn="0" w:lastColumn="0" w:oddVBand="0" w:evenVBand="0" w:oddHBand="1" w:evenHBand="0" w:firstRowFirstColumn="0" w:firstRowLastColumn="0" w:lastRowFirstColumn="0" w:lastRowLastColumn="0"/>
        </w:trPr>
        <w:tc>
          <w:tcPr>
            <w:tcW w:w="1924" w:type="pct"/>
          </w:tcPr>
          <w:p w14:paraId="41C7C85A" w14:textId="77777777" w:rsidR="00FA2FF9" w:rsidRPr="00730DE4" w:rsidRDefault="00FA2FF9" w:rsidP="00902DF1">
            <w:pPr>
              <w:pStyle w:val="NoSpacing"/>
            </w:pPr>
            <w:r w:rsidRPr="00730DE4">
              <w:t>Vehicles monitored per notice issued: Red Light</w:t>
            </w:r>
          </w:p>
        </w:tc>
        <w:tc>
          <w:tcPr>
            <w:tcW w:w="513" w:type="pct"/>
          </w:tcPr>
          <w:p w14:paraId="285E043B" w14:textId="77777777" w:rsidR="00FA2FF9" w:rsidRPr="00730DE4" w:rsidRDefault="00FA2FF9" w:rsidP="000A65A9">
            <w:pPr>
              <w:pStyle w:val="NoSpacing"/>
              <w:jc w:val="right"/>
            </w:pPr>
            <w:r w:rsidRPr="00730DE4">
              <w:t xml:space="preserve"> 121,319 </w:t>
            </w:r>
          </w:p>
        </w:tc>
        <w:tc>
          <w:tcPr>
            <w:tcW w:w="513" w:type="pct"/>
          </w:tcPr>
          <w:p w14:paraId="39D5159D" w14:textId="77777777" w:rsidR="00FA2FF9" w:rsidRPr="00730DE4" w:rsidRDefault="00FA2FF9" w:rsidP="000A65A9">
            <w:pPr>
              <w:pStyle w:val="NoSpacing"/>
              <w:jc w:val="right"/>
            </w:pPr>
            <w:r w:rsidRPr="00730DE4">
              <w:t xml:space="preserve"> 128,607 </w:t>
            </w:r>
          </w:p>
        </w:tc>
        <w:tc>
          <w:tcPr>
            <w:tcW w:w="513" w:type="pct"/>
          </w:tcPr>
          <w:p w14:paraId="3EAAFB22" w14:textId="77777777" w:rsidR="00FA2FF9" w:rsidRPr="00730DE4" w:rsidRDefault="00FA2FF9" w:rsidP="000A65A9">
            <w:pPr>
              <w:pStyle w:val="NoSpacing"/>
              <w:jc w:val="right"/>
            </w:pPr>
            <w:r w:rsidRPr="00730DE4">
              <w:t xml:space="preserve"> 143,378 </w:t>
            </w:r>
          </w:p>
        </w:tc>
        <w:tc>
          <w:tcPr>
            <w:tcW w:w="513" w:type="pct"/>
          </w:tcPr>
          <w:p w14:paraId="40710BB0" w14:textId="77777777" w:rsidR="00FA2FF9" w:rsidRPr="00730DE4" w:rsidRDefault="00FA2FF9" w:rsidP="000A65A9">
            <w:pPr>
              <w:pStyle w:val="NoSpacing"/>
              <w:jc w:val="right"/>
            </w:pPr>
            <w:r w:rsidRPr="00730DE4">
              <w:t xml:space="preserve"> 143,791 </w:t>
            </w:r>
          </w:p>
        </w:tc>
        <w:tc>
          <w:tcPr>
            <w:tcW w:w="513" w:type="pct"/>
          </w:tcPr>
          <w:p w14:paraId="4BDA2B97" w14:textId="77777777" w:rsidR="00FA2FF9" w:rsidRPr="00730DE4" w:rsidRDefault="00FA2FF9" w:rsidP="000A65A9">
            <w:pPr>
              <w:pStyle w:val="NoSpacing"/>
              <w:jc w:val="right"/>
            </w:pPr>
            <w:r w:rsidRPr="00730DE4">
              <w:t xml:space="preserve"> 152,630 </w:t>
            </w:r>
          </w:p>
        </w:tc>
        <w:tc>
          <w:tcPr>
            <w:tcW w:w="513" w:type="pct"/>
          </w:tcPr>
          <w:p w14:paraId="0BC712BB" w14:textId="77777777" w:rsidR="00FA2FF9" w:rsidRPr="00730DE4" w:rsidRDefault="00FA2FF9" w:rsidP="000A65A9">
            <w:pPr>
              <w:pStyle w:val="NoSpacing"/>
              <w:jc w:val="right"/>
            </w:pPr>
            <w:r w:rsidRPr="00730DE4">
              <w:t xml:space="preserve"> 165,316 </w:t>
            </w:r>
          </w:p>
        </w:tc>
      </w:tr>
      <w:tr w:rsidR="000A65A9" w:rsidRPr="00730DE4" w14:paraId="2E25F71E" w14:textId="77777777" w:rsidTr="003F13CE">
        <w:tc>
          <w:tcPr>
            <w:tcW w:w="1924" w:type="pct"/>
          </w:tcPr>
          <w:p w14:paraId="2959ABCD" w14:textId="77777777" w:rsidR="00FA2FF9" w:rsidRPr="00730DE4" w:rsidRDefault="00FA2FF9" w:rsidP="00902DF1">
            <w:pPr>
              <w:pStyle w:val="NoSpacing"/>
            </w:pPr>
            <w:r w:rsidRPr="00730DE4">
              <w:t>Vehicles monitored per notice issued: Speed</w:t>
            </w:r>
          </w:p>
        </w:tc>
        <w:tc>
          <w:tcPr>
            <w:tcW w:w="513" w:type="pct"/>
          </w:tcPr>
          <w:p w14:paraId="7020A938" w14:textId="77777777" w:rsidR="00FA2FF9" w:rsidRPr="00730DE4" w:rsidRDefault="00FA2FF9" w:rsidP="000A65A9">
            <w:pPr>
              <w:pStyle w:val="NoSpacing"/>
              <w:jc w:val="right"/>
            </w:pPr>
            <w:r w:rsidRPr="00730DE4">
              <w:t xml:space="preserve"> 7795 </w:t>
            </w:r>
          </w:p>
        </w:tc>
        <w:tc>
          <w:tcPr>
            <w:tcW w:w="513" w:type="pct"/>
          </w:tcPr>
          <w:p w14:paraId="3008A9B4" w14:textId="77777777" w:rsidR="00FA2FF9" w:rsidRPr="00730DE4" w:rsidRDefault="00FA2FF9" w:rsidP="000A65A9">
            <w:pPr>
              <w:pStyle w:val="NoSpacing"/>
              <w:jc w:val="right"/>
            </w:pPr>
            <w:r w:rsidRPr="00730DE4">
              <w:t xml:space="preserve"> 7879 </w:t>
            </w:r>
          </w:p>
        </w:tc>
        <w:tc>
          <w:tcPr>
            <w:tcW w:w="513" w:type="pct"/>
          </w:tcPr>
          <w:p w14:paraId="576328A5" w14:textId="77777777" w:rsidR="00FA2FF9" w:rsidRPr="00730DE4" w:rsidRDefault="00FA2FF9" w:rsidP="000A65A9">
            <w:pPr>
              <w:pStyle w:val="NoSpacing"/>
              <w:jc w:val="right"/>
            </w:pPr>
            <w:r w:rsidRPr="00730DE4">
              <w:t xml:space="preserve"> 9570 </w:t>
            </w:r>
          </w:p>
        </w:tc>
        <w:tc>
          <w:tcPr>
            <w:tcW w:w="513" w:type="pct"/>
          </w:tcPr>
          <w:p w14:paraId="121B1C02" w14:textId="77777777" w:rsidR="00FA2FF9" w:rsidRPr="00730DE4" w:rsidRDefault="00FA2FF9" w:rsidP="000A65A9">
            <w:pPr>
              <w:pStyle w:val="NoSpacing"/>
              <w:jc w:val="right"/>
            </w:pPr>
            <w:r w:rsidRPr="00730DE4">
              <w:t xml:space="preserve"> 12,443 </w:t>
            </w:r>
          </w:p>
        </w:tc>
        <w:tc>
          <w:tcPr>
            <w:tcW w:w="513" w:type="pct"/>
          </w:tcPr>
          <w:p w14:paraId="350E38F1" w14:textId="77777777" w:rsidR="00FA2FF9" w:rsidRPr="00730DE4" w:rsidRDefault="00FA2FF9" w:rsidP="000A65A9">
            <w:pPr>
              <w:pStyle w:val="NoSpacing"/>
              <w:jc w:val="right"/>
            </w:pPr>
            <w:r w:rsidRPr="00730DE4">
              <w:t xml:space="preserve"> 14,411 </w:t>
            </w:r>
          </w:p>
        </w:tc>
        <w:tc>
          <w:tcPr>
            <w:tcW w:w="513" w:type="pct"/>
          </w:tcPr>
          <w:p w14:paraId="7DAB4293" w14:textId="77777777" w:rsidR="00FA2FF9" w:rsidRPr="00730DE4" w:rsidRDefault="00FA2FF9" w:rsidP="000A65A9">
            <w:pPr>
              <w:pStyle w:val="NoSpacing"/>
              <w:jc w:val="right"/>
            </w:pPr>
            <w:r w:rsidRPr="00730DE4">
              <w:t xml:space="preserve"> 16,255 </w:t>
            </w:r>
          </w:p>
        </w:tc>
      </w:tr>
    </w:tbl>
    <w:p w14:paraId="0C0135C1" w14:textId="77777777" w:rsidR="00FA2FF9" w:rsidRPr="00730DE4" w:rsidRDefault="00FA2FF9" w:rsidP="00DE18D0">
      <w:pPr>
        <w:pStyle w:val="Caption"/>
      </w:pPr>
      <w:r w:rsidRPr="00730DE4">
        <w:t xml:space="preserve">Data source: Queensland Police Service. </w:t>
      </w:r>
    </w:p>
    <w:p w14:paraId="2577E922" w14:textId="77777777" w:rsidR="00FA2FF9" w:rsidRPr="00730DE4" w:rsidRDefault="00FA2FF9" w:rsidP="00DE18D0">
      <w:pPr>
        <w:pStyle w:val="FigureCaption"/>
      </w:pPr>
      <w:r w:rsidRPr="00730DE4">
        <w:t>Table 54: Number of point-to-point speed camera infringements per penalty bracket for 2023</w:t>
      </w:r>
    </w:p>
    <w:tbl>
      <w:tblPr>
        <w:tblStyle w:val="TMRDefault"/>
        <w:tblW w:w="4995" w:type="pct"/>
        <w:tblInd w:w="10" w:type="dxa"/>
        <w:tblLook w:val="04A0" w:firstRow="1" w:lastRow="0" w:firstColumn="1" w:lastColumn="0" w:noHBand="0" w:noVBand="1"/>
      </w:tblPr>
      <w:tblGrid>
        <w:gridCol w:w="5377"/>
        <w:gridCol w:w="1434"/>
        <w:gridCol w:w="1434"/>
        <w:gridCol w:w="1434"/>
        <w:gridCol w:w="1434"/>
        <w:gridCol w:w="1434"/>
        <w:gridCol w:w="1431"/>
      </w:tblGrid>
      <w:tr w:rsidR="002D6779" w:rsidRPr="00730DE4" w14:paraId="389892A3" w14:textId="77777777" w:rsidTr="003F13CE">
        <w:trPr>
          <w:cnfStyle w:val="100000000000" w:firstRow="1" w:lastRow="0" w:firstColumn="0" w:lastColumn="0" w:oddVBand="0" w:evenVBand="0" w:oddHBand="0" w:evenHBand="0" w:firstRowFirstColumn="0" w:firstRowLastColumn="0" w:lastRowFirstColumn="0" w:lastRowLastColumn="0"/>
          <w:tblHeader/>
        </w:trPr>
        <w:tc>
          <w:tcPr>
            <w:tcW w:w="1923" w:type="pct"/>
          </w:tcPr>
          <w:p w14:paraId="04378F4A" w14:textId="77777777" w:rsidR="00FA2FF9" w:rsidRPr="00730DE4" w:rsidRDefault="00FA2FF9" w:rsidP="00902DF1">
            <w:pPr>
              <w:pStyle w:val="NoSpacing"/>
              <w:rPr>
                <w:color w:val="FFFFFF" w:themeColor="background1"/>
              </w:rPr>
            </w:pPr>
            <w:r w:rsidRPr="00730DE4">
              <w:rPr>
                <w:color w:val="FFFFFF" w:themeColor="background1"/>
              </w:rPr>
              <w:t>Penalty bracket</w:t>
            </w:r>
          </w:p>
        </w:tc>
        <w:tc>
          <w:tcPr>
            <w:tcW w:w="513" w:type="pct"/>
          </w:tcPr>
          <w:p w14:paraId="6280C21D" w14:textId="0093C6E9" w:rsidR="00FA2FF9" w:rsidRPr="00730DE4" w:rsidRDefault="00FA2FF9" w:rsidP="000A65A9">
            <w:pPr>
              <w:pStyle w:val="NoSpacing"/>
              <w:jc w:val="right"/>
              <w:rPr>
                <w:color w:val="FFFFFF" w:themeColor="background1"/>
              </w:rPr>
            </w:pPr>
            <w:r w:rsidRPr="00730DE4">
              <w:rPr>
                <w:color w:val="FFFFFF" w:themeColor="background1"/>
              </w:rPr>
              <w:t>&lt; 11</w:t>
            </w:r>
            <w:r w:rsidR="003F13CE" w:rsidRPr="00730DE4">
              <w:rPr>
                <w:color w:val="FFFFFF" w:themeColor="background1"/>
              </w:rPr>
              <w:t xml:space="preserve"> </w:t>
            </w:r>
            <w:r w:rsidRPr="00730DE4">
              <w:rPr>
                <w:color w:val="FFFFFF" w:themeColor="background1"/>
              </w:rPr>
              <w:t>km/h</w:t>
            </w:r>
          </w:p>
        </w:tc>
        <w:tc>
          <w:tcPr>
            <w:tcW w:w="513" w:type="pct"/>
          </w:tcPr>
          <w:p w14:paraId="00A3CBE3" w14:textId="512C33C8" w:rsidR="00FA2FF9" w:rsidRPr="00730DE4" w:rsidRDefault="00FA2FF9" w:rsidP="000A65A9">
            <w:pPr>
              <w:pStyle w:val="NoSpacing"/>
              <w:jc w:val="right"/>
              <w:rPr>
                <w:color w:val="FFFFFF" w:themeColor="background1"/>
              </w:rPr>
            </w:pPr>
            <w:r w:rsidRPr="00730DE4">
              <w:rPr>
                <w:color w:val="FFFFFF" w:themeColor="background1"/>
              </w:rPr>
              <w:t>11–20</w:t>
            </w:r>
            <w:r w:rsidR="003F13CE" w:rsidRPr="00730DE4">
              <w:rPr>
                <w:color w:val="FFFFFF" w:themeColor="background1"/>
              </w:rPr>
              <w:t xml:space="preserve"> </w:t>
            </w:r>
            <w:r w:rsidRPr="00730DE4">
              <w:rPr>
                <w:color w:val="FFFFFF" w:themeColor="background1"/>
              </w:rPr>
              <w:t>km/h</w:t>
            </w:r>
          </w:p>
        </w:tc>
        <w:tc>
          <w:tcPr>
            <w:tcW w:w="513" w:type="pct"/>
          </w:tcPr>
          <w:p w14:paraId="26D16A21" w14:textId="427F68EB" w:rsidR="00FA2FF9" w:rsidRPr="00730DE4" w:rsidRDefault="00FA2FF9" w:rsidP="000A65A9">
            <w:pPr>
              <w:pStyle w:val="NoSpacing"/>
              <w:jc w:val="right"/>
              <w:rPr>
                <w:color w:val="FFFFFF" w:themeColor="background1"/>
              </w:rPr>
            </w:pPr>
            <w:r w:rsidRPr="00730DE4">
              <w:rPr>
                <w:color w:val="FFFFFF" w:themeColor="background1"/>
              </w:rPr>
              <w:t>21–30</w:t>
            </w:r>
            <w:r w:rsidR="003F13CE" w:rsidRPr="00730DE4">
              <w:rPr>
                <w:color w:val="FFFFFF" w:themeColor="background1"/>
              </w:rPr>
              <w:t xml:space="preserve"> </w:t>
            </w:r>
            <w:r w:rsidRPr="00730DE4">
              <w:rPr>
                <w:color w:val="FFFFFF" w:themeColor="background1"/>
              </w:rPr>
              <w:t>km/h</w:t>
            </w:r>
          </w:p>
        </w:tc>
        <w:tc>
          <w:tcPr>
            <w:tcW w:w="513" w:type="pct"/>
          </w:tcPr>
          <w:p w14:paraId="4AE14357" w14:textId="7915FE7D" w:rsidR="00FA2FF9" w:rsidRPr="00730DE4" w:rsidRDefault="00FA2FF9" w:rsidP="000A65A9">
            <w:pPr>
              <w:pStyle w:val="NoSpacing"/>
              <w:jc w:val="right"/>
              <w:rPr>
                <w:color w:val="FFFFFF" w:themeColor="background1"/>
              </w:rPr>
            </w:pPr>
            <w:r w:rsidRPr="00730DE4">
              <w:rPr>
                <w:color w:val="FFFFFF" w:themeColor="background1"/>
              </w:rPr>
              <w:t>31–40</w:t>
            </w:r>
            <w:r w:rsidR="003F13CE" w:rsidRPr="00730DE4">
              <w:rPr>
                <w:color w:val="FFFFFF" w:themeColor="background1"/>
              </w:rPr>
              <w:t xml:space="preserve"> </w:t>
            </w:r>
            <w:r w:rsidRPr="00730DE4">
              <w:rPr>
                <w:color w:val="FFFFFF" w:themeColor="background1"/>
              </w:rPr>
              <w:t>km/h</w:t>
            </w:r>
          </w:p>
        </w:tc>
        <w:tc>
          <w:tcPr>
            <w:tcW w:w="513" w:type="pct"/>
          </w:tcPr>
          <w:p w14:paraId="3EE12D4C" w14:textId="7AB3A72A" w:rsidR="00FA2FF9" w:rsidRPr="00730DE4" w:rsidRDefault="00FA2FF9" w:rsidP="000A65A9">
            <w:pPr>
              <w:pStyle w:val="NoSpacing"/>
              <w:jc w:val="right"/>
              <w:rPr>
                <w:color w:val="FFFFFF" w:themeColor="background1"/>
              </w:rPr>
            </w:pPr>
            <w:r w:rsidRPr="00730DE4">
              <w:rPr>
                <w:color w:val="FFFFFF" w:themeColor="background1"/>
              </w:rPr>
              <w:t>&gt; 40</w:t>
            </w:r>
            <w:r w:rsidR="003F13CE" w:rsidRPr="00730DE4">
              <w:rPr>
                <w:color w:val="FFFFFF" w:themeColor="background1"/>
              </w:rPr>
              <w:t xml:space="preserve"> </w:t>
            </w:r>
            <w:r w:rsidRPr="00730DE4">
              <w:rPr>
                <w:color w:val="FFFFFF" w:themeColor="background1"/>
              </w:rPr>
              <w:t>km/h</w:t>
            </w:r>
          </w:p>
        </w:tc>
        <w:tc>
          <w:tcPr>
            <w:tcW w:w="513" w:type="pct"/>
          </w:tcPr>
          <w:p w14:paraId="5F937FBE" w14:textId="77777777" w:rsidR="00FA2FF9" w:rsidRPr="00730DE4" w:rsidRDefault="00FA2FF9" w:rsidP="000A65A9">
            <w:pPr>
              <w:pStyle w:val="NoSpacing"/>
              <w:jc w:val="right"/>
              <w:rPr>
                <w:color w:val="FFFFFF" w:themeColor="background1"/>
              </w:rPr>
            </w:pPr>
            <w:r w:rsidRPr="00730DE4">
              <w:rPr>
                <w:color w:val="FFFFFF" w:themeColor="background1"/>
              </w:rPr>
              <w:t>Total</w:t>
            </w:r>
          </w:p>
        </w:tc>
      </w:tr>
      <w:tr w:rsidR="000A65A9" w:rsidRPr="00730DE4" w14:paraId="47E8C1F1" w14:textId="77777777" w:rsidTr="003F13CE">
        <w:trPr>
          <w:cnfStyle w:val="000000100000" w:firstRow="0" w:lastRow="0" w:firstColumn="0" w:lastColumn="0" w:oddVBand="0" w:evenVBand="0" w:oddHBand="1" w:evenHBand="0" w:firstRowFirstColumn="0" w:firstRowLastColumn="0" w:lastRowFirstColumn="0" w:lastRowLastColumn="0"/>
        </w:trPr>
        <w:tc>
          <w:tcPr>
            <w:tcW w:w="1923" w:type="pct"/>
          </w:tcPr>
          <w:p w14:paraId="503E3F4C" w14:textId="77777777" w:rsidR="00FA2FF9" w:rsidRPr="00730DE4" w:rsidRDefault="00FA2FF9" w:rsidP="00902DF1">
            <w:pPr>
              <w:pStyle w:val="NoSpacing"/>
            </w:pPr>
            <w:r w:rsidRPr="00730DE4">
              <w:t>Number of point-to-point speed camera infringements</w:t>
            </w:r>
          </w:p>
        </w:tc>
        <w:tc>
          <w:tcPr>
            <w:tcW w:w="513" w:type="pct"/>
          </w:tcPr>
          <w:p w14:paraId="7F0F1668" w14:textId="77777777" w:rsidR="00FA2FF9" w:rsidRPr="00730DE4" w:rsidRDefault="00FA2FF9" w:rsidP="000A65A9">
            <w:pPr>
              <w:pStyle w:val="NoSpacing"/>
              <w:jc w:val="right"/>
            </w:pPr>
            <w:r w:rsidRPr="00730DE4">
              <w:t>1590</w:t>
            </w:r>
          </w:p>
        </w:tc>
        <w:tc>
          <w:tcPr>
            <w:tcW w:w="513" w:type="pct"/>
          </w:tcPr>
          <w:p w14:paraId="00DB7EC8" w14:textId="77777777" w:rsidR="00FA2FF9" w:rsidRPr="00730DE4" w:rsidRDefault="00FA2FF9" w:rsidP="000A65A9">
            <w:pPr>
              <w:pStyle w:val="NoSpacing"/>
              <w:jc w:val="right"/>
            </w:pPr>
            <w:r w:rsidRPr="00730DE4">
              <w:t>7621</w:t>
            </w:r>
          </w:p>
        </w:tc>
        <w:tc>
          <w:tcPr>
            <w:tcW w:w="513" w:type="pct"/>
          </w:tcPr>
          <w:p w14:paraId="7F9B80D0" w14:textId="77777777" w:rsidR="00FA2FF9" w:rsidRPr="00730DE4" w:rsidRDefault="00FA2FF9" w:rsidP="000A65A9">
            <w:pPr>
              <w:pStyle w:val="NoSpacing"/>
              <w:jc w:val="right"/>
            </w:pPr>
            <w:r w:rsidRPr="00730DE4">
              <w:t>559</w:t>
            </w:r>
          </w:p>
        </w:tc>
        <w:tc>
          <w:tcPr>
            <w:tcW w:w="513" w:type="pct"/>
          </w:tcPr>
          <w:p w14:paraId="0BA9BAAE" w14:textId="77777777" w:rsidR="00FA2FF9" w:rsidRPr="00730DE4" w:rsidRDefault="00FA2FF9" w:rsidP="000A65A9">
            <w:pPr>
              <w:pStyle w:val="NoSpacing"/>
              <w:jc w:val="right"/>
            </w:pPr>
            <w:r w:rsidRPr="00730DE4">
              <w:t>93</w:t>
            </w:r>
          </w:p>
        </w:tc>
        <w:tc>
          <w:tcPr>
            <w:tcW w:w="513" w:type="pct"/>
          </w:tcPr>
          <w:p w14:paraId="096B61AF" w14:textId="77777777" w:rsidR="00FA2FF9" w:rsidRPr="00730DE4" w:rsidRDefault="00FA2FF9" w:rsidP="000A65A9">
            <w:pPr>
              <w:pStyle w:val="NoSpacing"/>
              <w:jc w:val="right"/>
            </w:pPr>
            <w:r w:rsidRPr="00730DE4">
              <w:t>37</w:t>
            </w:r>
          </w:p>
        </w:tc>
        <w:tc>
          <w:tcPr>
            <w:tcW w:w="513" w:type="pct"/>
          </w:tcPr>
          <w:p w14:paraId="778F1A16" w14:textId="77777777" w:rsidR="00FA2FF9" w:rsidRPr="00730DE4" w:rsidRDefault="00FA2FF9" w:rsidP="000A65A9">
            <w:pPr>
              <w:pStyle w:val="NoSpacing"/>
              <w:jc w:val="right"/>
            </w:pPr>
            <w:r w:rsidRPr="00730DE4">
              <w:t>9,900</w:t>
            </w:r>
          </w:p>
        </w:tc>
      </w:tr>
      <w:tr w:rsidR="002D6779" w:rsidRPr="00730DE4" w14:paraId="427B20AF" w14:textId="77777777" w:rsidTr="003F13CE">
        <w:tc>
          <w:tcPr>
            <w:tcW w:w="1923" w:type="pct"/>
          </w:tcPr>
          <w:p w14:paraId="47650F72" w14:textId="77777777" w:rsidR="00FA2FF9" w:rsidRPr="00730DE4" w:rsidRDefault="00FA2FF9" w:rsidP="00902DF1">
            <w:pPr>
              <w:pStyle w:val="NoSpacing"/>
            </w:pPr>
            <w:r w:rsidRPr="00730DE4">
              <w:t>Percentage</w:t>
            </w:r>
          </w:p>
        </w:tc>
        <w:tc>
          <w:tcPr>
            <w:tcW w:w="513" w:type="pct"/>
          </w:tcPr>
          <w:p w14:paraId="0B0E5A8A" w14:textId="77777777" w:rsidR="00FA2FF9" w:rsidRPr="00730DE4" w:rsidRDefault="00FA2FF9" w:rsidP="000A65A9">
            <w:pPr>
              <w:pStyle w:val="NoSpacing"/>
              <w:jc w:val="right"/>
            </w:pPr>
            <w:r w:rsidRPr="00730DE4">
              <w:t>16.06%</w:t>
            </w:r>
          </w:p>
        </w:tc>
        <w:tc>
          <w:tcPr>
            <w:tcW w:w="513" w:type="pct"/>
          </w:tcPr>
          <w:p w14:paraId="40B4169B" w14:textId="77777777" w:rsidR="00FA2FF9" w:rsidRPr="00730DE4" w:rsidRDefault="00FA2FF9" w:rsidP="000A65A9">
            <w:pPr>
              <w:pStyle w:val="NoSpacing"/>
              <w:jc w:val="right"/>
            </w:pPr>
            <w:r w:rsidRPr="00730DE4">
              <w:t>76.98%</w:t>
            </w:r>
          </w:p>
        </w:tc>
        <w:tc>
          <w:tcPr>
            <w:tcW w:w="513" w:type="pct"/>
          </w:tcPr>
          <w:p w14:paraId="57D4142B" w14:textId="77777777" w:rsidR="00FA2FF9" w:rsidRPr="00730DE4" w:rsidRDefault="00FA2FF9" w:rsidP="000A65A9">
            <w:pPr>
              <w:pStyle w:val="NoSpacing"/>
              <w:jc w:val="right"/>
            </w:pPr>
            <w:r w:rsidRPr="00730DE4">
              <w:t>5.65%</w:t>
            </w:r>
          </w:p>
        </w:tc>
        <w:tc>
          <w:tcPr>
            <w:tcW w:w="513" w:type="pct"/>
          </w:tcPr>
          <w:p w14:paraId="7E16A9FB" w14:textId="77777777" w:rsidR="00FA2FF9" w:rsidRPr="00730DE4" w:rsidRDefault="00FA2FF9" w:rsidP="000A65A9">
            <w:pPr>
              <w:pStyle w:val="NoSpacing"/>
              <w:jc w:val="right"/>
            </w:pPr>
            <w:r w:rsidRPr="00730DE4">
              <w:t>0.94%</w:t>
            </w:r>
          </w:p>
        </w:tc>
        <w:tc>
          <w:tcPr>
            <w:tcW w:w="513" w:type="pct"/>
          </w:tcPr>
          <w:p w14:paraId="468405C2" w14:textId="77777777" w:rsidR="00FA2FF9" w:rsidRPr="00730DE4" w:rsidRDefault="00FA2FF9" w:rsidP="000A65A9">
            <w:pPr>
              <w:pStyle w:val="NoSpacing"/>
              <w:jc w:val="right"/>
            </w:pPr>
            <w:r w:rsidRPr="00730DE4">
              <w:t>0.37%</w:t>
            </w:r>
          </w:p>
        </w:tc>
        <w:tc>
          <w:tcPr>
            <w:tcW w:w="513" w:type="pct"/>
          </w:tcPr>
          <w:p w14:paraId="51DDBBD1" w14:textId="77777777" w:rsidR="00FA2FF9" w:rsidRPr="00730DE4" w:rsidRDefault="00FA2FF9" w:rsidP="000A65A9">
            <w:pPr>
              <w:pStyle w:val="NoSpacing"/>
              <w:jc w:val="right"/>
            </w:pPr>
            <w:r w:rsidRPr="00730DE4">
              <w:t> </w:t>
            </w:r>
          </w:p>
        </w:tc>
      </w:tr>
    </w:tbl>
    <w:p w14:paraId="3F35F221" w14:textId="77777777" w:rsidR="00FA2FF9" w:rsidRPr="00730DE4" w:rsidRDefault="00FA2FF9" w:rsidP="008F61F3">
      <w:pPr>
        <w:pStyle w:val="Caption"/>
      </w:pPr>
      <w:r w:rsidRPr="00730DE4">
        <w:t xml:space="preserve">Data source: Queensland Police Service. </w:t>
      </w:r>
    </w:p>
    <w:p w14:paraId="1396A173" w14:textId="77777777" w:rsidR="00FA2FF9" w:rsidRPr="00730DE4" w:rsidRDefault="00FA2FF9" w:rsidP="008F61F3">
      <w:pPr>
        <w:pStyle w:val="Caption"/>
      </w:pPr>
      <w:r w:rsidRPr="00730DE4">
        <w:t xml:space="preserve">Notes: Penalty bracket is vehicle exceeding the speed limit by this amount. </w:t>
      </w:r>
    </w:p>
    <w:p w14:paraId="14BC7ADE" w14:textId="77777777" w:rsidR="00FA2FF9" w:rsidRPr="00730DE4" w:rsidRDefault="00FA2FF9" w:rsidP="00CE7DAE">
      <w:pPr>
        <w:pStyle w:val="Caption"/>
      </w:pPr>
      <w:r w:rsidRPr="00730DE4">
        <w:t xml:space="preserve">A point-to-point (or average) speed camera system uses a number of cameras over a length of road to measure a vehicle’s average speed. The system uses the time it takes for a vehicle to travel between the two points to calculate the average speed of the vehicle. Speed = Distance ÷ Time. </w:t>
      </w:r>
    </w:p>
    <w:p w14:paraId="7149BAA7" w14:textId="77777777" w:rsidR="00094BA5" w:rsidRPr="00730DE4" w:rsidRDefault="00094BA5">
      <w:pPr>
        <w:suppressAutoHyphens w:val="0"/>
        <w:spacing w:before="0" w:line="259" w:lineRule="auto"/>
        <w:rPr>
          <w:rFonts w:eastAsiaTheme="majorEastAsia" w:cstheme="majorBidi"/>
          <w:color w:val="080C0F" w:themeColor="text1"/>
          <w:sz w:val="60"/>
          <w:szCs w:val="32"/>
          <w:lang w:val="en-US"/>
        </w:rPr>
      </w:pPr>
      <w:r w:rsidRPr="00730DE4">
        <w:rPr>
          <w:lang w:val="en-US"/>
        </w:rPr>
        <w:br w:type="page"/>
      </w:r>
    </w:p>
    <w:p w14:paraId="1DC25212" w14:textId="4136E05A" w:rsidR="00FA2FF9" w:rsidRPr="00730DE4" w:rsidRDefault="00FA2FF9" w:rsidP="002B7001">
      <w:pPr>
        <w:pStyle w:val="Heading2"/>
        <w:rPr>
          <w:lang w:val="en-US"/>
        </w:rPr>
      </w:pPr>
      <w:bookmarkStart w:id="1758" w:name="_Toc180491014"/>
      <w:bookmarkStart w:id="1759" w:name="_Toc180492047"/>
      <w:r w:rsidRPr="00730DE4">
        <w:rPr>
          <w:lang w:val="en-US"/>
        </w:rPr>
        <w:t>Appendix 4: Transport operator payments</w:t>
      </w:r>
      <w:bookmarkEnd w:id="1758"/>
      <w:bookmarkEnd w:id="1759"/>
    </w:p>
    <w:p w14:paraId="42D33197" w14:textId="77777777" w:rsidR="00FA2FF9" w:rsidRPr="00730DE4" w:rsidRDefault="00FA2FF9" w:rsidP="002B7001">
      <w:pPr>
        <w:pStyle w:val="Heading3"/>
        <w:rPr>
          <w:lang w:val="en-US"/>
        </w:rPr>
      </w:pPr>
      <w:bookmarkStart w:id="1760" w:name="_Toc180487810"/>
      <w:bookmarkStart w:id="1761" w:name="_Toc180491015"/>
      <w:bookmarkStart w:id="1762" w:name="_Toc180492048"/>
      <w:r w:rsidRPr="00730DE4">
        <w:rPr>
          <w:lang w:val="en-US"/>
        </w:rPr>
        <w:t>Passenger transport operator payments: South East Queensland</w:t>
      </w:r>
      <w:bookmarkEnd w:id="1760"/>
      <w:bookmarkEnd w:id="1761"/>
      <w:bookmarkEnd w:id="1762"/>
    </w:p>
    <w:p w14:paraId="3B223869" w14:textId="77777777" w:rsidR="00FA2FF9" w:rsidRPr="00730DE4" w:rsidRDefault="00FA2FF9" w:rsidP="00B14447">
      <w:pPr>
        <w:pStyle w:val="Caption"/>
        <w:rPr>
          <w:lang w:val="en-US"/>
        </w:rPr>
      </w:pPr>
      <w:r w:rsidRPr="00730DE4">
        <w:rPr>
          <w:lang w:val="en-US"/>
        </w:rPr>
        <w:t>Payments are for the period of 1 July 2023 to 30 June 2024 and are excluding GST.</w:t>
      </w:r>
    </w:p>
    <w:p w14:paraId="2ADAE3B8" w14:textId="77777777" w:rsidR="00FA2FF9" w:rsidRPr="00730DE4" w:rsidRDefault="00FA2FF9" w:rsidP="002B7001">
      <w:pPr>
        <w:pStyle w:val="Heading4"/>
        <w:rPr>
          <w:lang w:val="en-US"/>
        </w:rPr>
      </w:pPr>
      <w:bookmarkStart w:id="1763" w:name="_Toc180487811"/>
      <w:bookmarkStart w:id="1764" w:name="_Toc180491016"/>
      <w:bookmarkStart w:id="1765" w:name="_Toc180492049"/>
      <w:r w:rsidRPr="00730DE4">
        <w:rPr>
          <w:lang w:val="en-US"/>
        </w:rPr>
        <w:t>Bus</w:t>
      </w:r>
      <w:bookmarkEnd w:id="1763"/>
      <w:bookmarkEnd w:id="1764"/>
      <w:bookmarkEnd w:id="1765"/>
    </w:p>
    <w:p w14:paraId="2A5EDFF0" w14:textId="77777777" w:rsidR="00FA2FF9" w:rsidRPr="00730DE4" w:rsidRDefault="00FA2FF9" w:rsidP="00B14447">
      <w:pPr>
        <w:pStyle w:val="FigureCaption"/>
      </w:pPr>
      <w:r w:rsidRPr="00730DE4">
        <w:t>Table 55: Passenger transport operator payments: South East Queensland—Bus</w:t>
      </w:r>
    </w:p>
    <w:tbl>
      <w:tblPr>
        <w:tblStyle w:val="TMRDefault"/>
        <w:tblW w:w="5000" w:type="pct"/>
        <w:tblLook w:val="04E0" w:firstRow="1" w:lastRow="1" w:firstColumn="1" w:lastColumn="0" w:noHBand="0" w:noVBand="1"/>
      </w:tblPr>
      <w:tblGrid>
        <w:gridCol w:w="11403"/>
        <w:gridCol w:w="2589"/>
      </w:tblGrid>
      <w:tr w:rsidR="00FA2FF9" w:rsidRPr="00730DE4" w14:paraId="043DBBE2" w14:textId="77777777" w:rsidTr="00B9757A">
        <w:trPr>
          <w:cnfStyle w:val="100000000000" w:firstRow="1" w:lastRow="0" w:firstColumn="0" w:lastColumn="0" w:oddVBand="0" w:evenVBand="0" w:oddHBand="0" w:evenHBand="0" w:firstRowFirstColumn="0" w:firstRowLastColumn="0" w:lastRowFirstColumn="0" w:lastRowLastColumn="0"/>
          <w:trHeight w:val="253"/>
          <w:tblHeader/>
        </w:trPr>
        <w:tc>
          <w:tcPr>
            <w:tcW w:w="4075" w:type="pct"/>
            <w:noWrap/>
            <w:hideMark/>
          </w:tcPr>
          <w:p w14:paraId="14C1C8B7" w14:textId="77777777" w:rsidR="00FA2FF9" w:rsidRPr="00730DE4" w:rsidRDefault="00FA2FF9" w:rsidP="002231D6">
            <w:pPr>
              <w:pStyle w:val="NoSpacing"/>
              <w:rPr>
                <w:b w:val="0"/>
                <w:color w:val="FFFFFF" w:themeColor="background1"/>
              </w:rPr>
            </w:pPr>
            <w:r w:rsidRPr="00730DE4">
              <w:rPr>
                <w:color w:val="FFFFFF" w:themeColor="background1"/>
              </w:rPr>
              <w:t>Operator</w:t>
            </w:r>
          </w:p>
        </w:tc>
        <w:tc>
          <w:tcPr>
            <w:tcW w:w="925" w:type="pct"/>
            <w:noWrap/>
            <w:hideMark/>
          </w:tcPr>
          <w:p w14:paraId="693DD5BE" w14:textId="77777777" w:rsidR="00FA2FF9" w:rsidRPr="00730DE4" w:rsidRDefault="00FA2FF9" w:rsidP="000A65A9">
            <w:pPr>
              <w:pStyle w:val="NoSpacing"/>
              <w:jc w:val="right"/>
              <w:rPr>
                <w:b w:val="0"/>
                <w:color w:val="FFFFFF" w:themeColor="background1"/>
              </w:rPr>
            </w:pPr>
            <w:r w:rsidRPr="00730DE4">
              <w:rPr>
                <w:color w:val="FFFFFF" w:themeColor="background1"/>
              </w:rPr>
              <w:t xml:space="preserve">2023–24 $ Amount </w:t>
            </w:r>
          </w:p>
        </w:tc>
      </w:tr>
      <w:tr w:rsidR="00FA2FF9" w:rsidRPr="00730DE4" w14:paraId="1BF2EC9D" w14:textId="77777777" w:rsidTr="00B9757A">
        <w:trPr>
          <w:cnfStyle w:val="000000100000" w:firstRow="0" w:lastRow="0" w:firstColumn="0" w:lastColumn="0" w:oddVBand="0" w:evenVBand="0" w:oddHBand="1" w:evenHBand="0" w:firstRowFirstColumn="0" w:firstRowLastColumn="0" w:lastRowFirstColumn="0" w:lastRowLastColumn="0"/>
          <w:trHeight w:val="253"/>
        </w:trPr>
        <w:tc>
          <w:tcPr>
            <w:tcW w:w="4075" w:type="pct"/>
            <w:noWrap/>
            <w:hideMark/>
          </w:tcPr>
          <w:p w14:paraId="4F5D891E" w14:textId="77777777" w:rsidR="00FA2FF9" w:rsidRPr="00730DE4" w:rsidRDefault="00FA2FF9" w:rsidP="002231D6">
            <w:pPr>
              <w:pStyle w:val="NoSpacing"/>
            </w:pPr>
            <w:r w:rsidRPr="00730DE4">
              <w:t>Brisbane Bus Lines Pty Ltd ACN 009 739 593</w:t>
            </w:r>
          </w:p>
        </w:tc>
        <w:tc>
          <w:tcPr>
            <w:tcW w:w="925" w:type="pct"/>
            <w:noWrap/>
            <w:hideMark/>
          </w:tcPr>
          <w:p w14:paraId="526230B2" w14:textId="77777777" w:rsidR="00FA2FF9" w:rsidRPr="00730DE4" w:rsidRDefault="00FA2FF9" w:rsidP="000A65A9">
            <w:pPr>
              <w:pStyle w:val="NoSpacing"/>
              <w:jc w:val="right"/>
            </w:pPr>
            <w:r w:rsidRPr="00730DE4">
              <w:t xml:space="preserve">177,732 </w:t>
            </w:r>
          </w:p>
        </w:tc>
      </w:tr>
      <w:tr w:rsidR="00FA2FF9" w:rsidRPr="00730DE4" w14:paraId="377A795B" w14:textId="77777777" w:rsidTr="00B9757A">
        <w:trPr>
          <w:trHeight w:val="253"/>
        </w:trPr>
        <w:tc>
          <w:tcPr>
            <w:tcW w:w="4075" w:type="pct"/>
            <w:noWrap/>
            <w:hideMark/>
          </w:tcPr>
          <w:p w14:paraId="516C159B" w14:textId="77777777" w:rsidR="00FA2FF9" w:rsidRPr="00730DE4" w:rsidRDefault="00FA2FF9" w:rsidP="002231D6">
            <w:pPr>
              <w:pStyle w:val="NoSpacing"/>
            </w:pPr>
            <w:r w:rsidRPr="00730DE4">
              <w:t>Brisbane City Council (Transport for Brisbane) ABN 72 002 765 795</w:t>
            </w:r>
          </w:p>
        </w:tc>
        <w:tc>
          <w:tcPr>
            <w:tcW w:w="925" w:type="pct"/>
            <w:noWrap/>
            <w:hideMark/>
          </w:tcPr>
          <w:p w14:paraId="3A85BB98" w14:textId="77777777" w:rsidR="00FA2FF9" w:rsidRPr="00730DE4" w:rsidRDefault="00FA2FF9" w:rsidP="000A65A9">
            <w:pPr>
              <w:pStyle w:val="NoSpacing"/>
              <w:jc w:val="right"/>
            </w:pPr>
            <w:r w:rsidRPr="00730DE4">
              <w:t xml:space="preserve">375,266,011 </w:t>
            </w:r>
          </w:p>
        </w:tc>
      </w:tr>
      <w:tr w:rsidR="00FA2FF9" w:rsidRPr="00730DE4" w14:paraId="3527D69B" w14:textId="77777777" w:rsidTr="00B9757A">
        <w:trPr>
          <w:cnfStyle w:val="000000100000" w:firstRow="0" w:lastRow="0" w:firstColumn="0" w:lastColumn="0" w:oddVBand="0" w:evenVBand="0" w:oddHBand="1" w:evenHBand="0" w:firstRowFirstColumn="0" w:firstRowLastColumn="0" w:lastRowFirstColumn="0" w:lastRowLastColumn="0"/>
          <w:trHeight w:val="253"/>
        </w:trPr>
        <w:tc>
          <w:tcPr>
            <w:tcW w:w="4075" w:type="pct"/>
            <w:noWrap/>
            <w:hideMark/>
          </w:tcPr>
          <w:p w14:paraId="708E684E" w14:textId="77777777" w:rsidR="00FA2FF9" w:rsidRPr="00730DE4" w:rsidRDefault="00FA2FF9" w:rsidP="002231D6">
            <w:pPr>
              <w:pStyle w:val="NoSpacing"/>
            </w:pPr>
            <w:r w:rsidRPr="00730DE4">
              <w:t>Bus Queensland Pty Ltd ACN 010 516 757 t/a Park Ridge Transit</w:t>
            </w:r>
          </w:p>
        </w:tc>
        <w:tc>
          <w:tcPr>
            <w:tcW w:w="925" w:type="pct"/>
            <w:noWrap/>
            <w:hideMark/>
          </w:tcPr>
          <w:p w14:paraId="224466C8" w14:textId="77777777" w:rsidR="00FA2FF9" w:rsidRPr="00730DE4" w:rsidRDefault="00FA2FF9" w:rsidP="000A65A9">
            <w:pPr>
              <w:pStyle w:val="NoSpacing"/>
              <w:jc w:val="right"/>
            </w:pPr>
            <w:r w:rsidRPr="00730DE4">
              <w:t xml:space="preserve">18,144,789 </w:t>
            </w:r>
          </w:p>
        </w:tc>
      </w:tr>
      <w:tr w:rsidR="00FA2FF9" w:rsidRPr="00730DE4" w14:paraId="50AB7B51" w14:textId="77777777" w:rsidTr="00B9757A">
        <w:trPr>
          <w:trHeight w:val="253"/>
        </w:trPr>
        <w:tc>
          <w:tcPr>
            <w:tcW w:w="4075" w:type="pct"/>
            <w:noWrap/>
            <w:hideMark/>
          </w:tcPr>
          <w:p w14:paraId="5460CAE1" w14:textId="77777777" w:rsidR="00FA2FF9" w:rsidRPr="00730DE4" w:rsidRDefault="00FA2FF9" w:rsidP="002231D6">
            <w:pPr>
              <w:pStyle w:val="NoSpacing"/>
            </w:pPr>
            <w:r w:rsidRPr="00730DE4">
              <w:t>Bus Queensland (Lockyer Valley) Pty Ltd ACN 140 535 888</w:t>
            </w:r>
          </w:p>
        </w:tc>
        <w:tc>
          <w:tcPr>
            <w:tcW w:w="925" w:type="pct"/>
            <w:noWrap/>
            <w:hideMark/>
          </w:tcPr>
          <w:p w14:paraId="2053FA06" w14:textId="77777777" w:rsidR="00FA2FF9" w:rsidRPr="00730DE4" w:rsidRDefault="00FA2FF9" w:rsidP="000A65A9">
            <w:pPr>
              <w:pStyle w:val="NoSpacing"/>
              <w:jc w:val="right"/>
            </w:pPr>
            <w:r w:rsidRPr="00730DE4">
              <w:t xml:space="preserve">1,883,966 </w:t>
            </w:r>
          </w:p>
        </w:tc>
      </w:tr>
      <w:tr w:rsidR="00FA2FF9" w:rsidRPr="00730DE4" w14:paraId="22671043" w14:textId="77777777" w:rsidTr="00B9757A">
        <w:trPr>
          <w:cnfStyle w:val="000000100000" w:firstRow="0" w:lastRow="0" w:firstColumn="0" w:lastColumn="0" w:oddVBand="0" w:evenVBand="0" w:oddHBand="1" w:evenHBand="0" w:firstRowFirstColumn="0" w:firstRowLastColumn="0" w:lastRowFirstColumn="0" w:lastRowLastColumn="0"/>
          <w:trHeight w:val="253"/>
        </w:trPr>
        <w:tc>
          <w:tcPr>
            <w:tcW w:w="4075" w:type="pct"/>
            <w:noWrap/>
            <w:hideMark/>
          </w:tcPr>
          <w:p w14:paraId="5DA6A2AC" w14:textId="77777777" w:rsidR="00FA2FF9" w:rsidRPr="00730DE4" w:rsidRDefault="00FA2FF9" w:rsidP="002231D6">
            <w:pPr>
              <w:pStyle w:val="NoSpacing"/>
            </w:pPr>
            <w:r w:rsidRPr="00730DE4">
              <w:t>CDC South East Queensland Pty Ltd ACN 085 000 693</w:t>
            </w:r>
          </w:p>
        </w:tc>
        <w:tc>
          <w:tcPr>
            <w:tcW w:w="925" w:type="pct"/>
            <w:noWrap/>
            <w:hideMark/>
          </w:tcPr>
          <w:p w14:paraId="5CBB8EED" w14:textId="77777777" w:rsidR="00FA2FF9" w:rsidRPr="00730DE4" w:rsidRDefault="00FA2FF9" w:rsidP="000A65A9">
            <w:pPr>
              <w:pStyle w:val="NoSpacing"/>
              <w:jc w:val="right"/>
            </w:pPr>
            <w:r w:rsidRPr="00730DE4">
              <w:t xml:space="preserve">16,162,375 </w:t>
            </w:r>
          </w:p>
        </w:tc>
      </w:tr>
      <w:tr w:rsidR="00FA2FF9" w:rsidRPr="00730DE4" w14:paraId="1E41EBF0" w14:textId="77777777" w:rsidTr="00B9757A">
        <w:trPr>
          <w:trHeight w:val="253"/>
        </w:trPr>
        <w:tc>
          <w:tcPr>
            <w:tcW w:w="4075" w:type="pct"/>
            <w:noWrap/>
            <w:hideMark/>
          </w:tcPr>
          <w:p w14:paraId="66E79EF9" w14:textId="77777777" w:rsidR="00FA2FF9" w:rsidRPr="00730DE4" w:rsidRDefault="00FA2FF9" w:rsidP="002231D6">
            <w:pPr>
              <w:pStyle w:val="NoSpacing"/>
            </w:pPr>
            <w:r w:rsidRPr="00730DE4">
              <w:t>Caboolture Bus Lines Pty Ltd ACN 010 974 599</w:t>
            </w:r>
          </w:p>
        </w:tc>
        <w:tc>
          <w:tcPr>
            <w:tcW w:w="925" w:type="pct"/>
            <w:noWrap/>
            <w:hideMark/>
          </w:tcPr>
          <w:p w14:paraId="5ECA9EFB" w14:textId="77777777" w:rsidR="00FA2FF9" w:rsidRPr="00730DE4" w:rsidRDefault="00FA2FF9" w:rsidP="000A65A9">
            <w:pPr>
              <w:pStyle w:val="NoSpacing"/>
              <w:jc w:val="right"/>
            </w:pPr>
            <w:r w:rsidRPr="00730DE4">
              <w:t xml:space="preserve">15,276,263 </w:t>
            </w:r>
          </w:p>
        </w:tc>
      </w:tr>
      <w:tr w:rsidR="00FA2FF9" w:rsidRPr="00730DE4" w14:paraId="66679511" w14:textId="77777777" w:rsidTr="00B9757A">
        <w:trPr>
          <w:cnfStyle w:val="000000100000" w:firstRow="0" w:lastRow="0" w:firstColumn="0" w:lastColumn="0" w:oddVBand="0" w:evenVBand="0" w:oddHBand="1" w:evenHBand="0" w:firstRowFirstColumn="0" w:firstRowLastColumn="0" w:lastRowFirstColumn="0" w:lastRowLastColumn="0"/>
          <w:trHeight w:val="253"/>
        </w:trPr>
        <w:tc>
          <w:tcPr>
            <w:tcW w:w="4075" w:type="pct"/>
            <w:noWrap/>
            <w:hideMark/>
          </w:tcPr>
          <w:p w14:paraId="6205071D" w14:textId="77777777" w:rsidR="00FA2FF9" w:rsidRPr="00730DE4" w:rsidRDefault="00FA2FF9" w:rsidP="002231D6">
            <w:pPr>
              <w:pStyle w:val="NoSpacing"/>
            </w:pPr>
            <w:r w:rsidRPr="00730DE4">
              <w:t>Reginald Graham Clark &amp; Yvonne Hazel Clark ABN 26 755 113 656 t/a Clarks Bus Service</w:t>
            </w:r>
          </w:p>
        </w:tc>
        <w:tc>
          <w:tcPr>
            <w:tcW w:w="925" w:type="pct"/>
            <w:noWrap/>
            <w:hideMark/>
          </w:tcPr>
          <w:p w14:paraId="75EED4D3" w14:textId="77777777" w:rsidR="00FA2FF9" w:rsidRPr="00730DE4" w:rsidRDefault="00FA2FF9" w:rsidP="000A65A9">
            <w:pPr>
              <w:pStyle w:val="NoSpacing"/>
              <w:jc w:val="right"/>
            </w:pPr>
            <w:r w:rsidRPr="00730DE4">
              <w:t xml:space="preserve">37,358,605 </w:t>
            </w:r>
          </w:p>
        </w:tc>
      </w:tr>
      <w:tr w:rsidR="00FA2FF9" w:rsidRPr="00730DE4" w14:paraId="5B5C4675" w14:textId="77777777" w:rsidTr="00B9757A">
        <w:trPr>
          <w:trHeight w:val="253"/>
        </w:trPr>
        <w:tc>
          <w:tcPr>
            <w:tcW w:w="4075" w:type="pct"/>
            <w:noWrap/>
            <w:hideMark/>
          </w:tcPr>
          <w:p w14:paraId="2ECE951A" w14:textId="77777777" w:rsidR="00FA2FF9" w:rsidRPr="00730DE4" w:rsidRDefault="00FA2FF9" w:rsidP="002231D6">
            <w:pPr>
              <w:pStyle w:val="NoSpacing"/>
            </w:pPr>
            <w:r w:rsidRPr="00730DE4">
              <w:t>GK &amp; JM Thompson Pty Ltd ACN 064 465 176 t/a Thompson Bus Services</w:t>
            </w:r>
          </w:p>
        </w:tc>
        <w:tc>
          <w:tcPr>
            <w:tcW w:w="925" w:type="pct"/>
            <w:noWrap/>
            <w:hideMark/>
          </w:tcPr>
          <w:p w14:paraId="463ADDD0" w14:textId="77777777" w:rsidR="00FA2FF9" w:rsidRPr="00730DE4" w:rsidRDefault="00FA2FF9" w:rsidP="000A65A9">
            <w:pPr>
              <w:pStyle w:val="NoSpacing"/>
              <w:jc w:val="right"/>
            </w:pPr>
            <w:r w:rsidRPr="00730DE4">
              <w:t xml:space="preserve">10,898,279 </w:t>
            </w:r>
          </w:p>
        </w:tc>
      </w:tr>
      <w:tr w:rsidR="00FA2FF9" w:rsidRPr="00730DE4" w14:paraId="51870631" w14:textId="77777777" w:rsidTr="00B9757A">
        <w:trPr>
          <w:cnfStyle w:val="000000100000" w:firstRow="0" w:lastRow="0" w:firstColumn="0" w:lastColumn="0" w:oddVBand="0" w:evenVBand="0" w:oddHBand="1" w:evenHBand="0" w:firstRowFirstColumn="0" w:firstRowLastColumn="0" w:lastRowFirstColumn="0" w:lastRowLastColumn="0"/>
          <w:trHeight w:val="253"/>
        </w:trPr>
        <w:tc>
          <w:tcPr>
            <w:tcW w:w="4075" w:type="pct"/>
            <w:noWrap/>
            <w:hideMark/>
          </w:tcPr>
          <w:p w14:paraId="7E07E4CB" w14:textId="77777777" w:rsidR="00FA2FF9" w:rsidRPr="00730DE4" w:rsidRDefault="00FA2FF9" w:rsidP="002231D6">
            <w:pPr>
              <w:pStyle w:val="NoSpacing"/>
            </w:pPr>
            <w:r w:rsidRPr="00730DE4">
              <w:t>Hornibrook Bus Lines Pty Ltd ACN 010 013 224</w:t>
            </w:r>
          </w:p>
        </w:tc>
        <w:tc>
          <w:tcPr>
            <w:tcW w:w="925" w:type="pct"/>
            <w:noWrap/>
            <w:hideMark/>
          </w:tcPr>
          <w:p w14:paraId="0FE14E57" w14:textId="77777777" w:rsidR="00FA2FF9" w:rsidRPr="00730DE4" w:rsidRDefault="00FA2FF9" w:rsidP="000A65A9">
            <w:pPr>
              <w:pStyle w:val="NoSpacing"/>
              <w:jc w:val="right"/>
            </w:pPr>
            <w:r w:rsidRPr="00730DE4">
              <w:t xml:space="preserve">20,744,263 </w:t>
            </w:r>
          </w:p>
        </w:tc>
      </w:tr>
      <w:tr w:rsidR="00FA2FF9" w:rsidRPr="00730DE4" w14:paraId="73C22022" w14:textId="77777777" w:rsidTr="00B9757A">
        <w:trPr>
          <w:trHeight w:val="253"/>
        </w:trPr>
        <w:tc>
          <w:tcPr>
            <w:tcW w:w="4075" w:type="pct"/>
            <w:noWrap/>
            <w:hideMark/>
          </w:tcPr>
          <w:p w14:paraId="4405748B" w14:textId="77777777" w:rsidR="00FA2FF9" w:rsidRPr="00730DE4" w:rsidRDefault="00FA2FF9" w:rsidP="002231D6">
            <w:pPr>
              <w:pStyle w:val="NoSpacing"/>
            </w:pPr>
            <w:r w:rsidRPr="00730DE4">
              <w:t>Mt Gravatt Bus Service Pty Ltd ABN 51 880 151 325 atf The L G Cole Family Trust</w:t>
            </w:r>
          </w:p>
        </w:tc>
        <w:tc>
          <w:tcPr>
            <w:tcW w:w="925" w:type="pct"/>
            <w:noWrap/>
            <w:hideMark/>
          </w:tcPr>
          <w:p w14:paraId="2054E42C" w14:textId="77777777" w:rsidR="00FA2FF9" w:rsidRPr="00730DE4" w:rsidRDefault="00FA2FF9" w:rsidP="000A65A9">
            <w:pPr>
              <w:pStyle w:val="NoSpacing"/>
              <w:jc w:val="right"/>
            </w:pPr>
            <w:r w:rsidRPr="00730DE4">
              <w:t xml:space="preserve">5,632,353 </w:t>
            </w:r>
          </w:p>
        </w:tc>
      </w:tr>
      <w:tr w:rsidR="00FA2FF9" w:rsidRPr="00730DE4" w14:paraId="557FBAAD" w14:textId="77777777" w:rsidTr="00B9757A">
        <w:trPr>
          <w:cnfStyle w:val="000000100000" w:firstRow="0" w:lastRow="0" w:firstColumn="0" w:lastColumn="0" w:oddVBand="0" w:evenVBand="0" w:oddHBand="1" w:evenHBand="0" w:firstRowFirstColumn="0" w:firstRowLastColumn="0" w:lastRowFirstColumn="0" w:lastRowLastColumn="0"/>
          <w:trHeight w:val="253"/>
        </w:trPr>
        <w:tc>
          <w:tcPr>
            <w:tcW w:w="4075" w:type="pct"/>
            <w:noWrap/>
            <w:hideMark/>
          </w:tcPr>
          <w:p w14:paraId="7957A25F" w14:textId="77777777" w:rsidR="00FA2FF9" w:rsidRPr="00730DE4" w:rsidRDefault="00FA2FF9" w:rsidP="002231D6">
            <w:pPr>
              <w:pStyle w:val="NoSpacing"/>
            </w:pPr>
            <w:r w:rsidRPr="00730DE4">
              <w:t>S &amp; S Webster Investments Pty Ltd ACN 004 804 497 t/a Kangaroo Bus Lines</w:t>
            </w:r>
          </w:p>
        </w:tc>
        <w:tc>
          <w:tcPr>
            <w:tcW w:w="925" w:type="pct"/>
            <w:noWrap/>
            <w:hideMark/>
          </w:tcPr>
          <w:p w14:paraId="31FD179D" w14:textId="77777777" w:rsidR="00FA2FF9" w:rsidRPr="00730DE4" w:rsidRDefault="00FA2FF9" w:rsidP="000A65A9">
            <w:pPr>
              <w:pStyle w:val="NoSpacing"/>
              <w:jc w:val="right"/>
            </w:pPr>
            <w:r w:rsidRPr="00730DE4">
              <w:t xml:space="preserve">19,792,190 </w:t>
            </w:r>
          </w:p>
        </w:tc>
      </w:tr>
      <w:tr w:rsidR="00FA2FF9" w:rsidRPr="00730DE4" w14:paraId="714DE3BA" w14:textId="77777777" w:rsidTr="00B9757A">
        <w:trPr>
          <w:trHeight w:val="253"/>
        </w:trPr>
        <w:tc>
          <w:tcPr>
            <w:tcW w:w="4075" w:type="pct"/>
            <w:noWrap/>
            <w:hideMark/>
          </w:tcPr>
          <w:p w14:paraId="2029541E" w14:textId="77777777" w:rsidR="00FA2FF9" w:rsidRPr="00730DE4" w:rsidRDefault="00FA2FF9" w:rsidP="002231D6">
            <w:pPr>
              <w:pStyle w:val="NoSpacing"/>
            </w:pPr>
            <w:r w:rsidRPr="00730DE4">
              <w:t>Southern Cross Transit (QLD) Pty Ltd ACN 097 130 615 atf the G. Oliveri Family Trust (QLD)</w:t>
            </w:r>
          </w:p>
        </w:tc>
        <w:tc>
          <w:tcPr>
            <w:tcW w:w="925" w:type="pct"/>
            <w:noWrap/>
            <w:hideMark/>
          </w:tcPr>
          <w:p w14:paraId="6C8CD17F" w14:textId="77777777" w:rsidR="00FA2FF9" w:rsidRPr="00730DE4" w:rsidRDefault="00FA2FF9" w:rsidP="000A65A9">
            <w:pPr>
              <w:pStyle w:val="NoSpacing"/>
              <w:jc w:val="right"/>
            </w:pPr>
            <w:r w:rsidRPr="00730DE4">
              <w:t xml:space="preserve">188,589 </w:t>
            </w:r>
          </w:p>
        </w:tc>
      </w:tr>
      <w:tr w:rsidR="00FA2FF9" w:rsidRPr="00730DE4" w14:paraId="38093E85" w14:textId="77777777" w:rsidTr="00B9757A">
        <w:trPr>
          <w:cnfStyle w:val="000000100000" w:firstRow="0" w:lastRow="0" w:firstColumn="0" w:lastColumn="0" w:oddVBand="0" w:evenVBand="0" w:oddHBand="1" w:evenHBand="0" w:firstRowFirstColumn="0" w:firstRowLastColumn="0" w:lastRowFirstColumn="0" w:lastRowLastColumn="0"/>
          <w:trHeight w:val="253"/>
        </w:trPr>
        <w:tc>
          <w:tcPr>
            <w:tcW w:w="4075" w:type="pct"/>
            <w:noWrap/>
            <w:hideMark/>
          </w:tcPr>
          <w:p w14:paraId="54265AAB" w14:textId="77777777" w:rsidR="00FA2FF9" w:rsidRPr="00730DE4" w:rsidRDefault="00FA2FF9" w:rsidP="002231D6">
            <w:pPr>
              <w:pStyle w:val="NoSpacing"/>
            </w:pPr>
            <w:r w:rsidRPr="00730DE4">
              <w:t>Surfside Buslines Pty Ltd ACN 010 957 552</w:t>
            </w:r>
          </w:p>
        </w:tc>
        <w:tc>
          <w:tcPr>
            <w:tcW w:w="925" w:type="pct"/>
            <w:noWrap/>
            <w:hideMark/>
          </w:tcPr>
          <w:p w14:paraId="5E7134F3" w14:textId="77777777" w:rsidR="00FA2FF9" w:rsidRPr="00730DE4" w:rsidRDefault="00FA2FF9" w:rsidP="000A65A9">
            <w:pPr>
              <w:pStyle w:val="NoSpacing"/>
              <w:jc w:val="right"/>
            </w:pPr>
            <w:r w:rsidRPr="00730DE4">
              <w:t xml:space="preserve">112,354,383 </w:t>
            </w:r>
          </w:p>
        </w:tc>
      </w:tr>
      <w:tr w:rsidR="00FA2FF9" w:rsidRPr="00730DE4" w14:paraId="688E20D0" w14:textId="77777777" w:rsidTr="00B9757A">
        <w:trPr>
          <w:trHeight w:val="253"/>
        </w:trPr>
        <w:tc>
          <w:tcPr>
            <w:tcW w:w="4075" w:type="pct"/>
            <w:noWrap/>
            <w:hideMark/>
          </w:tcPr>
          <w:p w14:paraId="55B051E7" w14:textId="77777777" w:rsidR="00FA2FF9" w:rsidRPr="00730DE4" w:rsidRDefault="00FA2FF9" w:rsidP="002231D6">
            <w:pPr>
              <w:pStyle w:val="NoSpacing"/>
            </w:pPr>
            <w:r w:rsidRPr="00730DE4">
              <w:t>Transdev Queensland Pty Ltd ACN 087 046 044</w:t>
            </w:r>
          </w:p>
        </w:tc>
        <w:tc>
          <w:tcPr>
            <w:tcW w:w="925" w:type="pct"/>
            <w:noWrap/>
            <w:hideMark/>
          </w:tcPr>
          <w:p w14:paraId="6842DFBC" w14:textId="77777777" w:rsidR="00FA2FF9" w:rsidRPr="00730DE4" w:rsidRDefault="00FA2FF9" w:rsidP="000A65A9">
            <w:pPr>
              <w:pStyle w:val="NoSpacing"/>
              <w:jc w:val="right"/>
            </w:pPr>
            <w:r w:rsidRPr="00730DE4">
              <w:t xml:space="preserve">32,908,855 </w:t>
            </w:r>
          </w:p>
        </w:tc>
      </w:tr>
      <w:tr w:rsidR="00FA2FF9" w:rsidRPr="00730DE4" w14:paraId="1622C15C" w14:textId="77777777" w:rsidTr="00B9757A">
        <w:trPr>
          <w:cnfStyle w:val="000000100000" w:firstRow="0" w:lastRow="0" w:firstColumn="0" w:lastColumn="0" w:oddVBand="0" w:evenVBand="0" w:oddHBand="1" w:evenHBand="0" w:firstRowFirstColumn="0" w:firstRowLastColumn="0" w:lastRowFirstColumn="0" w:lastRowLastColumn="0"/>
          <w:trHeight w:val="253"/>
        </w:trPr>
        <w:tc>
          <w:tcPr>
            <w:tcW w:w="4075" w:type="pct"/>
            <w:noWrap/>
            <w:hideMark/>
          </w:tcPr>
          <w:p w14:paraId="2F8DAC85" w14:textId="77777777" w:rsidR="00FA2FF9" w:rsidRPr="00730DE4" w:rsidRDefault="00FA2FF9" w:rsidP="002231D6">
            <w:pPr>
              <w:pStyle w:val="NoSpacing"/>
            </w:pPr>
            <w:r w:rsidRPr="00730DE4">
              <w:t>Transit Australia Pty Limited ACN 065 794 943 t/a Sunshine Coast Sunbus</w:t>
            </w:r>
          </w:p>
        </w:tc>
        <w:tc>
          <w:tcPr>
            <w:tcW w:w="925" w:type="pct"/>
            <w:noWrap/>
            <w:hideMark/>
          </w:tcPr>
          <w:p w14:paraId="692045CD" w14:textId="77777777" w:rsidR="00FA2FF9" w:rsidRPr="00730DE4" w:rsidRDefault="00FA2FF9" w:rsidP="000A65A9">
            <w:pPr>
              <w:pStyle w:val="NoSpacing"/>
              <w:jc w:val="right"/>
            </w:pPr>
            <w:r w:rsidRPr="00730DE4">
              <w:t xml:space="preserve">47,543,156 </w:t>
            </w:r>
          </w:p>
        </w:tc>
      </w:tr>
      <w:tr w:rsidR="00FA2FF9" w:rsidRPr="00730DE4" w14:paraId="59EA8D79" w14:textId="77777777" w:rsidTr="00B9757A">
        <w:trPr>
          <w:trHeight w:val="253"/>
        </w:trPr>
        <w:tc>
          <w:tcPr>
            <w:tcW w:w="4075" w:type="pct"/>
            <w:noWrap/>
            <w:hideMark/>
          </w:tcPr>
          <w:p w14:paraId="4E60B1E0" w14:textId="77777777" w:rsidR="00FA2FF9" w:rsidRPr="00730DE4" w:rsidRDefault="00FA2FF9" w:rsidP="002231D6">
            <w:pPr>
              <w:pStyle w:val="NoSpacing"/>
            </w:pPr>
            <w:r w:rsidRPr="00730DE4">
              <w:t xml:space="preserve">Westside Bus Co Pty Ltd ACN 083 497 312 atf Westside Unit Trust </w:t>
            </w:r>
          </w:p>
        </w:tc>
        <w:tc>
          <w:tcPr>
            <w:tcW w:w="925" w:type="pct"/>
            <w:noWrap/>
            <w:hideMark/>
          </w:tcPr>
          <w:p w14:paraId="6E94B4D7" w14:textId="77777777" w:rsidR="00FA2FF9" w:rsidRPr="00730DE4" w:rsidRDefault="00FA2FF9" w:rsidP="000A65A9">
            <w:pPr>
              <w:pStyle w:val="NoSpacing"/>
              <w:jc w:val="right"/>
            </w:pPr>
            <w:r w:rsidRPr="00730DE4">
              <w:t xml:space="preserve">28,850,237 </w:t>
            </w:r>
          </w:p>
        </w:tc>
      </w:tr>
      <w:tr w:rsidR="00FA2FF9" w:rsidRPr="00730DE4" w14:paraId="4C3D62E3" w14:textId="77777777" w:rsidTr="00B9757A">
        <w:trPr>
          <w:cnfStyle w:val="000000100000" w:firstRow="0" w:lastRow="0" w:firstColumn="0" w:lastColumn="0" w:oddVBand="0" w:evenVBand="0" w:oddHBand="1" w:evenHBand="0" w:firstRowFirstColumn="0" w:firstRowLastColumn="0" w:lastRowFirstColumn="0" w:lastRowLastColumn="0"/>
          <w:trHeight w:val="253"/>
        </w:trPr>
        <w:tc>
          <w:tcPr>
            <w:tcW w:w="4075" w:type="pct"/>
            <w:noWrap/>
            <w:hideMark/>
          </w:tcPr>
          <w:p w14:paraId="16422E0E" w14:textId="77777777" w:rsidR="00FA2FF9" w:rsidRPr="00730DE4" w:rsidRDefault="00FA2FF9" w:rsidP="002231D6">
            <w:pPr>
              <w:pStyle w:val="NoSpacing"/>
            </w:pPr>
            <w:r w:rsidRPr="00730DE4">
              <w:t>Cavbus Pty Ltd ACN 096 924 677 t/a Logan Coaches</w:t>
            </w:r>
          </w:p>
        </w:tc>
        <w:tc>
          <w:tcPr>
            <w:tcW w:w="925" w:type="pct"/>
            <w:noWrap/>
            <w:hideMark/>
          </w:tcPr>
          <w:p w14:paraId="03ED936D" w14:textId="77777777" w:rsidR="00FA2FF9" w:rsidRPr="00730DE4" w:rsidRDefault="00FA2FF9" w:rsidP="000A65A9">
            <w:pPr>
              <w:pStyle w:val="NoSpacing"/>
              <w:jc w:val="right"/>
            </w:pPr>
            <w:r w:rsidRPr="00730DE4">
              <w:t xml:space="preserve">628,401 </w:t>
            </w:r>
          </w:p>
        </w:tc>
      </w:tr>
      <w:tr w:rsidR="00FA2FF9" w:rsidRPr="00730DE4" w14:paraId="52212049" w14:textId="77777777" w:rsidTr="00B9757A">
        <w:trPr>
          <w:cnfStyle w:val="010000000000" w:firstRow="0" w:lastRow="1" w:firstColumn="0" w:lastColumn="0" w:oddVBand="0" w:evenVBand="0" w:oddHBand="0" w:evenHBand="0" w:firstRowFirstColumn="0" w:firstRowLastColumn="0" w:lastRowFirstColumn="0" w:lastRowLastColumn="0"/>
          <w:trHeight w:val="253"/>
        </w:trPr>
        <w:tc>
          <w:tcPr>
            <w:tcW w:w="4075" w:type="pct"/>
            <w:noWrap/>
            <w:hideMark/>
          </w:tcPr>
          <w:p w14:paraId="6A077155" w14:textId="77777777" w:rsidR="00FA2FF9" w:rsidRPr="00730DE4" w:rsidRDefault="00FA2FF9" w:rsidP="002231D6">
            <w:pPr>
              <w:pStyle w:val="NoSpacing"/>
            </w:pPr>
            <w:r w:rsidRPr="00730DE4">
              <w:t> Total</w:t>
            </w:r>
          </w:p>
        </w:tc>
        <w:tc>
          <w:tcPr>
            <w:tcW w:w="925" w:type="pct"/>
            <w:noWrap/>
            <w:hideMark/>
          </w:tcPr>
          <w:p w14:paraId="3A93C609" w14:textId="77777777" w:rsidR="00FA2FF9" w:rsidRPr="00730DE4" w:rsidRDefault="00FA2FF9" w:rsidP="000A65A9">
            <w:pPr>
              <w:pStyle w:val="NoSpacing"/>
              <w:jc w:val="right"/>
            </w:pPr>
            <w:r w:rsidRPr="00730DE4">
              <w:t>$743,810,447</w:t>
            </w:r>
          </w:p>
        </w:tc>
      </w:tr>
    </w:tbl>
    <w:p w14:paraId="292FCCE3" w14:textId="77777777" w:rsidR="005009C7" w:rsidRDefault="005009C7" w:rsidP="002B7001">
      <w:pPr>
        <w:pStyle w:val="Heading4"/>
        <w:rPr>
          <w:lang w:val="en-US"/>
        </w:rPr>
      </w:pPr>
      <w:r>
        <w:rPr>
          <w:lang w:val="en-US"/>
        </w:rPr>
        <w:br w:type="page"/>
      </w:r>
    </w:p>
    <w:p w14:paraId="4A26AB10" w14:textId="6EAACAB7" w:rsidR="00FA2FF9" w:rsidRPr="00730DE4" w:rsidRDefault="00FA2FF9" w:rsidP="002B7001">
      <w:pPr>
        <w:pStyle w:val="Heading4"/>
        <w:rPr>
          <w:lang w:val="en-US"/>
        </w:rPr>
      </w:pPr>
      <w:bookmarkStart w:id="1766" w:name="_Toc180487812"/>
      <w:bookmarkStart w:id="1767" w:name="_Toc180491017"/>
      <w:bookmarkStart w:id="1768" w:name="_Toc180492050"/>
      <w:r w:rsidRPr="00730DE4">
        <w:rPr>
          <w:lang w:val="en-US"/>
        </w:rPr>
        <w:t>Ferry</w:t>
      </w:r>
      <w:bookmarkEnd w:id="1766"/>
      <w:bookmarkEnd w:id="1767"/>
      <w:bookmarkEnd w:id="1768"/>
      <w:r w:rsidRPr="00730DE4">
        <w:rPr>
          <w:lang w:val="en-US"/>
        </w:rPr>
        <w:t xml:space="preserve"> </w:t>
      </w:r>
    </w:p>
    <w:p w14:paraId="487D4EEB" w14:textId="77777777" w:rsidR="00FA2FF9" w:rsidRPr="00730DE4" w:rsidRDefault="00FA2FF9" w:rsidP="00B14447">
      <w:pPr>
        <w:pStyle w:val="FigureCaption"/>
        <w:rPr>
          <w:lang w:val="en-US"/>
        </w:rPr>
      </w:pPr>
      <w:r w:rsidRPr="00730DE4">
        <w:rPr>
          <w:lang w:val="en-US"/>
        </w:rPr>
        <w:t>Table 56: Passenger transport operator payments: South East Queensland—Ferry</w:t>
      </w:r>
    </w:p>
    <w:tbl>
      <w:tblPr>
        <w:tblStyle w:val="TMRDefault"/>
        <w:tblW w:w="5000" w:type="pct"/>
        <w:tblLook w:val="04E0" w:firstRow="1" w:lastRow="1" w:firstColumn="1" w:lastColumn="0" w:noHBand="0" w:noVBand="1"/>
      </w:tblPr>
      <w:tblGrid>
        <w:gridCol w:w="11401"/>
        <w:gridCol w:w="2591"/>
      </w:tblGrid>
      <w:tr w:rsidR="00FA2FF9" w:rsidRPr="00730DE4" w14:paraId="559DC248" w14:textId="77777777" w:rsidTr="00B9757A">
        <w:trPr>
          <w:cnfStyle w:val="100000000000" w:firstRow="1" w:lastRow="0" w:firstColumn="0" w:lastColumn="0" w:oddVBand="0" w:evenVBand="0" w:oddHBand="0" w:evenHBand="0" w:firstRowFirstColumn="0" w:firstRowLastColumn="0" w:lastRowFirstColumn="0" w:lastRowLastColumn="0"/>
          <w:trHeight w:val="255"/>
          <w:tblHeader/>
        </w:trPr>
        <w:tc>
          <w:tcPr>
            <w:tcW w:w="4074" w:type="pct"/>
            <w:noWrap/>
            <w:hideMark/>
          </w:tcPr>
          <w:p w14:paraId="0A495980" w14:textId="77777777" w:rsidR="00FA2FF9" w:rsidRPr="00730DE4" w:rsidRDefault="00FA2FF9" w:rsidP="002231D6">
            <w:pPr>
              <w:pStyle w:val="NoSpacing"/>
              <w:rPr>
                <w:b w:val="0"/>
                <w:color w:val="FFFFFF" w:themeColor="background1"/>
              </w:rPr>
            </w:pPr>
            <w:r w:rsidRPr="00730DE4">
              <w:rPr>
                <w:color w:val="FFFFFF" w:themeColor="background1"/>
              </w:rPr>
              <w:t>Operator</w:t>
            </w:r>
          </w:p>
        </w:tc>
        <w:tc>
          <w:tcPr>
            <w:tcW w:w="926" w:type="pct"/>
            <w:noWrap/>
            <w:hideMark/>
          </w:tcPr>
          <w:p w14:paraId="3AFB4BF5" w14:textId="77777777" w:rsidR="00FA2FF9" w:rsidRPr="00730DE4" w:rsidRDefault="00FA2FF9" w:rsidP="000A65A9">
            <w:pPr>
              <w:pStyle w:val="NoSpacing"/>
              <w:jc w:val="right"/>
              <w:rPr>
                <w:b w:val="0"/>
                <w:color w:val="FFFFFF" w:themeColor="background1"/>
              </w:rPr>
            </w:pPr>
            <w:r w:rsidRPr="00730DE4">
              <w:rPr>
                <w:color w:val="FFFFFF" w:themeColor="background1"/>
              </w:rPr>
              <w:t>2023–24 $ Amount</w:t>
            </w:r>
          </w:p>
        </w:tc>
      </w:tr>
      <w:tr w:rsidR="00FA2FF9" w:rsidRPr="00730DE4" w14:paraId="66B6561E" w14:textId="77777777" w:rsidTr="00B9757A">
        <w:trPr>
          <w:cnfStyle w:val="000000100000" w:firstRow="0" w:lastRow="0" w:firstColumn="0" w:lastColumn="0" w:oddVBand="0" w:evenVBand="0" w:oddHBand="1" w:evenHBand="0" w:firstRowFirstColumn="0" w:firstRowLastColumn="0" w:lastRowFirstColumn="0" w:lastRowLastColumn="0"/>
          <w:trHeight w:val="255"/>
        </w:trPr>
        <w:tc>
          <w:tcPr>
            <w:tcW w:w="4074" w:type="pct"/>
            <w:noWrap/>
            <w:hideMark/>
          </w:tcPr>
          <w:p w14:paraId="20331A8D" w14:textId="77777777" w:rsidR="00FA2FF9" w:rsidRPr="00730DE4" w:rsidRDefault="00FA2FF9" w:rsidP="002231D6">
            <w:pPr>
              <w:pStyle w:val="NoSpacing"/>
            </w:pPr>
            <w:r w:rsidRPr="00730DE4">
              <w:t>Brisbane City Council (Transport for Brisbane) ABN 72 002 765 795</w:t>
            </w:r>
          </w:p>
        </w:tc>
        <w:tc>
          <w:tcPr>
            <w:tcW w:w="926" w:type="pct"/>
            <w:noWrap/>
            <w:hideMark/>
          </w:tcPr>
          <w:p w14:paraId="638E5741" w14:textId="77777777" w:rsidR="00FA2FF9" w:rsidRPr="00730DE4" w:rsidRDefault="00FA2FF9" w:rsidP="000A65A9">
            <w:pPr>
              <w:pStyle w:val="NoSpacing"/>
              <w:jc w:val="right"/>
            </w:pPr>
            <w:r w:rsidRPr="00730DE4">
              <w:t xml:space="preserve">24,549,873 </w:t>
            </w:r>
          </w:p>
        </w:tc>
      </w:tr>
      <w:tr w:rsidR="00FA2FF9" w:rsidRPr="00730DE4" w14:paraId="56A7F875" w14:textId="77777777" w:rsidTr="00B9757A">
        <w:trPr>
          <w:trHeight w:val="255"/>
        </w:trPr>
        <w:tc>
          <w:tcPr>
            <w:tcW w:w="4074" w:type="pct"/>
            <w:noWrap/>
            <w:hideMark/>
          </w:tcPr>
          <w:p w14:paraId="7C12A040" w14:textId="77777777" w:rsidR="00FA2FF9" w:rsidRPr="00730DE4" w:rsidRDefault="00FA2FF9" w:rsidP="002231D6">
            <w:pPr>
              <w:pStyle w:val="NoSpacing"/>
            </w:pPr>
            <w:r w:rsidRPr="00730DE4">
              <w:t>Amity Trader Pty Ltd ABN 38 951 090 375 atf the trustee for the Scorpio Trust t/a Coochiemudlo Island Ferry Services</w:t>
            </w:r>
          </w:p>
        </w:tc>
        <w:tc>
          <w:tcPr>
            <w:tcW w:w="926" w:type="pct"/>
            <w:noWrap/>
            <w:hideMark/>
          </w:tcPr>
          <w:p w14:paraId="719AB1E8" w14:textId="77777777" w:rsidR="00FA2FF9" w:rsidRPr="00730DE4" w:rsidRDefault="00FA2FF9" w:rsidP="000A65A9">
            <w:pPr>
              <w:pStyle w:val="NoSpacing"/>
              <w:jc w:val="right"/>
            </w:pPr>
            <w:r w:rsidRPr="00730DE4">
              <w:t xml:space="preserve">404,118 </w:t>
            </w:r>
          </w:p>
        </w:tc>
      </w:tr>
      <w:tr w:rsidR="00FA2FF9" w:rsidRPr="00730DE4" w14:paraId="2F083931" w14:textId="77777777" w:rsidTr="00B9757A">
        <w:trPr>
          <w:cnfStyle w:val="000000100000" w:firstRow="0" w:lastRow="0" w:firstColumn="0" w:lastColumn="0" w:oddVBand="0" w:evenVBand="0" w:oddHBand="1" w:evenHBand="0" w:firstRowFirstColumn="0" w:firstRowLastColumn="0" w:lastRowFirstColumn="0" w:lastRowLastColumn="0"/>
          <w:trHeight w:val="255"/>
        </w:trPr>
        <w:tc>
          <w:tcPr>
            <w:tcW w:w="4074" w:type="pct"/>
            <w:noWrap/>
            <w:hideMark/>
          </w:tcPr>
          <w:p w14:paraId="04F37EFE" w14:textId="77777777" w:rsidR="00FA2FF9" w:rsidRPr="00730DE4" w:rsidRDefault="00FA2FF9" w:rsidP="002231D6">
            <w:pPr>
              <w:pStyle w:val="NoSpacing"/>
            </w:pPr>
            <w:r w:rsidRPr="00730DE4">
              <w:t>Kellstar Pty Ltd ACN 073 449 439 t/a Stradbroke Flyer</w:t>
            </w:r>
          </w:p>
        </w:tc>
        <w:tc>
          <w:tcPr>
            <w:tcW w:w="926" w:type="pct"/>
            <w:noWrap/>
            <w:hideMark/>
          </w:tcPr>
          <w:p w14:paraId="0C5B8BA0" w14:textId="77777777" w:rsidR="00FA2FF9" w:rsidRPr="00730DE4" w:rsidRDefault="00FA2FF9" w:rsidP="000A65A9">
            <w:pPr>
              <w:pStyle w:val="NoSpacing"/>
              <w:jc w:val="right"/>
            </w:pPr>
            <w:r w:rsidRPr="00730DE4">
              <w:t xml:space="preserve">1,080,893 </w:t>
            </w:r>
          </w:p>
        </w:tc>
      </w:tr>
      <w:tr w:rsidR="00FA2FF9" w:rsidRPr="00730DE4" w14:paraId="49310CAC" w14:textId="77777777" w:rsidTr="00B9757A">
        <w:trPr>
          <w:trHeight w:val="255"/>
        </w:trPr>
        <w:tc>
          <w:tcPr>
            <w:tcW w:w="4074" w:type="pct"/>
            <w:noWrap/>
            <w:hideMark/>
          </w:tcPr>
          <w:p w14:paraId="6986CBE3" w14:textId="77777777" w:rsidR="00FA2FF9" w:rsidRPr="00730DE4" w:rsidRDefault="00FA2FF9" w:rsidP="002231D6">
            <w:pPr>
              <w:pStyle w:val="NoSpacing"/>
            </w:pPr>
            <w:r w:rsidRPr="00730DE4">
              <w:t>Stradbroke Ferries Pty Ltd ACN 009 725 713</w:t>
            </w:r>
          </w:p>
        </w:tc>
        <w:tc>
          <w:tcPr>
            <w:tcW w:w="926" w:type="pct"/>
            <w:noWrap/>
            <w:hideMark/>
          </w:tcPr>
          <w:p w14:paraId="7348C16B" w14:textId="77777777" w:rsidR="00FA2FF9" w:rsidRPr="00730DE4" w:rsidRDefault="00FA2FF9" w:rsidP="000A65A9">
            <w:pPr>
              <w:pStyle w:val="NoSpacing"/>
              <w:jc w:val="right"/>
            </w:pPr>
            <w:r w:rsidRPr="00730DE4">
              <w:t xml:space="preserve">1,161,252 </w:t>
            </w:r>
          </w:p>
        </w:tc>
      </w:tr>
      <w:tr w:rsidR="00FA2FF9" w:rsidRPr="00730DE4" w14:paraId="117C9D63" w14:textId="77777777" w:rsidTr="00B9757A">
        <w:trPr>
          <w:cnfStyle w:val="000000100000" w:firstRow="0" w:lastRow="0" w:firstColumn="0" w:lastColumn="0" w:oddVBand="0" w:evenVBand="0" w:oddHBand="1" w:evenHBand="0" w:firstRowFirstColumn="0" w:firstRowLastColumn="0" w:lastRowFirstColumn="0" w:lastRowLastColumn="0"/>
          <w:trHeight w:val="255"/>
        </w:trPr>
        <w:tc>
          <w:tcPr>
            <w:tcW w:w="4074" w:type="pct"/>
            <w:noWrap/>
            <w:hideMark/>
          </w:tcPr>
          <w:p w14:paraId="79C0046A" w14:textId="77777777" w:rsidR="00FA2FF9" w:rsidRPr="00730DE4" w:rsidRDefault="00FA2FF9" w:rsidP="002231D6">
            <w:pPr>
              <w:pStyle w:val="NoSpacing"/>
            </w:pPr>
            <w:r w:rsidRPr="00730DE4">
              <w:t>Bits Assets Pty Ltd ABN 54 108 661 945</w:t>
            </w:r>
          </w:p>
        </w:tc>
        <w:tc>
          <w:tcPr>
            <w:tcW w:w="926" w:type="pct"/>
            <w:noWrap/>
            <w:hideMark/>
          </w:tcPr>
          <w:p w14:paraId="56763FDB" w14:textId="77777777" w:rsidR="00FA2FF9" w:rsidRPr="00730DE4" w:rsidRDefault="00FA2FF9" w:rsidP="000A65A9">
            <w:pPr>
              <w:pStyle w:val="NoSpacing"/>
              <w:jc w:val="right"/>
            </w:pPr>
            <w:r w:rsidRPr="00730DE4">
              <w:t xml:space="preserve">10,287,562 </w:t>
            </w:r>
          </w:p>
        </w:tc>
      </w:tr>
      <w:tr w:rsidR="00FA2FF9" w:rsidRPr="00730DE4" w14:paraId="368C5C39" w14:textId="77777777" w:rsidTr="00B9757A">
        <w:trPr>
          <w:cnfStyle w:val="010000000000" w:firstRow="0" w:lastRow="1" w:firstColumn="0" w:lastColumn="0" w:oddVBand="0" w:evenVBand="0" w:oddHBand="0" w:evenHBand="0" w:firstRowFirstColumn="0" w:firstRowLastColumn="0" w:lastRowFirstColumn="0" w:lastRowLastColumn="0"/>
          <w:trHeight w:val="300"/>
        </w:trPr>
        <w:tc>
          <w:tcPr>
            <w:tcW w:w="4074" w:type="pct"/>
            <w:noWrap/>
            <w:hideMark/>
          </w:tcPr>
          <w:p w14:paraId="74AE96DC" w14:textId="4469D6FB" w:rsidR="00FA2FF9" w:rsidRPr="00730DE4" w:rsidRDefault="00FA2FF9" w:rsidP="002231D6">
            <w:pPr>
              <w:pStyle w:val="NoSpacing"/>
            </w:pPr>
            <w:r w:rsidRPr="00730DE4">
              <w:t> </w:t>
            </w:r>
            <w:r w:rsidR="00B9757A" w:rsidRPr="00730DE4">
              <w:t>Total</w:t>
            </w:r>
          </w:p>
        </w:tc>
        <w:tc>
          <w:tcPr>
            <w:tcW w:w="926" w:type="pct"/>
            <w:noWrap/>
            <w:hideMark/>
          </w:tcPr>
          <w:p w14:paraId="68DE6317" w14:textId="77777777" w:rsidR="00FA2FF9" w:rsidRPr="00730DE4" w:rsidRDefault="00FA2FF9" w:rsidP="000A65A9">
            <w:pPr>
              <w:pStyle w:val="NoSpacing"/>
              <w:jc w:val="right"/>
            </w:pPr>
            <w:r w:rsidRPr="00730DE4">
              <w:t>$37,483,699</w:t>
            </w:r>
          </w:p>
        </w:tc>
      </w:tr>
    </w:tbl>
    <w:p w14:paraId="33BD609D" w14:textId="77777777" w:rsidR="00FA2FF9" w:rsidRPr="00730DE4" w:rsidRDefault="00FA2FF9" w:rsidP="002B7001">
      <w:pPr>
        <w:pStyle w:val="Heading4"/>
        <w:rPr>
          <w:lang w:val="en-US"/>
        </w:rPr>
      </w:pPr>
      <w:bookmarkStart w:id="1769" w:name="_Toc180487813"/>
      <w:bookmarkStart w:id="1770" w:name="_Toc180491018"/>
      <w:bookmarkStart w:id="1771" w:name="_Toc180492051"/>
      <w:r w:rsidRPr="00730DE4">
        <w:rPr>
          <w:lang w:val="en-US"/>
        </w:rPr>
        <w:t>Citytrain</w:t>
      </w:r>
      <w:bookmarkEnd w:id="1769"/>
      <w:bookmarkEnd w:id="1770"/>
      <w:bookmarkEnd w:id="1771"/>
    </w:p>
    <w:p w14:paraId="03303F4E" w14:textId="77777777" w:rsidR="00FA2FF9" w:rsidRPr="00730DE4" w:rsidRDefault="00FA2FF9" w:rsidP="00B14447">
      <w:pPr>
        <w:pStyle w:val="FigureCaption"/>
        <w:rPr>
          <w:lang w:val="en-US"/>
        </w:rPr>
      </w:pPr>
      <w:r w:rsidRPr="00730DE4">
        <w:rPr>
          <w:lang w:val="en-US"/>
        </w:rPr>
        <w:t>Table 57: Passenger transport operator payments: South East Queensland—Citytrain</w:t>
      </w:r>
    </w:p>
    <w:tbl>
      <w:tblPr>
        <w:tblStyle w:val="TMRDefault"/>
        <w:tblW w:w="5000" w:type="pct"/>
        <w:tblLook w:val="04A0" w:firstRow="1" w:lastRow="0" w:firstColumn="1" w:lastColumn="0" w:noHBand="0" w:noVBand="1"/>
      </w:tblPr>
      <w:tblGrid>
        <w:gridCol w:w="9363"/>
        <w:gridCol w:w="4629"/>
      </w:tblGrid>
      <w:tr w:rsidR="00FA2FF9" w:rsidRPr="00730DE4" w14:paraId="4C2B02CB" w14:textId="77777777" w:rsidTr="002231D6">
        <w:trPr>
          <w:cnfStyle w:val="100000000000" w:firstRow="1" w:lastRow="0" w:firstColumn="0" w:lastColumn="0" w:oddVBand="0" w:evenVBand="0" w:oddHBand="0" w:evenHBand="0" w:firstRowFirstColumn="0" w:firstRowLastColumn="0" w:lastRowFirstColumn="0" w:lastRowLastColumn="0"/>
          <w:trHeight w:val="255"/>
          <w:tblHeader/>
        </w:trPr>
        <w:tc>
          <w:tcPr>
            <w:tcW w:w="3346" w:type="pct"/>
            <w:noWrap/>
            <w:hideMark/>
          </w:tcPr>
          <w:p w14:paraId="6CF945C3" w14:textId="77777777" w:rsidR="00FA2FF9" w:rsidRPr="00730DE4" w:rsidRDefault="00FA2FF9" w:rsidP="002231D6">
            <w:pPr>
              <w:pStyle w:val="NoSpacing"/>
              <w:rPr>
                <w:b w:val="0"/>
                <w:color w:val="FFFFFF" w:themeColor="background1"/>
              </w:rPr>
            </w:pPr>
            <w:r w:rsidRPr="00730DE4">
              <w:rPr>
                <w:color w:val="FFFFFF" w:themeColor="background1"/>
              </w:rPr>
              <w:t>Operator</w:t>
            </w:r>
          </w:p>
        </w:tc>
        <w:tc>
          <w:tcPr>
            <w:tcW w:w="1654" w:type="pct"/>
            <w:noWrap/>
            <w:hideMark/>
          </w:tcPr>
          <w:p w14:paraId="31F62D0C" w14:textId="77777777" w:rsidR="00FA2FF9" w:rsidRPr="00730DE4" w:rsidRDefault="00FA2FF9" w:rsidP="000A65A9">
            <w:pPr>
              <w:pStyle w:val="NoSpacing"/>
              <w:jc w:val="right"/>
              <w:rPr>
                <w:b w:val="0"/>
                <w:color w:val="FFFFFF" w:themeColor="background1"/>
              </w:rPr>
            </w:pPr>
            <w:r w:rsidRPr="00730DE4">
              <w:rPr>
                <w:color w:val="FFFFFF" w:themeColor="background1"/>
              </w:rPr>
              <w:t>2023–24 $ Amount</w:t>
            </w:r>
          </w:p>
        </w:tc>
      </w:tr>
      <w:tr w:rsidR="00FA2FF9" w:rsidRPr="00730DE4" w14:paraId="43BC1954" w14:textId="77777777" w:rsidTr="002231D6">
        <w:trPr>
          <w:cnfStyle w:val="000000100000" w:firstRow="0" w:lastRow="0" w:firstColumn="0" w:lastColumn="0" w:oddVBand="0" w:evenVBand="0" w:oddHBand="1" w:evenHBand="0" w:firstRowFirstColumn="0" w:firstRowLastColumn="0" w:lastRowFirstColumn="0" w:lastRowLastColumn="0"/>
          <w:trHeight w:val="255"/>
        </w:trPr>
        <w:tc>
          <w:tcPr>
            <w:tcW w:w="3346" w:type="pct"/>
            <w:noWrap/>
            <w:hideMark/>
          </w:tcPr>
          <w:p w14:paraId="291712FE" w14:textId="77777777" w:rsidR="00FA2FF9" w:rsidRPr="00730DE4" w:rsidRDefault="00FA2FF9" w:rsidP="002231D6">
            <w:pPr>
              <w:pStyle w:val="NoSpacing"/>
            </w:pPr>
            <w:r w:rsidRPr="00730DE4">
              <w:t>Queensland Rail Limited ACN 132 181 090</w:t>
            </w:r>
          </w:p>
        </w:tc>
        <w:tc>
          <w:tcPr>
            <w:tcW w:w="1654" w:type="pct"/>
            <w:noWrap/>
            <w:hideMark/>
          </w:tcPr>
          <w:p w14:paraId="75406DAA" w14:textId="77777777" w:rsidR="00FA2FF9" w:rsidRPr="00730DE4" w:rsidRDefault="00FA2FF9" w:rsidP="000A65A9">
            <w:pPr>
              <w:pStyle w:val="NoSpacing"/>
              <w:jc w:val="right"/>
            </w:pPr>
            <w:r w:rsidRPr="00730DE4">
              <w:t xml:space="preserve">1,715,075,645 </w:t>
            </w:r>
          </w:p>
        </w:tc>
      </w:tr>
    </w:tbl>
    <w:p w14:paraId="6F6A36BA" w14:textId="77777777" w:rsidR="00FA2FF9" w:rsidRPr="00730DE4" w:rsidRDefault="00FA2FF9" w:rsidP="002B7001">
      <w:pPr>
        <w:pStyle w:val="Heading4"/>
        <w:rPr>
          <w:lang w:val="en-US"/>
        </w:rPr>
      </w:pPr>
      <w:bookmarkStart w:id="1772" w:name="_Toc180487814"/>
      <w:bookmarkStart w:id="1773" w:name="_Toc180491019"/>
      <w:bookmarkStart w:id="1774" w:name="_Toc180492052"/>
      <w:r w:rsidRPr="00730DE4">
        <w:t>Rail replacement bus services</w:t>
      </w:r>
      <w:bookmarkEnd w:id="1772"/>
      <w:bookmarkEnd w:id="1773"/>
      <w:bookmarkEnd w:id="1774"/>
    </w:p>
    <w:p w14:paraId="58C26BA4" w14:textId="77777777" w:rsidR="00FA2FF9" w:rsidRPr="00730DE4" w:rsidRDefault="00FA2FF9" w:rsidP="00B14447">
      <w:pPr>
        <w:pStyle w:val="FigureCaption"/>
        <w:rPr>
          <w:lang w:val="en-US"/>
        </w:rPr>
      </w:pPr>
      <w:r w:rsidRPr="00730DE4">
        <w:rPr>
          <w:lang w:val="en-US"/>
        </w:rPr>
        <w:t>Table 58: Passenger transport operator payments: South East Queensland—Rail replacement bus services</w:t>
      </w:r>
    </w:p>
    <w:tbl>
      <w:tblPr>
        <w:tblStyle w:val="TMRDefault"/>
        <w:tblW w:w="5000" w:type="pct"/>
        <w:tblLook w:val="04E0" w:firstRow="1" w:lastRow="1" w:firstColumn="1" w:lastColumn="0" w:noHBand="0" w:noVBand="1"/>
      </w:tblPr>
      <w:tblGrid>
        <w:gridCol w:w="11401"/>
        <w:gridCol w:w="2591"/>
      </w:tblGrid>
      <w:tr w:rsidR="00FA2FF9" w:rsidRPr="00730DE4" w14:paraId="4690F94A" w14:textId="77777777" w:rsidTr="00B9757A">
        <w:trPr>
          <w:cnfStyle w:val="100000000000" w:firstRow="1" w:lastRow="0" w:firstColumn="0" w:lastColumn="0" w:oddVBand="0" w:evenVBand="0" w:oddHBand="0" w:evenHBand="0" w:firstRowFirstColumn="0" w:firstRowLastColumn="0" w:lastRowFirstColumn="0" w:lastRowLastColumn="0"/>
          <w:trHeight w:val="255"/>
          <w:tblHeader/>
        </w:trPr>
        <w:tc>
          <w:tcPr>
            <w:tcW w:w="4074" w:type="pct"/>
            <w:noWrap/>
            <w:hideMark/>
          </w:tcPr>
          <w:p w14:paraId="35A845F9" w14:textId="77777777" w:rsidR="00FA2FF9" w:rsidRPr="00730DE4" w:rsidRDefault="00FA2FF9" w:rsidP="002231D6">
            <w:pPr>
              <w:pStyle w:val="NoSpacing"/>
              <w:rPr>
                <w:b w:val="0"/>
                <w:color w:val="FFFFFF" w:themeColor="background1"/>
              </w:rPr>
            </w:pPr>
            <w:r w:rsidRPr="00730DE4">
              <w:rPr>
                <w:color w:val="FFFFFF" w:themeColor="background1"/>
              </w:rPr>
              <w:t>Operator</w:t>
            </w:r>
          </w:p>
        </w:tc>
        <w:tc>
          <w:tcPr>
            <w:tcW w:w="926" w:type="pct"/>
            <w:noWrap/>
            <w:hideMark/>
          </w:tcPr>
          <w:p w14:paraId="139141AB" w14:textId="77777777" w:rsidR="00FA2FF9" w:rsidRPr="00730DE4" w:rsidRDefault="00FA2FF9" w:rsidP="000A65A9">
            <w:pPr>
              <w:pStyle w:val="NoSpacing"/>
              <w:jc w:val="right"/>
              <w:rPr>
                <w:b w:val="0"/>
                <w:color w:val="FFFFFF" w:themeColor="background1"/>
              </w:rPr>
            </w:pPr>
            <w:r w:rsidRPr="00730DE4">
              <w:rPr>
                <w:color w:val="FFFFFF" w:themeColor="background1"/>
              </w:rPr>
              <w:t>2023–24 $ Amount</w:t>
            </w:r>
          </w:p>
        </w:tc>
      </w:tr>
      <w:tr w:rsidR="00FA2FF9" w:rsidRPr="00730DE4" w14:paraId="6BA8CE1B" w14:textId="77777777" w:rsidTr="00B9757A">
        <w:trPr>
          <w:cnfStyle w:val="000000100000" w:firstRow="0" w:lastRow="0" w:firstColumn="0" w:lastColumn="0" w:oddVBand="0" w:evenVBand="0" w:oddHBand="1" w:evenHBand="0" w:firstRowFirstColumn="0" w:firstRowLastColumn="0" w:lastRowFirstColumn="0" w:lastRowLastColumn="0"/>
          <w:trHeight w:val="255"/>
        </w:trPr>
        <w:tc>
          <w:tcPr>
            <w:tcW w:w="4074" w:type="pct"/>
            <w:noWrap/>
            <w:hideMark/>
          </w:tcPr>
          <w:p w14:paraId="42B86041" w14:textId="77777777" w:rsidR="00FA2FF9" w:rsidRPr="00730DE4" w:rsidRDefault="00FA2FF9" w:rsidP="002231D6">
            <w:pPr>
              <w:pStyle w:val="NoSpacing"/>
            </w:pPr>
            <w:r w:rsidRPr="00730DE4">
              <w:t>S &amp; S Webster Investments Pty Ltd ACN 004 804 497 t/a Kangaroo Bus Lines</w:t>
            </w:r>
          </w:p>
        </w:tc>
        <w:tc>
          <w:tcPr>
            <w:tcW w:w="926" w:type="pct"/>
            <w:noWrap/>
            <w:hideMark/>
          </w:tcPr>
          <w:p w14:paraId="36516552" w14:textId="77777777" w:rsidR="00FA2FF9" w:rsidRPr="00730DE4" w:rsidRDefault="00FA2FF9" w:rsidP="000A65A9">
            <w:pPr>
              <w:pStyle w:val="NoSpacing"/>
              <w:jc w:val="right"/>
            </w:pPr>
            <w:r w:rsidRPr="00730DE4">
              <w:t xml:space="preserve">3,270,283 </w:t>
            </w:r>
          </w:p>
        </w:tc>
      </w:tr>
      <w:tr w:rsidR="00FA2FF9" w:rsidRPr="00730DE4" w14:paraId="045DC8FB" w14:textId="77777777" w:rsidTr="00B9757A">
        <w:trPr>
          <w:trHeight w:val="255"/>
        </w:trPr>
        <w:tc>
          <w:tcPr>
            <w:tcW w:w="4074" w:type="pct"/>
            <w:noWrap/>
            <w:hideMark/>
          </w:tcPr>
          <w:p w14:paraId="45F7E169" w14:textId="77777777" w:rsidR="00FA2FF9" w:rsidRPr="00730DE4" w:rsidRDefault="00FA2FF9" w:rsidP="002231D6">
            <w:pPr>
              <w:pStyle w:val="NoSpacing"/>
            </w:pPr>
            <w:r w:rsidRPr="00730DE4">
              <w:t>GK &amp; JM Thompson Pty Ltd ACN 064 465 176 t/a Thompson Bus Services</w:t>
            </w:r>
          </w:p>
        </w:tc>
        <w:tc>
          <w:tcPr>
            <w:tcW w:w="926" w:type="pct"/>
            <w:noWrap/>
            <w:hideMark/>
          </w:tcPr>
          <w:p w14:paraId="518F5FDF" w14:textId="77777777" w:rsidR="00FA2FF9" w:rsidRPr="00730DE4" w:rsidRDefault="00FA2FF9" w:rsidP="000A65A9">
            <w:pPr>
              <w:pStyle w:val="NoSpacing"/>
              <w:jc w:val="right"/>
            </w:pPr>
            <w:r w:rsidRPr="00730DE4">
              <w:t xml:space="preserve">25,581,373 </w:t>
            </w:r>
          </w:p>
        </w:tc>
      </w:tr>
      <w:tr w:rsidR="00FA2FF9" w:rsidRPr="00730DE4" w14:paraId="524B25E6" w14:textId="77777777" w:rsidTr="00B9757A">
        <w:trPr>
          <w:cnfStyle w:val="000000100000" w:firstRow="0" w:lastRow="0" w:firstColumn="0" w:lastColumn="0" w:oddVBand="0" w:evenVBand="0" w:oddHBand="1" w:evenHBand="0" w:firstRowFirstColumn="0" w:firstRowLastColumn="0" w:lastRowFirstColumn="0" w:lastRowLastColumn="0"/>
          <w:trHeight w:val="255"/>
        </w:trPr>
        <w:tc>
          <w:tcPr>
            <w:tcW w:w="4074" w:type="pct"/>
            <w:noWrap/>
            <w:hideMark/>
          </w:tcPr>
          <w:p w14:paraId="1CF3E5EE" w14:textId="77777777" w:rsidR="00FA2FF9" w:rsidRPr="00730DE4" w:rsidRDefault="00FA2FF9" w:rsidP="002231D6">
            <w:pPr>
              <w:pStyle w:val="NoSpacing"/>
            </w:pPr>
            <w:r w:rsidRPr="00730DE4">
              <w:t>Yellow Cabs Australia Pty Ltd ACN 620 658 871</w:t>
            </w:r>
          </w:p>
        </w:tc>
        <w:tc>
          <w:tcPr>
            <w:tcW w:w="926" w:type="pct"/>
            <w:noWrap/>
            <w:hideMark/>
          </w:tcPr>
          <w:p w14:paraId="53C89D66" w14:textId="77777777" w:rsidR="00FA2FF9" w:rsidRPr="00730DE4" w:rsidRDefault="00FA2FF9" w:rsidP="000A65A9">
            <w:pPr>
              <w:pStyle w:val="NoSpacing"/>
              <w:jc w:val="right"/>
            </w:pPr>
            <w:r w:rsidRPr="00730DE4">
              <w:t xml:space="preserve">17,087 </w:t>
            </w:r>
          </w:p>
        </w:tc>
      </w:tr>
      <w:tr w:rsidR="00FA2FF9" w:rsidRPr="00730DE4" w14:paraId="0DD5EEDB" w14:textId="77777777" w:rsidTr="00B9757A">
        <w:trPr>
          <w:trHeight w:val="255"/>
        </w:trPr>
        <w:tc>
          <w:tcPr>
            <w:tcW w:w="4074" w:type="pct"/>
            <w:noWrap/>
            <w:hideMark/>
          </w:tcPr>
          <w:p w14:paraId="27F9CC36" w14:textId="77777777" w:rsidR="00FA2FF9" w:rsidRPr="00730DE4" w:rsidRDefault="00FA2FF9" w:rsidP="002231D6">
            <w:pPr>
              <w:pStyle w:val="NoSpacing"/>
            </w:pPr>
            <w:r w:rsidRPr="00730DE4">
              <w:t>Black &amp; White Cabs Pty Ltd ACN 054 497 353</w:t>
            </w:r>
          </w:p>
        </w:tc>
        <w:tc>
          <w:tcPr>
            <w:tcW w:w="926" w:type="pct"/>
            <w:noWrap/>
            <w:hideMark/>
          </w:tcPr>
          <w:p w14:paraId="351BFD6C" w14:textId="77777777" w:rsidR="00FA2FF9" w:rsidRPr="00730DE4" w:rsidRDefault="00FA2FF9" w:rsidP="000A65A9">
            <w:pPr>
              <w:pStyle w:val="NoSpacing"/>
              <w:jc w:val="right"/>
            </w:pPr>
            <w:r w:rsidRPr="00730DE4">
              <w:t xml:space="preserve">3740 </w:t>
            </w:r>
          </w:p>
        </w:tc>
      </w:tr>
      <w:tr w:rsidR="00FA2FF9" w:rsidRPr="00730DE4" w14:paraId="1C515541" w14:textId="77777777" w:rsidTr="00B9757A">
        <w:trPr>
          <w:cnfStyle w:val="000000100000" w:firstRow="0" w:lastRow="0" w:firstColumn="0" w:lastColumn="0" w:oddVBand="0" w:evenVBand="0" w:oddHBand="1" w:evenHBand="0" w:firstRowFirstColumn="0" w:firstRowLastColumn="0" w:lastRowFirstColumn="0" w:lastRowLastColumn="0"/>
          <w:trHeight w:val="255"/>
        </w:trPr>
        <w:tc>
          <w:tcPr>
            <w:tcW w:w="4074" w:type="pct"/>
            <w:noWrap/>
            <w:hideMark/>
          </w:tcPr>
          <w:p w14:paraId="6338FA22" w14:textId="77777777" w:rsidR="00FA2FF9" w:rsidRPr="00730DE4" w:rsidRDefault="00FA2FF9" w:rsidP="002231D6">
            <w:pPr>
              <w:pStyle w:val="NoSpacing"/>
            </w:pPr>
            <w:r w:rsidRPr="00730DE4">
              <w:t>Suncoast Cabs Ltd ACN 010 183 892</w:t>
            </w:r>
          </w:p>
        </w:tc>
        <w:tc>
          <w:tcPr>
            <w:tcW w:w="926" w:type="pct"/>
            <w:noWrap/>
            <w:hideMark/>
          </w:tcPr>
          <w:p w14:paraId="1BE0DB7F" w14:textId="77777777" w:rsidR="00FA2FF9" w:rsidRPr="00730DE4" w:rsidRDefault="00FA2FF9" w:rsidP="000A65A9">
            <w:pPr>
              <w:pStyle w:val="NoSpacing"/>
              <w:jc w:val="right"/>
            </w:pPr>
            <w:r w:rsidRPr="00730DE4">
              <w:t xml:space="preserve">2022 </w:t>
            </w:r>
          </w:p>
        </w:tc>
      </w:tr>
      <w:tr w:rsidR="00FA2FF9" w:rsidRPr="00730DE4" w14:paraId="15C9D58A" w14:textId="77777777" w:rsidTr="00B9757A">
        <w:trPr>
          <w:trHeight w:val="255"/>
        </w:trPr>
        <w:tc>
          <w:tcPr>
            <w:tcW w:w="4074" w:type="pct"/>
            <w:noWrap/>
            <w:hideMark/>
          </w:tcPr>
          <w:p w14:paraId="77406857" w14:textId="77777777" w:rsidR="00FA2FF9" w:rsidRPr="00730DE4" w:rsidRDefault="00FA2FF9" w:rsidP="002231D6">
            <w:pPr>
              <w:pStyle w:val="NoSpacing"/>
            </w:pPr>
            <w:r w:rsidRPr="00730DE4">
              <w:t>Mt Gravatt Coach &amp; Travel Pty Ltd ACN 052 452 025</w:t>
            </w:r>
          </w:p>
        </w:tc>
        <w:tc>
          <w:tcPr>
            <w:tcW w:w="926" w:type="pct"/>
            <w:noWrap/>
            <w:hideMark/>
          </w:tcPr>
          <w:p w14:paraId="7CEFC79D" w14:textId="77777777" w:rsidR="00FA2FF9" w:rsidRPr="00730DE4" w:rsidRDefault="00FA2FF9" w:rsidP="000A65A9">
            <w:pPr>
              <w:pStyle w:val="NoSpacing"/>
              <w:jc w:val="right"/>
            </w:pPr>
            <w:r w:rsidRPr="00730DE4">
              <w:t xml:space="preserve">682,775 </w:t>
            </w:r>
          </w:p>
        </w:tc>
      </w:tr>
      <w:tr w:rsidR="00FA2FF9" w:rsidRPr="00730DE4" w14:paraId="130931C2" w14:textId="77777777" w:rsidTr="00B9757A">
        <w:trPr>
          <w:cnfStyle w:val="000000100000" w:firstRow="0" w:lastRow="0" w:firstColumn="0" w:lastColumn="0" w:oddVBand="0" w:evenVBand="0" w:oddHBand="1" w:evenHBand="0" w:firstRowFirstColumn="0" w:firstRowLastColumn="0" w:lastRowFirstColumn="0" w:lastRowLastColumn="0"/>
          <w:trHeight w:val="255"/>
        </w:trPr>
        <w:tc>
          <w:tcPr>
            <w:tcW w:w="4074" w:type="pct"/>
            <w:noWrap/>
            <w:hideMark/>
          </w:tcPr>
          <w:p w14:paraId="7B11BA37" w14:textId="77777777" w:rsidR="00FA2FF9" w:rsidRPr="00730DE4" w:rsidRDefault="00FA2FF9" w:rsidP="002231D6">
            <w:pPr>
              <w:pStyle w:val="NoSpacing"/>
            </w:pPr>
            <w:r w:rsidRPr="00730DE4">
              <w:t>Transdev Queensland Pty Ltd ACN 087 046 044</w:t>
            </w:r>
          </w:p>
        </w:tc>
        <w:tc>
          <w:tcPr>
            <w:tcW w:w="926" w:type="pct"/>
            <w:noWrap/>
            <w:hideMark/>
          </w:tcPr>
          <w:p w14:paraId="7221BAD3" w14:textId="77777777" w:rsidR="00FA2FF9" w:rsidRPr="00730DE4" w:rsidRDefault="00FA2FF9" w:rsidP="000A65A9">
            <w:pPr>
              <w:pStyle w:val="NoSpacing"/>
              <w:jc w:val="right"/>
            </w:pPr>
            <w:r w:rsidRPr="00730DE4">
              <w:t xml:space="preserve">1,163,025 </w:t>
            </w:r>
          </w:p>
        </w:tc>
      </w:tr>
      <w:tr w:rsidR="00FA2FF9" w:rsidRPr="00730DE4" w14:paraId="01E17435" w14:textId="77777777" w:rsidTr="00B9757A">
        <w:trPr>
          <w:trHeight w:val="255"/>
        </w:trPr>
        <w:tc>
          <w:tcPr>
            <w:tcW w:w="4074" w:type="pct"/>
            <w:noWrap/>
            <w:hideMark/>
          </w:tcPr>
          <w:p w14:paraId="62C691C0" w14:textId="77777777" w:rsidR="00FA2FF9" w:rsidRPr="00730DE4" w:rsidRDefault="00FA2FF9" w:rsidP="002231D6">
            <w:pPr>
              <w:pStyle w:val="NoSpacing"/>
            </w:pPr>
            <w:r w:rsidRPr="00730DE4">
              <w:t>Hornibrook Bus Lines Pty Ltd ACN 010 013 224</w:t>
            </w:r>
          </w:p>
        </w:tc>
        <w:tc>
          <w:tcPr>
            <w:tcW w:w="926" w:type="pct"/>
            <w:noWrap/>
            <w:hideMark/>
          </w:tcPr>
          <w:p w14:paraId="76D26E61" w14:textId="77777777" w:rsidR="00FA2FF9" w:rsidRPr="00730DE4" w:rsidRDefault="00FA2FF9" w:rsidP="000A65A9">
            <w:pPr>
              <w:pStyle w:val="NoSpacing"/>
              <w:jc w:val="right"/>
            </w:pPr>
            <w:r w:rsidRPr="00730DE4">
              <w:t xml:space="preserve">1,513,336 </w:t>
            </w:r>
          </w:p>
        </w:tc>
      </w:tr>
      <w:tr w:rsidR="00FA2FF9" w:rsidRPr="00730DE4" w14:paraId="60D78349" w14:textId="77777777" w:rsidTr="00B9757A">
        <w:trPr>
          <w:cnfStyle w:val="000000100000" w:firstRow="0" w:lastRow="0" w:firstColumn="0" w:lastColumn="0" w:oddVBand="0" w:evenVBand="0" w:oddHBand="1" w:evenHBand="0" w:firstRowFirstColumn="0" w:firstRowLastColumn="0" w:lastRowFirstColumn="0" w:lastRowLastColumn="0"/>
          <w:trHeight w:val="255"/>
        </w:trPr>
        <w:tc>
          <w:tcPr>
            <w:tcW w:w="4074" w:type="pct"/>
            <w:noWrap/>
            <w:hideMark/>
          </w:tcPr>
          <w:p w14:paraId="4133B732" w14:textId="77777777" w:rsidR="00FA2FF9" w:rsidRPr="00730DE4" w:rsidRDefault="00FA2FF9" w:rsidP="002231D6">
            <w:pPr>
              <w:pStyle w:val="NoSpacing"/>
            </w:pPr>
            <w:r w:rsidRPr="00730DE4">
              <w:t>Surfside Buslines Pty Ltd ACN 010 957 552</w:t>
            </w:r>
          </w:p>
        </w:tc>
        <w:tc>
          <w:tcPr>
            <w:tcW w:w="926" w:type="pct"/>
            <w:noWrap/>
            <w:hideMark/>
          </w:tcPr>
          <w:p w14:paraId="7807DDDE" w14:textId="77777777" w:rsidR="00FA2FF9" w:rsidRPr="00730DE4" w:rsidRDefault="00FA2FF9" w:rsidP="000A65A9">
            <w:pPr>
              <w:pStyle w:val="NoSpacing"/>
              <w:jc w:val="right"/>
            </w:pPr>
            <w:r w:rsidRPr="00730DE4">
              <w:t xml:space="preserve">4,006,628 </w:t>
            </w:r>
          </w:p>
        </w:tc>
      </w:tr>
      <w:tr w:rsidR="00FA2FF9" w:rsidRPr="00730DE4" w14:paraId="4F67F80C" w14:textId="77777777" w:rsidTr="00B9757A">
        <w:trPr>
          <w:trHeight w:val="255"/>
        </w:trPr>
        <w:tc>
          <w:tcPr>
            <w:tcW w:w="4074" w:type="pct"/>
            <w:noWrap/>
            <w:hideMark/>
          </w:tcPr>
          <w:p w14:paraId="46D46840" w14:textId="77777777" w:rsidR="00FA2FF9" w:rsidRPr="00730DE4" w:rsidRDefault="00FA2FF9" w:rsidP="002231D6">
            <w:pPr>
              <w:pStyle w:val="NoSpacing"/>
            </w:pPr>
            <w:r w:rsidRPr="00730DE4">
              <w:t>Brisbane City Council (Transport for Brisbane) ABN 72 002 765 795</w:t>
            </w:r>
          </w:p>
        </w:tc>
        <w:tc>
          <w:tcPr>
            <w:tcW w:w="926" w:type="pct"/>
            <w:noWrap/>
            <w:hideMark/>
          </w:tcPr>
          <w:p w14:paraId="5DB04C32" w14:textId="77777777" w:rsidR="00FA2FF9" w:rsidRPr="00730DE4" w:rsidRDefault="00FA2FF9" w:rsidP="000A65A9">
            <w:pPr>
              <w:pStyle w:val="NoSpacing"/>
              <w:jc w:val="right"/>
            </w:pPr>
            <w:r w:rsidRPr="00730DE4">
              <w:t xml:space="preserve">3,358,328 </w:t>
            </w:r>
          </w:p>
        </w:tc>
      </w:tr>
      <w:tr w:rsidR="00FA2FF9" w:rsidRPr="00730DE4" w14:paraId="74C1B291" w14:textId="77777777" w:rsidTr="00B9757A">
        <w:trPr>
          <w:cnfStyle w:val="000000100000" w:firstRow="0" w:lastRow="0" w:firstColumn="0" w:lastColumn="0" w:oddVBand="0" w:evenVBand="0" w:oddHBand="1" w:evenHBand="0" w:firstRowFirstColumn="0" w:firstRowLastColumn="0" w:lastRowFirstColumn="0" w:lastRowLastColumn="0"/>
          <w:trHeight w:val="255"/>
        </w:trPr>
        <w:tc>
          <w:tcPr>
            <w:tcW w:w="4074" w:type="pct"/>
            <w:noWrap/>
            <w:hideMark/>
          </w:tcPr>
          <w:p w14:paraId="62A3D50D" w14:textId="77777777" w:rsidR="00FA2FF9" w:rsidRPr="00730DE4" w:rsidRDefault="00FA2FF9" w:rsidP="002231D6">
            <w:pPr>
              <w:pStyle w:val="NoSpacing"/>
            </w:pPr>
            <w:r w:rsidRPr="00730DE4">
              <w:t>NSW Trains ABN 50 325 560 455 (NSW/QLD Interstate Rail Service Between Sydney &amp; Brisbane)</w:t>
            </w:r>
          </w:p>
        </w:tc>
        <w:tc>
          <w:tcPr>
            <w:tcW w:w="926" w:type="pct"/>
            <w:noWrap/>
            <w:hideMark/>
          </w:tcPr>
          <w:p w14:paraId="423134C1" w14:textId="77777777" w:rsidR="00FA2FF9" w:rsidRPr="00730DE4" w:rsidRDefault="00FA2FF9" w:rsidP="000A65A9">
            <w:pPr>
              <w:pStyle w:val="NoSpacing"/>
              <w:jc w:val="right"/>
            </w:pPr>
            <w:r w:rsidRPr="00730DE4">
              <w:t xml:space="preserve">416,876 </w:t>
            </w:r>
          </w:p>
        </w:tc>
      </w:tr>
      <w:tr w:rsidR="00FA2FF9" w:rsidRPr="00730DE4" w14:paraId="6A23148D" w14:textId="77777777" w:rsidTr="00B9757A">
        <w:trPr>
          <w:cnfStyle w:val="010000000000" w:firstRow="0" w:lastRow="1" w:firstColumn="0" w:lastColumn="0" w:oddVBand="0" w:evenVBand="0" w:oddHBand="0" w:evenHBand="0" w:firstRowFirstColumn="0" w:firstRowLastColumn="0" w:lastRowFirstColumn="0" w:lastRowLastColumn="0"/>
          <w:trHeight w:val="255"/>
        </w:trPr>
        <w:tc>
          <w:tcPr>
            <w:tcW w:w="4074" w:type="pct"/>
            <w:noWrap/>
            <w:hideMark/>
          </w:tcPr>
          <w:p w14:paraId="45EC5871" w14:textId="58AB60AB" w:rsidR="00FA2FF9" w:rsidRPr="00730DE4" w:rsidRDefault="00FA2FF9" w:rsidP="002231D6">
            <w:pPr>
              <w:pStyle w:val="NoSpacing"/>
            </w:pPr>
            <w:r w:rsidRPr="00730DE4">
              <w:t> </w:t>
            </w:r>
            <w:r w:rsidR="00B9757A" w:rsidRPr="00730DE4">
              <w:t>Total</w:t>
            </w:r>
          </w:p>
        </w:tc>
        <w:tc>
          <w:tcPr>
            <w:tcW w:w="926" w:type="pct"/>
            <w:noWrap/>
            <w:hideMark/>
          </w:tcPr>
          <w:p w14:paraId="1709B2F5" w14:textId="77777777" w:rsidR="00FA2FF9" w:rsidRPr="00730DE4" w:rsidRDefault="00FA2FF9" w:rsidP="000A65A9">
            <w:pPr>
              <w:pStyle w:val="NoSpacing"/>
              <w:jc w:val="right"/>
            </w:pPr>
            <w:r w:rsidRPr="00730DE4">
              <w:t>$40,015,473</w:t>
            </w:r>
          </w:p>
        </w:tc>
      </w:tr>
    </w:tbl>
    <w:p w14:paraId="2E89DA57" w14:textId="77777777" w:rsidR="00FA2FF9" w:rsidRPr="00730DE4" w:rsidRDefault="00FA2FF9" w:rsidP="002B7001">
      <w:pPr>
        <w:pStyle w:val="Heading4"/>
        <w:rPr>
          <w:lang w:val="en-US"/>
        </w:rPr>
      </w:pPr>
      <w:bookmarkStart w:id="1775" w:name="_Toc180487815"/>
      <w:bookmarkStart w:id="1776" w:name="_Toc180491020"/>
      <w:bookmarkStart w:id="1777" w:name="_Toc180492053"/>
      <w:r w:rsidRPr="00730DE4">
        <w:rPr>
          <w:lang w:val="en-US"/>
        </w:rPr>
        <w:t>Light rail</w:t>
      </w:r>
      <w:bookmarkEnd w:id="1775"/>
      <w:bookmarkEnd w:id="1776"/>
      <w:bookmarkEnd w:id="1777"/>
    </w:p>
    <w:p w14:paraId="798A0A34" w14:textId="77777777" w:rsidR="00FA2FF9" w:rsidRPr="00730DE4" w:rsidRDefault="00FA2FF9" w:rsidP="00B14447">
      <w:pPr>
        <w:pStyle w:val="FigureCaption"/>
        <w:rPr>
          <w:lang w:val="en-US"/>
        </w:rPr>
      </w:pPr>
      <w:r w:rsidRPr="00730DE4">
        <w:rPr>
          <w:lang w:val="en-US"/>
        </w:rPr>
        <w:t>Table 59: Passenger transport operator payments: South East Queensland—Light rail</w:t>
      </w:r>
    </w:p>
    <w:tbl>
      <w:tblPr>
        <w:tblStyle w:val="TMRDefault"/>
        <w:tblW w:w="5000" w:type="pct"/>
        <w:tblLook w:val="04A0" w:firstRow="1" w:lastRow="0" w:firstColumn="1" w:lastColumn="0" w:noHBand="0" w:noVBand="1"/>
      </w:tblPr>
      <w:tblGrid>
        <w:gridCol w:w="11401"/>
        <w:gridCol w:w="2591"/>
      </w:tblGrid>
      <w:tr w:rsidR="00FA2FF9" w:rsidRPr="00730DE4" w14:paraId="2CDFB86A" w14:textId="77777777" w:rsidTr="000101CD">
        <w:trPr>
          <w:cnfStyle w:val="100000000000" w:firstRow="1" w:lastRow="0" w:firstColumn="0" w:lastColumn="0" w:oddVBand="0" w:evenVBand="0" w:oddHBand="0" w:evenHBand="0" w:firstRowFirstColumn="0" w:firstRowLastColumn="0" w:lastRowFirstColumn="0" w:lastRowLastColumn="0"/>
          <w:trHeight w:val="255"/>
          <w:tblHeader/>
        </w:trPr>
        <w:tc>
          <w:tcPr>
            <w:tcW w:w="4074" w:type="pct"/>
            <w:noWrap/>
            <w:hideMark/>
          </w:tcPr>
          <w:p w14:paraId="3FB65B7C" w14:textId="77777777" w:rsidR="00FA2FF9" w:rsidRPr="00730DE4" w:rsidRDefault="00FA2FF9" w:rsidP="002231D6">
            <w:pPr>
              <w:pStyle w:val="NoSpacing"/>
              <w:rPr>
                <w:b w:val="0"/>
                <w:color w:val="FFFFFF" w:themeColor="background1"/>
              </w:rPr>
            </w:pPr>
            <w:r w:rsidRPr="00730DE4">
              <w:rPr>
                <w:color w:val="FFFFFF" w:themeColor="background1"/>
              </w:rPr>
              <w:t>Operator</w:t>
            </w:r>
          </w:p>
        </w:tc>
        <w:tc>
          <w:tcPr>
            <w:tcW w:w="926" w:type="pct"/>
            <w:noWrap/>
            <w:hideMark/>
          </w:tcPr>
          <w:p w14:paraId="51E081C8" w14:textId="77777777" w:rsidR="00FA2FF9" w:rsidRPr="00730DE4" w:rsidRDefault="00FA2FF9" w:rsidP="000A65A9">
            <w:pPr>
              <w:pStyle w:val="NoSpacing"/>
              <w:jc w:val="right"/>
              <w:rPr>
                <w:b w:val="0"/>
                <w:color w:val="FFFFFF" w:themeColor="background1"/>
              </w:rPr>
            </w:pPr>
            <w:r w:rsidRPr="00730DE4">
              <w:rPr>
                <w:i/>
                <w:iCs/>
                <w:color w:val="FFFFFF" w:themeColor="background1"/>
              </w:rPr>
              <w:t> </w:t>
            </w:r>
            <w:r w:rsidRPr="00730DE4">
              <w:rPr>
                <w:color w:val="FFFFFF" w:themeColor="background1"/>
              </w:rPr>
              <w:t>2023–24 $ Amount</w:t>
            </w:r>
          </w:p>
        </w:tc>
      </w:tr>
      <w:tr w:rsidR="00FA2FF9" w:rsidRPr="00730DE4" w14:paraId="19CD2936" w14:textId="77777777" w:rsidTr="000101CD">
        <w:trPr>
          <w:cnfStyle w:val="000000100000" w:firstRow="0" w:lastRow="0" w:firstColumn="0" w:lastColumn="0" w:oddVBand="0" w:evenVBand="0" w:oddHBand="1" w:evenHBand="0" w:firstRowFirstColumn="0" w:firstRowLastColumn="0" w:lastRowFirstColumn="0" w:lastRowLastColumn="0"/>
          <w:trHeight w:val="255"/>
        </w:trPr>
        <w:tc>
          <w:tcPr>
            <w:tcW w:w="4074" w:type="pct"/>
            <w:noWrap/>
            <w:hideMark/>
          </w:tcPr>
          <w:p w14:paraId="1DB27D6C" w14:textId="77777777" w:rsidR="00FA2FF9" w:rsidRPr="00730DE4" w:rsidRDefault="00FA2FF9" w:rsidP="002231D6">
            <w:pPr>
              <w:pStyle w:val="NoSpacing"/>
            </w:pPr>
            <w:r w:rsidRPr="00730DE4">
              <w:t>Goldlinq Pty Ltd ACN 147 815 441</w:t>
            </w:r>
          </w:p>
        </w:tc>
        <w:tc>
          <w:tcPr>
            <w:tcW w:w="926" w:type="pct"/>
            <w:noWrap/>
            <w:hideMark/>
          </w:tcPr>
          <w:p w14:paraId="63825393" w14:textId="77777777" w:rsidR="00FA2FF9" w:rsidRPr="00730DE4" w:rsidRDefault="00FA2FF9" w:rsidP="000A65A9">
            <w:pPr>
              <w:pStyle w:val="NoSpacing"/>
              <w:jc w:val="right"/>
            </w:pPr>
            <w:r w:rsidRPr="00730DE4">
              <w:t xml:space="preserve">67,520,929 </w:t>
            </w:r>
          </w:p>
        </w:tc>
      </w:tr>
    </w:tbl>
    <w:p w14:paraId="5C2DCB72" w14:textId="77777777" w:rsidR="00FA2FF9" w:rsidRPr="00730DE4" w:rsidRDefault="00FA2FF9" w:rsidP="002B7001">
      <w:pPr>
        <w:pStyle w:val="Heading4"/>
        <w:rPr>
          <w:lang w:val="en-US"/>
        </w:rPr>
      </w:pPr>
      <w:bookmarkStart w:id="1778" w:name="_Toc180487816"/>
      <w:bookmarkStart w:id="1779" w:name="_Toc180491021"/>
      <w:bookmarkStart w:id="1780" w:name="_Toc180492054"/>
      <w:r w:rsidRPr="00730DE4">
        <w:rPr>
          <w:lang w:val="en-US"/>
        </w:rPr>
        <w:t>On demand transport</w:t>
      </w:r>
      <w:bookmarkEnd w:id="1778"/>
      <w:bookmarkEnd w:id="1779"/>
      <w:bookmarkEnd w:id="1780"/>
      <w:r w:rsidRPr="00730DE4">
        <w:rPr>
          <w:lang w:val="en-US"/>
        </w:rPr>
        <w:t xml:space="preserve"> </w:t>
      </w:r>
    </w:p>
    <w:p w14:paraId="63E2AE1A" w14:textId="77777777" w:rsidR="00FA2FF9" w:rsidRPr="00730DE4" w:rsidRDefault="00FA2FF9" w:rsidP="00B14447">
      <w:pPr>
        <w:pStyle w:val="FigureCaption"/>
        <w:rPr>
          <w:lang w:val="en-US"/>
        </w:rPr>
      </w:pPr>
      <w:r w:rsidRPr="00730DE4">
        <w:rPr>
          <w:lang w:val="en-US"/>
        </w:rPr>
        <w:t>Table 60: Passenger transport operator payments: South East Queensland—On demand transport</w:t>
      </w:r>
    </w:p>
    <w:tbl>
      <w:tblPr>
        <w:tblStyle w:val="TMRDefault"/>
        <w:tblW w:w="5000" w:type="pct"/>
        <w:tblLook w:val="04E0" w:firstRow="1" w:lastRow="1" w:firstColumn="1" w:lastColumn="0" w:noHBand="0" w:noVBand="1"/>
      </w:tblPr>
      <w:tblGrid>
        <w:gridCol w:w="11401"/>
        <w:gridCol w:w="2591"/>
      </w:tblGrid>
      <w:tr w:rsidR="00FA2FF9" w:rsidRPr="00730DE4" w14:paraId="06B7CA78" w14:textId="77777777" w:rsidTr="00B9757A">
        <w:trPr>
          <w:cnfStyle w:val="100000000000" w:firstRow="1" w:lastRow="0" w:firstColumn="0" w:lastColumn="0" w:oddVBand="0" w:evenVBand="0" w:oddHBand="0" w:evenHBand="0" w:firstRowFirstColumn="0" w:firstRowLastColumn="0" w:lastRowFirstColumn="0" w:lastRowLastColumn="0"/>
          <w:trHeight w:val="255"/>
          <w:tblHeader/>
        </w:trPr>
        <w:tc>
          <w:tcPr>
            <w:tcW w:w="4074" w:type="pct"/>
            <w:noWrap/>
            <w:hideMark/>
          </w:tcPr>
          <w:p w14:paraId="0A3E058C" w14:textId="77777777" w:rsidR="00FA2FF9" w:rsidRPr="00730DE4" w:rsidRDefault="00FA2FF9" w:rsidP="002231D6">
            <w:pPr>
              <w:pStyle w:val="NoSpacing"/>
              <w:rPr>
                <w:b w:val="0"/>
                <w:color w:val="FFFFFF" w:themeColor="background1"/>
              </w:rPr>
            </w:pPr>
            <w:r w:rsidRPr="00730DE4">
              <w:rPr>
                <w:color w:val="FFFFFF" w:themeColor="background1"/>
              </w:rPr>
              <w:t>Operator</w:t>
            </w:r>
          </w:p>
        </w:tc>
        <w:tc>
          <w:tcPr>
            <w:tcW w:w="926" w:type="pct"/>
            <w:noWrap/>
            <w:hideMark/>
          </w:tcPr>
          <w:p w14:paraId="08678722" w14:textId="77777777" w:rsidR="00FA2FF9" w:rsidRPr="00730DE4" w:rsidRDefault="00FA2FF9" w:rsidP="000A65A9">
            <w:pPr>
              <w:pStyle w:val="NoSpacing"/>
              <w:jc w:val="right"/>
              <w:rPr>
                <w:b w:val="0"/>
                <w:color w:val="FFFFFF" w:themeColor="background1"/>
              </w:rPr>
            </w:pPr>
            <w:r w:rsidRPr="00730DE4">
              <w:rPr>
                <w:color w:val="FFFFFF" w:themeColor="background1"/>
              </w:rPr>
              <w:t>2023–24 $ Amount</w:t>
            </w:r>
          </w:p>
        </w:tc>
      </w:tr>
      <w:tr w:rsidR="00FA2FF9" w:rsidRPr="00730DE4" w14:paraId="78265C48" w14:textId="77777777" w:rsidTr="00B9757A">
        <w:trPr>
          <w:cnfStyle w:val="000000100000" w:firstRow="0" w:lastRow="0" w:firstColumn="0" w:lastColumn="0" w:oddVBand="0" w:evenVBand="0" w:oddHBand="1" w:evenHBand="0" w:firstRowFirstColumn="0" w:firstRowLastColumn="0" w:lastRowFirstColumn="0" w:lastRowLastColumn="0"/>
          <w:trHeight w:val="255"/>
        </w:trPr>
        <w:tc>
          <w:tcPr>
            <w:tcW w:w="4074" w:type="pct"/>
            <w:noWrap/>
            <w:hideMark/>
          </w:tcPr>
          <w:p w14:paraId="53DF0A06" w14:textId="77777777" w:rsidR="00FA2FF9" w:rsidRPr="00730DE4" w:rsidRDefault="00FA2FF9" w:rsidP="002231D6">
            <w:pPr>
              <w:pStyle w:val="NoSpacing"/>
            </w:pPr>
            <w:r w:rsidRPr="00730DE4">
              <w:t>Surfside Buslines Pty Ltd ACN 010 957 552</w:t>
            </w:r>
          </w:p>
        </w:tc>
        <w:tc>
          <w:tcPr>
            <w:tcW w:w="926" w:type="pct"/>
            <w:noWrap/>
            <w:hideMark/>
          </w:tcPr>
          <w:p w14:paraId="2E907D5E" w14:textId="77777777" w:rsidR="00FA2FF9" w:rsidRPr="00730DE4" w:rsidRDefault="00FA2FF9" w:rsidP="000A65A9">
            <w:pPr>
              <w:pStyle w:val="NoSpacing"/>
              <w:jc w:val="right"/>
            </w:pPr>
            <w:r w:rsidRPr="00730DE4">
              <w:t xml:space="preserve">2,070,444 </w:t>
            </w:r>
          </w:p>
        </w:tc>
      </w:tr>
      <w:tr w:rsidR="00FA2FF9" w:rsidRPr="00730DE4" w14:paraId="6A1D2947" w14:textId="77777777" w:rsidTr="00B9757A">
        <w:trPr>
          <w:trHeight w:val="255"/>
        </w:trPr>
        <w:tc>
          <w:tcPr>
            <w:tcW w:w="4074" w:type="pct"/>
            <w:noWrap/>
            <w:hideMark/>
          </w:tcPr>
          <w:p w14:paraId="72AF2DE4" w14:textId="77777777" w:rsidR="00FA2FF9" w:rsidRPr="00730DE4" w:rsidRDefault="00FA2FF9" w:rsidP="002231D6">
            <w:pPr>
              <w:pStyle w:val="NoSpacing"/>
            </w:pPr>
            <w:r w:rsidRPr="00730DE4">
              <w:t>Yellow Cabs Australia Pty Ltd ACN 620 658 871</w:t>
            </w:r>
          </w:p>
        </w:tc>
        <w:tc>
          <w:tcPr>
            <w:tcW w:w="926" w:type="pct"/>
            <w:noWrap/>
            <w:hideMark/>
          </w:tcPr>
          <w:p w14:paraId="458067DB" w14:textId="77777777" w:rsidR="00FA2FF9" w:rsidRPr="00730DE4" w:rsidRDefault="00FA2FF9" w:rsidP="000A65A9">
            <w:pPr>
              <w:pStyle w:val="NoSpacing"/>
              <w:jc w:val="right"/>
            </w:pPr>
            <w:r w:rsidRPr="00730DE4">
              <w:t xml:space="preserve">1,526,425 </w:t>
            </w:r>
          </w:p>
        </w:tc>
      </w:tr>
      <w:tr w:rsidR="00FA2FF9" w:rsidRPr="00730DE4" w14:paraId="1F6F4EC4" w14:textId="77777777" w:rsidTr="00B9757A">
        <w:trPr>
          <w:cnfStyle w:val="010000000000" w:firstRow="0" w:lastRow="1" w:firstColumn="0" w:lastColumn="0" w:oddVBand="0" w:evenVBand="0" w:oddHBand="0" w:evenHBand="0" w:firstRowFirstColumn="0" w:firstRowLastColumn="0" w:lastRowFirstColumn="0" w:lastRowLastColumn="0"/>
          <w:trHeight w:val="300"/>
        </w:trPr>
        <w:tc>
          <w:tcPr>
            <w:tcW w:w="4074" w:type="pct"/>
            <w:noWrap/>
            <w:hideMark/>
          </w:tcPr>
          <w:p w14:paraId="7BC57822" w14:textId="7BC7D2CD" w:rsidR="00FA2FF9" w:rsidRPr="00730DE4" w:rsidRDefault="00FA2FF9" w:rsidP="002231D6">
            <w:pPr>
              <w:pStyle w:val="NoSpacing"/>
            </w:pPr>
            <w:r w:rsidRPr="00730DE4">
              <w:t> </w:t>
            </w:r>
            <w:r w:rsidR="00B9757A" w:rsidRPr="00730DE4">
              <w:t>Total</w:t>
            </w:r>
          </w:p>
        </w:tc>
        <w:tc>
          <w:tcPr>
            <w:tcW w:w="926" w:type="pct"/>
            <w:noWrap/>
            <w:hideMark/>
          </w:tcPr>
          <w:p w14:paraId="619EAD68" w14:textId="77777777" w:rsidR="00FA2FF9" w:rsidRPr="00730DE4" w:rsidRDefault="00FA2FF9" w:rsidP="000A65A9">
            <w:pPr>
              <w:pStyle w:val="NoSpacing"/>
              <w:jc w:val="right"/>
            </w:pPr>
            <w:r w:rsidRPr="00730DE4">
              <w:t>$3,596,869</w:t>
            </w:r>
          </w:p>
        </w:tc>
      </w:tr>
    </w:tbl>
    <w:p w14:paraId="1F29E455" w14:textId="77777777" w:rsidR="005009C7" w:rsidRDefault="005009C7" w:rsidP="002B7001">
      <w:pPr>
        <w:pStyle w:val="Heading4"/>
        <w:rPr>
          <w:lang w:val="en-US"/>
        </w:rPr>
      </w:pPr>
      <w:r>
        <w:rPr>
          <w:lang w:val="en-US"/>
        </w:rPr>
        <w:br w:type="page"/>
      </w:r>
    </w:p>
    <w:p w14:paraId="4900DFBF" w14:textId="0C5E77E3" w:rsidR="00FA2FF9" w:rsidRPr="00730DE4" w:rsidRDefault="00E10FC7" w:rsidP="002B7001">
      <w:pPr>
        <w:pStyle w:val="Heading4"/>
        <w:rPr>
          <w:lang w:val="en-US"/>
        </w:rPr>
      </w:pPr>
      <w:bookmarkStart w:id="1781" w:name="_Toc180487817"/>
      <w:bookmarkStart w:id="1782" w:name="_Toc180491022"/>
      <w:bookmarkStart w:id="1783" w:name="_Toc180492055"/>
      <w:r w:rsidRPr="00730DE4">
        <w:rPr>
          <w:lang w:val="en-US"/>
        </w:rPr>
        <w:t>Demand Responsive Transport</w:t>
      </w:r>
      <w:bookmarkEnd w:id="1781"/>
      <w:bookmarkEnd w:id="1782"/>
      <w:bookmarkEnd w:id="1783"/>
      <w:r w:rsidR="00FA2FF9" w:rsidRPr="00730DE4">
        <w:rPr>
          <w:lang w:val="en-US"/>
        </w:rPr>
        <w:t xml:space="preserve"> </w:t>
      </w:r>
    </w:p>
    <w:p w14:paraId="41948F55" w14:textId="6B08B9E7" w:rsidR="00FA2FF9" w:rsidRPr="00730DE4" w:rsidRDefault="00FA2FF9" w:rsidP="00B14447">
      <w:pPr>
        <w:pStyle w:val="FigureCaption"/>
        <w:rPr>
          <w:lang w:val="en-US"/>
        </w:rPr>
      </w:pPr>
      <w:r w:rsidRPr="00730DE4">
        <w:rPr>
          <w:lang w:val="en-US"/>
        </w:rPr>
        <w:t>Table 61: Passenger transport operator payments: South East Queensland—</w:t>
      </w:r>
      <w:r w:rsidR="00E10FC7" w:rsidRPr="00730DE4">
        <w:rPr>
          <w:lang w:val="en-US"/>
        </w:rPr>
        <w:t>Demand Responsive Transport</w:t>
      </w:r>
      <w:r w:rsidRPr="00730DE4">
        <w:rPr>
          <w:lang w:val="en-US"/>
        </w:rPr>
        <w:t xml:space="preserve"> </w:t>
      </w:r>
    </w:p>
    <w:tbl>
      <w:tblPr>
        <w:tblStyle w:val="TMRDefault"/>
        <w:tblW w:w="5000" w:type="pct"/>
        <w:tblLook w:val="04E0" w:firstRow="1" w:lastRow="1" w:firstColumn="1" w:lastColumn="0" w:noHBand="0" w:noVBand="1"/>
      </w:tblPr>
      <w:tblGrid>
        <w:gridCol w:w="11401"/>
        <w:gridCol w:w="2591"/>
      </w:tblGrid>
      <w:tr w:rsidR="00E10FC7" w:rsidRPr="00730DE4" w14:paraId="36B0D440" w14:textId="77777777" w:rsidTr="005E19D7">
        <w:trPr>
          <w:cnfStyle w:val="100000000000" w:firstRow="1" w:lastRow="0" w:firstColumn="0" w:lastColumn="0" w:oddVBand="0" w:evenVBand="0" w:oddHBand="0" w:evenHBand="0" w:firstRowFirstColumn="0" w:firstRowLastColumn="0" w:lastRowFirstColumn="0" w:lastRowLastColumn="0"/>
          <w:trHeight w:val="255"/>
          <w:tblHeader/>
        </w:trPr>
        <w:tc>
          <w:tcPr>
            <w:tcW w:w="4074" w:type="pct"/>
            <w:noWrap/>
            <w:hideMark/>
          </w:tcPr>
          <w:p w14:paraId="395506FA" w14:textId="77777777" w:rsidR="00E10FC7" w:rsidRPr="00730DE4" w:rsidRDefault="00E10FC7" w:rsidP="005E19D7">
            <w:pPr>
              <w:pStyle w:val="NoSpacing"/>
              <w:rPr>
                <w:b w:val="0"/>
                <w:color w:val="FFFFFF" w:themeColor="background1"/>
              </w:rPr>
            </w:pPr>
            <w:r w:rsidRPr="00730DE4">
              <w:rPr>
                <w:color w:val="FFFFFF" w:themeColor="background1"/>
              </w:rPr>
              <w:t>Operator</w:t>
            </w:r>
          </w:p>
        </w:tc>
        <w:tc>
          <w:tcPr>
            <w:tcW w:w="926" w:type="pct"/>
            <w:noWrap/>
            <w:hideMark/>
          </w:tcPr>
          <w:p w14:paraId="0DF97958" w14:textId="77777777" w:rsidR="00E10FC7" w:rsidRPr="00730DE4" w:rsidRDefault="00E10FC7" w:rsidP="005E19D7">
            <w:pPr>
              <w:pStyle w:val="NoSpacing"/>
              <w:jc w:val="right"/>
              <w:rPr>
                <w:b w:val="0"/>
                <w:color w:val="FFFFFF" w:themeColor="background1"/>
              </w:rPr>
            </w:pPr>
            <w:r w:rsidRPr="00730DE4">
              <w:rPr>
                <w:color w:val="FFFFFF" w:themeColor="background1"/>
              </w:rPr>
              <w:t>2023–24 $ Amount</w:t>
            </w:r>
          </w:p>
        </w:tc>
      </w:tr>
      <w:tr w:rsidR="00E10FC7" w:rsidRPr="00730DE4" w14:paraId="15FEFA7A" w14:textId="77777777" w:rsidTr="005E19D7">
        <w:trPr>
          <w:cnfStyle w:val="000000100000" w:firstRow="0" w:lastRow="0" w:firstColumn="0" w:lastColumn="0" w:oddVBand="0" w:evenVBand="0" w:oddHBand="1" w:evenHBand="0" w:firstRowFirstColumn="0" w:firstRowLastColumn="0" w:lastRowFirstColumn="0" w:lastRowLastColumn="0"/>
          <w:trHeight w:val="255"/>
        </w:trPr>
        <w:tc>
          <w:tcPr>
            <w:tcW w:w="4074" w:type="pct"/>
            <w:noWrap/>
            <w:hideMark/>
          </w:tcPr>
          <w:p w14:paraId="38CB6654" w14:textId="1BE214F6" w:rsidR="00E10FC7" w:rsidRPr="00730DE4" w:rsidRDefault="00E10FC7" w:rsidP="005E19D7">
            <w:pPr>
              <w:pStyle w:val="NoSpacing"/>
            </w:pPr>
            <w:r w:rsidRPr="00730DE4">
              <w:t>Yellow Cabs Australia Pty Ltd ACN 620 658 871</w:t>
            </w:r>
          </w:p>
        </w:tc>
        <w:tc>
          <w:tcPr>
            <w:tcW w:w="926" w:type="pct"/>
            <w:noWrap/>
            <w:hideMark/>
          </w:tcPr>
          <w:p w14:paraId="6E217E81" w14:textId="5177F210" w:rsidR="00E10FC7" w:rsidRPr="00730DE4" w:rsidRDefault="00E10FC7" w:rsidP="005E19D7">
            <w:pPr>
              <w:pStyle w:val="NoSpacing"/>
              <w:jc w:val="right"/>
            </w:pPr>
            <w:r w:rsidRPr="00730DE4">
              <w:t>10,091</w:t>
            </w:r>
          </w:p>
        </w:tc>
      </w:tr>
      <w:tr w:rsidR="00E10FC7" w:rsidRPr="00730DE4" w14:paraId="11A4C2E2" w14:textId="77777777" w:rsidTr="005E19D7">
        <w:trPr>
          <w:trHeight w:val="255"/>
        </w:trPr>
        <w:tc>
          <w:tcPr>
            <w:tcW w:w="4074" w:type="pct"/>
            <w:noWrap/>
            <w:hideMark/>
          </w:tcPr>
          <w:p w14:paraId="71DBC51A" w14:textId="5A0C78DD" w:rsidR="00E10FC7" w:rsidRPr="00730DE4" w:rsidRDefault="00E10FC7" w:rsidP="005E19D7">
            <w:pPr>
              <w:pStyle w:val="NoSpacing"/>
            </w:pPr>
            <w:r w:rsidRPr="00730DE4">
              <w:t>Transitcare Limited ACN 601 588 774</w:t>
            </w:r>
          </w:p>
        </w:tc>
        <w:tc>
          <w:tcPr>
            <w:tcW w:w="926" w:type="pct"/>
            <w:noWrap/>
            <w:hideMark/>
          </w:tcPr>
          <w:p w14:paraId="17256BC9" w14:textId="0186BA1D" w:rsidR="00E10FC7" w:rsidRPr="00730DE4" w:rsidRDefault="00E10FC7" w:rsidP="005E19D7">
            <w:pPr>
              <w:pStyle w:val="NoSpacing"/>
              <w:jc w:val="right"/>
            </w:pPr>
            <w:r w:rsidRPr="00730DE4">
              <w:t>170,421</w:t>
            </w:r>
          </w:p>
        </w:tc>
      </w:tr>
      <w:tr w:rsidR="00E10FC7" w:rsidRPr="00730DE4" w14:paraId="7B4BC917" w14:textId="77777777" w:rsidTr="005E19D7">
        <w:trPr>
          <w:cnfStyle w:val="000000100000" w:firstRow="0" w:lastRow="0" w:firstColumn="0" w:lastColumn="0" w:oddVBand="0" w:evenVBand="0" w:oddHBand="1" w:evenHBand="0" w:firstRowFirstColumn="0" w:firstRowLastColumn="0" w:lastRowFirstColumn="0" w:lastRowLastColumn="0"/>
          <w:trHeight w:val="255"/>
        </w:trPr>
        <w:tc>
          <w:tcPr>
            <w:tcW w:w="4074" w:type="pct"/>
            <w:noWrap/>
          </w:tcPr>
          <w:p w14:paraId="3FD66EFB" w14:textId="0AFC7DBF" w:rsidR="00E10FC7" w:rsidRPr="00730DE4" w:rsidRDefault="00E10FC7" w:rsidP="005E19D7">
            <w:pPr>
              <w:pStyle w:val="NoSpacing"/>
            </w:pPr>
            <w:r w:rsidRPr="00730DE4">
              <w:t>Cavbus Pty Ltd ABN 49 096 924 677</w:t>
            </w:r>
          </w:p>
        </w:tc>
        <w:tc>
          <w:tcPr>
            <w:tcW w:w="926" w:type="pct"/>
            <w:noWrap/>
          </w:tcPr>
          <w:p w14:paraId="206C7185" w14:textId="09DFA316" w:rsidR="00E10FC7" w:rsidRPr="00730DE4" w:rsidRDefault="00E10FC7" w:rsidP="005E19D7">
            <w:pPr>
              <w:pStyle w:val="NoSpacing"/>
              <w:jc w:val="right"/>
            </w:pPr>
            <w:r w:rsidRPr="00730DE4">
              <w:t>543,421</w:t>
            </w:r>
          </w:p>
        </w:tc>
      </w:tr>
      <w:tr w:rsidR="00E10FC7" w:rsidRPr="00730DE4" w14:paraId="15E59A33" w14:textId="77777777" w:rsidTr="005E19D7">
        <w:trPr>
          <w:cnfStyle w:val="010000000000" w:firstRow="0" w:lastRow="1" w:firstColumn="0" w:lastColumn="0" w:oddVBand="0" w:evenVBand="0" w:oddHBand="0" w:evenHBand="0" w:firstRowFirstColumn="0" w:firstRowLastColumn="0" w:lastRowFirstColumn="0" w:lastRowLastColumn="0"/>
          <w:trHeight w:val="300"/>
        </w:trPr>
        <w:tc>
          <w:tcPr>
            <w:tcW w:w="4074" w:type="pct"/>
            <w:noWrap/>
            <w:hideMark/>
          </w:tcPr>
          <w:p w14:paraId="78D508CD" w14:textId="77777777" w:rsidR="00E10FC7" w:rsidRPr="00730DE4" w:rsidRDefault="00E10FC7" w:rsidP="005E19D7">
            <w:pPr>
              <w:pStyle w:val="NoSpacing"/>
            </w:pPr>
            <w:r w:rsidRPr="00730DE4">
              <w:t> Total</w:t>
            </w:r>
          </w:p>
        </w:tc>
        <w:tc>
          <w:tcPr>
            <w:tcW w:w="926" w:type="pct"/>
            <w:noWrap/>
            <w:hideMark/>
          </w:tcPr>
          <w:p w14:paraId="1FBFA33A" w14:textId="5D376960" w:rsidR="00E10FC7" w:rsidRPr="00730DE4" w:rsidRDefault="00E10FC7" w:rsidP="005E19D7">
            <w:pPr>
              <w:pStyle w:val="NoSpacing"/>
              <w:jc w:val="right"/>
            </w:pPr>
            <w:r w:rsidRPr="00730DE4">
              <w:t>$723,932</w:t>
            </w:r>
          </w:p>
        </w:tc>
      </w:tr>
    </w:tbl>
    <w:p w14:paraId="6FF0BB58" w14:textId="77777777" w:rsidR="00FA2FF9" w:rsidRPr="00730DE4" w:rsidRDefault="00FA2FF9" w:rsidP="002B7001">
      <w:pPr>
        <w:pStyle w:val="Heading4"/>
        <w:rPr>
          <w:lang w:val="en-US"/>
        </w:rPr>
      </w:pPr>
      <w:bookmarkStart w:id="1784" w:name="_Toc180487818"/>
      <w:bookmarkStart w:id="1785" w:name="_Toc180491023"/>
      <w:bookmarkStart w:id="1786" w:name="_Toc180492056"/>
      <w:r w:rsidRPr="00730DE4">
        <w:rPr>
          <w:lang w:val="en-US"/>
        </w:rPr>
        <w:t>Total payments</w:t>
      </w:r>
      <w:bookmarkEnd w:id="1784"/>
      <w:bookmarkEnd w:id="1785"/>
      <w:bookmarkEnd w:id="1786"/>
      <w:r w:rsidRPr="00730DE4">
        <w:rPr>
          <w:lang w:val="en-US"/>
        </w:rPr>
        <w:t xml:space="preserve"> </w:t>
      </w:r>
    </w:p>
    <w:p w14:paraId="01501A3B" w14:textId="77777777" w:rsidR="00FA2FF9" w:rsidRPr="00730DE4" w:rsidRDefault="00FA2FF9" w:rsidP="00B14447">
      <w:pPr>
        <w:pStyle w:val="FigureCaption"/>
        <w:rPr>
          <w:lang w:val="en-US"/>
        </w:rPr>
      </w:pPr>
      <w:r w:rsidRPr="00730DE4">
        <w:rPr>
          <w:lang w:val="en-US"/>
        </w:rPr>
        <w:t>Table 62: Passenger transport operator payments: South East Queensland—Total payments</w:t>
      </w:r>
    </w:p>
    <w:tbl>
      <w:tblPr>
        <w:tblStyle w:val="TMRDefault"/>
        <w:tblW w:w="5000" w:type="pct"/>
        <w:tblLook w:val="04A0" w:firstRow="1" w:lastRow="0" w:firstColumn="1" w:lastColumn="0" w:noHBand="0" w:noVBand="1"/>
      </w:tblPr>
      <w:tblGrid>
        <w:gridCol w:w="10928"/>
        <w:gridCol w:w="3064"/>
      </w:tblGrid>
      <w:tr w:rsidR="00FA2FF9" w:rsidRPr="00730DE4" w14:paraId="4AF5FF82" w14:textId="77777777" w:rsidTr="000101CD">
        <w:trPr>
          <w:cnfStyle w:val="100000000000" w:firstRow="1" w:lastRow="0" w:firstColumn="0" w:lastColumn="0" w:oddVBand="0" w:evenVBand="0" w:oddHBand="0" w:evenHBand="0" w:firstRowFirstColumn="0" w:firstRowLastColumn="0" w:lastRowFirstColumn="0" w:lastRowLastColumn="0"/>
          <w:trHeight w:val="255"/>
          <w:tblHeader/>
        </w:trPr>
        <w:tc>
          <w:tcPr>
            <w:tcW w:w="3905" w:type="pct"/>
            <w:noWrap/>
            <w:hideMark/>
          </w:tcPr>
          <w:p w14:paraId="790AF543" w14:textId="77777777" w:rsidR="00FA2FF9" w:rsidRPr="00730DE4" w:rsidRDefault="00FA2FF9" w:rsidP="002231D6">
            <w:pPr>
              <w:pStyle w:val="NoSpacing"/>
              <w:rPr>
                <w:b w:val="0"/>
                <w:color w:val="FFFFFF" w:themeColor="background1"/>
              </w:rPr>
            </w:pPr>
            <w:r w:rsidRPr="00730DE4">
              <w:rPr>
                <w:color w:val="FFFFFF" w:themeColor="background1"/>
              </w:rPr>
              <w:t> </w:t>
            </w:r>
          </w:p>
        </w:tc>
        <w:tc>
          <w:tcPr>
            <w:tcW w:w="1095" w:type="pct"/>
            <w:noWrap/>
            <w:hideMark/>
          </w:tcPr>
          <w:p w14:paraId="34701583" w14:textId="77777777" w:rsidR="00FA2FF9" w:rsidRPr="00730DE4" w:rsidRDefault="00FA2FF9" w:rsidP="000A65A9">
            <w:pPr>
              <w:pStyle w:val="NoSpacing"/>
              <w:jc w:val="right"/>
              <w:rPr>
                <w:color w:val="FFFFFF" w:themeColor="background1"/>
              </w:rPr>
            </w:pPr>
            <w:r w:rsidRPr="00730DE4">
              <w:rPr>
                <w:color w:val="FFFFFF" w:themeColor="background1"/>
              </w:rPr>
              <w:t> </w:t>
            </w:r>
          </w:p>
        </w:tc>
      </w:tr>
      <w:tr w:rsidR="00FA2FF9" w:rsidRPr="00730DE4" w14:paraId="30CACB7B" w14:textId="77777777" w:rsidTr="000101CD">
        <w:trPr>
          <w:cnfStyle w:val="000000100000" w:firstRow="0" w:lastRow="0" w:firstColumn="0" w:lastColumn="0" w:oddVBand="0" w:evenVBand="0" w:oddHBand="1" w:evenHBand="0" w:firstRowFirstColumn="0" w:firstRowLastColumn="0" w:lastRowFirstColumn="0" w:lastRowLastColumn="0"/>
          <w:trHeight w:val="255"/>
        </w:trPr>
        <w:tc>
          <w:tcPr>
            <w:tcW w:w="3905" w:type="pct"/>
            <w:noWrap/>
            <w:hideMark/>
          </w:tcPr>
          <w:p w14:paraId="5A57EB8D" w14:textId="77777777" w:rsidR="00FA2FF9" w:rsidRPr="00730DE4" w:rsidRDefault="00FA2FF9" w:rsidP="002231D6">
            <w:pPr>
              <w:pStyle w:val="NoSpacing"/>
            </w:pPr>
            <w:r w:rsidRPr="00730DE4">
              <w:t>Total payments</w:t>
            </w:r>
          </w:p>
        </w:tc>
        <w:tc>
          <w:tcPr>
            <w:tcW w:w="1095" w:type="pct"/>
            <w:noWrap/>
            <w:hideMark/>
          </w:tcPr>
          <w:p w14:paraId="79F46B71" w14:textId="77777777" w:rsidR="00FA2FF9" w:rsidRPr="00730DE4" w:rsidRDefault="00FA2FF9" w:rsidP="000A65A9">
            <w:pPr>
              <w:pStyle w:val="NoSpacing"/>
              <w:jc w:val="right"/>
            </w:pPr>
            <w:r w:rsidRPr="00730DE4">
              <w:t>$2,608,226,994</w:t>
            </w:r>
          </w:p>
        </w:tc>
      </w:tr>
    </w:tbl>
    <w:p w14:paraId="3D4D2AC5" w14:textId="77777777" w:rsidR="005009C7" w:rsidRDefault="005009C7" w:rsidP="002B7001">
      <w:pPr>
        <w:pStyle w:val="Heading3"/>
        <w:rPr>
          <w:lang w:val="en-US"/>
        </w:rPr>
      </w:pPr>
      <w:r>
        <w:rPr>
          <w:lang w:val="en-US"/>
        </w:rPr>
        <w:br w:type="page"/>
      </w:r>
    </w:p>
    <w:p w14:paraId="16ADECB3" w14:textId="3D4C906B" w:rsidR="00FA2FF9" w:rsidRPr="00730DE4" w:rsidRDefault="00FA2FF9" w:rsidP="002B7001">
      <w:pPr>
        <w:pStyle w:val="Heading3"/>
        <w:rPr>
          <w:lang w:val="en-US"/>
        </w:rPr>
      </w:pPr>
      <w:bookmarkStart w:id="1787" w:name="_Toc180487819"/>
      <w:bookmarkStart w:id="1788" w:name="_Toc180491024"/>
      <w:bookmarkStart w:id="1789" w:name="_Toc180492057"/>
      <w:r w:rsidRPr="00730DE4">
        <w:rPr>
          <w:lang w:val="en-US"/>
        </w:rPr>
        <w:t>Passenger transport operator payments: Rest of Queensland</w:t>
      </w:r>
      <w:bookmarkEnd w:id="1787"/>
      <w:bookmarkEnd w:id="1788"/>
      <w:bookmarkEnd w:id="1789"/>
    </w:p>
    <w:p w14:paraId="295E474D" w14:textId="77777777" w:rsidR="00FA2FF9" w:rsidRPr="00730DE4" w:rsidRDefault="00FA2FF9" w:rsidP="00B14447">
      <w:pPr>
        <w:pStyle w:val="Caption"/>
        <w:rPr>
          <w:lang w:val="en-US"/>
        </w:rPr>
      </w:pPr>
      <w:r w:rsidRPr="00730DE4">
        <w:rPr>
          <w:lang w:val="en-US"/>
        </w:rPr>
        <w:t>Payments are for the period of 1 July 2023 to 30 June 2024 and are excluding GST.</w:t>
      </w:r>
    </w:p>
    <w:p w14:paraId="20E21843" w14:textId="77777777" w:rsidR="00FA2FF9" w:rsidRPr="00730DE4" w:rsidRDefault="00FA2FF9" w:rsidP="002B7001">
      <w:pPr>
        <w:pStyle w:val="Heading4"/>
        <w:rPr>
          <w:lang w:val="en-US"/>
        </w:rPr>
      </w:pPr>
      <w:bookmarkStart w:id="1790" w:name="_Toc180487820"/>
      <w:bookmarkStart w:id="1791" w:name="_Toc180491025"/>
      <w:bookmarkStart w:id="1792" w:name="_Toc180492058"/>
      <w:r w:rsidRPr="00730DE4">
        <w:rPr>
          <w:lang w:val="en-US"/>
        </w:rPr>
        <w:t>Regional urban bus</w:t>
      </w:r>
      <w:bookmarkEnd w:id="1790"/>
      <w:bookmarkEnd w:id="1791"/>
      <w:bookmarkEnd w:id="1792"/>
    </w:p>
    <w:p w14:paraId="1CC97A2A" w14:textId="77777777" w:rsidR="00FA2FF9" w:rsidRPr="00730DE4" w:rsidRDefault="00FA2FF9" w:rsidP="00B14447">
      <w:pPr>
        <w:pStyle w:val="FigureCaption"/>
        <w:rPr>
          <w:lang w:val="en-US"/>
        </w:rPr>
      </w:pPr>
      <w:r w:rsidRPr="00730DE4">
        <w:rPr>
          <w:lang w:val="en-US"/>
        </w:rPr>
        <w:t>Table 63: Passenger transport operator payments: Rest of Queensland—Regional urban bus</w:t>
      </w:r>
    </w:p>
    <w:tbl>
      <w:tblPr>
        <w:tblStyle w:val="TMRDefault"/>
        <w:tblW w:w="5000" w:type="pct"/>
        <w:tblLook w:val="04E0" w:firstRow="1" w:lastRow="1" w:firstColumn="1" w:lastColumn="0" w:noHBand="0" w:noVBand="1"/>
      </w:tblPr>
      <w:tblGrid>
        <w:gridCol w:w="11401"/>
        <w:gridCol w:w="2591"/>
      </w:tblGrid>
      <w:tr w:rsidR="00FA2FF9" w:rsidRPr="00730DE4" w14:paraId="70B4FC84" w14:textId="77777777" w:rsidTr="00B9757A">
        <w:trPr>
          <w:cnfStyle w:val="100000000000" w:firstRow="1" w:lastRow="0" w:firstColumn="0" w:lastColumn="0" w:oddVBand="0" w:evenVBand="0" w:oddHBand="0" w:evenHBand="0" w:firstRowFirstColumn="0" w:firstRowLastColumn="0" w:lastRowFirstColumn="0" w:lastRowLastColumn="0"/>
          <w:trHeight w:val="255"/>
          <w:tblHeader/>
        </w:trPr>
        <w:tc>
          <w:tcPr>
            <w:tcW w:w="4074" w:type="pct"/>
            <w:noWrap/>
            <w:hideMark/>
          </w:tcPr>
          <w:p w14:paraId="78605D18" w14:textId="77777777" w:rsidR="00FA2FF9" w:rsidRPr="00730DE4" w:rsidRDefault="00FA2FF9" w:rsidP="002231D6">
            <w:pPr>
              <w:pStyle w:val="NoSpacing"/>
              <w:rPr>
                <w:b w:val="0"/>
                <w:color w:val="FFFFFF" w:themeColor="background1"/>
              </w:rPr>
            </w:pPr>
            <w:r w:rsidRPr="00730DE4">
              <w:rPr>
                <w:color w:val="FFFFFF" w:themeColor="background1"/>
              </w:rPr>
              <w:t>Operator</w:t>
            </w:r>
          </w:p>
        </w:tc>
        <w:tc>
          <w:tcPr>
            <w:tcW w:w="926" w:type="pct"/>
            <w:noWrap/>
            <w:hideMark/>
          </w:tcPr>
          <w:p w14:paraId="23E058A2" w14:textId="77777777" w:rsidR="00FA2FF9" w:rsidRPr="00730DE4" w:rsidRDefault="00FA2FF9" w:rsidP="000A65A9">
            <w:pPr>
              <w:pStyle w:val="NoSpacing"/>
              <w:jc w:val="right"/>
              <w:rPr>
                <w:b w:val="0"/>
                <w:color w:val="FFFFFF" w:themeColor="background1"/>
              </w:rPr>
            </w:pPr>
            <w:r w:rsidRPr="00730DE4">
              <w:rPr>
                <w:color w:val="FFFFFF" w:themeColor="background1"/>
              </w:rPr>
              <w:t>2023–24 $ Amount</w:t>
            </w:r>
          </w:p>
        </w:tc>
      </w:tr>
      <w:tr w:rsidR="00FA2FF9" w:rsidRPr="00730DE4" w14:paraId="52D3F28F" w14:textId="77777777" w:rsidTr="00B9757A">
        <w:trPr>
          <w:cnfStyle w:val="000000100000" w:firstRow="0" w:lastRow="0" w:firstColumn="0" w:lastColumn="0" w:oddVBand="0" w:evenVBand="0" w:oddHBand="1" w:evenHBand="0" w:firstRowFirstColumn="0" w:firstRowLastColumn="0" w:lastRowFirstColumn="0" w:lastRowLastColumn="0"/>
          <w:trHeight w:val="255"/>
        </w:trPr>
        <w:tc>
          <w:tcPr>
            <w:tcW w:w="4074" w:type="pct"/>
            <w:noWrap/>
            <w:hideMark/>
          </w:tcPr>
          <w:p w14:paraId="6A484099" w14:textId="77777777" w:rsidR="00FA2FF9" w:rsidRPr="00730DE4" w:rsidRDefault="00FA2FF9" w:rsidP="002231D6">
            <w:pPr>
              <w:pStyle w:val="NoSpacing"/>
            </w:pPr>
            <w:r w:rsidRPr="00730DE4">
              <w:t>Jewelboost Pty Ltd ACN 55 163 460 081 atf The Porter Family Trust t/a Chillagoe Observatory &amp; Eco-Lodge</w:t>
            </w:r>
          </w:p>
        </w:tc>
        <w:tc>
          <w:tcPr>
            <w:tcW w:w="926" w:type="pct"/>
            <w:noWrap/>
            <w:hideMark/>
          </w:tcPr>
          <w:p w14:paraId="70E3161B" w14:textId="77777777" w:rsidR="00FA2FF9" w:rsidRPr="00730DE4" w:rsidRDefault="00FA2FF9" w:rsidP="000A65A9">
            <w:pPr>
              <w:pStyle w:val="NoSpacing"/>
              <w:jc w:val="right"/>
            </w:pPr>
            <w:r w:rsidRPr="00730DE4">
              <w:t xml:space="preserve">14,373 </w:t>
            </w:r>
          </w:p>
        </w:tc>
      </w:tr>
      <w:tr w:rsidR="00FA2FF9" w:rsidRPr="00730DE4" w14:paraId="54DB89F9" w14:textId="77777777" w:rsidTr="00B9757A">
        <w:trPr>
          <w:trHeight w:val="255"/>
        </w:trPr>
        <w:tc>
          <w:tcPr>
            <w:tcW w:w="4074" w:type="pct"/>
            <w:noWrap/>
            <w:hideMark/>
          </w:tcPr>
          <w:p w14:paraId="280D2F64" w14:textId="77777777" w:rsidR="00FA2FF9" w:rsidRPr="00730DE4" w:rsidRDefault="00FA2FF9" w:rsidP="002231D6">
            <w:pPr>
              <w:pStyle w:val="NoSpacing"/>
            </w:pPr>
            <w:r w:rsidRPr="00730DE4">
              <w:t>Bowen Transit Pty Ltd ACN 105 749 602</w:t>
            </w:r>
          </w:p>
        </w:tc>
        <w:tc>
          <w:tcPr>
            <w:tcW w:w="926" w:type="pct"/>
            <w:noWrap/>
            <w:hideMark/>
          </w:tcPr>
          <w:p w14:paraId="1CDFE832" w14:textId="77777777" w:rsidR="00FA2FF9" w:rsidRPr="00730DE4" w:rsidRDefault="00FA2FF9" w:rsidP="000A65A9">
            <w:pPr>
              <w:pStyle w:val="NoSpacing"/>
              <w:jc w:val="right"/>
            </w:pPr>
            <w:r w:rsidRPr="00730DE4">
              <w:t xml:space="preserve">162,073 </w:t>
            </w:r>
          </w:p>
        </w:tc>
      </w:tr>
      <w:tr w:rsidR="00FA2FF9" w:rsidRPr="00730DE4" w14:paraId="36A70802" w14:textId="77777777" w:rsidTr="00B9757A">
        <w:trPr>
          <w:cnfStyle w:val="000000100000" w:firstRow="0" w:lastRow="0" w:firstColumn="0" w:lastColumn="0" w:oddVBand="0" w:evenVBand="0" w:oddHBand="1" w:evenHBand="0" w:firstRowFirstColumn="0" w:firstRowLastColumn="0" w:lastRowFirstColumn="0" w:lastRowLastColumn="0"/>
          <w:trHeight w:val="255"/>
        </w:trPr>
        <w:tc>
          <w:tcPr>
            <w:tcW w:w="4074" w:type="pct"/>
            <w:noWrap/>
            <w:hideMark/>
          </w:tcPr>
          <w:p w14:paraId="0548FE10" w14:textId="77777777" w:rsidR="00FA2FF9" w:rsidRPr="00730DE4" w:rsidRDefault="00FA2FF9" w:rsidP="002231D6">
            <w:pPr>
              <w:pStyle w:val="NoSpacing"/>
            </w:pPr>
            <w:r w:rsidRPr="00730DE4">
              <w:t>CDC Gladstone Pty Ltd ACN 612 803 406</w:t>
            </w:r>
          </w:p>
        </w:tc>
        <w:tc>
          <w:tcPr>
            <w:tcW w:w="926" w:type="pct"/>
            <w:noWrap/>
            <w:hideMark/>
          </w:tcPr>
          <w:p w14:paraId="5C474ECD" w14:textId="77777777" w:rsidR="00FA2FF9" w:rsidRPr="00730DE4" w:rsidRDefault="00FA2FF9" w:rsidP="000A65A9">
            <w:pPr>
              <w:pStyle w:val="NoSpacing"/>
              <w:jc w:val="right"/>
            </w:pPr>
            <w:r w:rsidRPr="00730DE4">
              <w:t xml:space="preserve">2,107,422 </w:t>
            </w:r>
          </w:p>
        </w:tc>
      </w:tr>
      <w:tr w:rsidR="00FA2FF9" w:rsidRPr="00730DE4" w14:paraId="79F6CAEE" w14:textId="77777777" w:rsidTr="00B9757A">
        <w:trPr>
          <w:trHeight w:val="255"/>
        </w:trPr>
        <w:tc>
          <w:tcPr>
            <w:tcW w:w="4074" w:type="pct"/>
            <w:noWrap/>
            <w:hideMark/>
          </w:tcPr>
          <w:p w14:paraId="40EB0008" w14:textId="77777777" w:rsidR="00FA2FF9" w:rsidRPr="00730DE4" w:rsidRDefault="00FA2FF9" w:rsidP="002231D6">
            <w:pPr>
              <w:pStyle w:val="NoSpacing"/>
            </w:pPr>
            <w:r w:rsidRPr="00730DE4">
              <w:t>Campsie Bus Co Pty Ltd ACN 000 953 328 t/a Whitsunday Transit</w:t>
            </w:r>
          </w:p>
        </w:tc>
        <w:tc>
          <w:tcPr>
            <w:tcW w:w="926" w:type="pct"/>
            <w:noWrap/>
            <w:hideMark/>
          </w:tcPr>
          <w:p w14:paraId="126CFB71" w14:textId="77777777" w:rsidR="00FA2FF9" w:rsidRPr="00730DE4" w:rsidRDefault="00FA2FF9" w:rsidP="000A65A9">
            <w:pPr>
              <w:pStyle w:val="NoSpacing"/>
              <w:jc w:val="right"/>
            </w:pPr>
            <w:r w:rsidRPr="00730DE4">
              <w:t xml:space="preserve">1,885,123 </w:t>
            </w:r>
          </w:p>
        </w:tc>
      </w:tr>
      <w:tr w:rsidR="00FA2FF9" w:rsidRPr="00730DE4" w14:paraId="6FBFF922" w14:textId="77777777" w:rsidTr="00B9757A">
        <w:trPr>
          <w:cnfStyle w:val="000000100000" w:firstRow="0" w:lastRow="0" w:firstColumn="0" w:lastColumn="0" w:oddVBand="0" w:evenVBand="0" w:oddHBand="1" w:evenHBand="0" w:firstRowFirstColumn="0" w:firstRowLastColumn="0" w:lastRowFirstColumn="0" w:lastRowLastColumn="0"/>
          <w:trHeight w:val="255"/>
        </w:trPr>
        <w:tc>
          <w:tcPr>
            <w:tcW w:w="4074" w:type="pct"/>
            <w:noWrap/>
            <w:hideMark/>
          </w:tcPr>
          <w:p w14:paraId="0BD40519" w14:textId="77777777" w:rsidR="00FA2FF9" w:rsidRPr="00730DE4" w:rsidRDefault="00FA2FF9" w:rsidP="002231D6">
            <w:pPr>
              <w:pStyle w:val="NoSpacing"/>
            </w:pPr>
            <w:r w:rsidRPr="00730DE4">
              <w:t>Cavglass Pty Ltd ACN 124 444 711 t/a Glasshouse Country Coaches</w:t>
            </w:r>
          </w:p>
        </w:tc>
        <w:tc>
          <w:tcPr>
            <w:tcW w:w="926" w:type="pct"/>
            <w:noWrap/>
            <w:hideMark/>
          </w:tcPr>
          <w:p w14:paraId="5FD454A4" w14:textId="77777777" w:rsidR="00FA2FF9" w:rsidRPr="00730DE4" w:rsidRDefault="00FA2FF9" w:rsidP="000A65A9">
            <w:pPr>
              <w:pStyle w:val="NoSpacing"/>
              <w:jc w:val="right"/>
            </w:pPr>
            <w:r w:rsidRPr="00730DE4">
              <w:t xml:space="preserve">874,564 </w:t>
            </w:r>
          </w:p>
        </w:tc>
      </w:tr>
      <w:tr w:rsidR="00FA2FF9" w:rsidRPr="00730DE4" w14:paraId="4C70AF72" w14:textId="77777777" w:rsidTr="00B9757A">
        <w:trPr>
          <w:trHeight w:val="255"/>
        </w:trPr>
        <w:tc>
          <w:tcPr>
            <w:tcW w:w="4074" w:type="pct"/>
            <w:noWrap/>
            <w:hideMark/>
          </w:tcPr>
          <w:p w14:paraId="32C57A39" w14:textId="77777777" w:rsidR="00FA2FF9" w:rsidRPr="00730DE4" w:rsidRDefault="00FA2FF9" w:rsidP="002231D6">
            <w:pPr>
              <w:pStyle w:val="NoSpacing"/>
            </w:pPr>
            <w:r w:rsidRPr="00730DE4">
              <w:t>CDC South East Queensland Pty Ltd ACN 085 000 693 t/a Youngs Bus Service</w:t>
            </w:r>
          </w:p>
        </w:tc>
        <w:tc>
          <w:tcPr>
            <w:tcW w:w="926" w:type="pct"/>
            <w:noWrap/>
            <w:hideMark/>
          </w:tcPr>
          <w:p w14:paraId="5CEEB3B3" w14:textId="77777777" w:rsidR="00FA2FF9" w:rsidRPr="00730DE4" w:rsidRDefault="00FA2FF9" w:rsidP="000A65A9">
            <w:pPr>
              <w:pStyle w:val="NoSpacing"/>
              <w:jc w:val="right"/>
            </w:pPr>
            <w:r w:rsidRPr="00730DE4">
              <w:t xml:space="preserve">3,315,954 </w:t>
            </w:r>
          </w:p>
        </w:tc>
      </w:tr>
      <w:tr w:rsidR="00FA2FF9" w:rsidRPr="00730DE4" w14:paraId="4649B2F9" w14:textId="77777777" w:rsidTr="00B9757A">
        <w:trPr>
          <w:cnfStyle w:val="000000100000" w:firstRow="0" w:lastRow="0" w:firstColumn="0" w:lastColumn="0" w:oddVBand="0" w:evenVBand="0" w:oddHBand="1" w:evenHBand="0" w:firstRowFirstColumn="0" w:firstRowLastColumn="0" w:lastRowFirstColumn="0" w:lastRowLastColumn="0"/>
          <w:trHeight w:val="255"/>
        </w:trPr>
        <w:tc>
          <w:tcPr>
            <w:tcW w:w="4074" w:type="pct"/>
            <w:noWrap/>
            <w:hideMark/>
          </w:tcPr>
          <w:p w14:paraId="1A0784F4" w14:textId="77777777" w:rsidR="00FA2FF9" w:rsidRPr="00730DE4" w:rsidRDefault="00FA2FF9" w:rsidP="002231D6">
            <w:pPr>
              <w:pStyle w:val="NoSpacing"/>
            </w:pPr>
            <w:r w:rsidRPr="00730DE4">
              <w:t>Duffy's City Buses Pty Ltd ACN 053 761 023 atf The Duffy Trust</w:t>
            </w:r>
          </w:p>
        </w:tc>
        <w:tc>
          <w:tcPr>
            <w:tcW w:w="926" w:type="pct"/>
            <w:noWrap/>
            <w:hideMark/>
          </w:tcPr>
          <w:p w14:paraId="2D8444A1" w14:textId="77777777" w:rsidR="00FA2FF9" w:rsidRPr="00730DE4" w:rsidRDefault="00FA2FF9" w:rsidP="000A65A9">
            <w:pPr>
              <w:pStyle w:val="NoSpacing"/>
              <w:jc w:val="right"/>
            </w:pPr>
            <w:r w:rsidRPr="00730DE4">
              <w:t xml:space="preserve">2,027,531 </w:t>
            </w:r>
          </w:p>
        </w:tc>
      </w:tr>
      <w:tr w:rsidR="00FA2FF9" w:rsidRPr="00730DE4" w14:paraId="3186AFD0" w14:textId="77777777" w:rsidTr="00B9757A">
        <w:trPr>
          <w:trHeight w:val="255"/>
        </w:trPr>
        <w:tc>
          <w:tcPr>
            <w:tcW w:w="4074" w:type="pct"/>
            <w:noWrap/>
            <w:hideMark/>
          </w:tcPr>
          <w:p w14:paraId="1463D62C" w14:textId="77777777" w:rsidR="00FA2FF9" w:rsidRPr="00730DE4" w:rsidRDefault="00FA2FF9" w:rsidP="002231D6">
            <w:pPr>
              <w:pStyle w:val="NoSpacing"/>
            </w:pPr>
            <w:r w:rsidRPr="00730DE4">
              <w:t>Fultonlawn Pty Ltd ACN 010 489 068 atf NH Priebbenow Family Trust t/a Wide Bay Transit</w:t>
            </w:r>
          </w:p>
        </w:tc>
        <w:tc>
          <w:tcPr>
            <w:tcW w:w="926" w:type="pct"/>
            <w:noWrap/>
            <w:hideMark/>
          </w:tcPr>
          <w:p w14:paraId="551C160C" w14:textId="77777777" w:rsidR="00FA2FF9" w:rsidRPr="00730DE4" w:rsidRDefault="00FA2FF9" w:rsidP="000A65A9">
            <w:pPr>
              <w:pStyle w:val="NoSpacing"/>
              <w:jc w:val="right"/>
            </w:pPr>
            <w:r w:rsidRPr="00730DE4">
              <w:t xml:space="preserve">4,894,250 </w:t>
            </w:r>
          </w:p>
        </w:tc>
      </w:tr>
      <w:tr w:rsidR="00FA2FF9" w:rsidRPr="00730DE4" w14:paraId="3753D807" w14:textId="77777777" w:rsidTr="00B9757A">
        <w:trPr>
          <w:cnfStyle w:val="000000100000" w:firstRow="0" w:lastRow="0" w:firstColumn="0" w:lastColumn="0" w:oddVBand="0" w:evenVBand="0" w:oddHBand="1" w:evenHBand="0" w:firstRowFirstColumn="0" w:firstRowLastColumn="0" w:lastRowFirstColumn="0" w:lastRowLastColumn="0"/>
          <w:trHeight w:val="255"/>
        </w:trPr>
        <w:tc>
          <w:tcPr>
            <w:tcW w:w="4074" w:type="pct"/>
            <w:noWrap/>
            <w:hideMark/>
          </w:tcPr>
          <w:p w14:paraId="17139628" w14:textId="77777777" w:rsidR="00FA2FF9" w:rsidRPr="00730DE4" w:rsidRDefault="00FA2FF9" w:rsidP="002231D6">
            <w:pPr>
              <w:pStyle w:val="NoSpacing"/>
            </w:pPr>
            <w:r w:rsidRPr="00730DE4">
              <w:t>GJ &amp; LE Christensen ABN 50 204 765 641 t/a Christensens Bus and Coach</w:t>
            </w:r>
          </w:p>
        </w:tc>
        <w:tc>
          <w:tcPr>
            <w:tcW w:w="926" w:type="pct"/>
            <w:noWrap/>
            <w:hideMark/>
          </w:tcPr>
          <w:p w14:paraId="65743CF8" w14:textId="77777777" w:rsidR="00FA2FF9" w:rsidRPr="00730DE4" w:rsidRDefault="00FA2FF9" w:rsidP="000A65A9">
            <w:pPr>
              <w:pStyle w:val="NoSpacing"/>
              <w:jc w:val="right"/>
            </w:pPr>
            <w:r w:rsidRPr="00730DE4">
              <w:t xml:space="preserve">756,168 </w:t>
            </w:r>
          </w:p>
        </w:tc>
      </w:tr>
      <w:tr w:rsidR="00FA2FF9" w:rsidRPr="00730DE4" w14:paraId="5F71D92A" w14:textId="77777777" w:rsidTr="00B9757A">
        <w:trPr>
          <w:trHeight w:val="255"/>
        </w:trPr>
        <w:tc>
          <w:tcPr>
            <w:tcW w:w="4074" w:type="pct"/>
            <w:noWrap/>
            <w:hideMark/>
          </w:tcPr>
          <w:p w14:paraId="26934788" w14:textId="77777777" w:rsidR="00FA2FF9" w:rsidRPr="00730DE4" w:rsidRDefault="00FA2FF9" w:rsidP="002231D6">
            <w:pPr>
              <w:pStyle w:val="NoSpacing"/>
            </w:pPr>
            <w:r w:rsidRPr="00730DE4">
              <w:t>CD &amp; JM Haidley ABN 90 759 103 183 t/a Haidley's Panoramic Coaches &amp; Motors</w:t>
            </w:r>
          </w:p>
        </w:tc>
        <w:tc>
          <w:tcPr>
            <w:tcW w:w="926" w:type="pct"/>
            <w:noWrap/>
            <w:hideMark/>
          </w:tcPr>
          <w:p w14:paraId="7B2BEEB7" w14:textId="77777777" w:rsidR="00FA2FF9" w:rsidRPr="00730DE4" w:rsidRDefault="00FA2FF9" w:rsidP="000A65A9">
            <w:pPr>
              <w:pStyle w:val="NoSpacing"/>
              <w:jc w:val="right"/>
            </w:pPr>
            <w:r w:rsidRPr="00730DE4">
              <w:t xml:space="preserve">258,137 </w:t>
            </w:r>
          </w:p>
        </w:tc>
      </w:tr>
      <w:tr w:rsidR="00FA2FF9" w:rsidRPr="00730DE4" w14:paraId="13E09745" w14:textId="77777777" w:rsidTr="00B9757A">
        <w:trPr>
          <w:cnfStyle w:val="000000100000" w:firstRow="0" w:lastRow="0" w:firstColumn="0" w:lastColumn="0" w:oddVBand="0" w:evenVBand="0" w:oddHBand="1" w:evenHBand="0" w:firstRowFirstColumn="0" w:firstRowLastColumn="0" w:lastRowFirstColumn="0" w:lastRowLastColumn="0"/>
          <w:trHeight w:val="255"/>
        </w:trPr>
        <w:tc>
          <w:tcPr>
            <w:tcW w:w="4074" w:type="pct"/>
            <w:noWrap/>
            <w:hideMark/>
          </w:tcPr>
          <w:p w14:paraId="2DA515AC" w14:textId="77777777" w:rsidR="00FA2FF9" w:rsidRPr="00730DE4" w:rsidRDefault="00FA2FF9" w:rsidP="002231D6">
            <w:pPr>
              <w:pStyle w:val="NoSpacing"/>
            </w:pPr>
            <w:r w:rsidRPr="00730DE4">
              <w:t>Hubbards Coaches Pty Ltd ACN 076 988 120 atf Hubbard Family Trust</w:t>
            </w:r>
          </w:p>
        </w:tc>
        <w:tc>
          <w:tcPr>
            <w:tcW w:w="926" w:type="pct"/>
            <w:noWrap/>
            <w:hideMark/>
          </w:tcPr>
          <w:p w14:paraId="313D332A" w14:textId="77777777" w:rsidR="00FA2FF9" w:rsidRPr="00730DE4" w:rsidRDefault="00FA2FF9" w:rsidP="000A65A9">
            <w:pPr>
              <w:pStyle w:val="NoSpacing"/>
              <w:jc w:val="right"/>
            </w:pPr>
            <w:r w:rsidRPr="00730DE4">
              <w:t xml:space="preserve">2967 </w:t>
            </w:r>
          </w:p>
        </w:tc>
      </w:tr>
      <w:tr w:rsidR="00FA2FF9" w:rsidRPr="00730DE4" w14:paraId="2FC007B8" w14:textId="77777777" w:rsidTr="00B9757A">
        <w:trPr>
          <w:trHeight w:val="255"/>
        </w:trPr>
        <w:tc>
          <w:tcPr>
            <w:tcW w:w="4074" w:type="pct"/>
            <w:noWrap/>
            <w:hideMark/>
          </w:tcPr>
          <w:p w14:paraId="2A17F0B5" w14:textId="77777777" w:rsidR="00FA2FF9" w:rsidRPr="00730DE4" w:rsidRDefault="00FA2FF9" w:rsidP="002231D6">
            <w:pPr>
              <w:pStyle w:val="NoSpacing"/>
            </w:pPr>
            <w:r w:rsidRPr="00730DE4">
              <w:t>L.G. Stewart Family Co. Pty Ltd ACN 009 971 617 atf LG Stewart Family Trust</w:t>
            </w:r>
          </w:p>
        </w:tc>
        <w:tc>
          <w:tcPr>
            <w:tcW w:w="926" w:type="pct"/>
            <w:noWrap/>
            <w:hideMark/>
          </w:tcPr>
          <w:p w14:paraId="737A23E5" w14:textId="77777777" w:rsidR="00FA2FF9" w:rsidRPr="00730DE4" w:rsidRDefault="00FA2FF9" w:rsidP="000A65A9">
            <w:pPr>
              <w:pStyle w:val="NoSpacing"/>
              <w:jc w:val="right"/>
            </w:pPr>
            <w:r w:rsidRPr="00730DE4">
              <w:t xml:space="preserve">230,679 </w:t>
            </w:r>
          </w:p>
        </w:tc>
      </w:tr>
      <w:tr w:rsidR="00FA2FF9" w:rsidRPr="00730DE4" w14:paraId="31994FAE" w14:textId="77777777" w:rsidTr="00B9757A">
        <w:trPr>
          <w:cnfStyle w:val="000000100000" w:firstRow="0" w:lastRow="0" w:firstColumn="0" w:lastColumn="0" w:oddVBand="0" w:evenVBand="0" w:oddHBand="1" w:evenHBand="0" w:firstRowFirstColumn="0" w:firstRowLastColumn="0" w:lastRowFirstColumn="0" w:lastRowLastColumn="0"/>
          <w:trHeight w:val="255"/>
        </w:trPr>
        <w:tc>
          <w:tcPr>
            <w:tcW w:w="4074" w:type="pct"/>
            <w:noWrap/>
            <w:hideMark/>
          </w:tcPr>
          <w:p w14:paraId="74F4FDAD" w14:textId="77777777" w:rsidR="00FA2FF9" w:rsidRPr="00730DE4" w:rsidRDefault="00FA2FF9" w:rsidP="002231D6">
            <w:pPr>
              <w:pStyle w:val="NoSpacing"/>
            </w:pPr>
            <w:r w:rsidRPr="00730DE4">
              <w:t>Mackay Transit Coaches Pty Ltd ACN 050 416 227</w:t>
            </w:r>
          </w:p>
        </w:tc>
        <w:tc>
          <w:tcPr>
            <w:tcW w:w="926" w:type="pct"/>
            <w:noWrap/>
            <w:hideMark/>
          </w:tcPr>
          <w:p w14:paraId="75B4BBE6" w14:textId="77777777" w:rsidR="00FA2FF9" w:rsidRPr="00730DE4" w:rsidRDefault="00FA2FF9" w:rsidP="000A65A9">
            <w:pPr>
              <w:pStyle w:val="NoSpacing"/>
              <w:jc w:val="right"/>
            </w:pPr>
            <w:r w:rsidRPr="00730DE4">
              <w:t xml:space="preserve">4,882,044 </w:t>
            </w:r>
          </w:p>
        </w:tc>
      </w:tr>
      <w:tr w:rsidR="00FA2FF9" w:rsidRPr="00730DE4" w14:paraId="66CFB8D3" w14:textId="77777777" w:rsidTr="00B9757A">
        <w:trPr>
          <w:trHeight w:val="255"/>
        </w:trPr>
        <w:tc>
          <w:tcPr>
            <w:tcW w:w="4074" w:type="pct"/>
            <w:noWrap/>
            <w:hideMark/>
          </w:tcPr>
          <w:p w14:paraId="61929A0E" w14:textId="77777777" w:rsidR="00FA2FF9" w:rsidRPr="00730DE4" w:rsidRDefault="00FA2FF9" w:rsidP="002231D6">
            <w:pPr>
              <w:pStyle w:val="NoSpacing"/>
            </w:pPr>
            <w:r w:rsidRPr="00730DE4">
              <w:t>Polleys Coaches Pty Ltd ACN 134 694 992</w:t>
            </w:r>
          </w:p>
        </w:tc>
        <w:tc>
          <w:tcPr>
            <w:tcW w:w="926" w:type="pct"/>
            <w:noWrap/>
            <w:hideMark/>
          </w:tcPr>
          <w:p w14:paraId="502CEEBD" w14:textId="77777777" w:rsidR="00FA2FF9" w:rsidRPr="00730DE4" w:rsidRDefault="00FA2FF9" w:rsidP="000A65A9">
            <w:pPr>
              <w:pStyle w:val="NoSpacing"/>
              <w:jc w:val="right"/>
            </w:pPr>
            <w:r w:rsidRPr="00730DE4">
              <w:t xml:space="preserve">816,931 </w:t>
            </w:r>
          </w:p>
        </w:tc>
      </w:tr>
      <w:tr w:rsidR="00FA2FF9" w:rsidRPr="00730DE4" w14:paraId="5584C486" w14:textId="77777777" w:rsidTr="00B9757A">
        <w:trPr>
          <w:cnfStyle w:val="000000100000" w:firstRow="0" w:lastRow="0" w:firstColumn="0" w:lastColumn="0" w:oddVBand="0" w:evenVBand="0" w:oddHBand="1" w:evenHBand="0" w:firstRowFirstColumn="0" w:firstRowLastColumn="0" w:lastRowFirstColumn="0" w:lastRowLastColumn="0"/>
          <w:trHeight w:val="255"/>
        </w:trPr>
        <w:tc>
          <w:tcPr>
            <w:tcW w:w="4074" w:type="pct"/>
            <w:noWrap/>
            <w:hideMark/>
          </w:tcPr>
          <w:p w14:paraId="49F273A2" w14:textId="77777777" w:rsidR="00FA2FF9" w:rsidRPr="00730DE4" w:rsidRDefault="00FA2FF9" w:rsidP="002231D6">
            <w:pPr>
              <w:pStyle w:val="NoSpacing"/>
            </w:pPr>
            <w:r w:rsidRPr="00730DE4">
              <w:t>Toowoomba Transit Pty Ltd ACN 135 249 062 t/a Bus Queensland Toowoomba</w:t>
            </w:r>
          </w:p>
        </w:tc>
        <w:tc>
          <w:tcPr>
            <w:tcW w:w="926" w:type="pct"/>
            <w:noWrap/>
            <w:hideMark/>
          </w:tcPr>
          <w:p w14:paraId="754AE6CA" w14:textId="77777777" w:rsidR="00FA2FF9" w:rsidRPr="00730DE4" w:rsidRDefault="00FA2FF9" w:rsidP="000A65A9">
            <w:pPr>
              <w:pStyle w:val="NoSpacing"/>
              <w:jc w:val="right"/>
            </w:pPr>
            <w:r w:rsidRPr="00730DE4">
              <w:t xml:space="preserve">9,215,049 </w:t>
            </w:r>
          </w:p>
        </w:tc>
      </w:tr>
      <w:tr w:rsidR="00FA2FF9" w:rsidRPr="00730DE4" w14:paraId="7956688D" w14:textId="77777777" w:rsidTr="00B9757A">
        <w:trPr>
          <w:trHeight w:val="255"/>
        </w:trPr>
        <w:tc>
          <w:tcPr>
            <w:tcW w:w="4074" w:type="pct"/>
            <w:noWrap/>
            <w:hideMark/>
          </w:tcPr>
          <w:p w14:paraId="61742D4F" w14:textId="77777777" w:rsidR="00FA2FF9" w:rsidRPr="00730DE4" w:rsidRDefault="00FA2FF9" w:rsidP="002231D6">
            <w:pPr>
              <w:pStyle w:val="NoSpacing"/>
            </w:pPr>
            <w:r w:rsidRPr="00730DE4">
              <w:t>Trans North Pty Ltd ACN 074 538 159 t/a Trans North Bus and Coach Service</w:t>
            </w:r>
          </w:p>
        </w:tc>
        <w:tc>
          <w:tcPr>
            <w:tcW w:w="926" w:type="pct"/>
            <w:noWrap/>
            <w:hideMark/>
          </w:tcPr>
          <w:p w14:paraId="40FB075E" w14:textId="77777777" w:rsidR="00FA2FF9" w:rsidRPr="00730DE4" w:rsidRDefault="00FA2FF9" w:rsidP="000A65A9">
            <w:pPr>
              <w:pStyle w:val="NoSpacing"/>
              <w:jc w:val="right"/>
            </w:pPr>
            <w:r w:rsidRPr="00730DE4">
              <w:t xml:space="preserve">288,577 </w:t>
            </w:r>
          </w:p>
        </w:tc>
      </w:tr>
      <w:tr w:rsidR="00FA2FF9" w:rsidRPr="00730DE4" w14:paraId="542538AA" w14:textId="77777777" w:rsidTr="00B9757A">
        <w:trPr>
          <w:cnfStyle w:val="000000100000" w:firstRow="0" w:lastRow="0" w:firstColumn="0" w:lastColumn="0" w:oddVBand="0" w:evenVBand="0" w:oddHBand="1" w:evenHBand="0" w:firstRowFirstColumn="0" w:firstRowLastColumn="0" w:lastRowFirstColumn="0" w:lastRowLastColumn="0"/>
          <w:trHeight w:val="255"/>
        </w:trPr>
        <w:tc>
          <w:tcPr>
            <w:tcW w:w="4074" w:type="pct"/>
            <w:noWrap/>
            <w:hideMark/>
          </w:tcPr>
          <w:p w14:paraId="02F5ED66" w14:textId="77777777" w:rsidR="00FA2FF9" w:rsidRPr="00730DE4" w:rsidRDefault="00FA2FF9" w:rsidP="002231D6">
            <w:pPr>
              <w:pStyle w:val="NoSpacing"/>
            </w:pPr>
            <w:r w:rsidRPr="00730DE4">
              <w:t xml:space="preserve">Transit Australia Pty Ltd ACN 065 794 943 t/a Marlin Coast Sunbus </w:t>
            </w:r>
          </w:p>
        </w:tc>
        <w:tc>
          <w:tcPr>
            <w:tcW w:w="926" w:type="pct"/>
            <w:noWrap/>
            <w:hideMark/>
          </w:tcPr>
          <w:p w14:paraId="2FA1256B" w14:textId="77777777" w:rsidR="00FA2FF9" w:rsidRPr="00730DE4" w:rsidRDefault="00FA2FF9" w:rsidP="000A65A9">
            <w:pPr>
              <w:pStyle w:val="NoSpacing"/>
              <w:jc w:val="right"/>
            </w:pPr>
            <w:r w:rsidRPr="00730DE4">
              <w:t xml:space="preserve">20,181,193 </w:t>
            </w:r>
          </w:p>
        </w:tc>
      </w:tr>
      <w:tr w:rsidR="00FA2FF9" w:rsidRPr="00730DE4" w14:paraId="4323F164" w14:textId="77777777" w:rsidTr="00B9757A">
        <w:trPr>
          <w:trHeight w:val="255"/>
        </w:trPr>
        <w:tc>
          <w:tcPr>
            <w:tcW w:w="4074" w:type="pct"/>
            <w:noWrap/>
            <w:hideMark/>
          </w:tcPr>
          <w:p w14:paraId="32FBA47B" w14:textId="77777777" w:rsidR="00FA2FF9" w:rsidRPr="00730DE4" w:rsidRDefault="00FA2FF9" w:rsidP="002231D6">
            <w:pPr>
              <w:pStyle w:val="NoSpacing"/>
            </w:pPr>
            <w:r w:rsidRPr="00730DE4">
              <w:t>Transit Australia Pty Ltd ACN 065 794 943 t/a Capricorn Sunbus</w:t>
            </w:r>
          </w:p>
        </w:tc>
        <w:tc>
          <w:tcPr>
            <w:tcW w:w="926" w:type="pct"/>
            <w:noWrap/>
            <w:hideMark/>
          </w:tcPr>
          <w:p w14:paraId="7AE1CA89" w14:textId="77777777" w:rsidR="00FA2FF9" w:rsidRPr="00730DE4" w:rsidRDefault="00FA2FF9" w:rsidP="000A65A9">
            <w:pPr>
              <w:pStyle w:val="NoSpacing"/>
              <w:jc w:val="right"/>
            </w:pPr>
            <w:r w:rsidRPr="00730DE4">
              <w:t xml:space="preserve">3,637,316 </w:t>
            </w:r>
          </w:p>
        </w:tc>
      </w:tr>
      <w:tr w:rsidR="00FA2FF9" w:rsidRPr="00730DE4" w14:paraId="5BF62D51" w14:textId="77777777" w:rsidTr="00B9757A">
        <w:trPr>
          <w:cnfStyle w:val="000000100000" w:firstRow="0" w:lastRow="0" w:firstColumn="0" w:lastColumn="0" w:oddVBand="0" w:evenVBand="0" w:oddHBand="1" w:evenHBand="0" w:firstRowFirstColumn="0" w:firstRowLastColumn="0" w:lastRowFirstColumn="0" w:lastRowLastColumn="0"/>
          <w:trHeight w:val="255"/>
        </w:trPr>
        <w:tc>
          <w:tcPr>
            <w:tcW w:w="4074" w:type="pct"/>
            <w:noWrap/>
            <w:hideMark/>
          </w:tcPr>
          <w:p w14:paraId="54F05A79" w14:textId="77777777" w:rsidR="00FA2FF9" w:rsidRPr="00730DE4" w:rsidRDefault="00FA2FF9" w:rsidP="002231D6">
            <w:pPr>
              <w:pStyle w:val="NoSpacing"/>
            </w:pPr>
            <w:r w:rsidRPr="00730DE4">
              <w:t>Transit Australia Pty Ltd ACN 065 794 943 t/a Townsville Sunbus</w:t>
            </w:r>
          </w:p>
        </w:tc>
        <w:tc>
          <w:tcPr>
            <w:tcW w:w="926" w:type="pct"/>
            <w:noWrap/>
            <w:hideMark/>
          </w:tcPr>
          <w:p w14:paraId="23CBC94C" w14:textId="77777777" w:rsidR="00FA2FF9" w:rsidRPr="00730DE4" w:rsidRDefault="00FA2FF9" w:rsidP="000A65A9">
            <w:pPr>
              <w:pStyle w:val="NoSpacing"/>
              <w:jc w:val="right"/>
            </w:pPr>
            <w:r w:rsidRPr="00730DE4">
              <w:t xml:space="preserve">16,627,086 </w:t>
            </w:r>
          </w:p>
        </w:tc>
      </w:tr>
      <w:tr w:rsidR="00FA2FF9" w:rsidRPr="00730DE4" w14:paraId="0C9F06AB" w14:textId="77777777" w:rsidTr="00B9757A">
        <w:trPr>
          <w:trHeight w:val="255"/>
        </w:trPr>
        <w:tc>
          <w:tcPr>
            <w:tcW w:w="4074" w:type="pct"/>
            <w:noWrap/>
            <w:hideMark/>
          </w:tcPr>
          <w:p w14:paraId="0E356BEC" w14:textId="77777777" w:rsidR="00FA2FF9" w:rsidRPr="00730DE4" w:rsidRDefault="00FA2FF9" w:rsidP="002231D6">
            <w:pPr>
              <w:pStyle w:val="NoSpacing"/>
            </w:pPr>
            <w:r w:rsidRPr="00730DE4">
              <w:t>Bits Assets Pty Ltd ABN 54 108 661 945</w:t>
            </w:r>
          </w:p>
        </w:tc>
        <w:tc>
          <w:tcPr>
            <w:tcW w:w="926" w:type="pct"/>
            <w:noWrap/>
            <w:hideMark/>
          </w:tcPr>
          <w:p w14:paraId="3279FB00" w14:textId="77777777" w:rsidR="00FA2FF9" w:rsidRPr="00730DE4" w:rsidRDefault="00FA2FF9" w:rsidP="000A65A9">
            <w:pPr>
              <w:pStyle w:val="NoSpacing"/>
              <w:jc w:val="right"/>
            </w:pPr>
            <w:r w:rsidRPr="00730DE4">
              <w:t xml:space="preserve">2,071,463 </w:t>
            </w:r>
          </w:p>
        </w:tc>
      </w:tr>
      <w:tr w:rsidR="00FA2FF9" w:rsidRPr="00730DE4" w14:paraId="51C049EB" w14:textId="77777777" w:rsidTr="00B9757A">
        <w:trPr>
          <w:cnfStyle w:val="000000100000" w:firstRow="0" w:lastRow="0" w:firstColumn="0" w:lastColumn="0" w:oddVBand="0" w:evenVBand="0" w:oddHBand="1" w:evenHBand="0" w:firstRowFirstColumn="0" w:firstRowLastColumn="0" w:lastRowFirstColumn="0" w:lastRowLastColumn="0"/>
          <w:trHeight w:val="255"/>
        </w:trPr>
        <w:tc>
          <w:tcPr>
            <w:tcW w:w="4074" w:type="pct"/>
            <w:noWrap/>
            <w:hideMark/>
          </w:tcPr>
          <w:p w14:paraId="4BCF9587" w14:textId="77777777" w:rsidR="00FA2FF9" w:rsidRPr="00730DE4" w:rsidRDefault="00FA2FF9" w:rsidP="002231D6">
            <w:pPr>
              <w:pStyle w:val="NoSpacing"/>
            </w:pPr>
            <w:r w:rsidRPr="00730DE4">
              <w:t>The trustee for the Shelley Family Trust ABN 53 548 037 515 t/a Altitude Bus Service</w:t>
            </w:r>
          </w:p>
        </w:tc>
        <w:tc>
          <w:tcPr>
            <w:tcW w:w="926" w:type="pct"/>
            <w:noWrap/>
            <w:hideMark/>
          </w:tcPr>
          <w:p w14:paraId="75A839DA" w14:textId="77777777" w:rsidR="00FA2FF9" w:rsidRPr="00730DE4" w:rsidRDefault="00FA2FF9" w:rsidP="000A65A9">
            <w:pPr>
              <w:pStyle w:val="NoSpacing"/>
              <w:jc w:val="right"/>
            </w:pPr>
            <w:r w:rsidRPr="00730DE4">
              <w:t xml:space="preserve">3220 </w:t>
            </w:r>
          </w:p>
        </w:tc>
      </w:tr>
      <w:tr w:rsidR="00FA2FF9" w:rsidRPr="00730DE4" w14:paraId="07293AA8" w14:textId="77777777" w:rsidTr="00B9757A">
        <w:trPr>
          <w:trHeight w:val="255"/>
        </w:trPr>
        <w:tc>
          <w:tcPr>
            <w:tcW w:w="4074" w:type="pct"/>
            <w:noWrap/>
            <w:hideMark/>
          </w:tcPr>
          <w:p w14:paraId="58E0A199" w14:textId="77777777" w:rsidR="00FA2FF9" w:rsidRPr="00730DE4" w:rsidRDefault="00FA2FF9" w:rsidP="002231D6">
            <w:pPr>
              <w:pStyle w:val="NoSpacing"/>
            </w:pPr>
            <w:r w:rsidRPr="00730DE4">
              <w:t>The trustee for the Kuhlewein Family Trust ABN 84 513 135 332  t/a Coast and Country Buses</w:t>
            </w:r>
          </w:p>
        </w:tc>
        <w:tc>
          <w:tcPr>
            <w:tcW w:w="926" w:type="pct"/>
            <w:noWrap/>
            <w:hideMark/>
          </w:tcPr>
          <w:p w14:paraId="3CA453A2" w14:textId="77777777" w:rsidR="00FA2FF9" w:rsidRPr="00730DE4" w:rsidRDefault="00FA2FF9" w:rsidP="000A65A9">
            <w:pPr>
              <w:pStyle w:val="NoSpacing"/>
              <w:jc w:val="right"/>
            </w:pPr>
            <w:r w:rsidRPr="00730DE4">
              <w:t xml:space="preserve">8424 </w:t>
            </w:r>
          </w:p>
        </w:tc>
      </w:tr>
      <w:tr w:rsidR="00FA2FF9" w:rsidRPr="00730DE4" w14:paraId="5F0266C6" w14:textId="77777777" w:rsidTr="00B9757A">
        <w:trPr>
          <w:cnfStyle w:val="010000000000" w:firstRow="0" w:lastRow="1" w:firstColumn="0" w:lastColumn="0" w:oddVBand="0" w:evenVBand="0" w:oddHBand="0" w:evenHBand="0" w:firstRowFirstColumn="0" w:firstRowLastColumn="0" w:lastRowFirstColumn="0" w:lastRowLastColumn="0"/>
          <w:trHeight w:val="255"/>
        </w:trPr>
        <w:tc>
          <w:tcPr>
            <w:tcW w:w="4074" w:type="pct"/>
            <w:noWrap/>
            <w:hideMark/>
          </w:tcPr>
          <w:p w14:paraId="53BBF979" w14:textId="77777777" w:rsidR="00FA2FF9" w:rsidRPr="00730DE4" w:rsidRDefault="00FA2FF9" w:rsidP="002231D6">
            <w:pPr>
              <w:pStyle w:val="NoSpacing"/>
            </w:pPr>
            <w:r w:rsidRPr="00730DE4">
              <w:t> Total</w:t>
            </w:r>
          </w:p>
        </w:tc>
        <w:tc>
          <w:tcPr>
            <w:tcW w:w="926" w:type="pct"/>
            <w:noWrap/>
            <w:hideMark/>
          </w:tcPr>
          <w:p w14:paraId="6D5E8ADE" w14:textId="77777777" w:rsidR="00FA2FF9" w:rsidRPr="00730DE4" w:rsidRDefault="00FA2FF9" w:rsidP="000A65A9">
            <w:pPr>
              <w:pStyle w:val="NoSpacing"/>
              <w:jc w:val="right"/>
            </w:pPr>
            <w:r w:rsidRPr="00730DE4">
              <w:t>$74,260,544</w:t>
            </w:r>
          </w:p>
        </w:tc>
      </w:tr>
    </w:tbl>
    <w:p w14:paraId="450B95E3" w14:textId="77777777" w:rsidR="00FA2FF9" w:rsidRPr="00730DE4" w:rsidRDefault="00FA2FF9" w:rsidP="002B7001">
      <w:pPr>
        <w:pStyle w:val="Heading4"/>
        <w:rPr>
          <w:lang w:val="en-US"/>
        </w:rPr>
      </w:pPr>
      <w:bookmarkStart w:id="1793" w:name="_Toc180487821"/>
      <w:bookmarkStart w:id="1794" w:name="_Toc180491026"/>
      <w:bookmarkStart w:id="1795" w:name="_Toc180492059"/>
      <w:r w:rsidRPr="00730DE4">
        <w:rPr>
          <w:lang w:val="en-US"/>
        </w:rPr>
        <w:t>Ferry</w:t>
      </w:r>
      <w:bookmarkEnd w:id="1793"/>
      <w:bookmarkEnd w:id="1794"/>
      <w:bookmarkEnd w:id="1795"/>
    </w:p>
    <w:p w14:paraId="68821196" w14:textId="77777777" w:rsidR="00FA2FF9" w:rsidRPr="00730DE4" w:rsidRDefault="00FA2FF9" w:rsidP="00BD5BAA">
      <w:pPr>
        <w:pStyle w:val="FigureCaption"/>
        <w:rPr>
          <w:lang w:val="en-US"/>
        </w:rPr>
      </w:pPr>
      <w:r w:rsidRPr="00730DE4">
        <w:rPr>
          <w:lang w:val="en-US"/>
        </w:rPr>
        <w:t>Table 64: Passenger transport operator payments: Rest of Queensland—Ferry</w:t>
      </w:r>
    </w:p>
    <w:tbl>
      <w:tblPr>
        <w:tblStyle w:val="TMRDefault"/>
        <w:tblW w:w="5000" w:type="pct"/>
        <w:tblLook w:val="04E0" w:firstRow="1" w:lastRow="1" w:firstColumn="1" w:lastColumn="0" w:noHBand="0" w:noVBand="1"/>
      </w:tblPr>
      <w:tblGrid>
        <w:gridCol w:w="11401"/>
        <w:gridCol w:w="2591"/>
      </w:tblGrid>
      <w:tr w:rsidR="00FA2FF9" w:rsidRPr="00730DE4" w14:paraId="2A32999A" w14:textId="77777777" w:rsidTr="00B9757A">
        <w:trPr>
          <w:cnfStyle w:val="100000000000" w:firstRow="1" w:lastRow="0" w:firstColumn="0" w:lastColumn="0" w:oddVBand="0" w:evenVBand="0" w:oddHBand="0" w:evenHBand="0" w:firstRowFirstColumn="0" w:firstRowLastColumn="0" w:lastRowFirstColumn="0" w:lastRowLastColumn="0"/>
          <w:trHeight w:val="255"/>
          <w:tblHeader/>
        </w:trPr>
        <w:tc>
          <w:tcPr>
            <w:tcW w:w="4074" w:type="pct"/>
            <w:noWrap/>
            <w:hideMark/>
          </w:tcPr>
          <w:p w14:paraId="60E98573" w14:textId="77777777" w:rsidR="00FA2FF9" w:rsidRPr="00730DE4" w:rsidRDefault="00FA2FF9" w:rsidP="002231D6">
            <w:pPr>
              <w:pStyle w:val="NoSpacing"/>
              <w:rPr>
                <w:b w:val="0"/>
                <w:color w:val="FFFFFF" w:themeColor="background1"/>
              </w:rPr>
            </w:pPr>
            <w:r w:rsidRPr="00730DE4">
              <w:rPr>
                <w:color w:val="FFFFFF" w:themeColor="background1"/>
              </w:rPr>
              <w:t>Operator</w:t>
            </w:r>
          </w:p>
        </w:tc>
        <w:tc>
          <w:tcPr>
            <w:tcW w:w="926" w:type="pct"/>
            <w:noWrap/>
            <w:hideMark/>
          </w:tcPr>
          <w:p w14:paraId="79B1846F" w14:textId="77777777" w:rsidR="00FA2FF9" w:rsidRPr="00730DE4" w:rsidRDefault="00FA2FF9" w:rsidP="000A65A9">
            <w:pPr>
              <w:pStyle w:val="NoSpacing"/>
              <w:jc w:val="right"/>
              <w:rPr>
                <w:b w:val="0"/>
                <w:color w:val="FFFFFF" w:themeColor="background1"/>
              </w:rPr>
            </w:pPr>
            <w:r w:rsidRPr="00730DE4">
              <w:rPr>
                <w:color w:val="FFFFFF" w:themeColor="background1"/>
              </w:rPr>
              <w:t>2023–24 $ Amount</w:t>
            </w:r>
          </w:p>
        </w:tc>
      </w:tr>
      <w:tr w:rsidR="00FA2FF9" w:rsidRPr="00730DE4" w14:paraId="1B417CB4" w14:textId="77777777" w:rsidTr="00B9757A">
        <w:trPr>
          <w:cnfStyle w:val="000000100000" w:firstRow="0" w:lastRow="0" w:firstColumn="0" w:lastColumn="0" w:oddVBand="0" w:evenVBand="0" w:oddHBand="1" w:evenHBand="0" w:firstRowFirstColumn="0" w:firstRowLastColumn="0" w:lastRowFirstColumn="0" w:lastRowLastColumn="0"/>
          <w:trHeight w:val="255"/>
        </w:trPr>
        <w:tc>
          <w:tcPr>
            <w:tcW w:w="4074" w:type="pct"/>
            <w:noWrap/>
            <w:hideMark/>
          </w:tcPr>
          <w:p w14:paraId="723B6569" w14:textId="77777777" w:rsidR="00FA2FF9" w:rsidRPr="00730DE4" w:rsidRDefault="00FA2FF9" w:rsidP="002231D6">
            <w:pPr>
              <w:pStyle w:val="NoSpacing"/>
            </w:pPr>
            <w:r w:rsidRPr="00730DE4">
              <w:t>Sea-Cat Charters Pty Ltd ABN 73 010 551 925 t/a Peddells Thursday Island Tours</w:t>
            </w:r>
          </w:p>
        </w:tc>
        <w:tc>
          <w:tcPr>
            <w:tcW w:w="926" w:type="pct"/>
            <w:noWrap/>
            <w:hideMark/>
          </w:tcPr>
          <w:p w14:paraId="6BAE5D63" w14:textId="77777777" w:rsidR="00FA2FF9" w:rsidRPr="00730DE4" w:rsidRDefault="00FA2FF9" w:rsidP="000A65A9">
            <w:pPr>
              <w:pStyle w:val="NoSpacing"/>
              <w:jc w:val="right"/>
            </w:pPr>
            <w:r w:rsidRPr="00730DE4">
              <w:t xml:space="preserve">204,960 </w:t>
            </w:r>
          </w:p>
        </w:tc>
      </w:tr>
      <w:tr w:rsidR="00FA2FF9" w:rsidRPr="00730DE4" w14:paraId="58663C0F" w14:textId="77777777" w:rsidTr="00B9757A">
        <w:trPr>
          <w:trHeight w:val="255"/>
        </w:trPr>
        <w:tc>
          <w:tcPr>
            <w:tcW w:w="4074" w:type="pct"/>
            <w:noWrap/>
            <w:hideMark/>
          </w:tcPr>
          <w:p w14:paraId="3A59C1DC" w14:textId="77777777" w:rsidR="00FA2FF9" w:rsidRPr="00730DE4" w:rsidRDefault="00FA2FF9" w:rsidP="002231D6">
            <w:pPr>
              <w:pStyle w:val="NoSpacing"/>
            </w:pPr>
            <w:r w:rsidRPr="00730DE4">
              <w:t>Sealink Queensland Pty Ltd ACN 148 811 170</w:t>
            </w:r>
          </w:p>
        </w:tc>
        <w:tc>
          <w:tcPr>
            <w:tcW w:w="926" w:type="pct"/>
            <w:noWrap/>
            <w:hideMark/>
          </w:tcPr>
          <w:p w14:paraId="206EDECE" w14:textId="77777777" w:rsidR="00FA2FF9" w:rsidRPr="00730DE4" w:rsidRDefault="00FA2FF9" w:rsidP="000A65A9">
            <w:pPr>
              <w:pStyle w:val="NoSpacing"/>
              <w:jc w:val="right"/>
            </w:pPr>
            <w:r w:rsidRPr="00730DE4">
              <w:t xml:space="preserve">3,235,623 </w:t>
            </w:r>
          </w:p>
        </w:tc>
      </w:tr>
      <w:tr w:rsidR="00FA2FF9" w:rsidRPr="00730DE4" w14:paraId="3B027F4D" w14:textId="77777777" w:rsidTr="00B9757A">
        <w:trPr>
          <w:cnfStyle w:val="010000000000" w:firstRow="0" w:lastRow="1" w:firstColumn="0" w:lastColumn="0" w:oddVBand="0" w:evenVBand="0" w:oddHBand="0" w:evenHBand="0" w:firstRowFirstColumn="0" w:firstRowLastColumn="0" w:lastRowFirstColumn="0" w:lastRowLastColumn="0"/>
          <w:trHeight w:val="255"/>
        </w:trPr>
        <w:tc>
          <w:tcPr>
            <w:tcW w:w="4074" w:type="pct"/>
            <w:noWrap/>
            <w:hideMark/>
          </w:tcPr>
          <w:p w14:paraId="651AE044" w14:textId="77777777" w:rsidR="00FA2FF9" w:rsidRPr="00730DE4" w:rsidRDefault="00FA2FF9" w:rsidP="002231D6">
            <w:pPr>
              <w:pStyle w:val="NoSpacing"/>
            </w:pPr>
            <w:r w:rsidRPr="00730DE4">
              <w:t> Total</w:t>
            </w:r>
          </w:p>
        </w:tc>
        <w:tc>
          <w:tcPr>
            <w:tcW w:w="926" w:type="pct"/>
            <w:noWrap/>
            <w:hideMark/>
          </w:tcPr>
          <w:p w14:paraId="531A8238" w14:textId="77777777" w:rsidR="00FA2FF9" w:rsidRPr="00730DE4" w:rsidRDefault="00FA2FF9" w:rsidP="000A65A9">
            <w:pPr>
              <w:pStyle w:val="NoSpacing"/>
              <w:jc w:val="right"/>
            </w:pPr>
            <w:r w:rsidRPr="00730DE4">
              <w:t>$3,440,583</w:t>
            </w:r>
          </w:p>
        </w:tc>
      </w:tr>
    </w:tbl>
    <w:p w14:paraId="7FB1E863" w14:textId="77777777" w:rsidR="00FA2FF9" w:rsidRPr="00730DE4" w:rsidRDefault="00FA2FF9" w:rsidP="002B7001">
      <w:pPr>
        <w:pStyle w:val="Heading4"/>
        <w:rPr>
          <w:lang w:val="en-US"/>
        </w:rPr>
      </w:pPr>
      <w:bookmarkStart w:id="1796" w:name="_Toc180487822"/>
      <w:bookmarkStart w:id="1797" w:name="_Toc180491027"/>
      <w:bookmarkStart w:id="1798" w:name="_Toc180492060"/>
      <w:r w:rsidRPr="00730DE4">
        <w:rPr>
          <w:lang w:val="en-US"/>
        </w:rPr>
        <w:t>Long distance rail</w:t>
      </w:r>
      <w:bookmarkEnd w:id="1796"/>
      <w:bookmarkEnd w:id="1797"/>
      <w:bookmarkEnd w:id="1798"/>
      <w:r w:rsidRPr="00730DE4">
        <w:rPr>
          <w:lang w:val="en-US"/>
        </w:rPr>
        <w:t xml:space="preserve"> </w:t>
      </w:r>
    </w:p>
    <w:p w14:paraId="672D0FC7" w14:textId="77777777" w:rsidR="00FA2FF9" w:rsidRPr="00730DE4" w:rsidRDefault="00FA2FF9" w:rsidP="009076DB">
      <w:pPr>
        <w:pStyle w:val="FigureCaption"/>
        <w:rPr>
          <w:lang w:val="en-US"/>
        </w:rPr>
      </w:pPr>
      <w:r w:rsidRPr="00730DE4">
        <w:rPr>
          <w:lang w:val="en-US"/>
        </w:rPr>
        <w:t xml:space="preserve">Table 65: Passenger transport operator payments: Rest of Queensland—Long distance rail </w:t>
      </w:r>
    </w:p>
    <w:tbl>
      <w:tblPr>
        <w:tblStyle w:val="TMRDefault"/>
        <w:tblW w:w="5000" w:type="pct"/>
        <w:tblLook w:val="04E0" w:firstRow="1" w:lastRow="1" w:firstColumn="1" w:lastColumn="0" w:noHBand="0" w:noVBand="1"/>
      </w:tblPr>
      <w:tblGrid>
        <w:gridCol w:w="11401"/>
        <w:gridCol w:w="2591"/>
      </w:tblGrid>
      <w:tr w:rsidR="00FA2FF9" w:rsidRPr="00730DE4" w14:paraId="701BAD66" w14:textId="77777777" w:rsidTr="00B9757A">
        <w:trPr>
          <w:cnfStyle w:val="100000000000" w:firstRow="1" w:lastRow="0" w:firstColumn="0" w:lastColumn="0" w:oddVBand="0" w:evenVBand="0" w:oddHBand="0" w:evenHBand="0" w:firstRowFirstColumn="0" w:firstRowLastColumn="0" w:lastRowFirstColumn="0" w:lastRowLastColumn="0"/>
          <w:trHeight w:val="255"/>
          <w:tblHeader/>
        </w:trPr>
        <w:tc>
          <w:tcPr>
            <w:tcW w:w="4074" w:type="pct"/>
            <w:noWrap/>
            <w:hideMark/>
          </w:tcPr>
          <w:p w14:paraId="46C34233" w14:textId="77777777" w:rsidR="00FA2FF9" w:rsidRPr="00730DE4" w:rsidRDefault="00FA2FF9" w:rsidP="002231D6">
            <w:pPr>
              <w:pStyle w:val="NoSpacing"/>
              <w:rPr>
                <w:b w:val="0"/>
                <w:color w:val="FFFFFF" w:themeColor="background1"/>
              </w:rPr>
            </w:pPr>
            <w:r w:rsidRPr="00730DE4">
              <w:rPr>
                <w:color w:val="FFFFFF" w:themeColor="background1"/>
              </w:rPr>
              <w:t>Operator</w:t>
            </w:r>
          </w:p>
        </w:tc>
        <w:tc>
          <w:tcPr>
            <w:tcW w:w="926" w:type="pct"/>
            <w:noWrap/>
            <w:hideMark/>
          </w:tcPr>
          <w:p w14:paraId="4BCF7080" w14:textId="77777777" w:rsidR="00FA2FF9" w:rsidRPr="00730DE4" w:rsidRDefault="00FA2FF9" w:rsidP="000A65A9">
            <w:pPr>
              <w:pStyle w:val="NoSpacing"/>
              <w:jc w:val="right"/>
              <w:rPr>
                <w:b w:val="0"/>
                <w:color w:val="FFFFFF" w:themeColor="background1"/>
              </w:rPr>
            </w:pPr>
            <w:r w:rsidRPr="00730DE4">
              <w:rPr>
                <w:color w:val="FFFFFF" w:themeColor="background1"/>
              </w:rPr>
              <w:t>2023–24 $ Amount</w:t>
            </w:r>
          </w:p>
        </w:tc>
      </w:tr>
      <w:tr w:rsidR="00FA2FF9" w:rsidRPr="00730DE4" w14:paraId="50EB0FC5" w14:textId="77777777" w:rsidTr="00B9757A">
        <w:trPr>
          <w:cnfStyle w:val="000000100000" w:firstRow="0" w:lastRow="0" w:firstColumn="0" w:lastColumn="0" w:oddVBand="0" w:evenVBand="0" w:oddHBand="1" w:evenHBand="0" w:firstRowFirstColumn="0" w:firstRowLastColumn="0" w:lastRowFirstColumn="0" w:lastRowLastColumn="0"/>
          <w:trHeight w:val="255"/>
        </w:trPr>
        <w:tc>
          <w:tcPr>
            <w:tcW w:w="4074" w:type="pct"/>
            <w:noWrap/>
            <w:hideMark/>
          </w:tcPr>
          <w:p w14:paraId="70D80628" w14:textId="77777777" w:rsidR="00FA2FF9" w:rsidRPr="00730DE4" w:rsidRDefault="00FA2FF9" w:rsidP="002231D6">
            <w:pPr>
              <w:pStyle w:val="NoSpacing"/>
            </w:pPr>
            <w:r w:rsidRPr="00730DE4">
              <w:t>NSW Trains ABN 50 325 560 455 (NSW/QLD Interstate Rail Service Between Sydney &amp; Brisbane)</w:t>
            </w:r>
          </w:p>
        </w:tc>
        <w:tc>
          <w:tcPr>
            <w:tcW w:w="926" w:type="pct"/>
            <w:noWrap/>
            <w:hideMark/>
          </w:tcPr>
          <w:p w14:paraId="2A712026" w14:textId="77777777" w:rsidR="00FA2FF9" w:rsidRPr="00730DE4" w:rsidRDefault="00FA2FF9" w:rsidP="000A65A9">
            <w:pPr>
              <w:pStyle w:val="NoSpacing"/>
              <w:jc w:val="right"/>
            </w:pPr>
            <w:r w:rsidRPr="00730DE4">
              <w:t xml:space="preserve">3,083,393 </w:t>
            </w:r>
          </w:p>
        </w:tc>
      </w:tr>
      <w:tr w:rsidR="00FA2FF9" w:rsidRPr="00730DE4" w14:paraId="0EF87266" w14:textId="77777777" w:rsidTr="00B9757A">
        <w:trPr>
          <w:trHeight w:val="255"/>
        </w:trPr>
        <w:tc>
          <w:tcPr>
            <w:tcW w:w="4074" w:type="pct"/>
            <w:noWrap/>
            <w:hideMark/>
          </w:tcPr>
          <w:p w14:paraId="64C8DAB8" w14:textId="77777777" w:rsidR="00FA2FF9" w:rsidRPr="00730DE4" w:rsidRDefault="00FA2FF9" w:rsidP="002231D6">
            <w:pPr>
              <w:pStyle w:val="NoSpacing"/>
            </w:pPr>
            <w:r w:rsidRPr="00730DE4">
              <w:t>Cairns Kuranda Steam Train Limited Partnership ABN 49 997 390 112 (Savannahlander)</w:t>
            </w:r>
          </w:p>
        </w:tc>
        <w:tc>
          <w:tcPr>
            <w:tcW w:w="926" w:type="pct"/>
            <w:noWrap/>
            <w:hideMark/>
          </w:tcPr>
          <w:p w14:paraId="087BC31A" w14:textId="77777777" w:rsidR="00FA2FF9" w:rsidRPr="00730DE4" w:rsidRDefault="00FA2FF9" w:rsidP="000A65A9">
            <w:pPr>
              <w:pStyle w:val="NoSpacing"/>
              <w:jc w:val="right"/>
            </w:pPr>
            <w:r w:rsidRPr="00730DE4">
              <w:t xml:space="preserve">1,667,338 </w:t>
            </w:r>
          </w:p>
        </w:tc>
      </w:tr>
      <w:tr w:rsidR="00FA2FF9" w:rsidRPr="00730DE4" w14:paraId="74D2220C" w14:textId="77777777" w:rsidTr="00B9757A">
        <w:trPr>
          <w:cnfStyle w:val="000000100000" w:firstRow="0" w:lastRow="0" w:firstColumn="0" w:lastColumn="0" w:oddVBand="0" w:evenVBand="0" w:oddHBand="1" w:evenHBand="0" w:firstRowFirstColumn="0" w:firstRowLastColumn="0" w:lastRowFirstColumn="0" w:lastRowLastColumn="0"/>
          <w:trHeight w:val="255"/>
        </w:trPr>
        <w:tc>
          <w:tcPr>
            <w:tcW w:w="4074" w:type="pct"/>
            <w:noWrap/>
            <w:hideMark/>
          </w:tcPr>
          <w:p w14:paraId="6C495E23" w14:textId="77777777" w:rsidR="00FA2FF9" w:rsidRPr="00730DE4" w:rsidRDefault="00FA2FF9" w:rsidP="002231D6">
            <w:pPr>
              <w:pStyle w:val="NoSpacing"/>
            </w:pPr>
            <w:r w:rsidRPr="00730DE4">
              <w:t>Queensland Rail Limited ACN 132 181 090</w:t>
            </w:r>
          </w:p>
        </w:tc>
        <w:tc>
          <w:tcPr>
            <w:tcW w:w="926" w:type="pct"/>
            <w:noWrap/>
            <w:hideMark/>
          </w:tcPr>
          <w:p w14:paraId="55AD4F90" w14:textId="77777777" w:rsidR="00FA2FF9" w:rsidRPr="00730DE4" w:rsidRDefault="00FA2FF9" w:rsidP="000A65A9">
            <w:pPr>
              <w:pStyle w:val="NoSpacing"/>
              <w:jc w:val="right"/>
            </w:pPr>
            <w:r w:rsidRPr="00730DE4">
              <w:t xml:space="preserve">564,548,935 </w:t>
            </w:r>
          </w:p>
        </w:tc>
      </w:tr>
      <w:tr w:rsidR="00FA2FF9" w:rsidRPr="00730DE4" w14:paraId="16ECDB8A" w14:textId="77777777" w:rsidTr="00B9757A">
        <w:trPr>
          <w:cnfStyle w:val="010000000000" w:firstRow="0" w:lastRow="1" w:firstColumn="0" w:lastColumn="0" w:oddVBand="0" w:evenVBand="0" w:oddHBand="0" w:evenHBand="0" w:firstRowFirstColumn="0" w:firstRowLastColumn="0" w:lastRowFirstColumn="0" w:lastRowLastColumn="0"/>
          <w:trHeight w:val="255"/>
        </w:trPr>
        <w:tc>
          <w:tcPr>
            <w:tcW w:w="4074" w:type="pct"/>
            <w:noWrap/>
            <w:hideMark/>
          </w:tcPr>
          <w:p w14:paraId="3C71254A" w14:textId="77777777" w:rsidR="00FA2FF9" w:rsidRPr="00730DE4" w:rsidRDefault="00FA2FF9" w:rsidP="002231D6">
            <w:pPr>
              <w:pStyle w:val="NoSpacing"/>
            </w:pPr>
            <w:r w:rsidRPr="00730DE4">
              <w:t> Total</w:t>
            </w:r>
          </w:p>
        </w:tc>
        <w:tc>
          <w:tcPr>
            <w:tcW w:w="926" w:type="pct"/>
            <w:noWrap/>
            <w:hideMark/>
          </w:tcPr>
          <w:p w14:paraId="5BB05655" w14:textId="77777777" w:rsidR="00FA2FF9" w:rsidRPr="00730DE4" w:rsidRDefault="00FA2FF9" w:rsidP="000A65A9">
            <w:pPr>
              <w:pStyle w:val="NoSpacing"/>
              <w:jc w:val="right"/>
            </w:pPr>
            <w:r w:rsidRPr="00730DE4">
              <w:t>$569,299,666</w:t>
            </w:r>
          </w:p>
        </w:tc>
      </w:tr>
    </w:tbl>
    <w:p w14:paraId="2F230D65" w14:textId="77777777" w:rsidR="00FA2FF9" w:rsidRPr="00730DE4" w:rsidRDefault="00FA2FF9" w:rsidP="002B7001">
      <w:pPr>
        <w:pStyle w:val="Heading4"/>
        <w:rPr>
          <w:lang w:val="en-US"/>
        </w:rPr>
      </w:pPr>
      <w:bookmarkStart w:id="1799" w:name="_Toc180487823"/>
      <w:bookmarkStart w:id="1800" w:name="_Toc180491028"/>
      <w:bookmarkStart w:id="1801" w:name="_Toc180492061"/>
      <w:r w:rsidRPr="00730DE4">
        <w:rPr>
          <w:lang w:val="en-US"/>
        </w:rPr>
        <w:t>Regional air</w:t>
      </w:r>
      <w:bookmarkEnd w:id="1799"/>
      <w:bookmarkEnd w:id="1800"/>
      <w:bookmarkEnd w:id="1801"/>
    </w:p>
    <w:p w14:paraId="6EC5A5A5" w14:textId="77777777" w:rsidR="00FA2FF9" w:rsidRPr="00730DE4" w:rsidRDefault="00FA2FF9" w:rsidP="009076DB">
      <w:pPr>
        <w:pStyle w:val="FigureCaption"/>
        <w:rPr>
          <w:lang w:val="en-US"/>
        </w:rPr>
      </w:pPr>
      <w:r w:rsidRPr="00730DE4">
        <w:rPr>
          <w:lang w:val="en-US"/>
        </w:rPr>
        <w:t>Table 66: Passenger transport operator payments: Rest of Queensland—Regional air</w:t>
      </w:r>
    </w:p>
    <w:tbl>
      <w:tblPr>
        <w:tblStyle w:val="TMRDefault"/>
        <w:tblW w:w="5000" w:type="pct"/>
        <w:tblLook w:val="04E0" w:firstRow="1" w:lastRow="1" w:firstColumn="1" w:lastColumn="0" w:noHBand="0" w:noVBand="1"/>
      </w:tblPr>
      <w:tblGrid>
        <w:gridCol w:w="11401"/>
        <w:gridCol w:w="2591"/>
      </w:tblGrid>
      <w:tr w:rsidR="00FA2FF9" w:rsidRPr="00730DE4" w14:paraId="39C75C03" w14:textId="77777777" w:rsidTr="00B9757A">
        <w:trPr>
          <w:cnfStyle w:val="100000000000" w:firstRow="1" w:lastRow="0" w:firstColumn="0" w:lastColumn="0" w:oddVBand="0" w:evenVBand="0" w:oddHBand="0" w:evenHBand="0" w:firstRowFirstColumn="0" w:firstRowLastColumn="0" w:lastRowFirstColumn="0" w:lastRowLastColumn="0"/>
          <w:trHeight w:val="255"/>
          <w:tblHeader/>
        </w:trPr>
        <w:tc>
          <w:tcPr>
            <w:tcW w:w="4074" w:type="pct"/>
            <w:noWrap/>
            <w:hideMark/>
          </w:tcPr>
          <w:p w14:paraId="2F708F7F" w14:textId="77777777" w:rsidR="00FA2FF9" w:rsidRPr="00730DE4" w:rsidRDefault="00FA2FF9" w:rsidP="002231D6">
            <w:pPr>
              <w:pStyle w:val="NoSpacing"/>
              <w:rPr>
                <w:b w:val="0"/>
                <w:color w:val="FFFFFF" w:themeColor="background1"/>
              </w:rPr>
            </w:pPr>
            <w:r w:rsidRPr="00730DE4">
              <w:rPr>
                <w:color w:val="FFFFFF" w:themeColor="background1"/>
              </w:rPr>
              <w:t>Operator</w:t>
            </w:r>
          </w:p>
        </w:tc>
        <w:tc>
          <w:tcPr>
            <w:tcW w:w="926" w:type="pct"/>
            <w:noWrap/>
            <w:hideMark/>
          </w:tcPr>
          <w:p w14:paraId="0C3DCBFD" w14:textId="77777777" w:rsidR="00FA2FF9" w:rsidRPr="00730DE4" w:rsidRDefault="00FA2FF9" w:rsidP="000A65A9">
            <w:pPr>
              <w:pStyle w:val="NoSpacing"/>
              <w:jc w:val="right"/>
              <w:rPr>
                <w:b w:val="0"/>
                <w:color w:val="FFFFFF" w:themeColor="background1"/>
              </w:rPr>
            </w:pPr>
            <w:r w:rsidRPr="00730DE4">
              <w:rPr>
                <w:color w:val="FFFFFF" w:themeColor="background1"/>
              </w:rPr>
              <w:t>2023–24 $ Amount</w:t>
            </w:r>
          </w:p>
        </w:tc>
      </w:tr>
      <w:tr w:rsidR="00FA2FF9" w:rsidRPr="00730DE4" w14:paraId="705AD084" w14:textId="77777777" w:rsidTr="00B9757A">
        <w:trPr>
          <w:cnfStyle w:val="000000100000" w:firstRow="0" w:lastRow="0" w:firstColumn="0" w:lastColumn="0" w:oddVBand="0" w:evenVBand="0" w:oddHBand="1" w:evenHBand="0" w:firstRowFirstColumn="0" w:firstRowLastColumn="0" w:lastRowFirstColumn="0" w:lastRowLastColumn="0"/>
          <w:trHeight w:val="255"/>
        </w:trPr>
        <w:tc>
          <w:tcPr>
            <w:tcW w:w="4074" w:type="pct"/>
            <w:noWrap/>
            <w:hideMark/>
          </w:tcPr>
          <w:p w14:paraId="3021B449" w14:textId="77777777" w:rsidR="00FA2FF9" w:rsidRPr="00730DE4" w:rsidRDefault="00FA2FF9" w:rsidP="002231D6">
            <w:pPr>
              <w:pStyle w:val="NoSpacing"/>
            </w:pPr>
            <w:r w:rsidRPr="00730DE4">
              <w:t>Qantas Airways Ltd ACN 009 661 901</w:t>
            </w:r>
          </w:p>
        </w:tc>
        <w:tc>
          <w:tcPr>
            <w:tcW w:w="926" w:type="pct"/>
            <w:noWrap/>
            <w:hideMark/>
          </w:tcPr>
          <w:p w14:paraId="180E1C27" w14:textId="77777777" w:rsidR="00FA2FF9" w:rsidRPr="00730DE4" w:rsidRDefault="00FA2FF9" w:rsidP="000A65A9">
            <w:pPr>
              <w:pStyle w:val="NoSpacing"/>
              <w:jc w:val="right"/>
            </w:pPr>
            <w:r w:rsidRPr="00730DE4">
              <w:t xml:space="preserve">3,862,627 </w:t>
            </w:r>
          </w:p>
        </w:tc>
      </w:tr>
      <w:tr w:rsidR="00FA2FF9" w:rsidRPr="00730DE4" w14:paraId="47687CE2" w14:textId="77777777" w:rsidTr="00B9757A">
        <w:trPr>
          <w:trHeight w:val="255"/>
        </w:trPr>
        <w:tc>
          <w:tcPr>
            <w:tcW w:w="4074" w:type="pct"/>
            <w:noWrap/>
            <w:hideMark/>
          </w:tcPr>
          <w:p w14:paraId="66FE5BAD" w14:textId="77777777" w:rsidR="00FA2FF9" w:rsidRPr="00730DE4" w:rsidRDefault="00FA2FF9" w:rsidP="002231D6">
            <w:pPr>
              <w:pStyle w:val="NoSpacing"/>
            </w:pPr>
            <w:r w:rsidRPr="00730DE4">
              <w:t>Regional Express Pty Ltd ACN 101 325 642</w:t>
            </w:r>
          </w:p>
        </w:tc>
        <w:tc>
          <w:tcPr>
            <w:tcW w:w="926" w:type="pct"/>
            <w:noWrap/>
            <w:hideMark/>
          </w:tcPr>
          <w:p w14:paraId="470FE246" w14:textId="77777777" w:rsidR="00FA2FF9" w:rsidRPr="00730DE4" w:rsidRDefault="00FA2FF9" w:rsidP="000A65A9">
            <w:pPr>
              <w:pStyle w:val="NoSpacing"/>
              <w:jc w:val="right"/>
            </w:pPr>
            <w:r w:rsidRPr="00730DE4">
              <w:t xml:space="preserve">11,912,782 </w:t>
            </w:r>
          </w:p>
        </w:tc>
      </w:tr>
      <w:tr w:rsidR="00FA2FF9" w:rsidRPr="00730DE4" w14:paraId="6AC8E960" w14:textId="77777777" w:rsidTr="00B9757A">
        <w:trPr>
          <w:cnfStyle w:val="000000100000" w:firstRow="0" w:lastRow="0" w:firstColumn="0" w:lastColumn="0" w:oddVBand="0" w:evenVBand="0" w:oddHBand="1" w:evenHBand="0" w:firstRowFirstColumn="0" w:firstRowLastColumn="0" w:lastRowFirstColumn="0" w:lastRowLastColumn="0"/>
          <w:trHeight w:val="255"/>
        </w:trPr>
        <w:tc>
          <w:tcPr>
            <w:tcW w:w="4074" w:type="pct"/>
            <w:noWrap/>
            <w:hideMark/>
          </w:tcPr>
          <w:p w14:paraId="0E8BC1B2" w14:textId="77777777" w:rsidR="00FA2FF9" w:rsidRPr="00730DE4" w:rsidRDefault="00FA2FF9" w:rsidP="002231D6">
            <w:pPr>
              <w:pStyle w:val="NoSpacing"/>
            </w:pPr>
            <w:r w:rsidRPr="00730DE4">
              <w:t>Skytrans Pty Ltd ACN 100 751 139</w:t>
            </w:r>
          </w:p>
        </w:tc>
        <w:tc>
          <w:tcPr>
            <w:tcW w:w="926" w:type="pct"/>
            <w:noWrap/>
            <w:hideMark/>
          </w:tcPr>
          <w:p w14:paraId="22928A1B" w14:textId="77777777" w:rsidR="00FA2FF9" w:rsidRPr="00730DE4" w:rsidRDefault="00FA2FF9" w:rsidP="000A65A9">
            <w:pPr>
              <w:pStyle w:val="NoSpacing"/>
              <w:jc w:val="right"/>
            </w:pPr>
            <w:r w:rsidRPr="00730DE4">
              <w:t xml:space="preserve">2,489,018 </w:t>
            </w:r>
          </w:p>
        </w:tc>
      </w:tr>
      <w:tr w:rsidR="00FA2FF9" w:rsidRPr="00730DE4" w14:paraId="5B7D3FAA" w14:textId="77777777" w:rsidTr="00B9757A">
        <w:trPr>
          <w:trHeight w:val="255"/>
        </w:trPr>
        <w:tc>
          <w:tcPr>
            <w:tcW w:w="4074" w:type="pct"/>
            <w:noWrap/>
            <w:hideMark/>
          </w:tcPr>
          <w:p w14:paraId="38ADF13A" w14:textId="77777777" w:rsidR="00FA2FF9" w:rsidRPr="00730DE4" w:rsidRDefault="00FA2FF9" w:rsidP="002231D6">
            <w:pPr>
              <w:pStyle w:val="NoSpacing"/>
            </w:pPr>
            <w:r w:rsidRPr="00730DE4">
              <w:t>Hinterland Aviation Pty Ltd ACN 010 617 893</w:t>
            </w:r>
          </w:p>
        </w:tc>
        <w:tc>
          <w:tcPr>
            <w:tcW w:w="926" w:type="pct"/>
            <w:noWrap/>
            <w:hideMark/>
          </w:tcPr>
          <w:p w14:paraId="040C0089" w14:textId="77777777" w:rsidR="00FA2FF9" w:rsidRPr="00730DE4" w:rsidRDefault="00FA2FF9" w:rsidP="000A65A9">
            <w:pPr>
              <w:pStyle w:val="NoSpacing"/>
              <w:jc w:val="right"/>
            </w:pPr>
            <w:r w:rsidRPr="00730DE4">
              <w:t xml:space="preserve">1,040,727 </w:t>
            </w:r>
          </w:p>
        </w:tc>
      </w:tr>
      <w:tr w:rsidR="00FA2FF9" w:rsidRPr="00730DE4" w14:paraId="016C17CC" w14:textId="77777777" w:rsidTr="00B9757A">
        <w:trPr>
          <w:cnfStyle w:val="010000000000" w:firstRow="0" w:lastRow="1" w:firstColumn="0" w:lastColumn="0" w:oddVBand="0" w:evenVBand="0" w:oddHBand="0" w:evenHBand="0" w:firstRowFirstColumn="0" w:firstRowLastColumn="0" w:lastRowFirstColumn="0" w:lastRowLastColumn="0"/>
          <w:trHeight w:val="255"/>
        </w:trPr>
        <w:tc>
          <w:tcPr>
            <w:tcW w:w="4074" w:type="pct"/>
            <w:noWrap/>
            <w:hideMark/>
          </w:tcPr>
          <w:p w14:paraId="6F0049ED" w14:textId="42B7AF81" w:rsidR="00FA2FF9" w:rsidRPr="00730DE4" w:rsidRDefault="00FA2FF9" w:rsidP="002231D6">
            <w:pPr>
              <w:pStyle w:val="NoSpacing"/>
            </w:pPr>
            <w:r w:rsidRPr="00730DE4">
              <w:t> </w:t>
            </w:r>
            <w:r w:rsidR="00B9757A" w:rsidRPr="00730DE4">
              <w:t>Total</w:t>
            </w:r>
          </w:p>
        </w:tc>
        <w:tc>
          <w:tcPr>
            <w:tcW w:w="926" w:type="pct"/>
            <w:noWrap/>
            <w:hideMark/>
          </w:tcPr>
          <w:p w14:paraId="7920FBE2" w14:textId="77777777" w:rsidR="00FA2FF9" w:rsidRPr="00730DE4" w:rsidRDefault="00FA2FF9" w:rsidP="000A65A9">
            <w:pPr>
              <w:pStyle w:val="NoSpacing"/>
              <w:jc w:val="right"/>
            </w:pPr>
            <w:r w:rsidRPr="00730DE4">
              <w:t>$19,305,154</w:t>
            </w:r>
          </w:p>
        </w:tc>
      </w:tr>
    </w:tbl>
    <w:p w14:paraId="1CCBA69D" w14:textId="77777777" w:rsidR="005009C7" w:rsidRDefault="005009C7" w:rsidP="002B7001">
      <w:pPr>
        <w:pStyle w:val="Heading4"/>
        <w:rPr>
          <w:lang w:val="en-US"/>
        </w:rPr>
      </w:pPr>
      <w:r>
        <w:rPr>
          <w:lang w:val="en-US"/>
        </w:rPr>
        <w:br w:type="page"/>
      </w:r>
    </w:p>
    <w:p w14:paraId="7B345DAD" w14:textId="416362A2" w:rsidR="00FA2FF9" w:rsidRPr="00730DE4" w:rsidRDefault="00FA2FF9" w:rsidP="002B7001">
      <w:pPr>
        <w:pStyle w:val="Heading4"/>
        <w:rPr>
          <w:lang w:val="en-US"/>
        </w:rPr>
      </w:pPr>
      <w:bookmarkStart w:id="1802" w:name="_Toc180487824"/>
      <w:bookmarkStart w:id="1803" w:name="_Toc180491029"/>
      <w:bookmarkStart w:id="1804" w:name="_Toc180492062"/>
      <w:r w:rsidRPr="00730DE4">
        <w:rPr>
          <w:lang w:val="en-US"/>
        </w:rPr>
        <w:t>Long distance bus</w:t>
      </w:r>
      <w:bookmarkEnd w:id="1802"/>
      <w:bookmarkEnd w:id="1803"/>
      <w:bookmarkEnd w:id="1804"/>
    </w:p>
    <w:p w14:paraId="22FABFE8" w14:textId="77777777" w:rsidR="00FA2FF9" w:rsidRPr="00730DE4" w:rsidRDefault="00FA2FF9" w:rsidP="009076DB">
      <w:pPr>
        <w:pStyle w:val="FigureCaption"/>
        <w:rPr>
          <w:lang w:val="en-US"/>
        </w:rPr>
      </w:pPr>
      <w:r w:rsidRPr="00730DE4">
        <w:rPr>
          <w:lang w:val="en-US"/>
        </w:rPr>
        <w:t>Table 67: Passenger transport operator payments: Rest of Queensland—Long distance bus</w:t>
      </w:r>
    </w:p>
    <w:tbl>
      <w:tblPr>
        <w:tblStyle w:val="TMRDefault"/>
        <w:tblW w:w="5000" w:type="pct"/>
        <w:tblLook w:val="04E0" w:firstRow="1" w:lastRow="1" w:firstColumn="1" w:lastColumn="0" w:noHBand="0" w:noVBand="1"/>
      </w:tblPr>
      <w:tblGrid>
        <w:gridCol w:w="11401"/>
        <w:gridCol w:w="2591"/>
      </w:tblGrid>
      <w:tr w:rsidR="00FA2FF9" w:rsidRPr="00730DE4" w14:paraId="2320C35B" w14:textId="77777777" w:rsidTr="00B9757A">
        <w:trPr>
          <w:cnfStyle w:val="100000000000" w:firstRow="1" w:lastRow="0" w:firstColumn="0" w:lastColumn="0" w:oddVBand="0" w:evenVBand="0" w:oddHBand="0" w:evenHBand="0" w:firstRowFirstColumn="0" w:firstRowLastColumn="0" w:lastRowFirstColumn="0" w:lastRowLastColumn="0"/>
          <w:trHeight w:val="255"/>
          <w:tblHeader/>
        </w:trPr>
        <w:tc>
          <w:tcPr>
            <w:tcW w:w="4074" w:type="pct"/>
            <w:noWrap/>
            <w:hideMark/>
          </w:tcPr>
          <w:p w14:paraId="08A0E181" w14:textId="77777777" w:rsidR="00FA2FF9" w:rsidRPr="00730DE4" w:rsidRDefault="00FA2FF9" w:rsidP="002231D6">
            <w:pPr>
              <w:pStyle w:val="NoSpacing"/>
              <w:rPr>
                <w:b w:val="0"/>
                <w:color w:val="FFFFFF" w:themeColor="background1"/>
              </w:rPr>
            </w:pPr>
            <w:r w:rsidRPr="00730DE4">
              <w:rPr>
                <w:color w:val="FFFFFF" w:themeColor="background1"/>
              </w:rPr>
              <w:t>Operator</w:t>
            </w:r>
          </w:p>
        </w:tc>
        <w:tc>
          <w:tcPr>
            <w:tcW w:w="926" w:type="pct"/>
            <w:noWrap/>
            <w:hideMark/>
          </w:tcPr>
          <w:p w14:paraId="1EF7CA83" w14:textId="77777777" w:rsidR="00FA2FF9" w:rsidRPr="00730DE4" w:rsidRDefault="00FA2FF9" w:rsidP="000A65A9">
            <w:pPr>
              <w:pStyle w:val="NoSpacing"/>
              <w:jc w:val="right"/>
              <w:rPr>
                <w:b w:val="0"/>
                <w:color w:val="FFFFFF" w:themeColor="background1"/>
              </w:rPr>
            </w:pPr>
            <w:r w:rsidRPr="00730DE4">
              <w:rPr>
                <w:color w:val="FFFFFF" w:themeColor="background1"/>
              </w:rPr>
              <w:t>2023–24 $ Amount</w:t>
            </w:r>
          </w:p>
        </w:tc>
      </w:tr>
      <w:tr w:rsidR="00FA2FF9" w:rsidRPr="00730DE4" w14:paraId="60BC782F" w14:textId="77777777" w:rsidTr="00B9757A">
        <w:trPr>
          <w:cnfStyle w:val="000000100000" w:firstRow="0" w:lastRow="0" w:firstColumn="0" w:lastColumn="0" w:oddVBand="0" w:evenVBand="0" w:oddHBand="1" w:evenHBand="0" w:firstRowFirstColumn="0" w:firstRowLastColumn="0" w:lastRowFirstColumn="0" w:lastRowLastColumn="0"/>
          <w:trHeight w:val="255"/>
        </w:trPr>
        <w:tc>
          <w:tcPr>
            <w:tcW w:w="4074" w:type="pct"/>
            <w:noWrap/>
            <w:hideMark/>
          </w:tcPr>
          <w:p w14:paraId="3AF343A4" w14:textId="77777777" w:rsidR="00FA2FF9" w:rsidRPr="00730DE4" w:rsidRDefault="00FA2FF9" w:rsidP="002231D6">
            <w:pPr>
              <w:pStyle w:val="NoSpacing"/>
            </w:pPr>
            <w:r w:rsidRPr="00730DE4">
              <w:t>Greyhound Australia Pty Ltd ACN 104 326 383</w:t>
            </w:r>
          </w:p>
        </w:tc>
        <w:tc>
          <w:tcPr>
            <w:tcW w:w="926" w:type="pct"/>
            <w:noWrap/>
            <w:hideMark/>
          </w:tcPr>
          <w:p w14:paraId="2176AC4B" w14:textId="77777777" w:rsidR="00FA2FF9" w:rsidRPr="00730DE4" w:rsidRDefault="00FA2FF9" w:rsidP="000A65A9">
            <w:pPr>
              <w:pStyle w:val="NoSpacing"/>
              <w:jc w:val="right"/>
            </w:pPr>
            <w:r w:rsidRPr="00730DE4">
              <w:t xml:space="preserve">3,016,256 </w:t>
            </w:r>
          </w:p>
        </w:tc>
      </w:tr>
      <w:tr w:rsidR="00FA2FF9" w:rsidRPr="00730DE4" w14:paraId="2FE2D23D" w14:textId="77777777" w:rsidTr="00B9757A">
        <w:trPr>
          <w:trHeight w:val="255"/>
        </w:trPr>
        <w:tc>
          <w:tcPr>
            <w:tcW w:w="4074" w:type="pct"/>
            <w:noWrap/>
            <w:hideMark/>
          </w:tcPr>
          <w:p w14:paraId="395B9318" w14:textId="77777777" w:rsidR="00FA2FF9" w:rsidRPr="00730DE4" w:rsidRDefault="00FA2FF9" w:rsidP="002231D6">
            <w:pPr>
              <w:pStyle w:val="NoSpacing"/>
            </w:pPr>
            <w:r w:rsidRPr="00730DE4">
              <w:t>Mackay Transit Coaches Pty Ltd ACN 050 416 227</w:t>
            </w:r>
          </w:p>
        </w:tc>
        <w:tc>
          <w:tcPr>
            <w:tcW w:w="926" w:type="pct"/>
            <w:noWrap/>
            <w:hideMark/>
          </w:tcPr>
          <w:p w14:paraId="0926C867" w14:textId="77777777" w:rsidR="00FA2FF9" w:rsidRPr="00730DE4" w:rsidRDefault="00FA2FF9" w:rsidP="000A65A9">
            <w:pPr>
              <w:pStyle w:val="NoSpacing"/>
              <w:jc w:val="right"/>
            </w:pPr>
            <w:r w:rsidRPr="00730DE4">
              <w:t xml:space="preserve">381,737 </w:t>
            </w:r>
          </w:p>
        </w:tc>
      </w:tr>
      <w:tr w:rsidR="00FA2FF9" w:rsidRPr="00730DE4" w14:paraId="2E13CDF2" w14:textId="77777777" w:rsidTr="00B9757A">
        <w:trPr>
          <w:cnfStyle w:val="000000100000" w:firstRow="0" w:lastRow="0" w:firstColumn="0" w:lastColumn="0" w:oddVBand="0" w:evenVBand="0" w:oddHBand="1" w:evenHBand="0" w:firstRowFirstColumn="0" w:firstRowLastColumn="0" w:lastRowFirstColumn="0" w:lastRowLastColumn="0"/>
          <w:trHeight w:val="255"/>
        </w:trPr>
        <w:tc>
          <w:tcPr>
            <w:tcW w:w="4074" w:type="pct"/>
            <w:noWrap/>
            <w:hideMark/>
          </w:tcPr>
          <w:p w14:paraId="2BA83831" w14:textId="77777777" w:rsidR="00FA2FF9" w:rsidRPr="00730DE4" w:rsidRDefault="00FA2FF9" w:rsidP="002231D6">
            <w:pPr>
              <w:pStyle w:val="NoSpacing"/>
            </w:pPr>
            <w:r w:rsidRPr="00730DE4">
              <w:t>North Burnett Regional Council ABN 23 439 388 197</w:t>
            </w:r>
          </w:p>
        </w:tc>
        <w:tc>
          <w:tcPr>
            <w:tcW w:w="926" w:type="pct"/>
            <w:noWrap/>
            <w:hideMark/>
          </w:tcPr>
          <w:p w14:paraId="6F8074F5" w14:textId="77777777" w:rsidR="00FA2FF9" w:rsidRPr="00730DE4" w:rsidRDefault="00FA2FF9" w:rsidP="000A65A9">
            <w:pPr>
              <w:pStyle w:val="NoSpacing"/>
              <w:jc w:val="right"/>
            </w:pPr>
            <w:r w:rsidRPr="00730DE4">
              <w:t xml:space="preserve">554,853 </w:t>
            </w:r>
          </w:p>
        </w:tc>
      </w:tr>
      <w:tr w:rsidR="00FA2FF9" w:rsidRPr="00730DE4" w14:paraId="7D4A4B86" w14:textId="77777777" w:rsidTr="00B9757A">
        <w:trPr>
          <w:trHeight w:val="255"/>
        </w:trPr>
        <w:tc>
          <w:tcPr>
            <w:tcW w:w="4074" w:type="pct"/>
            <w:noWrap/>
            <w:hideMark/>
          </w:tcPr>
          <w:p w14:paraId="48D088F7" w14:textId="77777777" w:rsidR="00FA2FF9" w:rsidRPr="00730DE4" w:rsidRDefault="00FA2FF9" w:rsidP="002231D6">
            <w:pPr>
              <w:pStyle w:val="NoSpacing"/>
            </w:pPr>
            <w:r w:rsidRPr="00730DE4">
              <w:t>Murrays Australia Pty Limited ABN 65 008 468 666 t/a Murrays Coaches</w:t>
            </w:r>
          </w:p>
        </w:tc>
        <w:tc>
          <w:tcPr>
            <w:tcW w:w="926" w:type="pct"/>
            <w:noWrap/>
            <w:hideMark/>
          </w:tcPr>
          <w:p w14:paraId="03235396" w14:textId="77777777" w:rsidR="00FA2FF9" w:rsidRPr="00730DE4" w:rsidRDefault="00FA2FF9" w:rsidP="000A65A9">
            <w:pPr>
              <w:pStyle w:val="NoSpacing"/>
              <w:jc w:val="right"/>
            </w:pPr>
            <w:r w:rsidRPr="00730DE4">
              <w:t xml:space="preserve">870,110 </w:t>
            </w:r>
          </w:p>
        </w:tc>
      </w:tr>
      <w:tr w:rsidR="00FA2FF9" w:rsidRPr="00730DE4" w14:paraId="67508310" w14:textId="77777777" w:rsidTr="00B9757A">
        <w:trPr>
          <w:cnfStyle w:val="000000100000" w:firstRow="0" w:lastRow="0" w:firstColumn="0" w:lastColumn="0" w:oddVBand="0" w:evenVBand="0" w:oddHBand="1" w:evenHBand="0" w:firstRowFirstColumn="0" w:firstRowLastColumn="0" w:lastRowFirstColumn="0" w:lastRowLastColumn="0"/>
          <w:trHeight w:val="255"/>
        </w:trPr>
        <w:tc>
          <w:tcPr>
            <w:tcW w:w="4074" w:type="pct"/>
            <w:noWrap/>
            <w:hideMark/>
          </w:tcPr>
          <w:p w14:paraId="26405011" w14:textId="77777777" w:rsidR="00FA2FF9" w:rsidRPr="00730DE4" w:rsidRDefault="00FA2FF9" w:rsidP="002231D6">
            <w:pPr>
              <w:pStyle w:val="NoSpacing"/>
            </w:pPr>
            <w:r w:rsidRPr="00730DE4">
              <w:t>Trans North Pty Ltd ACN 074 538 159 t/a Trans North Bus and Coach Service</w:t>
            </w:r>
          </w:p>
        </w:tc>
        <w:tc>
          <w:tcPr>
            <w:tcW w:w="926" w:type="pct"/>
            <w:noWrap/>
            <w:hideMark/>
          </w:tcPr>
          <w:p w14:paraId="0C4C5473" w14:textId="77777777" w:rsidR="00FA2FF9" w:rsidRPr="00730DE4" w:rsidRDefault="00FA2FF9" w:rsidP="000A65A9">
            <w:pPr>
              <w:pStyle w:val="NoSpacing"/>
              <w:jc w:val="right"/>
            </w:pPr>
            <w:r w:rsidRPr="00730DE4">
              <w:t xml:space="preserve">651,825 </w:t>
            </w:r>
          </w:p>
        </w:tc>
      </w:tr>
      <w:tr w:rsidR="00FA2FF9" w:rsidRPr="00730DE4" w14:paraId="77435EA6" w14:textId="77777777" w:rsidTr="00B9757A">
        <w:trPr>
          <w:cnfStyle w:val="010000000000" w:firstRow="0" w:lastRow="1" w:firstColumn="0" w:lastColumn="0" w:oddVBand="0" w:evenVBand="0" w:oddHBand="0" w:evenHBand="0" w:firstRowFirstColumn="0" w:firstRowLastColumn="0" w:lastRowFirstColumn="0" w:lastRowLastColumn="0"/>
          <w:trHeight w:val="255"/>
        </w:trPr>
        <w:tc>
          <w:tcPr>
            <w:tcW w:w="4074" w:type="pct"/>
            <w:noWrap/>
            <w:hideMark/>
          </w:tcPr>
          <w:p w14:paraId="16C0DB00" w14:textId="055870CB" w:rsidR="00FA2FF9" w:rsidRPr="00730DE4" w:rsidRDefault="00FA2FF9" w:rsidP="002231D6">
            <w:pPr>
              <w:pStyle w:val="NoSpacing"/>
            </w:pPr>
            <w:r w:rsidRPr="00730DE4">
              <w:t> </w:t>
            </w:r>
            <w:r w:rsidR="00B9757A" w:rsidRPr="00730DE4">
              <w:t>Total</w:t>
            </w:r>
          </w:p>
        </w:tc>
        <w:tc>
          <w:tcPr>
            <w:tcW w:w="926" w:type="pct"/>
            <w:noWrap/>
            <w:hideMark/>
          </w:tcPr>
          <w:p w14:paraId="7F9E4ED6" w14:textId="77777777" w:rsidR="00FA2FF9" w:rsidRPr="00730DE4" w:rsidRDefault="00FA2FF9" w:rsidP="000A65A9">
            <w:pPr>
              <w:pStyle w:val="NoSpacing"/>
              <w:jc w:val="right"/>
            </w:pPr>
            <w:r w:rsidRPr="00730DE4">
              <w:t>$5,474,781</w:t>
            </w:r>
          </w:p>
        </w:tc>
      </w:tr>
    </w:tbl>
    <w:p w14:paraId="1AF46963" w14:textId="77777777" w:rsidR="00FA2FF9" w:rsidRPr="00730DE4" w:rsidRDefault="00FA2FF9" w:rsidP="002B7001">
      <w:pPr>
        <w:pStyle w:val="Heading4"/>
        <w:rPr>
          <w:lang w:val="en-US"/>
        </w:rPr>
      </w:pPr>
      <w:bookmarkStart w:id="1805" w:name="_Toc180487825"/>
      <w:bookmarkStart w:id="1806" w:name="_Toc180491030"/>
      <w:bookmarkStart w:id="1807" w:name="_Toc180492063"/>
      <w:r w:rsidRPr="00730DE4">
        <w:rPr>
          <w:lang w:val="en-US"/>
        </w:rPr>
        <w:t>Regional railbus</w:t>
      </w:r>
      <w:bookmarkEnd w:id="1805"/>
      <w:bookmarkEnd w:id="1806"/>
      <w:bookmarkEnd w:id="1807"/>
    </w:p>
    <w:p w14:paraId="2D7BC405" w14:textId="77777777" w:rsidR="00FA2FF9" w:rsidRPr="00730DE4" w:rsidRDefault="00FA2FF9" w:rsidP="006F1934">
      <w:pPr>
        <w:pStyle w:val="FigureCaption"/>
        <w:rPr>
          <w:lang w:val="en-US"/>
        </w:rPr>
      </w:pPr>
      <w:r w:rsidRPr="00730DE4">
        <w:rPr>
          <w:lang w:val="en-US"/>
        </w:rPr>
        <w:t xml:space="preserve">Table 68: Passenger transport operator payments: Rest of Queensland—Regional railbus </w:t>
      </w:r>
    </w:p>
    <w:tbl>
      <w:tblPr>
        <w:tblStyle w:val="TMRDefault"/>
        <w:tblW w:w="5000" w:type="pct"/>
        <w:tblLook w:val="04E0" w:firstRow="1" w:lastRow="1" w:firstColumn="1" w:lastColumn="0" w:noHBand="0" w:noVBand="1"/>
      </w:tblPr>
      <w:tblGrid>
        <w:gridCol w:w="11401"/>
        <w:gridCol w:w="2591"/>
      </w:tblGrid>
      <w:tr w:rsidR="00FA2FF9" w:rsidRPr="00730DE4" w14:paraId="22DD2635" w14:textId="77777777" w:rsidTr="00B9757A">
        <w:trPr>
          <w:cnfStyle w:val="100000000000" w:firstRow="1" w:lastRow="0" w:firstColumn="0" w:lastColumn="0" w:oddVBand="0" w:evenVBand="0" w:oddHBand="0" w:evenHBand="0" w:firstRowFirstColumn="0" w:firstRowLastColumn="0" w:lastRowFirstColumn="0" w:lastRowLastColumn="0"/>
          <w:trHeight w:val="255"/>
          <w:tblHeader/>
        </w:trPr>
        <w:tc>
          <w:tcPr>
            <w:tcW w:w="4074" w:type="pct"/>
            <w:noWrap/>
            <w:hideMark/>
          </w:tcPr>
          <w:p w14:paraId="001BD17B" w14:textId="77777777" w:rsidR="00FA2FF9" w:rsidRPr="00730DE4" w:rsidRDefault="00FA2FF9" w:rsidP="002231D6">
            <w:pPr>
              <w:pStyle w:val="NoSpacing"/>
              <w:rPr>
                <w:b w:val="0"/>
                <w:color w:val="FFFFFF" w:themeColor="background1"/>
              </w:rPr>
            </w:pPr>
            <w:r w:rsidRPr="00730DE4">
              <w:rPr>
                <w:color w:val="FFFFFF" w:themeColor="background1"/>
              </w:rPr>
              <w:t>Operator</w:t>
            </w:r>
          </w:p>
        </w:tc>
        <w:tc>
          <w:tcPr>
            <w:tcW w:w="926" w:type="pct"/>
            <w:noWrap/>
            <w:hideMark/>
          </w:tcPr>
          <w:p w14:paraId="4640111B" w14:textId="77777777" w:rsidR="00FA2FF9" w:rsidRPr="00730DE4" w:rsidRDefault="00FA2FF9" w:rsidP="000A65A9">
            <w:pPr>
              <w:pStyle w:val="NoSpacing"/>
              <w:jc w:val="right"/>
              <w:rPr>
                <w:b w:val="0"/>
                <w:color w:val="FFFFFF" w:themeColor="background1"/>
              </w:rPr>
            </w:pPr>
            <w:r w:rsidRPr="00730DE4">
              <w:rPr>
                <w:color w:val="FFFFFF" w:themeColor="background1"/>
              </w:rPr>
              <w:t>2023–24 $ Amount</w:t>
            </w:r>
          </w:p>
        </w:tc>
      </w:tr>
      <w:tr w:rsidR="00FA2FF9" w:rsidRPr="00730DE4" w14:paraId="737F78C5" w14:textId="77777777" w:rsidTr="00B9757A">
        <w:trPr>
          <w:cnfStyle w:val="000000100000" w:firstRow="0" w:lastRow="0" w:firstColumn="0" w:lastColumn="0" w:oddVBand="0" w:evenVBand="0" w:oddHBand="1" w:evenHBand="0" w:firstRowFirstColumn="0" w:firstRowLastColumn="0" w:lastRowFirstColumn="0" w:lastRowLastColumn="0"/>
          <w:trHeight w:val="255"/>
        </w:trPr>
        <w:tc>
          <w:tcPr>
            <w:tcW w:w="4074" w:type="pct"/>
            <w:noWrap/>
            <w:hideMark/>
          </w:tcPr>
          <w:p w14:paraId="190F889D" w14:textId="77777777" w:rsidR="00FA2FF9" w:rsidRPr="00730DE4" w:rsidRDefault="00FA2FF9" w:rsidP="002231D6">
            <w:pPr>
              <w:pStyle w:val="NoSpacing"/>
            </w:pPr>
            <w:r w:rsidRPr="00730DE4">
              <w:t>TD &amp; GR Eckel Pty Ltd ACN 074 098 114</w:t>
            </w:r>
          </w:p>
        </w:tc>
        <w:tc>
          <w:tcPr>
            <w:tcW w:w="926" w:type="pct"/>
            <w:noWrap/>
            <w:hideMark/>
          </w:tcPr>
          <w:p w14:paraId="03F89BD9" w14:textId="77777777" w:rsidR="00FA2FF9" w:rsidRPr="00730DE4" w:rsidRDefault="00FA2FF9" w:rsidP="000A65A9">
            <w:pPr>
              <w:pStyle w:val="NoSpacing"/>
              <w:jc w:val="right"/>
            </w:pPr>
            <w:r w:rsidRPr="00730DE4">
              <w:t xml:space="preserve">246,895 </w:t>
            </w:r>
          </w:p>
        </w:tc>
      </w:tr>
      <w:tr w:rsidR="00FA2FF9" w:rsidRPr="00730DE4" w14:paraId="73A8D0E1" w14:textId="77777777" w:rsidTr="00B9757A">
        <w:trPr>
          <w:trHeight w:val="255"/>
        </w:trPr>
        <w:tc>
          <w:tcPr>
            <w:tcW w:w="4074" w:type="pct"/>
            <w:noWrap/>
            <w:hideMark/>
          </w:tcPr>
          <w:p w14:paraId="7C490C75" w14:textId="77777777" w:rsidR="00FA2FF9" w:rsidRPr="00730DE4" w:rsidRDefault="00FA2FF9" w:rsidP="002231D6">
            <w:pPr>
              <w:pStyle w:val="NoSpacing"/>
            </w:pPr>
            <w:r w:rsidRPr="00730DE4">
              <w:t>Outback Aussie Tours Pty Ltd ACN 010 813 313</w:t>
            </w:r>
          </w:p>
        </w:tc>
        <w:tc>
          <w:tcPr>
            <w:tcW w:w="926" w:type="pct"/>
            <w:noWrap/>
            <w:hideMark/>
          </w:tcPr>
          <w:p w14:paraId="196FDE1D" w14:textId="77777777" w:rsidR="00FA2FF9" w:rsidRPr="00730DE4" w:rsidRDefault="00FA2FF9" w:rsidP="000A65A9">
            <w:pPr>
              <w:pStyle w:val="NoSpacing"/>
              <w:jc w:val="right"/>
            </w:pPr>
            <w:r w:rsidRPr="00730DE4">
              <w:t xml:space="preserve">129,141 </w:t>
            </w:r>
          </w:p>
        </w:tc>
      </w:tr>
      <w:tr w:rsidR="00FA2FF9" w:rsidRPr="00730DE4" w14:paraId="0EDAE0F1" w14:textId="77777777" w:rsidTr="00B9757A">
        <w:trPr>
          <w:cnfStyle w:val="010000000000" w:firstRow="0" w:lastRow="1" w:firstColumn="0" w:lastColumn="0" w:oddVBand="0" w:evenVBand="0" w:oddHBand="0" w:evenHBand="0" w:firstRowFirstColumn="0" w:firstRowLastColumn="0" w:lastRowFirstColumn="0" w:lastRowLastColumn="0"/>
          <w:trHeight w:val="255"/>
        </w:trPr>
        <w:tc>
          <w:tcPr>
            <w:tcW w:w="4074" w:type="pct"/>
            <w:noWrap/>
            <w:hideMark/>
          </w:tcPr>
          <w:p w14:paraId="2E62397B" w14:textId="64577574" w:rsidR="00FA2FF9" w:rsidRPr="00730DE4" w:rsidRDefault="00FA2FF9" w:rsidP="002231D6">
            <w:pPr>
              <w:pStyle w:val="NoSpacing"/>
            </w:pPr>
            <w:r w:rsidRPr="00730DE4">
              <w:t> </w:t>
            </w:r>
            <w:r w:rsidR="00B9757A" w:rsidRPr="00730DE4">
              <w:t>Total</w:t>
            </w:r>
          </w:p>
        </w:tc>
        <w:tc>
          <w:tcPr>
            <w:tcW w:w="926" w:type="pct"/>
            <w:noWrap/>
            <w:hideMark/>
          </w:tcPr>
          <w:p w14:paraId="0943F356" w14:textId="77777777" w:rsidR="00FA2FF9" w:rsidRPr="00730DE4" w:rsidRDefault="00FA2FF9" w:rsidP="000A65A9">
            <w:pPr>
              <w:pStyle w:val="NoSpacing"/>
              <w:jc w:val="right"/>
            </w:pPr>
            <w:r w:rsidRPr="00730DE4">
              <w:t>$376,036</w:t>
            </w:r>
          </w:p>
        </w:tc>
      </w:tr>
    </w:tbl>
    <w:p w14:paraId="1F7943A5" w14:textId="77777777" w:rsidR="00FA2FF9" w:rsidRPr="00730DE4" w:rsidRDefault="00FA2FF9" w:rsidP="002B7001">
      <w:pPr>
        <w:pStyle w:val="Heading4"/>
        <w:rPr>
          <w:lang w:val="en-US"/>
        </w:rPr>
      </w:pPr>
      <w:bookmarkStart w:id="1808" w:name="_Toc180487826"/>
      <w:bookmarkStart w:id="1809" w:name="_Toc180491031"/>
      <w:bookmarkStart w:id="1810" w:name="_Toc180492064"/>
      <w:r w:rsidRPr="00730DE4">
        <w:rPr>
          <w:lang w:val="en-US"/>
        </w:rPr>
        <w:t>Total payments</w:t>
      </w:r>
      <w:bookmarkEnd w:id="1808"/>
      <w:bookmarkEnd w:id="1809"/>
      <w:bookmarkEnd w:id="1810"/>
      <w:r w:rsidRPr="00730DE4">
        <w:rPr>
          <w:lang w:val="en-US"/>
        </w:rPr>
        <w:t xml:space="preserve"> </w:t>
      </w:r>
    </w:p>
    <w:p w14:paraId="0A24C8EB" w14:textId="77777777" w:rsidR="00FA2FF9" w:rsidRPr="00730DE4" w:rsidRDefault="00FA2FF9" w:rsidP="006F1934">
      <w:pPr>
        <w:pStyle w:val="FigureCaption"/>
        <w:rPr>
          <w:lang w:val="en-US"/>
        </w:rPr>
      </w:pPr>
      <w:r w:rsidRPr="00730DE4">
        <w:rPr>
          <w:lang w:val="en-US"/>
        </w:rPr>
        <w:t>Table 69: Passenger transport operator payments: Rest of Queensland—Total payments</w:t>
      </w:r>
    </w:p>
    <w:tbl>
      <w:tblPr>
        <w:tblStyle w:val="TMRDefault"/>
        <w:tblW w:w="5000" w:type="pct"/>
        <w:tblLook w:val="04A0" w:firstRow="1" w:lastRow="0" w:firstColumn="1" w:lastColumn="0" w:noHBand="0" w:noVBand="1"/>
      </w:tblPr>
      <w:tblGrid>
        <w:gridCol w:w="11401"/>
        <w:gridCol w:w="2591"/>
      </w:tblGrid>
      <w:tr w:rsidR="00FA2FF9" w:rsidRPr="00730DE4" w14:paraId="706C75DA" w14:textId="77777777" w:rsidTr="002231D6">
        <w:trPr>
          <w:cnfStyle w:val="100000000000" w:firstRow="1" w:lastRow="0" w:firstColumn="0" w:lastColumn="0" w:oddVBand="0" w:evenVBand="0" w:oddHBand="0" w:evenHBand="0" w:firstRowFirstColumn="0" w:firstRowLastColumn="0" w:lastRowFirstColumn="0" w:lastRowLastColumn="0"/>
          <w:trHeight w:val="255"/>
          <w:tblHeader/>
        </w:trPr>
        <w:tc>
          <w:tcPr>
            <w:tcW w:w="4074" w:type="pct"/>
            <w:noWrap/>
            <w:hideMark/>
          </w:tcPr>
          <w:p w14:paraId="403C86C9" w14:textId="77777777" w:rsidR="00FA2FF9" w:rsidRPr="00730DE4" w:rsidRDefault="00FA2FF9" w:rsidP="002231D6">
            <w:pPr>
              <w:pStyle w:val="NoSpacing"/>
              <w:rPr>
                <w:color w:val="FFFFFF" w:themeColor="background1"/>
              </w:rPr>
            </w:pPr>
            <w:r w:rsidRPr="00730DE4">
              <w:rPr>
                <w:color w:val="FFFFFF" w:themeColor="background1"/>
              </w:rPr>
              <w:t> </w:t>
            </w:r>
          </w:p>
        </w:tc>
        <w:tc>
          <w:tcPr>
            <w:tcW w:w="926" w:type="pct"/>
            <w:noWrap/>
            <w:hideMark/>
          </w:tcPr>
          <w:p w14:paraId="6D0B9553" w14:textId="77777777" w:rsidR="00FA2FF9" w:rsidRPr="00730DE4" w:rsidRDefault="00FA2FF9" w:rsidP="000A65A9">
            <w:pPr>
              <w:pStyle w:val="NoSpacing"/>
              <w:jc w:val="right"/>
              <w:rPr>
                <w:b w:val="0"/>
                <w:bCs/>
                <w:color w:val="FFFFFF" w:themeColor="background1"/>
              </w:rPr>
            </w:pPr>
            <w:r w:rsidRPr="00730DE4">
              <w:rPr>
                <w:bCs/>
                <w:color w:val="FFFFFF" w:themeColor="background1"/>
              </w:rPr>
              <w:t> </w:t>
            </w:r>
          </w:p>
        </w:tc>
      </w:tr>
      <w:tr w:rsidR="00FA2FF9" w:rsidRPr="00730DE4" w14:paraId="31780FD6" w14:textId="77777777" w:rsidTr="002231D6">
        <w:trPr>
          <w:cnfStyle w:val="000000100000" w:firstRow="0" w:lastRow="0" w:firstColumn="0" w:lastColumn="0" w:oddVBand="0" w:evenVBand="0" w:oddHBand="1" w:evenHBand="0" w:firstRowFirstColumn="0" w:firstRowLastColumn="0" w:lastRowFirstColumn="0" w:lastRowLastColumn="0"/>
          <w:trHeight w:val="255"/>
        </w:trPr>
        <w:tc>
          <w:tcPr>
            <w:tcW w:w="4074" w:type="pct"/>
            <w:noWrap/>
            <w:hideMark/>
          </w:tcPr>
          <w:p w14:paraId="0BF23132" w14:textId="77777777" w:rsidR="00FA2FF9" w:rsidRPr="00730DE4" w:rsidRDefault="00FA2FF9" w:rsidP="002231D6">
            <w:pPr>
              <w:pStyle w:val="NoSpacing"/>
              <w:rPr>
                <w:bCs/>
              </w:rPr>
            </w:pPr>
            <w:r w:rsidRPr="00730DE4">
              <w:rPr>
                <w:bCs/>
              </w:rPr>
              <w:t>Total payments</w:t>
            </w:r>
          </w:p>
        </w:tc>
        <w:tc>
          <w:tcPr>
            <w:tcW w:w="926" w:type="pct"/>
            <w:noWrap/>
            <w:hideMark/>
          </w:tcPr>
          <w:p w14:paraId="65560E86" w14:textId="77777777" w:rsidR="00FA2FF9" w:rsidRPr="00730DE4" w:rsidRDefault="00FA2FF9" w:rsidP="000A65A9">
            <w:pPr>
              <w:pStyle w:val="NoSpacing"/>
              <w:jc w:val="right"/>
              <w:rPr>
                <w:bCs/>
              </w:rPr>
            </w:pPr>
            <w:r w:rsidRPr="00730DE4">
              <w:rPr>
                <w:bCs/>
              </w:rPr>
              <w:t>$672,156,764</w:t>
            </w:r>
          </w:p>
        </w:tc>
      </w:tr>
    </w:tbl>
    <w:p w14:paraId="06E952FA" w14:textId="77777777" w:rsidR="00E10FC7" w:rsidRPr="00730DE4" w:rsidRDefault="00E10FC7">
      <w:pPr>
        <w:suppressAutoHyphens w:val="0"/>
        <w:spacing w:before="0" w:line="259" w:lineRule="auto"/>
        <w:rPr>
          <w:rFonts w:eastAsiaTheme="majorEastAsia" w:cstheme="majorBidi"/>
          <w:color w:val="080C0F" w:themeColor="text1"/>
          <w:sz w:val="60"/>
          <w:szCs w:val="32"/>
          <w:lang w:val="en-US"/>
        </w:rPr>
      </w:pPr>
      <w:r w:rsidRPr="00730DE4">
        <w:rPr>
          <w:lang w:val="en-US"/>
        </w:rPr>
        <w:br w:type="page"/>
      </w:r>
    </w:p>
    <w:p w14:paraId="4C29BFCA" w14:textId="6C2C9F54" w:rsidR="00FA2FF9" w:rsidRPr="00730DE4" w:rsidRDefault="00FA2FF9" w:rsidP="002B7001">
      <w:pPr>
        <w:pStyle w:val="Heading2"/>
        <w:rPr>
          <w:lang w:val="en-US"/>
        </w:rPr>
      </w:pPr>
      <w:bookmarkStart w:id="1811" w:name="_Toc180491032"/>
      <w:bookmarkStart w:id="1812" w:name="_Toc180492065"/>
      <w:r w:rsidRPr="00730DE4">
        <w:rPr>
          <w:lang w:val="en-US"/>
        </w:rPr>
        <w:t>Appendix 5: Queensland Government bodies</w:t>
      </w:r>
      <w:bookmarkEnd w:id="1811"/>
      <w:bookmarkEnd w:id="1812"/>
    </w:p>
    <w:p w14:paraId="78AF88D0" w14:textId="77777777" w:rsidR="00FA2FF9" w:rsidRPr="00730DE4" w:rsidRDefault="00FA2FF9" w:rsidP="002B7001">
      <w:pPr>
        <w:pStyle w:val="Heading3"/>
        <w:rPr>
          <w:lang w:val="en-US"/>
        </w:rPr>
      </w:pPr>
      <w:bookmarkStart w:id="1813" w:name="_Toc180487828"/>
      <w:bookmarkStart w:id="1814" w:name="_Toc180491033"/>
      <w:bookmarkStart w:id="1815" w:name="_Toc180492066"/>
      <w:r w:rsidRPr="00730DE4">
        <w:rPr>
          <w:lang w:val="en-US"/>
        </w:rPr>
        <w:t>Public Transport Fares Advisory Panel</w:t>
      </w:r>
      <w:bookmarkEnd w:id="1813"/>
      <w:bookmarkEnd w:id="1814"/>
      <w:bookmarkEnd w:id="1815"/>
    </w:p>
    <w:tbl>
      <w:tblPr>
        <w:tblStyle w:val="TMRDefault"/>
        <w:tblW w:w="5000" w:type="pct"/>
        <w:tblLook w:val="04A0" w:firstRow="1" w:lastRow="0" w:firstColumn="1" w:lastColumn="0" w:noHBand="0" w:noVBand="1"/>
      </w:tblPr>
      <w:tblGrid>
        <w:gridCol w:w="3025"/>
        <w:gridCol w:w="10967"/>
      </w:tblGrid>
      <w:tr w:rsidR="00FA2FF9" w:rsidRPr="00730DE4" w14:paraId="7293A04C" w14:textId="77777777" w:rsidTr="000A65A9">
        <w:trPr>
          <w:cnfStyle w:val="100000000000" w:firstRow="1" w:lastRow="0" w:firstColumn="0" w:lastColumn="0" w:oddVBand="0" w:evenVBand="0" w:oddHBand="0" w:evenHBand="0" w:firstRowFirstColumn="0" w:firstRowLastColumn="0" w:lastRowFirstColumn="0" w:lastRowLastColumn="0"/>
        </w:trPr>
        <w:tc>
          <w:tcPr>
            <w:tcW w:w="1081" w:type="pct"/>
            <w:hideMark/>
          </w:tcPr>
          <w:p w14:paraId="01208B01" w14:textId="77777777" w:rsidR="00FA2FF9" w:rsidRPr="00730DE4" w:rsidRDefault="00FA2FF9" w:rsidP="00FD77E8">
            <w:pPr>
              <w:pStyle w:val="NoSpacing"/>
              <w:rPr>
                <w:color w:val="FFFFFF" w:themeColor="background1"/>
              </w:rPr>
            </w:pPr>
            <w:r w:rsidRPr="00730DE4">
              <w:rPr>
                <w:color w:val="FFFFFF" w:themeColor="background1"/>
              </w:rPr>
              <w:t xml:space="preserve">Act or instrument </w:t>
            </w:r>
          </w:p>
        </w:tc>
        <w:tc>
          <w:tcPr>
            <w:tcW w:w="3919" w:type="pct"/>
            <w:hideMark/>
          </w:tcPr>
          <w:p w14:paraId="58814728" w14:textId="77777777" w:rsidR="00FA2FF9" w:rsidRPr="00730DE4" w:rsidRDefault="00FA2FF9" w:rsidP="00FD77E8">
            <w:pPr>
              <w:pStyle w:val="NoSpacing"/>
              <w:rPr>
                <w:color w:val="FFFFFF" w:themeColor="background1"/>
              </w:rPr>
            </w:pPr>
            <w:r w:rsidRPr="00730DE4">
              <w:rPr>
                <w:color w:val="FFFFFF" w:themeColor="background1"/>
              </w:rPr>
              <w:t xml:space="preserve">Terms of Reference </w:t>
            </w:r>
          </w:p>
        </w:tc>
      </w:tr>
      <w:tr w:rsidR="00FA2FF9" w:rsidRPr="00730DE4" w14:paraId="66E0D527" w14:textId="77777777" w:rsidTr="000A65A9">
        <w:trPr>
          <w:cnfStyle w:val="000000100000" w:firstRow="0" w:lastRow="0" w:firstColumn="0" w:lastColumn="0" w:oddVBand="0" w:evenVBand="0" w:oddHBand="1" w:evenHBand="0" w:firstRowFirstColumn="0" w:firstRowLastColumn="0" w:lastRowFirstColumn="0" w:lastRowLastColumn="0"/>
        </w:trPr>
        <w:tc>
          <w:tcPr>
            <w:tcW w:w="1081" w:type="pct"/>
            <w:hideMark/>
          </w:tcPr>
          <w:p w14:paraId="247975F4" w14:textId="77777777" w:rsidR="00FA2FF9" w:rsidRPr="00730DE4" w:rsidRDefault="00FA2FF9" w:rsidP="00FD77E8">
            <w:pPr>
              <w:pStyle w:val="NoSpacing"/>
            </w:pPr>
            <w:r w:rsidRPr="00730DE4">
              <w:t xml:space="preserve">Functions </w:t>
            </w:r>
          </w:p>
        </w:tc>
        <w:tc>
          <w:tcPr>
            <w:tcW w:w="3919" w:type="pct"/>
            <w:hideMark/>
          </w:tcPr>
          <w:p w14:paraId="62AECC4F" w14:textId="77777777" w:rsidR="00FA2FF9" w:rsidRPr="00730DE4" w:rsidRDefault="00FA2FF9" w:rsidP="00FD77E8">
            <w:pPr>
              <w:pStyle w:val="NoSpacing"/>
            </w:pPr>
            <w:r w:rsidRPr="00730DE4">
              <w:t xml:space="preserve">The purpose of the Panel is to provide independent expert advice to the Queensland Government on changes it may propose to public transport fares, products, and ticketing in the future. </w:t>
            </w:r>
          </w:p>
        </w:tc>
      </w:tr>
      <w:tr w:rsidR="00FA2FF9" w:rsidRPr="00730DE4" w14:paraId="0163119E" w14:textId="77777777" w:rsidTr="000A65A9">
        <w:tc>
          <w:tcPr>
            <w:tcW w:w="1081" w:type="pct"/>
            <w:hideMark/>
          </w:tcPr>
          <w:p w14:paraId="5A5E2CEE" w14:textId="77777777" w:rsidR="00FA2FF9" w:rsidRPr="00730DE4" w:rsidRDefault="00FA2FF9" w:rsidP="00FD77E8">
            <w:pPr>
              <w:pStyle w:val="NoSpacing"/>
            </w:pPr>
            <w:r w:rsidRPr="00730DE4">
              <w:t xml:space="preserve">Achievements </w:t>
            </w:r>
          </w:p>
        </w:tc>
        <w:tc>
          <w:tcPr>
            <w:tcW w:w="3919" w:type="pct"/>
            <w:hideMark/>
          </w:tcPr>
          <w:p w14:paraId="69EE98A6" w14:textId="77777777" w:rsidR="00FA2FF9" w:rsidRPr="00730DE4" w:rsidRDefault="00FA2FF9" w:rsidP="00FD77E8">
            <w:pPr>
              <w:pStyle w:val="NoSpacing"/>
            </w:pPr>
            <w:r w:rsidRPr="00730DE4">
              <w:t xml:space="preserve">The Panel met once during 2023–24 to consider and provide advice on fare policy proposals. </w:t>
            </w:r>
          </w:p>
        </w:tc>
      </w:tr>
      <w:tr w:rsidR="00FA2FF9" w:rsidRPr="00730DE4" w14:paraId="63FB7EF2" w14:textId="77777777" w:rsidTr="000A65A9">
        <w:trPr>
          <w:cnfStyle w:val="000000100000" w:firstRow="0" w:lastRow="0" w:firstColumn="0" w:lastColumn="0" w:oddVBand="0" w:evenVBand="0" w:oddHBand="1" w:evenHBand="0" w:firstRowFirstColumn="0" w:firstRowLastColumn="0" w:lastRowFirstColumn="0" w:lastRowLastColumn="0"/>
        </w:trPr>
        <w:tc>
          <w:tcPr>
            <w:tcW w:w="1081" w:type="pct"/>
            <w:hideMark/>
          </w:tcPr>
          <w:p w14:paraId="50A790CC" w14:textId="77777777" w:rsidR="00FA2FF9" w:rsidRPr="00730DE4" w:rsidRDefault="00FA2FF9" w:rsidP="00FD77E8">
            <w:pPr>
              <w:pStyle w:val="NoSpacing"/>
            </w:pPr>
            <w:r w:rsidRPr="00730DE4">
              <w:t xml:space="preserve">Financial reporting </w:t>
            </w:r>
          </w:p>
        </w:tc>
        <w:tc>
          <w:tcPr>
            <w:tcW w:w="3919" w:type="pct"/>
            <w:hideMark/>
          </w:tcPr>
          <w:p w14:paraId="476AB701" w14:textId="77777777" w:rsidR="00FA2FF9" w:rsidRPr="00730DE4" w:rsidRDefault="00FA2FF9" w:rsidP="00FD77E8">
            <w:pPr>
              <w:pStyle w:val="NoSpacing"/>
            </w:pPr>
            <w:r w:rsidRPr="00730DE4">
              <w:t xml:space="preserve">Transactions for the Public Transport Fares Advisory Panel are accounted for as part of the TMR’s Financial Statements process. </w:t>
            </w:r>
          </w:p>
        </w:tc>
      </w:tr>
    </w:tbl>
    <w:p w14:paraId="79CA5B3B" w14:textId="40EEF9C5" w:rsidR="00FA2FF9" w:rsidRPr="00730DE4" w:rsidRDefault="00FA2FF9" w:rsidP="002B7001">
      <w:pPr>
        <w:pStyle w:val="Heading4"/>
        <w:rPr>
          <w:lang w:val="en-US"/>
        </w:rPr>
      </w:pPr>
      <w:bookmarkStart w:id="1816" w:name="_Toc180487829"/>
      <w:bookmarkStart w:id="1817" w:name="_Toc180491034"/>
      <w:bookmarkStart w:id="1818" w:name="_Toc180492067"/>
      <w:r w:rsidRPr="00730DE4">
        <w:rPr>
          <w:lang w:val="en-US"/>
        </w:rPr>
        <w:t>Remuneration</w:t>
      </w:r>
      <w:bookmarkEnd w:id="1816"/>
      <w:bookmarkEnd w:id="1817"/>
      <w:bookmarkEnd w:id="1818"/>
      <w:r w:rsidRPr="00730DE4">
        <w:rPr>
          <w:lang w:val="en-US"/>
        </w:rPr>
        <w:t xml:space="preserve"> </w:t>
      </w:r>
    </w:p>
    <w:tbl>
      <w:tblPr>
        <w:tblStyle w:val="TMRDefault"/>
        <w:tblW w:w="5000" w:type="pct"/>
        <w:tblLook w:val="04A0" w:firstRow="1" w:lastRow="0" w:firstColumn="1" w:lastColumn="0" w:noHBand="0" w:noVBand="1"/>
      </w:tblPr>
      <w:tblGrid>
        <w:gridCol w:w="1943"/>
        <w:gridCol w:w="1965"/>
        <w:gridCol w:w="3561"/>
        <w:gridCol w:w="2208"/>
        <w:gridCol w:w="2331"/>
        <w:gridCol w:w="1984"/>
      </w:tblGrid>
      <w:tr w:rsidR="000A65A9" w:rsidRPr="00730DE4" w14:paraId="2906D2A7" w14:textId="77777777" w:rsidTr="00FD77E8">
        <w:trPr>
          <w:cnfStyle w:val="100000000000" w:firstRow="1" w:lastRow="0" w:firstColumn="0" w:lastColumn="0" w:oddVBand="0" w:evenVBand="0" w:oddHBand="0" w:evenHBand="0" w:firstRowFirstColumn="0" w:firstRowLastColumn="0" w:lastRowFirstColumn="0" w:lastRowLastColumn="0"/>
          <w:trHeight w:val="359"/>
          <w:tblHeader/>
        </w:trPr>
        <w:tc>
          <w:tcPr>
            <w:tcW w:w="694" w:type="pct"/>
            <w:hideMark/>
          </w:tcPr>
          <w:p w14:paraId="631AEDC1" w14:textId="77777777" w:rsidR="00FA2FF9" w:rsidRPr="00730DE4" w:rsidRDefault="00FA2FF9" w:rsidP="00FD77E8">
            <w:pPr>
              <w:pStyle w:val="NoSpacing"/>
              <w:rPr>
                <w:color w:val="FFFFFF" w:themeColor="background1"/>
              </w:rPr>
            </w:pPr>
            <w:r w:rsidRPr="00730DE4">
              <w:rPr>
                <w:color w:val="FFFFFF" w:themeColor="background1"/>
              </w:rPr>
              <w:t xml:space="preserve">Position </w:t>
            </w:r>
          </w:p>
        </w:tc>
        <w:tc>
          <w:tcPr>
            <w:tcW w:w="702" w:type="pct"/>
            <w:hideMark/>
          </w:tcPr>
          <w:p w14:paraId="1B1FE0C1" w14:textId="77777777" w:rsidR="00FA2FF9" w:rsidRPr="00730DE4" w:rsidRDefault="00FA2FF9" w:rsidP="00FD77E8">
            <w:pPr>
              <w:pStyle w:val="NoSpacing"/>
              <w:rPr>
                <w:color w:val="FFFFFF" w:themeColor="background1"/>
              </w:rPr>
            </w:pPr>
            <w:r w:rsidRPr="00730DE4">
              <w:rPr>
                <w:color w:val="FFFFFF" w:themeColor="background1"/>
              </w:rPr>
              <w:t xml:space="preserve">Name </w:t>
            </w:r>
          </w:p>
        </w:tc>
        <w:tc>
          <w:tcPr>
            <w:tcW w:w="1271" w:type="pct"/>
            <w:hideMark/>
          </w:tcPr>
          <w:p w14:paraId="30FE0536" w14:textId="77777777" w:rsidR="00FA2FF9" w:rsidRPr="00730DE4" w:rsidRDefault="00FA2FF9" w:rsidP="000A65A9">
            <w:pPr>
              <w:pStyle w:val="NoSpacing"/>
              <w:jc w:val="right"/>
              <w:rPr>
                <w:color w:val="FFFFFF" w:themeColor="background1"/>
              </w:rPr>
            </w:pPr>
            <w:r w:rsidRPr="00730DE4">
              <w:rPr>
                <w:color w:val="FFFFFF" w:themeColor="background1"/>
              </w:rPr>
              <w:t xml:space="preserve">Meetings/session attendance </w:t>
            </w:r>
          </w:p>
        </w:tc>
        <w:tc>
          <w:tcPr>
            <w:tcW w:w="789" w:type="pct"/>
            <w:hideMark/>
          </w:tcPr>
          <w:p w14:paraId="1C1AABD5" w14:textId="77777777" w:rsidR="00FA2FF9" w:rsidRPr="00730DE4" w:rsidRDefault="00FA2FF9" w:rsidP="000A65A9">
            <w:pPr>
              <w:pStyle w:val="NoSpacing"/>
              <w:jc w:val="right"/>
              <w:rPr>
                <w:color w:val="FFFFFF" w:themeColor="background1"/>
              </w:rPr>
            </w:pPr>
            <w:r w:rsidRPr="00730DE4">
              <w:rPr>
                <w:color w:val="FFFFFF" w:themeColor="background1"/>
              </w:rPr>
              <w:t xml:space="preserve">Approved annual, sessional or daily fee </w:t>
            </w:r>
          </w:p>
        </w:tc>
        <w:tc>
          <w:tcPr>
            <w:tcW w:w="833" w:type="pct"/>
            <w:hideMark/>
          </w:tcPr>
          <w:p w14:paraId="463EBB3B" w14:textId="77777777" w:rsidR="00FA2FF9" w:rsidRPr="00730DE4" w:rsidRDefault="00FA2FF9" w:rsidP="000A65A9">
            <w:pPr>
              <w:pStyle w:val="NoSpacing"/>
              <w:jc w:val="right"/>
              <w:rPr>
                <w:color w:val="FFFFFF" w:themeColor="background1"/>
              </w:rPr>
            </w:pPr>
            <w:r w:rsidRPr="00730DE4">
              <w:rPr>
                <w:color w:val="FFFFFF" w:themeColor="background1"/>
              </w:rPr>
              <w:t xml:space="preserve">Approved sub-committee fees if applicable </w:t>
            </w:r>
          </w:p>
        </w:tc>
        <w:tc>
          <w:tcPr>
            <w:tcW w:w="709" w:type="pct"/>
            <w:hideMark/>
          </w:tcPr>
          <w:p w14:paraId="6FA1B0C1" w14:textId="77777777" w:rsidR="00FA2FF9" w:rsidRPr="00730DE4" w:rsidRDefault="00FA2FF9" w:rsidP="000A65A9">
            <w:pPr>
              <w:pStyle w:val="NoSpacing"/>
              <w:jc w:val="right"/>
              <w:rPr>
                <w:color w:val="FFFFFF" w:themeColor="background1"/>
              </w:rPr>
            </w:pPr>
            <w:r w:rsidRPr="00730DE4">
              <w:rPr>
                <w:color w:val="FFFFFF" w:themeColor="background1"/>
              </w:rPr>
              <w:t xml:space="preserve">Actual fees received </w:t>
            </w:r>
          </w:p>
        </w:tc>
      </w:tr>
      <w:tr w:rsidR="002D6779" w:rsidRPr="00730DE4" w14:paraId="397A8A6F" w14:textId="77777777" w:rsidTr="00FD77E8">
        <w:trPr>
          <w:cnfStyle w:val="000000100000" w:firstRow="0" w:lastRow="0" w:firstColumn="0" w:lastColumn="0" w:oddVBand="0" w:evenVBand="0" w:oddHBand="1" w:evenHBand="0" w:firstRowFirstColumn="0" w:firstRowLastColumn="0" w:lastRowFirstColumn="0" w:lastRowLastColumn="0"/>
          <w:trHeight w:val="119"/>
        </w:trPr>
        <w:tc>
          <w:tcPr>
            <w:tcW w:w="694" w:type="pct"/>
            <w:hideMark/>
          </w:tcPr>
          <w:p w14:paraId="05CC11EF" w14:textId="77777777" w:rsidR="00FA2FF9" w:rsidRPr="00730DE4" w:rsidRDefault="00FA2FF9" w:rsidP="00FD77E8">
            <w:pPr>
              <w:pStyle w:val="NoSpacing"/>
            </w:pPr>
            <w:r w:rsidRPr="00730DE4">
              <w:t xml:space="preserve">Chair </w:t>
            </w:r>
          </w:p>
        </w:tc>
        <w:tc>
          <w:tcPr>
            <w:tcW w:w="702" w:type="pct"/>
            <w:hideMark/>
          </w:tcPr>
          <w:p w14:paraId="00D8B952" w14:textId="77777777" w:rsidR="00FA2FF9" w:rsidRPr="00730DE4" w:rsidRDefault="00FA2FF9" w:rsidP="00FD77E8">
            <w:pPr>
              <w:pStyle w:val="NoSpacing"/>
            </w:pPr>
            <w:r w:rsidRPr="00730DE4">
              <w:t xml:space="preserve">Paul Low </w:t>
            </w:r>
          </w:p>
        </w:tc>
        <w:tc>
          <w:tcPr>
            <w:tcW w:w="1271" w:type="pct"/>
            <w:hideMark/>
          </w:tcPr>
          <w:p w14:paraId="154A3ACF" w14:textId="77777777" w:rsidR="00FA2FF9" w:rsidRPr="00730DE4" w:rsidRDefault="00FA2FF9" w:rsidP="000A65A9">
            <w:pPr>
              <w:pStyle w:val="NoSpacing"/>
              <w:jc w:val="right"/>
            </w:pPr>
            <w:r w:rsidRPr="00730DE4">
              <w:t xml:space="preserve">1 </w:t>
            </w:r>
          </w:p>
        </w:tc>
        <w:tc>
          <w:tcPr>
            <w:tcW w:w="789" w:type="pct"/>
            <w:hideMark/>
          </w:tcPr>
          <w:p w14:paraId="5BBEDDA2" w14:textId="77777777" w:rsidR="00FA2FF9" w:rsidRPr="00730DE4" w:rsidRDefault="00FA2FF9" w:rsidP="000A65A9">
            <w:pPr>
              <w:pStyle w:val="NoSpacing"/>
              <w:jc w:val="right"/>
            </w:pPr>
            <w:r w:rsidRPr="00730DE4">
              <w:t xml:space="preserve">$390 daily </w:t>
            </w:r>
          </w:p>
        </w:tc>
        <w:tc>
          <w:tcPr>
            <w:tcW w:w="833" w:type="pct"/>
            <w:hideMark/>
          </w:tcPr>
          <w:p w14:paraId="44496B4D" w14:textId="77777777" w:rsidR="00FA2FF9" w:rsidRPr="00730DE4" w:rsidRDefault="00FA2FF9" w:rsidP="000A65A9">
            <w:pPr>
              <w:pStyle w:val="NoSpacing"/>
              <w:jc w:val="right"/>
            </w:pPr>
            <w:r w:rsidRPr="00730DE4">
              <w:t xml:space="preserve">N/A </w:t>
            </w:r>
          </w:p>
        </w:tc>
        <w:tc>
          <w:tcPr>
            <w:tcW w:w="709" w:type="pct"/>
            <w:hideMark/>
          </w:tcPr>
          <w:p w14:paraId="4FA64A3B" w14:textId="77777777" w:rsidR="00FA2FF9" w:rsidRPr="00730DE4" w:rsidRDefault="00FA2FF9" w:rsidP="000A65A9">
            <w:pPr>
              <w:pStyle w:val="NoSpacing"/>
              <w:jc w:val="right"/>
            </w:pPr>
            <w:r w:rsidRPr="00730DE4">
              <w:t>$195</w:t>
            </w:r>
          </w:p>
        </w:tc>
      </w:tr>
      <w:tr w:rsidR="000A65A9" w:rsidRPr="00730DE4" w14:paraId="24372739" w14:textId="77777777" w:rsidTr="00FD77E8">
        <w:trPr>
          <w:trHeight w:val="119"/>
        </w:trPr>
        <w:tc>
          <w:tcPr>
            <w:tcW w:w="694" w:type="pct"/>
            <w:hideMark/>
          </w:tcPr>
          <w:p w14:paraId="2D1D855D" w14:textId="77777777" w:rsidR="00FA2FF9" w:rsidRPr="00730DE4" w:rsidRDefault="00FA2FF9" w:rsidP="00FD77E8">
            <w:pPr>
              <w:pStyle w:val="NoSpacing"/>
            </w:pPr>
            <w:r w:rsidRPr="00730DE4">
              <w:t xml:space="preserve">Member </w:t>
            </w:r>
          </w:p>
        </w:tc>
        <w:tc>
          <w:tcPr>
            <w:tcW w:w="702" w:type="pct"/>
            <w:hideMark/>
          </w:tcPr>
          <w:p w14:paraId="60920DBC" w14:textId="77777777" w:rsidR="00FA2FF9" w:rsidRPr="00730DE4" w:rsidRDefault="00FA2FF9" w:rsidP="00FD77E8">
            <w:pPr>
              <w:pStyle w:val="NoSpacing"/>
            </w:pPr>
            <w:r w:rsidRPr="00730DE4">
              <w:t xml:space="preserve">Matthew Burke </w:t>
            </w:r>
          </w:p>
        </w:tc>
        <w:tc>
          <w:tcPr>
            <w:tcW w:w="1271" w:type="pct"/>
            <w:hideMark/>
          </w:tcPr>
          <w:p w14:paraId="5E25D40A" w14:textId="77777777" w:rsidR="00FA2FF9" w:rsidRPr="00730DE4" w:rsidRDefault="00FA2FF9" w:rsidP="000A65A9">
            <w:pPr>
              <w:pStyle w:val="NoSpacing"/>
              <w:jc w:val="right"/>
            </w:pPr>
            <w:r w:rsidRPr="00730DE4">
              <w:t xml:space="preserve">1 </w:t>
            </w:r>
          </w:p>
        </w:tc>
        <w:tc>
          <w:tcPr>
            <w:tcW w:w="789" w:type="pct"/>
            <w:hideMark/>
          </w:tcPr>
          <w:p w14:paraId="6C446F4D" w14:textId="77777777" w:rsidR="00FA2FF9" w:rsidRPr="00730DE4" w:rsidRDefault="00FA2FF9" w:rsidP="000A65A9">
            <w:pPr>
              <w:pStyle w:val="NoSpacing"/>
              <w:jc w:val="right"/>
            </w:pPr>
            <w:r w:rsidRPr="00730DE4">
              <w:t xml:space="preserve">$300 daily </w:t>
            </w:r>
          </w:p>
        </w:tc>
        <w:tc>
          <w:tcPr>
            <w:tcW w:w="833" w:type="pct"/>
            <w:hideMark/>
          </w:tcPr>
          <w:p w14:paraId="186EDDDA" w14:textId="77777777" w:rsidR="00FA2FF9" w:rsidRPr="00730DE4" w:rsidRDefault="00FA2FF9" w:rsidP="000A65A9">
            <w:pPr>
              <w:pStyle w:val="NoSpacing"/>
              <w:jc w:val="right"/>
            </w:pPr>
            <w:r w:rsidRPr="00730DE4">
              <w:t xml:space="preserve">N/A </w:t>
            </w:r>
          </w:p>
        </w:tc>
        <w:tc>
          <w:tcPr>
            <w:tcW w:w="709" w:type="pct"/>
            <w:hideMark/>
          </w:tcPr>
          <w:p w14:paraId="7041B7DA" w14:textId="77777777" w:rsidR="00FA2FF9" w:rsidRPr="00730DE4" w:rsidRDefault="00FA2FF9" w:rsidP="000A65A9">
            <w:pPr>
              <w:pStyle w:val="NoSpacing"/>
              <w:jc w:val="right"/>
            </w:pPr>
            <w:r w:rsidRPr="00730DE4">
              <w:t xml:space="preserve">$0 </w:t>
            </w:r>
          </w:p>
        </w:tc>
      </w:tr>
      <w:tr w:rsidR="002D6779" w:rsidRPr="00730DE4" w14:paraId="1D676AFA" w14:textId="77777777" w:rsidTr="00FD77E8">
        <w:trPr>
          <w:cnfStyle w:val="000000100000" w:firstRow="0" w:lastRow="0" w:firstColumn="0" w:lastColumn="0" w:oddVBand="0" w:evenVBand="0" w:oddHBand="1" w:evenHBand="0" w:firstRowFirstColumn="0" w:firstRowLastColumn="0" w:lastRowFirstColumn="0" w:lastRowLastColumn="0"/>
          <w:trHeight w:val="119"/>
        </w:trPr>
        <w:tc>
          <w:tcPr>
            <w:tcW w:w="694" w:type="pct"/>
            <w:hideMark/>
          </w:tcPr>
          <w:p w14:paraId="72E88773" w14:textId="77777777" w:rsidR="00FA2FF9" w:rsidRPr="00730DE4" w:rsidRDefault="00FA2FF9" w:rsidP="00FD77E8">
            <w:pPr>
              <w:pStyle w:val="NoSpacing"/>
            </w:pPr>
            <w:r w:rsidRPr="00730DE4">
              <w:t xml:space="preserve">Member </w:t>
            </w:r>
          </w:p>
        </w:tc>
        <w:tc>
          <w:tcPr>
            <w:tcW w:w="702" w:type="pct"/>
            <w:hideMark/>
          </w:tcPr>
          <w:p w14:paraId="5DA14D7F" w14:textId="77777777" w:rsidR="00FA2FF9" w:rsidRPr="00730DE4" w:rsidRDefault="00FA2FF9" w:rsidP="00FD77E8">
            <w:pPr>
              <w:pStyle w:val="NoSpacing"/>
            </w:pPr>
            <w:r w:rsidRPr="00730DE4">
              <w:t xml:space="preserve">Julie Castle </w:t>
            </w:r>
          </w:p>
        </w:tc>
        <w:tc>
          <w:tcPr>
            <w:tcW w:w="1271" w:type="pct"/>
            <w:hideMark/>
          </w:tcPr>
          <w:p w14:paraId="1026F1C2" w14:textId="77777777" w:rsidR="00FA2FF9" w:rsidRPr="00730DE4" w:rsidRDefault="00FA2FF9" w:rsidP="000A65A9">
            <w:pPr>
              <w:pStyle w:val="NoSpacing"/>
              <w:jc w:val="right"/>
            </w:pPr>
            <w:r w:rsidRPr="00730DE4">
              <w:t xml:space="preserve">1 </w:t>
            </w:r>
          </w:p>
        </w:tc>
        <w:tc>
          <w:tcPr>
            <w:tcW w:w="789" w:type="pct"/>
            <w:hideMark/>
          </w:tcPr>
          <w:p w14:paraId="4115532D" w14:textId="77777777" w:rsidR="00FA2FF9" w:rsidRPr="00730DE4" w:rsidRDefault="00FA2FF9" w:rsidP="000A65A9">
            <w:pPr>
              <w:pStyle w:val="NoSpacing"/>
              <w:jc w:val="right"/>
            </w:pPr>
            <w:r w:rsidRPr="00730DE4">
              <w:t xml:space="preserve">$300 daily </w:t>
            </w:r>
          </w:p>
        </w:tc>
        <w:tc>
          <w:tcPr>
            <w:tcW w:w="833" w:type="pct"/>
            <w:hideMark/>
          </w:tcPr>
          <w:p w14:paraId="6A24CBEC" w14:textId="77777777" w:rsidR="00FA2FF9" w:rsidRPr="00730DE4" w:rsidRDefault="00FA2FF9" w:rsidP="000A65A9">
            <w:pPr>
              <w:pStyle w:val="NoSpacing"/>
              <w:jc w:val="right"/>
            </w:pPr>
            <w:r w:rsidRPr="00730DE4">
              <w:t xml:space="preserve">N/A </w:t>
            </w:r>
          </w:p>
        </w:tc>
        <w:tc>
          <w:tcPr>
            <w:tcW w:w="709" w:type="pct"/>
            <w:hideMark/>
          </w:tcPr>
          <w:p w14:paraId="20B01020" w14:textId="77777777" w:rsidR="00FA2FF9" w:rsidRPr="00730DE4" w:rsidRDefault="00FA2FF9" w:rsidP="000A65A9">
            <w:pPr>
              <w:pStyle w:val="NoSpacing"/>
              <w:jc w:val="right"/>
            </w:pPr>
            <w:r w:rsidRPr="00730DE4">
              <w:t>$150</w:t>
            </w:r>
          </w:p>
        </w:tc>
      </w:tr>
      <w:tr w:rsidR="000A65A9" w:rsidRPr="00730DE4" w14:paraId="6E99F7EE" w14:textId="77777777" w:rsidTr="00FD77E8">
        <w:trPr>
          <w:trHeight w:val="119"/>
        </w:trPr>
        <w:tc>
          <w:tcPr>
            <w:tcW w:w="694" w:type="pct"/>
            <w:hideMark/>
          </w:tcPr>
          <w:p w14:paraId="237FBA03" w14:textId="77777777" w:rsidR="00FA2FF9" w:rsidRPr="00730DE4" w:rsidRDefault="00FA2FF9" w:rsidP="00FD77E8">
            <w:pPr>
              <w:pStyle w:val="NoSpacing"/>
            </w:pPr>
            <w:r w:rsidRPr="00730DE4">
              <w:t xml:space="preserve">Member </w:t>
            </w:r>
          </w:p>
        </w:tc>
        <w:tc>
          <w:tcPr>
            <w:tcW w:w="702" w:type="pct"/>
            <w:hideMark/>
          </w:tcPr>
          <w:p w14:paraId="760FB99D" w14:textId="77777777" w:rsidR="00FA2FF9" w:rsidRPr="00730DE4" w:rsidRDefault="00FA2FF9" w:rsidP="00FD77E8">
            <w:pPr>
              <w:pStyle w:val="NoSpacing"/>
            </w:pPr>
            <w:r w:rsidRPr="00730DE4">
              <w:t xml:space="preserve">Blaise Itabelo </w:t>
            </w:r>
          </w:p>
        </w:tc>
        <w:tc>
          <w:tcPr>
            <w:tcW w:w="1271" w:type="pct"/>
            <w:hideMark/>
          </w:tcPr>
          <w:p w14:paraId="5450A289" w14:textId="77777777" w:rsidR="00FA2FF9" w:rsidRPr="00730DE4" w:rsidRDefault="00FA2FF9" w:rsidP="000A65A9">
            <w:pPr>
              <w:pStyle w:val="NoSpacing"/>
              <w:jc w:val="right"/>
            </w:pPr>
            <w:r w:rsidRPr="00730DE4">
              <w:t xml:space="preserve">1 </w:t>
            </w:r>
          </w:p>
        </w:tc>
        <w:tc>
          <w:tcPr>
            <w:tcW w:w="789" w:type="pct"/>
            <w:hideMark/>
          </w:tcPr>
          <w:p w14:paraId="34784E31" w14:textId="77777777" w:rsidR="00FA2FF9" w:rsidRPr="00730DE4" w:rsidRDefault="00FA2FF9" w:rsidP="000A65A9">
            <w:pPr>
              <w:pStyle w:val="NoSpacing"/>
              <w:jc w:val="right"/>
            </w:pPr>
            <w:r w:rsidRPr="00730DE4">
              <w:t xml:space="preserve">$300 daily </w:t>
            </w:r>
          </w:p>
        </w:tc>
        <w:tc>
          <w:tcPr>
            <w:tcW w:w="833" w:type="pct"/>
            <w:hideMark/>
          </w:tcPr>
          <w:p w14:paraId="065C8146" w14:textId="77777777" w:rsidR="00FA2FF9" w:rsidRPr="00730DE4" w:rsidRDefault="00FA2FF9" w:rsidP="000A65A9">
            <w:pPr>
              <w:pStyle w:val="NoSpacing"/>
              <w:jc w:val="right"/>
            </w:pPr>
            <w:r w:rsidRPr="00730DE4">
              <w:t xml:space="preserve">N/A </w:t>
            </w:r>
          </w:p>
        </w:tc>
        <w:tc>
          <w:tcPr>
            <w:tcW w:w="709" w:type="pct"/>
            <w:hideMark/>
          </w:tcPr>
          <w:p w14:paraId="25D81B3F" w14:textId="77777777" w:rsidR="00FA2FF9" w:rsidRPr="00730DE4" w:rsidRDefault="00FA2FF9" w:rsidP="000A65A9">
            <w:pPr>
              <w:pStyle w:val="NoSpacing"/>
              <w:jc w:val="right"/>
            </w:pPr>
            <w:r w:rsidRPr="00730DE4">
              <w:t>$0</w:t>
            </w:r>
          </w:p>
        </w:tc>
      </w:tr>
      <w:tr w:rsidR="002D6779" w:rsidRPr="00730DE4" w14:paraId="360DD5D4" w14:textId="77777777" w:rsidTr="00FD77E8">
        <w:trPr>
          <w:cnfStyle w:val="000000100000" w:firstRow="0" w:lastRow="0" w:firstColumn="0" w:lastColumn="0" w:oddVBand="0" w:evenVBand="0" w:oddHBand="1" w:evenHBand="0" w:firstRowFirstColumn="0" w:firstRowLastColumn="0" w:lastRowFirstColumn="0" w:lastRowLastColumn="0"/>
          <w:trHeight w:val="119"/>
        </w:trPr>
        <w:tc>
          <w:tcPr>
            <w:tcW w:w="694" w:type="pct"/>
            <w:hideMark/>
          </w:tcPr>
          <w:p w14:paraId="23C96092" w14:textId="77777777" w:rsidR="00FA2FF9" w:rsidRPr="00730DE4" w:rsidRDefault="00FA2FF9" w:rsidP="00FD77E8">
            <w:pPr>
              <w:pStyle w:val="NoSpacing"/>
            </w:pPr>
            <w:r w:rsidRPr="00730DE4">
              <w:t xml:space="preserve">Member </w:t>
            </w:r>
          </w:p>
        </w:tc>
        <w:tc>
          <w:tcPr>
            <w:tcW w:w="702" w:type="pct"/>
            <w:hideMark/>
          </w:tcPr>
          <w:p w14:paraId="7F8A854C" w14:textId="77777777" w:rsidR="00FA2FF9" w:rsidRPr="00730DE4" w:rsidRDefault="00FA2FF9" w:rsidP="00FD77E8">
            <w:pPr>
              <w:pStyle w:val="NoSpacing"/>
            </w:pPr>
            <w:r w:rsidRPr="00730DE4">
              <w:t xml:space="preserve">Gail Ker </w:t>
            </w:r>
          </w:p>
        </w:tc>
        <w:tc>
          <w:tcPr>
            <w:tcW w:w="1271" w:type="pct"/>
            <w:hideMark/>
          </w:tcPr>
          <w:p w14:paraId="0028A0A9" w14:textId="77777777" w:rsidR="00FA2FF9" w:rsidRPr="00730DE4" w:rsidRDefault="00FA2FF9" w:rsidP="000A65A9">
            <w:pPr>
              <w:pStyle w:val="NoSpacing"/>
              <w:jc w:val="right"/>
            </w:pPr>
            <w:r w:rsidRPr="00730DE4">
              <w:t xml:space="preserve">1 </w:t>
            </w:r>
          </w:p>
        </w:tc>
        <w:tc>
          <w:tcPr>
            <w:tcW w:w="789" w:type="pct"/>
            <w:hideMark/>
          </w:tcPr>
          <w:p w14:paraId="31A8242D" w14:textId="77777777" w:rsidR="00FA2FF9" w:rsidRPr="00730DE4" w:rsidRDefault="00FA2FF9" w:rsidP="000A65A9">
            <w:pPr>
              <w:pStyle w:val="NoSpacing"/>
              <w:jc w:val="right"/>
            </w:pPr>
            <w:r w:rsidRPr="00730DE4">
              <w:t xml:space="preserve">$300 daily </w:t>
            </w:r>
          </w:p>
        </w:tc>
        <w:tc>
          <w:tcPr>
            <w:tcW w:w="833" w:type="pct"/>
            <w:hideMark/>
          </w:tcPr>
          <w:p w14:paraId="1A808F58" w14:textId="77777777" w:rsidR="00FA2FF9" w:rsidRPr="00730DE4" w:rsidRDefault="00FA2FF9" w:rsidP="000A65A9">
            <w:pPr>
              <w:pStyle w:val="NoSpacing"/>
              <w:jc w:val="right"/>
            </w:pPr>
            <w:r w:rsidRPr="00730DE4">
              <w:t xml:space="preserve">N/A </w:t>
            </w:r>
          </w:p>
        </w:tc>
        <w:tc>
          <w:tcPr>
            <w:tcW w:w="709" w:type="pct"/>
            <w:hideMark/>
          </w:tcPr>
          <w:p w14:paraId="5107DF49" w14:textId="77777777" w:rsidR="00FA2FF9" w:rsidRPr="00730DE4" w:rsidRDefault="00FA2FF9" w:rsidP="000A65A9">
            <w:pPr>
              <w:pStyle w:val="NoSpacing"/>
              <w:jc w:val="right"/>
            </w:pPr>
            <w:r w:rsidRPr="00730DE4">
              <w:t>$0</w:t>
            </w:r>
          </w:p>
        </w:tc>
      </w:tr>
      <w:tr w:rsidR="000A65A9" w:rsidRPr="00730DE4" w14:paraId="175CBE6B" w14:textId="77777777" w:rsidTr="00FD77E8">
        <w:trPr>
          <w:trHeight w:val="119"/>
        </w:trPr>
        <w:tc>
          <w:tcPr>
            <w:tcW w:w="694" w:type="pct"/>
            <w:hideMark/>
          </w:tcPr>
          <w:p w14:paraId="4BD0E57B" w14:textId="77777777" w:rsidR="00FA2FF9" w:rsidRPr="00730DE4" w:rsidRDefault="00FA2FF9" w:rsidP="00FD77E8">
            <w:pPr>
              <w:pStyle w:val="NoSpacing"/>
            </w:pPr>
            <w:r w:rsidRPr="00730DE4">
              <w:t xml:space="preserve">Member </w:t>
            </w:r>
          </w:p>
        </w:tc>
        <w:tc>
          <w:tcPr>
            <w:tcW w:w="702" w:type="pct"/>
            <w:hideMark/>
          </w:tcPr>
          <w:p w14:paraId="280073C1" w14:textId="77777777" w:rsidR="00FA2FF9" w:rsidRPr="00730DE4" w:rsidRDefault="00FA2FF9" w:rsidP="00FD77E8">
            <w:pPr>
              <w:pStyle w:val="NoSpacing"/>
            </w:pPr>
            <w:r w:rsidRPr="00730DE4">
              <w:t xml:space="preserve">Adrienne Ward </w:t>
            </w:r>
          </w:p>
        </w:tc>
        <w:tc>
          <w:tcPr>
            <w:tcW w:w="1271" w:type="pct"/>
            <w:hideMark/>
          </w:tcPr>
          <w:p w14:paraId="34658550" w14:textId="77777777" w:rsidR="00FA2FF9" w:rsidRPr="00730DE4" w:rsidRDefault="00FA2FF9" w:rsidP="000A65A9">
            <w:pPr>
              <w:pStyle w:val="NoSpacing"/>
              <w:jc w:val="right"/>
            </w:pPr>
            <w:r w:rsidRPr="00730DE4">
              <w:t xml:space="preserve">0 </w:t>
            </w:r>
          </w:p>
        </w:tc>
        <w:tc>
          <w:tcPr>
            <w:tcW w:w="789" w:type="pct"/>
            <w:hideMark/>
          </w:tcPr>
          <w:p w14:paraId="35B80B81" w14:textId="77777777" w:rsidR="00FA2FF9" w:rsidRPr="00730DE4" w:rsidRDefault="00FA2FF9" w:rsidP="000A65A9">
            <w:pPr>
              <w:pStyle w:val="NoSpacing"/>
              <w:jc w:val="right"/>
            </w:pPr>
            <w:r w:rsidRPr="00730DE4">
              <w:t xml:space="preserve">$300 daily </w:t>
            </w:r>
          </w:p>
        </w:tc>
        <w:tc>
          <w:tcPr>
            <w:tcW w:w="833" w:type="pct"/>
            <w:hideMark/>
          </w:tcPr>
          <w:p w14:paraId="709E2B9A" w14:textId="77777777" w:rsidR="00FA2FF9" w:rsidRPr="00730DE4" w:rsidRDefault="00FA2FF9" w:rsidP="000A65A9">
            <w:pPr>
              <w:pStyle w:val="NoSpacing"/>
              <w:jc w:val="right"/>
            </w:pPr>
            <w:r w:rsidRPr="00730DE4">
              <w:t xml:space="preserve">N/A </w:t>
            </w:r>
          </w:p>
        </w:tc>
        <w:tc>
          <w:tcPr>
            <w:tcW w:w="709" w:type="pct"/>
            <w:hideMark/>
          </w:tcPr>
          <w:p w14:paraId="7EFBA7AE" w14:textId="77777777" w:rsidR="00FA2FF9" w:rsidRPr="00730DE4" w:rsidRDefault="00FA2FF9" w:rsidP="000A65A9">
            <w:pPr>
              <w:pStyle w:val="NoSpacing"/>
              <w:jc w:val="right"/>
            </w:pPr>
            <w:r w:rsidRPr="00730DE4">
              <w:t>$0</w:t>
            </w:r>
          </w:p>
        </w:tc>
      </w:tr>
    </w:tbl>
    <w:p w14:paraId="49532FF9" w14:textId="77777777" w:rsidR="00FA2FF9" w:rsidRPr="00730DE4" w:rsidRDefault="00FA2FF9" w:rsidP="00FD77E8">
      <w:pPr>
        <w:pStyle w:val="Heading4"/>
      </w:pPr>
      <w:bookmarkStart w:id="1819" w:name="_Toc180487830"/>
      <w:bookmarkStart w:id="1820" w:name="_Toc180491035"/>
      <w:bookmarkStart w:id="1821" w:name="_Toc180492068"/>
      <w:r w:rsidRPr="00730DE4">
        <w:t>Remuneration totals</w:t>
      </w:r>
      <w:bookmarkEnd w:id="1819"/>
      <w:bookmarkEnd w:id="1820"/>
      <w:bookmarkEnd w:id="1821"/>
    </w:p>
    <w:tbl>
      <w:tblPr>
        <w:tblStyle w:val="TMRDefault"/>
        <w:tblW w:w="4994" w:type="pct"/>
        <w:tblInd w:w="5" w:type="dxa"/>
        <w:tblLook w:val="04E0" w:firstRow="1" w:lastRow="1" w:firstColumn="1" w:lastColumn="0" w:noHBand="0" w:noVBand="1"/>
      </w:tblPr>
      <w:tblGrid>
        <w:gridCol w:w="4419"/>
        <w:gridCol w:w="9556"/>
      </w:tblGrid>
      <w:tr w:rsidR="00FA2FF9" w:rsidRPr="00730DE4" w14:paraId="76BAEC81" w14:textId="77777777" w:rsidTr="002D6779">
        <w:trPr>
          <w:cnfStyle w:val="100000000000" w:firstRow="1" w:lastRow="0" w:firstColumn="0" w:lastColumn="0" w:oddVBand="0" w:evenVBand="0" w:oddHBand="0" w:evenHBand="0" w:firstRowFirstColumn="0" w:firstRowLastColumn="0" w:lastRowFirstColumn="0" w:lastRowLastColumn="0"/>
          <w:trHeight w:val="239"/>
        </w:trPr>
        <w:tc>
          <w:tcPr>
            <w:tcW w:w="1581" w:type="pct"/>
          </w:tcPr>
          <w:p w14:paraId="17642D90" w14:textId="77777777" w:rsidR="00FA2FF9" w:rsidRPr="00730DE4" w:rsidRDefault="00FA2FF9" w:rsidP="005A59C2">
            <w:pPr>
              <w:pStyle w:val="NoSpacing"/>
              <w:rPr>
                <w:color w:val="FFFFFF" w:themeColor="background1"/>
              </w:rPr>
            </w:pPr>
            <w:r w:rsidRPr="00730DE4">
              <w:rPr>
                <w:color w:val="FFFFFF" w:themeColor="background1"/>
              </w:rPr>
              <w:t>Type</w:t>
            </w:r>
          </w:p>
        </w:tc>
        <w:tc>
          <w:tcPr>
            <w:tcW w:w="3419" w:type="pct"/>
          </w:tcPr>
          <w:p w14:paraId="7934B970" w14:textId="77777777" w:rsidR="00FA2FF9" w:rsidRPr="00730DE4" w:rsidRDefault="00FA2FF9" w:rsidP="000A65A9">
            <w:pPr>
              <w:pStyle w:val="NoSpacing"/>
              <w:jc w:val="right"/>
              <w:rPr>
                <w:color w:val="FFFFFF" w:themeColor="background1"/>
              </w:rPr>
            </w:pPr>
            <w:r w:rsidRPr="00730DE4">
              <w:rPr>
                <w:color w:val="FFFFFF" w:themeColor="background1"/>
              </w:rPr>
              <w:t>Amount</w:t>
            </w:r>
          </w:p>
        </w:tc>
      </w:tr>
      <w:tr w:rsidR="00FA2FF9" w:rsidRPr="00730DE4" w14:paraId="223AEBDA" w14:textId="77777777" w:rsidTr="002D6779">
        <w:trPr>
          <w:cnfStyle w:val="000000100000" w:firstRow="0" w:lastRow="0" w:firstColumn="0" w:lastColumn="0" w:oddVBand="0" w:evenVBand="0" w:oddHBand="1" w:evenHBand="0" w:firstRowFirstColumn="0" w:firstRowLastColumn="0" w:lastRowFirstColumn="0" w:lastRowLastColumn="0"/>
          <w:trHeight w:val="119"/>
        </w:trPr>
        <w:tc>
          <w:tcPr>
            <w:tcW w:w="1581" w:type="pct"/>
          </w:tcPr>
          <w:p w14:paraId="7C100393" w14:textId="77777777" w:rsidR="00FA2FF9" w:rsidRPr="00730DE4" w:rsidRDefault="00FA2FF9" w:rsidP="00FD77E8">
            <w:pPr>
              <w:pStyle w:val="NoSpacing"/>
            </w:pPr>
            <w:r w:rsidRPr="00730DE4">
              <w:t xml:space="preserve">No. scheduled meetings/sessions </w:t>
            </w:r>
          </w:p>
        </w:tc>
        <w:tc>
          <w:tcPr>
            <w:tcW w:w="3419" w:type="pct"/>
          </w:tcPr>
          <w:p w14:paraId="0D662234" w14:textId="77777777" w:rsidR="00FA2FF9" w:rsidRPr="00730DE4" w:rsidRDefault="00FA2FF9" w:rsidP="000A65A9">
            <w:pPr>
              <w:pStyle w:val="NoSpacing"/>
              <w:jc w:val="right"/>
            </w:pPr>
            <w:r w:rsidRPr="00730DE4">
              <w:t xml:space="preserve">1 </w:t>
            </w:r>
          </w:p>
        </w:tc>
      </w:tr>
      <w:tr w:rsidR="00FA2FF9" w:rsidRPr="00730DE4" w14:paraId="11585A29" w14:textId="77777777" w:rsidTr="002D6779">
        <w:trPr>
          <w:cnfStyle w:val="010000000000" w:firstRow="0" w:lastRow="1" w:firstColumn="0" w:lastColumn="0" w:oddVBand="0" w:evenVBand="0" w:oddHBand="0" w:evenHBand="0" w:firstRowFirstColumn="0" w:firstRowLastColumn="0" w:lastRowFirstColumn="0" w:lastRowLastColumn="0"/>
          <w:trHeight w:val="119"/>
        </w:trPr>
        <w:tc>
          <w:tcPr>
            <w:tcW w:w="1581" w:type="pct"/>
          </w:tcPr>
          <w:p w14:paraId="4976BE32" w14:textId="77777777" w:rsidR="00FA2FF9" w:rsidRPr="00730DE4" w:rsidRDefault="00FA2FF9" w:rsidP="00FD77E8">
            <w:pPr>
              <w:pStyle w:val="NoSpacing"/>
            </w:pPr>
            <w:r w:rsidRPr="00730DE4">
              <w:t xml:space="preserve">Total TMR payments </w:t>
            </w:r>
          </w:p>
        </w:tc>
        <w:tc>
          <w:tcPr>
            <w:tcW w:w="3419" w:type="pct"/>
          </w:tcPr>
          <w:p w14:paraId="6B6B6040" w14:textId="77777777" w:rsidR="00FA2FF9" w:rsidRPr="00730DE4" w:rsidRDefault="00FA2FF9" w:rsidP="000A65A9">
            <w:pPr>
              <w:pStyle w:val="NoSpacing"/>
              <w:jc w:val="right"/>
            </w:pPr>
            <w:r w:rsidRPr="00730DE4">
              <w:t>$345</w:t>
            </w:r>
          </w:p>
        </w:tc>
      </w:tr>
    </w:tbl>
    <w:p w14:paraId="3A7B3FB4" w14:textId="77777777" w:rsidR="00FA2FF9" w:rsidRPr="00730DE4" w:rsidRDefault="00FA2FF9" w:rsidP="002B7001">
      <w:pPr>
        <w:pStyle w:val="Heading3"/>
        <w:rPr>
          <w:lang w:val="en-US"/>
        </w:rPr>
      </w:pPr>
      <w:bookmarkStart w:id="1822" w:name="_Toc180487831"/>
      <w:bookmarkStart w:id="1823" w:name="_Toc180491036"/>
      <w:bookmarkStart w:id="1824" w:name="_Toc180492069"/>
      <w:r w:rsidRPr="00730DE4">
        <w:rPr>
          <w:lang w:val="en-US"/>
        </w:rPr>
        <w:t>Queensland Accessible Transport Advisory Council (QATAC)</w:t>
      </w:r>
      <w:bookmarkEnd w:id="1822"/>
      <w:bookmarkEnd w:id="1823"/>
      <w:bookmarkEnd w:id="1824"/>
    </w:p>
    <w:tbl>
      <w:tblPr>
        <w:tblStyle w:val="TMRDefault"/>
        <w:tblW w:w="5000" w:type="pct"/>
        <w:tblLook w:val="04A0" w:firstRow="1" w:lastRow="0" w:firstColumn="1" w:lastColumn="0" w:noHBand="0" w:noVBand="1"/>
      </w:tblPr>
      <w:tblGrid>
        <w:gridCol w:w="3025"/>
        <w:gridCol w:w="10967"/>
      </w:tblGrid>
      <w:tr w:rsidR="00FA2FF9" w:rsidRPr="00730DE4" w14:paraId="74A38AF9" w14:textId="77777777" w:rsidTr="000A65A9">
        <w:trPr>
          <w:cnfStyle w:val="100000000000" w:firstRow="1" w:lastRow="0" w:firstColumn="0" w:lastColumn="0" w:oddVBand="0" w:evenVBand="0" w:oddHBand="0" w:evenHBand="0" w:firstRowFirstColumn="0" w:firstRowLastColumn="0" w:lastRowFirstColumn="0" w:lastRowLastColumn="0"/>
          <w:cantSplit/>
        </w:trPr>
        <w:tc>
          <w:tcPr>
            <w:tcW w:w="1081" w:type="pct"/>
            <w:hideMark/>
          </w:tcPr>
          <w:p w14:paraId="2547B196" w14:textId="77777777" w:rsidR="00FA2FF9" w:rsidRPr="00730DE4" w:rsidRDefault="00FA2FF9" w:rsidP="00FD77E8">
            <w:pPr>
              <w:pStyle w:val="NoSpacing"/>
              <w:rPr>
                <w:color w:val="FFFFFF" w:themeColor="background1"/>
              </w:rPr>
            </w:pPr>
            <w:r w:rsidRPr="00730DE4">
              <w:rPr>
                <w:color w:val="FFFFFF" w:themeColor="background1"/>
              </w:rPr>
              <w:t xml:space="preserve">Act or instrument </w:t>
            </w:r>
          </w:p>
        </w:tc>
        <w:tc>
          <w:tcPr>
            <w:tcW w:w="3919" w:type="pct"/>
            <w:hideMark/>
          </w:tcPr>
          <w:p w14:paraId="4A748F20" w14:textId="77777777" w:rsidR="00FA2FF9" w:rsidRPr="00730DE4" w:rsidRDefault="00FA2FF9" w:rsidP="00FD77E8">
            <w:pPr>
              <w:pStyle w:val="NoSpacing"/>
              <w:rPr>
                <w:color w:val="FFFFFF" w:themeColor="background1"/>
              </w:rPr>
            </w:pPr>
            <w:r w:rsidRPr="00730DE4">
              <w:rPr>
                <w:color w:val="FFFFFF" w:themeColor="background1"/>
              </w:rPr>
              <w:t xml:space="preserve">Terms of Reference </w:t>
            </w:r>
          </w:p>
        </w:tc>
      </w:tr>
      <w:tr w:rsidR="00FA2FF9" w:rsidRPr="00730DE4" w14:paraId="58EE892B" w14:textId="77777777" w:rsidTr="000A65A9">
        <w:trPr>
          <w:cnfStyle w:val="000000100000" w:firstRow="0" w:lastRow="0" w:firstColumn="0" w:lastColumn="0" w:oddVBand="0" w:evenVBand="0" w:oddHBand="1" w:evenHBand="0" w:firstRowFirstColumn="0" w:firstRowLastColumn="0" w:lastRowFirstColumn="0" w:lastRowLastColumn="0"/>
          <w:cantSplit/>
        </w:trPr>
        <w:tc>
          <w:tcPr>
            <w:tcW w:w="1081" w:type="pct"/>
            <w:hideMark/>
          </w:tcPr>
          <w:p w14:paraId="4117762E" w14:textId="77777777" w:rsidR="00FA2FF9" w:rsidRPr="00730DE4" w:rsidRDefault="00FA2FF9" w:rsidP="00593504">
            <w:pPr>
              <w:pStyle w:val="NoSpacing"/>
            </w:pPr>
            <w:r w:rsidRPr="00730DE4">
              <w:t xml:space="preserve">Functions </w:t>
            </w:r>
          </w:p>
        </w:tc>
        <w:tc>
          <w:tcPr>
            <w:tcW w:w="3919" w:type="pct"/>
            <w:hideMark/>
          </w:tcPr>
          <w:p w14:paraId="3C1DA923" w14:textId="77777777" w:rsidR="00FA2FF9" w:rsidRPr="00730DE4" w:rsidRDefault="00FA2FF9" w:rsidP="00593504">
            <w:pPr>
              <w:pStyle w:val="NoSpacing"/>
            </w:pPr>
            <w:r w:rsidRPr="00730DE4">
              <w:t xml:space="preserve">The purpose of the Council is to provide independent strategic policy and accessibility advice on significant transport and infrastructure projects across the Queensland Government transport portfolio.   </w:t>
            </w:r>
          </w:p>
        </w:tc>
      </w:tr>
      <w:tr w:rsidR="00FA2FF9" w:rsidRPr="00730DE4" w14:paraId="082B2ECE" w14:textId="77777777" w:rsidTr="000A65A9">
        <w:trPr>
          <w:cantSplit/>
        </w:trPr>
        <w:tc>
          <w:tcPr>
            <w:tcW w:w="1081" w:type="pct"/>
            <w:hideMark/>
          </w:tcPr>
          <w:p w14:paraId="52110E36" w14:textId="77777777" w:rsidR="00FA2FF9" w:rsidRPr="00730DE4" w:rsidRDefault="00FA2FF9" w:rsidP="00593504">
            <w:pPr>
              <w:pStyle w:val="NoSpacing"/>
            </w:pPr>
            <w:r w:rsidRPr="00730DE4">
              <w:t xml:space="preserve">Achievements </w:t>
            </w:r>
          </w:p>
        </w:tc>
        <w:tc>
          <w:tcPr>
            <w:tcW w:w="3919" w:type="pct"/>
            <w:hideMark/>
          </w:tcPr>
          <w:p w14:paraId="735B146A" w14:textId="77777777" w:rsidR="00FA2FF9" w:rsidRPr="00730DE4" w:rsidRDefault="00FA2FF9" w:rsidP="009D6541">
            <w:pPr>
              <w:pStyle w:val="NoSpacing"/>
            </w:pPr>
            <w:r w:rsidRPr="00730DE4">
              <w:t>The Council met three times during July–September 2023 to consider and provide advice on transport and infrastructure projects. The Council’s three-year term ended September 2023.</w:t>
            </w:r>
          </w:p>
        </w:tc>
      </w:tr>
      <w:tr w:rsidR="00FA2FF9" w:rsidRPr="00730DE4" w14:paraId="77BD6D17" w14:textId="77777777" w:rsidTr="000A65A9">
        <w:trPr>
          <w:cnfStyle w:val="000000100000" w:firstRow="0" w:lastRow="0" w:firstColumn="0" w:lastColumn="0" w:oddVBand="0" w:evenVBand="0" w:oddHBand="1" w:evenHBand="0" w:firstRowFirstColumn="0" w:firstRowLastColumn="0" w:lastRowFirstColumn="0" w:lastRowLastColumn="0"/>
          <w:cantSplit/>
        </w:trPr>
        <w:tc>
          <w:tcPr>
            <w:tcW w:w="1081" w:type="pct"/>
            <w:hideMark/>
          </w:tcPr>
          <w:p w14:paraId="7BAF57E5" w14:textId="77777777" w:rsidR="00FA2FF9" w:rsidRPr="00730DE4" w:rsidRDefault="00FA2FF9" w:rsidP="00593504">
            <w:pPr>
              <w:pStyle w:val="NoSpacing"/>
            </w:pPr>
            <w:r w:rsidRPr="00730DE4">
              <w:t xml:space="preserve">Financial reporting </w:t>
            </w:r>
          </w:p>
        </w:tc>
        <w:tc>
          <w:tcPr>
            <w:tcW w:w="3919" w:type="pct"/>
            <w:hideMark/>
          </w:tcPr>
          <w:p w14:paraId="10CBDBD6" w14:textId="77777777" w:rsidR="00FA2FF9" w:rsidRPr="00730DE4" w:rsidRDefault="00FA2FF9" w:rsidP="00593504">
            <w:pPr>
              <w:pStyle w:val="NoSpacing"/>
            </w:pPr>
            <w:r w:rsidRPr="00730DE4">
              <w:t>Transactions for the Queensland Accessible Transport Advisory Council are accounted for as part of the TMR’s Financial Statements process.</w:t>
            </w:r>
          </w:p>
        </w:tc>
      </w:tr>
    </w:tbl>
    <w:p w14:paraId="11C258B2" w14:textId="77777777" w:rsidR="00FA2FF9" w:rsidRPr="00730DE4" w:rsidRDefault="00FA2FF9" w:rsidP="002B7001">
      <w:pPr>
        <w:pStyle w:val="Heading4"/>
        <w:rPr>
          <w:lang w:val="en-US"/>
        </w:rPr>
      </w:pPr>
      <w:bookmarkStart w:id="1825" w:name="_Toc180487832"/>
      <w:bookmarkStart w:id="1826" w:name="_Toc180491037"/>
      <w:bookmarkStart w:id="1827" w:name="_Toc180492070"/>
      <w:r w:rsidRPr="00730DE4">
        <w:rPr>
          <w:lang w:val="en-US"/>
        </w:rPr>
        <w:t>Remuneration</w:t>
      </w:r>
      <w:bookmarkEnd w:id="1825"/>
      <w:bookmarkEnd w:id="1826"/>
      <w:bookmarkEnd w:id="1827"/>
      <w:r w:rsidRPr="00730DE4">
        <w:rPr>
          <w:lang w:val="en-US"/>
        </w:rPr>
        <w:t xml:space="preserve"> </w:t>
      </w:r>
    </w:p>
    <w:tbl>
      <w:tblPr>
        <w:tblStyle w:val="TMRDefault"/>
        <w:tblW w:w="5000" w:type="pct"/>
        <w:tblLook w:val="04A0" w:firstRow="1" w:lastRow="0" w:firstColumn="1" w:lastColumn="0" w:noHBand="0" w:noVBand="1"/>
      </w:tblPr>
      <w:tblGrid>
        <w:gridCol w:w="1170"/>
        <w:gridCol w:w="1914"/>
        <w:gridCol w:w="2440"/>
        <w:gridCol w:w="3221"/>
        <w:gridCol w:w="3470"/>
        <w:gridCol w:w="1777"/>
      </w:tblGrid>
      <w:tr w:rsidR="000A65A9" w:rsidRPr="00730DE4" w14:paraId="67263BB3" w14:textId="77777777" w:rsidTr="000A65A9">
        <w:trPr>
          <w:cnfStyle w:val="100000000000" w:firstRow="1" w:lastRow="0" w:firstColumn="0" w:lastColumn="0" w:oddVBand="0" w:evenVBand="0" w:oddHBand="0" w:evenHBand="0" w:firstRowFirstColumn="0" w:firstRowLastColumn="0" w:lastRowFirstColumn="0" w:lastRowLastColumn="0"/>
          <w:cantSplit/>
        </w:trPr>
        <w:tc>
          <w:tcPr>
            <w:tcW w:w="418" w:type="pct"/>
            <w:hideMark/>
          </w:tcPr>
          <w:p w14:paraId="67D163C0" w14:textId="77777777" w:rsidR="00FA2FF9" w:rsidRPr="00730DE4" w:rsidRDefault="00FA2FF9" w:rsidP="00FD77E8">
            <w:pPr>
              <w:pStyle w:val="NoSpacing"/>
              <w:rPr>
                <w:color w:val="FFFFFF" w:themeColor="background1"/>
              </w:rPr>
            </w:pPr>
            <w:r w:rsidRPr="00730DE4">
              <w:rPr>
                <w:color w:val="FFFFFF" w:themeColor="background1"/>
              </w:rPr>
              <w:t xml:space="preserve">Position </w:t>
            </w:r>
          </w:p>
        </w:tc>
        <w:tc>
          <w:tcPr>
            <w:tcW w:w="684" w:type="pct"/>
            <w:hideMark/>
          </w:tcPr>
          <w:p w14:paraId="66ECBAB4" w14:textId="77777777" w:rsidR="00FA2FF9" w:rsidRPr="00730DE4" w:rsidRDefault="00FA2FF9" w:rsidP="00FD77E8">
            <w:pPr>
              <w:pStyle w:val="NoSpacing"/>
              <w:rPr>
                <w:color w:val="FFFFFF" w:themeColor="background1"/>
              </w:rPr>
            </w:pPr>
            <w:r w:rsidRPr="00730DE4">
              <w:rPr>
                <w:color w:val="FFFFFF" w:themeColor="background1"/>
              </w:rPr>
              <w:t xml:space="preserve">Name </w:t>
            </w:r>
          </w:p>
        </w:tc>
        <w:tc>
          <w:tcPr>
            <w:tcW w:w="872" w:type="pct"/>
            <w:hideMark/>
          </w:tcPr>
          <w:p w14:paraId="22C37232" w14:textId="77777777" w:rsidR="00FA2FF9" w:rsidRPr="00730DE4" w:rsidRDefault="00FA2FF9" w:rsidP="000A65A9">
            <w:pPr>
              <w:pStyle w:val="NoSpacing"/>
              <w:jc w:val="right"/>
              <w:rPr>
                <w:color w:val="FFFFFF" w:themeColor="background1"/>
              </w:rPr>
            </w:pPr>
            <w:r w:rsidRPr="00730DE4">
              <w:rPr>
                <w:color w:val="FFFFFF" w:themeColor="background1"/>
              </w:rPr>
              <w:t xml:space="preserve">Meetings/session attendance </w:t>
            </w:r>
          </w:p>
        </w:tc>
        <w:tc>
          <w:tcPr>
            <w:tcW w:w="1151" w:type="pct"/>
            <w:hideMark/>
          </w:tcPr>
          <w:p w14:paraId="3F00A3BC" w14:textId="77777777" w:rsidR="00FA2FF9" w:rsidRPr="00730DE4" w:rsidRDefault="00FA2FF9" w:rsidP="000A65A9">
            <w:pPr>
              <w:pStyle w:val="NoSpacing"/>
              <w:jc w:val="right"/>
              <w:rPr>
                <w:color w:val="FFFFFF" w:themeColor="background1"/>
              </w:rPr>
            </w:pPr>
            <w:r w:rsidRPr="00730DE4">
              <w:rPr>
                <w:color w:val="FFFFFF" w:themeColor="background1"/>
              </w:rPr>
              <w:t xml:space="preserve">Approved annual, sessional or daily fee </w:t>
            </w:r>
          </w:p>
        </w:tc>
        <w:tc>
          <w:tcPr>
            <w:tcW w:w="1240" w:type="pct"/>
            <w:hideMark/>
          </w:tcPr>
          <w:p w14:paraId="16962649" w14:textId="77777777" w:rsidR="00FA2FF9" w:rsidRPr="00730DE4" w:rsidRDefault="00FA2FF9" w:rsidP="000A65A9">
            <w:pPr>
              <w:pStyle w:val="NoSpacing"/>
              <w:jc w:val="right"/>
              <w:rPr>
                <w:color w:val="FFFFFF" w:themeColor="background1"/>
              </w:rPr>
            </w:pPr>
            <w:r w:rsidRPr="00730DE4">
              <w:rPr>
                <w:color w:val="FFFFFF" w:themeColor="background1"/>
              </w:rPr>
              <w:t xml:space="preserve">Approved sub-committee fees if applicable </w:t>
            </w:r>
          </w:p>
        </w:tc>
        <w:tc>
          <w:tcPr>
            <w:tcW w:w="635" w:type="pct"/>
            <w:hideMark/>
          </w:tcPr>
          <w:p w14:paraId="194780D5" w14:textId="77777777" w:rsidR="00FA2FF9" w:rsidRPr="00730DE4" w:rsidRDefault="00FA2FF9" w:rsidP="000A65A9">
            <w:pPr>
              <w:pStyle w:val="NoSpacing"/>
              <w:jc w:val="right"/>
              <w:rPr>
                <w:color w:val="FFFFFF" w:themeColor="background1"/>
              </w:rPr>
            </w:pPr>
            <w:r w:rsidRPr="00730DE4">
              <w:rPr>
                <w:color w:val="FFFFFF" w:themeColor="background1"/>
              </w:rPr>
              <w:t>Actual fees received</w:t>
            </w:r>
          </w:p>
        </w:tc>
      </w:tr>
      <w:tr w:rsidR="000A65A9" w:rsidRPr="00730DE4" w14:paraId="76AC39A2" w14:textId="77777777" w:rsidTr="000A65A9">
        <w:trPr>
          <w:cnfStyle w:val="000000100000" w:firstRow="0" w:lastRow="0" w:firstColumn="0" w:lastColumn="0" w:oddVBand="0" w:evenVBand="0" w:oddHBand="1" w:evenHBand="0" w:firstRowFirstColumn="0" w:firstRowLastColumn="0" w:lastRowFirstColumn="0" w:lastRowLastColumn="0"/>
          <w:cantSplit/>
        </w:trPr>
        <w:tc>
          <w:tcPr>
            <w:tcW w:w="418" w:type="pct"/>
            <w:hideMark/>
          </w:tcPr>
          <w:p w14:paraId="40CD3771" w14:textId="77777777" w:rsidR="00FA2FF9" w:rsidRPr="00730DE4" w:rsidRDefault="00FA2FF9" w:rsidP="00593504">
            <w:pPr>
              <w:pStyle w:val="NoSpacing"/>
            </w:pPr>
            <w:r w:rsidRPr="00730DE4">
              <w:t>Chair</w:t>
            </w:r>
          </w:p>
        </w:tc>
        <w:tc>
          <w:tcPr>
            <w:tcW w:w="684" w:type="pct"/>
            <w:hideMark/>
          </w:tcPr>
          <w:p w14:paraId="1BD4B5BB" w14:textId="77777777" w:rsidR="00FA2FF9" w:rsidRPr="00730DE4" w:rsidRDefault="00FA2FF9" w:rsidP="00593504">
            <w:pPr>
              <w:pStyle w:val="NoSpacing"/>
            </w:pPr>
            <w:r w:rsidRPr="00730DE4">
              <w:t>Michael Forde</w:t>
            </w:r>
          </w:p>
        </w:tc>
        <w:tc>
          <w:tcPr>
            <w:tcW w:w="872" w:type="pct"/>
          </w:tcPr>
          <w:p w14:paraId="4A4C8BF1" w14:textId="77777777" w:rsidR="00FA2FF9" w:rsidRPr="00730DE4" w:rsidRDefault="00FA2FF9" w:rsidP="000A65A9">
            <w:pPr>
              <w:pStyle w:val="NoSpacing"/>
              <w:jc w:val="right"/>
            </w:pPr>
          </w:p>
        </w:tc>
        <w:tc>
          <w:tcPr>
            <w:tcW w:w="1151" w:type="pct"/>
            <w:hideMark/>
          </w:tcPr>
          <w:p w14:paraId="75A1818D" w14:textId="77777777" w:rsidR="00FA2FF9" w:rsidRPr="00730DE4" w:rsidRDefault="00FA2FF9" w:rsidP="000A65A9">
            <w:pPr>
              <w:pStyle w:val="NoSpacing"/>
              <w:jc w:val="right"/>
            </w:pPr>
            <w:r w:rsidRPr="00730DE4">
              <w:t>$6000 pa</w:t>
            </w:r>
          </w:p>
        </w:tc>
        <w:tc>
          <w:tcPr>
            <w:tcW w:w="1240" w:type="pct"/>
          </w:tcPr>
          <w:p w14:paraId="4FF3F8BB" w14:textId="77777777" w:rsidR="00FA2FF9" w:rsidRPr="00730DE4" w:rsidRDefault="00FA2FF9" w:rsidP="000A65A9">
            <w:pPr>
              <w:pStyle w:val="NoSpacing"/>
              <w:jc w:val="right"/>
            </w:pPr>
          </w:p>
        </w:tc>
        <w:tc>
          <w:tcPr>
            <w:tcW w:w="635" w:type="pct"/>
            <w:hideMark/>
          </w:tcPr>
          <w:p w14:paraId="5D99F72C" w14:textId="77777777" w:rsidR="00FA2FF9" w:rsidRPr="00730DE4" w:rsidRDefault="00FA2FF9" w:rsidP="000A65A9">
            <w:pPr>
              <w:pStyle w:val="NoSpacing"/>
              <w:jc w:val="right"/>
            </w:pPr>
            <w:r w:rsidRPr="00730DE4">
              <w:t>$6000.00</w:t>
            </w:r>
          </w:p>
        </w:tc>
      </w:tr>
      <w:tr w:rsidR="000A65A9" w:rsidRPr="00730DE4" w14:paraId="58497C36" w14:textId="77777777" w:rsidTr="000A65A9">
        <w:trPr>
          <w:cantSplit/>
        </w:trPr>
        <w:tc>
          <w:tcPr>
            <w:tcW w:w="418" w:type="pct"/>
            <w:hideMark/>
          </w:tcPr>
          <w:p w14:paraId="482BF636" w14:textId="77777777" w:rsidR="00FA2FF9" w:rsidRPr="00730DE4" w:rsidRDefault="00FA2FF9" w:rsidP="00593504">
            <w:pPr>
              <w:pStyle w:val="NoSpacing"/>
            </w:pPr>
            <w:r w:rsidRPr="00730DE4">
              <w:t>Deputy Chair</w:t>
            </w:r>
          </w:p>
        </w:tc>
        <w:tc>
          <w:tcPr>
            <w:tcW w:w="684" w:type="pct"/>
            <w:hideMark/>
          </w:tcPr>
          <w:p w14:paraId="599140EB" w14:textId="77777777" w:rsidR="00FA2FF9" w:rsidRPr="00730DE4" w:rsidRDefault="00FA2FF9" w:rsidP="00593504">
            <w:pPr>
              <w:pStyle w:val="NoSpacing"/>
            </w:pPr>
            <w:r w:rsidRPr="00730DE4">
              <w:t>Sarah Hartley</w:t>
            </w:r>
          </w:p>
        </w:tc>
        <w:tc>
          <w:tcPr>
            <w:tcW w:w="872" w:type="pct"/>
          </w:tcPr>
          <w:p w14:paraId="34746644" w14:textId="77777777" w:rsidR="00FA2FF9" w:rsidRPr="00730DE4" w:rsidRDefault="00FA2FF9" w:rsidP="000A65A9">
            <w:pPr>
              <w:pStyle w:val="NoSpacing"/>
              <w:jc w:val="right"/>
            </w:pPr>
          </w:p>
        </w:tc>
        <w:tc>
          <w:tcPr>
            <w:tcW w:w="1151" w:type="pct"/>
            <w:hideMark/>
          </w:tcPr>
          <w:p w14:paraId="708411F2" w14:textId="77777777" w:rsidR="00FA2FF9" w:rsidRPr="00730DE4" w:rsidRDefault="00FA2FF9" w:rsidP="000A65A9">
            <w:pPr>
              <w:pStyle w:val="NoSpacing"/>
              <w:jc w:val="right"/>
            </w:pPr>
            <w:r w:rsidRPr="00730DE4">
              <w:t>$3500pa + superannuation</w:t>
            </w:r>
          </w:p>
        </w:tc>
        <w:tc>
          <w:tcPr>
            <w:tcW w:w="1240" w:type="pct"/>
          </w:tcPr>
          <w:p w14:paraId="15B1698D" w14:textId="77777777" w:rsidR="00FA2FF9" w:rsidRPr="00730DE4" w:rsidRDefault="00FA2FF9" w:rsidP="000A65A9">
            <w:pPr>
              <w:pStyle w:val="NoSpacing"/>
              <w:jc w:val="right"/>
            </w:pPr>
          </w:p>
        </w:tc>
        <w:tc>
          <w:tcPr>
            <w:tcW w:w="635" w:type="pct"/>
            <w:hideMark/>
          </w:tcPr>
          <w:p w14:paraId="522B0AC8" w14:textId="77777777" w:rsidR="00FA2FF9" w:rsidRPr="00730DE4" w:rsidRDefault="00FA2FF9" w:rsidP="000A65A9">
            <w:pPr>
              <w:pStyle w:val="NoSpacing"/>
              <w:jc w:val="right"/>
            </w:pPr>
            <w:r w:rsidRPr="00730DE4">
              <w:t>$5827.50</w:t>
            </w:r>
          </w:p>
        </w:tc>
      </w:tr>
      <w:tr w:rsidR="000A65A9" w:rsidRPr="00730DE4" w14:paraId="0CB87FE8" w14:textId="77777777" w:rsidTr="000A65A9">
        <w:trPr>
          <w:cnfStyle w:val="000000100000" w:firstRow="0" w:lastRow="0" w:firstColumn="0" w:lastColumn="0" w:oddVBand="0" w:evenVBand="0" w:oddHBand="1" w:evenHBand="0" w:firstRowFirstColumn="0" w:firstRowLastColumn="0" w:lastRowFirstColumn="0" w:lastRowLastColumn="0"/>
          <w:cantSplit/>
        </w:trPr>
        <w:tc>
          <w:tcPr>
            <w:tcW w:w="418" w:type="pct"/>
            <w:hideMark/>
          </w:tcPr>
          <w:p w14:paraId="162F107E" w14:textId="77777777" w:rsidR="00FA2FF9" w:rsidRPr="00730DE4" w:rsidRDefault="00FA2FF9" w:rsidP="00593504">
            <w:pPr>
              <w:pStyle w:val="NoSpacing"/>
            </w:pPr>
            <w:r w:rsidRPr="00730DE4">
              <w:t>Member</w:t>
            </w:r>
          </w:p>
        </w:tc>
        <w:tc>
          <w:tcPr>
            <w:tcW w:w="684" w:type="pct"/>
            <w:hideMark/>
          </w:tcPr>
          <w:p w14:paraId="26986254" w14:textId="77777777" w:rsidR="00FA2FF9" w:rsidRPr="00730DE4" w:rsidRDefault="00FA2FF9" w:rsidP="00593504">
            <w:pPr>
              <w:pStyle w:val="NoSpacing"/>
            </w:pPr>
            <w:r w:rsidRPr="00730DE4">
              <w:t>Shannon Wandermaker</w:t>
            </w:r>
          </w:p>
        </w:tc>
        <w:tc>
          <w:tcPr>
            <w:tcW w:w="872" w:type="pct"/>
          </w:tcPr>
          <w:p w14:paraId="3F00FEF7" w14:textId="77777777" w:rsidR="00FA2FF9" w:rsidRPr="00730DE4" w:rsidRDefault="00FA2FF9" w:rsidP="000A65A9">
            <w:pPr>
              <w:pStyle w:val="NoSpacing"/>
              <w:jc w:val="right"/>
            </w:pPr>
          </w:p>
        </w:tc>
        <w:tc>
          <w:tcPr>
            <w:tcW w:w="1151" w:type="pct"/>
            <w:hideMark/>
          </w:tcPr>
          <w:p w14:paraId="24422A64" w14:textId="77777777" w:rsidR="00FA2FF9" w:rsidRPr="00730DE4" w:rsidRDefault="00FA2FF9" w:rsidP="000A65A9">
            <w:pPr>
              <w:pStyle w:val="NoSpacing"/>
              <w:jc w:val="right"/>
            </w:pPr>
            <w:r w:rsidRPr="00730DE4">
              <w:t>$3500pa + superannuation</w:t>
            </w:r>
          </w:p>
        </w:tc>
        <w:tc>
          <w:tcPr>
            <w:tcW w:w="1240" w:type="pct"/>
          </w:tcPr>
          <w:p w14:paraId="1960FDF2" w14:textId="77777777" w:rsidR="00FA2FF9" w:rsidRPr="00730DE4" w:rsidRDefault="00FA2FF9" w:rsidP="000A65A9">
            <w:pPr>
              <w:pStyle w:val="NoSpacing"/>
              <w:jc w:val="right"/>
            </w:pPr>
          </w:p>
        </w:tc>
        <w:tc>
          <w:tcPr>
            <w:tcW w:w="635" w:type="pct"/>
            <w:hideMark/>
          </w:tcPr>
          <w:p w14:paraId="38FAE88F" w14:textId="77777777" w:rsidR="00FA2FF9" w:rsidRPr="00730DE4" w:rsidRDefault="00FA2FF9" w:rsidP="000A65A9">
            <w:pPr>
              <w:pStyle w:val="NoSpacing"/>
              <w:jc w:val="right"/>
            </w:pPr>
            <w:r w:rsidRPr="00730DE4">
              <w:t>$1942.50</w:t>
            </w:r>
          </w:p>
        </w:tc>
      </w:tr>
      <w:tr w:rsidR="000A65A9" w:rsidRPr="00730DE4" w14:paraId="6F781B47" w14:textId="77777777" w:rsidTr="000A65A9">
        <w:trPr>
          <w:cantSplit/>
        </w:trPr>
        <w:tc>
          <w:tcPr>
            <w:tcW w:w="418" w:type="pct"/>
            <w:hideMark/>
          </w:tcPr>
          <w:p w14:paraId="1D0FA579" w14:textId="77777777" w:rsidR="00FA2FF9" w:rsidRPr="00730DE4" w:rsidRDefault="00FA2FF9" w:rsidP="00593504">
            <w:pPr>
              <w:pStyle w:val="NoSpacing"/>
            </w:pPr>
            <w:r w:rsidRPr="00730DE4">
              <w:t>Member</w:t>
            </w:r>
          </w:p>
        </w:tc>
        <w:tc>
          <w:tcPr>
            <w:tcW w:w="684" w:type="pct"/>
            <w:hideMark/>
          </w:tcPr>
          <w:p w14:paraId="7C4BE3A7" w14:textId="77777777" w:rsidR="00FA2FF9" w:rsidRPr="00730DE4" w:rsidRDefault="00FA2FF9" w:rsidP="00593504">
            <w:pPr>
              <w:pStyle w:val="NoSpacing"/>
            </w:pPr>
            <w:r w:rsidRPr="00730DE4">
              <w:t>John Mayo</w:t>
            </w:r>
          </w:p>
        </w:tc>
        <w:tc>
          <w:tcPr>
            <w:tcW w:w="872" w:type="pct"/>
          </w:tcPr>
          <w:p w14:paraId="06696F90" w14:textId="77777777" w:rsidR="00FA2FF9" w:rsidRPr="00730DE4" w:rsidRDefault="00FA2FF9" w:rsidP="000A65A9">
            <w:pPr>
              <w:pStyle w:val="NoSpacing"/>
              <w:jc w:val="right"/>
            </w:pPr>
          </w:p>
        </w:tc>
        <w:tc>
          <w:tcPr>
            <w:tcW w:w="1151" w:type="pct"/>
            <w:hideMark/>
          </w:tcPr>
          <w:p w14:paraId="15E99E63" w14:textId="77777777" w:rsidR="00FA2FF9" w:rsidRPr="00730DE4" w:rsidRDefault="00FA2FF9" w:rsidP="000A65A9">
            <w:pPr>
              <w:pStyle w:val="NoSpacing"/>
              <w:jc w:val="right"/>
            </w:pPr>
            <w:r w:rsidRPr="00730DE4">
              <w:t>$3500pa + superannuation</w:t>
            </w:r>
          </w:p>
        </w:tc>
        <w:tc>
          <w:tcPr>
            <w:tcW w:w="1240" w:type="pct"/>
          </w:tcPr>
          <w:p w14:paraId="3E6E02D9" w14:textId="77777777" w:rsidR="00FA2FF9" w:rsidRPr="00730DE4" w:rsidRDefault="00FA2FF9" w:rsidP="000A65A9">
            <w:pPr>
              <w:pStyle w:val="NoSpacing"/>
              <w:jc w:val="right"/>
            </w:pPr>
          </w:p>
        </w:tc>
        <w:tc>
          <w:tcPr>
            <w:tcW w:w="635" w:type="pct"/>
            <w:hideMark/>
          </w:tcPr>
          <w:p w14:paraId="1D70123B" w14:textId="77777777" w:rsidR="00FA2FF9" w:rsidRPr="00730DE4" w:rsidRDefault="00FA2FF9" w:rsidP="000A65A9">
            <w:pPr>
              <w:pStyle w:val="NoSpacing"/>
              <w:jc w:val="right"/>
            </w:pPr>
            <w:r w:rsidRPr="00730DE4">
              <w:t>$1942.50</w:t>
            </w:r>
          </w:p>
        </w:tc>
      </w:tr>
      <w:tr w:rsidR="000A65A9" w:rsidRPr="00730DE4" w14:paraId="0DFC3022" w14:textId="77777777" w:rsidTr="000A65A9">
        <w:trPr>
          <w:cnfStyle w:val="000000100000" w:firstRow="0" w:lastRow="0" w:firstColumn="0" w:lastColumn="0" w:oddVBand="0" w:evenVBand="0" w:oddHBand="1" w:evenHBand="0" w:firstRowFirstColumn="0" w:firstRowLastColumn="0" w:lastRowFirstColumn="0" w:lastRowLastColumn="0"/>
          <w:cantSplit/>
        </w:trPr>
        <w:tc>
          <w:tcPr>
            <w:tcW w:w="418" w:type="pct"/>
            <w:hideMark/>
          </w:tcPr>
          <w:p w14:paraId="6DBB5552" w14:textId="77777777" w:rsidR="00FA2FF9" w:rsidRPr="00730DE4" w:rsidRDefault="00FA2FF9" w:rsidP="00593504">
            <w:pPr>
              <w:pStyle w:val="NoSpacing"/>
            </w:pPr>
            <w:r w:rsidRPr="00730DE4">
              <w:t>Member</w:t>
            </w:r>
          </w:p>
        </w:tc>
        <w:tc>
          <w:tcPr>
            <w:tcW w:w="684" w:type="pct"/>
            <w:hideMark/>
          </w:tcPr>
          <w:p w14:paraId="46C52599" w14:textId="77777777" w:rsidR="00FA2FF9" w:rsidRPr="00730DE4" w:rsidRDefault="00FA2FF9" w:rsidP="00593504">
            <w:pPr>
              <w:pStyle w:val="NoSpacing"/>
            </w:pPr>
            <w:r w:rsidRPr="00730DE4">
              <w:t>Kelly Bertoliaccini</w:t>
            </w:r>
          </w:p>
        </w:tc>
        <w:tc>
          <w:tcPr>
            <w:tcW w:w="872" w:type="pct"/>
          </w:tcPr>
          <w:p w14:paraId="14402D56" w14:textId="77777777" w:rsidR="00FA2FF9" w:rsidRPr="00730DE4" w:rsidRDefault="00FA2FF9" w:rsidP="000A65A9">
            <w:pPr>
              <w:pStyle w:val="NoSpacing"/>
              <w:jc w:val="right"/>
            </w:pPr>
          </w:p>
        </w:tc>
        <w:tc>
          <w:tcPr>
            <w:tcW w:w="1151" w:type="pct"/>
            <w:hideMark/>
          </w:tcPr>
          <w:p w14:paraId="7D17EC0B" w14:textId="77777777" w:rsidR="00FA2FF9" w:rsidRPr="00730DE4" w:rsidRDefault="00FA2FF9" w:rsidP="000A65A9">
            <w:pPr>
              <w:pStyle w:val="NoSpacing"/>
              <w:jc w:val="right"/>
            </w:pPr>
            <w:r w:rsidRPr="00730DE4">
              <w:t>$3500pa + superannuation</w:t>
            </w:r>
          </w:p>
        </w:tc>
        <w:tc>
          <w:tcPr>
            <w:tcW w:w="1240" w:type="pct"/>
          </w:tcPr>
          <w:p w14:paraId="19C75DDB" w14:textId="77777777" w:rsidR="00FA2FF9" w:rsidRPr="00730DE4" w:rsidRDefault="00FA2FF9" w:rsidP="000A65A9">
            <w:pPr>
              <w:pStyle w:val="NoSpacing"/>
              <w:jc w:val="right"/>
            </w:pPr>
          </w:p>
        </w:tc>
        <w:tc>
          <w:tcPr>
            <w:tcW w:w="635" w:type="pct"/>
            <w:hideMark/>
          </w:tcPr>
          <w:p w14:paraId="106857C7" w14:textId="77777777" w:rsidR="00FA2FF9" w:rsidRPr="00730DE4" w:rsidRDefault="00FA2FF9" w:rsidP="000A65A9">
            <w:pPr>
              <w:pStyle w:val="NoSpacing"/>
              <w:jc w:val="right"/>
            </w:pPr>
            <w:r w:rsidRPr="00730DE4">
              <w:t>$1942.50</w:t>
            </w:r>
          </w:p>
        </w:tc>
      </w:tr>
      <w:tr w:rsidR="000A65A9" w:rsidRPr="00730DE4" w14:paraId="58C921CD" w14:textId="77777777" w:rsidTr="000A65A9">
        <w:trPr>
          <w:cantSplit/>
        </w:trPr>
        <w:tc>
          <w:tcPr>
            <w:tcW w:w="418" w:type="pct"/>
          </w:tcPr>
          <w:p w14:paraId="1ECF3CBB" w14:textId="77777777" w:rsidR="00FA2FF9" w:rsidRPr="00730DE4" w:rsidRDefault="00FA2FF9" w:rsidP="00593504">
            <w:pPr>
              <w:pStyle w:val="NoSpacing"/>
            </w:pPr>
            <w:r w:rsidRPr="00730DE4">
              <w:t>Member</w:t>
            </w:r>
          </w:p>
        </w:tc>
        <w:tc>
          <w:tcPr>
            <w:tcW w:w="684" w:type="pct"/>
          </w:tcPr>
          <w:p w14:paraId="0F598424" w14:textId="77777777" w:rsidR="00FA2FF9" w:rsidRPr="00730DE4" w:rsidRDefault="00FA2FF9" w:rsidP="00593504">
            <w:pPr>
              <w:pStyle w:val="NoSpacing"/>
            </w:pPr>
            <w:r w:rsidRPr="00730DE4">
              <w:t>Steve Tucker</w:t>
            </w:r>
          </w:p>
        </w:tc>
        <w:tc>
          <w:tcPr>
            <w:tcW w:w="872" w:type="pct"/>
          </w:tcPr>
          <w:p w14:paraId="782F0103" w14:textId="77777777" w:rsidR="00FA2FF9" w:rsidRPr="00730DE4" w:rsidRDefault="00FA2FF9" w:rsidP="000A65A9">
            <w:pPr>
              <w:pStyle w:val="NoSpacing"/>
              <w:jc w:val="right"/>
            </w:pPr>
          </w:p>
        </w:tc>
        <w:tc>
          <w:tcPr>
            <w:tcW w:w="1151" w:type="pct"/>
          </w:tcPr>
          <w:p w14:paraId="3E46C92D" w14:textId="77777777" w:rsidR="00FA2FF9" w:rsidRPr="00730DE4" w:rsidRDefault="00FA2FF9" w:rsidP="000A65A9">
            <w:pPr>
              <w:pStyle w:val="NoSpacing"/>
              <w:jc w:val="right"/>
            </w:pPr>
            <w:r w:rsidRPr="00730DE4">
              <w:t>$3500pa + superannuation</w:t>
            </w:r>
          </w:p>
        </w:tc>
        <w:tc>
          <w:tcPr>
            <w:tcW w:w="1240" w:type="pct"/>
          </w:tcPr>
          <w:p w14:paraId="3CA08B34" w14:textId="77777777" w:rsidR="00FA2FF9" w:rsidRPr="00730DE4" w:rsidRDefault="00FA2FF9" w:rsidP="000A65A9">
            <w:pPr>
              <w:pStyle w:val="NoSpacing"/>
              <w:jc w:val="right"/>
            </w:pPr>
          </w:p>
        </w:tc>
        <w:tc>
          <w:tcPr>
            <w:tcW w:w="635" w:type="pct"/>
          </w:tcPr>
          <w:p w14:paraId="76092B25" w14:textId="77777777" w:rsidR="00FA2FF9" w:rsidRPr="00730DE4" w:rsidRDefault="00FA2FF9" w:rsidP="000A65A9">
            <w:pPr>
              <w:pStyle w:val="NoSpacing"/>
              <w:jc w:val="right"/>
            </w:pPr>
            <w:r w:rsidRPr="00730DE4">
              <w:t>$3885.00</w:t>
            </w:r>
          </w:p>
        </w:tc>
      </w:tr>
      <w:tr w:rsidR="000A65A9" w:rsidRPr="00730DE4" w14:paraId="57F4A32B" w14:textId="77777777" w:rsidTr="000A65A9">
        <w:trPr>
          <w:cnfStyle w:val="000000100000" w:firstRow="0" w:lastRow="0" w:firstColumn="0" w:lastColumn="0" w:oddVBand="0" w:evenVBand="0" w:oddHBand="1" w:evenHBand="0" w:firstRowFirstColumn="0" w:firstRowLastColumn="0" w:lastRowFirstColumn="0" w:lastRowLastColumn="0"/>
          <w:cantSplit/>
        </w:trPr>
        <w:tc>
          <w:tcPr>
            <w:tcW w:w="418" w:type="pct"/>
          </w:tcPr>
          <w:p w14:paraId="37229CF3" w14:textId="77777777" w:rsidR="00FA2FF9" w:rsidRPr="00730DE4" w:rsidRDefault="00FA2FF9" w:rsidP="00593504">
            <w:pPr>
              <w:pStyle w:val="NoSpacing"/>
            </w:pPr>
            <w:r w:rsidRPr="00730DE4">
              <w:t>Member</w:t>
            </w:r>
          </w:p>
        </w:tc>
        <w:tc>
          <w:tcPr>
            <w:tcW w:w="684" w:type="pct"/>
          </w:tcPr>
          <w:p w14:paraId="45EBEA32" w14:textId="77777777" w:rsidR="00FA2FF9" w:rsidRPr="00730DE4" w:rsidRDefault="00FA2FF9" w:rsidP="00593504">
            <w:pPr>
              <w:pStyle w:val="NoSpacing"/>
            </w:pPr>
            <w:r w:rsidRPr="00730DE4">
              <w:t>Natalie Naumann</w:t>
            </w:r>
          </w:p>
        </w:tc>
        <w:tc>
          <w:tcPr>
            <w:tcW w:w="872" w:type="pct"/>
          </w:tcPr>
          <w:p w14:paraId="06846ACA" w14:textId="77777777" w:rsidR="00FA2FF9" w:rsidRPr="00730DE4" w:rsidRDefault="00FA2FF9" w:rsidP="000A65A9">
            <w:pPr>
              <w:pStyle w:val="NoSpacing"/>
              <w:jc w:val="right"/>
            </w:pPr>
          </w:p>
        </w:tc>
        <w:tc>
          <w:tcPr>
            <w:tcW w:w="1151" w:type="pct"/>
          </w:tcPr>
          <w:p w14:paraId="21018D11" w14:textId="77777777" w:rsidR="00FA2FF9" w:rsidRPr="00730DE4" w:rsidRDefault="00FA2FF9" w:rsidP="000A65A9">
            <w:pPr>
              <w:pStyle w:val="NoSpacing"/>
              <w:jc w:val="right"/>
            </w:pPr>
            <w:r w:rsidRPr="00730DE4">
              <w:t>N/A – Queensland Public Servant</w:t>
            </w:r>
          </w:p>
        </w:tc>
        <w:tc>
          <w:tcPr>
            <w:tcW w:w="1240" w:type="pct"/>
          </w:tcPr>
          <w:p w14:paraId="538D9C2B" w14:textId="77777777" w:rsidR="00FA2FF9" w:rsidRPr="00730DE4" w:rsidRDefault="00FA2FF9" w:rsidP="000A65A9">
            <w:pPr>
              <w:pStyle w:val="NoSpacing"/>
              <w:jc w:val="right"/>
            </w:pPr>
          </w:p>
        </w:tc>
        <w:tc>
          <w:tcPr>
            <w:tcW w:w="635" w:type="pct"/>
          </w:tcPr>
          <w:p w14:paraId="7AACF309" w14:textId="77777777" w:rsidR="00FA2FF9" w:rsidRPr="00730DE4" w:rsidRDefault="00FA2FF9" w:rsidP="000A65A9">
            <w:pPr>
              <w:pStyle w:val="NoSpacing"/>
              <w:jc w:val="right"/>
            </w:pPr>
            <w:r w:rsidRPr="00730DE4">
              <w:t>$0</w:t>
            </w:r>
          </w:p>
        </w:tc>
      </w:tr>
      <w:tr w:rsidR="000A65A9" w:rsidRPr="00730DE4" w14:paraId="375DC820" w14:textId="77777777" w:rsidTr="000A65A9">
        <w:trPr>
          <w:cantSplit/>
        </w:trPr>
        <w:tc>
          <w:tcPr>
            <w:tcW w:w="418" w:type="pct"/>
            <w:hideMark/>
          </w:tcPr>
          <w:p w14:paraId="5F248F0C" w14:textId="77777777" w:rsidR="00FA2FF9" w:rsidRPr="00730DE4" w:rsidRDefault="00FA2FF9" w:rsidP="00593504">
            <w:pPr>
              <w:pStyle w:val="NoSpacing"/>
            </w:pPr>
            <w:r w:rsidRPr="00730DE4">
              <w:t>Member</w:t>
            </w:r>
          </w:p>
        </w:tc>
        <w:tc>
          <w:tcPr>
            <w:tcW w:w="684" w:type="pct"/>
            <w:hideMark/>
          </w:tcPr>
          <w:p w14:paraId="1890A4D1" w14:textId="77777777" w:rsidR="00FA2FF9" w:rsidRPr="00730DE4" w:rsidRDefault="00FA2FF9" w:rsidP="00593504">
            <w:pPr>
              <w:pStyle w:val="NoSpacing"/>
            </w:pPr>
            <w:r w:rsidRPr="00730DE4">
              <w:t>Emily Steel</w:t>
            </w:r>
          </w:p>
        </w:tc>
        <w:tc>
          <w:tcPr>
            <w:tcW w:w="872" w:type="pct"/>
          </w:tcPr>
          <w:p w14:paraId="000F9728" w14:textId="77777777" w:rsidR="00FA2FF9" w:rsidRPr="00730DE4" w:rsidRDefault="00FA2FF9" w:rsidP="000A65A9">
            <w:pPr>
              <w:pStyle w:val="NoSpacing"/>
              <w:jc w:val="right"/>
            </w:pPr>
          </w:p>
        </w:tc>
        <w:tc>
          <w:tcPr>
            <w:tcW w:w="1151" w:type="pct"/>
            <w:hideMark/>
          </w:tcPr>
          <w:p w14:paraId="712699F8" w14:textId="77777777" w:rsidR="00FA2FF9" w:rsidRPr="00730DE4" w:rsidRDefault="00FA2FF9" w:rsidP="000A65A9">
            <w:pPr>
              <w:pStyle w:val="NoSpacing"/>
              <w:jc w:val="right"/>
            </w:pPr>
            <w:r w:rsidRPr="00730DE4">
              <w:t>N/A – Queensland Public Servant</w:t>
            </w:r>
          </w:p>
        </w:tc>
        <w:tc>
          <w:tcPr>
            <w:tcW w:w="1240" w:type="pct"/>
          </w:tcPr>
          <w:p w14:paraId="70EDA106" w14:textId="77777777" w:rsidR="00FA2FF9" w:rsidRPr="00730DE4" w:rsidRDefault="00FA2FF9" w:rsidP="000A65A9">
            <w:pPr>
              <w:pStyle w:val="NoSpacing"/>
              <w:jc w:val="right"/>
            </w:pPr>
          </w:p>
        </w:tc>
        <w:tc>
          <w:tcPr>
            <w:tcW w:w="635" w:type="pct"/>
            <w:hideMark/>
          </w:tcPr>
          <w:p w14:paraId="67475A3D" w14:textId="77777777" w:rsidR="00FA2FF9" w:rsidRPr="00730DE4" w:rsidRDefault="00FA2FF9" w:rsidP="000A65A9">
            <w:pPr>
              <w:pStyle w:val="NoSpacing"/>
              <w:jc w:val="right"/>
            </w:pPr>
            <w:r w:rsidRPr="00730DE4">
              <w:t>$0</w:t>
            </w:r>
          </w:p>
        </w:tc>
      </w:tr>
    </w:tbl>
    <w:p w14:paraId="325FD547" w14:textId="77777777" w:rsidR="005009C7" w:rsidRDefault="005009C7" w:rsidP="00FD77E8">
      <w:pPr>
        <w:pStyle w:val="Heading4"/>
      </w:pPr>
      <w:r>
        <w:br w:type="page"/>
      </w:r>
    </w:p>
    <w:p w14:paraId="23D35808" w14:textId="33A3EA4A" w:rsidR="00FA2FF9" w:rsidRPr="00730DE4" w:rsidRDefault="00FA2FF9" w:rsidP="00FD77E8">
      <w:pPr>
        <w:pStyle w:val="Heading4"/>
      </w:pPr>
      <w:bookmarkStart w:id="1828" w:name="_Toc180487833"/>
      <w:bookmarkStart w:id="1829" w:name="_Toc180491038"/>
      <w:bookmarkStart w:id="1830" w:name="_Toc180492071"/>
      <w:r w:rsidRPr="00730DE4">
        <w:t>Remuneration totals</w:t>
      </w:r>
      <w:bookmarkEnd w:id="1828"/>
      <w:bookmarkEnd w:id="1829"/>
      <w:bookmarkEnd w:id="1830"/>
    </w:p>
    <w:tbl>
      <w:tblPr>
        <w:tblStyle w:val="TMRDefault"/>
        <w:tblW w:w="5000" w:type="pct"/>
        <w:tblLook w:val="04E0" w:firstRow="1" w:lastRow="1" w:firstColumn="1" w:lastColumn="0" w:noHBand="0" w:noVBand="1"/>
      </w:tblPr>
      <w:tblGrid>
        <w:gridCol w:w="4424"/>
        <w:gridCol w:w="9568"/>
      </w:tblGrid>
      <w:tr w:rsidR="00FA2FF9" w:rsidRPr="00730DE4" w14:paraId="5BEFE3AA" w14:textId="77777777" w:rsidTr="002D6779">
        <w:trPr>
          <w:cnfStyle w:val="100000000000" w:firstRow="1" w:lastRow="0" w:firstColumn="0" w:lastColumn="0" w:oddVBand="0" w:evenVBand="0" w:oddHBand="0" w:evenHBand="0" w:firstRowFirstColumn="0" w:firstRowLastColumn="0" w:lastRowFirstColumn="0" w:lastRowLastColumn="0"/>
          <w:trHeight w:val="239"/>
        </w:trPr>
        <w:tc>
          <w:tcPr>
            <w:tcW w:w="1581" w:type="pct"/>
          </w:tcPr>
          <w:p w14:paraId="7DE4EDAA" w14:textId="77777777" w:rsidR="00FA2FF9" w:rsidRPr="00730DE4" w:rsidRDefault="00FA2FF9" w:rsidP="005A59C2">
            <w:pPr>
              <w:pStyle w:val="NoSpacing"/>
              <w:rPr>
                <w:color w:val="FFFFFF" w:themeColor="background1"/>
              </w:rPr>
            </w:pPr>
            <w:r w:rsidRPr="00730DE4">
              <w:rPr>
                <w:color w:val="FFFFFF" w:themeColor="background1"/>
              </w:rPr>
              <w:t>Type</w:t>
            </w:r>
          </w:p>
        </w:tc>
        <w:tc>
          <w:tcPr>
            <w:tcW w:w="3419" w:type="pct"/>
          </w:tcPr>
          <w:p w14:paraId="527E8CE4" w14:textId="77777777" w:rsidR="00FA2FF9" w:rsidRPr="00730DE4" w:rsidRDefault="00FA2FF9" w:rsidP="002D6779">
            <w:pPr>
              <w:pStyle w:val="NoSpacing"/>
              <w:jc w:val="right"/>
              <w:rPr>
                <w:color w:val="FFFFFF" w:themeColor="background1"/>
              </w:rPr>
            </w:pPr>
            <w:r w:rsidRPr="00730DE4">
              <w:rPr>
                <w:color w:val="FFFFFF" w:themeColor="background1"/>
              </w:rPr>
              <w:t>Amount</w:t>
            </w:r>
          </w:p>
        </w:tc>
      </w:tr>
      <w:tr w:rsidR="00FA2FF9" w:rsidRPr="00730DE4" w14:paraId="3E3FBF0D" w14:textId="77777777" w:rsidTr="002D6779">
        <w:trPr>
          <w:cnfStyle w:val="000000100000" w:firstRow="0" w:lastRow="0" w:firstColumn="0" w:lastColumn="0" w:oddVBand="0" w:evenVBand="0" w:oddHBand="1" w:evenHBand="0" w:firstRowFirstColumn="0" w:firstRowLastColumn="0" w:lastRowFirstColumn="0" w:lastRowLastColumn="0"/>
          <w:trHeight w:val="119"/>
        </w:trPr>
        <w:tc>
          <w:tcPr>
            <w:tcW w:w="1581" w:type="pct"/>
          </w:tcPr>
          <w:p w14:paraId="1CFDCC9F" w14:textId="77777777" w:rsidR="00FA2FF9" w:rsidRPr="00730DE4" w:rsidRDefault="00FA2FF9" w:rsidP="00FD77E8">
            <w:pPr>
              <w:pStyle w:val="NoSpacing"/>
            </w:pPr>
            <w:r w:rsidRPr="00730DE4">
              <w:t>No. scheduled meetings/sessions</w:t>
            </w:r>
          </w:p>
        </w:tc>
        <w:tc>
          <w:tcPr>
            <w:tcW w:w="3419" w:type="pct"/>
          </w:tcPr>
          <w:p w14:paraId="4F9FBDC3" w14:textId="77777777" w:rsidR="00FA2FF9" w:rsidRPr="00730DE4" w:rsidRDefault="00FA2FF9" w:rsidP="002D6779">
            <w:pPr>
              <w:pStyle w:val="NoSpacing"/>
              <w:jc w:val="right"/>
            </w:pPr>
            <w:r w:rsidRPr="00730DE4">
              <w:t>3</w:t>
            </w:r>
          </w:p>
        </w:tc>
      </w:tr>
      <w:tr w:rsidR="00FA2FF9" w:rsidRPr="00730DE4" w14:paraId="44DFEF20" w14:textId="77777777" w:rsidTr="002D6779">
        <w:trPr>
          <w:cnfStyle w:val="010000000000" w:firstRow="0" w:lastRow="1" w:firstColumn="0" w:lastColumn="0" w:oddVBand="0" w:evenVBand="0" w:oddHBand="0" w:evenHBand="0" w:firstRowFirstColumn="0" w:firstRowLastColumn="0" w:lastRowFirstColumn="0" w:lastRowLastColumn="0"/>
          <w:trHeight w:val="119"/>
        </w:trPr>
        <w:tc>
          <w:tcPr>
            <w:tcW w:w="1581" w:type="pct"/>
          </w:tcPr>
          <w:p w14:paraId="2E912E11" w14:textId="77777777" w:rsidR="00FA2FF9" w:rsidRPr="00730DE4" w:rsidRDefault="00FA2FF9" w:rsidP="00FD77E8">
            <w:pPr>
              <w:pStyle w:val="NoSpacing"/>
            </w:pPr>
            <w:r w:rsidRPr="00730DE4">
              <w:t>Total TMR Payments</w:t>
            </w:r>
          </w:p>
        </w:tc>
        <w:tc>
          <w:tcPr>
            <w:tcW w:w="3419" w:type="pct"/>
          </w:tcPr>
          <w:p w14:paraId="12A0FB93" w14:textId="77777777" w:rsidR="00FA2FF9" w:rsidRPr="00730DE4" w:rsidRDefault="00FA2FF9" w:rsidP="002D6779">
            <w:pPr>
              <w:pStyle w:val="NoSpacing"/>
              <w:jc w:val="right"/>
            </w:pPr>
            <w:r w:rsidRPr="00730DE4">
              <w:t>$21,540.00</w:t>
            </w:r>
          </w:p>
        </w:tc>
      </w:tr>
    </w:tbl>
    <w:p w14:paraId="446E3FE1" w14:textId="77777777" w:rsidR="00FA2FF9" w:rsidRPr="00730DE4" w:rsidRDefault="00FA2FF9" w:rsidP="003D4F7B">
      <w:pPr>
        <w:pStyle w:val="Caption"/>
      </w:pPr>
      <w:r w:rsidRPr="00730DE4">
        <w:t xml:space="preserve">Notes: TMR payments include superannuation for Council members as they are engaged as a casual board member. The Chair was engaged as a contractor therefore superannuation was not applicable. </w:t>
      </w:r>
    </w:p>
    <w:p w14:paraId="54958330" w14:textId="77777777" w:rsidR="00FA2FF9" w:rsidRPr="00730DE4" w:rsidRDefault="00FA2FF9" w:rsidP="003D4F7B">
      <w:pPr>
        <w:pStyle w:val="Caption"/>
      </w:pPr>
      <w:r w:rsidRPr="00730DE4">
        <w:t xml:space="preserve">Back payments from the 2022–23 financial year were paid to Ms. Hartley and Mr. Tucker in this financial year. </w:t>
      </w:r>
    </w:p>
    <w:p w14:paraId="06D6AA39" w14:textId="77777777" w:rsidR="00FA2FF9" w:rsidRPr="00730DE4" w:rsidRDefault="00FA2FF9" w:rsidP="00FD77E8">
      <w:pPr>
        <w:pStyle w:val="Caption"/>
      </w:pPr>
      <w:r w:rsidRPr="00730DE4">
        <w:t xml:space="preserve">50 per cent of all TMR costs are recoverable from Queensland Rail. </w:t>
      </w:r>
    </w:p>
    <w:p w14:paraId="026968A6" w14:textId="20E0502B" w:rsidR="00094BA5" w:rsidRPr="00730DE4" w:rsidRDefault="00094BA5">
      <w:pPr>
        <w:suppressAutoHyphens w:val="0"/>
        <w:spacing w:before="0" w:line="259" w:lineRule="auto"/>
      </w:pPr>
      <w:r w:rsidRPr="00730DE4">
        <w:br w:type="page"/>
      </w:r>
    </w:p>
    <w:p w14:paraId="744D01C1" w14:textId="7EADF2A4" w:rsidR="00FA2FF9" w:rsidRPr="00730DE4" w:rsidRDefault="00FA2FF9" w:rsidP="002B7001">
      <w:pPr>
        <w:pStyle w:val="Heading2"/>
        <w:rPr>
          <w:lang w:val="en-US"/>
        </w:rPr>
      </w:pPr>
      <w:bookmarkStart w:id="1831" w:name="_Toc180491039"/>
      <w:bookmarkStart w:id="1832" w:name="_Toc180492072"/>
      <w:r w:rsidRPr="00730DE4">
        <w:rPr>
          <w:lang w:val="en-US"/>
        </w:rPr>
        <w:t>Appendix 6: Glossary</w:t>
      </w:r>
      <w:bookmarkEnd w:id="1831"/>
      <w:bookmarkEnd w:id="1832"/>
    </w:p>
    <w:tbl>
      <w:tblPr>
        <w:tblStyle w:val="TMRDefault"/>
        <w:tblW w:w="5000" w:type="pct"/>
        <w:tblLook w:val="04A0" w:firstRow="1" w:lastRow="0" w:firstColumn="1" w:lastColumn="0" w:noHBand="0" w:noVBand="1"/>
      </w:tblPr>
      <w:tblGrid>
        <w:gridCol w:w="3280"/>
        <w:gridCol w:w="10712"/>
      </w:tblGrid>
      <w:tr w:rsidR="002D6779" w:rsidRPr="00730DE4" w14:paraId="63D568A5" w14:textId="77777777" w:rsidTr="002D6779">
        <w:trPr>
          <w:cnfStyle w:val="100000000000" w:firstRow="1" w:lastRow="0" w:firstColumn="0" w:lastColumn="0" w:oddVBand="0" w:evenVBand="0" w:oddHBand="0" w:evenHBand="0" w:firstRowFirstColumn="0" w:firstRowLastColumn="0" w:lastRowFirstColumn="0" w:lastRowLastColumn="0"/>
          <w:cantSplit/>
          <w:tblHeader/>
        </w:trPr>
        <w:tc>
          <w:tcPr>
            <w:tcW w:w="1172" w:type="pct"/>
          </w:tcPr>
          <w:p w14:paraId="49493A08" w14:textId="77777777" w:rsidR="00FA2FF9" w:rsidRPr="00730DE4" w:rsidRDefault="00FA2FF9" w:rsidP="0069763E">
            <w:pPr>
              <w:pStyle w:val="NoSpacing"/>
              <w:rPr>
                <w:color w:val="FFFFFF" w:themeColor="background1"/>
                <w:lang w:val="en-US"/>
              </w:rPr>
            </w:pPr>
            <w:r w:rsidRPr="00730DE4">
              <w:rPr>
                <w:color w:val="FFFFFF" w:themeColor="background1"/>
              </w:rPr>
              <w:t>Term</w:t>
            </w:r>
          </w:p>
        </w:tc>
        <w:tc>
          <w:tcPr>
            <w:tcW w:w="3828" w:type="pct"/>
          </w:tcPr>
          <w:p w14:paraId="1944148F" w14:textId="77777777" w:rsidR="00FA2FF9" w:rsidRPr="00730DE4" w:rsidRDefault="00FA2FF9" w:rsidP="0069763E">
            <w:pPr>
              <w:pStyle w:val="NoSpacing"/>
              <w:rPr>
                <w:color w:val="FFFFFF" w:themeColor="background1"/>
                <w:lang w:val="en-US"/>
              </w:rPr>
            </w:pPr>
            <w:r w:rsidRPr="00730DE4">
              <w:rPr>
                <w:color w:val="FFFFFF" w:themeColor="background1"/>
              </w:rPr>
              <w:t>Definition</w:t>
            </w:r>
          </w:p>
        </w:tc>
      </w:tr>
      <w:tr w:rsidR="000A65A9" w:rsidRPr="00730DE4" w14:paraId="433DD773" w14:textId="77777777" w:rsidTr="002D6779">
        <w:trPr>
          <w:cnfStyle w:val="000000100000" w:firstRow="0" w:lastRow="0" w:firstColumn="0" w:lastColumn="0" w:oddVBand="0" w:evenVBand="0" w:oddHBand="1" w:evenHBand="0" w:firstRowFirstColumn="0" w:firstRowLastColumn="0" w:lastRowFirstColumn="0" w:lastRowLastColumn="0"/>
          <w:cantSplit/>
        </w:trPr>
        <w:tc>
          <w:tcPr>
            <w:tcW w:w="1172" w:type="pct"/>
          </w:tcPr>
          <w:p w14:paraId="0D1C72B6" w14:textId="77777777" w:rsidR="00FA2FF9" w:rsidRPr="00730DE4" w:rsidRDefault="00FA2FF9" w:rsidP="0069763E">
            <w:pPr>
              <w:pStyle w:val="NoSpacing"/>
              <w:rPr>
                <w:lang w:val="en-US"/>
              </w:rPr>
            </w:pPr>
            <w:r w:rsidRPr="00730DE4">
              <w:t>App / Application</w:t>
            </w:r>
          </w:p>
        </w:tc>
        <w:tc>
          <w:tcPr>
            <w:tcW w:w="3828" w:type="pct"/>
          </w:tcPr>
          <w:p w14:paraId="176971C2" w14:textId="77777777" w:rsidR="00FA2FF9" w:rsidRPr="00730DE4" w:rsidRDefault="00FA2FF9" w:rsidP="0069763E">
            <w:pPr>
              <w:pStyle w:val="NoSpacing"/>
              <w:rPr>
                <w:lang w:val="en-US"/>
              </w:rPr>
            </w:pPr>
            <w:r w:rsidRPr="00730DE4">
              <w:t>An application (application software) is a set of computer programs designed to permit the user to perform a group of coordinated functions, tasks, or activities.</w:t>
            </w:r>
          </w:p>
        </w:tc>
      </w:tr>
      <w:tr w:rsidR="00FA2FF9" w:rsidRPr="00730DE4" w14:paraId="082FC689" w14:textId="77777777" w:rsidTr="002D6779">
        <w:trPr>
          <w:cantSplit/>
        </w:trPr>
        <w:tc>
          <w:tcPr>
            <w:tcW w:w="1172" w:type="pct"/>
          </w:tcPr>
          <w:p w14:paraId="367F248E" w14:textId="77777777" w:rsidR="00FA2FF9" w:rsidRPr="00730DE4" w:rsidRDefault="00FA2FF9" w:rsidP="0069763E">
            <w:pPr>
              <w:pStyle w:val="NoSpacing"/>
              <w:rPr>
                <w:lang w:val="en-US"/>
              </w:rPr>
            </w:pPr>
            <w:r w:rsidRPr="00730DE4">
              <w:t>Black Spot Program</w:t>
            </w:r>
          </w:p>
        </w:tc>
        <w:tc>
          <w:tcPr>
            <w:tcW w:w="3828" w:type="pct"/>
          </w:tcPr>
          <w:p w14:paraId="46AA23E4" w14:textId="77777777" w:rsidR="00FA2FF9" w:rsidRPr="00730DE4" w:rsidRDefault="00FA2FF9" w:rsidP="0069763E">
            <w:pPr>
              <w:pStyle w:val="NoSpacing"/>
              <w:rPr>
                <w:lang w:val="en-US"/>
              </w:rPr>
            </w:pPr>
            <w:r w:rsidRPr="00730DE4">
              <w:t>Black spots are locations where high-severity crashes occur. The Australian Government-funded Black Spot Program targets known crash sites through cost-effective, high-benefit engineering works to reduce accidents on Australian roads.</w:t>
            </w:r>
          </w:p>
        </w:tc>
      </w:tr>
      <w:tr w:rsidR="000A65A9" w:rsidRPr="00730DE4" w14:paraId="59E3EB57" w14:textId="77777777" w:rsidTr="002D6779">
        <w:trPr>
          <w:cnfStyle w:val="000000100000" w:firstRow="0" w:lastRow="0" w:firstColumn="0" w:lastColumn="0" w:oddVBand="0" w:evenVBand="0" w:oddHBand="1" w:evenHBand="0" w:firstRowFirstColumn="0" w:firstRowLastColumn="0" w:lastRowFirstColumn="0" w:lastRowLastColumn="0"/>
          <w:cantSplit/>
        </w:trPr>
        <w:tc>
          <w:tcPr>
            <w:tcW w:w="1172" w:type="pct"/>
          </w:tcPr>
          <w:p w14:paraId="2BE02E0B" w14:textId="77777777" w:rsidR="00FA2FF9" w:rsidRPr="00730DE4" w:rsidRDefault="00FA2FF9" w:rsidP="0069763E">
            <w:pPr>
              <w:pStyle w:val="NoSpacing"/>
              <w:rPr>
                <w:lang w:val="en-US"/>
              </w:rPr>
            </w:pPr>
            <w:r w:rsidRPr="00730DE4">
              <w:t>Busway</w:t>
            </w:r>
          </w:p>
        </w:tc>
        <w:tc>
          <w:tcPr>
            <w:tcW w:w="3828" w:type="pct"/>
          </w:tcPr>
          <w:p w14:paraId="52531F48" w14:textId="77777777" w:rsidR="00FA2FF9" w:rsidRPr="00730DE4" w:rsidRDefault="00FA2FF9" w:rsidP="0069763E">
            <w:pPr>
              <w:pStyle w:val="NoSpacing"/>
              <w:rPr>
                <w:lang w:val="en-US"/>
              </w:rPr>
            </w:pPr>
            <w:r w:rsidRPr="00730DE4">
              <w:t>A dedicated roadway that separates buses from general traffic.</w:t>
            </w:r>
          </w:p>
        </w:tc>
      </w:tr>
      <w:tr w:rsidR="00FA2FF9" w:rsidRPr="00730DE4" w14:paraId="3B8F2257" w14:textId="77777777" w:rsidTr="002D6779">
        <w:trPr>
          <w:cantSplit/>
        </w:trPr>
        <w:tc>
          <w:tcPr>
            <w:tcW w:w="1172" w:type="pct"/>
          </w:tcPr>
          <w:p w14:paraId="17C84ECF" w14:textId="77777777" w:rsidR="00FA2FF9" w:rsidRPr="00730DE4" w:rsidRDefault="00FA2FF9" w:rsidP="0069763E">
            <w:pPr>
              <w:pStyle w:val="NoSpacing"/>
              <w:rPr>
                <w:lang w:val="en-US"/>
              </w:rPr>
            </w:pPr>
            <w:r w:rsidRPr="00730DE4">
              <w:t>Camera Detected Offence Program (CDOP)</w:t>
            </w:r>
          </w:p>
        </w:tc>
        <w:tc>
          <w:tcPr>
            <w:tcW w:w="3828" w:type="pct"/>
          </w:tcPr>
          <w:p w14:paraId="7A842BBE" w14:textId="77777777" w:rsidR="00FA2FF9" w:rsidRPr="00730DE4" w:rsidRDefault="00FA2FF9" w:rsidP="0069763E">
            <w:pPr>
              <w:pStyle w:val="NoSpacing"/>
              <w:rPr>
                <w:lang w:val="en-US"/>
              </w:rPr>
            </w:pPr>
            <w:r w:rsidRPr="00730DE4">
              <w:t>A joint partnership between TMR and Queensland Police Service, the Camera Detected Offence Program comprises revenue collected from mobile speed cameras, fixed speed cameras, red light cameras, combined red light/speed cameras and point-to-point speed camera systems, and trailer mounted speed cameras. CDOP revenue is used as a partial source of funding for the Safer Roads Sooner Program and a number of other safety-related state-funded special initiatives.</w:t>
            </w:r>
          </w:p>
        </w:tc>
      </w:tr>
      <w:tr w:rsidR="000A65A9" w:rsidRPr="00730DE4" w14:paraId="147F240A" w14:textId="77777777" w:rsidTr="002D6779">
        <w:trPr>
          <w:cnfStyle w:val="000000100000" w:firstRow="0" w:lastRow="0" w:firstColumn="0" w:lastColumn="0" w:oddVBand="0" w:evenVBand="0" w:oddHBand="1" w:evenHBand="0" w:firstRowFirstColumn="0" w:firstRowLastColumn="0" w:lastRowFirstColumn="0" w:lastRowLastColumn="0"/>
          <w:cantSplit/>
        </w:trPr>
        <w:tc>
          <w:tcPr>
            <w:tcW w:w="1172" w:type="pct"/>
          </w:tcPr>
          <w:p w14:paraId="7D25496E" w14:textId="77777777" w:rsidR="00FA2FF9" w:rsidRPr="00730DE4" w:rsidRDefault="00FA2FF9" w:rsidP="0069763E">
            <w:pPr>
              <w:pStyle w:val="NoSpacing"/>
              <w:rPr>
                <w:lang w:val="en-US"/>
              </w:rPr>
            </w:pPr>
            <w:r w:rsidRPr="00730DE4">
              <w:t>Cross River Rail Delivery Authority</w:t>
            </w:r>
          </w:p>
        </w:tc>
        <w:tc>
          <w:tcPr>
            <w:tcW w:w="3828" w:type="pct"/>
          </w:tcPr>
          <w:p w14:paraId="1A7EFB65" w14:textId="77777777" w:rsidR="00FA2FF9" w:rsidRPr="00730DE4" w:rsidRDefault="00FA2FF9" w:rsidP="0069763E">
            <w:pPr>
              <w:pStyle w:val="NoSpacing"/>
              <w:rPr>
                <w:lang w:val="en-US"/>
              </w:rPr>
            </w:pPr>
            <w:r w:rsidRPr="00730DE4">
              <w:t xml:space="preserve">Established under the </w:t>
            </w:r>
            <w:r w:rsidRPr="00730DE4">
              <w:rPr>
                <w:rStyle w:val="Emphasis"/>
              </w:rPr>
              <w:t>Cross River Rail Delivery Authority Act 2016</w:t>
            </w:r>
            <w:r w:rsidRPr="00730DE4">
              <w:t>, the Cross River Rail Delivery Authority lead the development, procurement, and delivery of the Cross River Rail project.</w:t>
            </w:r>
          </w:p>
        </w:tc>
      </w:tr>
      <w:tr w:rsidR="00FA2FF9" w:rsidRPr="00730DE4" w14:paraId="0DF4010F" w14:textId="77777777" w:rsidTr="002D6779">
        <w:trPr>
          <w:cantSplit/>
        </w:trPr>
        <w:tc>
          <w:tcPr>
            <w:tcW w:w="1172" w:type="pct"/>
          </w:tcPr>
          <w:p w14:paraId="6C965F02" w14:textId="77777777" w:rsidR="00FA2FF9" w:rsidRPr="00730DE4" w:rsidRDefault="00FA2FF9" w:rsidP="0069763E">
            <w:pPr>
              <w:pStyle w:val="NoSpacing"/>
            </w:pPr>
            <w:r w:rsidRPr="00730DE4">
              <w:t>Cycling infrastructure</w:t>
            </w:r>
          </w:p>
        </w:tc>
        <w:tc>
          <w:tcPr>
            <w:tcW w:w="3828" w:type="pct"/>
          </w:tcPr>
          <w:p w14:paraId="5FC7C596" w14:textId="77777777" w:rsidR="00FA2FF9" w:rsidRPr="00730DE4" w:rsidRDefault="00FA2FF9" w:rsidP="0069763E">
            <w:pPr>
              <w:pStyle w:val="NoSpacing"/>
            </w:pPr>
            <w:r w:rsidRPr="00730DE4">
              <w:t>Facilities such as on-road and off-road cycling networks and end-of-trip facilities to promote increased use of cycling through safe direct and connected routes and increased transport choices.</w:t>
            </w:r>
          </w:p>
        </w:tc>
      </w:tr>
      <w:tr w:rsidR="000A65A9" w:rsidRPr="00730DE4" w14:paraId="6C760948" w14:textId="77777777" w:rsidTr="002D6779">
        <w:trPr>
          <w:cnfStyle w:val="000000100000" w:firstRow="0" w:lastRow="0" w:firstColumn="0" w:lastColumn="0" w:oddVBand="0" w:evenVBand="0" w:oddHBand="1" w:evenHBand="0" w:firstRowFirstColumn="0" w:firstRowLastColumn="0" w:lastRowFirstColumn="0" w:lastRowLastColumn="0"/>
          <w:cantSplit/>
        </w:trPr>
        <w:tc>
          <w:tcPr>
            <w:tcW w:w="1172" w:type="pct"/>
          </w:tcPr>
          <w:p w14:paraId="64D94FB3" w14:textId="77777777" w:rsidR="00FA2FF9" w:rsidRPr="00730DE4" w:rsidRDefault="00FA2FF9" w:rsidP="0069763E">
            <w:pPr>
              <w:pStyle w:val="NoSpacing"/>
            </w:pPr>
            <w:r w:rsidRPr="00730DE4">
              <w:t>Distributed denial of service (DDOS)</w:t>
            </w:r>
          </w:p>
        </w:tc>
        <w:tc>
          <w:tcPr>
            <w:tcW w:w="3828" w:type="pct"/>
          </w:tcPr>
          <w:p w14:paraId="7FD36927" w14:textId="77777777" w:rsidR="00FA2FF9" w:rsidRPr="00730DE4" w:rsidRDefault="00FA2FF9" w:rsidP="0069763E">
            <w:pPr>
              <w:pStyle w:val="NoSpacing"/>
            </w:pPr>
            <w:r w:rsidRPr="00730DE4">
              <w:t>A malicious attempt to disrupt the normal traffic of a targeted server, service, or network by overwhelming the target or its surrounding infrastructure with a flood of internet traffic.</w:t>
            </w:r>
          </w:p>
        </w:tc>
      </w:tr>
      <w:tr w:rsidR="00FA2FF9" w:rsidRPr="00730DE4" w14:paraId="54AFEA59" w14:textId="77777777" w:rsidTr="002D6779">
        <w:trPr>
          <w:cantSplit/>
        </w:trPr>
        <w:tc>
          <w:tcPr>
            <w:tcW w:w="1172" w:type="pct"/>
          </w:tcPr>
          <w:p w14:paraId="074F02C6" w14:textId="77777777" w:rsidR="00FA2FF9" w:rsidRPr="00730DE4" w:rsidRDefault="00FA2FF9" w:rsidP="0069763E">
            <w:pPr>
              <w:pStyle w:val="NoSpacing"/>
            </w:pPr>
            <w:r w:rsidRPr="00730DE4">
              <w:t>Disability Discrimination Act</w:t>
            </w:r>
          </w:p>
        </w:tc>
        <w:tc>
          <w:tcPr>
            <w:tcW w:w="3828" w:type="pct"/>
          </w:tcPr>
          <w:p w14:paraId="7D2A23E4" w14:textId="77777777" w:rsidR="00FA2FF9" w:rsidRPr="00730DE4" w:rsidRDefault="00FA2FF9" w:rsidP="0069763E">
            <w:pPr>
              <w:pStyle w:val="NoSpacing"/>
            </w:pPr>
            <w:r w:rsidRPr="00730DE4">
              <w:t xml:space="preserve">The federal </w:t>
            </w:r>
            <w:r w:rsidRPr="00730DE4">
              <w:rPr>
                <w:rStyle w:val="Emphasis"/>
              </w:rPr>
              <w:t>Disability Discrimination Act 1992</w:t>
            </w:r>
            <w:r w:rsidRPr="00730DE4">
              <w:t xml:space="preserve"> (Cth) provides protection for everyone in Australia against discrimination based on disability. It encourages everyone to be involved in implementing the Act and to share in the overall benefits to the community and the economy that flow from participation by the widest range of people.</w:t>
            </w:r>
          </w:p>
        </w:tc>
      </w:tr>
      <w:tr w:rsidR="000A65A9" w:rsidRPr="00730DE4" w14:paraId="5D6E8031" w14:textId="77777777" w:rsidTr="002D6779">
        <w:trPr>
          <w:cnfStyle w:val="000000100000" w:firstRow="0" w:lastRow="0" w:firstColumn="0" w:lastColumn="0" w:oddVBand="0" w:evenVBand="0" w:oddHBand="1" w:evenHBand="0" w:firstRowFirstColumn="0" w:firstRowLastColumn="0" w:lastRowFirstColumn="0" w:lastRowLastColumn="0"/>
          <w:cantSplit/>
        </w:trPr>
        <w:tc>
          <w:tcPr>
            <w:tcW w:w="1172" w:type="pct"/>
          </w:tcPr>
          <w:p w14:paraId="7BBE305F" w14:textId="77777777" w:rsidR="00FA2FF9" w:rsidRPr="00730DE4" w:rsidRDefault="00FA2FF9" w:rsidP="0069763E">
            <w:pPr>
              <w:pStyle w:val="NoSpacing"/>
            </w:pPr>
            <w:r w:rsidRPr="00730DE4">
              <w:t>Disaster Recovery Funding Arrangements (DRFA)</w:t>
            </w:r>
          </w:p>
        </w:tc>
        <w:tc>
          <w:tcPr>
            <w:tcW w:w="3828" w:type="pct"/>
          </w:tcPr>
          <w:p w14:paraId="4A5296C2" w14:textId="77777777" w:rsidR="00FA2FF9" w:rsidRPr="00730DE4" w:rsidRDefault="00FA2FF9" w:rsidP="0069763E">
            <w:pPr>
              <w:pStyle w:val="NoSpacing"/>
            </w:pPr>
            <w:r w:rsidRPr="00730DE4">
              <w:t>A joint Commonwealth/state government funding initiative providing financial assistance and infrastructure restoration to help communities recover from the effects of disasters. The Disaster Recovery Funding Arrangements apply to disaster events that occurred on or after 1 November 2018.</w:t>
            </w:r>
          </w:p>
        </w:tc>
      </w:tr>
      <w:tr w:rsidR="00FA2FF9" w:rsidRPr="00730DE4" w14:paraId="1C331278" w14:textId="77777777" w:rsidTr="002D6779">
        <w:trPr>
          <w:cantSplit/>
        </w:trPr>
        <w:tc>
          <w:tcPr>
            <w:tcW w:w="1172" w:type="pct"/>
          </w:tcPr>
          <w:p w14:paraId="7338D155" w14:textId="77777777" w:rsidR="00FA2FF9" w:rsidRPr="00730DE4" w:rsidRDefault="00FA2FF9" w:rsidP="0069763E">
            <w:pPr>
              <w:pStyle w:val="NoSpacing"/>
            </w:pPr>
            <w:r w:rsidRPr="00730DE4">
              <w:t>Engagement</w:t>
            </w:r>
          </w:p>
        </w:tc>
        <w:tc>
          <w:tcPr>
            <w:tcW w:w="3828" w:type="pct"/>
          </w:tcPr>
          <w:p w14:paraId="65C39B8B" w14:textId="77777777" w:rsidR="00FA2FF9" w:rsidRPr="00730DE4" w:rsidRDefault="00FA2FF9" w:rsidP="0069763E">
            <w:pPr>
              <w:pStyle w:val="NoSpacing"/>
            </w:pPr>
            <w:r w:rsidRPr="00730DE4">
              <w:t>Measures the amount of interest in a social media post. It is determined by the number of people a post reaches who then like, comment, share, or click on the post.</w:t>
            </w:r>
          </w:p>
        </w:tc>
      </w:tr>
      <w:tr w:rsidR="000A65A9" w:rsidRPr="00730DE4" w14:paraId="3109B789" w14:textId="77777777" w:rsidTr="002D6779">
        <w:trPr>
          <w:cnfStyle w:val="000000100000" w:firstRow="0" w:lastRow="0" w:firstColumn="0" w:lastColumn="0" w:oddVBand="0" w:evenVBand="0" w:oddHBand="1" w:evenHBand="0" w:firstRowFirstColumn="0" w:firstRowLastColumn="0" w:lastRowFirstColumn="0" w:lastRowLastColumn="0"/>
          <w:cantSplit/>
        </w:trPr>
        <w:tc>
          <w:tcPr>
            <w:tcW w:w="1172" w:type="pct"/>
          </w:tcPr>
          <w:p w14:paraId="6E583971" w14:textId="77777777" w:rsidR="00FA2FF9" w:rsidRPr="00730DE4" w:rsidRDefault="00FA2FF9" w:rsidP="0069763E">
            <w:pPr>
              <w:pStyle w:val="NoSpacing"/>
            </w:pPr>
            <w:r w:rsidRPr="00730DE4">
              <w:t>European Train Control System</w:t>
            </w:r>
          </w:p>
        </w:tc>
        <w:tc>
          <w:tcPr>
            <w:tcW w:w="3828" w:type="pct"/>
          </w:tcPr>
          <w:p w14:paraId="49A09890" w14:textId="77777777" w:rsidR="00FA2FF9" w:rsidRPr="00730DE4" w:rsidRDefault="00FA2FF9" w:rsidP="0069763E">
            <w:pPr>
              <w:pStyle w:val="NoSpacing"/>
            </w:pPr>
            <w:r w:rsidRPr="00730DE4">
              <w:t>European Train Control System is an automatic train protection system.</w:t>
            </w:r>
          </w:p>
        </w:tc>
      </w:tr>
      <w:tr w:rsidR="00FA2FF9" w:rsidRPr="00730DE4" w14:paraId="1879A168" w14:textId="77777777" w:rsidTr="002D6779">
        <w:trPr>
          <w:cantSplit/>
        </w:trPr>
        <w:tc>
          <w:tcPr>
            <w:tcW w:w="1172" w:type="pct"/>
          </w:tcPr>
          <w:p w14:paraId="5CD2D9D6" w14:textId="77777777" w:rsidR="00FA2FF9" w:rsidRPr="00730DE4" w:rsidRDefault="00FA2FF9" w:rsidP="0069763E">
            <w:pPr>
              <w:pStyle w:val="NoSpacing"/>
            </w:pPr>
            <w:r w:rsidRPr="00730DE4">
              <w:t>Flashing School Zone Signs</w:t>
            </w:r>
          </w:p>
        </w:tc>
        <w:tc>
          <w:tcPr>
            <w:tcW w:w="3828" w:type="pct"/>
          </w:tcPr>
          <w:p w14:paraId="1FFBC322" w14:textId="77777777" w:rsidR="00FA2FF9" w:rsidRPr="00730DE4" w:rsidRDefault="00FA2FF9" w:rsidP="0069763E">
            <w:pPr>
              <w:pStyle w:val="NoSpacing"/>
            </w:pPr>
            <w:r w:rsidRPr="00730DE4">
              <w:t>Consists of a standard school zone sign that incorporates a flashing red circle and twin alternate flashing yellow lights mounted above the 'school zone' plate.</w:t>
            </w:r>
          </w:p>
        </w:tc>
      </w:tr>
      <w:tr w:rsidR="000A65A9" w:rsidRPr="00730DE4" w14:paraId="3DD515E3" w14:textId="77777777" w:rsidTr="002D6779">
        <w:trPr>
          <w:cnfStyle w:val="000000100000" w:firstRow="0" w:lastRow="0" w:firstColumn="0" w:lastColumn="0" w:oddVBand="0" w:evenVBand="0" w:oddHBand="1" w:evenHBand="0" w:firstRowFirstColumn="0" w:firstRowLastColumn="0" w:lastRowFirstColumn="0" w:lastRowLastColumn="0"/>
          <w:cantSplit/>
        </w:trPr>
        <w:tc>
          <w:tcPr>
            <w:tcW w:w="1172" w:type="pct"/>
          </w:tcPr>
          <w:p w14:paraId="0D31D326" w14:textId="77777777" w:rsidR="00FA2FF9" w:rsidRPr="00730DE4" w:rsidRDefault="00FA2FF9" w:rsidP="0069763E">
            <w:pPr>
              <w:pStyle w:val="NoSpacing"/>
            </w:pPr>
            <w:r w:rsidRPr="00730DE4">
              <w:t>Full-time equivalent</w:t>
            </w:r>
          </w:p>
        </w:tc>
        <w:tc>
          <w:tcPr>
            <w:tcW w:w="3828" w:type="pct"/>
          </w:tcPr>
          <w:p w14:paraId="4B7E0D67" w14:textId="77777777" w:rsidR="00FA2FF9" w:rsidRPr="00730DE4" w:rsidRDefault="00FA2FF9" w:rsidP="0069763E">
            <w:pPr>
              <w:pStyle w:val="NoSpacing"/>
            </w:pPr>
            <w:r w:rsidRPr="00730DE4">
              <w:t>Calculated by the number of hours worked in a period divided by the full-time hours prescribed by the award or industrial instrument for the person’s position.</w:t>
            </w:r>
          </w:p>
        </w:tc>
      </w:tr>
      <w:tr w:rsidR="00FA2FF9" w:rsidRPr="00730DE4" w14:paraId="4999EC04" w14:textId="77777777" w:rsidTr="002D6779">
        <w:trPr>
          <w:cantSplit/>
        </w:trPr>
        <w:tc>
          <w:tcPr>
            <w:tcW w:w="1172" w:type="pct"/>
          </w:tcPr>
          <w:p w14:paraId="32B58DC4" w14:textId="77777777" w:rsidR="00FA2FF9" w:rsidRPr="00730DE4" w:rsidRDefault="00FA2FF9" w:rsidP="0069763E">
            <w:pPr>
              <w:pStyle w:val="NoSpacing"/>
            </w:pPr>
            <w:r w:rsidRPr="00730DE4">
              <w:rPr>
                <w:rStyle w:val="Emphasis"/>
              </w:rPr>
              <w:t>go</w:t>
            </w:r>
            <w:r w:rsidRPr="00730DE4">
              <w:t xml:space="preserve"> card</w:t>
            </w:r>
          </w:p>
        </w:tc>
        <w:tc>
          <w:tcPr>
            <w:tcW w:w="3828" w:type="pct"/>
          </w:tcPr>
          <w:p w14:paraId="7A0C6C0B" w14:textId="77777777" w:rsidR="00FA2FF9" w:rsidRPr="00730DE4" w:rsidRDefault="00FA2FF9" w:rsidP="0069763E">
            <w:pPr>
              <w:pStyle w:val="NoSpacing"/>
            </w:pPr>
            <w:r w:rsidRPr="00730DE4">
              <w:t>Translink’s smartcard (a thin, compact card about the size of a credit card) which stores up to $250 of electronic credit.</w:t>
            </w:r>
          </w:p>
        </w:tc>
      </w:tr>
      <w:tr w:rsidR="000A65A9" w:rsidRPr="00730DE4" w14:paraId="5F895CF0" w14:textId="77777777" w:rsidTr="002D6779">
        <w:trPr>
          <w:cnfStyle w:val="000000100000" w:firstRow="0" w:lastRow="0" w:firstColumn="0" w:lastColumn="0" w:oddVBand="0" w:evenVBand="0" w:oddHBand="1" w:evenHBand="0" w:firstRowFirstColumn="0" w:firstRowLastColumn="0" w:lastRowFirstColumn="0" w:lastRowLastColumn="0"/>
          <w:cantSplit/>
        </w:trPr>
        <w:tc>
          <w:tcPr>
            <w:tcW w:w="1172" w:type="pct"/>
          </w:tcPr>
          <w:p w14:paraId="31001F69" w14:textId="77777777" w:rsidR="00FA2FF9" w:rsidRPr="00730DE4" w:rsidRDefault="00FA2FF9" w:rsidP="0069763E">
            <w:pPr>
              <w:pStyle w:val="NoSpacing"/>
            </w:pPr>
            <w:r w:rsidRPr="00730DE4">
              <w:t>Intelligent Transport System (ITS)</w:t>
            </w:r>
          </w:p>
        </w:tc>
        <w:tc>
          <w:tcPr>
            <w:tcW w:w="3828" w:type="pct"/>
          </w:tcPr>
          <w:p w14:paraId="6CC1BD55" w14:textId="77777777" w:rsidR="00FA2FF9" w:rsidRPr="00730DE4" w:rsidRDefault="00FA2FF9" w:rsidP="0069763E">
            <w:pPr>
              <w:pStyle w:val="NoSpacing"/>
            </w:pPr>
            <w:r w:rsidRPr="00730DE4">
              <w:t>Intelligent Transport Systems describe technology applied to transport and infrastructure to transfer information between systems for improved safety, productivity, and environmental performance.</w:t>
            </w:r>
          </w:p>
        </w:tc>
      </w:tr>
      <w:tr w:rsidR="00FA2FF9" w:rsidRPr="00730DE4" w14:paraId="06D3D32B" w14:textId="77777777" w:rsidTr="002D6779">
        <w:trPr>
          <w:cantSplit/>
        </w:trPr>
        <w:tc>
          <w:tcPr>
            <w:tcW w:w="1172" w:type="pct"/>
          </w:tcPr>
          <w:p w14:paraId="33BF5528" w14:textId="77777777" w:rsidR="00FA2FF9" w:rsidRPr="00730DE4" w:rsidRDefault="00FA2FF9" w:rsidP="0069763E">
            <w:pPr>
              <w:pStyle w:val="NoSpacing"/>
            </w:pPr>
            <w:r w:rsidRPr="00730DE4">
              <w:t>Light-emitting diode (LED)</w:t>
            </w:r>
          </w:p>
        </w:tc>
        <w:tc>
          <w:tcPr>
            <w:tcW w:w="3828" w:type="pct"/>
          </w:tcPr>
          <w:p w14:paraId="4E329D92" w14:textId="77777777" w:rsidR="00FA2FF9" w:rsidRPr="00730DE4" w:rsidRDefault="00FA2FF9" w:rsidP="0069763E">
            <w:pPr>
              <w:pStyle w:val="NoSpacing"/>
            </w:pPr>
            <w:r w:rsidRPr="00730DE4">
              <w:t xml:space="preserve">A semiconductor device that produces light from electricity. LEDs last a long time and do not break easily compared to incandescent lightbulbs. </w:t>
            </w:r>
          </w:p>
        </w:tc>
      </w:tr>
      <w:tr w:rsidR="000A65A9" w:rsidRPr="00730DE4" w14:paraId="089AC05D" w14:textId="77777777" w:rsidTr="002D6779">
        <w:trPr>
          <w:cnfStyle w:val="000000100000" w:firstRow="0" w:lastRow="0" w:firstColumn="0" w:lastColumn="0" w:oddVBand="0" w:evenVBand="0" w:oddHBand="1" w:evenHBand="0" w:firstRowFirstColumn="0" w:firstRowLastColumn="0" w:lastRowFirstColumn="0" w:lastRowLastColumn="0"/>
          <w:cantSplit/>
        </w:trPr>
        <w:tc>
          <w:tcPr>
            <w:tcW w:w="1172" w:type="pct"/>
          </w:tcPr>
          <w:p w14:paraId="0758C608" w14:textId="77777777" w:rsidR="00FA2FF9" w:rsidRPr="00730DE4" w:rsidRDefault="00FA2FF9" w:rsidP="0069763E">
            <w:pPr>
              <w:pStyle w:val="NoSpacing"/>
            </w:pPr>
            <w:r w:rsidRPr="00730DE4">
              <w:t>LinkedIn</w:t>
            </w:r>
          </w:p>
        </w:tc>
        <w:tc>
          <w:tcPr>
            <w:tcW w:w="3828" w:type="pct"/>
          </w:tcPr>
          <w:p w14:paraId="73B1D73A" w14:textId="77777777" w:rsidR="00FA2FF9" w:rsidRPr="00730DE4" w:rsidRDefault="00FA2FF9" w:rsidP="0069763E">
            <w:pPr>
              <w:pStyle w:val="NoSpacing"/>
            </w:pPr>
            <w:r w:rsidRPr="00730DE4">
              <w:t>LinkedIn is an online social networking service designed specifically for the business community and as a online platform for connecting with other professionals.</w:t>
            </w:r>
          </w:p>
        </w:tc>
      </w:tr>
      <w:tr w:rsidR="00FA2FF9" w:rsidRPr="00730DE4" w14:paraId="0A1618BB" w14:textId="77777777" w:rsidTr="002D6779">
        <w:trPr>
          <w:cantSplit/>
        </w:trPr>
        <w:tc>
          <w:tcPr>
            <w:tcW w:w="1172" w:type="pct"/>
          </w:tcPr>
          <w:p w14:paraId="33D25FAA" w14:textId="77777777" w:rsidR="00FA2FF9" w:rsidRPr="00730DE4" w:rsidRDefault="00FA2FF9" w:rsidP="0069763E">
            <w:pPr>
              <w:pStyle w:val="NoSpacing"/>
            </w:pPr>
            <w:r w:rsidRPr="00730DE4">
              <w:t xml:space="preserve">Local Government Association of Queensland </w:t>
            </w:r>
          </w:p>
        </w:tc>
        <w:tc>
          <w:tcPr>
            <w:tcW w:w="3828" w:type="pct"/>
          </w:tcPr>
          <w:p w14:paraId="28ACD939" w14:textId="77777777" w:rsidR="00FA2FF9" w:rsidRPr="00730DE4" w:rsidRDefault="00FA2FF9" w:rsidP="0069763E">
            <w:pPr>
              <w:pStyle w:val="NoSpacing"/>
            </w:pPr>
            <w:r w:rsidRPr="00730DE4">
              <w:t xml:space="preserve">The Local Government Association of Queensland is the peak body for local government in Queensland. It is a not-for-profit association set up solely to serve the state's 77 councils and their individual needs. </w:t>
            </w:r>
          </w:p>
        </w:tc>
      </w:tr>
      <w:tr w:rsidR="000A65A9" w:rsidRPr="00730DE4" w14:paraId="3F648286" w14:textId="77777777" w:rsidTr="002D6779">
        <w:trPr>
          <w:cnfStyle w:val="000000100000" w:firstRow="0" w:lastRow="0" w:firstColumn="0" w:lastColumn="0" w:oddVBand="0" w:evenVBand="0" w:oddHBand="1" w:evenHBand="0" w:firstRowFirstColumn="0" w:firstRowLastColumn="0" w:lastRowFirstColumn="0" w:lastRowLastColumn="0"/>
          <w:cantSplit/>
        </w:trPr>
        <w:tc>
          <w:tcPr>
            <w:tcW w:w="1172" w:type="pct"/>
          </w:tcPr>
          <w:p w14:paraId="0CBF7A2E" w14:textId="77777777" w:rsidR="00FA2FF9" w:rsidRPr="00730DE4" w:rsidRDefault="00FA2FF9" w:rsidP="0069763E">
            <w:pPr>
              <w:pStyle w:val="NoSpacing"/>
            </w:pPr>
            <w:r w:rsidRPr="00730DE4">
              <w:t>Maritime Safety Queensland (MSQ)</w:t>
            </w:r>
          </w:p>
        </w:tc>
        <w:tc>
          <w:tcPr>
            <w:tcW w:w="3828" w:type="pct"/>
          </w:tcPr>
          <w:p w14:paraId="28BEEBB0" w14:textId="77777777" w:rsidR="00FA2FF9" w:rsidRPr="00730DE4" w:rsidRDefault="00FA2FF9" w:rsidP="0069763E">
            <w:pPr>
              <w:pStyle w:val="NoSpacing"/>
            </w:pPr>
            <w:r w:rsidRPr="00730DE4">
              <w:t>A branch of TMR responsible for: improving maritime safety for shipping and small craft through regulation and education, minimising vessel-sourced waste and responding to marine pollution, providing essential maritime services such as aids to navigation and Vessel Traffic Services, and encouraging and supporting innovation in the Queensland maritime industry.</w:t>
            </w:r>
          </w:p>
        </w:tc>
      </w:tr>
      <w:tr w:rsidR="00FA2FF9" w:rsidRPr="00730DE4" w14:paraId="16FBA345" w14:textId="77777777" w:rsidTr="002D6779">
        <w:trPr>
          <w:cantSplit/>
        </w:trPr>
        <w:tc>
          <w:tcPr>
            <w:tcW w:w="1172" w:type="pct"/>
          </w:tcPr>
          <w:p w14:paraId="0DF02261" w14:textId="77777777" w:rsidR="00FA2FF9" w:rsidRPr="00730DE4" w:rsidRDefault="00FA2FF9" w:rsidP="0069763E">
            <w:pPr>
              <w:pStyle w:val="NoSpacing"/>
            </w:pPr>
            <w:r w:rsidRPr="00730DE4">
              <w:t>National Land Transport Network</w:t>
            </w:r>
          </w:p>
        </w:tc>
        <w:tc>
          <w:tcPr>
            <w:tcW w:w="3828" w:type="pct"/>
          </w:tcPr>
          <w:p w14:paraId="50639298" w14:textId="77777777" w:rsidR="00FA2FF9" w:rsidRPr="00730DE4" w:rsidRDefault="00FA2FF9" w:rsidP="0069763E">
            <w:pPr>
              <w:pStyle w:val="NoSpacing"/>
            </w:pPr>
            <w:r w:rsidRPr="00730DE4">
              <w:t>The National Land Transport Network is a network of nationally important road and rail infrastructure links and their intermodal connections as identified by the Australian Government.</w:t>
            </w:r>
          </w:p>
        </w:tc>
      </w:tr>
      <w:tr w:rsidR="000A65A9" w:rsidRPr="00730DE4" w14:paraId="4117B5CE" w14:textId="77777777" w:rsidTr="002D6779">
        <w:trPr>
          <w:cnfStyle w:val="000000100000" w:firstRow="0" w:lastRow="0" w:firstColumn="0" w:lastColumn="0" w:oddVBand="0" w:evenVBand="0" w:oddHBand="1" w:evenHBand="0" w:firstRowFirstColumn="0" w:firstRowLastColumn="0" w:lastRowFirstColumn="0" w:lastRowLastColumn="0"/>
          <w:cantSplit/>
        </w:trPr>
        <w:tc>
          <w:tcPr>
            <w:tcW w:w="1172" w:type="pct"/>
          </w:tcPr>
          <w:p w14:paraId="4EB33D92" w14:textId="77777777" w:rsidR="00FA2FF9" w:rsidRPr="00730DE4" w:rsidRDefault="00FA2FF9" w:rsidP="0069763E">
            <w:pPr>
              <w:pStyle w:val="NoSpacing"/>
            </w:pPr>
            <w:r w:rsidRPr="00730DE4">
              <w:t>New Generation Rollingstock project</w:t>
            </w:r>
          </w:p>
        </w:tc>
        <w:tc>
          <w:tcPr>
            <w:tcW w:w="3828" w:type="pct"/>
          </w:tcPr>
          <w:p w14:paraId="4D4DEA06" w14:textId="77777777" w:rsidR="00FA2FF9" w:rsidRPr="00730DE4" w:rsidRDefault="00FA2FF9" w:rsidP="0069763E">
            <w:pPr>
              <w:pStyle w:val="NoSpacing"/>
            </w:pPr>
            <w:r w:rsidRPr="00730DE4">
              <w:t>The NGR project involves the delivery of 75 six-car trains and the construction of a new purpose-built maintenance centre to maintain the new trains for the next 30 years.</w:t>
            </w:r>
          </w:p>
        </w:tc>
      </w:tr>
      <w:tr w:rsidR="00FA2FF9" w:rsidRPr="00730DE4" w14:paraId="37BFDCA6" w14:textId="77777777" w:rsidTr="002D6779">
        <w:trPr>
          <w:cantSplit/>
        </w:trPr>
        <w:tc>
          <w:tcPr>
            <w:tcW w:w="1172" w:type="pct"/>
          </w:tcPr>
          <w:p w14:paraId="45A68091" w14:textId="77777777" w:rsidR="00FA2FF9" w:rsidRPr="00730DE4" w:rsidRDefault="00FA2FF9" w:rsidP="0069763E">
            <w:pPr>
              <w:pStyle w:val="NoSpacing"/>
            </w:pPr>
            <w:r w:rsidRPr="00730DE4">
              <w:t>OneTMR</w:t>
            </w:r>
          </w:p>
        </w:tc>
        <w:tc>
          <w:tcPr>
            <w:tcW w:w="3828" w:type="pct"/>
          </w:tcPr>
          <w:p w14:paraId="1F9F27A0" w14:textId="77777777" w:rsidR="00FA2FF9" w:rsidRPr="00730DE4" w:rsidRDefault="00FA2FF9" w:rsidP="0069763E">
            <w:pPr>
              <w:pStyle w:val="NoSpacing"/>
            </w:pPr>
            <w:r w:rsidRPr="00730DE4">
              <w:t>A Department of Transport and Main Roads-wide culture and way of operating.</w:t>
            </w:r>
          </w:p>
        </w:tc>
      </w:tr>
      <w:tr w:rsidR="000A65A9" w:rsidRPr="00730DE4" w14:paraId="3F2BB18F" w14:textId="77777777" w:rsidTr="002D6779">
        <w:trPr>
          <w:cnfStyle w:val="000000100000" w:firstRow="0" w:lastRow="0" w:firstColumn="0" w:lastColumn="0" w:oddVBand="0" w:evenVBand="0" w:oddHBand="1" w:evenHBand="0" w:firstRowFirstColumn="0" w:firstRowLastColumn="0" w:lastRowFirstColumn="0" w:lastRowLastColumn="0"/>
          <w:cantSplit/>
        </w:trPr>
        <w:tc>
          <w:tcPr>
            <w:tcW w:w="1172" w:type="pct"/>
          </w:tcPr>
          <w:p w14:paraId="568096A2" w14:textId="77777777" w:rsidR="00FA2FF9" w:rsidRPr="00730DE4" w:rsidRDefault="00FA2FF9" w:rsidP="0069763E">
            <w:pPr>
              <w:pStyle w:val="NoSpacing"/>
            </w:pPr>
            <w:r w:rsidRPr="00730DE4">
              <w:t>Park ‘n’ ride</w:t>
            </w:r>
          </w:p>
        </w:tc>
        <w:tc>
          <w:tcPr>
            <w:tcW w:w="3828" w:type="pct"/>
          </w:tcPr>
          <w:p w14:paraId="1E1FA5E3" w14:textId="77777777" w:rsidR="00FA2FF9" w:rsidRPr="00730DE4" w:rsidRDefault="00FA2FF9" w:rsidP="0069763E">
            <w:pPr>
              <w:pStyle w:val="NoSpacing"/>
            </w:pPr>
            <w:r w:rsidRPr="00730DE4">
              <w:t>A dedicated car park located at bus and train stations for customers to park their car and then catch public transport to their destination.</w:t>
            </w:r>
          </w:p>
        </w:tc>
      </w:tr>
      <w:tr w:rsidR="00FA2FF9" w:rsidRPr="00730DE4" w14:paraId="33EED7A0" w14:textId="77777777" w:rsidTr="002D6779">
        <w:trPr>
          <w:cantSplit/>
        </w:trPr>
        <w:tc>
          <w:tcPr>
            <w:tcW w:w="1172" w:type="pct"/>
          </w:tcPr>
          <w:p w14:paraId="0A47885B" w14:textId="77777777" w:rsidR="00FA2FF9" w:rsidRPr="00730DE4" w:rsidRDefault="00FA2FF9" w:rsidP="0069763E">
            <w:pPr>
              <w:pStyle w:val="NoSpacing"/>
            </w:pPr>
            <w:r w:rsidRPr="00730DE4">
              <w:t>QLD</w:t>
            </w:r>
            <w:r w:rsidRPr="00730DE4">
              <w:rPr>
                <w:rStyle w:val="Emphasis"/>
              </w:rPr>
              <w:t>Traffic</w:t>
            </w:r>
          </w:p>
        </w:tc>
        <w:tc>
          <w:tcPr>
            <w:tcW w:w="3828" w:type="pct"/>
          </w:tcPr>
          <w:p w14:paraId="7546B085" w14:textId="77777777" w:rsidR="00FA2FF9" w:rsidRPr="00730DE4" w:rsidRDefault="00FA2FF9" w:rsidP="0069763E">
            <w:pPr>
              <w:pStyle w:val="NoSpacing"/>
            </w:pPr>
            <w:r w:rsidRPr="00730DE4">
              <w:t>QLD</w:t>
            </w:r>
            <w:r w:rsidRPr="00730DE4">
              <w:rPr>
                <w:rStyle w:val="Emphasis"/>
              </w:rPr>
              <w:t>Traffic</w:t>
            </w:r>
            <w:r w:rsidRPr="00730DE4">
              <w:t xml:space="preserve"> is the official source of traffic and travel information from the Queensland Government. It includes a website, 13 19 40 phone service, social media, and the QLD</w:t>
            </w:r>
            <w:r w:rsidRPr="00730DE4">
              <w:rPr>
                <w:rStyle w:val="Emphasis"/>
              </w:rPr>
              <w:t>Traffic</w:t>
            </w:r>
            <w:r w:rsidRPr="00730DE4">
              <w:t xml:space="preserve"> smartphone app, enabling motorists and commuters to check traffic conditions and plan their journeys before they go.</w:t>
            </w:r>
          </w:p>
        </w:tc>
      </w:tr>
      <w:tr w:rsidR="000A65A9" w:rsidRPr="00730DE4" w14:paraId="5A281395" w14:textId="77777777" w:rsidTr="002D6779">
        <w:trPr>
          <w:cnfStyle w:val="000000100000" w:firstRow="0" w:lastRow="0" w:firstColumn="0" w:lastColumn="0" w:oddVBand="0" w:evenVBand="0" w:oddHBand="1" w:evenHBand="0" w:firstRowFirstColumn="0" w:firstRowLastColumn="0" w:lastRowFirstColumn="0" w:lastRowLastColumn="0"/>
          <w:cantSplit/>
        </w:trPr>
        <w:tc>
          <w:tcPr>
            <w:tcW w:w="1172" w:type="pct"/>
          </w:tcPr>
          <w:p w14:paraId="6CD2F1F5" w14:textId="77777777" w:rsidR="00FA2FF9" w:rsidRPr="00730DE4" w:rsidRDefault="00FA2FF9" w:rsidP="0069763E">
            <w:pPr>
              <w:pStyle w:val="NoSpacing"/>
            </w:pPr>
            <w:r w:rsidRPr="00730DE4">
              <w:t>Queensland Government Customer and Digital Group (QGCDG)</w:t>
            </w:r>
          </w:p>
        </w:tc>
        <w:tc>
          <w:tcPr>
            <w:tcW w:w="3828" w:type="pct"/>
          </w:tcPr>
          <w:p w14:paraId="7399463A" w14:textId="77777777" w:rsidR="00FA2FF9" w:rsidRPr="00730DE4" w:rsidRDefault="00FA2FF9" w:rsidP="0069763E">
            <w:pPr>
              <w:pStyle w:val="NoSpacing"/>
            </w:pPr>
            <w:r w:rsidRPr="00730DE4">
              <w:t>A division of TMR that delivers whole-of-government customer service and open data services, including developing and delivering innovative digitally enable and integrated government services that are simpler and faster for the community to access online or through phone and counter channels.</w:t>
            </w:r>
          </w:p>
        </w:tc>
      </w:tr>
      <w:tr w:rsidR="00FA2FF9" w:rsidRPr="00730DE4" w14:paraId="6BDC1239" w14:textId="77777777" w:rsidTr="002D6779">
        <w:trPr>
          <w:cantSplit/>
        </w:trPr>
        <w:tc>
          <w:tcPr>
            <w:tcW w:w="1172" w:type="pct"/>
          </w:tcPr>
          <w:p w14:paraId="4E84265A" w14:textId="77777777" w:rsidR="00FA2FF9" w:rsidRPr="00730DE4" w:rsidRDefault="00FA2FF9" w:rsidP="0069763E">
            <w:pPr>
              <w:pStyle w:val="NoSpacing"/>
            </w:pPr>
            <w:r w:rsidRPr="00730DE4">
              <w:t>Queensland Government Open Data</w:t>
            </w:r>
          </w:p>
        </w:tc>
        <w:tc>
          <w:tcPr>
            <w:tcW w:w="3828" w:type="pct"/>
          </w:tcPr>
          <w:p w14:paraId="3EC021C3" w14:textId="77777777" w:rsidR="00FA2FF9" w:rsidRPr="00730DE4" w:rsidRDefault="00FA2FF9" w:rsidP="0069763E">
            <w:pPr>
              <w:pStyle w:val="NoSpacing"/>
            </w:pPr>
            <w:r w:rsidRPr="00730DE4">
              <w:t>A Queensland Government searchable portal that allows visitors to view datasets on a range of government activities and responsibilities.</w:t>
            </w:r>
          </w:p>
        </w:tc>
      </w:tr>
      <w:tr w:rsidR="000A65A9" w:rsidRPr="00730DE4" w14:paraId="624620F7" w14:textId="77777777" w:rsidTr="002D6779">
        <w:trPr>
          <w:cnfStyle w:val="000000100000" w:firstRow="0" w:lastRow="0" w:firstColumn="0" w:lastColumn="0" w:oddVBand="0" w:evenVBand="0" w:oddHBand="1" w:evenHBand="0" w:firstRowFirstColumn="0" w:firstRowLastColumn="0" w:lastRowFirstColumn="0" w:lastRowLastColumn="0"/>
          <w:cantSplit/>
        </w:trPr>
        <w:tc>
          <w:tcPr>
            <w:tcW w:w="1172" w:type="pct"/>
          </w:tcPr>
          <w:p w14:paraId="74B4137C" w14:textId="77777777" w:rsidR="00FA2FF9" w:rsidRPr="00730DE4" w:rsidRDefault="00FA2FF9" w:rsidP="0069763E">
            <w:pPr>
              <w:pStyle w:val="NoSpacing"/>
            </w:pPr>
            <w:r w:rsidRPr="00730DE4">
              <w:t>Queensland Transport and Roads Investment Program</w:t>
            </w:r>
          </w:p>
        </w:tc>
        <w:tc>
          <w:tcPr>
            <w:tcW w:w="3828" w:type="pct"/>
          </w:tcPr>
          <w:p w14:paraId="3B5C62C6" w14:textId="77777777" w:rsidR="00FA2FF9" w:rsidRPr="00730DE4" w:rsidRDefault="00FA2FF9" w:rsidP="0069763E">
            <w:pPr>
              <w:pStyle w:val="NoSpacing"/>
            </w:pPr>
            <w:r w:rsidRPr="00730DE4">
              <w:t>An annually published program of works TMR plans to deliver over the next four year period.</w:t>
            </w:r>
          </w:p>
        </w:tc>
      </w:tr>
      <w:tr w:rsidR="00FA2FF9" w:rsidRPr="00730DE4" w14:paraId="2A81C5B2" w14:textId="77777777" w:rsidTr="002D6779">
        <w:trPr>
          <w:cantSplit/>
        </w:trPr>
        <w:tc>
          <w:tcPr>
            <w:tcW w:w="1172" w:type="pct"/>
          </w:tcPr>
          <w:p w14:paraId="376B982B" w14:textId="77777777" w:rsidR="00FA2FF9" w:rsidRPr="00730DE4" w:rsidRDefault="00FA2FF9" w:rsidP="0069763E">
            <w:pPr>
              <w:pStyle w:val="NoSpacing"/>
            </w:pPr>
            <w:r w:rsidRPr="00730DE4">
              <w:t>Rail infrastructure</w:t>
            </w:r>
          </w:p>
        </w:tc>
        <w:tc>
          <w:tcPr>
            <w:tcW w:w="3828" w:type="pct"/>
          </w:tcPr>
          <w:p w14:paraId="35B98DCD" w14:textId="77777777" w:rsidR="00FA2FF9" w:rsidRPr="00730DE4" w:rsidRDefault="00FA2FF9" w:rsidP="0069763E">
            <w:pPr>
              <w:pStyle w:val="NoSpacing"/>
            </w:pPr>
            <w:r w:rsidRPr="00730DE4">
              <w:t>All physical rail-related assets, including tracks, trains (often referred to as rollingstock), stations, and associated infrastructure.</w:t>
            </w:r>
          </w:p>
        </w:tc>
      </w:tr>
      <w:tr w:rsidR="000A65A9" w:rsidRPr="00730DE4" w14:paraId="6D2134F4" w14:textId="77777777" w:rsidTr="002D6779">
        <w:trPr>
          <w:cnfStyle w:val="000000100000" w:firstRow="0" w:lastRow="0" w:firstColumn="0" w:lastColumn="0" w:oddVBand="0" w:evenVBand="0" w:oddHBand="1" w:evenHBand="0" w:firstRowFirstColumn="0" w:firstRowLastColumn="0" w:lastRowFirstColumn="0" w:lastRowLastColumn="0"/>
          <w:cantSplit/>
        </w:trPr>
        <w:tc>
          <w:tcPr>
            <w:tcW w:w="1172" w:type="pct"/>
          </w:tcPr>
          <w:p w14:paraId="4F89F76F" w14:textId="77777777" w:rsidR="00FA2FF9" w:rsidRPr="00730DE4" w:rsidRDefault="00FA2FF9" w:rsidP="0069763E">
            <w:pPr>
              <w:pStyle w:val="NoSpacing"/>
            </w:pPr>
            <w:r w:rsidRPr="00730DE4">
              <w:t>Regional Roads and Transport Group (RRTG)</w:t>
            </w:r>
          </w:p>
        </w:tc>
        <w:tc>
          <w:tcPr>
            <w:tcW w:w="3828" w:type="pct"/>
          </w:tcPr>
          <w:p w14:paraId="7AE638E2" w14:textId="77777777" w:rsidR="00FA2FF9" w:rsidRPr="00730DE4" w:rsidRDefault="00FA2FF9" w:rsidP="0069763E">
            <w:pPr>
              <w:pStyle w:val="NoSpacing"/>
            </w:pPr>
            <w:r w:rsidRPr="00730DE4">
              <w:t>The primary decision-making bodies of the Roads and Transport Alliance. RRTGs regionally prioritise investments in their communities’ transport infrastructure. Each RRTG comprises representatives from TMR and local governments.</w:t>
            </w:r>
          </w:p>
        </w:tc>
      </w:tr>
      <w:tr w:rsidR="00FA2FF9" w:rsidRPr="00730DE4" w14:paraId="0775E13D" w14:textId="77777777" w:rsidTr="002D6779">
        <w:trPr>
          <w:cantSplit/>
        </w:trPr>
        <w:tc>
          <w:tcPr>
            <w:tcW w:w="1172" w:type="pct"/>
          </w:tcPr>
          <w:p w14:paraId="2DF96269" w14:textId="77777777" w:rsidR="00FA2FF9" w:rsidRPr="00730DE4" w:rsidRDefault="00FA2FF9" w:rsidP="0069763E">
            <w:pPr>
              <w:pStyle w:val="NoSpacing"/>
            </w:pPr>
            <w:r w:rsidRPr="00730DE4">
              <w:t>Roads and Transport Alliance</w:t>
            </w:r>
          </w:p>
        </w:tc>
        <w:tc>
          <w:tcPr>
            <w:tcW w:w="3828" w:type="pct"/>
          </w:tcPr>
          <w:p w14:paraId="53413407" w14:textId="77777777" w:rsidR="00FA2FF9" w:rsidRPr="00730DE4" w:rsidRDefault="00FA2FF9" w:rsidP="0069763E">
            <w:pPr>
              <w:pStyle w:val="NoSpacing"/>
            </w:pPr>
            <w:r w:rsidRPr="00730DE4">
              <w:t>A cooperative governance arrangement between TMR, the Local Government Association of Queensland, and local governments to invest in and regionally manage the Queensland transport network.</w:t>
            </w:r>
          </w:p>
        </w:tc>
      </w:tr>
      <w:tr w:rsidR="000A65A9" w:rsidRPr="00730DE4" w14:paraId="56484D5B" w14:textId="77777777" w:rsidTr="002D6779">
        <w:trPr>
          <w:cnfStyle w:val="000000100000" w:firstRow="0" w:lastRow="0" w:firstColumn="0" w:lastColumn="0" w:oddVBand="0" w:evenVBand="0" w:oddHBand="1" w:evenHBand="0" w:firstRowFirstColumn="0" w:firstRowLastColumn="0" w:lastRowFirstColumn="0" w:lastRowLastColumn="0"/>
          <w:cantSplit/>
        </w:trPr>
        <w:tc>
          <w:tcPr>
            <w:tcW w:w="1172" w:type="pct"/>
          </w:tcPr>
          <w:p w14:paraId="504E9BD4" w14:textId="77777777" w:rsidR="00FA2FF9" w:rsidRPr="00730DE4" w:rsidRDefault="00FA2FF9" w:rsidP="0069763E">
            <w:pPr>
              <w:pStyle w:val="NoSpacing"/>
            </w:pPr>
            <w:r w:rsidRPr="00730DE4">
              <w:t>Roads Australia</w:t>
            </w:r>
          </w:p>
        </w:tc>
        <w:tc>
          <w:tcPr>
            <w:tcW w:w="3828" w:type="pct"/>
          </w:tcPr>
          <w:p w14:paraId="72BCF678" w14:textId="77777777" w:rsidR="00FA2FF9" w:rsidRPr="00730DE4" w:rsidRDefault="00FA2FF9" w:rsidP="0069763E">
            <w:pPr>
              <w:pStyle w:val="NoSpacing"/>
            </w:pPr>
            <w:r w:rsidRPr="00730DE4">
              <w:t>A not-for-profit, non-political industry association with membership drawn from the Australian road sector.</w:t>
            </w:r>
          </w:p>
        </w:tc>
      </w:tr>
      <w:tr w:rsidR="00FA2FF9" w:rsidRPr="00730DE4" w14:paraId="69ACC4D0" w14:textId="77777777" w:rsidTr="002D6779">
        <w:trPr>
          <w:cantSplit/>
        </w:trPr>
        <w:tc>
          <w:tcPr>
            <w:tcW w:w="1172" w:type="pct"/>
          </w:tcPr>
          <w:p w14:paraId="2ECC8E53" w14:textId="77777777" w:rsidR="00FA2FF9" w:rsidRPr="00730DE4" w:rsidRDefault="00FA2FF9" w:rsidP="0069763E">
            <w:pPr>
              <w:pStyle w:val="NoSpacing"/>
            </w:pPr>
            <w:r w:rsidRPr="00730DE4">
              <w:t>Road corridor</w:t>
            </w:r>
          </w:p>
        </w:tc>
        <w:tc>
          <w:tcPr>
            <w:tcW w:w="3828" w:type="pct"/>
          </w:tcPr>
          <w:p w14:paraId="787CE010" w14:textId="77777777" w:rsidR="00FA2FF9" w:rsidRPr="00730DE4" w:rsidRDefault="00FA2FF9" w:rsidP="0069763E">
            <w:pPr>
              <w:pStyle w:val="NoSpacing"/>
            </w:pPr>
            <w:r w:rsidRPr="00730DE4">
              <w:t>The road corridor comprises the space alongside, under, and over the travelled way.</w:t>
            </w:r>
          </w:p>
        </w:tc>
      </w:tr>
      <w:tr w:rsidR="000A65A9" w:rsidRPr="00730DE4" w14:paraId="000DA054" w14:textId="77777777" w:rsidTr="002D6779">
        <w:trPr>
          <w:cnfStyle w:val="000000100000" w:firstRow="0" w:lastRow="0" w:firstColumn="0" w:lastColumn="0" w:oddVBand="0" w:evenVBand="0" w:oddHBand="1" w:evenHBand="0" w:firstRowFirstColumn="0" w:firstRowLastColumn="0" w:lastRowFirstColumn="0" w:lastRowLastColumn="0"/>
          <w:cantSplit/>
        </w:trPr>
        <w:tc>
          <w:tcPr>
            <w:tcW w:w="1172" w:type="pct"/>
          </w:tcPr>
          <w:p w14:paraId="24075B45" w14:textId="77777777" w:rsidR="00FA2FF9" w:rsidRPr="00730DE4" w:rsidRDefault="00FA2FF9" w:rsidP="0069763E">
            <w:pPr>
              <w:pStyle w:val="NoSpacing"/>
            </w:pPr>
            <w:r w:rsidRPr="00730DE4">
              <w:t>Road infrastructure</w:t>
            </w:r>
          </w:p>
        </w:tc>
        <w:tc>
          <w:tcPr>
            <w:tcW w:w="3828" w:type="pct"/>
          </w:tcPr>
          <w:p w14:paraId="49453BA2" w14:textId="77777777" w:rsidR="00FA2FF9" w:rsidRPr="00730DE4" w:rsidRDefault="00FA2FF9" w:rsidP="0069763E">
            <w:pPr>
              <w:pStyle w:val="NoSpacing"/>
            </w:pPr>
            <w:r w:rsidRPr="00730DE4">
              <w:t>All physical road-related assets, including roads and pavements, bus and cycling facilities, tunnels, complex bridges, rest areas, signage, landscaping, animal crossings under and over roads, noise barriers, traffic signals, and lighting.</w:t>
            </w:r>
          </w:p>
        </w:tc>
      </w:tr>
      <w:tr w:rsidR="00FA2FF9" w:rsidRPr="00730DE4" w14:paraId="05C3ECB6" w14:textId="77777777" w:rsidTr="002D6779">
        <w:trPr>
          <w:cantSplit/>
        </w:trPr>
        <w:tc>
          <w:tcPr>
            <w:tcW w:w="1172" w:type="pct"/>
          </w:tcPr>
          <w:p w14:paraId="25CC6E44" w14:textId="77777777" w:rsidR="00FA2FF9" w:rsidRPr="00730DE4" w:rsidRDefault="00FA2FF9" w:rsidP="0069763E">
            <w:pPr>
              <w:pStyle w:val="NoSpacing"/>
            </w:pPr>
            <w:r w:rsidRPr="00730DE4">
              <w:t>RoadTek</w:t>
            </w:r>
          </w:p>
        </w:tc>
        <w:tc>
          <w:tcPr>
            <w:tcW w:w="3828" w:type="pct"/>
          </w:tcPr>
          <w:p w14:paraId="2EAEDF94" w14:textId="77777777" w:rsidR="00FA2FF9" w:rsidRPr="00730DE4" w:rsidRDefault="00FA2FF9" w:rsidP="0069763E">
            <w:pPr>
              <w:pStyle w:val="NoSpacing"/>
            </w:pPr>
            <w:r w:rsidRPr="00730DE4">
              <w:t>A commercial business within TMR, RoadTek is a major provider of transport infrastructure solutions throughout Queensland.</w:t>
            </w:r>
          </w:p>
        </w:tc>
      </w:tr>
      <w:tr w:rsidR="000A65A9" w:rsidRPr="00730DE4" w14:paraId="791A87B8" w14:textId="77777777" w:rsidTr="002D6779">
        <w:trPr>
          <w:cnfStyle w:val="000000100000" w:firstRow="0" w:lastRow="0" w:firstColumn="0" w:lastColumn="0" w:oddVBand="0" w:evenVBand="0" w:oddHBand="1" w:evenHBand="0" w:firstRowFirstColumn="0" w:firstRowLastColumn="0" w:lastRowFirstColumn="0" w:lastRowLastColumn="0"/>
          <w:cantSplit/>
        </w:trPr>
        <w:tc>
          <w:tcPr>
            <w:tcW w:w="1172" w:type="pct"/>
          </w:tcPr>
          <w:p w14:paraId="485CC195" w14:textId="77777777" w:rsidR="00FA2FF9" w:rsidRPr="00730DE4" w:rsidRDefault="00FA2FF9" w:rsidP="0069763E">
            <w:pPr>
              <w:pStyle w:val="NoSpacing"/>
            </w:pPr>
            <w:r w:rsidRPr="00730DE4">
              <w:t>Roadworks</w:t>
            </w:r>
          </w:p>
        </w:tc>
        <w:tc>
          <w:tcPr>
            <w:tcW w:w="3828" w:type="pct"/>
          </w:tcPr>
          <w:p w14:paraId="297B4533" w14:textId="77777777" w:rsidR="00FA2FF9" w:rsidRPr="00730DE4" w:rsidRDefault="00FA2FF9" w:rsidP="0069763E">
            <w:pPr>
              <w:pStyle w:val="NoSpacing"/>
            </w:pPr>
            <w:r w:rsidRPr="00730DE4">
              <w:t>Planning, designing, building, maintaining, replacing, operating, or upgrading any part of the road network, state strategic roads, regional roads, and district roads (but not local roads).</w:t>
            </w:r>
          </w:p>
        </w:tc>
      </w:tr>
      <w:tr w:rsidR="00FA2FF9" w:rsidRPr="00730DE4" w14:paraId="35C583C1" w14:textId="77777777" w:rsidTr="002D6779">
        <w:trPr>
          <w:cantSplit/>
        </w:trPr>
        <w:tc>
          <w:tcPr>
            <w:tcW w:w="1172" w:type="pct"/>
          </w:tcPr>
          <w:p w14:paraId="09D5A804" w14:textId="77777777" w:rsidR="00FA2FF9" w:rsidRPr="00730DE4" w:rsidRDefault="00FA2FF9" w:rsidP="0069763E">
            <w:pPr>
              <w:pStyle w:val="NoSpacing"/>
            </w:pPr>
            <w:r w:rsidRPr="00730DE4">
              <w:t>Rollingstock</w:t>
            </w:r>
          </w:p>
        </w:tc>
        <w:tc>
          <w:tcPr>
            <w:tcW w:w="3828" w:type="pct"/>
          </w:tcPr>
          <w:p w14:paraId="649B52D4" w14:textId="77777777" w:rsidR="00FA2FF9" w:rsidRPr="00730DE4" w:rsidRDefault="00FA2FF9" w:rsidP="0069763E">
            <w:pPr>
              <w:pStyle w:val="NoSpacing"/>
            </w:pPr>
            <w:r w:rsidRPr="00730DE4">
              <w:t>Rail locomotives and wagons.</w:t>
            </w:r>
          </w:p>
        </w:tc>
      </w:tr>
      <w:tr w:rsidR="000A65A9" w:rsidRPr="00730DE4" w14:paraId="6D78D8AB" w14:textId="77777777" w:rsidTr="002D6779">
        <w:trPr>
          <w:cnfStyle w:val="000000100000" w:firstRow="0" w:lastRow="0" w:firstColumn="0" w:lastColumn="0" w:oddVBand="0" w:evenVBand="0" w:oddHBand="1" w:evenHBand="0" w:firstRowFirstColumn="0" w:firstRowLastColumn="0" w:lastRowFirstColumn="0" w:lastRowLastColumn="0"/>
          <w:cantSplit/>
        </w:trPr>
        <w:tc>
          <w:tcPr>
            <w:tcW w:w="1172" w:type="pct"/>
          </w:tcPr>
          <w:p w14:paraId="755C5CCD" w14:textId="77777777" w:rsidR="00FA2FF9" w:rsidRPr="00730DE4" w:rsidRDefault="00FA2FF9" w:rsidP="0069763E">
            <w:pPr>
              <w:pStyle w:val="NoSpacing"/>
            </w:pPr>
            <w:r w:rsidRPr="00730DE4">
              <w:t>Safer Roads Sooner</w:t>
            </w:r>
          </w:p>
        </w:tc>
        <w:tc>
          <w:tcPr>
            <w:tcW w:w="3828" w:type="pct"/>
          </w:tcPr>
          <w:p w14:paraId="73610E91" w14:textId="77777777" w:rsidR="00FA2FF9" w:rsidRPr="00730DE4" w:rsidRDefault="00FA2FF9" w:rsidP="0069763E">
            <w:pPr>
              <w:pStyle w:val="NoSpacing"/>
            </w:pPr>
            <w:r w:rsidRPr="00730DE4">
              <w:t>The Queensland Government’s targeted program to improve the road safety performance of state-controlled and national road networks. It is funded by revenue from camera-detected offences, and delivers projects to address the road toll and reduce the number of people who sustain serious injuries in road crashes.</w:t>
            </w:r>
          </w:p>
        </w:tc>
      </w:tr>
      <w:tr w:rsidR="00FA2FF9" w:rsidRPr="00730DE4" w14:paraId="5775F6D8" w14:textId="77777777" w:rsidTr="002D6779">
        <w:trPr>
          <w:cantSplit/>
        </w:trPr>
        <w:tc>
          <w:tcPr>
            <w:tcW w:w="1172" w:type="pct"/>
          </w:tcPr>
          <w:p w14:paraId="501D0C09" w14:textId="77777777" w:rsidR="00FA2FF9" w:rsidRPr="00730DE4" w:rsidRDefault="00FA2FF9" w:rsidP="0069763E">
            <w:pPr>
              <w:pStyle w:val="NoSpacing"/>
            </w:pPr>
            <w:r w:rsidRPr="00730DE4">
              <w:t>Service Delivery Statements (SDS)</w:t>
            </w:r>
          </w:p>
        </w:tc>
        <w:tc>
          <w:tcPr>
            <w:tcW w:w="3828" w:type="pct"/>
          </w:tcPr>
          <w:p w14:paraId="05638F1D" w14:textId="77777777" w:rsidR="00FA2FF9" w:rsidRPr="00730DE4" w:rsidRDefault="00FA2FF9" w:rsidP="0069763E">
            <w:pPr>
              <w:pStyle w:val="NoSpacing"/>
            </w:pPr>
            <w:r w:rsidRPr="00730DE4">
              <w:t>Budgeted financial and non-financial information for the Budget year. In addition to financial statements, the SDS includes TMR’s achievements, highlights for the forthcoming year, and performance statements.</w:t>
            </w:r>
          </w:p>
        </w:tc>
      </w:tr>
      <w:tr w:rsidR="000A65A9" w:rsidRPr="00730DE4" w14:paraId="26B0688F" w14:textId="77777777" w:rsidTr="002D6779">
        <w:trPr>
          <w:cnfStyle w:val="000000100000" w:firstRow="0" w:lastRow="0" w:firstColumn="0" w:lastColumn="0" w:oddVBand="0" w:evenVBand="0" w:oddHBand="1" w:evenHBand="0" w:firstRowFirstColumn="0" w:firstRowLastColumn="0" w:lastRowFirstColumn="0" w:lastRowLastColumn="0"/>
          <w:cantSplit/>
        </w:trPr>
        <w:tc>
          <w:tcPr>
            <w:tcW w:w="1172" w:type="pct"/>
          </w:tcPr>
          <w:p w14:paraId="638B95DB" w14:textId="77777777" w:rsidR="00FA2FF9" w:rsidRPr="00730DE4" w:rsidRDefault="00FA2FF9" w:rsidP="0069763E">
            <w:pPr>
              <w:pStyle w:val="NoSpacing"/>
            </w:pPr>
            <w:r w:rsidRPr="00730DE4">
              <w:t>SMS</w:t>
            </w:r>
          </w:p>
        </w:tc>
        <w:tc>
          <w:tcPr>
            <w:tcW w:w="3828" w:type="pct"/>
          </w:tcPr>
          <w:p w14:paraId="7D00E725" w14:textId="77777777" w:rsidR="00FA2FF9" w:rsidRPr="00730DE4" w:rsidRDefault="00FA2FF9" w:rsidP="0069763E">
            <w:pPr>
              <w:pStyle w:val="NoSpacing"/>
            </w:pPr>
            <w:r w:rsidRPr="00730DE4">
              <w:t xml:space="preserve">Short Message Service is a type of communication that allows users to send text messages between phone users. </w:t>
            </w:r>
          </w:p>
        </w:tc>
      </w:tr>
      <w:tr w:rsidR="00FA2FF9" w:rsidRPr="00730DE4" w14:paraId="7C8AF897" w14:textId="77777777" w:rsidTr="002D6779">
        <w:trPr>
          <w:cantSplit/>
        </w:trPr>
        <w:tc>
          <w:tcPr>
            <w:tcW w:w="1172" w:type="pct"/>
          </w:tcPr>
          <w:p w14:paraId="58A80200" w14:textId="77777777" w:rsidR="00FA2FF9" w:rsidRPr="00730DE4" w:rsidRDefault="00FA2FF9" w:rsidP="0069763E">
            <w:pPr>
              <w:pStyle w:val="NoSpacing"/>
            </w:pPr>
            <w:r w:rsidRPr="00730DE4">
              <w:t>Social media</w:t>
            </w:r>
          </w:p>
        </w:tc>
        <w:tc>
          <w:tcPr>
            <w:tcW w:w="3828" w:type="pct"/>
          </w:tcPr>
          <w:p w14:paraId="4061A1DA" w14:textId="77777777" w:rsidR="00FA2FF9" w:rsidRPr="00730DE4" w:rsidRDefault="00FA2FF9" w:rsidP="0069763E">
            <w:pPr>
              <w:pStyle w:val="NoSpacing"/>
            </w:pPr>
            <w:r w:rsidRPr="00730DE4">
              <w:t>Forms of media that allow people to communicate and share information using the internet or mobile phones.</w:t>
            </w:r>
          </w:p>
        </w:tc>
      </w:tr>
      <w:tr w:rsidR="000A65A9" w:rsidRPr="00730DE4" w14:paraId="5856D44D" w14:textId="77777777" w:rsidTr="002D6779">
        <w:trPr>
          <w:cnfStyle w:val="000000100000" w:firstRow="0" w:lastRow="0" w:firstColumn="0" w:lastColumn="0" w:oddVBand="0" w:evenVBand="0" w:oddHBand="1" w:evenHBand="0" w:firstRowFirstColumn="0" w:firstRowLastColumn="0" w:lastRowFirstColumn="0" w:lastRowLastColumn="0"/>
          <w:cantSplit/>
        </w:trPr>
        <w:tc>
          <w:tcPr>
            <w:tcW w:w="1172" w:type="pct"/>
          </w:tcPr>
          <w:p w14:paraId="7A6FB53C" w14:textId="77777777" w:rsidR="00FA2FF9" w:rsidRPr="00730DE4" w:rsidRDefault="00FA2FF9" w:rsidP="0069763E">
            <w:pPr>
              <w:pStyle w:val="NoSpacing"/>
            </w:pPr>
            <w:r w:rsidRPr="00730DE4">
              <w:t>Stakeholder</w:t>
            </w:r>
          </w:p>
        </w:tc>
        <w:tc>
          <w:tcPr>
            <w:tcW w:w="3828" w:type="pct"/>
          </w:tcPr>
          <w:p w14:paraId="2A88ACB8" w14:textId="77777777" w:rsidR="00FA2FF9" w:rsidRPr="00730DE4" w:rsidRDefault="00FA2FF9" w:rsidP="0069763E">
            <w:pPr>
              <w:pStyle w:val="NoSpacing"/>
            </w:pPr>
            <w:r w:rsidRPr="00730DE4">
              <w:t xml:space="preserve">Anyone or any group who either influences or is affected by TMR business. </w:t>
            </w:r>
          </w:p>
        </w:tc>
      </w:tr>
      <w:tr w:rsidR="00FA2FF9" w:rsidRPr="00730DE4" w14:paraId="70D047DD" w14:textId="77777777" w:rsidTr="002D6779">
        <w:trPr>
          <w:cantSplit/>
        </w:trPr>
        <w:tc>
          <w:tcPr>
            <w:tcW w:w="1172" w:type="pct"/>
          </w:tcPr>
          <w:p w14:paraId="161B766D" w14:textId="77777777" w:rsidR="00FA2FF9" w:rsidRPr="00730DE4" w:rsidRDefault="00FA2FF9" w:rsidP="0069763E">
            <w:pPr>
              <w:pStyle w:val="NoSpacing"/>
            </w:pPr>
            <w:r w:rsidRPr="00730DE4">
              <w:t>State-controlled roads</w:t>
            </w:r>
          </w:p>
        </w:tc>
        <w:tc>
          <w:tcPr>
            <w:tcW w:w="3828" w:type="pct"/>
          </w:tcPr>
          <w:p w14:paraId="369AEF04" w14:textId="77777777" w:rsidR="00FA2FF9" w:rsidRPr="00730DE4" w:rsidRDefault="00FA2FF9" w:rsidP="0069763E">
            <w:pPr>
              <w:pStyle w:val="NoSpacing"/>
            </w:pPr>
            <w:r w:rsidRPr="00730DE4">
              <w:t>Roads controlled and managed by the Queensland Government. They include the AusLink national road network, state strategic roads, regional roads, and district roads (but not local roads).</w:t>
            </w:r>
          </w:p>
        </w:tc>
      </w:tr>
      <w:tr w:rsidR="000A65A9" w:rsidRPr="00730DE4" w14:paraId="7A3FA731" w14:textId="77777777" w:rsidTr="002D6779">
        <w:trPr>
          <w:cnfStyle w:val="000000100000" w:firstRow="0" w:lastRow="0" w:firstColumn="0" w:lastColumn="0" w:oddVBand="0" w:evenVBand="0" w:oddHBand="1" w:evenHBand="0" w:firstRowFirstColumn="0" w:firstRowLastColumn="0" w:lastRowFirstColumn="0" w:lastRowLastColumn="0"/>
          <w:cantSplit/>
        </w:trPr>
        <w:tc>
          <w:tcPr>
            <w:tcW w:w="1172" w:type="pct"/>
          </w:tcPr>
          <w:p w14:paraId="0161DA35" w14:textId="77777777" w:rsidR="00FA2FF9" w:rsidRPr="00730DE4" w:rsidRDefault="00FA2FF9" w:rsidP="0069763E">
            <w:pPr>
              <w:pStyle w:val="NoSpacing"/>
            </w:pPr>
            <w:r w:rsidRPr="00730DE4">
              <w:t>Strategic plan</w:t>
            </w:r>
          </w:p>
        </w:tc>
        <w:tc>
          <w:tcPr>
            <w:tcW w:w="3828" w:type="pct"/>
          </w:tcPr>
          <w:p w14:paraId="21FCCC8B" w14:textId="77777777" w:rsidR="00FA2FF9" w:rsidRPr="00730DE4" w:rsidRDefault="00FA2FF9" w:rsidP="0069763E">
            <w:pPr>
              <w:pStyle w:val="NoSpacing"/>
            </w:pPr>
            <w:r w:rsidRPr="00730DE4">
              <w:t>A high level document used to communicate departmental vision, purpose, and objectives to provide a foundation for operational delivery.</w:t>
            </w:r>
          </w:p>
        </w:tc>
      </w:tr>
      <w:tr w:rsidR="00FA2FF9" w:rsidRPr="00730DE4" w14:paraId="70CF3E47" w14:textId="77777777" w:rsidTr="002D6779">
        <w:trPr>
          <w:cantSplit/>
        </w:trPr>
        <w:tc>
          <w:tcPr>
            <w:tcW w:w="1172" w:type="pct"/>
          </w:tcPr>
          <w:p w14:paraId="76FDFF11" w14:textId="77777777" w:rsidR="00FA2FF9" w:rsidRPr="00730DE4" w:rsidRDefault="00FA2FF9" w:rsidP="0069763E">
            <w:pPr>
              <w:pStyle w:val="NoSpacing"/>
            </w:pPr>
            <w:r w:rsidRPr="00730DE4">
              <w:t>Translink</w:t>
            </w:r>
          </w:p>
        </w:tc>
        <w:tc>
          <w:tcPr>
            <w:tcW w:w="3828" w:type="pct"/>
          </w:tcPr>
          <w:p w14:paraId="092F25F1" w14:textId="77777777" w:rsidR="00FA2FF9" w:rsidRPr="00730DE4" w:rsidRDefault="00FA2FF9" w:rsidP="0069763E">
            <w:pPr>
              <w:pStyle w:val="NoSpacing"/>
            </w:pPr>
            <w:r w:rsidRPr="00730DE4">
              <w:t>Translink is the brand name for passenger transport services in Queensland, including Translink buses, trains, ferries, and trams.</w:t>
            </w:r>
          </w:p>
        </w:tc>
      </w:tr>
      <w:tr w:rsidR="000A65A9" w:rsidRPr="00730DE4" w14:paraId="10AC539A" w14:textId="77777777" w:rsidTr="002D6779">
        <w:trPr>
          <w:cnfStyle w:val="000000100000" w:firstRow="0" w:lastRow="0" w:firstColumn="0" w:lastColumn="0" w:oddVBand="0" w:evenVBand="0" w:oddHBand="1" w:evenHBand="0" w:firstRowFirstColumn="0" w:firstRowLastColumn="0" w:lastRowFirstColumn="0" w:lastRowLastColumn="0"/>
          <w:cantSplit/>
        </w:trPr>
        <w:tc>
          <w:tcPr>
            <w:tcW w:w="1172" w:type="pct"/>
          </w:tcPr>
          <w:p w14:paraId="59951EAE" w14:textId="77777777" w:rsidR="00FA2FF9" w:rsidRPr="00730DE4" w:rsidRDefault="00FA2FF9" w:rsidP="0069763E">
            <w:pPr>
              <w:pStyle w:val="NoSpacing"/>
            </w:pPr>
            <w:r w:rsidRPr="00730DE4">
              <w:t>Transport System Planning Program</w:t>
            </w:r>
          </w:p>
        </w:tc>
        <w:tc>
          <w:tcPr>
            <w:tcW w:w="3828" w:type="pct"/>
          </w:tcPr>
          <w:p w14:paraId="48C6E0D6" w14:textId="77777777" w:rsidR="00FA2FF9" w:rsidRPr="00730DE4" w:rsidRDefault="00FA2FF9" w:rsidP="0069763E">
            <w:pPr>
              <w:pStyle w:val="NoSpacing"/>
            </w:pPr>
            <w:r w:rsidRPr="00730DE4">
              <w:t>Aimed at funding transport planning, modelling, and investment proposal activities for all modes of transport across all regions of Queensland. The program plans an integrated transport system that promotes the right investment at the right time and drives better transport outcomes for Queensland.</w:t>
            </w:r>
          </w:p>
        </w:tc>
      </w:tr>
      <w:tr w:rsidR="00FA2FF9" w:rsidRPr="00730DE4" w14:paraId="6D4BA334" w14:textId="77777777" w:rsidTr="002D6779">
        <w:trPr>
          <w:cantSplit/>
        </w:trPr>
        <w:tc>
          <w:tcPr>
            <w:tcW w:w="1172" w:type="pct"/>
          </w:tcPr>
          <w:p w14:paraId="3E0FF6F7" w14:textId="77777777" w:rsidR="00FA2FF9" w:rsidRPr="00730DE4" w:rsidRDefault="00FA2FF9" w:rsidP="0069763E">
            <w:pPr>
              <w:pStyle w:val="NoSpacing"/>
            </w:pPr>
            <w:r w:rsidRPr="00730DE4">
              <w:t>Viva Engage</w:t>
            </w:r>
          </w:p>
        </w:tc>
        <w:tc>
          <w:tcPr>
            <w:tcW w:w="3828" w:type="pct"/>
          </w:tcPr>
          <w:p w14:paraId="0582282B" w14:textId="77777777" w:rsidR="00FA2FF9" w:rsidRPr="00730DE4" w:rsidRDefault="00FA2FF9" w:rsidP="0069763E">
            <w:pPr>
              <w:pStyle w:val="NoSpacing"/>
            </w:pPr>
            <w:r w:rsidRPr="00730DE4">
              <w:t>A private social network used within organisations for internal communication and collaboration.</w:t>
            </w:r>
          </w:p>
        </w:tc>
      </w:tr>
      <w:tr w:rsidR="000A65A9" w:rsidRPr="00730DE4" w14:paraId="3C2A8A11" w14:textId="77777777" w:rsidTr="002D6779">
        <w:trPr>
          <w:cnfStyle w:val="000000100000" w:firstRow="0" w:lastRow="0" w:firstColumn="0" w:lastColumn="0" w:oddVBand="0" w:evenVBand="0" w:oddHBand="1" w:evenHBand="0" w:firstRowFirstColumn="0" w:firstRowLastColumn="0" w:lastRowFirstColumn="0" w:lastRowLastColumn="0"/>
          <w:cantSplit/>
        </w:trPr>
        <w:tc>
          <w:tcPr>
            <w:tcW w:w="1172" w:type="pct"/>
          </w:tcPr>
          <w:p w14:paraId="09C0FAD4" w14:textId="77777777" w:rsidR="00FA2FF9" w:rsidRPr="00730DE4" w:rsidRDefault="00FA2FF9" w:rsidP="0069763E">
            <w:pPr>
              <w:pStyle w:val="NoSpacing"/>
            </w:pPr>
            <w:r w:rsidRPr="00730DE4">
              <w:t>Wide centre line treatments</w:t>
            </w:r>
          </w:p>
        </w:tc>
        <w:tc>
          <w:tcPr>
            <w:tcW w:w="3828" w:type="pct"/>
          </w:tcPr>
          <w:p w14:paraId="4B635116" w14:textId="77777777" w:rsidR="00FA2FF9" w:rsidRPr="00730DE4" w:rsidRDefault="00FA2FF9" w:rsidP="0069763E">
            <w:pPr>
              <w:pStyle w:val="NoSpacing"/>
            </w:pPr>
            <w:r w:rsidRPr="00730DE4">
              <w:t>Painting two white lines one metre apart in the centre of the road to provide greater separation for opposing traffic.</w:t>
            </w:r>
          </w:p>
        </w:tc>
      </w:tr>
      <w:tr w:rsidR="00FA2FF9" w:rsidRPr="00730DE4" w14:paraId="4566DA09" w14:textId="77777777" w:rsidTr="002D6779">
        <w:trPr>
          <w:cantSplit/>
        </w:trPr>
        <w:tc>
          <w:tcPr>
            <w:tcW w:w="1172" w:type="pct"/>
          </w:tcPr>
          <w:p w14:paraId="46FF762F" w14:textId="77777777" w:rsidR="00FA2FF9" w:rsidRPr="00730DE4" w:rsidRDefault="00FA2FF9" w:rsidP="0069763E">
            <w:pPr>
              <w:pStyle w:val="NoSpacing"/>
            </w:pPr>
            <w:r w:rsidRPr="00730DE4">
              <w:t>X</w:t>
            </w:r>
          </w:p>
        </w:tc>
        <w:tc>
          <w:tcPr>
            <w:tcW w:w="3828" w:type="pct"/>
          </w:tcPr>
          <w:p w14:paraId="5165B1E7" w14:textId="77777777" w:rsidR="00FA2FF9" w:rsidRPr="00730DE4" w:rsidRDefault="00FA2FF9" w:rsidP="0069763E">
            <w:pPr>
              <w:pStyle w:val="NoSpacing"/>
            </w:pPr>
            <w:r w:rsidRPr="00730DE4">
              <w:t xml:space="preserve">X (formerly Twitter) is an online social networking service that enables users to send and read short 280-character messages. </w:t>
            </w:r>
          </w:p>
        </w:tc>
      </w:tr>
    </w:tbl>
    <w:p w14:paraId="52485383" w14:textId="77777777" w:rsidR="00094BA5" w:rsidRPr="00730DE4" w:rsidRDefault="00094BA5">
      <w:pPr>
        <w:suppressAutoHyphens w:val="0"/>
        <w:spacing w:before="0" w:line="259" w:lineRule="auto"/>
        <w:rPr>
          <w:rFonts w:eastAsiaTheme="majorEastAsia" w:cstheme="majorBidi"/>
          <w:color w:val="080C0F" w:themeColor="text1"/>
          <w:sz w:val="60"/>
          <w:szCs w:val="32"/>
          <w:lang w:val="en-US"/>
        </w:rPr>
      </w:pPr>
      <w:r w:rsidRPr="00730DE4">
        <w:rPr>
          <w:lang w:val="en-US"/>
        </w:rPr>
        <w:br w:type="page"/>
      </w:r>
    </w:p>
    <w:p w14:paraId="1FA3BC25" w14:textId="0DBACC9D" w:rsidR="00FA2FF9" w:rsidRPr="00730DE4" w:rsidRDefault="00FA2FF9" w:rsidP="002B7001">
      <w:pPr>
        <w:pStyle w:val="Heading2"/>
        <w:rPr>
          <w:lang w:val="en-US"/>
        </w:rPr>
      </w:pPr>
      <w:bookmarkStart w:id="1833" w:name="_Toc180491040"/>
      <w:bookmarkStart w:id="1834" w:name="_Toc180492073"/>
      <w:r w:rsidRPr="00730DE4">
        <w:rPr>
          <w:lang w:val="en-US"/>
        </w:rPr>
        <w:t>Appendix 7: Acronyms</w:t>
      </w:r>
      <w:bookmarkEnd w:id="1833"/>
      <w:bookmarkEnd w:id="1834"/>
    </w:p>
    <w:tbl>
      <w:tblPr>
        <w:tblStyle w:val="TMRDefault"/>
        <w:tblW w:w="5000" w:type="pct"/>
        <w:tblLook w:val="04A0" w:firstRow="1" w:lastRow="0" w:firstColumn="1" w:lastColumn="0" w:noHBand="0" w:noVBand="1"/>
      </w:tblPr>
      <w:tblGrid>
        <w:gridCol w:w="2625"/>
        <w:gridCol w:w="11367"/>
      </w:tblGrid>
      <w:tr w:rsidR="00FA2FF9" w:rsidRPr="00730DE4" w14:paraId="654CCE09" w14:textId="77777777" w:rsidTr="0069763E">
        <w:trPr>
          <w:cnfStyle w:val="100000000000" w:firstRow="1" w:lastRow="0" w:firstColumn="0" w:lastColumn="0" w:oddVBand="0" w:evenVBand="0" w:oddHBand="0" w:evenHBand="0" w:firstRowFirstColumn="0" w:firstRowLastColumn="0" w:lastRowFirstColumn="0" w:lastRowLastColumn="0"/>
          <w:tblHeader/>
        </w:trPr>
        <w:tc>
          <w:tcPr>
            <w:tcW w:w="938" w:type="pct"/>
          </w:tcPr>
          <w:p w14:paraId="67759CF9" w14:textId="2C4559CC" w:rsidR="00FA2FF9" w:rsidRPr="00730DE4" w:rsidRDefault="0069763E" w:rsidP="0069763E">
            <w:pPr>
              <w:pStyle w:val="NoSpacing"/>
              <w:rPr>
                <w:color w:val="FFFFFF" w:themeColor="background1"/>
                <w:lang w:val="en-US"/>
              </w:rPr>
            </w:pPr>
            <w:r w:rsidRPr="00730DE4">
              <w:rPr>
                <w:color w:val="FFFFFF" w:themeColor="background1"/>
                <w:lang w:val="en-US"/>
              </w:rPr>
              <w:t>Term</w:t>
            </w:r>
          </w:p>
        </w:tc>
        <w:tc>
          <w:tcPr>
            <w:tcW w:w="4063" w:type="pct"/>
          </w:tcPr>
          <w:p w14:paraId="2613EBE1" w14:textId="675A97B0" w:rsidR="00FA2FF9" w:rsidRPr="00730DE4" w:rsidRDefault="0069763E" w:rsidP="0069763E">
            <w:pPr>
              <w:pStyle w:val="NoSpacing"/>
              <w:rPr>
                <w:color w:val="FFFFFF" w:themeColor="background1"/>
                <w:lang w:val="en-US"/>
              </w:rPr>
            </w:pPr>
            <w:r w:rsidRPr="00730DE4">
              <w:rPr>
                <w:color w:val="FFFFFF" w:themeColor="background1"/>
                <w:lang w:val="en-US"/>
              </w:rPr>
              <w:t>Definition</w:t>
            </w:r>
          </w:p>
        </w:tc>
      </w:tr>
      <w:tr w:rsidR="0069763E" w:rsidRPr="00730DE4" w14:paraId="30541C07" w14:textId="77777777" w:rsidTr="0069763E">
        <w:trPr>
          <w:cnfStyle w:val="000000100000" w:firstRow="0" w:lastRow="0" w:firstColumn="0" w:lastColumn="0" w:oddVBand="0" w:evenVBand="0" w:oddHBand="1" w:evenHBand="0" w:firstRowFirstColumn="0" w:firstRowLastColumn="0" w:lastRowFirstColumn="0" w:lastRowLastColumn="0"/>
        </w:trPr>
        <w:tc>
          <w:tcPr>
            <w:tcW w:w="938" w:type="pct"/>
          </w:tcPr>
          <w:p w14:paraId="1FD56FC7" w14:textId="3EA3F6D7" w:rsidR="0069763E" w:rsidRPr="00730DE4" w:rsidRDefault="0069763E" w:rsidP="0069763E">
            <w:pPr>
              <w:pStyle w:val="NoSpacing"/>
              <w:rPr>
                <w:lang w:val="en-US"/>
              </w:rPr>
            </w:pPr>
            <w:r w:rsidRPr="00730DE4">
              <w:rPr>
                <w:lang w:val="en-US"/>
              </w:rPr>
              <w:t>ABS</w:t>
            </w:r>
          </w:p>
        </w:tc>
        <w:tc>
          <w:tcPr>
            <w:tcW w:w="4063" w:type="pct"/>
          </w:tcPr>
          <w:p w14:paraId="5A2DF670" w14:textId="334179FC" w:rsidR="0069763E" w:rsidRPr="00730DE4" w:rsidRDefault="0069763E" w:rsidP="0069763E">
            <w:pPr>
              <w:pStyle w:val="NoSpacing"/>
              <w:rPr>
                <w:lang w:val="en-US"/>
              </w:rPr>
            </w:pPr>
            <w:r w:rsidRPr="00730DE4">
              <w:rPr>
                <w:lang w:val="en-US"/>
              </w:rPr>
              <w:t>Australian Bureau of Statistics</w:t>
            </w:r>
          </w:p>
        </w:tc>
      </w:tr>
      <w:tr w:rsidR="00FA2FF9" w:rsidRPr="00730DE4" w14:paraId="36312104" w14:textId="77777777" w:rsidTr="0069763E">
        <w:tc>
          <w:tcPr>
            <w:tcW w:w="938" w:type="pct"/>
          </w:tcPr>
          <w:p w14:paraId="4E890B0E" w14:textId="77777777" w:rsidR="00FA2FF9" w:rsidRPr="00730DE4" w:rsidRDefault="00FA2FF9" w:rsidP="0069763E">
            <w:pPr>
              <w:pStyle w:val="NoSpacing"/>
              <w:rPr>
                <w:lang w:val="en-US"/>
              </w:rPr>
            </w:pPr>
            <w:r w:rsidRPr="00730DE4">
              <w:rPr>
                <w:lang w:val="en-US"/>
              </w:rPr>
              <w:t>AI</w:t>
            </w:r>
          </w:p>
        </w:tc>
        <w:tc>
          <w:tcPr>
            <w:tcW w:w="4063" w:type="pct"/>
          </w:tcPr>
          <w:p w14:paraId="7A7A057A" w14:textId="77777777" w:rsidR="00FA2FF9" w:rsidRPr="00730DE4" w:rsidRDefault="00FA2FF9" w:rsidP="0069763E">
            <w:pPr>
              <w:pStyle w:val="NoSpacing"/>
              <w:rPr>
                <w:lang w:val="en-US"/>
              </w:rPr>
            </w:pPr>
            <w:r w:rsidRPr="00730DE4">
              <w:rPr>
                <w:lang w:val="en-US"/>
              </w:rPr>
              <w:t>Artificial Intelligence</w:t>
            </w:r>
          </w:p>
        </w:tc>
      </w:tr>
      <w:tr w:rsidR="00FA2FF9" w:rsidRPr="00730DE4" w14:paraId="4A9B2962" w14:textId="77777777" w:rsidTr="0069763E">
        <w:trPr>
          <w:cnfStyle w:val="000000100000" w:firstRow="0" w:lastRow="0" w:firstColumn="0" w:lastColumn="0" w:oddVBand="0" w:evenVBand="0" w:oddHBand="1" w:evenHBand="0" w:firstRowFirstColumn="0" w:firstRowLastColumn="0" w:lastRowFirstColumn="0" w:lastRowLastColumn="0"/>
        </w:trPr>
        <w:tc>
          <w:tcPr>
            <w:tcW w:w="938" w:type="pct"/>
          </w:tcPr>
          <w:p w14:paraId="15CC6E7F" w14:textId="77777777" w:rsidR="00FA2FF9" w:rsidRPr="00730DE4" w:rsidRDefault="00FA2FF9" w:rsidP="0069763E">
            <w:pPr>
              <w:pStyle w:val="NoSpacing"/>
              <w:rPr>
                <w:lang w:val="en-US"/>
              </w:rPr>
            </w:pPr>
            <w:r w:rsidRPr="00730DE4">
              <w:rPr>
                <w:lang w:val="en-US"/>
              </w:rPr>
              <w:t>AMSA</w:t>
            </w:r>
          </w:p>
        </w:tc>
        <w:tc>
          <w:tcPr>
            <w:tcW w:w="4063" w:type="pct"/>
          </w:tcPr>
          <w:p w14:paraId="5EB7C205" w14:textId="77777777" w:rsidR="00FA2FF9" w:rsidRPr="00730DE4" w:rsidRDefault="00FA2FF9" w:rsidP="0069763E">
            <w:pPr>
              <w:pStyle w:val="NoSpacing"/>
              <w:rPr>
                <w:lang w:val="en-US"/>
              </w:rPr>
            </w:pPr>
            <w:r w:rsidRPr="00730DE4">
              <w:rPr>
                <w:lang w:val="en-US"/>
              </w:rPr>
              <w:t>Australian Maritime Safety Authority</w:t>
            </w:r>
          </w:p>
        </w:tc>
      </w:tr>
      <w:tr w:rsidR="00FA2FF9" w:rsidRPr="00730DE4" w14:paraId="427AB8AF" w14:textId="77777777" w:rsidTr="0069763E">
        <w:tc>
          <w:tcPr>
            <w:tcW w:w="938" w:type="pct"/>
          </w:tcPr>
          <w:p w14:paraId="3D8F8033" w14:textId="77777777" w:rsidR="00FA2FF9" w:rsidRPr="00730DE4" w:rsidRDefault="00FA2FF9" w:rsidP="0069763E">
            <w:pPr>
              <w:pStyle w:val="NoSpacing"/>
              <w:rPr>
                <w:lang w:val="en-US"/>
              </w:rPr>
            </w:pPr>
            <w:r w:rsidRPr="00730DE4">
              <w:rPr>
                <w:lang w:val="en-US"/>
              </w:rPr>
              <w:t>ANZOG</w:t>
            </w:r>
          </w:p>
        </w:tc>
        <w:tc>
          <w:tcPr>
            <w:tcW w:w="4063" w:type="pct"/>
          </w:tcPr>
          <w:p w14:paraId="4535F813" w14:textId="77777777" w:rsidR="00FA2FF9" w:rsidRPr="00730DE4" w:rsidRDefault="00FA2FF9" w:rsidP="0069763E">
            <w:pPr>
              <w:pStyle w:val="NoSpacing"/>
              <w:rPr>
                <w:lang w:val="en-US"/>
              </w:rPr>
            </w:pPr>
            <w:r w:rsidRPr="00730DE4">
              <w:rPr>
                <w:lang w:val="en-US"/>
              </w:rPr>
              <w:t>Australian and New Zealand School of Government</w:t>
            </w:r>
          </w:p>
        </w:tc>
      </w:tr>
      <w:tr w:rsidR="00FA2FF9" w:rsidRPr="00730DE4" w14:paraId="78BA2071" w14:textId="77777777" w:rsidTr="0069763E">
        <w:trPr>
          <w:cnfStyle w:val="000000100000" w:firstRow="0" w:lastRow="0" w:firstColumn="0" w:lastColumn="0" w:oddVBand="0" w:evenVBand="0" w:oddHBand="1" w:evenHBand="0" w:firstRowFirstColumn="0" w:firstRowLastColumn="0" w:lastRowFirstColumn="0" w:lastRowLastColumn="0"/>
        </w:trPr>
        <w:tc>
          <w:tcPr>
            <w:tcW w:w="938" w:type="pct"/>
          </w:tcPr>
          <w:p w14:paraId="790BEBDC" w14:textId="77777777" w:rsidR="00FA2FF9" w:rsidRPr="00730DE4" w:rsidRDefault="00FA2FF9" w:rsidP="0069763E">
            <w:pPr>
              <w:pStyle w:val="NoSpacing"/>
              <w:rPr>
                <w:lang w:val="en-US"/>
              </w:rPr>
            </w:pPr>
            <w:r w:rsidRPr="00730DE4">
              <w:rPr>
                <w:lang w:val="en-US"/>
              </w:rPr>
              <w:t>ARC</w:t>
            </w:r>
          </w:p>
        </w:tc>
        <w:tc>
          <w:tcPr>
            <w:tcW w:w="4063" w:type="pct"/>
          </w:tcPr>
          <w:p w14:paraId="59645267" w14:textId="77777777" w:rsidR="00FA2FF9" w:rsidRPr="00730DE4" w:rsidRDefault="00FA2FF9" w:rsidP="0069763E">
            <w:pPr>
              <w:pStyle w:val="NoSpacing"/>
              <w:rPr>
                <w:lang w:val="en-US"/>
              </w:rPr>
            </w:pPr>
            <w:r w:rsidRPr="00730DE4">
              <w:rPr>
                <w:lang w:val="en-US"/>
              </w:rPr>
              <w:t>Audit and Risk Committee</w:t>
            </w:r>
          </w:p>
        </w:tc>
      </w:tr>
      <w:tr w:rsidR="00FA2FF9" w:rsidRPr="00730DE4" w14:paraId="4CBE0F51" w14:textId="77777777" w:rsidTr="0069763E">
        <w:tc>
          <w:tcPr>
            <w:tcW w:w="938" w:type="pct"/>
          </w:tcPr>
          <w:p w14:paraId="177B85E4" w14:textId="77777777" w:rsidR="00FA2FF9" w:rsidRPr="00730DE4" w:rsidRDefault="00FA2FF9" w:rsidP="0069763E">
            <w:pPr>
              <w:pStyle w:val="NoSpacing"/>
              <w:rPr>
                <w:lang w:val="en-US"/>
              </w:rPr>
            </w:pPr>
            <w:r w:rsidRPr="00730DE4">
              <w:rPr>
                <w:lang w:val="en-US"/>
              </w:rPr>
              <w:t>ARMIS</w:t>
            </w:r>
          </w:p>
        </w:tc>
        <w:tc>
          <w:tcPr>
            <w:tcW w:w="4063" w:type="pct"/>
          </w:tcPr>
          <w:p w14:paraId="78CC3299" w14:textId="77777777" w:rsidR="00FA2FF9" w:rsidRPr="00730DE4" w:rsidRDefault="00FA2FF9" w:rsidP="0069763E">
            <w:pPr>
              <w:pStyle w:val="NoSpacing"/>
              <w:rPr>
                <w:lang w:val="en-US"/>
              </w:rPr>
            </w:pPr>
            <w:r w:rsidRPr="00730DE4">
              <w:rPr>
                <w:lang w:val="en-US"/>
              </w:rPr>
              <w:t>A Road Management Information System</w:t>
            </w:r>
          </w:p>
        </w:tc>
      </w:tr>
      <w:tr w:rsidR="00FA2FF9" w:rsidRPr="00730DE4" w14:paraId="47012765" w14:textId="77777777" w:rsidTr="0069763E">
        <w:trPr>
          <w:cnfStyle w:val="000000100000" w:firstRow="0" w:lastRow="0" w:firstColumn="0" w:lastColumn="0" w:oddVBand="0" w:evenVBand="0" w:oddHBand="1" w:evenHBand="0" w:firstRowFirstColumn="0" w:firstRowLastColumn="0" w:lastRowFirstColumn="0" w:lastRowLastColumn="0"/>
        </w:trPr>
        <w:tc>
          <w:tcPr>
            <w:tcW w:w="938" w:type="pct"/>
          </w:tcPr>
          <w:p w14:paraId="325E7A75" w14:textId="77777777" w:rsidR="00FA2FF9" w:rsidRPr="00730DE4" w:rsidRDefault="00FA2FF9" w:rsidP="0069763E">
            <w:pPr>
              <w:pStyle w:val="NoSpacing"/>
              <w:rPr>
                <w:lang w:val="en-US"/>
              </w:rPr>
            </w:pPr>
            <w:r w:rsidRPr="00730DE4">
              <w:rPr>
                <w:lang w:val="en-US"/>
              </w:rPr>
              <w:t>ARR</w:t>
            </w:r>
          </w:p>
        </w:tc>
        <w:tc>
          <w:tcPr>
            <w:tcW w:w="4063" w:type="pct"/>
          </w:tcPr>
          <w:p w14:paraId="6D8CA0C9" w14:textId="77777777" w:rsidR="00FA2FF9" w:rsidRPr="00730DE4" w:rsidRDefault="00FA2FF9" w:rsidP="0069763E">
            <w:pPr>
              <w:pStyle w:val="NoSpacing"/>
              <w:rPr>
                <w:lang w:val="en-US"/>
              </w:rPr>
            </w:pPr>
            <w:r w:rsidRPr="00730DE4">
              <w:rPr>
                <w:lang w:val="en-US"/>
              </w:rPr>
              <w:t>Annual reporting requirements</w:t>
            </w:r>
          </w:p>
        </w:tc>
      </w:tr>
      <w:tr w:rsidR="00FA2FF9" w:rsidRPr="00730DE4" w14:paraId="500DC920" w14:textId="77777777" w:rsidTr="0069763E">
        <w:tc>
          <w:tcPr>
            <w:tcW w:w="938" w:type="pct"/>
          </w:tcPr>
          <w:p w14:paraId="12512895" w14:textId="77777777" w:rsidR="00FA2FF9" w:rsidRPr="00730DE4" w:rsidRDefault="00FA2FF9" w:rsidP="0069763E">
            <w:pPr>
              <w:pStyle w:val="NoSpacing"/>
              <w:rPr>
                <w:lang w:val="en-US"/>
              </w:rPr>
            </w:pPr>
            <w:r w:rsidRPr="00730DE4">
              <w:rPr>
                <w:lang w:val="en-US"/>
              </w:rPr>
              <w:t>BIM</w:t>
            </w:r>
          </w:p>
        </w:tc>
        <w:tc>
          <w:tcPr>
            <w:tcW w:w="4063" w:type="pct"/>
          </w:tcPr>
          <w:p w14:paraId="4E8E9C44" w14:textId="77777777" w:rsidR="00FA2FF9" w:rsidRPr="00730DE4" w:rsidRDefault="00FA2FF9" w:rsidP="0069763E">
            <w:pPr>
              <w:pStyle w:val="NoSpacing"/>
              <w:rPr>
                <w:lang w:val="en-US"/>
              </w:rPr>
            </w:pPr>
            <w:r w:rsidRPr="00730DE4">
              <w:rPr>
                <w:lang w:val="en-US"/>
              </w:rPr>
              <w:t>Building Information Modelling</w:t>
            </w:r>
          </w:p>
        </w:tc>
      </w:tr>
      <w:tr w:rsidR="00FA2FF9" w:rsidRPr="00730DE4" w14:paraId="478D169A" w14:textId="77777777" w:rsidTr="0069763E">
        <w:trPr>
          <w:cnfStyle w:val="000000100000" w:firstRow="0" w:lastRow="0" w:firstColumn="0" w:lastColumn="0" w:oddVBand="0" w:evenVBand="0" w:oddHBand="1" w:evenHBand="0" w:firstRowFirstColumn="0" w:firstRowLastColumn="0" w:lastRowFirstColumn="0" w:lastRowLastColumn="0"/>
        </w:trPr>
        <w:tc>
          <w:tcPr>
            <w:tcW w:w="938" w:type="pct"/>
          </w:tcPr>
          <w:p w14:paraId="3BE9A418" w14:textId="77777777" w:rsidR="00FA2FF9" w:rsidRPr="00730DE4" w:rsidRDefault="00FA2FF9" w:rsidP="0069763E">
            <w:pPr>
              <w:pStyle w:val="NoSpacing"/>
              <w:rPr>
                <w:lang w:val="en-US"/>
              </w:rPr>
            </w:pPr>
            <w:r w:rsidRPr="00730DE4">
              <w:rPr>
                <w:lang w:val="en-US"/>
              </w:rPr>
              <w:t>BIS</w:t>
            </w:r>
          </w:p>
        </w:tc>
        <w:tc>
          <w:tcPr>
            <w:tcW w:w="4063" w:type="pct"/>
          </w:tcPr>
          <w:p w14:paraId="0D4913E6" w14:textId="77777777" w:rsidR="00FA2FF9" w:rsidRPr="00730DE4" w:rsidRDefault="00FA2FF9" w:rsidP="0069763E">
            <w:pPr>
              <w:pStyle w:val="NoSpacing"/>
              <w:rPr>
                <w:lang w:val="en-US"/>
              </w:rPr>
            </w:pPr>
            <w:r w:rsidRPr="00730DE4">
              <w:rPr>
                <w:lang w:val="en-US"/>
              </w:rPr>
              <w:t>Bridge Information System</w:t>
            </w:r>
          </w:p>
        </w:tc>
      </w:tr>
      <w:tr w:rsidR="00FA2FF9" w:rsidRPr="00730DE4" w14:paraId="77CBF21F" w14:textId="77777777" w:rsidTr="0069763E">
        <w:tc>
          <w:tcPr>
            <w:tcW w:w="938" w:type="pct"/>
          </w:tcPr>
          <w:p w14:paraId="0AA8E6B1" w14:textId="77777777" w:rsidR="00FA2FF9" w:rsidRPr="00730DE4" w:rsidRDefault="00FA2FF9" w:rsidP="0069763E">
            <w:pPr>
              <w:pStyle w:val="NoSpacing"/>
              <w:rPr>
                <w:lang w:val="en-US"/>
              </w:rPr>
            </w:pPr>
            <w:r w:rsidRPr="00730DE4">
              <w:rPr>
                <w:lang w:val="en-US"/>
              </w:rPr>
              <w:t>CA</w:t>
            </w:r>
          </w:p>
        </w:tc>
        <w:tc>
          <w:tcPr>
            <w:tcW w:w="4063" w:type="pct"/>
          </w:tcPr>
          <w:p w14:paraId="0CA6D87D" w14:textId="77777777" w:rsidR="00FA2FF9" w:rsidRPr="00730DE4" w:rsidRDefault="00FA2FF9" w:rsidP="0069763E">
            <w:pPr>
              <w:pStyle w:val="NoSpacing"/>
              <w:rPr>
                <w:lang w:val="en-US"/>
              </w:rPr>
            </w:pPr>
            <w:r w:rsidRPr="00730DE4">
              <w:rPr>
                <w:lang w:val="en-US"/>
              </w:rPr>
              <w:t>Chief Auditor</w:t>
            </w:r>
          </w:p>
        </w:tc>
      </w:tr>
      <w:tr w:rsidR="00FA2FF9" w:rsidRPr="00730DE4" w14:paraId="595A1473" w14:textId="77777777" w:rsidTr="0069763E">
        <w:trPr>
          <w:cnfStyle w:val="000000100000" w:firstRow="0" w:lastRow="0" w:firstColumn="0" w:lastColumn="0" w:oddVBand="0" w:evenVBand="0" w:oddHBand="1" w:evenHBand="0" w:firstRowFirstColumn="0" w:firstRowLastColumn="0" w:lastRowFirstColumn="0" w:lastRowLastColumn="0"/>
        </w:trPr>
        <w:tc>
          <w:tcPr>
            <w:tcW w:w="938" w:type="pct"/>
          </w:tcPr>
          <w:p w14:paraId="661490BC" w14:textId="77777777" w:rsidR="00FA2FF9" w:rsidRPr="00730DE4" w:rsidRDefault="00FA2FF9" w:rsidP="0069763E">
            <w:pPr>
              <w:pStyle w:val="NoSpacing"/>
              <w:rPr>
                <w:lang w:val="en-US"/>
              </w:rPr>
            </w:pPr>
            <w:r w:rsidRPr="00730DE4">
              <w:rPr>
                <w:lang w:val="en-US"/>
              </w:rPr>
              <w:t>CAA</w:t>
            </w:r>
          </w:p>
        </w:tc>
        <w:tc>
          <w:tcPr>
            <w:tcW w:w="4063" w:type="pct"/>
          </w:tcPr>
          <w:p w14:paraId="3E0177B4" w14:textId="77777777" w:rsidR="00FA2FF9" w:rsidRPr="00730DE4" w:rsidRDefault="00FA2FF9" w:rsidP="0069763E">
            <w:pPr>
              <w:pStyle w:val="NoSpacing"/>
              <w:rPr>
                <w:lang w:val="en-US"/>
              </w:rPr>
            </w:pPr>
            <w:r w:rsidRPr="00730DE4">
              <w:rPr>
                <w:lang w:val="en-US"/>
              </w:rPr>
              <w:t>Corporate Administration Agency</w:t>
            </w:r>
          </w:p>
        </w:tc>
      </w:tr>
      <w:tr w:rsidR="00FA2FF9" w:rsidRPr="00730DE4" w14:paraId="006C9B96" w14:textId="77777777" w:rsidTr="0069763E">
        <w:tc>
          <w:tcPr>
            <w:tcW w:w="938" w:type="pct"/>
          </w:tcPr>
          <w:p w14:paraId="6FCF545E" w14:textId="77777777" w:rsidR="00FA2FF9" w:rsidRPr="00730DE4" w:rsidRDefault="00FA2FF9" w:rsidP="0069763E">
            <w:pPr>
              <w:pStyle w:val="NoSpacing"/>
              <w:rPr>
                <w:lang w:val="en-US"/>
              </w:rPr>
            </w:pPr>
            <w:r w:rsidRPr="00730DE4">
              <w:rPr>
                <w:lang w:val="en-US"/>
              </w:rPr>
              <w:t>CAVI</w:t>
            </w:r>
          </w:p>
        </w:tc>
        <w:tc>
          <w:tcPr>
            <w:tcW w:w="4063" w:type="pct"/>
          </w:tcPr>
          <w:p w14:paraId="7FE49D1F" w14:textId="77777777" w:rsidR="00FA2FF9" w:rsidRPr="00730DE4" w:rsidRDefault="00FA2FF9" w:rsidP="0069763E">
            <w:pPr>
              <w:pStyle w:val="NoSpacing"/>
              <w:rPr>
                <w:lang w:val="en-US"/>
              </w:rPr>
            </w:pPr>
            <w:r w:rsidRPr="00730DE4">
              <w:rPr>
                <w:lang w:val="en-US"/>
              </w:rPr>
              <w:t>Cooperative and Automated Vehicle Initiative</w:t>
            </w:r>
          </w:p>
        </w:tc>
      </w:tr>
      <w:tr w:rsidR="00FA2FF9" w:rsidRPr="00730DE4" w14:paraId="4FD61E2E" w14:textId="77777777" w:rsidTr="0069763E">
        <w:trPr>
          <w:cnfStyle w:val="000000100000" w:firstRow="0" w:lastRow="0" w:firstColumn="0" w:lastColumn="0" w:oddVBand="0" w:evenVBand="0" w:oddHBand="1" w:evenHBand="0" w:firstRowFirstColumn="0" w:firstRowLastColumn="0" w:lastRowFirstColumn="0" w:lastRowLastColumn="0"/>
        </w:trPr>
        <w:tc>
          <w:tcPr>
            <w:tcW w:w="938" w:type="pct"/>
          </w:tcPr>
          <w:p w14:paraId="61997D91" w14:textId="77777777" w:rsidR="00FA2FF9" w:rsidRPr="00730DE4" w:rsidRDefault="00FA2FF9" w:rsidP="0069763E">
            <w:pPr>
              <w:pStyle w:val="NoSpacing"/>
              <w:rPr>
                <w:lang w:val="en-US"/>
              </w:rPr>
            </w:pPr>
            <w:r w:rsidRPr="00730DE4">
              <w:rPr>
                <w:lang w:val="en-US"/>
              </w:rPr>
              <w:t>CBD</w:t>
            </w:r>
          </w:p>
        </w:tc>
        <w:tc>
          <w:tcPr>
            <w:tcW w:w="4063" w:type="pct"/>
          </w:tcPr>
          <w:p w14:paraId="587306BB" w14:textId="77777777" w:rsidR="00FA2FF9" w:rsidRPr="00730DE4" w:rsidRDefault="00FA2FF9" w:rsidP="0069763E">
            <w:pPr>
              <w:pStyle w:val="NoSpacing"/>
              <w:rPr>
                <w:lang w:val="en-US"/>
              </w:rPr>
            </w:pPr>
            <w:r w:rsidRPr="00730DE4">
              <w:rPr>
                <w:lang w:val="en-US"/>
              </w:rPr>
              <w:t>Central business district</w:t>
            </w:r>
          </w:p>
        </w:tc>
      </w:tr>
      <w:tr w:rsidR="00FA2FF9" w:rsidRPr="00730DE4" w14:paraId="1498CCE0" w14:textId="77777777" w:rsidTr="0069763E">
        <w:tc>
          <w:tcPr>
            <w:tcW w:w="938" w:type="pct"/>
          </w:tcPr>
          <w:p w14:paraId="6450BA47" w14:textId="77777777" w:rsidR="00FA2FF9" w:rsidRPr="00730DE4" w:rsidRDefault="00FA2FF9" w:rsidP="0069763E">
            <w:pPr>
              <w:pStyle w:val="NoSpacing"/>
              <w:rPr>
                <w:lang w:val="en-US"/>
              </w:rPr>
            </w:pPr>
            <w:r w:rsidRPr="00730DE4">
              <w:rPr>
                <w:lang w:val="en-US"/>
              </w:rPr>
              <w:t>CCC</w:t>
            </w:r>
          </w:p>
        </w:tc>
        <w:tc>
          <w:tcPr>
            <w:tcW w:w="4063" w:type="pct"/>
          </w:tcPr>
          <w:p w14:paraId="08072165" w14:textId="77777777" w:rsidR="00FA2FF9" w:rsidRPr="00730DE4" w:rsidRDefault="00FA2FF9" w:rsidP="0069763E">
            <w:pPr>
              <w:pStyle w:val="NoSpacing"/>
              <w:rPr>
                <w:lang w:val="en-US"/>
              </w:rPr>
            </w:pPr>
            <w:r w:rsidRPr="00730DE4">
              <w:rPr>
                <w:lang w:val="en-US"/>
              </w:rPr>
              <w:t>Crime and Corruption Commission</w:t>
            </w:r>
          </w:p>
        </w:tc>
      </w:tr>
      <w:tr w:rsidR="00FA2FF9" w:rsidRPr="00730DE4" w14:paraId="1D89A269" w14:textId="77777777" w:rsidTr="0069763E">
        <w:trPr>
          <w:cnfStyle w:val="000000100000" w:firstRow="0" w:lastRow="0" w:firstColumn="0" w:lastColumn="0" w:oddVBand="0" w:evenVBand="0" w:oddHBand="1" w:evenHBand="0" w:firstRowFirstColumn="0" w:firstRowLastColumn="0" w:lastRowFirstColumn="0" w:lastRowLastColumn="0"/>
        </w:trPr>
        <w:tc>
          <w:tcPr>
            <w:tcW w:w="938" w:type="pct"/>
          </w:tcPr>
          <w:p w14:paraId="44F87528" w14:textId="77777777" w:rsidR="00FA2FF9" w:rsidRPr="00730DE4" w:rsidRDefault="00FA2FF9" w:rsidP="0069763E">
            <w:pPr>
              <w:pStyle w:val="NoSpacing"/>
              <w:rPr>
                <w:lang w:val="en-US"/>
              </w:rPr>
            </w:pPr>
            <w:r w:rsidRPr="00730DE4">
              <w:rPr>
                <w:lang w:val="en-US"/>
              </w:rPr>
              <w:t>CCTV</w:t>
            </w:r>
          </w:p>
        </w:tc>
        <w:tc>
          <w:tcPr>
            <w:tcW w:w="4063" w:type="pct"/>
          </w:tcPr>
          <w:p w14:paraId="0AB359D3" w14:textId="77777777" w:rsidR="00FA2FF9" w:rsidRPr="00730DE4" w:rsidRDefault="00FA2FF9" w:rsidP="0069763E">
            <w:pPr>
              <w:pStyle w:val="NoSpacing"/>
              <w:rPr>
                <w:lang w:val="en-US"/>
              </w:rPr>
            </w:pPr>
            <w:r w:rsidRPr="00730DE4">
              <w:rPr>
                <w:lang w:val="en-US"/>
              </w:rPr>
              <w:t>Closed-circuit television</w:t>
            </w:r>
          </w:p>
        </w:tc>
      </w:tr>
      <w:tr w:rsidR="00FA2FF9" w:rsidRPr="00730DE4" w14:paraId="70DA8A78" w14:textId="77777777" w:rsidTr="0069763E">
        <w:tc>
          <w:tcPr>
            <w:tcW w:w="938" w:type="pct"/>
          </w:tcPr>
          <w:p w14:paraId="442856CF" w14:textId="77777777" w:rsidR="00FA2FF9" w:rsidRPr="00730DE4" w:rsidRDefault="00FA2FF9" w:rsidP="0069763E">
            <w:pPr>
              <w:pStyle w:val="NoSpacing"/>
              <w:rPr>
                <w:lang w:val="en-US"/>
              </w:rPr>
            </w:pPr>
            <w:r w:rsidRPr="00730DE4">
              <w:rPr>
                <w:lang w:val="en-US"/>
              </w:rPr>
              <w:t>CE</w:t>
            </w:r>
          </w:p>
        </w:tc>
        <w:tc>
          <w:tcPr>
            <w:tcW w:w="4063" w:type="pct"/>
          </w:tcPr>
          <w:p w14:paraId="5A9713AC" w14:textId="77777777" w:rsidR="00FA2FF9" w:rsidRPr="00730DE4" w:rsidRDefault="00FA2FF9" w:rsidP="0069763E">
            <w:pPr>
              <w:pStyle w:val="NoSpacing"/>
              <w:rPr>
                <w:lang w:val="en-US"/>
              </w:rPr>
            </w:pPr>
            <w:r w:rsidRPr="00730DE4">
              <w:rPr>
                <w:lang w:val="en-US"/>
              </w:rPr>
              <w:t>Chief Engineer</w:t>
            </w:r>
          </w:p>
        </w:tc>
      </w:tr>
      <w:tr w:rsidR="00FA2FF9" w:rsidRPr="00730DE4" w14:paraId="3C18E0BD" w14:textId="77777777" w:rsidTr="0069763E">
        <w:trPr>
          <w:cnfStyle w:val="000000100000" w:firstRow="0" w:lastRow="0" w:firstColumn="0" w:lastColumn="0" w:oddVBand="0" w:evenVBand="0" w:oddHBand="1" w:evenHBand="0" w:firstRowFirstColumn="0" w:firstRowLastColumn="0" w:lastRowFirstColumn="0" w:lastRowLastColumn="0"/>
        </w:trPr>
        <w:tc>
          <w:tcPr>
            <w:tcW w:w="938" w:type="pct"/>
          </w:tcPr>
          <w:p w14:paraId="0AFF0765" w14:textId="77777777" w:rsidR="00FA2FF9" w:rsidRPr="00730DE4" w:rsidRDefault="00FA2FF9" w:rsidP="0069763E">
            <w:pPr>
              <w:pStyle w:val="NoSpacing"/>
              <w:rPr>
                <w:lang w:val="en-US"/>
              </w:rPr>
            </w:pPr>
            <w:r w:rsidRPr="00730DE4">
              <w:rPr>
                <w:lang w:val="en-US"/>
              </w:rPr>
              <w:t>CFO</w:t>
            </w:r>
          </w:p>
        </w:tc>
        <w:tc>
          <w:tcPr>
            <w:tcW w:w="4063" w:type="pct"/>
          </w:tcPr>
          <w:p w14:paraId="74CB7372" w14:textId="77777777" w:rsidR="00FA2FF9" w:rsidRPr="00730DE4" w:rsidRDefault="00FA2FF9" w:rsidP="0069763E">
            <w:pPr>
              <w:pStyle w:val="NoSpacing"/>
              <w:rPr>
                <w:lang w:val="en-US"/>
              </w:rPr>
            </w:pPr>
            <w:r w:rsidRPr="00730DE4">
              <w:rPr>
                <w:lang w:val="en-US"/>
              </w:rPr>
              <w:t>Chief Finance Officer</w:t>
            </w:r>
          </w:p>
        </w:tc>
      </w:tr>
      <w:tr w:rsidR="00FA2FF9" w:rsidRPr="00730DE4" w14:paraId="3F31099F" w14:textId="77777777" w:rsidTr="0069763E">
        <w:tc>
          <w:tcPr>
            <w:tcW w:w="938" w:type="pct"/>
          </w:tcPr>
          <w:p w14:paraId="2172841C" w14:textId="77777777" w:rsidR="00FA2FF9" w:rsidRPr="00730DE4" w:rsidRDefault="00FA2FF9" w:rsidP="0069763E">
            <w:pPr>
              <w:pStyle w:val="NoSpacing"/>
              <w:rPr>
                <w:lang w:val="en-US"/>
              </w:rPr>
            </w:pPr>
            <w:r w:rsidRPr="00730DE4">
              <w:rPr>
                <w:lang w:val="en-US"/>
              </w:rPr>
              <w:t>Ch</w:t>
            </w:r>
          </w:p>
        </w:tc>
        <w:tc>
          <w:tcPr>
            <w:tcW w:w="4063" w:type="pct"/>
          </w:tcPr>
          <w:p w14:paraId="4142EAA8" w14:textId="77777777" w:rsidR="00FA2FF9" w:rsidRPr="00730DE4" w:rsidRDefault="00FA2FF9" w:rsidP="0069763E">
            <w:pPr>
              <w:pStyle w:val="NoSpacing"/>
              <w:rPr>
                <w:lang w:val="en-US"/>
              </w:rPr>
            </w:pPr>
            <w:r w:rsidRPr="00730DE4">
              <w:rPr>
                <w:lang w:val="en-US"/>
              </w:rPr>
              <w:t>Chief</w:t>
            </w:r>
          </w:p>
        </w:tc>
      </w:tr>
      <w:tr w:rsidR="00FA2FF9" w:rsidRPr="00730DE4" w14:paraId="45D8C1FC" w14:textId="77777777" w:rsidTr="0069763E">
        <w:trPr>
          <w:cnfStyle w:val="000000100000" w:firstRow="0" w:lastRow="0" w:firstColumn="0" w:lastColumn="0" w:oddVBand="0" w:evenVBand="0" w:oddHBand="1" w:evenHBand="0" w:firstRowFirstColumn="0" w:firstRowLastColumn="0" w:lastRowFirstColumn="0" w:lastRowLastColumn="0"/>
        </w:trPr>
        <w:tc>
          <w:tcPr>
            <w:tcW w:w="938" w:type="pct"/>
          </w:tcPr>
          <w:p w14:paraId="574AE364" w14:textId="77777777" w:rsidR="00FA2FF9" w:rsidRPr="00730DE4" w:rsidRDefault="00FA2FF9" w:rsidP="0069763E">
            <w:pPr>
              <w:pStyle w:val="NoSpacing"/>
              <w:rPr>
                <w:lang w:val="en-US"/>
              </w:rPr>
            </w:pPr>
            <w:r w:rsidRPr="00730DE4">
              <w:rPr>
                <w:lang w:val="en-US"/>
              </w:rPr>
              <w:t>CIO</w:t>
            </w:r>
          </w:p>
        </w:tc>
        <w:tc>
          <w:tcPr>
            <w:tcW w:w="4063" w:type="pct"/>
          </w:tcPr>
          <w:p w14:paraId="6F0249DE" w14:textId="77777777" w:rsidR="00FA2FF9" w:rsidRPr="00730DE4" w:rsidRDefault="00FA2FF9" w:rsidP="0069763E">
            <w:pPr>
              <w:pStyle w:val="NoSpacing"/>
              <w:rPr>
                <w:lang w:val="en-US"/>
              </w:rPr>
            </w:pPr>
            <w:r w:rsidRPr="00730DE4">
              <w:rPr>
                <w:lang w:val="en-US"/>
              </w:rPr>
              <w:t>Chief Information Officer</w:t>
            </w:r>
          </w:p>
        </w:tc>
      </w:tr>
      <w:tr w:rsidR="00FA2FF9" w:rsidRPr="00730DE4" w14:paraId="2A096B5A" w14:textId="77777777" w:rsidTr="0069763E">
        <w:tc>
          <w:tcPr>
            <w:tcW w:w="938" w:type="pct"/>
          </w:tcPr>
          <w:p w14:paraId="2796AF99" w14:textId="77777777" w:rsidR="00FA2FF9" w:rsidRPr="00730DE4" w:rsidRDefault="00FA2FF9" w:rsidP="0069763E">
            <w:pPr>
              <w:pStyle w:val="NoSpacing"/>
              <w:rPr>
                <w:lang w:val="en-US"/>
              </w:rPr>
            </w:pPr>
            <w:r w:rsidRPr="00730DE4">
              <w:rPr>
                <w:lang w:val="en-US"/>
              </w:rPr>
              <w:t>CISO</w:t>
            </w:r>
          </w:p>
        </w:tc>
        <w:tc>
          <w:tcPr>
            <w:tcW w:w="4063" w:type="pct"/>
          </w:tcPr>
          <w:p w14:paraId="5ADB4C42" w14:textId="77777777" w:rsidR="00FA2FF9" w:rsidRPr="00730DE4" w:rsidRDefault="00FA2FF9" w:rsidP="0069763E">
            <w:pPr>
              <w:pStyle w:val="NoSpacing"/>
              <w:rPr>
                <w:lang w:val="en-US"/>
              </w:rPr>
            </w:pPr>
            <w:r w:rsidRPr="00730DE4">
              <w:rPr>
                <w:lang w:val="en-US"/>
              </w:rPr>
              <w:t>Chief Information Security Officer</w:t>
            </w:r>
          </w:p>
        </w:tc>
      </w:tr>
      <w:tr w:rsidR="00FA2FF9" w:rsidRPr="00730DE4" w14:paraId="4D8B9421" w14:textId="77777777" w:rsidTr="0069763E">
        <w:trPr>
          <w:cnfStyle w:val="000000100000" w:firstRow="0" w:lastRow="0" w:firstColumn="0" w:lastColumn="0" w:oddVBand="0" w:evenVBand="0" w:oddHBand="1" w:evenHBand="0" w:firstRowFirstColumn="0" w:firstRowLastColumn="0" w:lastRowFirstColumn="0" w:lastRowLastColumn="0"/>
        </w:trPr>
        <w:tc>
          <w:tcPr>
            <w:tcW w:w="938" w:type="pct"/>
          </w:tcPr>
          <w:p w14:paraId="46681A56" w14:textId="77777777" w:rsidR="00FA2FF9" w:rsidRPr="00730DE4" w:rsidRDefault="00FA2FF9" w:rsidP="0069763E">
            <w:pPr>
              <w:pStyle w:val="NoSpacing"/>
              <w:rPr>
                <w:lang w:val="en-US"/>
              </w:rPr>
            </w:pPr>
            <w:r w:rsidRPr="00730DE4">
              <w:rPr>
                <w:lang w:val="en-US"/>
              </w:rPr>
              <w:t>CLO</w:t>
            </w:r>
          </w:p>
        </w:tc>
        <w:tc>
          <w:tcPr>
            <w:tcW w:w="4063" w:type="pct"/>
          </w:tcPr>
          <w:p w14:paraId="22C72964" w14:textId="77777777" w:rsidR="00FA2FF9" w:rsidRPr="00730DE4" w:rsidRDefault="00FA2FF9" w:rsidP="0069763E">
            <w:pPr>
              <w:pStyle w:val="NoSpacing"/>
              <w:rPr>
                <w:lang w:val="en-US"/>
              </w:rPr>
            </w:pPr>
            <w:r w:rsidRPr="00730DE4">
              <w:rPr>
                <w:lang w:val="en-US"/>
              </w:rPr>
              <w:t>Chief Legal Officer</w:t>
            </w:r>
          </w:p>
        </w:tc>
      </w:tr>
      <w:tr w:rsidR="00FA2FF9" w:rsidRPr="00730DE4" w14:paraId="164341CD" w14:textId="77777777" w:rsidTr="0069763E">
        <w:tc>
          <w:tcPr>
            <w:tcW w:w="938" w:type="pct"/>
          </w:tcPr>
          <w:p w14:paraId="7EBE95AB" w14:textId="77777777" w:rsidR="00FA2FF9" w:rsidRPr="00730DE4" w:rsidRDefault="00FA2FF9" w:rsidP="0069763E">
            <w:pPr>
              <w:pStyle w:val="NoSpacing"/>
              <w:rPr>
                <w:lang w:val="en-US"/>
              </w:rPr>
            </w:pPr>
            <w:r w:rsidRPr="00730DE4">
              <w:rPr>
                <w:lang w:val="en-US"/>
              </w:rPr>
              <w:t>COO</w:t>
            </w:r>
          </w:p>
        </w:tc>
        <w:tc>
          <w:tcPr>
            <w:tcW w:w="4063" w:type="pct"/>
          </w:tcPr>
          <w:p w14:paraId="7080BF99" w14:textId="77777777" w:rsidR="00FA2FF9" w:rsidRPr="00730DE4" w:rsidRDefault="00FA2FF9" w:rsidP="0069763E">
            <w:pPr>
              <w:pStyle w:val="NoSpacing"/>
              <w:rPr>
                <w:lang w:val="en-US"/>
              </w:rPr>
            </w:pPr>
            <w:r w:rsidRPr="00730DE4">
              <w:rPr>
                <w:lang w:val="en-US"/>
              </w:rPr>
              <w:t>Chief Operations Officer</w:t>
            </w:r>
          </w:p>
        </w:tc>
      </w:tr>
      <w:tr w:rsidR="00FA2FF9" w:rsidRPr="00730DE4" w14:paraId="38ED98DD" w14:textId="77777777" w:rsidTr="0069763E">
        <w:trPr>
          <w:cnfStyle w:val="000000100000" w:firstRow="0" w:lastRow="0" w:firstColumn="0" w:lastColumn="0" w:oddVBand="0" w:evenVBand="0" w:oddHBand="1" w:evenHBand="0" w:firstRowFirstColumn="0" w:firstRowLastColumn="0" w:lastRowFirstColumn="0" w:lastRowLastColumn="0"/>
        </w:trPr>
        <w:tc>
          <w:tcPr>
            <w:tcW w:w="938" w:type="pct"/>
          </w:tcPr>
          <w:p w14:paraId="2D401AA2" w14:textId="77777777" w:rsidR="00FA2FF9" w:rsidRPr="00730DE4" w:rsidRDefault="00FA2FF9" w:rsidP="0069763E">
            <w:pPr>
              <w:pStyle w:val="NoSpacing"/>
              <w:rPr>
                <w:lang w:val="en-US"/>
              </w:rPr>
            </w:pPr>
            <w:r w:rsidRPr="00730DE4">
              <w:rPr>
                <w:lang w:val="en-US"/>
              </w:rPr>
              <w:t>CORS</w:t>
            </w:r>
          </w:p>
        </w:tc>
        <w:tc>
          <w:tcPr>
            <w:tcW w:w="4063" w:type="pct"/>
          </w:tcPr>
          <w:p w14:paraId="0F4A856E" w14:textId="77777777" w:rsidR="00FA2FF9" w:rsidRPr="00730DE4" w:rsidRDefault="00FA2FF9" w:rsidP="0069763E">
            <w:pPr>
              <w:pStyle w:val="NoSpacing"/>
              <w:rPr>
                <w:lang w:val="en-US"/>
              </w:rPr>
            </w:pPr>
            <w:r w:rsidRPr="00730DE4">
              <w:rPr>
                <w:lang w:val="en-US"/>
              </w:rPr>
              <w:t>Continually Operating Reference Station</w:t>
            </w:r>
          </w:p>
        </w:tc>
      </w:tr>
      <w:tr w:rsidR="00FA2FF9" w:rsidRPr="00730DE4" w14:paraId="4EA65FE4" w14:textId="77777777" w:rsidTr="0069763E">
        <w:tc>
          <w:tcPr>
            <w:tcW w:w="938" w:type="pct"/>
          </w:tcPr>
          <w:p w14:paraId="0E0E3034" w14:textId="77777777" w:rsidR="00FA2FF9" w:rsidRPr="00730DE4" w:rsidRDefault="00FA2FF9" w:rsidP="0069763E">
            <w:pPr>
              <w:pStyle w:val="NoSpacing"/>
              <w:rPr>
                <w:lang w:val="en-US"/>
              </w:rPr>
            </w:pPr>
            <w:r w:rsidRPr="00730DE4">
              <w:rPr>
                <w:lang w:val="en-US"/>
              </w:rPr>
              <w:t>CPCO</w:t>
            </w:r>
          </w:p>
        </w:tc>
        <w:tc>
          <w:tcPr>
            <w:tcW w:w="4063" w:type="pct"/>
          </w:tcPr>
          <w:p w14:paraId="515BED2B" w14:textId="77777777" w:rsidR="00FA2FF9" w:rsidRPr="00730DE4" w:rsidRDefault="00FA2FF9" w:rsidP="0069763E">
            <w:pPr>
              <w:pStyle w:val="NoSpacing"/>
              <w:rPr>
                <w:lang w:val="en-US"/>
              </w:rPr>
            </w:pPr>
            <w:r w:rsidRPr="00730DE4">
              <w:rPr>
                <w:lang w:val="en-US"/>
              </w:rPr>
              <w:t>Chief People and Culture Officer</w:t>
            </w:r>
          </w:p>
        </w:tc>
      </w:tr>
      <w:tr w:rsidR="00FA2FF9" w:rsidRPr="00730DE4" w14:paraId="69FC4589" w14:textId="77777777" w:rsidTr="0069763E">
        <w:trPr>
          <w:cnfStyle w:val="000000100000" w:firstRow="0" w:lastRow="0" w:firstColumn="0" w:lastColumn="0" w:oddVBand="0" w:evenVBand="0" w:oddHBand="1" w:evenHBand="0" w:firstRowFirstColumn="0" w:firstRowLastColumn="0" w:lastRowFirstColumn="0" w:lastRowLastColumn="0"/>
        </w:trPr>
        <w:tc>
          <w:tcPr>
            <w:tcW w:w="938" w:type="pct"/>
          </w:tcPr>
          <w:p w14:paraId="5FB97C6D" w14:textId="77777777" w:rsidR="00FA2FF9" w:rsidRPr="00730DE4" w:rsidRDefault="00FA2FF9" w:rsidP="0069763E">
            <w:pPr>
              <w:pStyle w:val="NoSpacing"/>
              <w:rPr>
                <w:lang w:val="en-US"/>
              </w:rPr>
            </w:pPr>
            <w:r w:rsidRPr="00730DE4">
              <w:rPr>
                <w:lang w:val="en-US"/>
              </w:rPr>
              <w:t>CRR</w:t>
            </w:r>
          </w:p>
        </w:tc>
        <w:tc>
          <w:tcPr>
            <w:tcW w:w="4063" w:type="pct"/>
          </w:tcPr>
          <w:p w14:paraId="69E75031" w14:textId="77777777" w:rsidR="00FA2FF9" w:rsidRPr="00730DE4" w:rsidRDefault="00FA2FF9" w:rsidP="0069763E">
            <w:pPr>
              <w:pStyle w:val="NoSpacing"/>
              <w:rPr>
                <w:lang w:val="en-US"/>
              </w:rPr>
            </w:pPr>
            <w:r w:rsidRPr="00730DE4">
              <w:rPr>
                <w:lang w:val="en-US"/>
              </w:rPr>
              <w:t>Cross River Rail</w:t>
            </w:r>
          </w:p>
        </w:tc>
      </w:tr>
      <w:tr w:rsidR="00FA2FF9" w:rsidRPr="00730DE4" w14:paraId="710EEE58" w14:textId="77777777" w:rsidTr="0069763E">
        <w:tc>
          <w:tcPr>
            <w:tcW w:w="938" w:type="pct"/>
          </w:tcPr>
          <w:p w14:paraId="0E047B87" w14:textId="77777777" w:rsidR="00FA2FF9" w:rsidRPr="00730DE4" w:rsidRDefault="00FA2FF9" w:rsidP="0069763E">
            <w:pPr>
              <w:pStyle w:val="NoSpacing"/>
              <w:rPr>
                <w:lang w:val="en-US"/>
              </w:rPr>
            </w:pPr>
            <w:r w:rsidRPr="00730DE4">
              <w:rPr>
                <w:lang w:val="en-US"/>
              </w:rPr>
              <w:t>CSC</w:t>
            </w:r>
          </w:p>
        </w:tc>
        <w:tc>
          <w:tcPr>
            <w:tcW w:w="4063" w:type="pct"/>
          </w:tcPr>
          <w:p w14:paraId="5D03ACF4" w14:textId="77777777" w:rsidR="00FA2FF9" w:rsidRPr="00730DE4" w:rsidRDefault="00FA2FF9" w:rsidP="0069763E">
            <w:pPr>
              <w:pStyle w:val="NoSpacing"/>
              <w:rPr>
                <w:lang w:val="en-US"/>
              </w:rPr>
            </w:pPr>
            <w:r w:rsidRPr="00730DE4">
              <w:rPr>
                <w:lang w:val="en-US"/>
              </w:rPr>
              <w:t>Customer Service Centre</w:t>
            </w:r>
          </w:p>
        </w:tc>
      </w:tr>
      <w:tr w:rsidR="00FA2FF9" w:rsidRPr="00730DE4" w14:paraId="4538992A" w14:textId="77777777" w:rsidTr="0069763E">
        <w:trPr>
          <w:cnfStyle w:val="000000100000" w:firstRow="0" w:lastRow="0" w:firstColumn="0" w:lastColumn="0" w:oddVBand="0" w:evenVBand="0" w:oddHBand="1" w:evenHBand="0" w:firstRowFirstColumn="0" w:firstRowLastColumn="0" w:lastRowFirstColumn="0" w:lastRowLastColumn="0"/>
        </w:trPr>
        <w:tc>
          <w:tcPr>
            <w:tcW w:w="938" w:type="pct"/>
          </w:tcPr>
          <w:p w14:paraId="64DAA0C6" w14:textId="77777777" w:rsidR="00FA2FF9" w:rsidRPr="00730DE4" w:rsidRDefault="00FA2FF9" w:rsidP="0069763E">
            <w:pPr>
              <w:pStyle w:val="NoSpacing"/>
              <w:rPr>
                <w:lang w:val="en-US"/>
              </w:rPr>
            </w:pPr>
            <w:r w:rsidRPr="00730DE4">
              <w:rPr>
                <w:lang w:val="en-US"/>
              </w:rPr>
              <w:t>CSGP</w:t>
            </w:r>
          </w:p>
        </w:tc>
        <w:tc>
          <w:tcPr>
            <w:tcW w:w="4063" w:type="pct"/>
          </w:tcPr>
          <w:p w14:paraId="3256C10B" w14:textId="77777777" w:rsidR="00FA2FF9" w:rsidRPr="00730DE4" w:rsidRDefault="00FA2FF9" w:rsidP="0069763E">
            <w:pPr>
              <w:pStyle w:val="NoSpacing"/>
              <w:rPr>
                <w:lang w:val="en-US"/>
              </w:rPr>
            </w:pPr>
            <w:r w:rsidRPr="00730DE4">
              <w:rPr>
                <w:lang w:val="en-US"/>
              </w:rPr>
              <w:t>Coastal Shipping Grant Program</w:t>
            </w:r>
          </w:p>
        </w:tc>
      </w:tr>
      <w:tr w:rsidR="00FA2FF9" w:rsidRPr="00730DE4" w14:paraId="159621D9" w14:textId="77777777" w:rsidTr="0069763E">
        <w:tc>
          <w:tcPr>
            <w:tcW w:w="938" w:type="pct"/>
          </w:tcPr>
          <w:p w14:paraId="2758B5C1" w14:textId="77777777" w:rsidR="00FA2FF9" w:rsidRPr="00730DE4" w:rsidRDefault="00FA2FF9" w:rsidP="0069763E">
            <w:pPr>
              <w:pStyle w:val="NoSpacing"/>
              <w:rPr>
                <w:lang w:val="en-US"/>
              </w:rPr>
            </w:pPr>
            <w:r w:rsidRPr="00730DE4">
              <w:rPr>
                <w:lang w:val="en-US"/>
              </w:rPr>
              <w:t>CSU</w:t>
            </w:r>
          </w:p>
        </w:tc>
        <w:tc>
          <w:tcPr>
            <w:tcW w:w="4063" w:type="pct"/>
          </w:tcPr>
          <w:p w14:paraId="11416A42" w14:textId="77777777" w:rsidR="00FA2FF9" w:rsidRPr="00730DE4" w:rsidRDefault="00FA2FF9" w:rsidP="0069763E">
            <w:pPr>
              <w:pStyle w:val="NoSpacing"/>
              <w:rPr>
                <w:lang w:val="en-US"/>
              </w:rPr>
            </w:pPr>
            <w:r w:rsidRPr="00730DE4">
              <w:rPr>
                <w:lang w:val="en-US"/>
              </w:rPr>
              <w:t>Cyber Security Unit</w:t>
            </w:r>
          </w:p>
        </w:tc>
      </w:tr>
      <w:tr w:rsidR="00FA2FF9" w:rsidRPr="00730DE4" w14:paraId="61FD7193" w14:textId="77777777" w:rsidTr="0069763E">
        <w:trPr>
          <w:cnfStyle w:val="000000100000" w:firstRow="0" w:lastRow="0" w:firstColumn="0" w:lastColumn="0" w:oddVBand="0" w:evenVBand="0" w:oddHBand="1" w:evenHBand="0" w:firstRowFirstColumn="0" w:firstRowLastColumn="0" w:lastRowFirstColumn="0" w:lastRowLastColumn="0"/>
        </w:trPr>
        <w:tc>
          <w:tcPr>
            <w:tcW w:w="938" w:type="pct"/>
          </w:tcPr>
          <w:p w14:paraId="3B9D3A54" w14:textId="77777777" w:rsidR="00FA2FF9" w:rsidRPr="00730DE4" w:rsidRDefault="00FA2FF9" w:rsidP="0069763E">
            <w:pPr>
              <w:pStyle w:val="NoSpacing"/>
              <w:rPr>
                <w:lang w:val="en-US"/>
              </w:rPr>
            </w:pPr>
            <w:r w:rsidRPr="00730DE4">
              <w:rPr>
                <w:lang w:val="en-US"/>
              </w:rPr>
              <w:t>Cth</w:t>
            </w:r>
          </w:p>
        </w:tc>
        <w:tc>
          <w:tcPr>
            <w:tcW w:w="4063" w:type="pct"/>
          </w:tcPr>
          <w:p w14:paraId="19D380B5" w14:textId="77777777" w:rsidR="00FA2FF9" w:rsidRPr="00730DE4" w:rsidRDefault="00FA2FF9" w:rsidP="0069763E">
            <w:pPr>
              <w:pStyle w:val="NoSpacing"/>
              <w:rPr>
                <w:lang w:val="en-US"/>
              </w:rPr>
            </w:pPr>
            <w:r w:rsidRPr="00730DE4">
              <w:rPr>
                <w:lang w:val="en-US"/>
              </w:rPr>
              <w:t>Commonwealth</w:t>
            </w:r>
          </w:p>
        </w:tc>
      </w:tr>
      <w:tr w:rsidR="00FA2FF9" w:rsidRPr="00730DE4" w14:paraId="3E81D5E0" w14:textId="77777777" w:rsidTr="0069763E">
        <w:tc>
          <w:tcPr>
            <w:tcW w:w="938" w:type="pct"/>
          </w:tcPr>
          <w:p w14:paraId="52FAFBBA" w14:textId="77777777" w:rsidR="00FA2FF9" w:rsidRPr="00730DE4" w:rsidRDefault="00FA2FF9" w:rsidP="0069763E">
            <w:pPr>
              <w:pStyle w:val="NoSpacing"/>
              <w:rPr>
                <w:lang w:val="en-US"/>
              </w:rPr>
            </w:pPr>
            <w:r w:rsidRPr="00730DE4">
              <w:rPr>
                <w:lang w:val="en-US"/>
              </w:rPr>
              <w:t>CYRP</w:t>
            </w:r>
          </w:p>
        </w:tc>
        <w:tc>
          <w:tcPr>
            <w:tcW w:w="4063" w:type="pct"/>
          </w:tcPr>
          <w:p w14:paraId="0197FAEC" w14:textId="77777777" w:rsidR="00FA2FF9" w:rsidRPr="00730DE4" w:rsidRDefault="00FA2FF9" w:rsidP="0069763E">
            <w:pPr>
              <w:pStyle w:val="NoSpacing"/>
              <w:rPr>
                <w:lang w:val="en-US"/>
              </w:rPr>
            </w:pPr>
            <w:r w:rsidRPr="00730DE4">
              <w:rPr>
                <w:lang w:val="en-US"/>
              </w:rPr>
              <w:t>Cape York Region Package</w:t>
            </w:r>
          </w:p>
        </w:tc>
      </w:tr>
      <w:tr w:rsidR="00FA2FF9" w:rsidRPr="00730DE4" w14:paraId="0C62E3C7" w14:textId="77777777" w:rsidTr="0069763E">
        <w:trPr>
          <w:cnfStyle w:val="000000100000" w:firstRow="0" w:lastRow="0" w:firstColumn="0" w:lastColumn="0" w:oddVBand="0" w:evenVBand="0" w:oddHBand="1" w:evenHBand="0" w:firstRowFirstColumn="0" w:firstRowLastColumn="0" w:lastRowFirstColumn="0" w:lastRowLastColumn="0"/>
        </w:trPr>
        <w:tc>
          <w:tcPr>
            <w:tcW w:w="938" w:type="pct"/>
          </w:tcPr>
          <w:p w14:paraId="15F6B750" w14:textId="77777777" w:rsidR="00FA2FF9" w:rsidRPr="00730DE4" w:rsidRDefault="00FA2FF9" w:rsidP="0069763E">
            <w:pPr>
              <w:pStyle w:val="NoSpacing"/>
              <w:rPr>
                <w:lang w:val="en-US"/>
              </w:rPr>
            </w:pPr>
            <w:r w:rsidRPr="00730DE4">
              <w:rPr>
                <w:lang w:val="en-US"/>
              </w:rPr>
              <w:t>DDG</w:t>
            </w:r>
          </w:p>
        </w:tc>
        <w:tc>
          <w:tcPr>
            <w:tcW w:w="4063" w:type="pct"/>
          </w:tcPr>
          <w:p w14:paraId="34E33B33" w14:textId="77777777" w:rsidR="00FA2FF9" w:rsidRPr="00730DE4" w:rsidRDefault="00FA2FF9" w:rsidP="0069763E">
            <w:pPr>
              <w:pStyle w:val="NoSpacing"/>
              <w:rPr>
                <w:lang w:val="en-US"/>
              </w:rPr>
            </w:pPr>
            <w:r w:rsidRPr="00730DE4">
              <w:rPr>
                <w:lang w:val="en-US"/>
              </w:rPr>
              <w:t>Deputy Director-General</w:t>
            </w:r>
          </w:p>
        </w:tc>
      </w:tr>
      <w:tr w:rsidR="00FA2FF9" w:rsidRPr="00730DE4" w14:paraId="43DF347B" w14:textId="77777777" w:rsidTr="0069763E">
        <w:tc>
          <w:tcPr>
            <w:tcW w:w="938" w:type="pct"/>
          </w:tcPr>
          <w:p w14:paraId="48C91160" w14:textId="77777777" w:rsidR="00FA2FF9" w:rsidRPr="00730DE4" w:rsidRDefault="00FA2FF9" w:rsidP="0069763E">
            <w:pPr>
              <w:pStyle w:val="NoSpacing"/>
              <w:rPr>
                <w:lang w:val="en-US"/>
              </w:rPr>
            </w:pPr>
            <w:r w:rsidRPr="00730DE4">
              <w:rPr>
                <w:lang w:val="en-US"/>
              </w:rPr>
              <w:t>DDOS</w:t>
            </w:r>
          </w:p>
        </w:tc>
        <w:tc>
          <w:tcPr>
            <w:tcW w:w="4063" w:type="pct"/>
          </w:tcPr>
          <w:p w14:paraId="64AC5FAC" w14:textId="77777777" w:rsidR="00FA2FF9" w:rsidRPr="00730DE4" w:rsidRDefault="00FA2FF9" w:rsidP="0069763E">
            <w:pPr>
              <w:pStyle w:val="NoSpacing"/>
              <w:rPr>
                <w:lang w:val="en-US"/>
              </w:rPr>
            </w:pPr>
            <w:r w:rsidRPr="00730DE4">
              <w:rPr>
                <w:lang w:val="en-US"/>
              </w:rPr>
              <w:t>Distributed Denial of Service</w:t>
            </w:r>
          </w:p>
        </w:tc>
      </w:tr>
      <w:tr w:rsidR="00FA2FF9" w:rsidRPr="00730DE4" w14:paraId="71CE82A7" w14:textId="77777777" w:rsidTr="0069763E">
        <w:trPr>
          <w:cnfStyle w:val="000000100000" w:firstRow="0" w:lastRow="0" w:firstColumn="0" w:lastColumn="0" w:oddVBand="0" w:evenVBand="0" w:oddHBand="1" w:evenHBand="0" w:firstRowFirstColumn="0" w:firstRowLastColumn="0" w:lastRowFirstColumn="0" w:lastRowLastColumn="0"/>
        </w:trPr>
        <w:tc>
          <w:tcPr>
            <w:tcW w:w="938" w:type="pct"/>
          </w:tcPr>
          <w:p w14:paraId="64ED3B35" w14:textId="77777777" w:rsidR="00FA2FF9" w:rsidRPr="00730DE4" w:rsidRDefault="00FA2FF9" w:rsidP="0069763E">
            <w:pPr>
              <w:pStyle w:val="NoSpacing"/>
              <w:rPr>
                <w:lang w:val="en-US"/>
              </w:rPr>
            </w:pPr>
            <w:r w:rsidRPr="00730DE4">
              <w:rPr>
                <w:lang w:val="en-US"/>
              </w:rPr>
              <w:t>DFV</w:t>
            </w:r>
          </w:p>
        </w:tc>
        <w:tc>
          <w:tcPr>
            <w:tcW w:w="4063" w:type="pct"/>
          </w:tcPr>
          <w:p w14:paraId="7C054900" w14:textId="77777777" w:rsidR="00FA2FF9" w:rsidRPr="00730DE4" w:rsidRDefault="00FA2FF9" w:rsidP="0069763E">
            <w:pPr>
              <w:pStyle w:val="NoSpacing"/>
              <w:rPr>
                <w:lang w:val="en-US"/>
              </w:rPr>
            </w:pPr>
            <w:r w:rsidRPr="00730DE4">
              <w:rPr>
                <w:lang w:val="en-US"/>
              </w:rPr>
              <w:t>Domestic and Family Violence</w:t>
            </w:r>
          </w:p>
        </w:tc>
      </w:tr>
      <w:tr w:rsidR="00FA2FF9" w:rsidRPr="00730DE4" w14:paraId="1F49187C" w14:textId="77777777" w:rsidTr="0069763E">
        <w:tc>
          <w:tcPr>
            <w:tcW w:w="938" w:type="pct"/>
          </w:tcPr>
          <w:p w14:paraId="1A773209" w14:textId="77777777" w:rsidR="00FA2FF9" w:rsidRPr="00730DE4" w:rsidRDefault="00FA2FF9" w:rsidP="0069763E">
            <w:pPr>
              <w:pStyle w:val="NoSpacing"/>
              <w:rPr>
                <w:lang w:val="en-US"/>
              </w:rPr>
            </w:pPr>
            <w:r w:rsidRPr="00730DE4">
              <w:t>DG</w:t>
            </w:r>
          </w:p>
        </w:tc>
        <w:tc>
          <w:tcPr>
            <w:tcW w:w="4063" w:type="pct"/>
          </w:tcPr>
          <w:p w14:paraId="69C7565D" w14:textId="77777777" w:rsidR="00FA2FF9" w:rsidRPr="00730DE4" w:rsidRDefault="00FA2FF9" w:rsidP="0069763E">
            <w:pPr>
              <w:pStyle w:val="NoSpacing"/>
              <w:rPr>
                <w:lang w:val="en-US"/>
              </w:rPr>
            </w:pPr>
            <w:r w:rsidRPr="00730DE4">
              <w:t>Director-General</w:t>
            </w:r>
          </w:p>
        </w:tc>
      </w:tr>
      <w:tr w:rsidR="00FA2FF9" w:rsidRPr="00730DE4" w14:paraId="2F81DF59" w14:textId="77777777" w:rsidTr="0069763E">
        <w:trPr>
          <w:cnfStyle w:val="000000100000" w:firstRow="0" w:lastRow="0" w:firstColumn="0" w:lastColumn="0" w:oddVBand="0" w:evenVBand="0" w:oddHBand="1" w:evenHBand="0" w:firstRowFirstColumn="0" w:firstRowLastColumn="0" w:lastRowFirstColumn="0" w:lastRowLastColumn="0"/>
        </w:trPr>
        <w:tc>
          <w:tcPr>
            <w:tcW w:w="938" w:type="pct"/>
          </w:tcPr>
          <w:p w14:paraId="523D19B3" w14:textId="77777777" w:rsidR="00FA2FF9" w:rsidRPr="00730DE4" w:rsidRDefault="00FA2FF9" w:rsidP="0069763E">
            <w:pPr>
              <w:pStyle w:val="NoSpacing"/>
            </w:pPr>
            <w:r w:rsidRPr="00730DE4">
              <w:t>DHLGPPW</w:t>
            </w:r>
          </w:p>
        </w:tc>
        <w:tc>
          <w:tcPr>
            <w:tcW w:w="4063" w:type="pct"/>
          </w:tcPr>
          <w:p w14:paraId="0D0FBAE7" w14:textId="77777777" w:rsidR="00FA2FF9" w:rsidRPr="00730DE4" w:rsidRDefault="00FA2FF9" w:rsidP="0069763E">
            <w:pPr>
              <w:pStyle w:val="NoSpacing"/>
            </w:pPr>
            <w:r w:rsidRPr="00730DE4">
              <w:t>Department of Housing, Local Government, Planning and Public Works</w:t>
            </w:r>
          </w:p>
        </w:tc>
      </w:tr>
      <w:tr w:rsidR="00FA2FF9" w:rsidRPr="00730DE4" w14:paraId="3383A9A0" w14:textId="77777777" w:rsidTr="0069763E">
        <w:tc>
          <w:tcPr>
            <w:tcW w:w="938" w:type="pct"/>
          </w:tcPr>
          <w:p w14:paraId="24623259" w14:textId="77777777" w:rsidR="00FA2FF9" w:rsidRPr="00730DE4" w:rsidRDefault="00FA2FF9" w:rsidP="0069763E">
            <w:pPr>
              <w:pStyle w:val="NoSpacing"/>
              <w:rPr>
                <w:lang w:val="en-US"/>
              </w:rPr>
            </w:pPr>
            <w:r w:rsidRPr="00730DE4">
              <w:rPr>
                <w:lang w:val="en-US"/>
              </w:rPr>
              <w:t>DRFA</w:t>
            </w:r>
          </w:p>
        </w:tc>
        <w:tc>
          <w:tcPr>
            <w:tcW w:w="4063" w:type="pct"/>
          </w:tcPr>
          <w:p w14:paraId="66325214" w14:textId="77777777" w:rsidR="00FA2FF9" w:rsidRPr="00730DE4" w:rsidRDefault="00FA2FF9" w:rsidP="0069763E">
            <w:pPr>
              <w:pStyle w:val="NoSpacing"/>
              <w:rPr>
                <w:lang w:val="en-US"/>
              </w:rPr>
            </w:pPr>
            <w:r w:rsidRPr="00730DE4">
              <w:rPr>
                <w:lang w:val="en-US"/>
              </w:rPr>
              <w:t>Disaster Recovery Funding Arrangements</w:t>
            </w:r>
          </w:p>
        </w:tc>
      </w:tr>
      <w:tr w:rsidR="00FA2FF9" w:rsidRPr="00730DE4" w14:paraId="015CC4C6" w14:textId="77777777" w:rsidTr="0069763E">
        <w:trPr>
          <w:cnfStyle w:val="000000100000" w:firstRow="0" w:lastRow="0" w:firstColumn="0" w:lastColumn="0" w:oddVBand="0" w:evenVBand="0" w:oddHBand="1" w:evenHBand="0" w:firstRowFirstColumn="0" w:firstRowLastColumn="0" w:lastRowFirstColumn="0" w:lastRowLastColumn="0"/>
        </w:trPr>
        <w:tc>
          <w:tcPr>
            <w:tcW w:w="938" w:type="pct"/>
          </w:tcPr>
          <w:p w14:paraId="5D0F293A" w14:textId="77777777" w:rsidR="00FA2FF9" w:rsidRPr="00730DE4" w:rsidRDefault="00FA2FF9" w:rsidP="0069763E">
            <w:pPr>
              <w:pStyle w:val="NoSpacing"/>
              <w:rPr>
                <w:lang w:val="en-US"/>
              </w:rPr>
            </w:pPr>
            <w:r w:rsidRPr="00730DE4">
              <w:rPr>
                <w:lang w:val="en-US"/>
              </w:rPr>
              <w:t>E2G</w:t>
            </w:r>
          </w:p>
        </w:tc>
        <w:tc>
          <w:tcPr>
            <w:tcW w:w="4063" w:type="pct"/>
          </w:tcPr>
          <w:p w14:paraId="29AD8890" w14:textId="77777777" w:rsidR="00FA2FF9" w:rsidRPr="00730DE4" w:rsidRDefault="00FA2FF9" w:rsidP="0069763E">
            <w:pPr>
              <w:pStyle w:val="NoSpacing"/>
              <w:rPr>
                <w:lang w:val="en-US"/>
              </w:rPr>
            </w:pPr>
            <w:r w:rsidRPr="00730DE4">
              <w:rPr>
                <w:lang w:val="en-US"/>
              </w:rPr>
              <w:t>Edmonton to Gordonvale</w:t>
            </w:r>
          </w:p>
        </w:tc>
      </w:tr>
      <w:tr w:rsidR="00FA2FF9" w:rsidRPr="00730DE4" w14:paraId="3D483EC9" w14:textId="77777777" w:rsidTr="0069763E">
        <w:tc>
          <w:tcPr>
            <w:tcW w:w="938" w:type="pct"/>
          </w:tcPr>
          <w:p w14:paraId="5EF585D8" w14:textId="77777777" w:rsidR="00FA2FF9" w:rsidRPr="00730DE4" w:rsidRDefault="00FA2FF9" w:rsidP="0069763E">
            <w:pPr>
              <w:pStyle w:val="NoSpacing"/>
              <w:rPr>
                <w:lang w:val="en-US"/>
              </w:rPr>
            </w:pPr>
            <w:r w:rsidRPr="00730DE4">
              <w:rPr>
                <w:lang w:val="en-US"/>
              </w:rPr>
              <w:t>EBITDA</w:t>
            </w:r>
          </w:p>
        </w:tc>
        <w:tc>
          <w:tcPr>
            <w:tcW w:w="4063" w:type="pct"/>
          </w:tcPr>
          <w:p w14:paraId="0C1C85DE" w14:textId="77777777" w:rsidR="00FA2FF9" w:rsidRPr="00730DE4" w:rsidRDefault="00FA2FF9" w:rsidP="0069763E">
            <w:pPr>
              <w:pStyle w:val="NoSpacing"/>
              <w:rPr>
                <w:lang w:val="en-US"/>
              </w:rPr>
            </w:pPr>
            <w:r w:rsidRPr="00730DE4">
              <w:rPr>
                <w:lang w:val="en-US"/>
              </w:rPr>
              <w:t>Earnings before interest and tax less depreciation and amortisation</w:t>
            </w:r>
          </w:p>
        </w:tc>
      </w:tr>
      <w:tr w:rsidR="00FA2FF9" w:rsidRPr="00730DE4" w14:paraId="7FF46D3D" w14:textId="77777777" w:rsidTr="0069763E">
        <w:trPr>
          <w:cnfStyle w:val="000000100000" w:firstRow="0" w:lastRow="0" w:firstColumn="0" w:lastColumn="0" w:oddVBand="0" w:evenVBand="0" w:oddHBand="1" w:evenHBand="0" w:firstRowFirstColumn="0" w:firstRowLastColumn="0" w:lastRowFirstColumn="0" w:lastRowLastColumn="0"/>
        </w:trPr>
        <w:tc>
          <w:tcPr>
            <w:tcW w:w="938" w:type="pct"/>
          </w:tcPr>
          <w:p w14:paraId="179D7426" w14:textId="77777777" w:rsidR="00FA2FF9" w:rsidRPr="00730DE4" w:rsidRDefault="00FA2FF9" w:rsidP="0069763E">
            <w:pPr>
              <w:pStyle w:val="NoSpacing"/>
              <w:rPr>
                <w:lang w:val="en-US"/>
              </w:rPr>
            </w:pPr>
            <w:r w:rsidRPr="00730DE4">
              <w:rPr>
                <w:lang w:val="en-US"/>
              </w:rPr>
              <w:t>ED</w:t>
            </w:r>
          </w:p>
        </w:tc>
        <w:tc>
          <w:tcPr>
            <w:tcW w:w="4063" w:type="pct"/>
          </w:tcPr>
          <w:p w14:paraId="0E7D8217" w14:textId="77777777" w:rsidR="00FA2FF9" w:rsidRPr="00730DE4" w:rsidRDefault="00FA2FF9" w:rsidP="0069763E">
            <w:pPr>
              <w:pStyle w:val="NoSpacing"/>
              <w:rPr>
                <w:lang w:val="en-US"/>
              </w:rPr>
            </w:pPr>
            <w:r w:rsidRPr="00730DE4">
              <w:rPr>
                <w:lang w:val="en-US"/>
              </w:rPr>
              <w:t>Executive Director</w:t>
            </w:r>
          </w:p>
        </w:tc>
      </w:tr>
      <w:tr w:rsidR="00FA2FF9" w:rsidRPr="00730DE4" w14:paraId="07BF76EE" w14:textId="77777777" w:rsidTr="0069763E">
        <w:tc>
          <w:tcPr>
            <w:tcW w:w="938" w:type="pct"/>
          </w:tcPr>
          <w:p w14:paraId="5F0FC8E6" w14:textId="77777777" w:rsidR="00FA2FF9" w:rsidRPr="00730DE4" w:rsidRDefault="00FA2FF9" w:rsidP="0069763E">
            <w:pPr>
              <w:pStyle w:val="NoSpacing"/>
              <w:rPr>
                <w:lang w:val="en-US"/>
              </w:rPr>
            </w:pPr>
            <w:r w:rsidRPr="00730DE4">
              <w:rPr>
                <w:lang w:val="en-US"/>
              </w:rPr>
              <w:t>EEO</w:t>
            </w:r>
          </w:p>
        </w:tc>
        <w:tc>
          <w:tcPr>
            <w:tcW w:w="4063" w:type="pct"/>
          </w:tcPr>
          <w:p w14:paraId="7B9B169D" w14:textId="77777777" w:rsidR="00FA2FF9" w:rsidRPr="00730DE4" w:rsidRDefault="00FA2FF9" w:rsidP="0069763E">
            <w:pPr>
              <w:pStyle w:val="NoSpacing"/>
              <w:rPr>
                <w:lang w:val="en-US"/>
              </w:rPr>
            </w:pPr>
            <w:r w:rsidRPr="00730DE4">
              <w:rPr>
                <w:lang w:val="en-US"/>
              </w:rPr>
              <w:t>Equal employment opportunities</w:t>
            </w:r>
          </w:p>
        </w:tc>
      </w:tr>
      <w:tr w:rsidR="00FA2FF9" w:rsidRPr="00730DE4" w14:paraId="5459A710" w14:textId="77777777" w:rsidTr="0069763E">
        <w:trPr>
          <w:cnfStyle w:val="000000100000" w:firstRow="0" w:lastRow="0" w:firstColumn="0" w:lastColumn="0" w:oddVBand="0" w:evenVBand="0" w:oddHBand="1" w:evenHBand="0" w:firstRowFirstColumn="0" w:firstRowLastColumn="0" w:lastRowFirstColumn="0" w:lastRowLastColumn="0"/>
        </w:trPr>
        <w:tc>
          <w:tcPr>
            <w:tcW w:w="938" w:type="pct"/>
          </w:tcPr>
          <w:p w14:paraId="57423F88" w14:textId="77777777" w:rsidR="00FA2FF9" w:rsidRPr="00730DE4" w:rsidRDefault="00FA2FF9" w:rsidP="0069763E">
            <w:pPr>
              <w:pStyle w:val="NoSpacing"/>
              <w:rPr>
                <w:lang w:val="en-US"/>
              </w:rPr>
            </w:pPr>
            <w:r w:rsidRPr="00730DE4">
              <w:rPr>
                <w:lang w:val="en-US"/>
              </w:rPr>
              <w:t>EGM</w:t>
            </w:r>
          </w:p>
        </w:tc>
        <w:tc>
          <w:tcPr>
            <w:tcW w:w="4063" w:type="pct"/>
          </w:tcPr>
          <w:p w14:paraId="238C31A7" w14:textId="77777777" w:rsidR="00FA2FF9" w:rsidRPr="00730DE4" w:rsidRDefault="00FA2FF9" w:rsidP="0069763E">
            <w:pPr>
              <w:pStyle w:val="NoSpacing"/>
              <w:rPr>
                <w:lang w:val="en-US"/>
              </w:rPr>
            </w:pPr>
            <w:r w:rsidRPr="00730DE4">
              <w:rPr>
                <w:lang w:val="en-US"/>
              </w:rPr>
              <w:t>Executive General Manager</w:t>
            </w:r>
          </w:p>
        </w:tc>
      </w:tr>
      <w:tr w:rsidR="00FA2FF9" w:rsidRPr="00730DE4" w14:paraId="09FE3DB4" w14:textId="77777777" w:rsidTr="0069763E">
        <w:tc>
          <w:tcPr>
            <w:tcW w:w="938" w:type="pct"/>
          </w:tcPr>
          <w:p w14:paraId="0E6AF106" w14:textId="77777777" w:rsidR="00FA2FF9" w:rsidRPr="00730DE4" w:rsidRDefault="00FA2FF9" w:rsidP="0069763E">
            <w:pPr>
              <w:pStyle w:val="NoSpacing"/>
              <w:rPr>
                <w:lang w:val="en-US"/>
              </w:rPr>
            </w:pPr>
            <w:r w:rsidRPr="00730DE4">
              <w:rPr>
                <w:lang w:val="en-US"/>
              </w:rPr>
              <w:t>ELT</w:t>
            </w:r>
          </w:p>
        </w:tc>
        <w:tc>
          <w:tcPr>
            <w:tcW w:w="4063" w:type="pct"/>
          </w:tcPr>
          <w:p w14:paraId="37AD2F59" w14:textId="77777777" w:rsidR="00FA2FF9" w:rsidRPr="00730DE4" w:rsidRDefault="00FA2FF9" w:rsidP="0069763E">
            <w:pPr>
              <w:pStyle w:val="NoSpacing"/>
              <w:rPr>
                <w:lang w:val="en-US"/>
              </w:rPr>
            </w:pPr>
            <w:r w:rsidRPr="00730DE4">
              <w:rPr>
                <w:lang w:val="en-US"/>
              </w:rPr>
              <w:t>Executive leadership team</w:t>
            </w:r>
          </w:p>
        </w:tc>
      </w:tr>
      <w:tr w:rsidR="00FA2FF9" w:rsidRPr="00730DE4" w14:paraId="29200CA9" w14:textId="77777777" w:rsidTr="0069763E">
        <w:trPr>
          <w:cnfStyle w:val="000000100000" w:firstRow="0" w:lastRow="0" w:firstColumn="0" w:lastColumn="0" w:oddVBand="0" w:evenVBand="0" w:oddHBand="1" w:evenHBand="0" w:firstRowFirstColumn="0" w:firstRowLastColumn="0" w:lastRowFirstColumn="0" w:lastRowLastColumn="0"/>
        </w:trPr>
        <w:tc>
          <w:tcPr>
            <w:tcW w:w="938" w:type="pct"/>
          </w:tcPr>
          <w:p w14:paraId="7991EA18" w14:textId="77777777" w:rsidR="00FA2FF9" w:rsidRPr="00730DE4" w:rsidRDefault="00FA2FF9" w:rsidP="0069763E">
            <w:pPr>
              <w:pStyle w:val="NoSpacing"/>
              <w:rPr>
                <w:lang w:val="en-US"/>
              </w:rPr>
            </w:pPr>
            <w:r w:rsidRPr="00730DE4">
              <w:rPr>
                <w:lang w:val="en-US"/>
              </w:rPr>
              <w:t>EPD</w:t>
            </w:r>
          </w:p>
        </w:tc>
        <w:tc>
          <w:tcPr>
            <w:tcW w:w="4063" w:type="pct"/>
          </w:tcPr>
          <w:p w14:paraId="6DCE9466" w14:textId="77777777" w:rsidR="00FA2FF9" w:rsidRPr="00730DE4" w:rsidRDefault="00FA2FF9" w:rsidP="0069763E">
            <w:pPr>
              <w:pStyle w:val="NoSpacing"/>
              <w:rPr>
                <w:lang w:val="en-US"/>
              </w:rPr>
            </w:pPr>
            <w:r w:rsidRPr="00730DE4">
              <w:rPr>
                <w:lang w:val="en-US"/>
              </w:rPr>
              <w:t>Executive Program Director</w:t>
            </w:r>
          </w:p>
        </w:tc>
      </w:tr>
      <w:tr w:rsidR="00FA2FF9" w:rsidRPr="00730DE4" w14:paraId="0772F629" w14:textId="77777777" w:rsidTr="0069763E">
        <w:tc>
          <w:tcPr>
            <w:tcW w:w="938" w:type="pct"/>
          </w:tcPr>
          <w:p w14:paraId="4D926FC2" w14:textId="77777777" w:rsidR="00FA2FF9" w:rsidRPr="00730DE4" w:rsidRDefault="00FA2FF9" w:rsidP="0069763E">
            <w:pPr>
              <w:pStyle w:val="NoSpacing"/>
              <w:rPr>
                <w:lang w:val="en-US"/>
              </w:rPr>
            </w:pPr>
            <w:r w:rsidRPr="00730DE4">
              <w:rPr>
                <w:lang w:val="en-US"/>
              </w:rPr>
              <w:t>ETCS</w:t>
            </w:r>
          </w:p>
        </w:tc>
        <w:tc>
          <w:tcPr>
            <w:tcW w:w="4063" w:type="pct"/>
          </w:tcPr>
          <w:p w14:paraId="05D64072" w14:textId="77777777" w:rsidR="00FA2FF9" w:rsidRPr="00730DE4" w:rsidRDefault="00FA2FF9" w:rsidP="0069763E">
            <w:pPr>
              <w:pStyle w:val="NoSpacing"/>
              <w:rPr>
                <w:lang w:val="en-US"/>
              </w:rPr>
            </w:pPr>
            <w:r w:rsidRPr="00730DE4">
              <w:rPr>
                <w:lang w:val="en-US"/>
              </w:rPr>
              <w:t>European Train Control System</w:t>
            </w:r>
          </w:p>
        </w:tc>
      </w:tr>
      <w:tr w:rsidR="00FA2FF9" w:rsidRPr="00730DE4" w14:paraId="25C4355D" w14:textId="77777777" w:rsidTr="0069763E">
        <w:trPr>
          <w:cnfStyle w:val="000000100000" w:firstRow="0" w:lastRow="0" w:firstColumn="0" w:lastColumn="0" w:oddVBand="0" w:evenVBand="0" w:oddHBand="1" w:evenHBand="0" w:firstRowFirstColumn="0" w:firstRowLastColumn="0" w:lastRowFirstColumn="0" w:lastRowLastColumn="0"/>
        </w:trPr>
        <w:tc>
          <w:tcPr>
            <w:tcW w:w="938" w:type="pct"/>
          </w:tcPr>
          <w:p w14:paraId="605A44D4" w14:textId="77777777" w:rsidR="00FA2FF9" w:rsidRPr="00730DE4" w:rsidRDefault="00FA2FF9" w:rsidP="0069763E">
            <w:pPr>
              <w:pStyle w:val="NoSpacing"/>
              <w:rPr>
                <w:lang w:val="en-US"/>
              </w:rPr>
            </w:pPr>
            <w:r w:rsidRPr="00730DE4">
              <w:rPr>
                <w:lang w:val="en-US"/>
              </w:rPr>
              <w:t>EV</w:t>
            </w:r>
          </w:p>
        </w:tc>
        <w:tc>
          <w:tcPr>
            <w:tcW w:w="4063" w:type="pct"/>
          </w:tcPr>
          <w:p w14:paraId="020F733A" w14:textId="77777777" w:rsidR="00FA2FF9" w:rsidRPr="00730DE4" w:rsidRDefault="00FA2FF9" w:rsidP="0069763E">
            <w:pPr>
              <w:pStyle w:val="NoSpacing"/>
              <w:rPr>
                <w:lang w:val="en-US"/>
              </w:rPr>
            </w:pPr>
            <w:r w:rsidRPr="00730DE4">
              <w:rPr>
                <w:lang w:val="en-US"/>
              </w:rPr>
              <w:t>Electric Vehicle</w:t>
            </w:r>
          </w:p>
        </w:tc>
      </w:tr>
      <w:tr w:rsidR="00FA2FF9" w:rsidRPr="00730DE4" w14:paraId="7CEAF844" w14:textId="77777777" w:rsidTr="0069763E">
        <w:tc>
          <w:tcPr>
            <w:tcW w:w="938" w:type="pct"/>
          </w:tcPr>
          <w:p w14:paraId="733FFA97" w14:textId="77777777" w:rsidR="00FA2FF9" w:rsidRPr="00730DE4" w:rsidRDefault="00FA2FF9" w:rsidP="0069763E">
            <w:pPr>
              <w:pStyle w:val="NoSpacing"/>
              <w:rPr>
                <w:lang w:val="en-US"/>
              </w:rPr>
            </w:pPr>
            <w:r w:rsidRPr="00730DE4">
              <w:rPr>
                <w:lang w:val="en-US"/>
              </w:rPr>
              <w:t>FAA</w:t>
            </w:r>
          </w:p>
        </w:tc>
        <w:tc>
          <w:tcPr>
            <w:tcW w:w="4063" w:type="pct"/>
          </w:tcPr>
          <w:p w14:paraId="787D6079" w14:textId="77777777" w:rsidR="00FA2FF9" w:rsidRPr="00730DE4" w:rsidRDefault="00FA2FF9" w:rsidP="0069763E">
            <w:pPr>
              <w:pStyle w:val="NoSpacing"/>
              <w:rPr>
                <w:lang w:val="en-US"/>
              </w:rPr>
            </w:pPr>
            <w:r w:rsidRPr="00730DE4">
              <w:rPr>
                <w:lang w:val="en-US"/>
              </w:rPr>
              <w:t>Financial Accountability Act</w:t>
            </w:r>
          </w:p>
        </w:tc>
      </w:tr>
      <w:tr w:rsidR="00FA2FF9" w:rsidRPr="00730DE4" w14:paraId="4F2F3D66" w14:textId="77777777" w:rsidTr="0069763E">
        <w:trPr>
          <w:cnfStyle w:val="000000100000" w:firstRow="0" w:lastRow="0" w:firstColumn="0" w:lastColumn="0" w:oddVBand="0" w:evenVBand="0" w:oddHBand="1" w:evenHBand="0" w:firstRowFirstColumn="0" w:firstRowLastColumn="0" w:lastRowFirstColumn="0" w:lastRowLastColumn="0"/>
        </w:trPr>
        <w:tc>
          <w:tcPr>
            <w:tcW w:w="938" w:type="pct"/>
          </w:tcPr>
          <w:p w14:paraId="5D4341B6" w14:textId="77777777" w:rsidR="00FA2FF9" w:rsidRPr="00730DE4" w:rsidRDefault="00FA2FF9" w:rsidP="0069763E">
            <w:pPr>
              <w:pStyle w:val="NoSpacing"/>
              <w:rPr>
                <w:lang w:val="en-US"/>
              </w:rPr>
            </w:pPr>
            <w:r w:rsidRPr="00730DE4">
              <w:rPr>
                <w:lang w:val="en-US"/>
              </w:rPr>
              <w:t>FPMS</w:t>
            </w:r>
          </w:p>
        </w:tc>
        <w:tc>
          <w:tcPr>
            <w:tcW w:w="4063" w:type="pct"/>
          </w:tcPr>
          <w:p w14:paraId="783CCA71" w14:textId="77777777" w:rsidR="00FA2FF9" w:rsidRPr="00730DE4" w:rsidRDefault="00FA2FF9" w:rsidP="0069763E">
            <w:pPr>
              <w:pStyle w:val="NoSpacing"/>
              <w:rPr>
                <w:lang w:val="en-US"/>
              </w:rPr>
            </w:pPr>
            <w:r w:rsidRPr="00730DE4">
              <w:rPr>
                <w:lang w:val="en-US"/>
              </w:rPr>
              <w:t>Financial and Performance Management Standard</w:t>
            </w:r>
          </w:p>
        </w:tc>
      </w:tr>
      <w:tr w:rsidR="00FA2FF9" w:rsidRPr="00730DE4" w14:paraId="50B567EB" w14:textId="77777777" w:rsidTr="0069763E">
        <w:tc>
          <w:tcPr>
            <w:tcW w:w="938" w:type="pct"/>
          </w:tcPr>
          <w:p w14:paraId="62533EB4" w14:textId="77777777" w:rsidR="00FA2FF9" w:rsidRPr="00730DE4" w:rsidRDefault="00FA2FF9" w:rsidP="0069763E">
            <w:pPr>
              <w:pStyle w:val="NoSpacing"/>
              <w:rPr>
                <w:lang w:val="en-US"/>
              </w:rPr>
            </w:pPr>
            <w:r w:rsidRPr="00730DE4">
              <w:rPr>
                <w:lang w:val="en-US"/>
              </w:rPr>
              <w:t>FTE</w:t>
            </w:r>
          </w:p>
        </w:tc>
        <w:tc>
          <w:tcPr>
            <w:tcW w:w="4063" w:type="pct"/>
          </w:tcPr>
          <w:p w14:paraId="2E9978A0" w14:textId="77777777" w:rsidR="00FA2FF9" w:rsidRPr="00730DE4" w:rsidRDefault="00FA2FF9" w:rsidP="0069763E">
            <w:pPr>
              <w:pStyle w:val="NoSpacing"/>
              <w:rPr>
                <w:lang w:val="en-US"/>
              </w:rPr>
            </w:pPr>
            <w:r w:rsidRPr="00730DE4">
              <w:rPr>
                <w:lang w:val="en-US"/>
              </w:rPr>
              <w:t>Full-time equivalent</w:t>
            </w:r>
          </w:p>
        </w:tc>
      </w:tr>
      <w:tr w:rsidR="00FA2FF9" w:rsidRPr="00730DE4" w14:paraId="048D647B" w14:textId="77777777" w:rsidTr="0069763E">
        <w:trPr>
          <w:cnfStyle w:val="000000100000" w:firstRow="0" w:lastRow="0" w:firstColumn="0" w:lastColumn="0" w:oddVBand="0" w:evenVBand="0" w:oddHBand="1" w:evenHBand="0" w:firstRowFirstColumn="0" w:firstRowLastColumn="0" w:lastRowFirstColumn="0" w:lastRowLastColumn="0"/>
        </w:trPr>
        <w:tc>
          <w:tcPr>
            <w:tcW w:w="938" w:type="pct"/>
          </w:tcPr>
          <w:p w14:paraId="5A607B62" w14:textId="77777777" w:rsidR="00FA2FF9" w:rsidRPr="00730DE4" w:rsidRDefault="00FA2FF9" w:rsidP="0069763E">
            <w:pPr>
              <w:pStyle w:val="NoSpacing"/>
              <w:rPr>
                <w:lang w:val="en-US"/>
              </w:rPr>
            </w:pPr>
            <w:r w:rsidRPr="00730DE4">
              <w:rPr>
                <w:lang w:val="en-US"/>
              </w:rPr>
              <w:t>HALD</w:t>
            </w:r>
          </w:p>
        </w:tc>
        <w:tc>
          <w:tcPr>
            <w:tcW w:w="4063" w:type="pct"/>
          </w:tcPr>
          <w:p w14:paraId="426A56B6" w14:textId="77777777" w:rsidR="00FA2FF9" w:rsidRPr="00730DE4" w:rsidRDefault="00FA2FF9" w:rsidP="0069763E">
            <w:pPr>
              <w:pStyle w:val="NoSpacing"/>
              <w:rPr>
                <w:lang w:val="en-US"/>
              </w:rPr>
            </w:pPr>
            <w:r w:rsidRPr="00730DE4">
              <w:rPr>
                <w:lang w:val="en-US"/>
              </w:rPr>
              <w:t>Hearing Augmentation Loop Devices</w:t>
            </w:r>
          </w:p>
        </w:tc>
      </w:tr>
      <w:tr w:rsidR="00FA2FF9" w:rsidRPr="00730DE4" w14:paraId="6A35BB06" w14:textId="77777777" w:rsidTr="0069763E">
        <w:tc>
          <w:tcPr>
            <w:tcW w:w="938" w:type="pct"/>
          </w:tcPr>
          <w:p w14:paraId="3F54666D" w14:textId="77777777" w:rsidR="00FA2FF9" w:rsidRPr="00730DE4" w:rsidRDefault="00FA2FF9" w:rsidP="0069763E">
            <w:pPr>
              <w:pStyle w:val="NoSpacing"/>
              <w:rPr>
                <w:lang w:val="en-US"/>
              </w:rPr>
            </w:pPr>
            <w:r w:rsidRPr="00730DE4">
              <w:rPr>
                <w:lang w:val="en-US"/>
              </w:rPr>
              <w:t>HR</w:t>
            </w:r>
          </w:p>
        </w:tc>
        <w:tc>
          <w:tcPr>
            <w:tcW w:w="4063" w:type="pct"/>
          </w:tcPr>
          <w:p w14:paraId="23EA2FBA" w14:textId="77777777" w:rsidR="00FA2FF9" w:rsidRPr="00730DE4" w:rsidRDefault="00FA2FF9" w:rsidP="0069763E">
            <w:pPr>
              <w:pStyle w:val="NoSpacing"/>
              <w:rPr>
                <w:lang w:val="en-US"/>
              </w:rPr>
            </w:pPr>
            <w:r w:rsidRPr="00730DE4">
              <w:rPr>
                <w:lang w:val="en-US"/>
              </w:rPr>
              <w:t>Human Resources</w:t>
            </w:r>
          </w:p>
        </w:tc>
      </w:tr>
      <w:tr w:rsidR="00FA2FF9" w:rsidRPr="00730DE4" w14:paraId="5A4E929C" w14:textId="77777777" w:rsidTr="0069763E">
        <w:trPr>
          <w:cnfStyle w:val="000000100000" w:firstRow="0" w:lastRow="0" w:firstColumn="0" w:lastColumn="0" w:oddVBand="0" w:evenVBand="0" w:oddHBand="1" w:evenHBand="0" w:firstRowFirstColumn="0" w:firstRowLastColumn="0" w:lastRowFirstColumn="0" w:lastRowLastColumn="0"/>
        </w:trPr>
        <w:tc>
          <w:tcPr>
            <w:tcW w:w="938" w:type="pct"/>
          </w:tcPr>
          <w:p w14:paraId="2A54C7D2" w14:textId="77777777" w:rsidR="00FA2FF9" w:rsidRPr="00730DE4" w:rsidRDefault="00FA2FF9" w:rsidP="0069763E">
            <w:pPr>
              <w:pStyle w:val="NoSpacing"/>
              <w:rPr>
                <w:lang w:val="en-US"/>
              </w:rPr>
            </w:pPr>
            <w:r w:rsidRPr="00730DE4">
              <w:rPr>
                <w:lang w:val="en-US"/>
              </w:rPr>
              <w:t>LED</w:t>
            </w:r>
          </w:p>
        </w:tc>
        <w:tc>
          <w:tcPr>
            <w:tcW w:w="4063" w:type="pct"/>
          </w:tcPr>
          <w:p w14:paraId="118299AF" w14:textId="77777777" w:rsidR="00FA2FF9" w:rsidRPr="00730DE4" w:rsidRDefault="00FA2FF9" w:rsidP="0069763E">
            <w:pPr>
              <w:pStyle w:val="NoSpacing"/>
              <w:rPr>
                <w:lang w:val="en-US"/>
              </w:rPr>
            </w:pPr>
            <w:r w:rsidRPr="00730DE4">
              <w:rPr>
                <w:lang w:val="en-US"/>
              </w:rPr>
              <w:t>Light Emitting Diode</w:t>
            </w:r>
          </w:p>
        </w:tc>
      </w:tr>
      <w:tr w:rsidR="00FA2FF9" w:rsidRPr="00730DE4" w14:paraId="14E82AAB" w14:textId="77777777" w:rsidTr="0069763E">
        <w:tc>
          <w:tcPr>
            <w:tcW w:w="938" w:type="pct"/>
          </w:tcPr>
          <w:p w14:paraId="135B41D1" w14:textId="77777777" w:rsidR="00FA2FF9" w:rsidRPr="00730DE4" w:rsidRDefault="00FA2FF9" w:rsidP="0069763E">
            <w:pPr>
              <w:pStyle w:val="NoSpacing"/>
              <w:rPr>
                <w:lang w:val="en-US"/>
              </w:rPr>
            </w:pPr>
            <w:r w:rsidRPr="00730DE4">
              <w:rPr>
                <w:lang w:val="en-US"/>
              </w:rPr>
              <w:t>LEO</w:t>
            </w:r>
          </w:p>
        </w:tc>
        <w:tc>
          <w:tcPr>
            <w:tcW w:w="4063" w:type="pct"/>
          </w:tcPr>
          <w:p w14:paraId="2EF8ABEB" w14:textId="77777777" w:rsidR="00FA2FF9" w:rsidRPr="00730DE4" w:rsidRDefault="00FA2FF9" w:rsidP="0069763E">
            <w:pPr>
              <w:pStyle w:val="NoSpacing"/>
              <w:rPr>
                <w:lang w:val="en-US"/>
              </w:rPr>
            </w:pPr>
            <w:r w:rsidRPr="00730DE4">
              <w:rPr>
                <w:lang w:val="en-US"/>
              </w:rPr>
              <w:t>Low Earth Orbit</w:t>
            </w:r>
          </w:p>
        </w:tc>
      </w:tr>
      <w:tr w:rsidR="00FA2FF9" w:rsidRPr="00730DE4" w14:paraId="74D32DA6" w14:textId="77777777" w:rsidTr="0069763E">
        <w:trPr>
          <w:cnfStyle w:val="000000100000" w:firstRow="0" w:lastRow="0" w:firstColumn="0" w:lastColumn="0" w:oddVBand="0" w:evenVBand="0" w:oddHBand="1" w:evenHBand="0" w:firstRowFirstColumn="0" w:firstRowLastColumn="0" w:lastRowFirstColumn="0" w:lastRowLastColumn="0"/>
        </w:trPr>
        <w:tc>
          <w:tcPr>
            <w:tcW w:w="938" w:type="pct"/>
          </w:tcPr>
          <w:p w14:paraId="29B9A2DC" w14:textId="77777777" w:rsidR="00FA2FF9" w:rsidRPr="00730DE4" w:rsidRDefault="00FA2FF9" w:rsidP="0069763E">
            <w:pPr>
              <w:pStyle w:val="NoSpacing"/>
              <w:rPr>
                <w:lang w:val="en-US"/>
              </w:rPr>
            </w:pPr>
            <w:r w:rsidRPr="00730DE4">
              <w:rPr>
                <w:lang w:val="en-US"/>
              </w:rPr>
              <w:t>LFS</w:t>
            </w:r>
          </w:p>
        </w:tc>
        <w:tc>
          <w:tcPr>
            <w:tcW w:w="4063" w:type="pct"/>
          </w:tcPr>
          <w:p w14:paraId="51A9A95D" w14:textId="77777777" w:rsidR="00FA2FF9" w:rsidRPr="00730DE4" w:rsidRDefault="00FA2FF9" w:rsidP="0069763E">
            <w:pPr>
              <w:pStyle w:val="NoSpacing"/>
              <w:rPr>
                <w:lang w:val="en-US"/>
              </w:rPr>
            </w:pPr>
            <w:r w:rsidRPr="00730DE4">
              <w:rPr>
                <w:lang w:val="en-US"/>
              </w:rPr>
              <w:t>Local Fare Scheme</w:t>
            </w:r>
          </w:p>
        </w:tc>
      </w:tr>
      <w:tr w:rsidR="00FA2FF9" w:rsidRPr="00730DE4" w14:paraId="5DBCF1F5" w14:textId="77777777" w:rsidTr="0069763E">
        <w:tc>
          <w:tcPr>
            <w:tcW w:w="938" w:type="pct"/>
          </w:tcPr>
          <w:p w14:paraId="648B237A" w14:textId="77777777" w:rsidR="00FA2FF9" w:rsidRPr="00730DE4" w:rsidRDefault="00FA2FF9" w:rsidP="0069763E">
            <w:pPr>
              <w:pStyle w:val="NoSpacing"/>
              <w:rPr>
                <w:lang w:val="en-US"/>
              </w:rPr>
            </w:pPr>
            <w:r w:rsidRPr="00730DE4">
              <w:rPr>
                <w:lang w:val="en-US"/>
              </w:rPr>
              <w:t>LGC</w:t>
            </w:r>
          </w:p>
        </w:tc>
        <w:tc>
          <w:tcPr>
            <w:tcW w:w="4063" w:type="pct"/>
          </w:tcPr>
          <w:p w14:paraId="48DCE7FF" w14:textId="77777777" w:rsidR="00FA2FF9" w:rsidRPr="00730DE4" w:rsidRDefault="00FA2FF9" w:rsidP="0069763E">
            <w:pPr>
              <w:pStyle w:val="NoSpacing"/>
              <w:rPr>
                <w:lang w:val="en-US"/>
              </w:rPr>
            </w:pPr>
            <w:r w:rsidRPr="00730DE4">
              <w:rPr>
                <w:lang w:val="en-US"/>
              </w:rPr>
              <w:t>Logan and Gold Coast Faster Rail</w:t>
            </w:r>
          </w:p>
        </w:tc>
      </w:tr>
      <w:tr w:rsidR="00FA2FF9" w:rsidRPr="00730DE4" w14:paraId="2A07AB3C" w14:textId="77777777" w:rsidTr="0069763E">
        <w:trPr>
          <w:cnfStyle w:val="000000100000" w:firstRow="0" w:lastRow="0" w:firstColumn="0" w:lastColumn="0" w:oddVBand="0" w:evenVBand="0" w:oddHBand="1" w:evenHBand="0" w:firstRowFirstColumn="0" w:firstRowLastColumn="0" w:lastRowFirstColumn="0" w:lastRowLastColumn="0"/>
        </w:trPr>
        <w:tc>
          <w:tcPr>
            <w:tcW w:w="938" w:type="pct"/>
          </w:tcPr>
          <w:p w14:paraId="349B396B" w14:textId="77777777" w:rsidR="00FA2FF9" w:rsidRPr="00730DE4" w:rsidRDefault="00FA2FF9" w:rsidP="0069763E">
            <w:pPr>
              <w:pStyle w:val="NoSpacing"/>
              <w:rPr>
                <w:lang w:val="en-US"/>
              </w:rPr>
            </w:pPr>
            <w:r w:rsidRPr="00730DE4">
              <w:rPr>
                <w:lang w:val="en-US"/>
              </w:rPr>
              <w:t>LSR</w:t>
            </w:r>
          </w:p>
        </w:tc>
        <w:tc>
          <w:tcPr>
            <w:tcW w:w="4063" w:type="pct"/>
          </w:tcPr>
          <w:p w14:paraId="41F6898D" w14:textId="77777777" w:rsidR="00FA2FF9" w:rsidRPr="00730DE4" w:rsidRDefault="00FA2FF9" w:rsidP="0069763E">
            <w:pPr>
              <w:pStyle w:val="NoSpacing"/>
              <w:rPr>
                <w:lang w:val="en-US"/>
              </w:rPr>
            </w:pPr>
            <w:r w:rsidRPr="00730DE4">
              <w:rPr>
                <w:lang w:val="en-US"/>
              </w:rPr>
              <w:t>Loganlea Station Relocation</w:t>
            </w:r>
          </w:p>
        </w:tc>
      </w:tr>
      <w:tr w:rsidR="00FA2FF9" w:rsidRPr="00730DE4" w14:paraId="2EB1638C" w14:textId="77777777" w:rsidTr="0069763E">
        <w:tc>
          <w:tcPr>
            <w:tcW w:w="938" w:type="pct"/>
          </w:tcPr>
          <w:p w14:paraId="0340DB71" w14:textId="77777777" w:rsidR="00FA2FF9" w:rsidRPr="00730DE4" w:rsidRDefault="00FA2FF9" w:rsidP="0069763E">
            <w:pPr>
              <w:pStyle w:val="NoSpacing"/>
              <w:rPr>
                <w:lang w:val="en-US"/>
              </w:rPr>
            </w:pPr>
            <w:r w:rsidRPr="00730DE4">
              <w:rPr>
                <w:lang w:val="en-US"/>
              </w:rPr>
              <w:t>GCLR</w:t>
            </w:r>
          </w:p>
        </w:tc>
        <w:tc>
          <w:tcPr>
            <w:tcW w:w="4063" w:type="pct"/>
          </w:tcPr>
          <w:p w14:paraId="6A2F2BD4" w14:textId="77777777" w:rsidR="00FA2FF9" w:rsidRPr="00730DE4" w:rsidRDefault="00FA2FF9" w:rsidP="0069763E">
            <w:pPr>
              <w:pStyle w:val="NoSpacing"/>
              <w:rPr>
                <w:lang w:val="en-US"/>
              </w:rPr>
            </w:pPr>
            <w:r w:rsidRPr="00730DE4">
              <w:rPr>
                <w:lang w:val="en-US"/>
              </w:rPr>
              <w:t>Gold Coast Light Rail</w:t>
            </w:r>
          </w:p>
        </w:tc>
      </w:tr>
      <w:tr w:rsidR="00FA2FF9" w:rsidRPr="00730DE4" w14:paraId="30DA1B4E" w14:textId="77777777" w:rsidTr="0069763E">
        <w:trPr>
          <w:cnfStyle w:val="000000100000" w:firstRow="0" w:lastRow="0" w:firstColumn="0" w:lastColumn="0" w:oddVBand="0" w:evenVBand="0" w:oddHBand="1" w:evenHBand="0" w:firstRowFirstColumn="0" w:firstRowLastColumn="0" w:lastRowFirstColumn="0" w:lastRowLastColumn="0"/>
        </w:trPr>
        <w:tc>
          <w:tcPr>
            <w:tcW w:w="938" w:type="pct"/>
          </w:tcPr>
          <w:p w14:paraId="6644C22E" w14:textId="77777777" w:rsidR="00FA2FF9" w:rsidRPr="00730DE4" w:rsidRDefault="00FA2FF9" w:rsidP="0069763E">
            <w:pPr>
              <w:pStyle w:val="NoSpacing"/>
              <w:rPr>
                <w:lang w:val="en-US"/>
              </w:rPr>
            </w:pPr>
            <w:r w:rsidRPr="00730DE4">
              <w:rPr>
                <w:lang w:val="en-US"/>
              </w:rPr>
              <w:t>GIS</w:t>
            </w:r>
          </w:p>
        </w:tc>
        <w:tc>
          <w:tcPr>
            <w:tcW w:w="4063" w:type="pct"/>
          </w:tcPr>
          <w:p w14:paraId="76DA541F" w14:textId="77777777" w:rsidR="00FA2FF9" w:rsidRPr="00730DE4" w:rsidRDefault="00FA2FF9" w:rsidP="0069763E">
            <w:pPr>
              <w:pStyle w:val="NoSpacing"/>
              <w:rPr>
                <w:lang w:val="en-US"/>
              </w:rPr>
            </w:pPr>
            <w:r w:rsidRPr="00730DE4">
              <w:rPr>
                <w:lang w:val="en-US"/>
              </w:rPr>
              <w:t>Geospatial information systems</w:t>
            </w:r>
          </w:p>
        </w:tc>
      </w:tr>
      <w:tr w:rsidR="00FA2FF9" w:rsidRPr="00730DE4" w14:paraId="691FA061" w14:textId="77777777" w:rsidTr="0069763E">
        <w:tc>
          <w:tcPr>
            <w:tcW w:w="938" w:type="pct"/>
          </w:tcPr>
          <w:p w14:paraId="3A56447F" w14:textId="77777777" w:rsidR="00FA2FF9" w:rsidRPr="00730DE4" w:rsidRDefault="00FA2FF9" w:rsidP="0069763E">
            <w:pPr>
              <w:pStyle w:val="NoSpacing"/>
              <w:rPr>
                <w:lang w:val="en-US"/>
              </w:rPr>
            </w:pPr>
            <w:r w:rsidRPr="00730DE4">
              <w:rPr>
                <w:lang w:val="en-US"/>
              </w:rPr>
              <w:t>GM</w:t>
            </w:r>
          </w:p>
        </w:tc>
        <w:tc>
          <w:tcPr>
            <w:tcW w:w="4063" w:type="pct"/>
          </w:tcPr>
          <w:p w14:paraId="1A8E88B7" w14:textId="77777777" w:rsidR="00FA2FF9" w:rsidRPr="00730DE4" w:rsidRDefault="00FA2FF9" w:rsidP="0069763E">
            <w:pPr>
              <w:pStyle w:val="NoSpacing"/>
              <w:rPr>
                <w:lang w:val="en-US"/>
              </w:rPr>
            </w:pPr>
            <w:r w:rsidRPr="00730DE4">
              <w:rPr>
                <w:lang w:val="en-US"/>
              </w:rPr>
              <w:t>General Manager</w:t>
            </w:r>
          </w:p>
        </w:tc>
      </w:tr>
      <w:tr w:rsidR="00FA2FF9" w:rsidRPr="00730DE4" w14:paraId="441F6D90" w14:textId="77777777" w:rsidTr="0069763E">
        <w:trPr>
          <w:cnfStyle w:val="000000100000" w:firstRow="0" w:lastRow="0" w:firstColumn="0" w:lastColumn="0" w:oddVBand="0" w:evenVBand="0" w:oddHBand="1" w:evenHBand="0" w:firstRowFirstColumn="0" w:firstRowLastColumn="0" w:lastRowFirstColumn="0" w:lastRowLastColumn="0"/>
        </w:trPr>
        <w:tc>
          <w:tcPr>
            <w:tcW w:w="938" w:type="pct"/>
          </w:tcPr>
          <w:p w14:paraId="7D58A983" w14:textId="77777777" w:rsidR="00FA2FF9" w:rsidRPr="00730DE4" w:rsidRDefault="00FA2FF9" w:rsidP="0069763E">
            <w:pPr>
              <w:pStyle w:val="NoSpacing"/>
              <w:rPr>
                <w:lang w:val="en-US"/>
              </w:rPr>
            </w:pPr>
            <w:r w:rsidRPr="00730DE4">
              <w:rPr>
                <w:lang w:val="en-US"/>
              </w:rPr>
              <w:t>GOC</w:t>
            </w:r>
          </w:p>
        </w:tc>
        <w:tc>
          <w:tcPr>
            <w:tcW w:w="4063" w:type="pct"/>
          </w:tcPr>
          <w:p w14:paraId="4D6C0598" w14:textId="77777777" w:rsidR="00FA2FF9" w:rsidRPr="00730DE4" w:rsidRDefault="00FA2FF9" w:rsidP="0069763E">
            <w:pPr>
              <w:pStyle w:val="NoSpacing"/>
              <w:rPr>
                <w:lang w:val="en-US"/>
              </w:rPr>
            </w:pPr>
            <w:r w:rsidRPr="00730DE4">
              <w:rPr>
                <w:lang w:val="en-US"/>
              </w:rPr>
              <w:t>Government-owned corporations</w:t>
            </w:r>
          </w:p>
        </w:tc>
      </w:tr>
      <w:tr w:rsidR="00FA2FF9" w:rsidRPr="00730DE4" w14:paraId="2C6061BB" w14:textId="77777777" w:rsidTr="0069763E">
        <w:tc>
          <w:tcPr>
            <w:tcW w:w="938" w:type="pct"/>
          </w:tcPr>
          <w:p w14:paraId="04BB02E2" w14:textId="77777777" w:rsidR="00FA2FF9" w:rsidRPr="00730DE4" w:rsidRDefault="00FA2FF9" w:rsidP="0069763E">
            <w:pPr>
              <w:pStyle w:val="NoSpacing"/>
              <w:rPr>
                <w:lang w:val="en-US"/>
              </w:rPr>
            </w:pPr>
            <w:r w:rsidRPr="00730DE4">
              <w:rPr>
                <w:lang w:val="en-US"/>
              </w:rPr>
              <w:t>GST</w:t>
            </w:r>
          </w:p>
        </w:tc>
        <w:tc>
          <w:tcPr>
            <w:tcW w:w="4063" w:type="pct"/>
          </w:tcPr>
          <w:p w14:paraId="156A5C37" w14:textId="77777777" w:rsidR="00FA2FF9" w:rsidRPr="00730DE4" w:rsidRDefault="00FA2FF9" w:rsidP="0069763E">
            <w:pPr>
              <w:pStyle w:val="NoSpacing"/>
              <w:rPr>
                <w:lang w:val="en-US"/>
              </w:rPr>
            </w:pPr>
            <w:r w:rsidRPr="00730DE4">
              <w:rPr>
                <w:lang w:val="en-US"/>
              </w:rPr>
              <w:t>Goods and services tax</w:t>
            </w:r>
          </w:p>
        </w:tc>
      </w:tr>
      <w:tr w:rsidR="00FA2FF9" w:rsidRPr="00730DE4" w14:paraId="3C7F5272" w14:textId="77777777" w:rsidTr="0069763E">
        <w:trPr>
          <w:cnfStyle w:val="000000100000" w:firstRow="0" w:lastRow="0" w:firstColumn="0" w:lastColumn="0" w:oddVBand="0" w:evenVBand="0" w:oddHBand="1" w:evenHBand="0" w:firstRowFirstColumn="0" w:firstRowLastColumn="0" w:lastRowFirstColumn="0" w:lastRowLastColumn="0"/>
        </w:trPr>
        <w:tc>
          <w:tcPr>
            <w:tcW w:w="938" w:type="pct"/>
          </w:tcPr>
          <w:p w14:paraId="0891FBCF" w14:textId="77777777" w:rsidR="00FA2FF9" w:rsidRPr="00730DE4" w:rsidRDefault="00FA2FF9" w:rsidP="0069763E">
            <w:pPr>
              <w:pStyle w:val="NoSpacing"/>
              <w:rPr>
                <w:lang w:val="en-US"/>
              </w:rPr>
            </w:pPr>
            <w:r w:rsidRPr="00730DE4">
              <w:rPr>
                <w:lang w:val="en-US"/>
              </w:rPr>
              <w:t>IB</w:t>
            </w:r>
          </w:p>
        </w:tc>
        <w:tc>
          <w:tcPr>
            <w:tcW w:w="4063" w:type="pct"/>
          </w:tcPr>
          <w:p w14:paraId="6375E281" w14:textId="77777777" w:rsidR="00FA2FF9" w:rsidRPr="00730DE4" w:rsidRDefault="00FA2FF9" w:rsidP="0069763E">
            <w:pPr>
              <w:pStyle w:val="NoSpacing"/>
              <w:rPr>
                <w:lang w:val="en-US"/>
              </w:rPr>
            </w:pPr>
            <w:r w:rsidRPr="00730DE4">
              <w:rPr>
                <w:lang w:val="en-US"/>
              </w:rPr>
              <w:t>Information brokerage</w:t>
            </w:r>
          </w:p>
        </w:tc>
      </w:tr>
      <w:tr w:rsidR="00FA2FF9" w:rsidRPr="00730DE4" w14:paraId="7E93018C" w14:textId="77777777" w:rsidTr="0069763E">
        <w:tc>
          <w:tcPr>
            <w:tcW w:w="938" w:type="pct"/>
          </w:tcPr>
          <w:p w14:paraId="7B8AA23F" w14:textId="77777777" w:rsidR="00FA2FF9" w:rsidRPr="00730DE4" w:rsidRDefault="00FA2FF9" w:rsidP="0069763E">
            <w:pPr>
              <w:pStyle w:val="NoSpacing"/>
              <w:rPr>
                <w:lang w:val="en-US"/>
              </w:rPr>
            </w:pPr>
            <w:r w:rsidRPr="00730DE4">
              <w:rPr>
                <w:lang w:val="en-US"/>
              </w:rPr>
              <w:t>ICSS</w:t>
            </w:r>
          </w:p>
        </w:tc>
        <w:tc>
          <w:tcPr>
            <w:tcW w:w="4063" w:type="pct"/>
          </w:tcPr>
          <w:p w14:paraId="107F4BFE" w14:textId="77777777" w:rsidR="00FA2FF9" w:rsidRPr="00730DE4" w:rsidRDefault="00FA2FF9" w:rsidP="0069763E">
            <w:pPr>
              <w:pStyle w:val="NoSpacing"/>
              <w:rPr>
                <w:lang w:val="en-US"/>
              </w:rPr>
            </w:pPr>
            <w:r w:rsidRPr="00730DE4">
              <w:rPr>
                <w:lang w:val="en-US"/>
              </w:rPr>
              <w:t>International Customer Service Standard 2022–2025</w:t>
            </w:r>
          </w:p>
        </w:tc>
      </w:tr>
      <w:tr w:rsidR="00FA2FF9" w:rsidRPr="00730DE4" w14:paraId="38B305D9" w14:textId="77777777" w:rsidTr="0069763E">
        <w:trPr>
          <w:cnfStyle w:val="000000100000" w:firstRow="0" w:lastRow="0" w:firstColumn="0" w:lastColumn="0" w:oddVBand="0" w:evenVBand="0" w:oddHBand="1" w:evenHBand="0" w:firstRowFirstColumn="0" w:firstRowLastColumn="0" w:lastRowFirstColumn="0" w:lastRowLastColumn="0"/>
        </w:trPr>
        <w:tc>
          <w:tcPr>
            <w:tcW w:w="938" w:type="pct"/>
          </w:tcPr>
          <w:p w14:paraId="68AF537D" w14:textId="77777777" w:rsidR="00FA2FF9" w:rsidRPr="00730DE4" w:rsidRDefault="00FA2FF9" w:rsidP="0069763E">
            <w:pPr>
              <w:pStyle w:val="NoSpacing"/>
              <w:rPr>
                <w:lang w:val="en-US"/>
              </w:rPr>
            </w:pPr>
            <w:r w:rsidRPr="00730DE4">
              <w:rPr>
                <w:lang w:val="en-US"/>
              </w:rPr>
              <w:t>ICT</w:t>
            </w:r>
          </w:p>
        </w:tc>
        <w:tc>
          <w:tcPr>
            <w:tcW w:w="4063" w:type="pct"/>
          </w:tcPr>
          <w:p w14:paraId="2922D786" w14:textId="77777777" w:rsidR="00FA2FF9" w:rsidRPr="00730DE4" w:rsidRDefault="00FA2FF9" w:rsidP="0069763E">
            <w:pPr>
              <w:pStyle w:val="NoSpacing"/>
              <w:rPr>
                <w:lang w:val="en-US"/>
              </w:rPr>
            </w:pPr>
            <w:r w:rsidRPr="00730DE4">
              <w:rPr>
                <w:lang w:val="en-US"/>
              </w:rPr>
              <w:t>Information and communication technology</w:t>
            </w:r>
          </w:p>
        </w:tc>
      </w:tr>
      <w:tr w:rsidR="00FA2FF9" w:rsidRPr="00730DE4" w14:paraId="441FF943" w14:textId="77777777" w:rsidTr="0069763E">
        <w:tc>
          <w:tcPr>
            <w:tcW w:w="938" w:type="pct"/>
          </w:tcPr>
          <w:p w14:paraId="46F42B53" w14:textId="77777777" w:rsidR="00FA2FF9" w:rsidRPr="00730DE4" w:rsidRDefault="00FA2FF9" w:rsidP="0069763E">
            <w:pPr>
              <w:pStyle w:val="NoSpacing"/>
              <w:rPr>
                <w:lang w:val="en-US"/>
              </w:rPr>
            </w:pPr>
            <w:r w:rsidRPr="00730DE4">
              <w:rPr>
                <w:lang w:val="en-US"/>
              </w:rPr>
              <w:t>IM</w:t>
            </w:r>
          </w:p>
        </w:tc>
        <w:tc>
          <w:tcPr>
            <w:tcW w:w="4063" w:type="pct"/>
          </w:tcPr>
          <w:p w14:paraId="202EF2A9" w14:textId="77777777" w:rsidR="00FA2FF9" w:rsidRPr="00730DE4" w:rsidRDefault="00FA2FF9" w:rsidP="0069763E">
            <w:pPr>
              <w:pStyle w:val="NoSpacing"/>
              <w:rPr>
                <w:lang w:val="en-US"/>
              </w:rPr>
            </w:pPr>
            <w:r w:rsidRPr="00730DE4">
              <w:rPr>
                <w:lang w:val="en-US"/>
              </w:rPr>
              <w:t>Information Management</w:t>
            </w:r>
          </w:p>
        </w:tc>
      </w:tr>
      <w:tr w:rsidR="00FA2FF9" w:rsidRPr="00730DE4" w14:paraId="0C2B3EAB" w14:textId="77777777" w:rsidTr="0069763E">
        <w:trPr>
          <w:cnfStyle w:val="000000100000" w:firstRow="0" w:lastRow="0" w:firstColumn="0" w:lastColumn="0" w:oddVBand="0" w:evenVBand="0" w:oddHBand="1" w:evenHBand="0" w:firstRowFirstColumn="0" w:firstRowLastColumn="0" w:lastRowFirstColumn="0" w:lastRowLastColumn="0"/>
        </w:trPr>
        <w:tc>
          <w:tcPr>
            <w:tcW w:w="938" w:type="pct"/>
          </w:tcPr>
          <w:p w14:paraId="19AA5E34" w14:textId="77777777" w:rsidR="00FA2FF9" w:rsidRPr="00730DE4" w:rsidRDefault="00FA2FF9" w:rsidP="0069763E">
            <w:pPr>
              <w:pStyle w:val="NoSpacing"/>
              <w:rPr>
                <w:lang w:val="en-US"/>
              </w:rPr>
            </w:pPr>
            <w:r w:rsidRPr="00730DE4">
              <w:rPr>
                <w:lang w:val="en-US"/>
              </w:rPr>
              <w:t>IP Act</w:t>
            </w:r>
          </w:p>
        </w:tc>
        <w:tc>
          <w:tcPr>
            <w:tcW w:w="4063" w:type="pct"/>
          </w:tcPr>
          <w:p w14:paraId="37ECA2B8" w14:textId="77777777" w:rsidR="00FA2FF9" w:rsidRPr="00730DE4" w:rsidRDefault="00FA2FF9" w:rsidP="0069763E">
            <w:pPr>
              <w:pStyle w:val="NoSpacing"/>
              <w:rPr>
                <w:lang w:val="en-US"/>
              </w:rPr>
            </w:pPr>
            <w:r w:rsidRPr="00730DE4">
              <w:rPr>
                <w:lang w:val="en-US"/>
              </w:rPr>
              <w:t>Information Privacy Act</w:t>
            </w:r>
          </w:p>
        </w:tc>
      </w:tr>
      <w:tr w:rsidR="00FA2FF9" w:rsidRPr="00730DE4" w14:paraId="7795CF78" w14:textId="77777777" w:rsidTr="0069763E">
        <w:tc>
          <w:tcPr>
            <w:tcW w:w="938" w:type="pct"/>
          </w:tcPr>
          <w:p w14:paraId="720FE715" w14:textId="77777777" w:rsidR="00FA2FF9" w:rsidRPr="00730DE4" w:rsidRDefault="00FA2FF9" w:rsidP="0069763E">
            <w:pPr>
              <w:pStyle w:val="NoSpacing"/>
              <w:rPr>
                <w:lang w:val="en-US"/>
              </w:rPr>
            </w:pPr>
            <w:r w:rsidRPr="00730DE4">
              <w:rPr>
                <w:lang w:val="en-US"/>
              </w:rPr>
              <w:t>ISMS</w:t>
            </w:r>
          </w:p>
        </w:tc>
        <w:tc>
          <w:tcPr>
            <w:tcW w:w="4063" w:type="pct"/>
          </w:tcPr>
          <w:p w14:paraId="6720FCF9" w14:textId="77777777" w:rsidR="00FA2FF9" w:rsidRPr="00730DE4" w:rsidRDefault="00FA2FF9" w:rsidP="0069763E">
            <w:pPr>
              <w:pStyle w:val="NoSpacing"/>
              <w:rPr>
                <w:lang w:val="en-US"/>
              </w:rPr>
            </w:pPr>
            <w:r w:rsidRPr="00730DE4">
              <w:rPr>
                <w:lang w:val="en-US"/>
              </w:rPr>
              <w:t>Information Security Management System</w:t>
            </w:r>
          </w:p>
        </w:tc>
      </w:tr>
      <w:tr w:rsidR="00FA2FF9" w:rsidRPr="00730DE4" w14:paraId="47582EF5" w14:textId="77777777" w:rsidTr="0069763E">
        <w:trPr>
          <w:cnfStyle w:val="000000100000" w:firstRow="0" w:lastRow="0" w:firstColumn="0" w:lastColumn="0" w:oddVBand="0" w:evenVBand="0" w:oddHBand="1" w:evenHBand="0" w:firstRowFirstColumn="0" w:firstRowLastColumn="0" w:lastRowFirstColumn="0" w:lastRowLastColumn="0"/>
        </w:trPr>
        <w:tc>
          <w:tcPr>
            <w:tcW w:w="938" w:type="pct"/>
          </w:tcPr>
          <w:p w14:paraId="494527D4" w14:textId="77777777" w:rsidR="00FA2FF9" w:rsidRPr="00730DE4" w:rsidRDefault="00FA2FF9" w:rsidP="0069763E">
            <w:pPr>
              <w:pStyle w:val="NoSpacing"/>
              <w:rPr>
                <w:lang w:val="en-US"/>
              </w:rPr>
            </w:pPr>
            <w:r w:rsidRPr="00730DE4">
              <w:rPr>
                <w:lang w:val="en-US"/>
              </w:rPr>
              <w:t>ISO</w:t>
            </w:r>
          </w:p>
        </w:tc>
        <w:tc>
          <w:tcPr>
            <w:tcW w:w="4063" w:type="pct"/>
          </w:tcPr>
          <w:p w14:paraId="7D15C5F4" w14:textId="77777777" w:rsidR="00FA2FF9" w:rsidRPr="00730DE4" w:rsidRDefault="00FA2FF9" w:rsidP="0069763E">
            <w:pPr>
              <w:pStyle w:val="NoSpacing"/>
              <w:rPr>
                <w:lang w:val="en-US"/>
              </w:rPr>
            </w:pPr>
            <w:r w:rsidRPr="00730DE4">
              <w:rPr>
                <w:lang w:val="en-US"/>
              </w:rPr>
              <w:t>International Organisation for Standardisation</w:t>
            </w:r>
          </w:p>
        </w:tc>
      </w:tr>
      <w:tr w:rsidR="00FA2FF9" w:rsidRPr="00730DE4" w14:paraId="38164C16" w14:textId="77777777" w:rsidTr="0069763E">
        <w:tc>
          <w:tcPr>
            <w:tcW w:w="938" w:type="pct"/>
          </w:tcPr>
          <w:p w14:paraId="1D0E36A9" w14:textId="77777777" w:rsidR="00FA2FF9" w:rsidRPr="00730DE4" w:rsidRDefault="00FA2FF9" w:rsidP="0069763E">
            <w:pPr>
              <w:pStyle w:val="NoSpacing"/>
              <w:rPr>
                <w:lang w:val="en-US"/>
              </w:rPr>
            </w:pPr>
            <w:r w:rsidRPr="00730DE4">
              <w:rPr>
                <w:lang w:val="en-US"/>
              </w:rPr>
              <w:t>IT</w:t>
            </w:r>
          </w:p>
        </w:tc>
        <w:tc>
          <w:tcPr>
            <w:tcW w:w="4063" w:type="pct"/>
          </w:tcPr>
          <w:p w14:paraId="4553BA13" w14:textId="77777777" w:rsidR="00FA2FF9" w:rsidRPr="00730DE4" w:rsidRDefault="00FA2FF9" w:rsidP="0069763E">
            <w:pPr>
              <w:pStyle w:val="NoSpacing"/>
              <w:rPr>
                <w:lang w:val="en-US"/>
              </w:rPr>
            </w:pPr>
            <w:r w:rsidRPr="00730DE4">
              <w:rPr>
                <w:lang w:val="en-US"/>
              </w:rPr>
              <w:t>Information Technology</w:t>
            </w:r>
          </w:p>
        </w:tc>
      </w:tr>
      <w:tr w:rsidR="00FA2FF9" w:rsidRPr="00730DE4" w14:paraId="2821B72F" w14:textId="77777777" w:rsidTr="0069763E">
        <w:trPr>
          <w:cnfStyle w:val="000000100000" w:firstRow="0" w:lastRow="0" w:firstColumn="0" w:lastColumn="0" w:oddVBand="0" w:evenVBand="0" w:oddHBand="1" w:evenHBand="0" w:firstRowFirstColumn="0" w:firstRowLastColumn="0" w:lastRowFirstColumn="0" w:lastRowLastColumn="0"/>
        </w:trPr>
        <w:tc>
          <w:tcPr>
            <w:tcW w:w="938" w:type="pct"/>
          </w:tcPr>
          <w:p w14:paraId="4A71B205" w14:textId="77777777" w:rsidR="00FA2FF9" w:rsidRPr="00730DE4" w:rsidRDefault="00FA2FF9" w:rsidP="0069763E">
            <w:pPr>
              <w:pStyle w:val="NoSpacing"/>
              <w:rPr>
                <w:lang w:val="en-US"/>
              </w:rPr>
            </w:pPr>
            <w:r w:rsidRPr="00730DE4">
              <w:rPr>
                <w:lang w:val="en-US"/>
              </w:rPr>
              <w:t>M1</w:t>
            </w:r>
          </w:p>
        </w:tc>
        <w:tc>
          <w:tcPr>
            <w:tcW w:w="4063" w:type="pct"/>
          </w:tcPr>
          <w:p w14:paraId="06C75558" w14:textId="77777777" w:rsidR="00FA2FF9" w:rsidRPr="00730DE4" w:rsidRDefault="00FA2FF9" w:rsidP="0069763E">
            <w:pPr>
              <w:pStyle w:val="NoSpacing"/>
              <w:rPr>
                <w:lang w:val="en-US"/>
              </w:rPr>
            </w:pPr>
            <w:r w:rsidRPr="00730DE4">
              <w:rPr>
                <w:lang w:val="en-US"/>
              </w:rPr>
              <w:t>Pacific Motorway</w:t>
            </w:r>
          </w:p>
        </w:tc>
      </w:tr>
      <w:tr w:rsidR="00FA2FF9" w:rsidRPr="00730DE4" w14:paraId="7A81ADEF" w14:textId="77777777" w:rsidTr="0069763E">
        <w:tc>
          <w:tcPr>
            <w:tcW w:w="938" w:type="pct"/>
          </w:tcPr>
          <w:p w14:paraId="307D51FA" w14:textId="77777777" w:rsidR="00FA2FF9" w:rsidRPr="00730DE4" w:rsidRDefault="00FA2FF9" w:rsidP="0069763E">
            <w:pPr>
              <w:pStyle w:val="NoSpacing"/>
              <w:rPr>
                <w:lang w:val="en-US"/>
              </w:rPr>
            </w:pPr>
            <w:r w:rsidRPr="00730DE4">
              <w:rPr>
                <w:lang w:val="en-US"/>
              </w:rPr>
              <w:t>MaaS</w:t>
            </w:r>
          </w:p>
        </w:tc>
        <w:tc>
          <w:tcPr>
            <w:tcW w:w="4063" w:type="pct"/>
          </w:tcPr>
          <w:p w14:paraId="52BEBDBC" w14:textId="77777777" w:rsidR="00FA2FF9" w:rsidRPr="00730DE4" w:rsidRDefault="00FA2FF9" w:rsidP="0069763E">
            <w:pPr>
              <w:pStyle w:val="NoSpacing"/>
              <w:rPr>
                <w:lang w:val="en-US"/>
              </w:rPr>
            </w:pPr>
            <w:r w:rsidRPr="00730DE4">
              <w:rPr>
                <w:lang w:val="en-US"/>
              </w:rPr>
              <w:t>Mobility as a Service</w:t>
            </w:r>
          </w:p>
        </w:tc>
      </w:tr>
      <w:tr w:rsidR="00FA2FF9" w:rsidRPr="00730DE4" w14:paraId="54A2BBC8" w14:textId="77777777" w:rsidTr="0069763E">
        <w:trPr>
          <w:cnfStyle w:val="000000100000" w:firstRow="0" w:lastRow="0" w:firstColumn="0" w:lastColumn="0" w:oddVBand="0" w:evenVBand="0" w:oddHBand="1" w:evenHBand="0" w:firstRowFirstColumn="0" w:firstRowLastColumn="0" w:lastRowFirstColumn="0" w:lastRowLastColumn="0"/>
        </w:trPr>
        <w:tc>
          <w:tcPr>
            <w:tcW w:w="938" w:type="pct"/>
          </w:tcPr>
          <w:p w14:paraId="5BFAA574" w14:textId="77777777" w:rsidR="00FA2FF9" w:rsidRPr="00730DE4" w:rsidRDefault="00FA2FF9" w:rsidP="0069763E">
            <w:pPr>
              <w:pStyle w:val="NoSpacing"/>
              <w:rPr>
                <w:lang w:val="en-US"/>
              </w:rPr>
            </w:pPr>
            <w:r w:rsidRPr="00730DE4">
              <w:rPr>
                <w:lang w:val="en-US"/>
              </w:rPr>
              <w:t>MAIC</w:t>
            </w:r>
          </w:p>
        </w:tc>
        <w:tc>
          <w:tcPr>
            <w:tcW w:w="4063" w:type="pct"/>
          </w:tcPr>
          <w:p w14:paraId="39AA4841" w14:textId="77777777" w:rsidR="00FA2FF9" w:rsidRPr="00730DE4" w:rsidRDefault="00FA2FF9" w:rsidP="0069763E">
            <w:pPr>
              <w:pStyle w:val="NoSpacing"/>
              <w:rPr>
                <w:lang w:val="en-US"/>
              </w:rPr>
            </w:pPr>
            <w:r w:rsidRPr="00730DE4">
              <w:rPr>
                <w:lang w:val="en-US"/>
              </w:rPr>
              <w:t>Motor Accident Insurance Commission</w:t>
            </w:r>
          </w:p>
        </w:tc>
      </w:tr>
      <w:tr w:rsidR="00FA2FF9" w:rsidRPr="00730DE4" w14:paraId="3DEE3EEF" w14:textId="77777777" w:rsidTr="0069763E">
        <w:tc>
          <w:tcPr>
            <w:tcW w:w="938" w:type="pct"/>
          </w:tcPr>
          <w:p w14:paraId="020ABD27" w14:textId="77777777" w:rsidR="00FA2FF9" w:rsidRPr="00730DE4" w:rsidRDefault="00FA2FF9" w:rsidP="0069763E">
            <w:pPr>
              <w:pStyle w:val="NoSpacing"/>
              <w:rPr>
                <w:lang w:val="en-US"/>
              </w:rPr>
            </w:pPr>
            <w:r w:rsidRPr="00730DE4">
              <w:rPr>
                <w:lang w:val="en-US"/>
              </w:rPr>
              <w:t>MATE</w:t>
            </w:r>
          </w:p>
        </w:tc>
        <w:tc>
          <w:tcPr>
            <w:tcW w:w="4063" w:type="pct"/>
          </w:tcPr>
          <w:p w14:paraId="71073E4F" w14:textId="77777777" w:rsidR="00FA2FF9" w:rsidRPr="00730DE4" w:rsidRDefault="00FA2FF9" w:rsidP="0069763E">
            <w:pPr>
              <w:pStyle w:val="NoSpacing"/>
              <w:rPr>
                <w:lang w:val="en-US"/>
              </w:rPr>
            </w:pPr>
            <w:r w:rsidRPr="00730DE4">
              <w:rPr>
                <w:lang w:val="en-US"/>
              </w:rPr>
              <w:t>Motivating Action Through Empowerment</w:t>
            </w:r>
          </w:p>
        </w:tc>
      </w:tr>
      <w:tr w:rsidR="00FA2FF9" w:rsidRPr="00730DE4" w14:paraId="42022F70" w14:textId="77777777" w:rsidTr="0069763E">
        <w:trPr>
          <w:cnfStyle w:val="000000100000" w:firstRow="0" w:lastRow="0" w:firstColumn="0" w:lastColumn="0" w:oddVBand="0" w:evenVBand="0" w:oddHBand="1" w:evenHBand="0" w:firstRowFirstColumn="0" w:firstRowLastColumn="0" w:lastRowFirstColumn="0" w:lastRowLastColumn="0"/>
        </w:trPr>
        <w:tc>
          <w:tcPr>
            <w:tcW w:w="938" w:type="pct"/>
          </w:tcPr>
          <w:p w14:paraId="77F12652" w14:textId="77777777" w:rsidR="00FA2FF9" w:rsidRPr="00730DE4" w:rsidRDefault="00FA2FF9" w:rsidP="0069763E">
            <w:pPr>
              <w:pStyle w:val="NoSpacing"/>
              <w:rPr>
                <w:lang w:val="en-US"/>
              </w:rPr>
            </w:pPr>
            <w:r w:rsidRPr="00730DE4">
              <w:rPr>
                <w:lang w:val="en-US"/>
              </w:rPr>
              <w:t>MET</w:t>
            </w:r>
          </w:p>
        </w:tc>
        <w:tc>
          <w:tcPr>
            <w:tcW w:w="4063" w:type="pct"/>
          </w:tcPr>
          <w:p w14:paraId="79580D46" w14:textId="77777777" w:rsidR="00FA2FF9" w:rsidRPr="00730DE4" w:rsidRDefault="00FA2FF9" w:rsidP="0069763E">
            <w:pPr>
              <w:pStyle w:val="NoSpacing"/>
              <w:rPr>
                <w:lang w:val="en-US"/>
              </w:rPr>
            </w:pPr>
            <w:r w:rsidRPr="00730DE4">
              <w:rPr>
                <w:lang w:val="en-US"/>
              </w:rPr>
              <w:t>Maritime Enforcement Team</w:t>
            </w:r>
          </w:p>
        </w:tc>
      </w:tr>
      <w:tr w:rsidR="00FA2FF9" w:rsidRPr="00730DE4" w14:paraId="2C153331" w14:textId="77777777" w:rsidTr="0069763E">
        <w:tc>
          <w:tcPr>
            <w:tcW w:w="938" w:type="pct"/>
          </w:tcPr>
          <w:p w14:paraId="68E2C303" w14:textId="77777777" w:rsidR="00FA2FF9" w:rsidRPr="00730DE4" w:rsidRDefault="00FA2FF9" w:rsidP="0069763E">
            <w:pPr>
              <w:pStyle w:val="NoSpacing"/>
              <w:rPr>
                <w:lang w:val="en-US"/>
              </w:rPr>
            </w:pPr>
            <w:r w:rsidRPr="00730DE4">
              <w:rPr>
                <w:lang w:val="en-US"/>
              </w:rPr>
              <w:t>MIN</w:t>
            </w:r>
          </w:p>
        </w:tc>
        <w:tc>
          <w:tcPr>
            <w:tcW w:w="4063" w:type="pct"/>
          </w:tcPr>
          <w:p w14:paraId="5E60366F" w14:textId="77777777" w:rsidR="00FA2FF9" w:rsidRPr="00730DE4" w:rsidRDefault="00FA2FF9" w:rsidP="0069763E">
            <w:pPr>
              <w:pStyle w:val="NoSpacing"/>
              <w:rPr>
                <w:lang w:val="en-US"/>
              </w:rPr>
            </w:pPr>
            <w:r w:rsidRPr="00730DE4">
              <w:rPr>
                <w:lang w:val="en-US"/>
              </w:rPr>
              <w:t>Minister</w:t>
            </w:r>
          </w:p>
        </w:tc>
      </w:tr>
      <w:tr w:rsidR="00FA2FF9" w:rsidRPr="00730DE4" w14:paraId="05363226" w14:textId="77777777" w:rsidTr="0069763E">
        <w:trPr>
          <w:cnfStyle w:val="000000100000" w:firstRow="0" w:lastRow="0" w:firstColumn="0" w:lastColumn="0" w:oddVBand="0" w:evenVBand="0" w:oddHBand="1" w:evenHBand="0" w:firstRowFirstColumn="0" w:firstRowLastColumn="0" w:lastRowFirstColumn="0" w:lastRowLastColumn="0"/>
        </w:trPr>
        <w:tc>
          <w:tcPr>
            <w:tcW w:w="938" w:type="pct"/>
          </w:tcPr>
          <w:p w14:paraId="4459A3BC" w14:textId="77777777" w:rsidR="00FA2FF9" w:rsidRPr="00730DE4" w:rsidRDefault="00FA2FF9" w:rsidP="0069763E">
            <w:pPr>
              <w:pStyle w:val="NoSpacing"/>
              <w:rPr>
                <w:lang w:val="en-US"/>
              </w:rPr>
            </w:pPr>
            <w:r w:rsidRPr="00730DE4">
              <w:rPr>
                <w:lang w:val="en-US"/>
              </w:rPr>
              <w:t>MSQ</w:t>
            </w:r>
          </w:p>
        </w:tc>
        <w:tc>
          <w:tcPr>
            <w:tcW w:w="4063" w:type="pct"/>
          </w:tcPr>
          <w:p w14:paraId="3DEB4155" w14:textId="77777777" w:rsidR="00FA2FF9" w:rsidRPr="00730DE4" w:rsidRDefault="00FA2FF9" w:rsidP="0069763E">
            <w:pPr>
              <w:pStyle w:val="NoSpacing"/>
              <w:rPr>
                <w:lang w:val="en-US"/>
              </w:rPr>
            </w:pPr>
            <w:r w:rsidRPr="00730DE4">
              <w:rPr>
                <w:lang w:val="en-US"/>
              </w:rPr>
              <w:t>Maritime Safety Queensland</w:t>
            </w:r>
          </w:p>
        </w:tc>
      </w:tr>
      <w:tr w:rsidR="00FA2FF9" w:rsidRPr="00730DE4" w14:paraId="440969F0" w14:textId="77777777" w:rsidTr="0069763E">
        <w:tc>
          <w:tcPr>
            <w:tcW w:w="938" w:type="pct"/>
          </w:tcPr>
          <w:p w14:paraId="0B2E8E3C" w14:textId="77777777" w:rsidR="00FA2FF9" w:rsidRPr="00730DE4" w:rsidRDefault="00FA2FF9" w:rsidP="0069763E">
            <w:pPr>
              <w:pStyle w:val="NoSpacing"/>
              <w:rPr>
                <w:lang w:val="en-US"/>
              </w:rPr>
            </w:pPr>
            <w:r w:rsidRPr="00730DE4">
              <w:rPr>
                <w:lang w:val="en-US"/>
              </w:rPr>
              <w:t>NGR</w:t>
            </w:r>
          </w:p>
        </w:tc>
        <w:tc>
          <w:tcPr>
            <w:tcW w:w="4063" w:type="pct"/>
          </w:tcPr>
          <w:p w14:paraId="141350A4" w14:textId="77777777" w:rsidR="00FA2FF9" w:rsidRPr="00730DE4" w:rsidRDefault="00FA2FF9" w:rsidP="0069763E">
            <w:pPr>
              <w:pStyle w:val="NoSpacing"/>
              <w:rPr>
                <w:lang w:val="en-US"/>
              </w:rPr>
            </w:pPr>
            <w:r w:rsidRPr="00730DE4">
              <w:rPr>
                <w:lang w:val="en-US"/>
              </w:rPr>
              <w:t>New Generation Rollingstock</w:t>
            </w:r>
          </w:p>
        </w:tc>
      </w:tr>
      <w:tr w:rsidR="00FA2FF9" w:rsidRPr="00730DE4" w14:paraId="1E07D1F9" w14:textId="77777777" w:rsidTr="0069763E">
        <w:trPr>
          <w:cnfStyle w:val="000000100000" w:firstRow="0" w:lastRow="0" w:firstColumn="0" w:lastColumn="0" w:oddVBand="0" w:evenVBand="0" w:oddHBand="1" w:evenHBand="0" w:firstRowFirstColumn="0" w:firstRowLastColumn="0" w:lastRowFirstColumn="0" w:lastRowLastColumn="0"/>
        </w:trPr>
        <w:tc>
          <w:tcPr>
            <w:tcW w:w="938" w:type="pct"/>
          </w:tcPr>
          <w:p w14:paraId="3831E52B" w14:textId="77777777" w:rsidR="00FA2FF9" w:rsidRPr="00730DE4" w:rsidRDefault="00FA2FF9" w:rsidP="0069763E">
            <w:pPr>
              <w:pStyle w:val="NoSpacing"/>
              <w:rPr>
                <w:lang w:val="en-US"/>
              </w:rPr>
            </w:pPr>
            <w:r w:rsidRPr="00730DE4">
              <w:rPr>
                <w:lang w:val="en-US"/>
              </w:rPr>
              <w:t>NOs</w:t>
            </w:r>
          </w:p>
        </w:tc>
        <w:tc>
          <w:tcPr>
            <w:tcW w:w="4063" w:type="pct"/>
          </w:tcPr>
          <w:p w14:paraId="6D317950" w14:textId="77777777" w:rsidR="00FA2FF9" w:rsidRPr="00730DE4" w:rsidRDefault="00FA2FF9" w:rsidP="0069763E">
            <w:pPr>
              <w:pStyle w:val="NoSpacing"/>
              <w:rPr>
                <w:lang w:val="en-US"/>
              </w:rPr>
            </w:pPr>
            <w:r w:rsidRPr="00730DE4">
              <w:rPr>
                <w:lang w:val="en-US"/>
              </w:rPr>
              <w:t>Network Officers</w:t>
            </w:r>
          </w:p>
        </w:tc>
      </w:tr>
      <w:tr w:rsidR="00FA2FF9" w:rsidRPr="00730DE4" w14:paraId="722B0F88" w14:textId="77777777" w:rsidTr="0069763E">
        <w:tc>
          <w:tcPr>
            <w:tcW w:w="938" w:type="pct"/>
          </w:tcPr>
          <w:p w14:paraId="2D0F041E" w14:textId="77777777" w:rsidR="00FA2FF9" w:rsidRPr="00730DE4" w:rsidRDefault="00FA2FF9" w:rsidP="0069763E">
            <w:pPr>
              <w:pStyle w:val="NoSpacing"/>
              <w:rPr>
                <w:lang w:val="en-US"/>
              </w:rPr>
            </w:pPr>
            <w:r w:rsidRPr="00730DE4">
              <w:rPr>
                <w:lang w:val="en-US"/>
              </w:rPr>
              <w:t>NSW</w:t>
            </w:r>
          </w:p>
        </w:tc>
        <w:tc>
          <w:tcPr>
            <w:tcW w:w="4063" w:type="pct"/>
          </w:tcPr>
          <w:p w14:paraId="341DB164" w14:textId="77777777" w:rsidR="00FA2FF9" w:rsidRPr="00730DE4" w:rsidRDefault="00FA2FF9" w:rsidP="0069763E">
            <w:pPr>
              <w:pStyle w:val="NoSpacing"/>
              <w:rPr>
                <w:lang w:val="en-US"/>
              </w:rPr>
            </w:pPr>
            <w:r w:rsidRPr="00730DE4">
              <w:rPr>
                <w:lang w:val="en-US"/>
              </w:rPr>
              <w:t>New South Wales</w:t>
            </w:r>
          </w:p>
        </w:tc>
      </w:tr>
      <w:tr w:rsidR="00FA2FF9" w:rsidRPr="00730DE4" w14:paraId="64D56E63" w14:textId="77777777" w:rsidTr="0069763E">
        <w:trPr>
          <w:cnfStyle w:val="000000100000" w:firstRow="0" w:lastRow="0" w:firstColumn="0" w:lastColumn="0" w:oddVBand="0" w:evenVBand="0" w:oddHBand="1" w:evenHBand="0" w:firstRowFirstColumn="0" w:firstRowLastColumn="0" w:lastRowFirstColumn="0" w:lastRowLastColumn="0"/>
        </w:trPr>
        <w:tc>
          <w:tcPr>
            <w:tcW w:w="938" w:type="pct"/>
          </w:tcPr>
          <w:p w14:paraId="78FFDC2C" w14:textId="77777777" w:rsidR="00FA2FF9" w:rsidRPr="00730DE4" w:rsidRDefault="00FA2FF9" w:rsidP="0069763E">
            <w:pPr>
              <w:pStyle w:val="NoSpacing"/>
              <w:rPr>
                <w:lang w:val="en-US"/>
              </w:rPr>
            </w:pPr>
            <w:r w:rsidRPr="00730DE4">
              <w:rPr>
                <w:lang w:val="en-US"/>
              </w:rPr>
              <w:t>P4P</w:t>
            </w:r>
          </w:p>
        </w:tc>
        <w:tc>
          <w:tcPr>
            <w:tcW w:w="4063" w:type="pct"/>
          </w:tcPr>
          <w:p w14:paraId="0AAE8949" w14:textId="77777777" w:rsidR="00FA2FF9" w:rsidRPr="00730DE4" w:rsidRDefault="00FA2FF9" w:rsidP="0069763E">
            <w:pPr>
              <w:pStyle w:val="NoSpacing"/>
              <w:rPr>
                <w:lang w:val="en-US"/>
              </w:rPr>
            </w:pPr>
            <w:r w:rsidRPr="00730DE4">
              <w:rPr>
                <w:lang w:val="en-US"/>
              </w:rPr>
              <w:t>People 4 People</w:t>
            </w:r>
          </w:p>
        </w:tc>
      </w:tr>
      <w:tr w:rsidR="00FA2FF9" w:rsidRPr="00730DE4" w14:paraId="74030F40" w14:textId="77777777" w:rsidTr="0069763E">
        <w:tc>
          <w:tcPr>
            <w:tcW w:w="938" w:type="pct"/>
          </w:tcPr>
          <w:p w14:paraId="6AF8C6FF" w14:textId="77777777" w:rsidR="00FA2FF9" w:rsidRPr="00730DE4" w:rsidRDefault="00FA2FF9" w:rsidP="0069763E">
            <w:pPr>
              <w:pStyle w:val="NoSpacing"/>
              <w:rPr>
                <w:lang w:val="en-US"/>
              </w:rPr>
            </w:pPr>
            <w:r w:rsidRPr="00730DE4">
              <w:rPr>
                <w:lang w:val="en-US"/>
              </w:rPr>
              <w:t>PD</w:t>
            </w:r>
          </w:p>
        </w:tc>
        <w:tc>
          <w:tcPr>
            <w:tcW w:w="4063" w:type="pct"/>
          </w:tcPr>
          <w:p w14:paraId="64F70837" w14:textId="77777777" w:rsidR="00FA2FF9" w:rsidRPr="00730DE4" w:rsidRDefault="00FA2FF9" w:rsidP="0069763E">
            <w:pPr>
              <w:pStyle w:val="NoSpacing"/>
              <w:rPr>
                <w:lang w:val="en-US"/>
              </w:rPr>
            </w:pPr>
            <w:r w:rsidRPr="00730DE4">
              <w:rPr>
                <w:lang w:val="en-US"/>
              </w:rPr>
              <w:t>Program Director</w:t>
            </w:r>
          </w:p>
        </w:tc>
      </w:tr>
      <w:tr w:rsidR="00FA2FF9" w:rsidRPr="00730DE4" w14:paraId="4B96D479" w14:textId="77777777" w:rsidTr="0069763E">
        <w:trPr>
          <w:cnfStyle w:val="000000100000" w:firstRow="0" w:lastRow="0" w:firstColumn="0" w:lastColumn="0" w:oddVBand="0" w:evenVBand="0" w:oddHBand="1" w:evenHBand="0" w:firstRowFirstColumn="0" w:firstRowLastColumn="0" w:lastRowFirstColumn="0" w:lastRowLastColumn="0"/>
        </w:trPr>
        <w:tc>
          <w:tcPr>
            <w:tcW w:w="938" w:type="pct"/>
          </w:tcPr>
          <w:p w14:paraId="346D1252" w14:textId="77777777" w:rsidR="00FA2FF9" w:rsidRPr="00730DE4" w:rsidRDefault="00FA2FF9" w:rsidP="0069763E">
            <w:pPr>
              <w:pStyle w:val="NoSpacing"/>
              <w:rPr>
                <w:lang w:val="en-US"/>
              </w:rPr>
            </w:pPr>
            <w:r w:rsidRPr="00730DE4">
              <w:rPr>
                <w:lang w:val="en-US"/>
              </w:rPr>
              <w:t>PDT</w:t>
            </w:r>
          </w:p>
        </w:tc>
        <w:tc>
          <w:tcPr>
            <w:tcW w:w="4063" w:type="pct"/>
          </w:tcPr>
          <w:p w14:paraId="5764A83B" w14:textId="77777777" w:rsidR="00FA2FF9" w:rsidRPr="00730DE4" w:rsidRDefault="00FA2FF9" w:rsidP="0069763E">
            <w:pPr>
              <w:pStyle w:val="NoSpacing"/>
              <w:rPr>
                <w:lang w:val="en-US"/>
              </w:rPr>
            </w:pPr>
            <w:r w:rsidRPr="00730DE4">
              <w:rPr>
                <w:lang w:val="en-US"/>
              </w:rPr>
              <w:t>Practical Driving Tests</w:t>
            </w:r>
          </w:p>
        </w:tc>
      </w:tr>
      <w:tr w:rsidR="00FA2FF9" w:rsidRPr="00730DE4" w14:paraId="3AC54392" w14:textId="77777777" w:rsidTr="0069763E">
        <w:tc>
          <w:tcPr>
            <w:tcW w:w="938" w:type="pct"/>
          </w:tcPr>
          <w:p w14:paraId="7461F527" w14:textId="77777777" w:rsidR="00FA2FF9" w:rsidRPr="00730DE4" w:rsidRDefault="00FA2FF9" w:rsidP="0069763E">
            <w:pPr>
              <w:pStyle w:val="NoSpacing"/>
              <w:rPr>
                <w:lang w:val="en-US"/>
              </w:rPr>
            </w:pPr>
            <w:r w:rsidRPr="00730DE4">
              <w:rPr>
                <w:lang w:val="en-US"/>
              </w:rPr>
              <w:t>PIARC</w:t>
            </w:r>
          </w:p>
        </w:tc>
        <w:tc>
          <w:tcPr>
            <w:tcW w:w="4063" w:type="pct"/>
          </w:tcPr>
          <w:p w14:paraId="6D06D925" w14:textId="77777777" w:rsidR="00FA2FF9" w:rsidRPr="00730DE4" w:rsidRDefault="00FA2FF9" w:rsidP="0069763E">
            <w:pPr>
              <w:pStyle w:val="NoSpacing"/>
              <w:rPr>
                <w:lang w:val="en-US"/>
              </w:rPr>
            </w:pPr>
            <w:r w:rsidRPr="00730DE4">
              <w:rPr>
                <w:lang w:val="en-US"/>
              </w:rPr>
              <w:t>Permanent International Association of Road Congresses</w:t>
            </w:r>
          </w:p>
        </w:tc>
      </w:tr>
      <w:tr w:rsidR="00FA2FF9" w:rsidRPr="00730DE4" w14:paraId="0224E20B" w14:textId="77777777" w:rsidTr="0069763E">
        <w:trPr>
          <w:cnfStyle w:val="000000100000" w:firstRow="0" w:lastRow="0" w:firstColumn="0" w:lastColumn="0" w:oddVBand="0" w:evenVBand="0" w:oddHBand="1" w:evenHBand="0" w:firstRowFirstColumn="0" w:firstRowLastColumn="0" w:lastRowFirstColumn="0" w:lastRowLastColumn="0"/>
        </w:trPr>
        <w:tc>
          <w:tcPr>
            <w:tcW w:w="938" w:type="pct"/>
          </w:tcPr>
          <w:p w14:paraId="3CBE1DDE" w14:textId="77777777" w:rsidR="00FA2FF9" w:rsidRPr="00730DE4" w:rsidRDefault="00FA2FF9" w:rsidP="0069763E">
            <w:pPr>
              <w:pStyle w:val="NoSpacing"/>
              <w:rPr>
                <w:lang w:val="en-US"/>
              </w:rPr>
            </w:pPr>
            <w:r w:rsidRPr="00730DE4">
              <w:rPr>
                <w:lang w:val="en-US"/>
              </w:rPr>
              <w:t>PPQ</w:t>
            </w:r>
          </w:p>
        </w:tc>
        <w:tc>
          <w:tcPr>
            <w:tcW w:w="4063" w:type="pct"/>
          </w:tcPr>
          <w:p w14:paraId="648CA1B7" w14:textId="77777777" w:rsidR="00FA2FF9" w:rsidRPr="00730DE4" w:rsidRDefault="00FA2FF9" w:rsidP="0069763E">
            <w:pPr>
              <w:pStyle w:val="NoSpacing"/>
              <w:rPr>
                <w:lang w:val="en-US"/>
              </w:rPr>
            </w:pPr>
            <w:r w:rsidRPr="00730DE4">
              <w:rPr>
                <w:lang w:val="en-US"/>
              </w:rPr>
              <w:t>Personalised Plates Queensland</w:t>
            </w:r>
          </w:p>
        </w:tc>
      </w:tr>
      <w:tr w:rsidR="00FA2FF9" w:rsidRPr="00730DE4" w14:paraId="364BA657" w14:textId="77777777" w:rsidTr="0069763E">
        <w:tc>
          <w:tcPr>
            <w:tcW w:w="938" w:type="pct"/>
          </w:tcPr>
          <w:p w14:paraId="5C007D70" w14:textId="77777777" w:rsidR="00FA2FF9" w:rsidRPr="00730DE4" w:rsidRDefault="00FA2FF9" w:rsidP="0069763E">
            <w:pPr>
              <w:pStyle w:val="NoSpacing"/>
              <w:rPr>
                <w:lang w:val="en-US"/>
              </w:rPr>
            </w:pPr>
            <w:r w:rsidRPr="00730DE4">
              <w:rPr>
                <w:lang w:val="en-US"/>
              </w:rPr>
              <w:t>Pty Ltd</w:t>
            </w:r>
          </w:p>
        </w:tc>
        <w:tc>
          <w:tcPr>
            <w:tcW w:w="4063" w:type="pct"/>
          </w:tcPr>
          <w:p w14:paraId="19D9096F" w14:textId="77777777" w:rsidR="00FA2FF9" w:rsidRPr="00730DE4" w:rsidRDefault="00FA2FF9" w:rsidP="0069763E">
            <w:pPr>
              <w:pStyle w:val="NoSpacing"/>
              <w:rPr>
                <w:lang w:val="en-US"/>
              </w:rPr>
            </w:pPr>
            <w:r w:rsidRPr="00730DE4">
              <w:rPr>
                <w:lang w:val="en-US"/>
              </w:rPr>
              <w:t>Publicly owned private</w:t>
            </w:r>
          </w:p>
        </w:tc>
      </w:tr>
      <w:tr w:rsidR="00FA2FF9" w:rsidRPr="00730DE4" w14:paraId="2576A8D5" w14:textId="77777777" w:rsidTr="0069763E">
        <w:trPr>
          <w:cnfStyle w:val="000000100000" w:firstRow="0" w:lastRow="0" w:firstColumn="0" w:lastColumn="0" w:oddVBand="0" w:evenVBand="0" w:oddHBand="1" w:evenHBand="0" w:firstRowFirstColumn="0" w:firstRowLastColumn="0" w:lastRowFirstColumn="0" w:lastRowLastColumn="0"/>
        </w:trPr>
        <w:tc>
          <w:tcPr>
            <w:tcW w:w="938" w:type="pct"/>
          </w:tcPr>
          <w:p w14:paraId="0F39283B" w14:textId="77777777" w:rsidR="00FA2FF9" w:rsidRPr="00730DE4" w:rsidRDefault="00FA2FF9" w:rsidP="0069763E">
            <w:pPr>
              <w:pStyle w:val="NoSpacing"/>
              <w:rPr>
                <w:lang w:val="en-US"/>
              </w:rPr>
            </w:pPr>
            <w:r w:rsidRPr="00730DE4">
              <w:rPr>
                <w:lang w:val="en-US"/>
              </w:rPr>
              <w:t>PWC</w:t>
            </w:r>
          </w:p>
        </w:tc>
        <w:tc>
          <w:tcPr>
            <w:tcW w:w="4063" w:type="pct"/>
          </w:tcPr>
          <w:p w14:paraId="1EC923FF" w14:textId="77777777" w:rsidR="00FA2FF9" w:rsidRPr="00730DE4" w:rsidRDefault="00FA2FF9" w:rsidP="0069763E">
            <w:pPr>
              <w:pStyle w:val="NoSpacing"/>
              <w:rPr>
                <w:lang w:val="en-US"/>
              </w:rPr>
            </w:pPr>
            <w:r w:rsidRPr="00730DE4">
              <w:rPr>
                <w:lang w:val="en-US"/>
              </w:rPr>
              <w:t>Personal watercraft</w:t>
            </w:r>
          </w:p>
        </w:tc>
      </w:tr>
      <w:tr w:rsidR="00FA2FF9" w:rsidRPr="00730DE4" w14:paraId="39F84E0D" w14:textId="77777777" w:rsidTr="0069763E">
        <w:tc>
          <w:tcPr>
            <w:tcW w:w="938" w:type="pct"/>
          </w:tcPr>
          <w:p w14:paraId="5437B9E3" w14:textId="77777777" w:rsidR="00FA2FF9" w:rsidRPr="00730DE4" w:rsidRDefault="00FA2FF9" w:rsidP="0069763E">
            <w:pPr>
              <w:pStyle w:val="NoSpacing"/>
              <w:rPr>
                <w:lang w:val="en-US"/>
              </w:rPr>
            </w:pPr>
            <w:r w:rsidRPr="00730DE4">
              <w:rPr>
                <w:lang w:val="en-US"/>
              </w:rPr>
              <w:t>QATAC</w:t>
            </w:r>
          </w:p>
        </w:tc>
        <w:tc>
          <w:tcPr>
            <w:tcW w:w="4063" w:type="pct"/>
          </w:tcPr>
          <w:p w14:paraId="78E31061" w14:textId="77777777" w:rsidR="00FA2FF9" w:rsidRPr="00730DE4" w:rsidRDefault="00FA2FF9" w:rsidP="0069763E">
            <w:pPr>
              <w:pStyle w:val="NoSpacing"/>
              <w:rPr>
                <w:lang w:val="en-US"/>
              </w:rPr>
            </w:pPr>
            <w:r w:rsidRPr="00730DE4">
              <w:rPr>
                <w:lang w:val="en-US"/>
              </w:rPr>
              <w:t>Queensland Accessible Transport Advisory Council</w:t>
            </w:r>
          </w:p>
        </w:tc>
      </w:tr>
      <w:tr w:rsidR="00FA2FF9" w:rsidRPr="00730DE4" w14:paraId="7B010DE0" w14:textId="77777777" w:rsidTr="0069763E">
        <w:trPr>
          <w:cnfStyle w:val="000000100000" w:firstRow="0" w:lastRow="0" w:firstColumn="0" w:lastColumn="0" w:oddVBand="0" w:evenVBand="0" w:oddHBand="1" w:evenHBand="0" w:firstRowFirstColumn="0" w:firstRowLastColumn="0" w:lastRowFirstColumn="0" w:lastRowLastColumn="0"/>
        </w:trPr>
        <w:tc>
          <w:tcPr>
            <w:tcW w:w="938" w:type="pct"/>
          </w:tcPr>
          <w:p w14:paraId="05D72975" w14:textId="77777777" w:rsidR="00FA2FF9" w:rsidRPr="00730DE4" w:rsidRDefault="00FA2FF9" w:rsidP="0069763E">
            <w:pPr>
              <w:pStyle w:val="NoSpacing"/>
              <w:rPr>
                <w:lang w:val="en-US"/>
              </w:rPr>
            </w:pPr>
            <w:r w:rsidRPr="00730DE4">
              <w:rPr>
                <w:lang w:val="en-US"/>
              </w:rPr>
              <w:t>QESH</w:t>
            </w:r>
          </w:p>
        </w:tc>
        <w:tc>
          <w:tcPr>
            <w:tcW w:w="4063" w:type="pct"/>
          </w:tcPr>
          <w:p w14:paraId="2A5E3417" w14:textId="77777777" w:rsidR="00FA2FF9" w:rsidRPr="00730DE4" w:rsidRDefault="00FA2FF9" w:rsidP="0069763E">
            <w:pPr>
              <w:pStyle w:val="NoSpacing"/>
              <w:rPr>
                <w:lang w:val="en-US"/>
              </w:rPr>
            </w:pPr>
            <w:r w:rsidRPr="00730DE4">
              <w:rPr>
                <w:lang w:val="en-US"/>
              </w:rPr>
              <w:t>Queensland Electric Super Highway</w:t>
            </w:r>
          </w:p>
        </w:tc>
      </w:tr>
      <w:tr w:rsidR="00FA2FF9" w:rsidRPr="00730DE4" w14:paraId="5588BFC9" w14:textId="77777777" w:rsidTr="0069763E">
        <w:tc>
          <w:tcPr>
            <w:tcW w:w="938" w:type="pct"/>
          </w:tcPr>
          <w:p w14:paraId="727E3B10" w14:textId="77777777" w:rsidR="00FA2FF9" w:rsidRPr="00730DE4" w:rsidRDefault="00FA2FF9" w:rsidP="0069763E">
            <w:pPr>
              <w:pStyle w:val="NoSpacing"/>
              <w:rPr>
                <w:lang w:val="en-US"/>
              </w:rPr>
            </w:pPr>
            <w:r w:rsidRPr="00730DE4">
              <w:rPr>
                <w:lang w:val="en-US"/>
              </w:rPr>
              <w:t>QGCCDO</w:t>
            </w:r>
          </w:p>
        </w:tc>
        <w:tc>
          <w:tcPr>
            <w:tcW w:w="4063" w:type="pct"/>
          </w:tcPr>
          <w:p w14:paraId="6FACDC35" w14:textId="77777777" w:rsidR="00FA2FF9" w:rsidRPr="00730DE4" w:rsidRDefault="00FA2FF9" w:rsidP="0069763E">
            <w:pPr>
              <w:pStyle w:val="NoSpacing"/>
              <w:rPr>
                <w:lang w:val="en-US"/>
              </w:rPr>
            </w:pPr>
            <w:r w:rsidRPr="00730DE4">
              <w:rPr>
                <w:lang w:val="en-US"/>
              </w:rPr>
              <w:t>Queensland Government Chief Customer and Digital Officer</w:t>
            </w:r>
          </w:p>
        </w:tc>
      </w:tr>
      <w:tr w:rsidR="00FA2FF9" w:rsidRPr="00730DE4" w14:paraId="468650A1" w14:textId="77777777" w:rsidTr="0069763E">
        <w:trPr>
          <w:cnfStyle w:val="000000100000" w:firstRow="0" w:lastRow="0" w:firstColumn="0" w:lastColumn="0" w:oddVBand="0" w:evenVBand="0" w:oddHBand="1" w:evenHBand="0" w:firstRowFirstColumn="0" w:firstRowLastColumn="0" w:lastRowFirstColumn="0" w:lastRowLastColumn="0"/>
        </w:trPr>
        <w:tc>
          <w:tcPr>
            <w:tcW w:w="938" w:type="pct"/>
          </w:tcPr>
          <w:p w14:paraId="7A325676" w14:textId="77777777" w:rsidR="00FA2FF9" w:rsidRPr="00730DE4" w:rsidRDefault="00FA2FF9" w:rsidP="0069763E">
            <w:pPr>
              <w:pStyle w:val="NoSpacing"/>
              <w:rPr>
                <w:lang w:val="en-US"/>
              </w:rPr>
            </w:pPr>
            <w:r w:rsidRPr="00730DE4">
              <w:rPr>
                <w:lang w:val="en-US"/>
              </w:rPr>
              <w:t>QGCDG</w:t>
            </w:r>
          </w:p>
        </w:tc>
        <w:tc>
          <w:tcPr>
            <w:tcW w:w="4063" w:type="pct"/>
          </w:tcPr>
          <w:p w14:paraId="782BE1E7" w14:textId="77777777" w:rsidR="00FA2FF9" w:rsidRPr="00730DE4" w:rsidRDefault="00FA2FF9" w:rsidP="0069763E">
            <w:pPr>
              <w:pStyle w:val="NoSpacing"/>
              <w:rPr>
                <w:lang w:val="en-US"/>
              </w:rPr>
            </w:pPr>
            <w:r w:rsidRPr="00730DE4">
              <w:rPr>
                <w:lang w:val="en-US"/>
              </w:rPr>
              <w:t>Queensland Government Customer and Digital Group</w:t>
            </w:r>
          </w:p>
        </w:tc>
      </w:tr>
      <w:tr w:rsidR="00FA2FF9" w:rsidRPr="00730DE4" w14:paraId="5D14C8B5" w14:textId="77777777" w:rsidTr="0069763E">
        <w:tc>
          <w:tcPr>
            <w:tcW w:w="938" w:type="pct"/>
          </w:tcPr>
          <w:p w14:paraId="29D0181E" w14:textId="77777777" w:rsidR="00FA2FF9" w:rsidRPr="00730DE4" w:rsidRDefault="00FA2FF9" w:rsidP="0069763E">
            <w:pPr>
              <w:pStyle w:val="NoSpacing"/>
              <w:rPr>
                <w:lang w:val="en-US"/>
              </w:rPr>
            </w:pPr>
            <w:r w:rsidRPr="00730DE4">
              <w:rPr>
                <w:lang w:val="en-US"/>
              </w:rPr>
              <w:t>QPS</w:t>
            </w:r>
          </w:p>
        </w:tc>
        <w:tc>
          <w:tcPr>
            <w:tcW w:w="4063" w:type="pct"/>
          </w:tcPr>
          <w:p w14:paraId="2F39F265" w14:textId="77777777" w:rsidR="00FA2FF9" w:rsidRPr="00730DE4" w:rsidRDefault="00FA2FF9" w:rsidP="0069763E">
            <w:pPr>
              <w:pStyle w:val="NoSpacing"/>
              <w:rPr>
                <w:lang w:val="en-US"/>
              </w:rPr>
            </w:pPr>
            <w:r w:rsidRPr="00730DE4">
              <w:rPr>
                <w:lang w:val="en-US"/>
              </w:rPr>
              <w:t>Queensland Police Service</w:t>
            </w:r>
          </w:p>
        </w:tc>
      </w:tr>
      <w:tr w:rsidR="00FA2FF9" w:rsidRPr="00730DE4" w14:paraId="3D234B8F" w14:textId="77777777" w:rsidTr="0069763E">
        <w:trPr>
          <w:cnfStyle w:val="000000100000" w:firstRow="0" w:lastRow="0" w:firstColumn="0" w:lastColumn="0" w:oddVBand="0" w:evenVBand="0" w:oddHBand="1" w:evenHBand="0" w:firstRowFirstColumn="0" w:firstRowLastColumn="0" w:lastRowFirstColumn="0" w:lastRowLastColumn="0"/>
        </w:trPr>
        <w:tc>
          <w:tcPr>
            <w:tcW w:w="938" w:type="pct"/>
          </w:tcPr>
          <w:p w14:paraId="0164B48E" w14:textId="77777777" w:rsidR="00FA2FF9" w:rsidRPr="00730DE4" w:rsidRDefault="00FA2FF9" w:rsidP="0069763E">
            <w:pPr>
              <w:pStyle w:val="NoSpacing"/>
              <w:rPr>
                <w:lang w:val="en-US"/>
              </w:rPr>
            </w:pPr>
            <w:r w:rsidRPr="00730DE4">
              <w:rPr>
                <w:lang w:val="en-US"/>
              </w:rPr>
              <w:t>QRS</w:t>
            </w:r>
          </w:p>
        </w:tc>
        <w:tc>
          <w:tcPr>
            <w:tcW w:w="4063" w:type="pct"/>
          </w:tcPr>
          <w:p w14:paraId="0F6F552D" w14:textId="77777777" w:rsidR="00FA2FF9" w:rsidRPr="00730DE4" w:rsidRDefault="00FA2FF9" w:rsidP="0069763E">
            <w:pPr>
              <w:pStyle w:val="NoSpacing"/>
              <w:rPr>
                <w:lang w:val="en-US"/>
              </w:rPr>
            </w:pPr>
            <w:r w:rsidRPr="00730DE4">
              <w:rPr>
                <w:lang w:val="en-US"/>
              </w:rPr>
              <w:t>Queensland Road Safety</w:t>
            </w:r>
          </w:p>
        </w:tc>
      </w:tr>
      <w:tr w:rsidR="00FA2FF9" w:rsidRPr="00730DE4" w14:paraId="27CB3C35" w14:textId="77777777" w:rsidTr="0069763E">
        <w:tc>
          <w:tcPr>
            <w:tcW w:w="938" w:type="pct"/>
          </w:tcPr>
          <w:p w14:paraId="0E167260" w14:textId="77777777" w:rsidR="00FA2FF9" w:rsidRPr="00730DE4" w:rsidRDefault="00FA2FF9" w:rsidP="0069763E">
            <w:pPr>
              <w:pStyle w:val="NoSpacing"/>
              <w:rPr>
                <w:lang w:val="en-US"/>
              </w:rPr>
            </w:pPr>
            <w:r w:rsidRPr="00730DE4">
              <w:rPr>
                <w:lang w:val="en-US"/>
              </w:rPr>
              <w:t>QSS</w:t>
            </w:r>
          </w:p>
        </w:tc>
        <w:tc>
          <w:tcPr>
            <w:tcW w:w="4063" w:type="pct"/>
          </w:tcPr>
          <w:p w14:paraId="0E2E7856" w14:textId="77777777" w:rsidR="00FA2FF9" w:rsidRPr="00730DE4" w:rsidRDefault="00FA2FF9" w:rsidP="0069763E">
            <w:pPr>
              <w:pStyle w:val="NoSpacing"/>
              <w:rPr>
                <w:lang w:val="en-US"/>
              </w:rPr>
            </w:pPr>
            <w:r w:rsidRPr="00730DE4">
              <w:rPr>
                <w:lang w:val="en-US"/>
              </w:rPr>
              <w:t>Queensland Shared Services</w:t>
            </w:r>
          </w:p>
        </w:tc>
      </w:tr>
      <w:tr w:rsidR="00FA2FF9" w:rsidRPr="00730DE4" w14:paraId="4CF549B1" w14:textId="77777777" w:rsidTr="0069763E">
        <w:trPr>
          <w:cnfStyle w:val="000000100000" w:firstRow="0" w:lastRow="0" w:firstColumn="0" w:lastColumn="0" w:oddVBand="0" w:evenVBand="0" w:oddHBand="1" w:evenHBand="0" w:firstRowFirstColumn="0" w:firstRowLastColumn="0" w:lastRowFirstColumn="0" w:lastRowLastColumn="0"/>
        </w:trPr>
        <w:tc>
          <w:tcPr>
            <w:tcW w:w="938" w:type="pct"/>
          </w:tcPr>
          <w:p w14:paraId="3AD1833D" w14:textId="77777777" w:rsidR="00FA2FF9" w:rsidRPr="00730DE4" w:rsidRDefault="00FA2FF9" w:rsidP="0069763E">
            <w:pPr>
              <w:pStyle w:val="NoSpacing"/>
              <w:rPr>
                <w:lang w:val="en-US"/>
              </w:rPr>
            </w:pPr>
            <w:r w:rsidRPr="00730DE4">
              <w:rPr>
                <w:lang w:val="en-US"/>
              </w:rPr>
              <w:t>QTMP</w:t>
            </w:r>
          </w:p>
        </w:tc>
        <w:tc>
          <w:tcPr>
            <w:tcW w:w="4063" w:type="pct"/>
          </w:tcPr>
          <w:p w14:paraId="12A487AA" w14:textId="77777777" w:rsidR="00FA2FF9" w:rsidRPr="00730DE4" w:rsidRDefault="00FA2FF9" w:rsidP="0069763E">
            <w:pPr>
              <w:pStyle w:val="NoSpacing"/>
              <w:rPr>
                <w:lang w:val="en-US"/>
              </w:rPr>
            </w:pPr>
            <w:r w:rsidRPr="00730DE4">
              <w:rPr>
                <w:lang w:val="en-US"/>
              </w:rPr>
              <w:t>Queensland Train Manufacturing Program</w:t>
            </w:r>
          </w:p>
        </w:tc>
      </w:tr>
      <w:tr w:rsidR="00FA2FF9" w:rsidRPr="00730DE4" w14:paraId="14CF342B" w14:textId="77777777" w:rsidTr="0069763E">
        <w:tc>
          <w:tcPr>
            <w:tcW w:w="938" w:type="pct"/>
          </w:tcPr>
          <w:p w14:paraId="7918E955" w14:textId="77777777" w:rsidR="00FA2FF9" w:rsidRPr="00730DE4" w:rsidRDefault="00FA2FF9" w:rsidP="0069763E">
            <w:pPr>
              <w:pStyle w:val="NoSpacing"/>
              <w:rPr>
                <w:lang w:val="en-US"/>
              </w:rPr>
            </w:pPr>
            <w:r w:rsidRPr="00730DE4">
              <w:rPr>
                <w:lang w:val="en-US"/>
              </w:rPr>
              <w:t>QTRIP</w:t>
            </w:r>
          </w:p>
        </w:tc>
        <w:tc>
          <w:tcPr>
            <w:tcW w:w="4063" w:type="pct"/>
          </w:tcPr>
          <w:p w14:paraId="4BBC6082" w14:textId="77777777" w:rsidR="00FA2FF9" w:rsidRPr="00730DE4" w:rsidRDefault="00FA2FF9" w:rsidP="0069763E">
            <w:pPr>
              <w:pStyle w:val="NoSpacing"/>
              <w:rPr>
                <w:lang w:val="en-US"/>
              </w:rPr>
            </w:pPr>
            <w:r w:rsidRPr="00730DE4">
              <w:rPr>
                <w:lang w:val="en-US"/>
              </w:rPr>
              <w:t>Queensland Transport and Roads Investment Program</w:t>
            </w:r>
          </w:p>
        </w:tc>
      </w:tr>
      <w:tr w:rsidR="00FA2FF9" w:rsidRPr="00730DE4" w14:paraId="011DCA94" w14:textId="77777777" w:rsidTr="0069763E">
        <w:trPr>
          <w:cnfStyle w:val="000000100000" w:firstRow="0" w:lastRow="0" w:firstColumn="0" w:lastColumn="0" w:oddVBand="0" w:evenVBand="0" w:oddHBand="1" w:evenHBand="0" w:firstRowFirstColumn="0" w:firstRowLastColumn="0" w:lastRowFirstColumn="0" w:lastRowLastColumn="0"/>
        </w:trPr>
        <w:tc>
          <w:tcPr>
            <w:tcW w:w="938" w:type="pct"/>
          </w:tcPr>
          <w:p w14:paraId="6C112066" w14:textId="77777777" w:rsidR="00FA2FF9" w:rsidRPr="00730DE4" w:rsidRDefault="00FA2FF9" w:rsidP="0069763E">
            <w:pPr>
              <w:pStyle w:val="NoSpacing"/>
              <w:rPr>
                <w:lang w:val="en-US"/>
              </w:rPr>
            </w:pPr>
            <w:r w:rsidRPr="00730DE4">
              <w:rPr>
                <w:lang w:val="en-US"/>
              </w:rPr>
              <w:t>QUT</w:t>
            </w:r>
          </w:p>
        </w:tc>
        <w:tc>
          <w:tcPr>
            <w:tcW w:w="4063" w:type="pct"/>
          </w:tcPr>
          <w:p w14:paraId="6814CD88" w14:textId="77777777" w:rsidR="00FA2FF9" w:rsidRPr="00730DE4" w:rsidRDefault="00FA2FF9" w:rsidP="0069763E">
            <w:pPr>
              <w:pStyle w:val="NoSpacing"/>
              <w:rPr>
                <w:lang w:val="en-US"/>
              </w:rPr>
            </w:pPr>
            <w:r w:rsidRPr="00730DE4">
              <w:rPr>
                <w:lang w:val="en-US"/>
              </w:rPr>
              <w:t>Queensland University of Technology</w:t>
            </w:r>
          </w:p>
        </w:tc>
      </w:tr>
      <w:tr w:rsidR="00FA2FF9" w:rsidRPr="00730DE4" w14:paraId="6B5560DE" w14:textId="77777777" w:rsidTr="0069763E">
        <w:tc>
          <w:tcPr>
            <w:tcW w:w="938" w:type="pct"/>
          </w:tcPr>
          <w:p w14:paraId="6EF14004" w14:textId="77777777" w:rsidR="00FA2FF9" w:rsidRPr="00730DE4" w:rsidRDefault="00FA2FF9" w:rsidP="0069763E">
            <w:pPr>
              <w:pStyle w:val="NoSpacing"/>
              <w:rPr>
                <w:lang w:val="en-US"/>
              </w:rPr>
            </w:pPr>
            <w:r w:rsidRPr="00730DE4">
              <w:rPr>
                <w:lang w:val="en-US"/>
              </w:rPr>
              <w:t>REEF</w:t>
            </w:r>
          </w:p>
        </w:tc>
        <w:tc>
          <w:tcPr>
            <w:tcW w:w="4063" w:type="pct"/>
          </w:tcPr>
          <w:p w14:paraId="3831D8C2" w14:textId="77777777" w:rsidR="00FA2FF9" w:rsidRPr="00730DE4" w:rsidRDefault="00FA2FF9" w:rsidP="0069763E">
            <w:pPr>
              <w:pStyle w:val="NoSpacing"/>
              <w:rPr>
                <w:lang w:val="en-US"/>
              </w:rPr>
            </w:pPr>
            <w:r w:rsidRPr="00730DE4">
              <w:rPr>
                <w:lang w:val="en-US"/>
              </w:rPr>
              <w:t>Regional Economic Enabling Fund</w:t>
            </w:r>
          </w:p>
        </w:tc>
      </w:tr>
      <w:tr w:rsidR="00FA2FF9" w:rsidRPr="00730DE4" w14:paraId="08440FDC" w14:textId="77777777" w:rsidTr="0069763E">
        <w:trPr>
          <w:cnfStyle w:val="000000100000" w:firstRow="0" w:lastRow="0" w:firstColumn="0" w:lastColumn="0" w:oddVBand="0" w:evenVBand="0" w:oddHBand="1" w:evenHBand="0" w:firstRowFirstColumn="0" w:firstRowLastColumn="0" w:lastRowFirstColumn="0" w:lastRowLastColumn="0"/>
        </w:trPr>
        <w:tc>
          <w:tcPr>
            <w:tcW w:w="938" w:type="pct"/>
          </w:tcPr>
          <w:p w14:paraId="45720F0C" w14:textId="77777777" w:rsidR="00FA2FF9" w:rsidRPr="00730DE4" w:rsidRDefault="00FA2FF9" w:rsidP="0069763E">
            <w:pPr>
              <w:pStyle w:val="NoSpacing"/>
              <w:rPr>
                <w:lang w:val="en-US"/>
              </w:rPr>
            </w:pPr>
            <w:r w:rsidRPr="00730DE4">
              <w:rPr>
                <w:lang w:val="en-US"/>
              </w:rPr>
              <w:t>RRTG</w:t>
            </w:r>
          </w:p>
        </w:tc>
        <w:tc>
          <w:tcPr>
            <w:tcW w:w="4063" w:type="pct"/>
          </w:tcPr>
          <w:p w14:paraId="43B81680" w14:textId="77777777" w:rsidR="00FA2FF9" w:rsidRPr="00730DE4" w:rsidRDefault="00FA2FF9" w:rsidP="0069763E">
            <w:pPr>
              <w:pStyle w:val="NoSpacing"/>
              <w:rPr>
                <w:lang w:val="en-US"/>
              </w:rPr>
            </w:pPr>
            <w:r w:rsidRPr="00730DE4">
              <w:rPr>
                <w:lang w:val="en-US"/>
              </w:rPr>
              <w:t>Regional Roads and Transport Groups</w:t>
            </w:r>
          </w:p>
        </w:tc>
      </w:tr>
      <w:tr w:rsidR="00FA2FF9" w:rsidRPr="00730DE4" w14:paraId="15061D0E" w14:textId="77777777" w:rsidTr="0069763E">
        <w:tc>
          <w:tcPr>
            <w:tcW w:w="938" w:type="pct"/>
          </w:tcPr>
          <w:p w14:paraId="362118DB" w14:textId="77777777" w:rsidR="00FA2FF9" w:rsidRPr="00730DE4" w:rsidRDefault="00FA2FF9" w:rsidP="0069763E">
            <w:pPr>
              <w:pStyle w:val="NoSpacing"/>
              <w:rPr>
                <w:lang w:val="en-US"/>
              </w:rPr>
            </w:pPr>
            <w:r w:rsidRPr="00730DE4">
              <w:rPr>
                <w:lang w:val="en-US"/>
              </w:rPr>
              <w:t>RTP</w:t>
            </w:r>
          </w:p>
        </w:tc>
        <w:tc>
          <w:tcPr>
            <w:tcW w:w="4063" w:type="pct"/>
          </w:tcPr>
          <w:p w14:paraId="2EC34A4C" w14:textId="77777777" w:rsidR="00FA2FF9" w:rsidRPr="00730DE4" w:rsidRDefault="00FA2FF9" w:rsidP="0069763E">
            <w:pPr>
              <w:pStyle w:val="NoSpacing"/>
              <w:rPr>
                <w:lang w:val="en-US"/>
              </w:rPr>
            </w:pPr>
            <w:r w:rsidRPr="00730DE4">
              <w:rPr>
                <w:lang w:val="en-US"/>
              </w:rPr>
              <w:t>Regional Transport Plan</w:t>
            </w:r>
          </w:p>
        </w:tc>
      </w:tr>
      <w:tr w:rsidR="00FA2FF9" w:rsidRPr="00730DE4" w14:paraId="6E1CAA5B" w14:textId="77777777" w:rsidTr="0069763E">
        <w:trPr>
          <w:cnfStyle w:val="000000100000" w:firstRow="0" w:lastRow="0" w:firstColumn="0" w:lastColumn="0" w:oddVBand="0" w:evenVBand="0" w:oddHBand="1" w:evenHBand="0" w:firstRowFirstColumn="0" w:firstRowLastColumn="0" w:lastRowFirstColumn="0" w:lastRowLastColumn="0"/>
        </w:trPr>
        <w:tc>
          <w:tcPr>
            <w:tcW w:w="938" w:type="pct"/>
          </w:tcPr>
          <w:p w14:paraId="26955497" w14:textId="77777777" w:rsidR="00FA2FF9" w:rsidRPr="00730DE4" w:rsidRDefault="00FA2FF9" w:rsidP="0069763E">
            <w:pPr>
              <w:pStyle w:val="NoSpacing"/>
              <w:rPr>
                <w:lang w:val="en-US"/>
              </w:rPr>
            </w:pPr>
            <w:r w:rsidRPr="00730DE4">
              <w:rPr>
                <w:lang w:val="en-US"/>
              </w:rPr>
              <w:t>SEQ</w:t>
            </w:r>
          </w:p>
        </w:tc>
        <w:tc>
          <w:tcPr>
            <w:tcW w:w="4063" w:type="pct"/>
          </w:tcPr>
          <w:p w14:paraId="49DAE8AA" w14:textId="77777777" w:rsidR="00FA2FF9" w:rsidRPr="00730DE4" w:rsidRDefault="00FA2FF9" w:rsidP="0069763E">
            <w:pPr>
              <w:pStyle w:val="NoSpacing"/>
              <w:rPr>
                <w:lang w:val="en-US"/>
              </w:rPr>
            </w:pPr>
            <w:r w:rsidRPr="00730DE4">
              <w:rPr>
                <w:lang w:val="en-US"/>
              </w:rPr>
              <w:t>South East Queensland</w:t>
            </w:r>
          </w:p>
        </w:tc>
      </w:tr>
      <w:tr w:rsidR="00FA2FF9" w:rsidRPr="00730DE4" w14:paraId="4B236567" w14:textId="77777777" w:rsidTr="0069763E">
        <w:tc>
          <w:tcPr>
            <w:tcW w:w="938" w:type="pct"/>
          </w:tcPr>
          <w:p w14:paraId="5CC054C6" w14:textId="77777777" w:rsidR="00FA2FF9" w:rsidRPr="00730DE4" w:rsidRDefault="00FA2FF9" w:rsidP="0069763E">
            <w:pPr>
              <w:pStyle w:val="NoSpacing"/>
              <w:rPr>
                <w:lang w:val="en-US"/>
              </w:rPr>
            </w:pPr>
            <w:r w:rsidRPr="00730DE4">
              <w:rPr>
                <w:lang w:val="en-US"/>
              </w:rPr>
              <w:t>STAS</w:t>
            </w:r>
          </w:p>
        </w:tc>
        <w:tc>
          <w:tcPr>
            <w:tcW w:w="4063" w:type="pct"/>
          </w:tcPr>
          <w:p w14:paraId="59812989" w14:textId="77777777" w:rsidR="00FA2FF9" w:rsidRPr="00730DE4" w:rsidRDefault="00FA2FF9" w:rsidP="0069763E">
            <w:pPr>
              <w:pStyle w:val="NoSpacing"/>
              <w:rPr>
                <w:lang w:val="en-US"/>
              </w:rPr>
            </w:pPr>
            <w:r w:rsidRPr="00730DE4">
              <w:rPr>
                <w:lang w:val="en-US"/>
              </w:rPr>
              <w:t>School Transport Assistance Scheme</w:t>
            </w:r>
          </w:p>
        </w:tc>
      </w:tr>
      <w:tr w:rsidR="00FA2FF9" w:rsidRPr="00730DE4" w14:paraId="2B203FFC" w14:textId="77777777" w:rsidTr="0069763E">
        <w:trPr>
          <w:cnfStyle w:val="000000100000" w:firstRow="0" w:lastRow="0" w:firstColumn="0" w:lastColumn="0" w:oddVBand="0" w:evenVBand="0" w:oddHBand="1" w:evenHBand="0" w:firstRowFirstColumn="0" w:firstRowLastColumn="0" w:lastRowFirstColumn="0" w:lastRowLastColumn="0"/>
        </w:trPr>
        <w:tc>
          <w:tcPr>
            <w:tcW w:w="938" w:type="pct"/>
          </w:tcPr>
          <w:p w14:paraId="27F60B31" w14:textId="77777777" w:rsidR="00FA2FF9" w:rsidRPr="00730DE4" w:rsidRDefault="00FA2FF9" w:rsidP="0069763E">
            <w:pPr>
              <w:pStyle w:val="NoSpacing"/>
              <w:rPr>
                <w:lang w:val="en-US"/>
              </w:rPr>
            </w:pPr>
            <w:r w:rsidRPr="00730DE4">
              <w:rPr>
                <w:lang w:val="en-US"/>
              </w:rPr>
              <w:t>STEM</w:t>
            </w:r>
          </w:p>
        </w:tc>
        <w:tc>
          <w:tcPr>
            <w:tcW w:w="4063" w:type="pct"/>
          </w:tcPr>
          <w:p w14:paraId="25182A6C" w14:textId="77777777" w:rsidR="00FA2FF9" w:rsidRPr="00730DE4" w:rsidRDefault="00FA2FF9" w:rsidP="0069763E">
            <w:pPr>
              <w:pStyle w:val="NoSpacing"/>
              <w:rPr>
                <w:lang w:val="en-US"/>
              </w:rPr>
            </w:pPr>
            <w:r w:rsidRPr="00730DE4">
              <w:rPr>
                <w:lang w:val="en-US"/>
              </w:rPr>
              <w:t>Science, Technology, Engineering, and Mathematics</w:t>
            </w:r>
          </w:p>
        </w:tc>
      </w:tr>
      <w:tr w:rsidR="00FA2FF9" w:rsidRPr="00730DE4" w14:paraId="45002CF6" w14:textId="77777777" w:rsidTr="0069763E">
        <w:tc>
          <w:tcPr>
            <w:tcW w:w="938" w:type="pct"/>
          </w:tcPr>
          <w:p w14:paraId="0F437CB8" w14:textId="77777777" w:rsidR="00FA2FF9" w:rsidRPr="00730DE4" w:rsidRDefault="00FA2FF9" w:rsidP="0069763E">
            <w:pPr>
              <w:pStyle w:val="NoSpacing"/>
              <w:rPr>
                <w:lang w:val="en-US"/>
              </w:rPr>
            </w:pPr>
            <w:r w:rsidRPr="00730DE4">
              <w:rPr>
                <w:lang w:val="en-US"/>
              </w:rPr>
              <w:t>STIP</w:t>
            </w:r>
          </w:p>
        </w:tc>
        <w:tc>
          <w:tcPr>
            <w:tcW w:w="4063" w:type="pct"/>
          </w:tcPr>
          <w:p w14:paraId="2B144DFA" w14:textId="77777777" w:rsidR="00FA2FF9" w:rsidRPr="00730DE4" w:rsidRDefault="00FA2FF9" w:rsidP="0069763E">
            <w:pPr>
              <w:pStyle w:val="NoSpacing"/>
              <w:rPr>
                <w:lang w:val="en-US"/>
              </w:rPr>
            </w:pPr>
            <w:r w:rsidRPr="00730DE4">
              <w:rPr>
                <w:lang w:val="en-US"/>
              </w:rPr>
              <w:t>School Transport Infrastructure Program</w:t>
            </w:r>
          </w:p>
        </w:tc>
      </w:tr>
      <w:tr w:rsidR="00FA2FF9" w:rsidRPr="00730DE4" w14:paraId="1BD9B63E" w14:textId="77777777" w:rsidTr="0069763E">
        <w:trPr>
          <w:cnfStyle w:val="000000100000" w:firstRow="0" w:lastRow="0" w:firstColumn="0" w:lastColumn="0" w:oddVBand="0" w:evenVBand="0" w:oddHBand="1" w:evenHBand="0" w:firstRowFirstColumn="0" w:firstRowLastColumn="0" w:lastRowFirstColumn="0" w:lastRowLastColumn="0"/>
        </w:trPr>
        <w:tc>
          <w:tcPr>
            <w:tcW w:w="938" w:type="pct"/>
          </w:tcPr>
          <w:p w14:paraId="32C9BB99" w14:textId="77777777" w:rsidR="00FA2FF9" w:rsidRPr="00730DE4" w:rsidRDefault="00FA2FF9" w:rsidP="0069763E">
            <w:pPr>
              <w:pStyle w:val="NoSpacing"/>
              <w:rPr>
                <w:lang w:val="en-US"/>
              </w:rPr>
            </w:pPr>
            <w:r w:rsidRPr="00730DE4">
              <w:rPr>
                <w:lang w:val="en-US"/>
              </w:rPr>
              <w:t>TDx</w:t>
            </w:r>
          </w:p>
        </w:tc>
        <w:tc>
          <w:tcPr>
            <w:tcW w:w="4063" w:type="pct"/>
          </w:tcPr>
          <w:p w14:paraId="002EBB72" w14:textId="77777777" w:rsidR="00FA2FF9" w:rsidRPr="00730DE4" w:rsidRDefault="00FA2FF9" w:rsidP="0069763E">
            <w:pPr>
              <w:pStyle w:val="NoSpacing"/>
              <w:rPr>
                <w:lang w:val="en-US"/>
              </w:rPr>
            </w:pPr>
            <w:r w:rsidRPr="00730DE4">
              <w:rPr>
                <w:lang w:val="en-US"/>
              </w:rPr>
              <w:t>Transport Data Exchange</w:t>
            </w:r>
          </w:p>
        </w:tc>
      </w:tr>
      <w:tr w:rsidR="00FA2FF9" w:rsidRPr="00730DE4" w14:paraId="739CF5C2" w14:textId="77777777" w:rsidTr="0069763E">
        <w:tc>
          <w:tcPr>
            <w:tcW w:w="938" w:type="pct"/>
          </w:tcPr>
          <w:p w14:paraId="0A313A5A" w14:textId="77777777" w:rsidR="00FA2FF9" w:rsidRPr="00730DE4" w:rsidRDefault="00FA2FF9" w:rsidP="0069763E">
            <w:pPr>
              <w:pStyle w:val="NoSpacing"/>
              <w:rPr>
                <w:lang w:val="en-US"/>
              </w:rPr>
            </w:pPr>
            <w:r w:rsidRPr="00730DE4">
              <w:rPr>
                <w:lang w:val="en-US"/>
              </w:rPr>
              <w:t>TIDS</w:t>
            </w:r>
          </w:p>
        </w:tc>
        <w:tc>
          <w:tcPr>
            <w:tcW w:w="4063" w:type="pct"/>
          </w:tcPr>
          <w:p w14:paraId="1D9837AF" w14:textId="77777777" w:rsidR="00FA2FF9" w:rsidRPr="00730DE4" w:rsidRDefault="00FA2FF9" w:rsidP="0069763E">
            <w:pPr>
              <w:pStyle w:val="NoSpacing"/>
              <w:rPr>
                <w:lang w:val="en-US"/>
              </w:rPr>
            </w:pPr>
            <w:r w:rsidRPr="00730DE4">
              <w:rPr>
                <w:lang w:val="en-US"/>
              </w:rPr>
              <w:t>Transport Infrastructure Development Scheme</w:t>
            </w:r>
          </w:p>
        </w:tc>
      </w:tr>
      <w:tr w:rsidR="00FA2FF9" w:rsidRPr="00730DE4" w14:paraId="67CF20D4" w14:textId="77777777" w:rsidTr="0069763E">
        <w:trPr>
          <w:cnfStyle w:val="000000100000" w:firstRow="0" w:lastRow="0" w:firstColumn="0" w:lastColumn="0" w:oddVBand="0" w:evenVBand="0" w:oddHBand="1" w:evenHBand="0" w:firstRowFirstColumn="0" w:firstRowLastColumn="0" w:lastRowFirstColumn="0" w:lastRowLastColumn="0"/>
        </w:trPr>
        <w:tc>
          <w:tcPr>
            <w:tcW w:w="938" w:type="pct"/>
          </w:tcPr>
          <w:p w14:paraId="678D14BA" w14:textId="77777777" w:rsidR="00FA2FF9" w:rsidRPr="00730DE4" w:rsidRDefault="00FA2FF9" w:rsidP="0069763E">
            <w:pPr>
              <w:pStyle w:val="NoSpacing"/>
              <w:rPr>
                <w:lang w:val="en-US"/>
              </w:rPr>
            </w:pPr>
            <w:r w:rsidRPr="00730DE4">
              <w:rPr>
                <w:lang w:val="en-US"/>
              </w:rPr>
              <w:t>TMR</w:t>
            </w:r>
          </w:p>
        </w:tc>
        <w:tc>
          <w:tcPr>
            <w:tcW w:w="4063" w:type="pct"/>
          </w:tcPr>
          <w:p w14:paraId="2A610A26" w14:textId="77777777" w:rsidR="00FA2FF9" w:rsidRPr="00730DE4" w:rsidRDefault="00FA2FF9" w:rsidP="0069763E">
            <w:pPr>
              <w:pStyle w:val="NoSpacing"/>
              <w:rPr>
                <w:lang w:val="en-US"/>
              </w:rPr>
            </w:pPr>
            <w:r w:rsidRPr="00730DE4">
              <w:rPr>
                <w:lang w:val="en-US"/>
              </w:rPr>
              <w:t>Transport and Main Roads</w:t>
            </w:r>
          </w:p>
        </w:tc>
      </w:tr>
      <w:tr w:rsidR="00FA2FF9" w:rsidRPr="00730DE4" w14:paraId="5FE77526" w14:textId="77777777" w:rsidTr="0069763E">
        <w:tc>
          <w:tcPr>
            <w:tcW w:w="938" w:type="pct"/>
          </w:tcPr>
          <w:p w14:paraId="102B5ABB" w14:textId="77777777" w:rsidR="00FA2FF9" w:rsidRPr="00730DE4" w:rsidRDefault="00FA2FF9" w:rsidP="0069763E">
            <w:pPr>
              <w:pStyle w:val="NoSpacing"/>
              <w:rPr>
                <w:lang w:val="en-US"/>
              </w:rPr>
            </w:pPr>
            <w:r w:rsidRPr="00730DE4">
              <w:rPr>
                <w:lang w:val="en-US"/>
              </w:rPr>
              <w:t>TNSR</w:t>
            </w:r>
          </w:p>
        </w:tc>
        <w:tc>
          <w:tcPr>
            <w:tcW w:w="4063" w:type="pct"/>
          </w:tcPr>
          <w:p w14:paraId="6A44791E" w14:textId="77777777" w:rsidR="00FA2FF9" w:rsidRPr="00730DE4" w:rsidRDefault="00FA2FF9" w:rsidP="0069763E">
            <w:pPr>
              <w:pStyle w:val="NoSpacing"/>
              <w:rPr>
                <w:lang w:val="en-US"/>
              </w:rPr>
            </w:pPr>
            <w:r w:rsidRPr="00730DE4">
              <w:rPr>
                <w:lang w:val="en-US"/>
              </w:rPr>
              <w:t>Transport Network Security and Resilience</w:t>
            </w:r>
          </w:p>
        </w:tc>
      </w:tr>
      <w:tr w:rsidR="00FA2FF9" w:rsidRPr="00730DE4" w14:paraId="200132F3" w14:textId="77777777" w:rsidTr="0069763E">
        <w:trPr>
          <w:cnfStyle w:val="000000100000" w:firstRow="0" w:lastRow="0" w:firstColumn="0" w:lastColumn="0" w:oddVBand="0" w:evenVBand="0" w:oddHBand="1" w:evenHBand="0" w:firstRowFirstColumn="0" w:firstRowLastColumn="0" w:lastRowFirstColumn="0" w:lastRowLastColumn="0"/>
        </w:trPr>
        <w:tc>
          <w:tcPr>
            <w:tcW w:w="938" w:type="pct"/>
          </w:tcPr>
          <w:p w14:paraId="4D86194E" w14:textId="77777777" w:rsidR="00FA2FF9" w:rsidRPr="00730DE4" w:rsidRDefault="00FA2FF9" w:rsidP="0069763E">
            <w:pPr>
              <w:pStyle w:val="NoSpacing"/>
              <w:rPr>
                <w:lang w:val="en-US"/>
              </w:rPr>
            </w:pPr>
            <w:r w:rsidRPr="00730DE4">
              <w:rPr>
                <w:lang w:val="en-US"/>
              </w:rPr>
              <w:t>UQ</w:t>
            </w:r>
          </w:p>
        </w:tc>
        <w:tc>
          <w:tcPr>
            <w:tcW w:w="4063" w:type="pct"/>
          </w:tcPr>
          <w:p w14:paraId="2C85B1C2" w14:textId="77777777" w:rsidR="00FA2FF9" w:rsidRPr="00730DE4" w:rsidRDefault="00FA2FF9" w:rsidP="0069763E">
            <w:pPr>
              <w:pStyle w:val="NoSpacing"/>
              <w:rPr>
                <w:lang w:val="en-US"/>
              </w:rPr>
            </w:pPr>
            <w:r w:rsidRPr="00730DE4">
              <w:rPr>
                <w:lang w:val="en-US"/>
              </w:rPr>
              <w:t>University of Queensland</w:t>
            </w:r>
          </w:p>
        </w:tc>
      </w:tr>
      <w:tr w:rsidR="00FA2FF9" w:rsidRPr="00730DE4" w14:paraId="5C6700F2" w14:textId="77777777" w:rsidTr="0069763E">
        <w:tc>
          <w:tcPr>
            <w:tcW w:w="938" w:type="pct"/>
          </w:tcPr>
          <w:p w14:paraId="690C5517" w14:textId="77777777" w:rsidR="00FA2FF9" w:rsidRPr="00730DE4" w:rsidRDefault="00FA2FF9" w:rsidP="0069763E">
            <w:pPr>
              <w:pStyle w:val="NoSpacing"/>
              <w:rPr>
                <w:lang w:val="en-US"/>
              </w:rPr>
            </w:pPr>
            <w:r w:rsidRPr="00730DE4">
              <w:rPr>
                <w:lang w:val="en-US"/>
              </w:rPr>
              <w:t>V1</w:t>
            </w:r>
          </w:p>
        </w:tc>
        <w:tc>
          <w:tcPr>
            <w:tcW w:w="4063" w:type="pct"/>
          </w:tcPr>
          <w:p w14:paraId="192931C5" w14:textId="77777777" w:rsidR="00FA2FF9" w:rsidRPr="00730DE4" w:rsidRDefault="00FA2FF9" w:rsidP="0069763E">
            <w:pPr>
              <w:pStyle w:val="NoSpacing"/>
              <w:rPr>
                <w:lang w:val="en-US"/>
              </w:rPr>
            </w:pPr>
            <w:r w:rsidRPr="00730DE4">
              <w:rPr>
                <w:lang w:val="en-US"/>
              </w:rPr>
              <w:t>Veloway 1</w:t>
            </w:r>
          </w:p>
        </w:tc>
      </w:tr>
      <w:tr w:rsidR="00FA2FF9" w:rsidRPr="00730DE4" w14:paraId="3FB4A41A" w14:textId="77777777" w:rsidTr="0069763E">
        <w:trPr>
          <w:cnfStyle w:val="000000100000" w:firstRow="0" w:lastRow="0" w:firstColumn="0" w:lastColumn="0" w:oddVBand="0" w:evenVBand="0" w:oddHBand="1" w:evenHBand="0" w:firstRowFirstColumn="0" w:firstRowLastColumn="0" w:lastRowFirstColumn="0" w:lastRowLastColumn="0"/>
        </w:trPr>
        <w:tc>
          <w:tcPr>
            <w:tcW w:w="938" w:type="pct"/>
          </w:tcPr>
          <w:p w14:paraId="769C2E76" w14:textId="77777777" w:rsidR="00FA2FF9" w:rsidRPr="00730DE4" w:rsidRDefault="00FA2FF9" w:rsidP="0069763E">
            <w:pPr>
              <w:pStyle w:val="NoSpacing"/>
              <w:rPr>
                <w:lang w:val="en-US"/>
              </w:rPr>
            </w:pPr>
            <w:r w:rsidRPr="00730DE4">
              <w:rPr>
                <w:lang w:val="en-US"/>
              </w:rPr>
              <w:t>VTS</w:t>
            </w:r>
          </w:p>
        </w:tc>
        <w:tc>
          <w:tcPr>
            <w:tcW w:w="4063" w:type="pct"/>
          </w:tcPr>
          <w:p w14:paraId="60AF49F2" w14:textId="77777777" w:rsidR="00FA2FF9" w:rsidRPr="00730DE4" w:rsidRDefault="00FA2FF9" w:rsidP="0069763E">
            <w:pPr>
              <w:pStyle w:val="NoSpacing"/>
              <w:rPr>
                <w:lang w:val="en-US"/>
              </w:rPr>
            </w:pPr>
            <w:r w:rsidRPr="00730DE4">
              <w:rPr>
                <w:lang w:val="en-US"/>
              </w:rPr>
              <w:t>Vessel Traffic Service</w:t>
            </w:r>
          </w:p>
        </w:tc>
      </w:tr>
      <w:tr w:rsidR="00FA2FF9" w:rsidRPr="00730DE4" w14:paraId="204BD506" w14:textId="77777777" w:rsidTr="0069763E">
        <w:tc>
          <w:tcPr>
            <w:tcW w:w="938" w:type="pct"/>
          </w:tcPr>
          <w:p w14:paraId="10085576" w14:textId="77777777" w:rsidR="00FA2FF9" w:rsidRPr="00730DE4" w:rsidRDefault="00FA2FF9" w:rsidP="0069763E">
            <w:pPr>
              <w:pStyle w:val="NoSpacing"/>
              <w:rPr>
                <w:lang w:val="en-US"/>
              </w:rPr>
            </w:pPr>
            <w:r w:rsidRPr="00730DE4">
              <w:rPr>
                <w:lang w:val="en-US"/>
              </w:rPr>
              <w:t>WHS</w:t>
            </w:r>
          </w:p>
        </w:tc>
        <w:tc>
          <w:tcPr>
            <w:tcW w:w="4063" w:type="pct"/>
          </w:tcPr>
          <w:p w14:paraId="2AC34571" w14:textId="77777777" w:rsidR="00FA2FF9" w:rsidRPr="00730DE4" w:rsidRDefault="00FA2FF9" w:rsidP="0069763E">
            <w:pPr>
              <w:pStyle w:val="NoSpacing"/>
              <w:rPr>
                <w:lang w:val="en-US"/>
              </w:rPr>
            </w:pPr>
            <w:r w:rsidRPr="00730DE4">
              <w:rPr>
                <w:lang w:val="en-US"/>
              </w:rPr>
              <w:t>Workplace Health and Safety</w:t>
            </w:r>
          </w:p>
        </w:tc>
      </w:tr>
    </w:tbl>
    <w:p w14:paraId="38EFFDE3" w14:textId="77777777" w:rsidR="00094BA5" w:rsidRPr="00730DE4" w:rsidRDefault="00094BA5">
      <w:pPr>
        <w:suppressAutoHyphens w:val="0"/>
        <w:spacing w:before="0" w:line="259" w:lineRule="auto"/>
        <w:rPr>
          <w:rFonts w:eastAsiaTheme="majorEastAsia" w:cstheme="majorBidi"/>
          <w:color w:val="080C0F" w:themeColor="text1"/>
          <w:sz w:val="60"/>
          <w:szCs w:val="32"/>
        </w:rPr>
      </w:pPr>
      <w:r w:rsidRPr="00730DE4">
        <w:br w:type="page"/>
      </w:r>
    </w:p>
    <w:p w14:paraId="367B11FF" w14:textId="6339BC0C" w:rsidR="00FA2FF9" w:rsidRPr="00730DE4" w:rsidRDefault="00FA2FF9" w:rsidP="002B7001">
      <w:pPr>
        <w:pStyle w:val="Heading2"/>
      </w:pPr>
      <w:bookmarkStart w:id="1835" w:name="_Toc180491041"/>
      <w:bookmarkStart w:id="1836" w:name="_Toc180492074"/>
      <w:r w:rsidRPr="00730DE4">
        <w:t>Appendix 8: Compliance checklist</w:t>
      </w:r>
      <w:bookmarkEnd w:id="1835"/>
      <w:bookmarkEnd w:id="1836"/>
    </w:p>
    <w:p w14:paraId="2A6E3FE0" w14:textId="77777777" w:rsidR="00FA2FF9" w:rsidRPr="00730DE4" w:rsidRDefault="00FA2FF9" w:rsidP="002B7001">
      <w:pPr>
        <w:pStyle w:val="Heading3"/>
      </w:pPr>
      <w:bookmarkStart w:id="1837" w:name="_Toc180487837"/>
      <w:bookmarkStart w:id="1838" w:name="_Toc180491042"/>
      <w:bookmarkStart w:id="1839" w:name="_Toc180492075"/>
      <w:r w:rsidRPr="00730DE4">
        <w:t>Letter of compliance</w:t>
      </w:r>
      <w:bookmarkEnd w:id="1837"/>
      <w:bookmarkEnd w:id="1838"/>
      <w:bookmarkEnd w:id="1839"/>
      <w:r w:rsidRPr="00730DE4">
        <w:t xml:space="preserve"> </w:t>
      </w:r>
    </w:p>
    <w:tbl>
      <w:tblPr>
        <w:tblStyle w:val="TMRDefault"/>
        <w:tblW w:w="5000" w:type="pct"/>
        <w:tblLook w:val="0020" w:firstRow="1" w:lastRow="0" w:firstColumn="0" w:lastColumn="0" w:noHBand="0" w:noVBand="0"/>
      </w:tblPr>
      <w:tblGrid>
        <w:gridCol w:w="8804"/>
        <w:gridCol w:w="2457"/>
        <w:gridCol w:w="2731"/>
      </w:tblGrid>
      <w:tr w:rsidR="00FA2FF9" w:rsidRPr="00730DE4" w14:paraId="4F6B811B" w14:textId="77777777" w:rsidTr="002D6779">
        <w:trPr>
          <w:cnfStyle w:val="100000000000" w:firstRow="1" w:lastRow="0" w:firstColumn="0" w:lastColumn="0" w:oddVBand="0" w:evenVBand="0" w:oddHBand="0" w:evenHBand="0" w:firstRowFirstColumn="0" w:firstRowLastColumn="0" w:lastRowFirstColumn="0" w:lastRowLastColumn="0"/>
          <w:tblHeader/>
        </w:trPr>
        <w:tc>
          <w:tcPr>
            <w:tcW w:w="3146" w:type="pct"/>
          </w:tcPr>
          <w:p w14:paraId="62953EDA" w14:textId="77777777" w:rsidR="00FA2FF9" w:rsidRPr="00730DE4" w:rsidRDefault="00FA2FF9" w:rsidP="008A742F">
            <w:pPr>
              <w:pStyle w:val="NoSpacing"/>
              <w:rPr>
                <w:color w:val="FFFFFF" w:themeColor="background1"/>
                <w:lang w:val="en-US"/>
              </w:rPr>
            </w:pPr>
            <w:r w:rsidRPr="00730DE4">
              <w:rPr>
                <w:color w:val="FFFFFF" w:themeColor="background1"/>
                <w:lang w:val="en-US"/>
              </w:rPr>
              <w:t>Summary of requirement</w:t>
            </w:r>
          </w:p>
        </w:tc>
        <w:tc>
          <w:tcPr>
            <w:tcW w:w="878" w:type="pct"/>
          </w:tcPr>
          <w:p w14:paraId="1299202B" w14:textId="77777777" w:rsidR="00FA2FF9" w:rsidRPr="00730DE4" w:rsidRDefault="00FA2FF9" w:rsidP="008A742F">
            <w:pPr>
              <w:pStyle w:val="NoSpacing"/>
              <w:rPr>
                <w:color w:val="FFFFFF" w:themeColor="background1"/>
                <w:lang w:val="en-US"/>
              </w:rPr>
            </w:pPr>
            <w:r w:rsidRPr="00730DE4">
              <w:rPr>
                <w:color w:val="FFFFFF" w:themeColor="background1"/>
                <w:lang w:val="en-US"/>
              </w:rPr>
              <w:t>Basis for requirement</w:t>
            </w:r>
          </w:p>
        </w:tc>
        <w:tc>
          <w:tcPr>
            <w:tcW w:w="976" w:type="pct"/>
          </w:tcPr>
          <w:p w14:paraId="1773C579" w14:textId="77777777" w:rsidR="00FA2FF9" w:rsidRPr="00730DE4" w:rsidRDefault="00FA2FF9" w:rsidP="008A742F">
            <w:pPr>
              <w:pStyle w:val="NoSpacing"/>
              <w:rPr>
                <w:color w:val="FFFFFF" w:themeColor="background1"/>
                <w:lang w:val="en-US"/>
              </w:rPr>
            </w:pPr>
            <w:r w:rsidRPr="00730DE4">
              <w:rPr>
                <w:color w:val="FFFFFF" w:themeColor="background1"/>
                <w:lang w:val="en-US"/>
              </w:rPr>
              <w:t>Annual Report reference</w:t>
            </w:r>
          </w:p>
        </w:tc>
      </w:tr>
      <w:tr w:rsidR="002D6779" w:rsidRPr="00730DE4" w14:paraId="524517AE" w14:textId="77777777" w:rsidTr="002D6779">
        <w:trPr>
          <w:cnfStyle w:val="000000100000" w:firstRow="0" w:lastRow="0" w:firstColumn="0" w:lastColumn="0" w:oddVBand="0" w:evenVBand="0" w:oddHBand="1" w:evenHBand="0" w:firstRowFirstColumn="0" w:firstRowLastColumn="0" w:lastRowFirstColumn="0" w:lastRowLastColumn="0"/>
        </w:trPr>
        <w:tc>
          <w:tcPr>
            <w:tcW w:w="3146" w:type="pct"/>
          </w:tcPr>
          <w:p w14:paraId="6A44D3F4" w14:textId="77777777" w:rsidR="00FA2FF9" w:rsidRPr="00730DE4" w:rsidRDefault="00FA2FF9" w:rsidP="008A742F">
            <w:pPr>
              <w:pStyle w:val="NoSpacing"/>
              <w:rPr>
                <w:lang w:val="en-US"/>
              </w:rPr>
            </w:pPr>
            <w:r w:rsidRPr="00730DE4">
              <w:rPr>
                <w:lang w:val="en-US"/>
              </w:rPr>
              <w:t>A letter of compliance from the accountable officer or statutory body to the relevant Minister/s</w:t>
            </w:r>
          </w:p>
        </w:tc>
        <w:tc>
          <w:tcPr>
            <w:tcW w:w="878" w:type="pct"/>
          </w:tcPr>
          <w:p w14:paraId="6D842E1A" w14:textId="77777777" w:rsidR="00FA2FF9" w:rsidRPr="00730DE4" w:rsidRDefault="00FA2FF9" w:rsidP="008A742F">
            <w:pPr>
              <w:pStyle w:val="NoSpacing"/>
              <w:rPr>
                <w:lang w:val="en-US"/>
              </w:rPr>
            </w:pPr>
            <w:r w:rsidRPr="00730DE4">
              <w:rPr>
                <w:lang w:val="en-US"/>
              </w:rPr>
              <w:t>ARRs – section 7</w:t>
            </w:r>
          </w:p>
        </w:tc>
        <w:tc>
          <w:tcPr>
            <w:tcW w:w="976" w:type="pct"/>
          </w:tcPr>
          <w:p w14:paraId="02E97BF5" w14:textId="5CA6E2FA" w:rsidR="00FA2FF9" w:rsidRPr="00730DE4" w:rsidRDefault="004A5840" w:rsidP="008A742F">
            <w:pPr>
              <w:pStyle w:val="NoSpacing"/>
              <w:rPr>
                <w:lang w:val="en-US"/>
              </w:rPr>
            </w:pPr>
            <w:r w:rsidRPr="00730DE4">
              <w:rPr>
                <w:lang w:val="en-US"/>
              </w:rPr>
              <w:t>2</w:t>
            </w:r>
          </w:p>
        </w:tc>
      </w:tr>
    </w:tbl>
    <w:p w14:paraId="05108714" w14:textId="77777777" w:rsidR="00FA2FF9" w:rsidRPr="00730DE4" w:rsidRDefault="00FA2FF9" w:rsidP="002B7001">
      <w:pPr>
        <w:pStyle w:val="Heading3"/>
      </w:pPr>
      <w:bookmarkStart w:id="1840" w:name="_Toc180487838"/>
      <w:bookmarkStart w:id="1841" w:name="_Toc180491043"/>
      <w:bookmarkStart w:id="1842" w:name="_Toc180492076"/>
      <w:r w:rsidRPr="00730DE4">
        <w:t>Accessibility</w:t>
      </w:r>
      <w:bookmarkEnd w:id="1840"/>
      <w:bookmarkEnd w:id="1841"/>
      <w:bookmarkEnd w:id="1842"/>
    </w:p>
    <w:tbl>
      <w:tblPr>
        <w:tblStyle w:val="TMRDefault"/>
        <w:tblW w:w="5000" w:type="pct"/>
        <w:tblLook w:val="0020" w:firstRow="1" w:lastRow="0" w:firstColumn="0" w:lastColumn="0" w:noHBand="0" w:noVBand="0"/>
      </w:tblPr>
      <w:tblGrid>
        <w:gridCol w:w="4660"/>
        <w:gridCol w:w="5465"/>
        <w:gridCol w:w="3867"/>
      </w:tblGrid>
      <w:tr w:rsidR="002D6779" w:rsidRPr="00730DE4" w14:paraId="031DB7D6" w14:textId="77777777" w:rsidTr="00B9757A">
        <w:trPr>
          <w:cnfStyle w:val="100000000000" w:firstRow="1" w:lastRow="0" w:firstColumn="0" w:lastColumn="0" w:oddVBand="0" w:evenVBand="0" w:oddHBand="0" w:evenHBand="0" w:firstRowFirstColumn="0" w:firstRowLastColumn="0" w:lastRowFirstColumn="0" w:lastRowLastColumn="0"/>
          <w:tblHeader/>
        </w:trPr>
        <w:tc>
          <w:tcPr>
            <w:tcW w:w="1665" w:type="pct"/>
          </w:tcPr>
          <w:p w14:paraId="661AC66E" w14:textId="77777777" w:rsidR="00FA2FF9" w:rsidRPr="00730DE4" w:rsidRDefault="00FA2FF9" w:rsidP="008A742F">
            <w:pPr>
              <w:pStyle w:val="NoSpacing"/>
              <w:rPr>
                <w:color w:val="FFFFFF" w:themeColor="background1"/>
                <w:lang w:val="en-US"/>
              </w:rPr>
            </w:pPr>
            <w:r w:rsidRPr="00730DE4">
              <w:rPr>
                <w:color w:val="FFFFFF" w:themeColor="background1"/>
                <w:lang w:val="en-US"/>
              </w:rPr>
              <w:t>Summary of requirement</w:t>
            </w:r>
          </w:p>
        </w:tc>
        <w:tc>
          <w:tcPr>
            <w:tcW w:w="1953" w:type="pct"/>
          </w:tcPr>
          <w:p w14:paraId="2C3B64B2" w14:textId="77777777" w:rsidR="00FA2FF9" w:rsidRPr="00730DE4" w:rsidRDefault="00FA2FF9" w:rsidP="008A742F">
            <w:pPr>
              <w:pStyle w:val="NoSpacing"/>
              <w:rPr>
                <w:color w:val="FFFFFF" w:themeColor="background1"/>
                <w:lang w:val="en-US"/>
              </w:rPr>
            </w:pPr>
            <w:r w:rsidRPr="00730DE4">
              <w:rPr>
                <w:color w:val="FFFFFF" w:themeColor="background1"/>
                <w:lang w:val="en-US"/>
              </w:rPr>
              <w:t>Basis for requirement</w:t>
            </w:r>
          </w:p>
        </w:tc>
        <w:tc>
          <w:tcPr>
            <w:tcW w:w="1382" w:type="pct"/>
          </w:tcPr>
          <w:p w14:paraId="7D92C85E" w14:textId="77777777" w:rsidR="00FA2FF9" w:rsidRPr="00730DE4" w:rsidRDefault="00FA2FF9" w:rsidP="008A742F">
            <w:pPr>
              <w:pStyle w:val="NoSpacing"/>
              <w:rPr>
                <w:color w:val="FFFFFF" w:themeColor="background1"/>
                <w:lang w:val="en-US"/>
              </w:rPr>
            </w:pPr>
            <w:r w:rsidRPr="00730DE4">
              <w:rPr>
                <w:color w:val="FFFFFF" w:themeColor="background1"/>
                <w:lang w:val="en-US"/>
              </w:rPr>
              <w:t xml:space="preserve">Annual report reference </w:t>
            </w:r>
          </w:p>
        </w:tc>
      </w:tr>
      <w:tr w:rsidR="000A65A9" w:rsidRPr="00730DE4" w14:paraId="4E3C335E" w14:textId="77777777" w:rsidTr="00B9757A">
        <w:trPr>
          <w:cnfStyle w:val="000000100000" w:firstRow="0" w:lastRow="0" w:firstColumn="0" w:lastColumn="0" w:oddVBand="0" w:evenVBand="0" w:oddHBand="1" w:evenHBand="0" w:firstRowFirstColumn="0" w:firstRowLastColumn="0" w:lastRowFirstColumn="0" w:lastRowLastColumn="0"/>
        </w:trPr>
        <w:tc>
          <w:tcPr>
            <w:tcW w:w="1665" w:type="pct"/>
          </w:tcPr>
          <w:p w14:paraId="26223F9F" w14:textId="77777777" w:rsidR="00FA2FF9" w:rsidRPr="00730DE4" w:rsidRDefault="00FA2FF9" w:rsidP="008A742F">
            <w:pPr>
              <w:pStyle w:val="NoSpacing"/>
              <w:rPr>
                <w:lang w:val="en-US"/>
              </w:rPr>
            </w:pPr>
            <w:r w:rsidRPr="00730DE4">
              <w:rPr>
                <w:lang w:val="en-US"/>
              </w:rPr>
              <w:t xml:space="preserve">Table of contents </w:t>
            </w:r>
          </w:p>
        </w:tc>
        <w:tc>
          <w:tcPr>
            <w:tcW w:w="1953" w:type="pct"/>
          </w:tcPr>
          <w:p w14:paraId="0AEF770E" w14:textId="77777777" w:rsidR="00FA2FF9" w:rsidRPr="00730DE4" w:rsidRDefault="00FA2FF9" w:rsidP="008A742F">
            <w:pPr>
              <w:pStyle w:val="NoSpacing"/>
              <w:rPr>
                <w:lang w:val="en-US"/>
              </w:rPr>
            </w:pPr>
            <w:r w:rsidRPr="00730DE4">
              <w:rPr>
                <w:lang w:val="en-US"/>
              </w:rPr>
              <w:t xml:space="preserve">ARRs </w:t>
            </w:r>
            <w:r w:rsidRPr="00730DE4">
              <w:rPr>
                <w:lang w:val="en-US"/>
              </w:rPr>
              <w:softHyphen/>
              <w:t>– section 9.1</w:t>
            </w:r>
          </w:p>
        </w:tc>
        <w:tc>
          <w:tcPr>
            <w:tcW w:w="1382" w:type="pct"/>
          </w:tcPr>
          <w:p w14:paraId="1FB718B9" w14:textId="7DBE6E06" w:rsidR="00FA2FF9" w:rsidRPr="00730DE4" w:rsidRDefault="004A5840" w:rsidP="008A742F">
            <w:pPr>
              <w:pStyle w:val="NoSpacing"/>
              <w:rPr>
                <w:lang w:val="en-US"/>
              </w:rPr>
            </w:pPr>
            <w:r w:rsidRPr="00730DE4">
              <w:rPr>
                <w:lang w:val="en-US"/>
              </w:rPr>
              <w:t>3–4</w:t>
            </w:r>
          </w:p>
        </w:tc>
      </w:tr>
      <w:tr w:rsidR="00FA2FF9" w:rsidRPr="00730DE4" w14:paraId="1AB86EC4" w14:textId="77777777" w:rsidTr="00B9757A">
        <w:tc>
          <w:tcPr>
            <w:tcW w:w="1665" w:type="pct"/>
          </w:tcPr>
          <w:p w14:paraId="768B85E5" w14:textId="77777777" w:rsidR="00FA2FF9" w:rsidRPr="00730DE4" w:rsidRDefault="00FA2FF9" w:rsidP="008A742F">
            <w:pPr>
              <w:pStyle w:val="NoSpacing"/>
              <w:rPr>
                <w:lang w:val="en-US"/>
              </w:rPr>
            </w:pPr>
            <w:r w:rsidRPr="00730DE4">
              <w:rPr>
                <w:lang w:val="en-US"/>
              </w:rPr>
              <w:t>Glossary</w:t>
            </w:r>
          </w:p>
        </w:tc>
        <w:tc>
          <w:tcPr>
            <w:tcW w:w="1953" w:type="pct"/>
          </w:tcPr>
          <w:p w14:paraId="619C9FD8" w14:textId="77777777" w:rsidR="00FA2FF9" w:rsidRPr="00730DE4" w:rsidRDefault="00FA2FF9" w:rsidP="008A742F">
            <w:pPr>
              <w:pStyle w:val="NoSpacing"/>
              <w:rPr>
                <w:lang w:val="en-US"/>
              </w:rPr>
            </w:pPr>
            <w:r w:rsidRPr="00730DE4">
              <w:rPr>
                <w:lang w:val="en-US"/>
              </w:rPr>
              <w:t>ARRs – section 9.1</w:t>
            </w:r>
          </w:p>
        </w:tc>
        <w:tc>
          <w:tcPr>
            <w:tcW w:w="1382" w:type="pct"/>
          </w:tcPr>
          <w:p w14:paraId="50AD12D6" w14:textId="5E4C35F7" w:rsidR="00FA2FF9" w:rsidRPr="00730DE4" w:rsidRDefault="00EF46EE" w:rsidP="008A742F">
            <w:pPr>
              <w:pStyle w:val="NoSpacing"/>
              <w:rPr>
                <w:lang w:val="en-US"/>
              </w:rPr>
            </w:pPr>
            <w:r>
              <w:rPr>
                <w:lang w:val="en-US"/>
              </w:rPr>
              <w:t>404–408</w:t>
            </w:r>
          </w:p>
        </w:tc>
      </w:tr>
      <w:tr w:rsidR="000A65A9" w:rsidRPr="00730DE4" w14:paraId="422EB1D7" w14:textId="77777777" w:rsidTr="00B9757A">
        <w:trPr>
          <w:cnfStyle w:val="000000100000" w:firstRow="0" w:lastRow="0" w:firstColumn="0" w:lastColumn="0" w:oddVBand="0" w:evenVBand="0" w:oddHBand="1" w:evenHBand="0" w:firstRowFirstColumn="0" w:firstRowLastColumn="0" w:lastRowFirstColumn="0" w:lastRowLastColumn="0"/>
        </w:trPr>
        <w:tc>
          <w:tcPr>
            <w:tcW w:w="1665" w:type="pct"/>
          </w:tcPr>
          <w:p w14:paraId="307E1292" w14:textId="77777777" w:rsidR="00FA2FF9" w:rsidRPr="00730DE4" w:rsidRDefault="00FA2FF9" w:rsidP="008A742F">
            <w:pPr>
              <w:pStyle w:val="NoSpacing"/>
              <w:rPr>
                <w:lang w:val="en-US"/>
              </w:rPr>
            </w:pPr>
            <w:r w:rsidRPr="00730DE4">
              <w:rPr>
                <w:lang w:val="en-US"/>
              </w:rPr>
              <w:t>Public availability</w:t>
            </w:r>
          </w:p>
        </w:tc>
        <w:tc>
          <w:tcPr>
            <w:tcW w:w="1953" w:type="pct"/>
          </w:tcPr>
          <w:p w14:paraId="6F9B3BCF" w14:textId="77777777" w:rsidR="00FA2FF9" w:rsidRPr="00730DE4" w:rsidRDefault="00FA2FF9" w:rsidP="008A742F">
            <w:pPr>
              <w:pStyle w:val="NoSpacing"/>
              <w:rPr>
                <w:lang w:val="en-US"/>
              </w:rPr>
            </w:pPr>
            <w:r w:rsidRPr="00730DE4">
              <w:rPr>
                <w:lang w:val="en-US"/>
              </w:rPr>
              <w:t>ARRs – section 9.2</w:t>
            </w:r>
          </w:p>
        </w:tc>
        <w:tc>
          <w:tcPr>
            <w:tcW w:w="1382" w:type="pct"/>
          </w:tcPr>
          <w:p w14:paraId="31526D0F" w14:textId="609F4906" w:rsidR="00FA2FF9" w:rsidRPr="00730DE4" w:rsidRDefault="006B18FA" w:rsidP="008A742F">
            <w:pPr>
              <w:pStyle w:val="NoSpacing"/>
              <w:rPr>
                <w:lang w:val="en-US"/>
              </w:rPr>
            </w:pPr>
            <w:r w:rsidRPr="00730DE4">
              <w:rPr>
                <w:lang w:val="en-US"/>
              </w:rPr>
              <w:t>6</w:t>
            </w:r>
          </w:p>
        </w:tc>
      </w:tr>
      <w:tr w:rsidR="00FA2FF9" w:rsidRPr="00730DE4" w14:paraId="336BCA26" w14:textId="77777777" w:rsidTr="00B9757A">
        <w:tc>
          <w:tcPr>
            <w:tcW w:w="1665" w:type="pct"/>
          </w:tcPr>
          <w:p w14:paraId="14695355" w14:textId="77777777" w:rsidR="00FA2FF9" w:rsidRPr="00730DE4" w:rsidRDefault="00FA2FF9" w:rsidP="008A742F">
            <w:pPr>
              <w:pStyle w:val="NoSpacing"/>
              <w:rPr>
                <w:lang w:val="en-US"/>
              </w:rPr>
            </w:pPr>
            <w:r w:rsidRPr="00730DE4">
              <w:rPr>
                <w:lang w:val="en-US"/>
              </w:rPr>
              <w:t>Interpreter service statement</w:t>
            </w:r>
          </w:p>
        </w:tc>
        <w:tc>
          <w:tcPr>
            <w:tcW w:w="1953" w:type="pct"/>
          </w:tcPr>
          <w:p w14:paraId="27AEAFA2" w14:textId="77777777" w:rsidR="00FA2FF9" w:rsidRPr="00730DE4" w:rsidRDefault="00FA2FF9" w:rsidP="008A742F">
            <w:pPr>
              <w:pStyle w:val="NoSpacing"/>
              <w:rPr>
                <w:rStyle w:val="Emphasis"/>
              </w:rPr>
            </w:pPr>
            <w:r w:rsidRPr="00730DE4">
              <w:rPr>
                <w:rStyle w:val="Emphasis"/>
              </w:rPr>
              <w:t xml:space="preserve">Queensland Government Language Services Policy </w:t>
            </w:r>
          </w:p>
          <w:p w14:paraId="7394A5D3" w14:textId="77777777" w:rsidR="00FA2FF9" w:rsidRPr="00730DE4" w:rsidRDefault="00FA2FF9" w:rsidP="008A742F">
            <w:pPr>
              <w:pStyle w:val="NoSpacing"/>
              <w:rPr>
                <w:lang w:val="en-US"/>
              </w:rPr>
            </w:pPr>
            <w:r w:rsidRPr="00730DE4">
              <w:rPr>
                <w:lang w:val="en-US"/>
              </w:rPr>
              <w:t>ARRs – section 9.3</w:t>
            </w:r>
          </w:p>
        </w:tc>
        <w:tc>
          <w:tcPr>
            <w:tcW w:w="1382" w:type="pct"/>
          </w:tcPr>
          <w:p w14:paraId="28AA96E6" w14:textId="676A7803" w:rsidR="00FA2FF9" w:rsidRPr="00730DE4" w:rsidRDefault="006B18FA" w:rsidP="008A742F">
            <w:pPr>
              <w:pStyle w:val="NoSpacing"/>
              <w:rPr>
                <w:lang w:val="en-US"/>
              </w:rPr>
            </w:pPr>
            <w:r w:rsidRPr="00730DE4">
              <w:rPr>
                <w:lang w:val="en-US"/>
              </w:rPr>
              <w:t>6</w:t>
            </w:r>
          </w:p>
        </w:tc>
      </w:tr>
      <w:tr w:rsidR="000A65A9" w:rsidRPr="00730DE4" w14:paraId="7428D60E" w14:textId="77777777" w:rsidTr="00B9757A">
        <w:trPr>
          <w:cnfStyle w:val="000000100000" w:firstRow="0" w:lastRow="0" w:firstColumn="0" w:lastColumn="0" w:oddVBand="0" w:evenVBand="0" w:oddHBand="1" w:evenHBand="0" w:firstRowFirstColumn="0" w:firstRowLastColumn="0" w:lastRowFirstColumn="0" w:lastRowLastColumn="0"/>
        </w:trPr>
        <w:tc>
          <w:tcPr>
            <w:tcW w:w="1665" w:type="pct"/>
          </w:tcPr>
          <w:p w14:paraId="4936F06A" w14:textId="77777777" w:rsidR="00FA2FF9" w:rsidRPr="00730DE4" w:rsidRDefault="00FA2FF9" w:rsidP="008A742F">
            <w:pPr>
              <w:pStyle w:val="NoSpacing"/>
              <w:rPr>
                <w:lang w:val="en-US"/>
              </w:rPr>
            </w:pPr>
            <w:r w:rsidRPr="00730DE4">
              <w:rPr>
                <w:lang w:val="en-US"/>
              </w:rPr>
              <w:t>Copyright notice</w:t>
            </w:r>
          </w:p>
        </w:tc>
        <w:tc>
          <w:tcPr>
            <w:tcW w:w="1953" w:type="pct"/>
          </w:tcPr>
          <w:p w14:paraId="5BB1FFD4" w14:textId="77777777" w:rsidR="00FA2FF9" w:rsidRPr="00730DE4" w:rsidRDefault="00FA2FF9" w:rsidP="008A742F">
            <w:pPr>
              <w:pStyle w:val="NoSpacing"/>
              <w:rPr>
                <w:rStyle w:val="Emphasis"/>
              </w:rPr>
            </w:pPr>
            <w:r w:rsidRPr="00730DE4">
              <w:rPr>
                <w:rStyle w:val="Emphasis"/>
              </w:rPr>
              <w:t>Copyright Act 1968</w:t>
            </w:r>
          </w:p>
          <w:p w14:paraId="56B04261" w14:textId="77777777" w:rsidR="00FA2FF9" w:rsidRPr="00730DE4" w:rsidRDefault="00FA2FF9" w:rsidP="008A742F">
            <w:pPr>
              <w:pStyle w:val="NoSpacing"/>
              <w:rPr>
                <w:lang w:val="en-US"/>
              </w:rPr>
            </w:pPr>
            <w:r w:rsidRPr="00730DE4">
              <w:rPr>
                <w:lang w:val="en-US"/>
              </w:rPr>
              <w:t>ARRs – section 9.4</w:t>
            </w:r>
          </w:p>
        </w:tc>
        <w:tc>
          <w:tcPr>
            <w:tcW w:w="1382" w:type="pct"/>
          </w:tcPr>
          <w:p w14:paraId="42EF5F53" w14:textId="3F23DD1F" w:rsidR="00FA2FF9" w:rsidRPr="00730DE4" w:rsidRDefault="006B18FA" w:rsidP="008A742F">
            <w:pPr>
              <w:pStyle w:val="NoSpacing"/>
              <w:rPr>
                <w:lang w:val="en-US"/>
              </w:rPr>
            </w:pPr>
            <w:r w:rsidRPr="00730DE4">
              <w:rPr>
                <w:lang w:val="en-US"/>
              </w:rPr>
              <w:t>1</w:t>
            </w:r>
          </w:p>
        </w:tc>
      </w:tr>
      <w:tr w:rsidR="00FA2FF9" w:rsidRPr="00730DE4" w14:paraId="6BF23408" w14:textId="77777777" w:rsidTr="00B9757A">
        <w:tc>
          <w:tcPr>
            <w:tcW w:w="1665" w:type="pct"/>
          </w:tcPr>
          <w:p w14:paraId="5DA8CE4C" w14:textId="77777777" w:rsidR="00FA2FF9" w:rsidRPr="00730DE4" w:rsidRDefault="00FA2FF9" w:rsidP="005B03B0">
            <w:pPr>
              <w:pStyle w:val="NoSpacing"/>
            </w:pPr>
            <w:r w:rsidRPr="00730DE4">
              <w:t>Information Licensing</w:t>
            </w:r>
          </w:p>
        </w:tc>
        <w:tc>
          <w:tcPr>
            <w:tcW w:w="1953" w:type="pct"/>
          </w:tcPr>
          <w:p w14:paraId="2FFF1326" w14:textId="77777777" w:rsidR="00FA2FF9" w:rsidRPr="00730DE4" w:rsidRDefault="00FA2FF9" w:rsidP="005B03B0">
            <w:pPr>
              <w:pStyle w:val="NoSpacing"/>
            </w:pPr>
            <w:r w:rsidRPr="00730DE4">
              <w:t xml:space="preserve">QGEA – Information Licensing </w:t>
            </w:r>
          </w:p>
          <w:p w14:paraId="678E74F7" w14:textId="77777777" w:rsidR="00FA2FF9" w:rsidRPr="00730DE4" w:rsidRDefault="00FA2FF9" w:rsidP="005B03B0">
            <w:pPr>
              <w:pStyle w:val="NoSpacing"/>
            </w:pPr>
            <w:r w:rsidRPr="00730DE4">
              <w:t>ARRs – section 9.5</w:t>
            </w:r>
          </w:p>
        </w:tc>
        <w:tc>
          <w:tcPr>
            <w:tcW w:w="1382" w:type="pct"/>
          </w:tcPr>
          <w:p w14:paraId="5F2A119A" w14:textId="7ABC91EC" w:rsidR="00FA2FF9" w:rsidRPr="00730DE4" w:rsidRDefault="006B18FA" w:rsidP="005B03B0">
            <w:pPr>
              <w:pStyle w:val="NoSpacing"/>
            </w:pPr>
            <w:r w:rsidRPr="00730DE4">
              <w:t>1</w:t>
            </w:r>
          </w:p>
        </w:tc>
      </w:tr>
    </w:tbl>
    <w:p w14:paraId="685A5EEB" w14:textId="77777777" w:rsidR="00FA2FF9" w:rsidRPr="00730DE4" w:rsidRDefault="00FA2FF9" w:rsidP="002B7001">
      <w:pPr>
        <w:pStyle w:val="Heading3"/>
      </w:pPr>
      <w:bookmarkStart w:id="1843" w:name="_Toc180487839"/>
      <w:bookmarkStart w:id="1844" w:name="_Toc180491044"/>
      <w:bookmarkStart w:id="1845" w:name="_Toc180492077"/>
      <w:r w:rsidRPr="00730DE4">
        <w:t>General information</w:t>
      </w:r>
      <w:bookmarkEnd w:id="1843"/>
      <w:bookmarkEnd w:id="1844"/>
      <w:bookmarkEnd w:id="1845"/>
      <w:r w:rsidRPr="00730DE4">
        <w:t xml:space="preserve"> </w:t>
      </w:r>
    </w:p>
    <w:tbl>
      <w:tblPr>
        <w:tblStyle w:val="TMRDefault"/>
        <w:tblW w:w="5000" w:type="pct"/>
        <w:tblLook w:val="0020" w:firstRow="1" w:lastRow="0" w:firstColumn="0" w:lastColumn="0" w:noHBand="0" w:noVBand="0"/>
      </w:tblPr>
      <w:tblGrid>
        <w:gridCol w:w="4917"/>
        <w:gridCol w:w="5577"/>
        <w:gridCol w:w="3498"/>
      </w:tblGrid>
      <w:tr w:rsidR="000A65A9" w:rsidRPr="00730DE4" w14:paraId="0F9CA12B" w14:textId="77777777" w:rsidTr="0069763E">
        <w:trPr>
          <w:cnfStyle w:val="100000000000" w:firstRow="1" w:lastRow="0" w:firstColumn="0" w:lastColumn="0" w:oddVBand="0" w:evenVBand="0" w:oddHBand="0" w:evenHBand="0" w:firstRowFirstColumn="0" w:firstRowLastColumn="0" w:lastRowFirstColumn="0" w:lastRowLastColumn="0"/>
          <w:tblHeader/>
        </w:trPr>
        <w:tc>
          <w:tcPr>
            <w:tcW w:w="1757" w:type="pct"/>
          </w:tcPr>
          <w:p w14:paraId="6DF83DBA" w14:textId="77777777" w:rsidR="00FA2FF9" w:rsidRPr="00730DE4" w:rsidRDefault="00FA2FF9" w:rsidP="008A742F">
            <w:pPr>
              <w:pStyle w:val="NoSpacing"/>
              <w:rPr>
                <w:color w:val="FFFFFF" w:themeColor="background1"/>
                <w:lang w:val="en-US"/>
              </w:rPr>
            </w:pPr>
            <w:r w:rsidRPr="00730DE4">
              <w:rPr>
                <w:color w:val="FFFFFF" w:themeColor="background1"/>
                <w:lang w:val="en-US"/>
              </w:rPr>
              <w:t>Summary of requirement</w:t>
            </w:r>
          </w:p>
        </w:tc>
        <w:tc>
          <w:tcPr>
            <w:tcW w:w="1993" w:type="pct"/>
          </w:tcPr>
          <w:p w14:paraId="6764F909" w14:textId="77777777" w:rsidR="00FA2FF9" w:rsidRPr="00730DE4" w:rsidRDefault="00FA2FF9" w:rsidP="008A742F">
            <w:pPr>
              <w:pStyle w:val="NoSpacing"/>
              <w:rPr>
                <w:color w:val="FFFFFF" w:themeColor="background1"/>
                <w:lang w:val="en-US"/>
              </w:rPr>
            </w:pPr>
            <w:r w:rsidRPr="00730DE4">
              <w:rPr>
                <w:color w:val="FFFFFF" w:themeColor="background1"/>
                <w:lang w:val="en-US"/>
              </w:rPr>
              <w:t>Basis of requirement</w:t>
            </w:r>
          </w:p>
        </w:tc>
        <w:tc>
          <w:tcPr>
            <w:tcW w:w="1250" w:type="pct"/>
          </w:tcPr>
          <w:p w14:paraId="27B2C0D6" w14:textId="77777777" w:rsidR="00FA2FF9" w:rsidRPr="00730DE4" w:rsidRDefault="00FA2FF9" w:rsidP="008A742F">
            <w:pPr>
              <w:pStyle w:val="NoSpacing"/>
              <w:rPr>
                <w:color w:val="FFFFFF" w:themeColor="background1"/>
                <w:lang w:val="en-US"/>
              </w:rPr>
            </w:pPr>
            <w:r w:rsidRPr="00730DE4">
              <w:rPr>
                <w:color w:val="FFFFFF" w:themeColor="background1"/>
                <w:lang w:val="en-US"/>
              </w:rPr>
              <w:t>Annual Report reference</w:t>
            </w:r>
          </w:p>
        </w:tc>
      </w:tr>
      <w:tr w:rsidR="000A65A9" w:rsidRPr="00730DE4" w14:paraId="0410660E" w14:textId="77777777" w:rsidTr="0069763E">
        <w:trPr>
          <w:cnfStyle w:val="000000100000" w:firstRow="0" w:lastRow="0" w:firstColumn="0" w:lastColumn="0" w:oddVBand="0" w:evenVBand="0" w:oddHBand="1" w:evenHBand="0" w:firstRowFirstColumn="0" w:firstRowLastColumn="0" w:lastRowFirstColumn="0" w:lastRowLastColumn="0"/>
        </w:trPr>
        <w:tc>
          <w:tcPr>
            <w:tcW w:w="1757" w:type="pct"/>
          </w:tcPr>
          <w:p w14:paraId="06DFB6C8" w14:textId="77777777" w:rsidR="00FA2FF9" w:rsidRPr="00730DE4" w:rsidRDefault="00FA2FF9" w:rsidP="008A742F">
            <w:pPr>
              <w:pStyle w:val="NoSpacing"/>
              <w:rPr>
                <w:lang w:val="en-US"/>
              </w:rPr>
            </w:pPr>
            <w:r w:rsidRPr="00730DE4">
              <w:rPr>
                <w:lang w:val="en-US"/>
              </w:rPr>
              <w:t>Introductory information</w:t>
            </w:r>
          </w:p>
        </w:tc>
        <w:tc>
          <w:tcPr>
            <w:tcW w:w="1993" w:type="pct"/>
          </w:tcPr>
          <w:p w14:paraId="4F73C70F" w14:textId="77777777" w:rsidR="00FA2FF9" w:rsidRPr="00730DE4" w:rsidRDefault="00FA2FF9" w:rsidP="008A742F">
            <w:pPr>
              <w:pStyle w:val="NoSpacing"/>
              <w:rPr>
                <w:lang w:val="en-US"/>
              </w:rPr>
            </w:pPr>
            <w:r w:rsidRPr="00730DE4">
              <w:rPr>
                <w:lang w:val="en-US"/>
              </w:rPr>
              <w:t>ARRs – section 10</w:t>
            </w:r>
          </w:p>
        </w:tc>
        <w:tc>
          <w:tcPr>
            <w:tcW w:w="1250" w:type="pct"/>
          </w:tcPr>
          <w:p w14:paraId="27A87154" w14:textId="480B2ED8" w:rsidR="00FA2FF9" w:rsidRPr="00730DE4" w:rsidRDefault="003E7B3E" w:rsidP="008A742F">
            <w:pPr>
              <w:pStyle w:val="NoSpacing"/>
              <w:rPr>
                <w:lang w:val="en-US"/>
              </w:rPr>
            </w:pPr>
            <w:r w:rsidRPr="00730DE4">
              <w:rPr>
                <w:lang w:val="en-US"/>
              </w:rPr>
              <w:t>5–8</w:t>
            </w:r>
            <w:r w:rsidR="00073E13" w:rsidRPr="00730DE4">
              <w:rPr>
                <w:lang w:val="en-US"/>
              </w:rPr>
              <w:t>, 71–73</w:t>
            </w:r>
          </w:p>
        </w:tc>
      </w:tr>
    </w:tbl>
    <w:p w14:paraId="09AD8455" w14:textId="77777777" w:rsidR="00FA2FF9" w:rsidRPr="00730DE4" w:rsidRDefault="00FA2FF9" w:rsidP="002B7001">
      <w:pPr>
        <w:pStyle w:val="Heading3"/>
      </w:pPr>
      <w:bookmarkStart w:id="1846" w:name="_Toc180487840"/>
      <w:bookmarkStart w:id="1847" w:name="_Toc180491045"/>
      <w:bookmarkStart w:id="1848" w:name="_Toc180492078"/>
      <w:r w:rsidRPr="00730DE4">
        <w:t>Non-financial performance</w:t>
      </w:r>
      <w:bookmarkEnd w:id="1846"/>
      <w:bookmarkEnd w:id="1847"/>
      <w:bookmarkEnd w:id="1848"/>
    </w:p>
    <w:tbl>
      <w:tblPr>
        <w:tblStyle w:val="TMRDefault"/>
        <w:tblW w:w="5000" w:type="pct"/>
        <w:tblLook w:val="0020" w:firstRow="1" w:lastRow="0" w:firstColumn="0" w:lastColumn="0" w:noHBand="0" w:noVBand="0"/>
      </w:tblPr>
      <w:tblGrid>
        <w:gridCol w:w="7214"/>
        <w:gridCol w:w="3789"/>
        <w:gridCol w:w="2989"/>
      </w:tblGrid>
      <w:tr w:rsidR="000A65A9" w:rsidRPr="00730DE4" w14:paraId="155AC619" w14:textId="77777777" w:rsidTr="0069763E">
        <w:trPr>
          <w:cnfStyle w:val="100000000000" w:firstRow="1" w:lastRow="0" w:firstColumn="0" w:lastColumn="0" w:oddVBand="0" w:evenVBand="0" w:oddHBand="0" w:evenHBand="0" w:firstRowFirstColumn="0" w:firstRowLastColumn="0" w:lastRowFirstColumn="0" w:lastRowLastColumn="0"/>
          <w:tblHeader/>
        </w:trPr>
        <w:tc>
          <w:tcPr>
            <w:tcW w:w="2578" w:type="pct"/>
          </w:tcPr>
          <w:p w14:paraId="60BA5751" w14:textId="77777777" w:rsidR="00FA2FF9" w:rsidRPr="00730DE4" w:rsidRDefault="00FA2FF9" w:rsidP="008A742F">
            <w:pPr>
              <w:pStyle w:val="NoSpacing"/>
              <w:rPr>
                <w:color w:val="FFFFFF" w:themeColor="background1"/>
                <w:lang w:val="en-US"/>
              </w:rPr>
            </w:pPr>
            <w:r w:rsidRPr="00730DE4">
              <w:rPr>
                <w:color w:val="FFFFFF" w:themeColor="background1"/>
                <w:lang w:val="en-US"/>
              </w:rPr>
              <w:t>Summary of requirement</w:t>
            </w:r>
          </w:p>
        </w:tc>
        <w:tc>
          <w:tcPr>
            <w:tcW w:w="1354" w:type="pct"/>
          </w:tcPr>
          <w:p w14:paraId="67B49F3B" w14:textId="77777777" w:rsidR="00FA2FF9" w:rsidRPr="00730DE4" w:rsidRDefault="00FA2FF9" w:rsidP="008A742F">
            <w:pPr>
              <w:pStyle w:val="NoSpacing"/>
              <w:rPr>
                <w:color w:val="FFFFFF" w:themeColor="background1"/>
                <w:lang w:val="en-US"/>
              </w:rPr>
            </w:pPr>
            <w:r w:rsidRPr="00730DE4">
              <w:rPr>
                <w:color w:val="FFFFFF" w:themeColor="background1"/>
                <w:lang w:val="en-US"/>
              </w:rPr>
              <w:t>Basis for requirements</w:t>
            </w:r>
          </w:p>
        </w:tc>
        <w:tc>
          <w:tcPr>
            <w:tcW w:w="1068" w:type="pct"/>
          </w:tcPr>
          <w:p w14:paraId="174D8E5A" w14:textId="77777777" w:rsidR="00FA2FF9" w:rsidRPr="00730DE4" w:rsidRDefault="00FA2FF9" w:rsidP="008A742F">
            <w:pPr>
              <w:pStyle w:val="NoSpacing"/>
              <w:rPr>
                <w:color w:val="FFFFFF" w:themeColor="background1"/>
                <w:lang w:val="en-US"/>
              </w:rPr>
            </w:pPr>
            <w:r w:rsidRPr="00730DE4">
              <w:rPr>
                <w:color w:val="FFFFFF" w:themeColor="background1"/>
                <w:lang w:val="en-US"/>
              </w:rPr>
              <w:t>Annual Report reference</w:t>
            </w:r>
          </w:p>
        </w:tc>
      </w:tr>
      <w:tr w:rsidR="000A65A9" w:rsidRPr="00730DE4" w14:paraId="0A0AF541" w14:textId="77777777" w:rsidTr="0069763E">
        <w:trPr>
          <w:cnfStyle w:val="000000100000" w:firstRow="0" w:lastRow="0" w:firstColumn="0" w:lastColumn="0" w:oddVBand="0" w:evenVBand="0" w:oddHBand="1" w:evenHBand="0" w:firstRowFirstColumn="0" w:firstRowLastColumn="0" w:lastRowFirstColumn="0" w:lastRowLastColumn="0"/>
        </w:trPr>
        <w:tc>
          <w:tcPr>
            <w:tcW w:w="2578" w:type="pct"/>
          </w:tcPr>
          <w:p w14:paraId="566E77C9" w14:textId="77777777" w:rsidR="00FA2FF9" w:rsidRPr="00730DE4" w:rsidRDefault="00FA2FF9" w:rsidP="008A742F">
            <w:pPr>
              <w:pStyle w:val="NoSpacing"/>
              <w:rPr>
                <w:lang w:val="en-US"/>
              </w:rPr>
            </w:pPr>
            <w:r w:rsidRPr="00730DE4">
              <w:rPr>
                <w:lang w:val="en-US"/>
              </w:rPr>
              <w:t>Government's objectives for the community and whole-of-government plans/specific initiatives</w:t>
            </w:r>
          </w:p>
        </w:tc>
        <w:tc>
          <w:tcPr>
            <w:tcW w:w="1354" w:type="pct"/>
          </w:tcPr>
          <w:p w14:paraId="66F63787" w14:textId="77777777" w:rsidR="00FA2FF9" w:rsidRPr="00730DE4" w:rsidRDefault="00FA2FF9" w:rsidP="008A742F">
            <w:pPr>
              <w:pStyle w:val="NoSpacing"/>
              <w:rPr>
                <w:lang w:val="en-US"/>
              </w:rPr>
            </w:pPr>
            <w:r w:rsidRPr="00730DE4">
              <w:rPr>
                <w:lang w:val="en-US"/>
              </w:rPr>
              <w:t>ARRs – section 11.1</w:t>
            </w:r>
          </w:p>
        </w:tc>
        <w:tc>
          <w:tcPr>
            <w:tcW w:w="1068" w:type="pct"/>
          </w:tcPr>
          <w:p w14:paraId="0EBD2A43" w14:textId="4036D3B4" w:rsidR="00FA2FF9" w:rsidRPr="00730DE4" w:rsidRDefault="00FD5312" w:rsidP="008A742F">
            <w:pPr>
              <w:pStyle w:val="NoSpacing"/>
              <w:rPr>
                <w:lang w:val="en-US"/>
              </w:rPr>
            </w:pPr>
            <w:r w:rsidRPr="00730DE4">
              <w:rPr>
                <w:lang w:val="en-US"/>
              </w:rPr>
              <w:t>20, 27–31</w:t>
            </w:r>
          </w:p>
        </w:tc>
      </w:tr>
      <w:tr w:rsidR="00FA2FF9" w:rsidRPr="00730DE4" w14:paraId="1445A04D" w14:textId="77777777" w:rsidTr="0069763E">
        <w:tc>
          <w:tcPr>
            <w:tcW w:w="2578" w:type="pct"/>
          </w:tcPr>
          <w:p w14:paraId="616F78D5" w14:textId="77777777" w:rsidR="00FA2FF9" w:rsidRPr="00730DE4" w:rsidRDefault="00FA2FF9" w:rsidP="008A742F">
            <w:pPr>
              <w:pStyle w:val="NoSpacing"/>
              <w:rPr>
                <w:lang w:val="en-US"/>
              </w:rPr>
            </w:pPr>
            <w:r w:rsidRPr="00730DE4">
              <w:rPr>
                <w:lang w:val="en-US"/>
              </w:rPr>
              <w:t xml:space="preserve">Agency objectives and performance indicators </w:t>
            </w:r>
          </w:p>
        </w:tc>
        <w:tc>
          <w:tcPr>
            <w:tcW w:w="1354" w:type="pct"/>
          </w:tcPr>
          <w:p w14:paraId="0C7B6264" w14:textId="77777777" w:rsidR="00FA2FF9" w:rsidRPr="00730DE4" w:rsidRDefault="00FA2FF9" w:rsidP="008A742F">
            <w:pPr>
              <w:pStyle w:val="NoSpacing"/>
              <w:rPr>
                <w:lang w:val="en-US"/>
              </w:rPr>
            </w:pPr>
            <w:r w:rsidRPr="00730DE4">
              <w:rPr>
                <w:lang w:val="en-US"/>
              </w:rPr>
              <w:t>ARRs – section 11.2</w:t>
            </w:r>
          </w:p>
        </w:tc>
        <w:tc>
          <w:tcPr>
            <w:tcW w:w="1068" w:type="pct"/>
          </w:tcPr>
          <w:p w14:paraId="747A5617" w14:textId="2923E47A" w:rsidR="00FA2FF9" w:rsidRPr="00730DE4" w:rsidRDefault="004929AF" w:rsidP="008A742F">
            <w:pPr>
              <w:pStyle w:val="NoSpacing"/>
              <w:rPr>
                <w:lang w:val="en-US"/>
              </w:rPr>
            </w:pPr>
            <w:r w:rsidRPr="00730DE4">
              <w:rPr>
                <w:lang w:val="en-US"/>
              </w:rPr>
              <w:t>20–26</w:t>
            </w:r>
          </w:p>
        </w:tc>
      </w:tr>
      <w:tr w:rsidR="000A65A9" w:rsidRPr="00730DE4" w14:paraId="60E50DC7" w14:textId="77777777" w:rsidTr="0069763E">
        <w:trPr>
          <w:cnfStyle w:val="000000100000" w:firstRow="0" w:lastRow="0" w:firstColumn="0" w:lastColumn="0" w:oddVBand="0" w:evenVBand="0" w:oddHBand="1" w:evenHBand="0" w:firstRowFirstColumn="0" w:firstRowLastColumn="0" w:lastRowFirstColumn="0" w:lastRowLastColumn="0"/>
        </w:trPr>
        <w:tc>
          <w:tcPr>
            <w:tcW w:w="2578" w:type="pct"/>
          </w:tcPr>
          <w:p w14:paraId="4E236BD6" w14:textId="77777777" w:rsidR="00FA2FF9" w:rsidRPr="00730DE4" w:rsidRDefault="00FA2FF9" w:rsidP="008A742F">
            <w:pPr>
              <w:pStyle w:val="NoSpacing"/>
              <w:rPr>
                <w:lang w:val="en-US"/>
              </w:rPr>
            </w:pPr>
            <w:r w:rsidRPr="00730DE4">
              <w:rPr>
                <w:lang w:val="en-US"/>
              </w:rPr>
              <w:t>Agency service areas and service standards</w:t>
            </w:r>
          </w:p>
        </w:tc>
        <w:tc>
          <w:tcPr>
            <w:tcW w:w="1354" w:type="pct"/>
          </w:tcPr>
          <w:p w14:paraId="3FECBD9E" w14:textId="77777777" w:rsidR="00FA2FF9" w:rsidRPr="00730DE4" w:rsidRDefault="00FA2FF9" w:rsidP="008A742F">
            <w:pPr>
              <w:pStyle w:val="NoSpacing"/>
              <w:rPr>
                <w:lang w:val="en-US"/>
              </w:rPr>
            </w:pPr>
            <w:r w:rsidRPr="00730DE4">
              <w:rPr>
                <w:lang w:val="en-US"/>
              </w:rPr>
              <w:t>ARRs – section 11.3</w:t>
            </w:r>
          </w:p>
        </w:tc>
        <w:tc>
          <w:tcPr>
            <w:tcW w:w="1068" w:type="pct"/>
          </w:tcPr>
          <w:p w14:paraId="78333E2C" w14:textId="077B2E9E" w:rsidR="00FA2FF9" w:rsidRPr="00730DE4" w:rsidRDefault="004929AF" w:rsidP="008A742F">
            <w:pPr>
              <w:pStyle w:val="NoSpacing"/>
              <w:rPr>
                <w:lang w:val="en-US"/>
              </w:rPr>
            </w:pPr>
            <w:r w:rsidRPr="00730DE4">
              <w:rPr>
                <w:lang w:val="en-US"/>
              </w:rPr>
              <w:t>20–26</w:t>
            </w:r>
          </w:p>
        </w:tc>
      </w:tr>
    </w:tbl>
    <w:p w14:paraId="30961A82" w14:textId="77777777" w:rsidR="00FA2FF9" w:rsidRPr="00730DE4" w:rsidRDefault="00FA2FF9" w:rsidP="002B7001">
      <w:pPr>
        <w:pStyle w:val="Heading3"/>
      </w:pPr>
      <w:bookmarkStart w:id="1849" w:name="_Toc180487841"/>
      <w:bookmarkStart w:id="1850" w:name="_Toc180491046"/>
      <w:bookmarkStart w:id="1851" w:name="_Toc180492079"/>
      <w:r w:rsidRPr="00730DE4">
        <w:t>Financial performance</w:t>
      </w:r>
      <w:bookmarkEnd w:id="1849"/>
      <w:bookmarkEnd w:id="1850"/>
      <w:bookmarkEnd w:id="1851"/>
    </w:p>
    <w:tbl>
      <w:tblPr>
        <w:tblStyle w:val="TMRDefault"/>
        <w:tblW w:w="5000" w:type="pct"/>
        <w:tblLook w:val="0020" w:firstRow="1" w:lastRow="0" w:firstColumn="0" w:lastColumn="0" w:noHBand="0" w:noVBand="0"/>
      </w:tblPr>
      <w:tblGrid>
        <w:gridCol w:w="5904"/>
        <w:gridCol w:w="5029"/>
        <w:gridCol w:w="3059"/>
      </w:tblGrid>
      <w:tr w:rsidR="000A65A9" w:rsidRPr="00730DE4" w14:paraId="6EE9991B" w14:textId="77777777" w:rsidTr="0069763E">
        <w:trPr>
          <w:cnfStyle w:val="100000000000" w:firstRow="1" w:lastRow="0" w:firstColumn="0" w:lastColumn="0" w:oddVBand="0" w:evenVBand="0" w:oddHBand="0" w:evenHBand="0" w:firstRowFirstColumn="0" w:firstRowLastColumn="0" w:lastRowFirstColumn="0" w:lastRowLastColumn="0"/>
          <w:tblHeader/>
        </w:trPr>
        <w:tc>
          <w:tcPr>
            <w:tcW w:w="2110" w:type="pct"/>
          </w:tcPr>
          <w:p w14:paraId="0983B623" w14:textId="77777777" w:rsidR="00FA2FF9" w:rsidRPr="00730DE4" w:rsidRDefault="00FA2FF9" w:rsidP="008A742F">
            <w:pPr>
              <w:pStyle w:val="NoSpacing"/>
              <w:rPr>
                <w:color w:val="FFFFFF" w:themeColor="background1"/>
                <w:lang w:val="en-US"/>
              </w:rPr>
            </w:pPr>
            <w:r w:rsidRPr="00730DE4">
              <w:rPr>
                <w:color w:val="FFFFFF" w:themeColor="background1"/>
                <w:lang w:val="en-US"/>
              </w:rPr>
              <w:t>Summary of requirement</w:t>
            </w:r>
          </w:p>
        </w:tc>
        <w:tc>
          <w:tcPr>
            <w:tcW w:w="1797" w:type="pct"/>
          </w:tcPr>
          <w:p w14:paraId="1CEF0614" w14:textId="77777777" w:rsidR="00FA2FF9" w:rsidRPr="00730DE4" w:rsidRDefault="00FA2FF9" w:rsidP="008A742F">
            <w:pPr>
              <w:pStyle w:val="NoSpacing"/>
              <w:rPr>
                <w:color w:val="FFFFFF" w:themeColor="background1"/>
                <w:lang w:val="en-US"/>
              </w:rPr>
            </w:pPr>
            <w:r w:rsidRPr="00730DE4">
              <w:rPr>
                <w:color w:val="FFFFFF" w:themeColor="background1"/>
                <w:lang w:val="en-US"/>
              </w:rPr>
              <w:t>Basis for requirement</w:t>
            </w:r>
          </w:p>
        </w:tc>
        <w:tc>
          <w:tcPr>
            <w:tcW w:w="1093" w:type="pct"/>
          </w:tcPr>
          <w:p w14:paraId="18C8EAEF" w14:textId="77777777" w:rsidR="00FA2FF9" w:rsidRPr="00730DE4" w:rsidRDefault="00FA2FF9" w:rsidP="008A742F">
            <w:pPr>
              <w:pStyle w:val="NoSpacing"/>
              <w:rPr>
                <w:color w:val="FFFFFF" w:themeColor="background1"/>
                <w:lang w:val="en-US"/>
              </w:rPr>
            </w:pPr>
            <w:r w:rsidRPr="00730DE4">
              <w:rPr>
                <w:color w:val="FFFFFF" w:themeColor="background1"/>
                <w:lang w:val="en-US"/>
              </w:rPr>
              <w:t>Annual report reference</w:t>
            </w:r>
          </w:p>
        </w:tc>
      </w:tr>
      <w:tr w:rsidR="000A65A9" w:rsidRPr="00730DE4" w14:paraId="381D8212" w14:textId="77777777" w:rsidTr="0069763E">
        <w:trPr>
          <w:cnfStyle w:val="000000100000" w:firstRow="0" w:lastRow="0" w:firstColumn="0" w:lastColumn="0" w:oddVBand="0" w:evenVBand="0" w:oddHBand="1" w:evenHBand="0" w:firstRowFirstColumn="0" w:firstRowLastColumn="0" w:lastRowFirstColumn="0" w:lastRowLastColumn="0"/>
        </w:trPr>
        <w:tc>
          <w:tcPr>
            <w:tcW w:w="2110" w:type="pct"/>
          </w:tcPr>
          <w:p w14:paraId="12A38930" w14:textId="77777777" w:rsidR="00FA2FF9" w:rsidRPr="00730DE4" w:rsidRDefault="00FA2FF9" w:rsidP="008A742F">
            <w:pPr>
              <w:pStyle w:val="NoSpacing"/>
              <w:rPr>
                <w:lang w:val="en-US"/>
              </w:rPr>
            </w:pPr>
            <w:r w:rsidRPr="00730DE4">
              <w:rPr>
                <w:lang w:val="en-US"/>
              </w:rPr>
              <w:t>Summary of financial performance</w:t>
            </w:r>
          </w:p>
        </w:tc>
        <w:tc>
          <w:tcPr>
            <w:tcW w:w="1797" w:type="pct"/>
          </w:tcPr>
          <w:p w14:paraId="26D2AAF7" w14:textId="77777777" w:rsidR="00FA2FF9" w:rsidRPr="00730DE4" w:rsidRDefault="00FA2FF9" w:rsidP="008A742F">
            <w:pPr>
              <w:pStyle w:val="NoSpacing"/>
              <w:rPr>
                <w:lang w:val="en-US"/>
              </w:rPr>
            </w:pPr>
            <w:r w:rsidRPr="00730DE4">
              <w:rPr>
                <w:lang w:val="en-US"/>
              </w:rPr>
              <w:t>ARRs – section 12.1</w:t>
            </w:r>
          </w:p>
        </w:tc>
        <w:tc>
          <w:tcPr>
            <w:tcW w:w="1093" w:type="pct"/>
          </w:tcPr>
          <w:p w14:paraId="7AF585DE" w14:textId="5DB757D6" w:rsidR="00FA2FF9" w:rsidRPr="00730DE4" w:rsidRDefault="003B3F5D" w:rsidP="008A742F">
            <w:pPr>
              <w:pStyle w:val="NoSpacing"/>
              <w:rPr>
                <w:lang w:val="en-US"/>
              </w:rPr>
            </w:pPr>
            <w:r w:rsidRPr="00730DE4">
              <w:rPr>
                <w:lang w:val="en-US"/>
              </w:rPr>
              <w:t>15-19</w:t>
            </w:r>
          </w:p>
        </w:tc>
      </w:tr>
    </w:tbl>
    <w:p w14:paraId="13BCD3C7" w14:textId="77777777" w:rsidR="00FA2FF9" w:rsidRPr="00730DE4" w:rsidRDefault="00FA2FF9" w:rsidP="002B7001">
      <w:pPr>
        <w:pStyle w:val="Heading3"/>
      </w:pPr>
      <w:bookmarkStart w:id="1852" w:name="_Toc180487842"/>
      <w:bookmarkStart w:id="1853" w:name="_Toc180491047"/>
      <w:bookmarkStart w:id="1854" w:name="_Toc180492080"/>
      <w:r w:rsidRPr="00730DE4">
        <w:t>Governance – management and structure</w:t>
      </w:r>
      <w:bookmarkEnd w:id="1852"/>
      <w:bookmarkEnd w:id="1853"/>
      <w:bookmarkEnd w:id="1854"/>
    </w:p>
    <w:tbl>
      <w:tblPr>
        <w:tblStyle w:val="TMRDefault"/>
        <w:tblW w:w="5000" w:type="pct"/>
        <w:tblLook w:val="0020" w:firstRow="1" w:lastRow="0" w:firstColumn="0" w:lastColumn="0" w:noHBand="0" w:noVBand="0"/>
      </w:tblPr>
      <w:tblGrid>
        <w:gridCol w:w="5899"/>
        <w:gridCol w:w="5032"/>
        <w:gridCol w:w="3061"/>
      </w:tblGrid>
      <w:tr w:rsidR="000A65A9" w:rsidRPr="00730DE4" w14:paraId="1DB9E4AB" w14:textId="77777777" w:rsidTr="00B9757A">
        <w:trPr>
          <w:cnfStyle w:val="100000000000" w:firstRow="1" w:lastRow="0" w:firstColumn="0" w:lastColumn="0" w:oddVBand="0" w:evenVBand="0" w:oddHBand="0" w:evenHBand="0" w:firstRowFirstColumn="0" w:firstRowLastColumn="0" w:lastRowFirstColumn="0" w:lastRowLastColumn="0"/>
          <w:tblHeader/>
        </w:trPr>
        <w:tc>
          <w:tcPr>
            <w:tcW w:w="2108" w:type="pct"/>
          </w:tcPr>
          <w:p w14:paraId="4E152D38" w14:textId="77777777" w:rsidR="00FA2FF9" w:rsidRPr="00730DE4" w:rsidRDefault="00FA2FF9" w:rsidP="008A742F">
            <w:pPr>
              <w:pStyle w:val="NoSpacing"/>
              <w:rPr>
                <w:color w:val="FFFFFF" w:themeColor="background1"/>
                <w:lang w:val="en-US"/>
              </w:rPr>
            </w:pPr>
            <w:r w:rsidRPr="00730DE4">
              <w:rPr>
                <w:color w:val="FFFFFF" w:themeColor="background1"/>
                <w:lang w:val="en-US"/>
              </w:rPr>
              <w:t>Summary of requirement</w:t>
            </w:r>
          </w:p>
        </w:tc>
        <w:tc>
          <w:tcPr>
            <w:tcW w:w="1798" w:type="pct"/>
          </w:tcPr>
          <w:p w14:paraId="1D749277" w14:textId="77777777" w:rsidR="00FA2FF9" w:rsidRPr="00730DE4" w:rsidRDefault="00FA2FF9" w:rsidP="008A742F">
            <w:pPr>
              <w:pStyle w:val="NoSpacing"/>
              <w:rPr>
                <w:color w:val="FFFFFF" w:themeColor="background1"/>
                <w:lang w:val="en-US"/>
              </w:rPr>
            </w:pPr>
            <w:r w:rsidRPr="00730DE4">
              <w:rPr>
                <w:color w:val="FFFFFF" w:themeColor="background1"/>
                <w:lang w:val="en-US"/>
              </w:rPr>
              <w:t>Basis for requirement</w:t>
            </w:r>
          </w:p>
        </w:tc>
        <w:tc>
          <w:tcPr>
            <w:tcW w:w="1094" w:type="pct"/>
          </w:tcPr>
          <w:p w14:paraId="1C239FE5" w14:textId="77777777" w:rsidR="00FA2FF9" w:rsidRPr="00730DE4" w:rsidRDefault="00FA2FF9" w:rsidP="008A742F">
            <w:pPr>
              <w:pStyle w:val="NoSpacing"/>
              <w:rPr>
                <w:color w:val="FFFFFF" w:themeColor="background1"/>
                <w:lang w:val="en-US"/>
              </w:rPr>
            </w:pPr>
            <w:r w:rsidRPr="00730DE4">
              <w:rPr>
                <w:color w:val="FFFFFF" w:themeColor="background1"/>
                <w:lang w:val="en-US"/>
              </w:rPr>
              <w:t>Annual report reference</w:t>
            </w:r>
          </w:p>
        </w:tc>
      </w:tr>
      <w:tr w:rsidR="000A65A9" w:rsidRPr="00730DE4" w14:paraId="7C5BB21A" w14:textId="77777777" w:rsidTr="00B9757A">
        <w:trPr>
          <w:cnfStyle w:val="000000100000" w:firstRow="0" w:lastRow="0" w:firstColumn="0" w:lastColumn="0" w:oddVBand="0" w:evenVBand="0" w:oddHBand="1" w:evenHBand="0" w:firstRowFirstColumn="0" w:firstRowLastColumn="0" w:lastRowFirstColumn="0" w:lastRowLastColumn="0"/>
        </w:trPr>
        <w:tc>
          <w:tcPr>
            <w:tcW w:w="2108" w:type="pct"/>
          </w:tcPr>
          <w:p w14:paraId="7F862ABE" w14:textId="77777777" w:rsidR="00FA2FF9" w:rsidRPr="00730DE4" w:rsidRDefault="00FA2FF9" w:rsidP="008A742F">
            <w:pPr>
              <w:pStyle w:val="NoSpacing"/>
              <w:rPr>
                <w:lang w:val="en-US"/>
              </w:rPr>
            </w:pPr>
            <w:r w:rsidRPr="00730DE4">
              <w:rPr>
                <w:lang w:val="en-US"/>
              </w:rPr>
              <w:t>Organisational structure</w:t>
            </w:r>
          </w:p>
        </w:tc>
        <w:tc>
          <w:tcPr>
            <w:tcW w:w="1798" w:type="pct"/>
          </w:tcPr>
          <w:p w14:paraId="5922A4D2" w14:textId="77777777" w:rsidR="00FA2FF9" w:rsidRPr="00730DE4" w:rsidRDefault="00FA2FF9" w:rsidP="008A742F">
            <w:pPr>
              <w:pStyle w:val="NoSpacing"/>
              <w:rPr>
                <w:lang w:val="en-US"/>
              </w:rPr>
            </w:pPr>
            <w:r w:rsidRPr="00730DE4">
              <w:rPr>
                <w:lang w:val="en-US"/>
              </w:rPr>
              <w:t>ARRs – section 13.1</w:t>
            </w:r>
          </w:p>
        </w:tc>
        <w:tc>
          <w:tcPr>
            <w:tcW w:w="1094" w:type="pct"/>
          </w:tcPr>
          <w:p w14:paraId="2119F86A" w14:textId="0455EC53" w:rsidR="00FA2FF9" w:rsidRPr="00730DE4" w:rsidRDefault="00355D63" w:rsidP="008A742F">
            <w:pPr>
              <w:pStyle w:val="NoSpacing"/>
              <w:rPr>
                <w:lang w:val="en-US"/>
              </w:rPr>
            </w:pPr>
            <w:r w:rsidRPr="00730DE4">
              <w:rPr>
                <w:lang w:val="en-US"/>
              </w:rPr>
              <w:t>262–263</w:t>
            </w:r>
          </w:p>
        </w:tc>
      </w:tr>
      <w:tr w:rsidR="00FA2FF9" w:rsidRPr="00730DE4" w14:paraId="42826C9E" w14:textId="77777777" w:rsidTr="00B9757A">
        <w:tc>
          <w:tcPr>
            <w:tcW w:w="2108" w:type="pct"/>
          </w:tcPr>
          <w:p w14:paraId="64CC871B" w14:textId="77777777" w:rsidR="00FA2FF9" w:rsidRPr="00730DE4" w:rsidRDefault="00FA2FF9" w:rsidP="008A742F">
            <w:pPr>
              <w:pStyle w:val="NoSpacing"/>
              <w:rPr>
                <w:lang w:val="en-US"/>
              </w:rPr>
            </w:pPr>
            <w:r w:rsidRPr="00730DE4">
              <w:rPr>
                <w:lang w:val="en-US"/>
              </w:rPr>
              <w:t>Executive management</w:t>
            </w:r>
          </w:p>
        </w:tc>
        <w:tc>
          <w:tcPr>
            <w:tcW w:w="1798" w:type="pct"/>
          </w:tcPr>
          <w:p w14:paraId="1567F3CC" w14:textId="77777777" w:rsidR="00FA2FF9" w:rsidRPr="00730DE4" w:rsidRDefault="00FA2FF9" w:rsidP="008A742F">
            <w:pPr>
              <w:pStyle w:val="NoSpacing"/>
              <w:rPr>
                <w:lang w:val="en-US"/>
              </w:rPr>
            </w:pPr>
            <w:r w:rsidRPr="00730DE4">
              <w:rPr>
                <w:lang w:val="en-US"/>
              </w:rPr>
              <w:t>ARRs – section 13.2</w:t>
            </w:r>
          </w:p>
        </w:tc>
        <w:tc>
          <w:tcPr>
            <w:tcW w:w="1094" w:type="pct"/>
          </w:tcPr>
          <w:p w14:paraId="50009C8B" w14:textId="05A69802" w:rsidR="00FA2FF9" w:rsidRPr="00730DE4" w:rsidRDefault="00667F48" w:rsidP="008A742F">
            <w:pPr>
              <w:pStyle w:val="NoSpacing"/>
              <w:rPr>
                <w:lang w:val="en-US"/>
              </w:rPr>
            </w:pPr>
            <w:r w:rsidRPr="00730DE4">
              <w:rPr>
                <w:lang w:val="en-US"/>
              </w:rPr>
              <w:t>264–2</w:t>
            </w:r>
            <w:r w:rsidR="00A03146" w:rsidRPr="00730DE4">
              <w:rPr>
                <w:lang w:val="en-US"/>
              </w:rPr>
              <w:t>71</w:t>
            </w:r>
          </w:p>
        </w:tc>
      </w:tr>
      <w:tr w:rsidR="000A65A9" w:rsidRPr="00730DE4" w14:paraId="3625EEF2" w14:textId="77777777" w:rsidTr="00B9757A">
        <w:trPr>
          <w:cnfStyle w:val="000000100000" w:firstRow="0" w:lastRow="0" w:firstColumn="0" w:lastColumn="0" w:oddVBand="0" w:evenVBand="0" w:oddHBand="1" w:evenHBand="0" w:firstRowFirstColumn="0" w:firstRowLastColumn="0" w:lastRowFirstColumn="0" w:lastRowLastColumn="0"/>
        </w:trPr>
        <w:tc>
          <w:tcPr>
            <w:tcW w:w="2108" w:type="pct"/>
          </w:tcPr>
          <w:p w14:paraId="208DC75C" w14:textId="77777777" w:rsidR="00FA2FF9" w:rsidRPr="00730DE4" w:rsidRDefault="00FA2FF9" w:rsidP="008A742F">
            <w:pPr>
              <w:pStyle w:val="NoSpacing"/>
              <w:rPr>
                <w:lang w:val="en-US"/>
              </w:rPr>
            </w:pPr>
            <w:r w:rsidRPr="00730DE4">
              <w:rPr>
                <w:lang w:val="en-US"/>
              </w:rPr>
              <w:t xml:space="preserve">Government bodies (statutory bodies and other entities) </w:t>
            </w:r>
          </w:p>
        </w:tc>
        <w:tc>
          <w:tcPr>
            <w:tcW w:w="1798" w:type="pct"/>
          </w:tcPr>
          <w:p w14:paraId="7A25E5B7" w14:textId="77777777" w:rsidR="00FA2FF9" w:rsidRPr="00730DE4" w:rsidRDefault="00FA2FF9" w:rsidP="008A742F">
            <w:pPr>
              <w:pStyle w:val="NoSpacing"/>
              <w:rPr>
                <w:lang w:val="en-US"/>
              </w:rPr>
            </w:pPr>
            <w:r w:rsidRPr="00730DE4">
              <w:rPr>
                <w:lang w:val="en-US"/>
              </w:rPr>
              <w:t>ARRs – section 13.3</w:t>
            </w:r>
          </w:p>
        </w:tc>
        <w:tc>
          <w:tcPr>
            <w:tcW w:w="1094" w:type="pct"/>
          </w:tcPr>
          <w:p w14:paraId="1AEAA0C2" w14:textId="4825CDE3" w:rsidR="00FA2FF9" w:rsidRPr="00730DE4" w:rsidRDefault="00CF692C" w:rsidP="008A742F">
            <w:pPr>
              <w:pStyle w:val="NoSpacing"/>
              <w:rPr>
                <w:lang w:val="en-US"/>
              </w:rPr>
            </w:pPr>
            <w:r>
              <w:rPr>
                <w:lang w:val="en-US"/>
              </w:rPr>
              <w:t>378–380</w:t>
            </w:r>
          </w:p>
        </w:tc>
      </w:tr>
      <w:tr w:rsidR="00FA2FF9" w:rsidRPr="00730DE4" w14:paraId="031864AC" w14:textId="77777777" w:rsidTr="00B9757A">
        <w:tc>
          <w:tcPr>
            <w:tcW w:w="2108" w:type="pct"/>
          </w:tcPr>
          <w:p w14:paraId="684C83CB" w14:textId="77777777" w:rsidR="00FA2FF9" w:rsidRPr="00730DE4" w:rsidRDefault="00FA2FF9" w:rsidP="008A742F">
            <w:pPr>
              <w:pStyle w:val="NoSpacing"/>
              <w:rPr>
                <w:lang w:val="en-US"/>
              </w:rPr>
            </w:pPr>
            <w:r w:rsidRPr="00730DE4">
              <w:rPr>
                <w:lang w:val="en-US"/>
              </w:rPr>
              <w:t>Public Sector Ethics</w:t>
            </w:r>
          </w:p>
        </w:tc>
        <w:tc>
          <w:tcPr>
            <w:tcW w:w="1798" w:type="pct"/>
          </w:tcPr>
          <w:p w14:paraId="5A68E055" w14:textId="77777777" w:rsidR="00FA2FF9" w:rsidRPr="00730DE4" w:rsidRDefault="00FA2FF9" w:rsidP="008A742F">
            <w:pPr>
              <w:pStyle w:val="NoSpacing"/>
              <w:rPr>
                <w:rStyle w:val="Emphasis"/>
              </w:rPr>
            </w:pPr>
            <w:r w:rsidRPr="00730DE4">
              <w:rPr>
                <w:rStyle w:val="Emphasis"/>
              </w:rPr>
              <w:t>Public Sector Ethics Act 1994</w:t>
            </w:r>
          </w:p>
          <w:p w14:paraId="0472F1B4" w14:textId="77777777" w:rsidR="00FA2FF9" w:rsidRPr="00730DE4" w:rsidRDefault="00FA2FF9" w:rsidP="008A742F">
            <w:pPr>
              <w:pStyle w:val="NoSpacing"/>
              <w:rPr>
                <w:lang w:val="en-US"/>
              </w:rPr>
            </w:pPr>
            <w:r w:rsidRPr="00730DE4">
              <w:rPr>
                <w:lang w:val="en-US"/>
              </w:rPr>
              <w:t>ARRs – section 13.4</w:t>
            </w:r>
          </w:p>
        </w:tc>
        <w:tc>
          <w:tcPr>
            <w:tcW w:w="1094" w:type="pct"/>
          </w:tcPr>
          <w:p w14:paraId="48AF2B2E" w14:textId="65FDA34B" w:rsidR="00FA2FF9" w:rsidRPr="00730DE4" w:rsidRDefault="00083D07" w:rsidP="008A742F">
            <w:pPr>
              <w:pStyle w:val="NoSpacing"/>
              <w:rPr>
                <w:lang w:val="en-US"/>
              </w:rPr>
            </w:pPr>
            <w:r w:rsidRPr="00730DE4">
              <w:rPr>
                <w:lang w:val="en-US"/>
              </w:rPr>
              <w:t>287</w:t>
            </w:r>
          </w:p>
        </w:tc>
      </w:tr>
      <w:tr w:rsidR="000A65A9" w:rsidRPr="00730DE4" w14:paraId="1ED7ED16" w14:textId="77777777" w:rsidTr="00B9757A">
        <w:trPr>
          <w:cnfStyle w:val="000000100000" w:firstRow="0" w:lastRow="0" w:firstColumn="0" w:lastColumn="0" w:oddVBand="0" w:evenVBand="0" w:oddHBand="1" w:evenHBand="0" w:firstRowFirstColumn="0" w:firstRowLastColumn="0" w:lastRowFirstColumn="0" w:lastRowLastColumn="0"/>
        </w:trPr>
        <w:tc>
          <w:tcPr>
            <w:tcW w:w="2108" w:type="pct"/>
          </w:tcPr>
          <w:p w14:paraId="59DACF9B" w14:textId="77777777" w:rsidR="00FA2FF9" w:rsidRPr="00730DE4" w:rsidRDefault="00FA2FF9" w:rsidP="008A742F">
            <w:pPr>
              <w:pStyle w:val="NoSpacing"/>
              <w:rPr>
                <w:lang w:val="en-US"/>
              </w:rPr>
            </w:pPr>
            <w:r w:rsidRPr="00730DE4">
              <w:rPr>
                <w:lang w:val="en-US"/>
              </w:rPr>
              <w:t>Human Rights</w:t>
            </w:r>
          </w:p>
        </w:tc>
        <w:tc>
          <w:tcPr>
            <w:tcW w:w="1798" w:type="pct"/>
          </w:tcPr>
          <w:p w14:paraId="3A5B6532" w14:textId="77777777" w:rsidR="00FA2FF9" w:rsidRPr="00730DE4" w:rsidRDefault="00FA2FF9" w:rsidP="008A742F">
            <w:pPr>
              <w:pStyle w:val="NoSpacing"/>
              <w:rPr>
                <w:rStyle w:val="Emphasis"/>
              </w:rPr>
            </w:pPr>
            <w:r w:rsidRPr="00730DE4">
              <w:rPr>
                <w:rStyle w:val="Emphasis"/>
              </w:rPr>
              <w:t>Human Rights Act 2019</w:t>
            </w:r>
          </w:p>
          <w:p w14:paraId="5F46119E" w14:textId="77777777" w:rsidR="00FA2FF9" w:rsidRPr="00730DE4" w:rsidRDefault="00FA2FF9" w:rsidP="008A742F">
            <w:pPr>
              <w:pStyle w:val="NoSpacing"/>
              <w:rPr>
                <w:lang w:val="en-US"/>
              </w:rPr>
            </w:pPr>
            <w:r w:rsidRPr="00730DE4">
              <w:rPr>
                <w:lang w:val="en-US"/>
              </w:rPr>
              <w:t>ARRs – section 13.5</w:t>
            </w:r>
          </w:p>
        </w:tc>
        <w:tc>
          <w:tcPr>
            <w:tcW w:w="1094" w:type="pct"/>
          </w:tcPr>
          <w:p w14:paraId="1E1ECE2A" w14:textId="2791FFD9" w:rsidR="00FA2FF9" w:rsidRPr="00730DE4" w:rsidRDefault="003E0F7C" w:rsidP="008A742F">
            <w:pPr>
              <w:pStyle w:val="NoSpacing"/>
              <w:rPr>
                <w:lang w:val="en-US"/>
              </w:rPr>
            </w:pPr>
            <w:r w:rsidRPr="00730DE4">
              <w:rPr>
                <w:lang w:val="en-US"/>
              </w:rPr>
              <w:t>288</w:t>
            </w:r>
          </w:p>
        </w:tc>
      </w:tr>
      <w:tr w:rsidR="00FA2FF9" w:rsidRPr="00730DE4" w14:paraId="24D20B1C" w14:textId="77777777" w:rsidTr="00B9757A">
        <w:tc>
          <w:tcPr>
            <w:tcW w:w="2108" w:type="pct"/>
          </w:tcPr>
          <w:p w14:paraId="5CAF37F0" w14:textId="77777777" w:rsidR="00FA2FF9" w:rsidRPr="00730DE4" w:rsidRDefault="00FA2FF9" w:rsidP="008A742F">
            <w:pPr>
              <w:pStyle w:val="NoSpacing"/>
              <w:rPr>
                <w:lang w:val="en-US"/>
              </w:rPr>
            </w:pPr>
            <w:r w:rsidRPr="00730DE4">
              <w:rPr>
                <w:lang w:val="en-US"/>
              </w:rPr>
              <w:t>Queensland public service values</w:t>
            </w:r>
          </w:p>
        </w:tc>
        <w:tc>
          <w:tcPr>
            <w:tcW w:w="1798" w:type="pct"/>
          </w:tcPr>
          <w:p w14:paraId="4901CEF3" w14:textId="77777777" w:rsidR="00FA2FF9" w:rsidRPr="00730DE4" w:rsidRDefault="00FA2FF9" w:rsidP="008A742F">
            <w:pPr>
              <w:pStyle w:val="NoSpacing"/>
              <w:rPr>
                <w:lang w:val="en-US"/>
              </w:rPr>
            </w:pPr>
            <w:r w:rsidRPr="00730DE4">
              <w:rPr>
                <w:lang w:val="en-US"/>
              </w:rPr>
              <w:t>ARRs – section 13.6</w:t>
            </w:r>
          </w:p>
        </w:tc>
        <w:tc>
          <w:tcPr>
            <w:tcW w:w="1094" w:type="pct"/>
          </w:tcPr>
          <w:p w14:paraId="656D152B" w14:textId="52C0D7B6" w:rsidR="00FA2FF9" w:rsidRPr="00730DE4" w:rsidRDefault="00054C11" w:rsidP="008A742F">
            <w:pPr>
              <w:pStyle w:val="NoSpacing"/>
              <w:rPr>
                <w:lang w:val="en-US"/>
              </w:rPr>
            </w:pPr>
            <w:r w:rsidRPr="00730DE4">
              <w:rPr>
                <w:lang w:val="en-US"/>
              </w:rPr>
              <w:t>255–257</w:t>
            </w:r>
          </w:p>
        </w:tc>
      </w:tr>
    </w:tbl>
    <w:p w14:paraId="22C380CE" w14:textId="77777777" w:rsidR="00FA2FF9" w:rsidRPr="00730DE4" w:rsidRDefault="00FA2FF9" w:rsidP="002B7001">
      <w:pPr>
        <w:pStyle w:val="Heading3"/>
      </w:pPr>
      <w:bookmarkStart w:id="1855" w:name="_Toc180487843"/>
      <w:bookmarkStart w:id="1856" w:name="_Toc180491048"/>
      <w:bookmarkStart w:id="1857" w:name="_Toc180492081"/>
      <w:r w:rsidRPr="00730DE4">
        <w:t>Government – risk management and accountability</w:t>
      </w:r>
      <w:bookmarkEnd w:id="1855"/>
      <w:bookmarkEnd w:id="1856"/>
      <w:bookmarkEnd w:id="1857"/>
    </w:p>
    <w:tbl>
      <w:tblPr>
        <w:tblStyle w:val="TMRDefault"/>
        <w:tblW w:w="5000" w:type="pct"/>
        <w:tblLook w:val="0020" w:firstRow="1" w:lastRow="0" w:firstColumn="0" w:lastColumn="0" w:noHBand="0" w:noVBand="0"/>
      </w:tblPr>
      <w:tblGrid>
        <w:gridCol w:w="6307"/>
        <w:gridCol w:w="4738"/>
        <w:gridCol w:w="2947"/>
      </w:tblGrid>
      <w:tr w:rsidR="000A65A9" w:rsidRPr="00730DE4" w14:paraId="59E7FEF1" w14:textId="77777777" w:rsidTr="00B9757A">
        <w:trPr>
          <w:cnfStyle w:val="100000000000" w:firstRow="1" w:lastRow="0" w:firstColumn="0" w:lastColumn="0" w:oddVBand="0" w:evenVBand="0" w:oddHBand="0" w:evenHBand="0" w:firstRowFirstColumn="0" w:firstRowLastColumn="0" w:lastRowFirstColumn="0" w:lastRowLastColumn="0"/>
          <w:tblHeader/>
        </w:trPr>
        <w:tc>
          <w:tcPr>
            <w:tcW w:w="2254" w:type="pct"/>
          </w:tcPr>
          <w:p w14:paraId="41312CD6" w14:textId="77777777" w:rsidR="00FA2FF9" w:rsidRPr="00730DE4" w:rsidRDefault="00FA2FF9" w:rsidP="008A742F">
            <w:pPr>
              <w:pStyle w:val="NoSpacing"/>
              <w:rPr>
                <w:color w:val="FFFFFF" w:themeColor="background1"/>
                <w:lang w:val="en-US"/>
              </w:rPr>
            </w:pPr>
            <w:r w:rsidRPr="00730DE4">
              <w:rPr>
                <w:color w:val="FFFFFF" w:themeColor="background1"/>
                <w:lang w:val="en-US"/>
              </w:rPr>
              <w:t>Summary of requirement</w:t>
            </w:r>
          </w:p>
        </w:tc>
        <w:tc>
          <w:tcPr>
            <w:tcW w:w="1693" w:type="pct"/>
          </w:tcPr>
          <w:p w14:paraId="1691EAF5" w14:textId="77777777" w:rsidR="00FA2FF9" w:rsidRPr="00730DE4" w:rsidRDefault="00FA2FF9" w:rsidP="008A742F">
            <w:pPr>
              <w:pStyle w:val="NoSpacing"/>
              <w:rPr>
                <w:color w:val="FFFFFF" w:themeColor="background1"/>
                <w:lang w:val="en-US"/>
              </w:rPr>
            </w:pPr>
            <w:r w:rsidRPr="00730DE4">
              <w:rPr>
                <w:color w:val="FFFFFF" w:themeColor="background1"/>
                <w:lang w:val="en-US"/>
              </w:rPr>
              <w:t>Basis for requirement</w:t>
            </w:r>
          </w:p>
        </w:tc>
        <w:tc>
          <w:tcPr>
            <w:tcW w:w="1053" w:type="pct"/>
          </w:tcPr>
          <w:p w14:paraId="76EF6AFA" w14:textId="77777777" w:rsidR="00FA2FF9" w:rsidRPr="00730DE4" w:rsidRDefault="00FA2FF9" w:rsidP="008A742F">
            <w:pPr>
              <w:pStyle w:val="NoSpacing"/>
              <w:rPr>
                <w:color w:val="FFFFFF" w:themeColor="background1"/>
                <w:lang w:val="en-US"/>
              </w:rPr>
            </w:pPr>
            <w:r w:rsidRPr="00730DE4">
              <w:rPr>
                <w:color w:val="FFFFFF" w:themeColor="background1"/>
                <w:lang w:val="en-US"/>
              </w:rPr>
              <w:t>Annual report reference</w:t>
            </w:r>
          </w:p>
        </w:tc>
      </w:tr>
      <w:tr w:rsidR="000A65A9" w:rsidRPr="00730DE4" w14:paraId="21E31D28" w14:textId="77777777" w:rsidTr="00B9757A">
        <w:trPr>
          <w:cnfStyle w:val="000000100000" w:firstRow="0" w:lastRow="0" w:firstColumn="0" w:lastColumn="0" w:oddVBand="0" w:evenVBand="0" w:oddHBand="1" w:evenHBand="0" w:firstRowFirstColumn="0" w:firstRowLastColumn="0" w:lastRowFirstColumn="0" w:lastRowLastColumn="0"/>
        </w:trPr>
        <w:tc>
          <w:tcPr>
            <w:tcW w:w="2254" w:type="pct"/>
          </w:tcPr>
          <w:p w14:paraId="342C42C9" w14:textId="77777777" w:rsidR="00FA2FF9" w:rsidRPr="00730DE4" w:rsidRDefault="00FA2FF9" w:rsidP="008A742F">
            <w:pPr>
              <w:pStyle w:val="NoSpacing"/>
              <w:rPr>
                <w:lang w:val="en-US"/>
              </w:rPr>
            </w:pPr>
            <w:r w:rsidRPr="00730DE4">
              <w:rPr>
                <w:lang w:val="en-US"/>
              </w:rPr>
              <w:t xml:space="preserve">Risk management </w:t>
            </w:r>
          </w:p>
        </w:tc>
        <w:tc>
          <w:tcPr>
            <w:tcW w:w="1693" w:type="pct"/>
          </w:tcPr>
          <w:p w14:paraId="210AEDB1" w14:textId="77777777" w:rsidR="00FA2FF9" w:rsidRPr="00730DE4" w:rsidRDefault="00FA2FF9" w:rsidP="008A742F">
            <w:pPr>
              <w:pStyle w:val="NoSpacing"/>
              <w:rPr>
                <w:lang w:val="en-US"/>
              </w:rPr>
            </w:pPr>
            <w:r w:rsidRPr="00730DE4">
              <w:rPr>
                <w:lang w:val="en-US"/>
              </w:rPr>
              <w:t>ARRs – section 14.1</w:t>
            </w:r>
          </w:p>
        </w:tc>
        <w:tc>
          <w:tcPr>
            <w:tcW w:w="1053" w:type="pct"/>
          </w:tcPr>
          <w:p w14:paraId="3B4D5C85" w14:textId="0DEED342" w:rsidR="00FA2FF9" w:rsidRPr="00730DE4" w:rsidRDefault="0002222A" w:rsidP="008A742F">
            <w:pPr>
              <w:pStyle w:val="NoSpacing"/>
              <w:rPr>
                <w:lang w:val="en-US"/>
              </w:rPr>
            </w:pPr>
            <w:r w:rsidRPr="00730DE4">
              <w:rPr>
                <w:lang w:val="en-US"/>
              </w:rPr>
              <w:t>291–292</w:t>
            </w:r>
          </w:p>
        </w:tc>
      </w:tr>
      <w:tr w:rsidR="00FA2FF9" w:rsidRPr="00730DE4" w14:paraId="1AEBB513" w14:textId="77777777" w:rsidTr="00B9757A">
        <w:tc>
          <w:tcPr>
            <w:tcW w:w="2254" w:type="pct"/>
          </w:tcPr>
          <w:p w14:paraId="20E23BE9" w14:textId="77777777" w:rsidR="00FA2FF9" w:rsidRPr="00730DE4" w:rsidRDefault="00FA2FF9" w:rsidP="008A742F">
            <w:pPr>
              <w:pStyle w:val="NoSpacing"/>
              <w:rPr>
                <w:lang w:val="en-US"/>
              </w:rPr>
            </w:pPr>
            <w:r w:rsidRPr="00730DE4">
              <w:rPr>
                <w:lang w:val="en-US"/>
              </w:rPr>
              <w:t xml:space="preserve">Audit committee </w:t>
            </w:r>
          </w:p>
        </w:tc>
        <w:tc>
          <w:tcPr>
            <w:tcW w:w="1693" w:type="pct"/>
          </w:tcPr>
          <w:p w14:paraId="22210BD9" w14:textId="77777777" w:rsidR="00FA2FF9" w:rsidRPr="00730DE4" w:rsidRDefault="00FA2FF9" w:rsidP="008A742F">
            <w:pPr>
              <w:pStyle w:val="NoSpacing"/>
              <w:rPr>
                <w:lang w:val="en-US"/>
              </w:rPr>
            </w:pPr>
            <w:r w:rsidRPr="00730DE4">
              <w:rPr>
                <w:lang w:val="en-US"/>
              </w:rPr>
              <w:t>ARRs – section 14.2</w:t>
            </w:r>
          </w:p>
        </w:tc>
        <w:tc>
          <w:tcPr>
            <w:tcW w:w="1053" w:type="pct"/>
          </w:tcPr>
          <w:p w14:paraId="68D05221" w14:textId="51929592" w:rsidR="00FA2FF9" w:rsidRPr="00730DE4" w:rsidRDefault="00BC4312" w:rsidP="008A742F">
            <w:pPr>
              <w:pStyle w:val="NoSpacing"/>
              <w:rPr>
                <w:lang w:val="en-US"/>
              </w:rPr>
            </w:pPr>
            <w:r w:rsidRPr="00730DE4">
              <w:rPr>
                <w:lang w:val="en-US"/>
              </w:rPr>
              <w:t>272–273</w:t>
            </w:r>
          </w:p>
        </w:tc>
      </w:tr>
      <w:tr w:rsidR="000A65A9" w:rsidRPr="00730DE4" w14:paraId="3470BDB9" w14:textId="77777777" w:rsidTr="00B9757A">
        <w:trPr>
          <w:cnfStyle w:val="000000100000" w:firstRow="0" w:lastRow="0" w:firstColumn="0" w:lastColumn="0" w:oddVBand="0" w:evenVBand="0" w:oddHBand="1" w:evenHBand="0" w:firstRowFirstColumn="0" w:firstRowLastColumn="0" w:lastRowFirstColumn="0" w:lastRowLastColumn="0"/>
        </w:trPr>
        <w:tc>
          <w:tcPr>
            <w:tcW w:w="2254" w:type="pct"/>
          </w:tcPr>
          <w:p w14:paraId="5F8E61C2" w14:textId="77777777" w:rsidR="00FA2FF9" w:rsidRPr="00730DE4" w:rsidRDefault="00FA2FF9" w:rsidP="008A742F">
            <w:pPr>
              <w:pStyle w:val="NoSpacing"/>
              <w:rPr>
                <w:lang w:val="en-US"/>
              </w:rPr>
            </w:pPr>
            <w:r w:rsidRPr="00730DE4">
              <w:rPr>
                <w:lang w:val="en-US"/>
              </w:rPr>
              <w:t xml:space="preserve">Internal audit </w:t>
            </w:r>
          </w:p>
        </w:tc>
        <w:tc>
          <w:tcPr>
            <w:tcW w:w="1693" w:type="pct"/>
          </w:tcPr>
          <w:p w14:paraId="744930BB" w14:textId="77777777" w:rsidR="00FA2FF9" w:rsidRPr="00730DE4" w:rsidRDefault="00FA2FF9" w:rsidP="008A742F">
            <w:pPr>
              <w:pStyle w:val="NoSpacing"/>
              <w:rPr>
                <w:lang w:val="en-US"/>
              </w:rPr>
            </w:pPr>
            <w:r w:rsidRPr="00730DE4">
              <w:rPr>
                <w:lang w:val="en-US"/>
              </w:rPr>
              <w:t>ARRs – section 14.3</w:t>
            </w:r>
          </w:p>
        </w:tc>
        <w:tc>
          <w:tcPr>
            <w:tcW w:w="1053" w:type="pct"/>
          </w:tcPr>
          <w:p w14:paraId="36DF6D4C" w14:textId="0D660070" w:rsidR="00FA2FF9" w:rsidRPr="00730DE4" w:rsidRDefault="0083794A" w:rsidP="008A742F">
            <w:pPr>
              <w:pStyle w:val="NoSpacing"/>
              <w:rPr>
                <w:lang w:val="en-US"/>
              </w:rPr>
            </w:pPr>
            <w:r w:rsidRPr="00730DE4">
              <w:rPr>
                <w:lang w:val="en-US"/>
              </w:rPr>
              <w:t>284–285</w:t>
            </w:r>
          </w:p>
        </w:tc>
      </w:tr>
      <w:tr w:rsidR="00FA2FF9" w:rsidRPr="00730DE4" w14:paraId="1B4607D2" w14:textId="77777777" w:rsidTr="00B9757A">
        <w:tc>
          <w:tcPr>
            <w:tcW w:w="2254" w:type="pct"/>
          </w:tcPr>
          <w:p w14:paraId="642B3620" w14:textId="77777777" w:rsidR="00FA2FF9" w:rsidRPr="00730DE4" w:rsidRDefault="00FA2FF9" w:rsidP="008A742F">
            <w:pPr>
              <w:pStyle w:val="NoSpacing"/>
              <w:rPr>
                <w:lang w:val="en-US"/>
              </w:rPr>
            </w:pPr>
            <w:r w:rsidRPr="00730DE4">
              <w:rPr>
                <w:lang w:val="en-US"/>
              </w:rPr>
              <w:t>External scrutiny</w:t>
            </w:r>
          </w:p>
        </w:tc>
        <w:tc>
          <w:tcPr>
            <w:tcW w:w="1693" w:type="pct"/>
          </w:tcPr>
          <w:p w14:paraId="68C8543F" w14:textId="77777777" w:rsidR="00FA2FF9" w:rsidRPr="00730DE4" w:rsidRDefault="00FA2FF9" w:rsidP="008A742F">
            <w:pPr>
              <w:pStyle w:val="NoSpacing"/>
              <w:rPr>
                <w:lang w:val="en-US"/>
              </w:rPr>
            </w:pPr>
            <w:r w:rsidRPr="00730DE4">
              <w:rPr>
                <w:lang w:val="en-US"/>
              </w:rPr>
              <w:t>ARRs – section 14.4</w:t>
            </w:r>
          </w:p>
        </w:tc>
        <w:tc>
          <w:tcPr>
            <w:tcW w:w="1053" w:type="pct"/>
          </w:tcPr>
          <w:p w14:paraId="6854E0EE" w14:textId="4B5B4375" w:rsidR="00FA2FF9" w:rsidRPr="00730DE4" w:rsidRDefault="009A4D71" w:rsidP="008A742F">
            <w:pPr>
              <w:pStyle w:val="NoSpacing"/>
              <w:rPr>
                <w:lang w:val="en-US"/>
              </w:rPr>
            </w:pPr>
            <w:r w:rsidRPr="00730DE4">
              <w:rPr>
                <w:lang w:val="en-US"/>
              </w:rPr>
              <w:t>287</w:t>
            </w:r>
          </w:p>
        </w:tc>
      </w:tr>
      <w:tr w:rsidR="000A65A9" w:rsidRPr="00730DE4" w14:paraId="312D7177" w14:textId="77777777" w:rsidTr="00B9757A">
        <w:trPr>
          <w:cnfStyle w:val="000000100000" w:firstRow="0" w:lastRow="0" w:firstColumn="0" w:lastColumn="0" w:oddVBand="0" w:evenVBand="0" w:oddHBand="1" w:evenHBand="0" w:firstRowFirstColumn="0" w:firstRowLastColumn="0" w:lastRowFirstColumn="0" w:lastRowLastColumn="0"/>
        </w:trPr>
        <w:tc>
          <w:tcPr>
            <w:tcW w:w="2254" w:type="pct"/>
          </w:tcPr>
          <w:p w14:paraId="68A6B258" w14:textId="77777777" w:rsidR="00FA2FF9" w:rsidRPr="00730DE4" w:rsidRDefault="00FA2FF9" w:rsidP="008A742F">
            <w:pPr>
              <w:pStyle w:val="NoSpacing"/>
              <w:rPr>
                <w:lang w:val="en-US"/>
              </w:rPr>
            </w:pPr>
            <w:r w:rsidRPr="00730DE4">
              <w:rPr>
                <w:lang w:val="en-US"/>
              </w:rPr>
              <w:t>Information systems and recordkeeping</w:t>
            </w:r>
          </w:p>
        </w:tc>
        <w:tc>
          <w:tcPr>
            <w:tcW w:w="1693" w:type="pct"/>
          </w:tcPr>
          <w:p w14:paraId="5E14B681" w14:textId="77777777" w:rsidR="00FA2FF9" w:rsidRPr="00730DE4" w:rsidRDefault="00FA2FF9" w:rsidP="008A742F">
            <w:pPr>
              <w:pStyle w:val="NoSpacing"/>
              <w:rPr>
                <w:lang w:val="en-US"/>
              </w:rPr>
            </w:pPr>
            <w:r w:rsidRPr="00730DE4">
              <w:rPr>
                <w:lang w:val="en-US"/>
              </w:rPr>
              <w:t>ARRs – section 14.5</w:t>
            </w:r>
          </w:p>
        </w:tc>
        <w:tc>
          <w:tcPr>
            <w:tcW w:w="1053" w:type="pct"/>
          </w:tcPr>
          <w:p w14:paraId="5BAA5937" w14:textId="6632F3D5" w:rsidR="00FA2FF9" w:rsidRPr="00730DE4" w:rsidRDefault="00791F49" w:rsidP="008A742F">
            <w:pPr>
              <w:pStyle w:val="NoSpacing"/>
              <w:rPr>
                <w:lang w:val="en-US"/>
              </w:rPr>
            </w:pPr>
            <w:r w:rsidRPr="00730DE4">
              <w:rPr>
                <w:lang w:val="en-US"/>
              </w:rPr>
              <w:t>281</w:t>
            </w:r>
          </w:p>
        </w:tc>
      </w:tr>
      <w:tr w:rsidR="00FA2FF9" w:rsidRPr="00730DE4" w14:paraId="5B66CD2B" w14:textId="77777777" w:rsidTr="00B9757A">
        <w:tc>
          <w:tcPr>
            <w:tcW w:w="2254" w:type="pct"/>
          </w:tcPr>
          <w:p w14:paraId="3766BDF2" w14:textId="77777777" w:rsidR="00FA2FF9" w:rsidRPr="00730DE4" w:rsidRDefault="00FA2FF9" w:rsidP="008A742F">
            <w:pPr>
              <w:pStyle w:val="NoSpacing"/>
              <w:rPr>
                <w:lang w:val="en-US"/>
              </w:rPr>
            </w:pPr>
            <w:r w:rsidRPr="00730DE4">
              <w:rPr>
                <w:lang w:val="en-US"/>
              </w:rPr>
              <w:t>Information Security attestation</w:t>
            </w:r>
          </w:p>
        </w:tc>
        <w:tc>
          <w:tcPr>
            <w:tcW w:w="1693" w:type="pct"/>
          </w:tcPr>
          <w:p w14:paraId="7B91ACF9" w14:textId="77777777" w:rsidR="00FA2FF9" w:rsidRPr="00730DE4" w:rsidRDefault="00FA2FF9" w:rsidP="008A742F">
            <w:pPr>
              <w:pStyle w:val="NoSpacing"/>
              <w:rPr>
                <w:lang w:val="en-US"/>
              </w:rPr>
            </w:pPr>
            <w:r w:rsidRPr="00730DE4">
              <w:rPr>
                <w:lang w:val="en-US"/>
              </w:rPr>
              <w:t>ARRs – section 14.6</w:t>
            </w:r>
          </w:p>
        </w:tc>
        <w:tc>
          <w:tcPr>
            <w:tcW w:w="1053" w:type="pct"/>
          </w:tcPr>
          <w:p w14:paraId="1EA5D847" w14:textId="1E95A58F" w:rsidR="00FA2FF9" w:rsidRPr="00730DE4" w:rsidRDefault="00A654EF" w:rsidP="008A742F">
            <w:pPr>
              <w:pStyle w:val="NoSpacing"/>
              <w:rPr>
                <w:lang w:val="en-US"/>
              </w:rPr>
            </w:pPr>
            <w:r w:rsidRPr="00730DE4">
              <w:rPr>
                <w:lang w:val="en-US"/>
              </w:rPr>
              <w:t>281</w:t>
            </w:r>
          </w:p>
        </w:tc>
      </w:tr>
    </w:tbl>
    <w:p w14:paraId="6E5AA61C" w14:textId="77777777" w:rsidR="00FA2FF9" w:rsidRPr="00730DE4" w:rsidRDefault="00FA2FF9" w:rsidP="002B7001">
      <w:pPr>
        <w:pStyle w:val="Heading3"/>
      </w:pPr>
      <w:bookmarkStart w:id="1858" w:name="_Toc180487844"/>
      <w:bookmarkStart w:id="1859" w:name="_Toc180491049"/>
      <w:bookmarkStart w:id="1860" w:name="_Toc180492082"/>
      <w:r w:rsidRPr="00730DE4">
        <w:t>Governance – human resources</w:t>
      </w:r>
      <w:bookmarkEnd w:id="1858"/>
      <w:bookmarkEnd w:id="1859"/>
      <w:bookmarkEnd w:id="1860"/>
    </w:p>
    <w:tbl>
      <w:tblPr>
        <w:tblStyle w:val="TMRDefault"/>
        <w:tblW w:w="5000" w:type="pct"/>
        <w:tblLook w:val="0020" w:firstRow="1" w:lastRow="0" w:firstColumn="0" w:lastColumn="0" w:noHBand="0" w:noVBand="0"/>
      </w:tblPr>
      <w:tblGrid>
        <w:gridCol w:w="4799"/>
        <w:gridCol w:w="5910"/>
        <w:gridCol w:w="3283"/>
      </w:tblGrid>
      <w:tr w:rsidR="000A65A9" w:rsidRPr="00730DE4" w14:paraId="55D951A8" w14:textId="77777777" w:rsidTr="00B9757A">
        <w:trPr>
          <w:cnfStyle w:val="100000000000" w:firstRow="1" w:lastRow="0" w:firstColumn="0" w:lastColumn="0" w:oddVBand="0" w:evenVBand="0" w:oddHBand="0" w:evenHBand="0" w:firstRowFirstColumn="0" w:firstRowLastColumn="0" w:lastRowFirstColumn="0" w:lastRowLastColumn="0"/>
          <w:tblHeader/>
        </w:trPr>
        <w:tc>
          <w:tcPr>
            <w:tcW w:w="1715" w:type="pct"/>
          </w:tcPr>
          <w:p w14:paraId="26A36A46" w14:textId="77777777" w:rsidR="00FA2FF9" w:rsidRPr="00730DE4" w:rsidRDefault="00FA2FF9" w:rsidP="008A742F">
            <w:pPr>
              <w:pStyle w:val="NoSpacing"/>
              <w:rPr>
                <w:color w:val="FFFFFF" w:themeColor="background1"/>
                <w:lang w:val="en-US"/>
              </w:rPr>
            </w:pPr>
            <w:r w:rsidRPr="00730DE4">
              <w:rPr>
                <w:color w:val="FFFFFF" w:themeColor="background1"/>
                <w:lang w:val="en-US"/>
              </w:rPr>
              <w:t>Summary of requirement</w:t>
            </w:r>
          </w:p>
        </w:tc>
        <w:tc>
          <w:tcPr>
            <w:tcW w:w="2112" w:type="pct"/>
          </w:tcPr>
          <w:p w14:paraId="6630BAB2" w14:textId="77777777" w:rsidR="00FA2FF9" w:rsidRPr="00730DE4" w:rsidRDefault="00FA2FF9" w:rsidP="008A742F">
            <w:pPr>
              <w:pStyle w:val="NoSpacing"/>
              <w:rPr>
                <w:color w:val="FFFFFF" w:themeColor="background1"/>
                <w:lang w:val="en-US"/>
              </w:rPr>
            </w:pPr>
            <w:r w:rsidRPr="00730DE4">
              <w:rPr>
                <w:color w:val="FFFFFF" w:themeColor="background1"/>
                <w:lang w:val="en-US"/>
              </w:rPr>
              <w:t>Basis for requirement</w:t>
            </w:r>
          </w:p>
        </w:tc>
        <w:tc>
          <w:tcPr>
            <w:tcW w:w="1173" w:type="pct"/>
          </w:tcPr>
          <w:p w14:paraId="76773280" w14:textId="77777777" w:rsidR="00FA2FF9" w:rsidRPr="00730DE4" w:rsidRDefault="00FA2FF9" w:rsidP="008A742F">
            <w:pPr>
              <w:pStyle w:val="NoSpacing"/>
              <w:rPr>
                <w:color w:val="FFFFFF" w:themeColor="background1"/>
                <w:lang w:val="en-US"/>
              </w:rPr>
            </w:pPr>
            <w:r w:rsidRPr="00730DE4">
              <w:rPr>
                <w:color w:val="FFFFFF" w:themeColor="background1"/>
                <w:lang w:val="en-US"/>
              </w:rPr>
              <w:t>Annual report reference</w:t>
            </w:r>
          </w:p>
        </w:tc>
      </w:tr>
      <w:tr w:rsidR="000A65A9" w:rsidRPr="00730DE4" w14:paraId="0E33612C" w14:textId="77777777" w:rsidTr="00B9757A">
        <w:trPr>
          <w:cnfStyle w:val="000000100000" w:firstRow="0" w:lastRow="0" w:firstColumn="0" w:lastColumn="0" w:oddVBand="0" w:evenVBand="0" w:oddHBand="1" w:evenHBand="0" w:firstRowFirstColumn="0" w:firstRowLastColumn="0" w:lastRowFirstColumn="0" w:lastRowLastColumn="0"/>
        </w:trPr>
        <w:tc>
          <w:tcPr>
            <w:tcW w:w="1715" w:type="pct"/>
          </w:tcPr>
          <w:p w14:paraId="0D1E8F4C" w14:textId="77777777" w:rsidR="00FA2FF9" w:rsidRPr="00730DE4" w:rsidRDefault="00FA2FF9" w:rsidP="008A742F">
            <w:pPr>
              <w:pStyle w:val="NoSpacing"/>
              <w:rPr>
                <w:lang w:val="en-US"/>
              </w:rPr>
            </w:pPr>
            <w:r w:rsidRPr="00730DE4">
              <w:rPr>
                <w:lang w:val="en-US"/>
              </w:rPr>
              <w:t>Strategic workforce planning and performance</w:t>
            </w:r>
          </w:p>
        </w:tc>
        <w:tc>
          <w:tcPr>
            <w:tcW w:w="2112" w:type="pct"/>
          </w:tcPr>
          <w:p w14:paraId="686C1459" w14:textId="77777777" w:rsidR="00FA2FF9" w:rsidRPr="00730DE4" w:rsidRDefault="00FA2FF9" w:rsidP="008A742F">
            <w:pPr>
              <w:pStyle w:val="NoSpacing"/>
              <w:rPr>
                <w:lang w:val="en-US"/>
              </w:rPr>
            </w:pPr>
            <w:r w:rsidRPr="00730DE4">
              <w:rPr>
                <w:lang w:val="en-US"/>
              </w:rPr>
              <w:t>ARRs – section 15.1</w:t>
            </w:r>
          </w:p>
        </w:tc>
        <w:tc>
          <w:tcPr>
            <w:tcW w:w="1173" w:type="pct"/>
          </w:tcPr>
          <w:p w14:paraId="15558DF3" w14:textId="03DEB621" w:rsidR="00FA2FF9" w:rsidRPr="00730DE4" w:rsidRDefault="000E5466" w:rsidP="008A742F">
            <w:pPr>
              <w:pStyle w:val="NoSpacing"/>
              <w:rPr>
                <w:lang w:val="en-US"/>
              </w:rPr>
            </w:pPr>
            <w:r w:rsidRPr="00730DE4">
              <w:rPr>
                <w:lang w:val="en-US"/>
              </w:rPr>
              <w:t>236–237</w:t>
            </w:r>
          </w:p>
        </w:tc>
      </w:tr>
      <w:tr w:rsidR="00FA2FF9" w:rsidRPr="00730DE4" w14:paraId="7E4D55AC" w14:textId="77777777" w:rsidTr="00B9757A">
        <w:tc>
          <w:tcPr>
            <w:tcW w:w="1715" w:type="pct"/>
          </w:tcPr>
          <w:p w14:paraId="642389CF" w14:textId="77777777" w:rsidR="00FA2FF9" w:rsidRPr="00730DE4" w:rsidRDefault="00FA2FF9" w:rsidP="008A742F">
            <w:pPr>
              <w:pStyle w:val="NoSpacing"/>
              <w:rPr>
                <w:lang w:val="en-US"/>
              </w:rPr>
            </w:pPr>
            <w:r w:rsidRPr="00730DE4">
              <w:rPr>
                <w:lang w:val="en-US"/>
              </w:rPr>
              <w:t>Early retirement, redundancy, and retrenchment</w:t>
            </w:r>
          </w:p>
        </w:tc>
        <w:tc>
          <w:tcPr>
            <w:tcW w:w="2112" w:type="pct"/>
          </w:tcPr>
          <w:p w14:paraId="426AA636" w14:textId="77777777" w:rsidR="00FA2FF9" w:rsidRPr="00730DE4" w:rsidRDefault="00FA2FF9" w:rsidP="008A742F">
            <w:pPr>
              <w:pStyle w:val="NoSpacing"/>
              <w:rPr>
                <w:lang w:val="en-US"/>
              </w:rPr>
            </w:pPr>
            <w:r w:rsidRPr="00730DE4">
              <w:rPr>
                <w:lang w:val="en-US"/>
              </w:rPr>
              <w:t xml:space="preserve">Direction No.04/18 </w:t>
            </w:r>
            <w:r w:rsidRPr="00730DE4">
              <w:rPr>
                <w:rStyle w:val="Emphasis"/>
              </w:rPr>
              <w:t>Early Retirement, Redundancy and Retrenchment</w:t>
            </w:r>
            <w:r w:rsidRPr="00730DE4">
              <w:rPr>
                <w:lang w:val="en-US"/>
              </w:rPr>
              <w:t xml:space="preserve"> </w:t>
            </w:r>
          </w:p>
          <w:p w14:paraId="1077418F" w14:textId="77777777" w:rsidR="00FA2FF9" w:rsidRPr="00730DE4" w:rsidRDefault="00FA2FF9" w:rsidP="008A742F">
            <w:pPr>
              <w:pStyle w:val="NoSpacing"/>
              <w:rPr>
                <w:lang w:val="en-US"/>
              </w:rPr>
            </w:pPr>
            <w:r w:rsidRPr="00730DE4">
              <w:rPr>
                <w:lang w:val="en-US"/>
              </w:rPr>
              <w:t>ARRs – section 15.2</w:t>
            </w:r>
          </w:p>
        </w:tc>
        <w:tc>
          <w:tcPr>
            <w:tcW w:w="1173" w:type="pct"/>
          </w:tcPr>
          <w:p w14:paraId="4A1AB98E" w14:textId="224B6617" w:rsidR="00FA2FF9" w:rsidRPr="00730DE4" w:rsidRDefault="0057282C" w:rsidP="008A742F">
            <w:pPr>
              <w:pStyle w:val="NoSpacing"/>
              <w:rPr>
                <w:lang w:val="en-US"/>
              </w:rPr>
            </w:pPr>
            <w:r w:rsidRPr="00730DE4">
              <w:rPr>
                <w:lang w:val="en-US"/>
              </w:rPr>
              <w:t>239</w:t>
            </w:r>
          </w:p>
        </w:tc>
      </w:tr>
    </w:tbl>
    <w:p w14:paraId="66EEBE8C" w14:textId="77777777" w:rsidR="00FA2FF9" w:rsidRPr="00730DE4" w:rsidRDefault="00FA2FF9" w:rsidP="002B7001">
      <w:pPr>
        <w:pStyle w:val="Heading3"/>
      </w:pPr>
      <w:bookmarkStart w:id="1861" w:name="_Toc180487845"/>
      <w:bookmarkStart w:id="1862" w:name="_Toc180491050"/>
      <w:bookmarkStart w:id="1863" w:name="_Toc180492083"/>
      <w:r w:rsidRPr="00730DE4">
        <w:t>Open Data</w:t>
      </w:r>
      <w:bookmarkEnd w:id="1861"/>
      <w:bookmarkEnd w:id="1862"/>
      <w:bookmarkEnd w:id="1863"/>
    </w:p>
    <w:tbl>
      <w:tblPr>
        <w:tblStyle w:val="TMRDefault"/>
        <w:tblW w:w="5000" w:type="pct"/>
        <w:tblLook w:val="0020" w:firstRow="1" w:lastRow="0" w:firstColumn="0" w:lastColumn="0" w:noHBand="0" w:noVBand="0"/>
      </w:tblPr>
      <w:tblGrid>
        <w:gridCol w:w="6489"/>
        <w:gridCol w:w="3602"/>
        <w:gridCol w:w="3901"/>
      </w:tblGrid>
      <w:tr w:rsidR="00FA2FF9" w:rsidRPr="00730DE4" w14:paraId="4EBC974A" w14:textId="77777777" w:rsidTr="00B9757A">
        <w:trPr>
          <w:cnfStyle w:val="100000000000" w:firstRow="1" w:lastRow="0" w:firstColumn="0" w:lastColumn="0" w:oddVBand="0" w:evenVBand="0" w:oddHBand="0" w:evenHBand="0" w:firstRowFirstColumn="0" w:firstRowLastColumn="0" w:lastRowFirstColumn="0" w:lastRowLastColumn="0"/>
          <w:tblHeader/>
        </w:trPr>
        <w:tc>
          <w:tcPr>
            <w:tcW w:w="2319" w:type="pct"/>
          </w:tcPr>
          <w:p w14:paraId="7010F1C6" w14:textId="77777777" w:rsidR="00FA2FF9" w:rsidRPr="00730DE4" w:rsidRDefault="00FA2FF9" w:rsidP="008A742F">
            <w:pPr>
              <w:pStyle w:val="NoSpacing"/>
              <w:rPr>
                <w:color w:val="FFFFFF" w:themeColor="background1"/>
                <w:lang w:val="en-US"/>
              </w:rPr>
            </w:pPr>
            <w:r w:rsidRPr="00730DE4">
              <w:rPr>
                <w:color w:val="FFFFFF" w:themeColor="background1"/>
                <w:lang w:val="en-US"/>
              </w:rPr>
              <w:t>Summary of requirement</w:t>
            </w:r>
          </w:p>
        </w:tc>
        <w:tc>
          <w:tcPr>
            <w:tcW w:w="1287" w:type="pct"/>
          </w:tcPr>
          <w:p w14:paraId="55182EDE" w14:textId="77777777" w:rsidR="00FA2FF9" w:rsidRPr="00730DE4" w:rsidRDefault="00FA2FF9" w:rsidP="008A742F">
            <w:pPr>
              <w:pStyle w:val="NoSpacing"/>
              <w:rPr>
                <w:color w:val="FFFFFF" w:themeColor="background1"/>
                <w:lang w:val="en-US"/>
              </w:rPr>
            </w:pPr>
            <w:r w:rsidRPr="00730DE4">
              <w:rPr>
                <w:color w:val="FFFFFF" w:themeColor="background1"/>
                <w:lang w:val="en-US"/>
              </w:rPr>
              <w:t>Basis for requirement</w:t>
            </w:r>
          </w:p>
        </w:tc>
        <w:tc>
          <w:tcPr>
            <w:tcW w:w="1395" w:type="pct"/>
          </w:tcPr>
          <w:p w14:paraId="1BCAD0E5" w14:textId="77777777" w:rsidR="00FA2FF9" w:rsidRPr="00730DE4" w:rsidRDefault="00FA2FF9" w:rsidP="008A742F">
            <w:pPr>
              <w:pStyle w:val="NoSpacing"/>
              <w:rPr>
                <w:color w:val="FFFFFF" w:themeColor="background1"/>
                <w:lang w:val="en-US"/>
              </w:rPr>
            </w:pPr>
            <w:r w:rsidRPr="00730DE4">
              <w:rPr>
                <w:color w:val="FFFFFF" w:themeColor="background1"/>
                <w:lang w:val="en-US"/>
              </w:rPr>
              <w:t>Annual report reference</w:t>
            </w:r>
          </w:p>
        </w:tc>
      </w:tr>
      <w:tr w:rsidR="000A65A9" w:rsidRPr="00730DE4" w14:paraId="22F7ED38" w14:textId="77777777" w:rsidTr="00B9757A">
        <w:trPr>
          <w:cnfStyle w:val="000000100000" w:firstRow="0" w:lastRow="0" w:firstColumn="0" w:lastColumn="0" w:oddVBand="0" w:evenVBand="0" w:oddHBand="1" w:evenHBand="0" w:firstRowFirstColumn="0" w:firstRowLastColumn="0" w:lastRowFirstColumn="0" w:lastRowLastColumn="0"/>
        </w:trPr>
        <w:tc>
          <w:tcPr>
            <w:tcW w:w="2319" w:type="pct"/>
          </w:tcPr>
          <w:p w14:paraId="3404D145" w14:textId="77777777" w:rsidR="00FA2FF9" w:rsidRPr="00730DE4" w:rsidRDefault="00FA2FF9" w:rsidP="008A742F">
            <w:pPr>
              <w:pStyle w:val="NoSpacing"/>
              <w:rPr>
                <w:lang w:val="en-US"/>
              </w:rPr>
            </w:pPr>
            <w:r w:rsidRPr="00730DE4">
              <w:rPr>
                <w:lang w:val="en-US"/>
              </w:rPr>
              <w:t xml:space="preserve">Statement advising publication of information </w:t>
            </w:r>
          </w:p>
        </w:tc>
        <w:tc>
          <w:tcPr>
            <w:tcW w:w="1287" w:type="pct"/>
          </w:tcPr>
          <w:p w14:paraId="37DD004F" w14:textId="77777777" w:rsidR="00FA2FF9" w:rsidRPr="00730DE4" w:rsidRDefault="00FA2FF9" w:rsidP="008A742F">
            <w:pPr>
              <w:pStyle w:val="NoSpacing"/>
              <w:rPr>
                <w:lang w:val="en-US"/>
              </w:rPr>
            </w:pPr>
            <w:r w:rsidRPr="00730DE4">
              <w:rPr>
                <w:lang w:val="en-US"/>
              </w:rPr>
              <w:t>ARRs – section 16</w:t>
            </w:r>
          </w:p>
        </w:tc>
        <w:tc>
          <w:tcPr>
            <w:tcW w:w="1395" w:type="pct"/>
          </w:tcPr>
          <w:p w14:paraId="3461B20A" w14:textId="6474CA82" w:rsidR="00FA2FF9" w:rsidRPr="00730DE4" w:rsidRDefault="001A79B1" w:rsidP="008A742F">
            <w:pPr>
              <w:pStyle w:val="NoSpacing"/>
              <w:rPr>
                <w:lang w:val="en-US"/>
              </w:rPr>
            </w:pPr>
            <w:r w:rsidRPr="00730DE4">
              <w:rPr>
                <w:lang w:val="en-US"/>
              </w:rPr>
              <w:t>6</w:t>
            </w:r>
          </w:p>
        </w:tc>
      </w:tr>
      <w:tr w:rsidR="00FA2FF9" w:rsidRPr="00730DE4" w14:paraId="493AF6E4" w14:textId="77777777" w:rsidTr="00B9757A">
        <w:tc>
          <w:tcPr>
            <w:tcW w:w="2319" w:type="pct"/>
          </w:tcPr>
          <w:p w14:paraId="1C54510B" w14:textId="77777777" w:rsidR="00FA2FF9" w:rsidRPr="00730DE4" w:rsidRDefault="00FA2FF9" w:rsidP="008A742F">
            <w:pPr>
              <w:pStyle w:val="NoSpacing"/>
              <w:rPr>
                <w:lang w:val="en-US"/>
              </w:rPr>
            </w:pPr>
            <w:r w:rsidRPr="00730DE4">
              <w:rPr>
                <w:lang w:val="en-US"/>
              </w:rPr>
              <w:t xml:space="preserve">Consultancies </w:t>
            </w:r>
          </w:p>
        </w:tc>
        <w:tc>
          <w:tcPr>
            <w:tcW w:w="1287" w:type="pct"/>
          </w:tcPr>
          <w:p w14:paraId="69B5C259" w14:textId="77777777" w:rsidR="00FA2FF9" w:rsidRPr="00730DE4" w:rsidRDefault="00FA2FF9" w:rsidP="008A742F">
            <w:pPr>
              <w:pStyle w:val="NoSpacing"/>
              <w:rPr>
                <w:lang w:val="en-US"/>
              </w:rPr>
            </w:pPr>
            <w:r w:rsidRPr="00730DE4">
              <w:rPr>
                <w:lang w:val="en-US"/>
              </w:rPr>
              <w:t>ARRs – section 31.1</w:t>
            </w:r>
          </w:p>
        </w:tc>
        <w:tc>
          <w:tcPr>
            <w:tcW w:w="1395" w:type="pct"/>
          </w:tcPr>
          <w:p w14:paraId="7CEDC8BD" w14:textId="77777777" w:rsidR="00FA2FF9" w:rsidRPr="00730DE4" w:rsidRDefault="00000000" w:rsidP="008A742F">
            <w:pPr>
              <w:pStyle w:val="NoSpacing"/>
              <w:rPr>
                <w:lang w:val="en-US"/>
              </w:rPr>
            </w:pPr>
            <w:hyperlink r:id="rId156" w:history="1">
              <w:r w:rsidR="00FA2FF9" w:rsidRPr="00730DE4">
                <w:rPr>
                  <w:rStyle w:val="Hyperlink"/>
                  <w:lang w:val="en-US"/>
                </w:rPr>
                <w:t>https://data.qld.gov.au</w:t>
              </w:r>
            </w:hyperlink>
          </w:p>
        </w:tc>
      </w:tr>
      <w:tr w:rsidR="000A65A9" w:rsidRPr="00730DE4" w14:paraId="4DDBD1B7" w14:textId="77777777" w:rsidTr="00B9757A">
        <w:trPr>
          <w:cnfStyle w:val="000000100000" w:firstRow="0" w:lastRow="0" w:firstColumn="0" w:lastColumn="0" w:oddVBand="0" w:evenVBand="0" w:oddHBand="1" w:evenHBand="0" w:firstRowFirstColumn="0" w:firstRowLastColumn="0" w:lastRowFirstColumn="0" w:lastRowLastColumn="0"/>
        </w:trPr>
        <w:tc>
          <w:tcPr>
            <w:tcW w:w="2319" w:type="pct"/>
          </w:tcPr>
          <w:p w14:paraId="761E68F5" w14:textId="77777777" w:rsidR="00FA2FF9" w:rsidRPr="00730DE4" w:rsidRDefault="00FA2FF9" w:rsidP="008A742F">
            <w:pPr>
              <w:pStyle w:val="NoSpacing"/>
              <w:rPr>
                <w:lang w:val="en-US"/>
              </w:rPr>
            </w:pPr>
            <w:r w:rsidRPr="00730DE4">
              <w:rPr>
                <w:lang w:val="en-US"/>
              </w:rPr>
              <w:t>Overseas travel</w:t>
            </w:r>
          </w:p>
        </w:tc>
        <w:tc>
          <w:tcPr>
            <w:tcW w:w="1287" w:type="pct"/>
          </w:tcPr>
          <w:p w14:paraId="07AD80EF" w14:textId="77777777" w:rsidR="00FA2FF9" w:rsidRPr="00730DE4" w:rsidRDefault="00FA2FF9" w:rsidP="008A742F">
            <w:pPr>
              <w:pStyle w:val="NoSpacing"/>
              <w:rPr>
                <w:lang w:val="en-US"/>
              </w:rPr>
            </w:pPr>
            <w:r w:rsidRPr="00730DE4">
              <w:rPr>
                <w:lang w:val="en-US"/>
              </w:rPr>
              <w:t>ARRs – section 31.2</w:t>
            </w:r>
          </w:p>
        </w:tc>
        <w:tc>
          <w:tcPr>
            <w:tcW w:w="1395" w:type="pct"/>
          </w:tcPr>
          <w:p w14:paraId="2638031A" w14:textId="77777777" w:rsidR="00FA2FF9" w:rsidRPr="00730DE4" w:rsidRDefault="00000000" w:rsidP="008A742F">
            <w:pPr>
              <w:pStyle w:val="NoSpacing"/>
              <w:rPr>
                <w:lang w:val="en-US"/>
              </w:rPr>
            </w:pPr>
            <w:hyperlink r:id="rId157" w:history="1">
              <w:r w:rsidR="00FA2FF9" w:rsidRPr="00730DE4">
                <w:rPr>
                  <w:rStyle w:val="Hyperlink"/>
                  <w:lang w:val="en-US"/>
                </w:rPr>
                <w:t>https://data.qld.gov.au</w:t>
              </w:r>
            </w:hyperlink>
          </w:p>
        </w:tc>
      </w:tr>
      <w:tr w:rsidR="00FA2FF9" w:rsidRPr="00730DE4" w14:paraId="55524DC9" w14:textId="77777777" w:rsidTr="00B9757A">
        <w:tc>
          <w:tcPr>
            <w:tcW w:w="2319" w:type="pct"/>
          </w:tcPr>
          <w:p w14:paraId="05092816" w14:textId="77777777" w:rsidR="00FA2FF9" w:rsidRPr="00730DE4" w:rsidRDefault="00FA2FF9" w:rsidP="008A742F">
            <w:pPr>
              <w:pStyle w:val="NoSpacing"/>
              <w:rPr>
                <w:lang w:val="en-US"/>
              </w:rPr>
            </w:pPr>
            <w:r w:rsidRPr="00730DE4">
              <w:rPr>
                <w:lang w:val="en-US"/>
              </w:rPr>
              <w:t>Queensland Language Services Policy</w:t>
            </w:r>
          </w:p>
        </w:tc>
        <w:tc>
          <w:tcPr>
            <w:tcW w:w="1287" w:type="pct"/>
          </w:tcPr>
          <w:p w14:paraId="4B5375DC" w14:textId="77777777" w:rsidR="00FA2FF9" w:rsidRPr="00730DE4" w:rsidRDefault="00FA2FF9" w:rsidP="008A742F">
            <w:pPr>
              <w:pStyle w:val="NoSpacing"/>
              <w:rPr>
                <w:lang w:val="en-US"/>
              </w:rPr>
            </w:pPr>
            <w:r w:rsidRPr="00730DE4">
              <w:rPr>
                <w:lang w:val="en-US"/>
              </w:rPr>
              <w:t>ARRs – section 31.3</w:t>
            </w:r>
          </w:p>
        </w:tc>
        <w:tc>
          <w:tcPr>
            <w:tcW w:w="1395" w:type="pct"/>
          </w:tcPr>
          <w:p w14:paraId="5BDD56A8" w14:textId="77777777" w:rsidR="00FA2FF9" w:rsidRPr="00730DE4" w:rsidRDefault="00000000" w:rsidP="008A742F">
            <w:pPr>
              <w:pStyle w:val="NoSpacing"/>
              <w:rPr>
                <w:lang w:val="en-US"/>
              </w:rPr>
            </w:pPr>
            <w:hyperlink r:id="rId158" w:history="1">
              <w:r w:rsidR="00FA2FF9" w:rsidRPr="00730DE4">
                <w:rPr>
                  <w:rStyle w:val="Hyperlink"/>
                  <w:lang w:val="en-US"/>
                </w:rPr>
                <w:t>https://data.qld.gov.au</w:t>
              </w:r>
            </w:hyperlink>
          </w:p>
        </w:tc>
      </w:tr>
    </w:tbl>
    <w:p w14:paraId="10617BF5" w14:textId="16FC6E42" w:rsidR="00FA2FF9" w:rsidRPr="00730DE4" w:rsidRDefault="00FA2FF9" w:rsidP="002B7001">
      <w:pPr>
        <w:pStyle w:val="Heading3"/>
      </w:pPr>
      <w:bookmarkStart w:id="1864" w:name="_Toc180487846"/>
      <w:bookmarkStart w:id="1865" w:name="_Toc180491051"/>
      <w:bookmarkStart w:id="1866" w:name="_Toc180492084"/>
      <w:r w:rsidRPr="00730DE4">
        <w:t>Financial statements</w:t>
      </w:r>
      <w:bookmarkEnd w:id="1864"/>
      <w:bookmarkEnd w:id="1865"/>
      <w:bookmarkEnd w:id="1866"/>
    </w:p>
    <w:tbl>
      <w:tblPr>
        <w:tblStyle w:val="TMRDefault"/>
        <w:tblW w:w="5000" w:type="pct"/>
        <w:tblLook w:val="0020" w:firstRow="1" w:lastRow="0" w:firstColumn="0" w:lastColumn="0" w:noHBand="0" w:noVBand="0"/>
      </w:tblPr>
      <w:tblGrid>
        <w:gridCol w:w="5250"/>
        <w:gridCol w:w="4771"/>
        <w:gridCol w:w="3971"/>
      </w:tblGrid>
      <w:tr w:rsidR="002D6779" w:rsidRPr="00730DE4" w14:paraId="0B514468" w14:textId="77777777" w:rsidTr="00B9757A">
        <w:trPr>
          <w:cnfStyle w:val="100000000000" w:firstRow="1" w:lastRow="0" w:firstColumn="0" w:lastColumn="0" w:oddVBand="0" w:evenVBand="0" w:oddHBand="0" w:evenHBand="0" w:firstRowFirstColumn="0" w:firstRowLastColumn="0" w:lastRowFirstColumn="0" w:lastRowLastColumn="0"/>
          <w:tblHeader/>
        </w:trPr>
        <w:tc>
          <w:tcPr>
            <w:tcW w:w="1876" w:type="pct"/>
          </w:tcPr>
          <w:p w14:paraId="06DD1417" w14:textId="77777777" w:rsidR="00FA2FF9" w:rsidRPr="00730DE4" w:rsidRDefault="00FA2FF9" w:rsidP="008A742F">
            <w:pPr>
              <w:pStyle w:val="NoSpacing"/>
              <w:rPr>
                <w:color w:val="FFFFFF" w:themeColor="background1"/>
                <w:lang w:val="en-US"/>
              </w:rPr>
            </w:pPr>
            <w:r w:rsidRPr="00730DE4">
              <w:rPr>
                <w:color w:val="FFFFFF" w:themeColor="background1"/>
                <w:lang w:val="en-US"/>
              </w:rPr>
              <w:t>Summary of requirement</w:t>
            </w:r>
          </w:p>
        </w:tc>
        <w:tc>
          <w:tcPr>
            <w:tcW w:w="1705" w:type="pct"/>
          </w:tcPr>
          <w:p w14:paraId="6A585EAA" w14:textId="77777777" w:rsidR="00FA2FF9" w:rsidRPr="00730DE4" w:rsidRDefault="00FA2FF9" w:rsidP="008A742F">
            <w:pPr>
              <w:pStyle w:val="NoSpacing"/>
              <w:rPr>
                <w:color w:val="FFFFFF" w:themeColor="background1"/>
                <w:lang w:val="en-US"/>
              </w:rPr>
            </w:pPr>
            <w:r w:rsidRPr="00730DE4">
              <w:rPr>
                <w:color w:val="FFFFFF" w:themeColor="background1"/>
                <w:lang w:val="en-US"/>
              </w:rPr>
              <w:t>Basis for requirement</w:t>
            </w:r>
          </w:p>
        </w:tc>
        <w:tc>
          <w:tcPr>
            <w:tcW w:w="1419" w:type="pct"/>
          </w:tcPr>
          <w:p w14:paraId="5B349552" w14:textId="77777777" w:rsidR="00FA2FF9" w:rsidRPr="00730DE4" w:rsidRDefault="00FA2FF9" w:rsidP="008A742F">
            <w:pPr>
              <w:pStyle w:val="NoSpacing"/>
              <w:rPr>
                <w:color w:val="FFFFFF" w:themeColor="background1"/>
                <w:lang w:val="en-US"/>
              </w:rPr>
            </w:pPr>
            <w:r w:rsidRPr="00730DE4">
              <w:rPr>
                <w:color w:val="FFFFFF" w:themeColor="background1"/>
                <w:lang w:val="en-US"/>
              </w:rPr>
              <w:t>Annual report reference</w:t>
            </w:r>
          </w:p>
        </w:tc>
      </w:tr>
      <w:tr w:rsidR="000A65A9" w:rsidRPr="00730DE4" w14:paraId="50EC4B94" w14:textId="77777777" w:rsidTr="00B9757A">
        <w:trPr>
          <w:cnfStyle w:val="000000100000" w:firstRow="0" w:lastRow="0" w:firstColumn="0" w:lastColumn="0" w:oddVBand="0" w:evenVBand="0" w:oddHBand="1" w:evenHBand="0" w:firstRowFirstColumn="0" w:firstRowLastColumn="0" w:lastRowFirstColumn="0" w:lastRowLastColumn="0"/>
        </w:trPr>
        <w:tc>
          <w:tcPr>
            <w:tcW w:w="1876" w:type="pct"/>
          </w:tcPr>
          <w:p w14:paraId="47BA068C" w14:textId="77777777" w:rsidR="00FA2FF9" w:rsidRPr="00730DE4" w:rsidRDefault="00FA2FF9" w:rsidP="008A742F">
            <w:pPr>
              <w:pStyle w:val="NoSpacing"/>
              <w:rPr>
                <w:lang w:val="en-US"/>
              </w:rPr>
            </w:pPr>
            <w:r w:rsidRPr="00730DE4">
              <w:rPr>
                <w:lang w:val="en-US"/>
              </w:rPr>
              <w:t>Certification of financial statements</w:t>
            </w:r>
          </w:p>
        </w:tc>
        <w:tc>
          <w:tcPr>
            <w:tcW w:w="1705" w:type="pct"/>
          </w:tcPr>
          <w:p w14:paraId="469A0E9D" w14:textId="77777777" w:rsidR="00FA2FF9" w:rsidRPr="00730DE4" w:rsidRDefault="00FA2FF9" w:rsidP="008A742F">
            <w:pPr>
              <w:pStyle w:val="NoSpacing"/>
              <w:rPr>
                <w:lang w:val="en-US"/>
              </w:rPr>
            </w:pPr>
            <w:r w:rsidRPr="00730DE4">
              <w:rPr>
                <w:lang w:val="en-US"/>
              </w:rPr>
              <w:t>FAA – section 62</w:t>
            </w:r>
          </w:p>
          <w:p w14:paraId="1F2F6A24" w14:textId="77777777" w:rsidR="00FA2FF9" w:rsidRPr="00730DE4" w:rsidRDefault="00FA2FF9" w:rsidP="008A742F">
            <w:pPr>
              <w:pStyle w:val="NoSpacing"/>
              <w:rPr>
                <w:lang w:val="en-US"/>
              </w:rPr>
            </w:pPr>
            <w:r w:rsidRPr="00730DE4">
              <w:rPr>
                <w:lang w:val="en-US"/>
              </w:rPr>
              <w:t>FPMS – sections 38, 39 and 46</w:t>
            </w:r>
          </w:p>
          <w:p w14:paraId="79079707" w14:textId="77777777" w:rsidR="00FA2FF9" w:rsidRPr="00730DE4" w:rsidRDefault="00FA2FF9" w:rsidP="008A742F">
            <w:pPr>
              <w:pStyle w:val="NoSpacing"/>
              <w:rPr>
                <w:lang w:val="en-US"/>
              </w:rPr>
            </w:pPr>
            <w:r w:rsidRPr="00730DE4">
              <w:rPr>
                <w:lang w:val="en-US"/>
              </w:rPr>
              <w:t>ARRs – section 17.1</w:t>
            </w:r>
          </w:p>
        </w:tc>
        <w:tc>
          <w:tcPr>
            <w:tcW w:w="1419" w:type="pct"/>
          </w:tcPr>
          <w:p w14:paraId="3339F156" w14:textId="1FF38E0A" w:rsidR="00FA2FF9" w:rsidRPr="00730DE4" w:rsidRDefault="00BA799A" w:rsidP="008A742F">
            <w:pPr>
              <w:pStyle w:val="NoSpacing"/>
              <w:rPr>
                <w:lang w:val="en-US"/>
              </w:rPr>
            </w:pPr>
            <w:r>
              <w:rPr>
                <w:lang w:val="en-US"/>
              </w:rPr>
              <w:t>371</w:t>
            </w:r>
          </w:p>
        </w:tc>
      </w:tr>
      <w:tr w:rsidR="00FA2FF9" w:rsidRPr="00730DE4" w14:paraId="659F5762" w14:textId="77777777" w:rsidTr="00B9757A">
        <w:tc>
          <w:tcPr>
            <w:tcW w:w="1876" w:type="pct"/>
          </w:tcPr>
          <w:p w14:paraId="141C56B8" w14:textId="77777777" w:rsidR="00FA2FF9" w:rsidRPr="00730DE4" w:rsidRDefault="00FA2FF9" w:rsidP="008A742F">
            <w:pPr>
              <w:pStyle w:val="NoSpacing"/>
              <w:rPr>
                <w:lang w:val="en-US"/>
              </w:rPr>
            </w:pPr>
            <w:r w:rsidRPr="00730DE4">
              <w:rPr>
                <w:lang w:val="en-US"/>
              </w:rPr>
              <w:t>Independent Auditor's Report</w:t>
            </w:r>
          </w:p>
        </w:tc>
        <w:tc>
          <w:tcPr>
            <w:tcW w:w="1705" w:type="pct"/>
          </w:tcPr>
          <w:p w14:paraId="1E377E2E" w14:textId="77777777" w:rsidR="00FA2FF9" w:rsidRPr="00730DE4" w:rsidRDefault="00FA2FF9" w:rsidP="008A742F">
            <w:pPr>
              <w:pStyle w:val="NoSpacing"/>
              <w:rPr>
                <w:lang w:val="en-US"/>
              </w:rPr>
            </w:pPr>
            <w:r w:rsidRPr="00730DE4">
              <w:rPr>
                <w:lang w:val="en-US"/>
              </w:rPr>
              <w:t>FAA – section 62</w:t>
            </w:r>
          </w:p>
          <w:p w14:paraId="51F05A11" w14:textId="77777777" w:rsidR="00FA2FF9" w:rsidRPr="00730DE4" w:rsidRDefault="00FA2FF9" w:rsidP="008A742F">
            <w:pPr>
              <w:pStyle w:val="NoSpacing"/>
              <w:rPr>
                <w:lang w:val="en-US"/>
              </w:rPr>
            </w:pPr>
            <w:r w:rsidRPr="00730DE4">
              <w:rPr>
                <w:lang w:val="en-US"/>
              </w:rPr>
              <w:t>FPMS – section 46</w:t>
            </w:r>
          </w:p>
          <w:p w14:paraId="0CBC103A" w14:textId="77777777" w:rsidR="00FA2FF9" w:rsidRPr="00730DE4" w:rsidRDefault="00FA2FF9" w:rsidP="008A742F">
            <w:pPr>
              <w:pStyle w:val="NoSpacing"/>
              <w:rPr>
                <w:lang w:val="en-US"/>
              </w:rPr>
            </w:pPr>
            <w:r w:rsidRPr="00730DE4">
              <w:rPr>
                <w:lang w:val="en-US"/>
              </w:rPr>
              <w:t>ARRs – section 17.2</w:t>
            </w:r>
          </w:p>
        </w:tc>
        <w:tc>
          <w:tcPr>
            <w:tcW w:w="1419" w:type="pct"/>
          </w:tcPr>
          <w:p w14:paraId="25C73094" w14:textId="61CBD4E2" w:rsidR="00FA2FF9" w:rsidRPr="00730DE4" w:rsidRDefault="00BA799A" w:rsidP="008A742F">
            <w:pPr>
              <w:pStyle w:val="NoSpacing"/>
              <w:rPr>
                <w:lang w:val="en-US"/>
              </w:rPr>
            </w:pPr>
            <w:r>
              <w:rPr>
                <w:lang w:val="en-US"/>
              </w:rPr>
              <w:t>372–376</w:t>
            </w:r>
          </w:p>
        </w:tc>
      </w:tr>
    </w:tbl>
    <w:p w14:paraId="64B60796" w14:textId="77777777" w:rsidR="00FA2FF9" w:rsidRPr="00730DE4" w:rsidRDefault="00FA2FF9" w:rsidP="008A742F">
      <w:pPr>
        <w:pStyle w:val="ListBullet"/>
        <w:rPr>
          <w:rStyle w:val="Emphasis"/>
        </w:rPr>
      </w:pPr>
      <w:r w:rsidRPr="00730DE4">
        <w:rPr>
          <w:rStyle w:val="Emphasis"/>
        </w:rPr>
        <w:t>FAA Financial Accountability Act 2009</w:t>
      </w:r>
    </w:p>
    <w:p w14:paraId="364DF270" w14:textId="77777777" w:rsidR="00FA2FF9" w:rsidRPr="00730DE4" w:rsidRDefault="00FA2FF9" w:rsidP="008A742F">
      <w:pPr>
        <w:pStyle w:val="ListBullet"/>
        <w:rPr>
          <w:rStyle w:val="Emphasis"/>
        </w:rPr>
      </w:pPr>
      <w:r w:rsidRPr="00730DE4">
        <w:rPr>
          <w:rStyle w:val="Emphasis"/>
        </w:rPr>
        <w:t>FPMS Financial and Performance Management Standard 2019</w:t>
      </w:r>
    </w:p>
    <w:p w14:paraId="675A9092" w14:textId="77777777" w:rsidR="00FA2FF9" w:rsidRPr="00730DE4" w:rsidRDefault="00FA2FF9" w:rsidP="008A742F">
      <w:pPr>
        <w:pStyle w:val="ListBullet"/>
        <w:rPr>
          <w:rStyle w:val="Emphasis"/>
        </w:rPr>
      </w:pPr>
      <w:r w:rsidRPr="00730DE4">
        <w:rPr>
          <w:rStyle w:val="Emphasis"/>
        </w:rPr>
        <w:t>ARRs Annual report requirements for Queensland Government agencies</w:t>
      </w:r>
    </w:p>
    <w:p w14:paraId="6F854206" w14:textId="77777777" w:rsidR="00094BA5" w:rsidRPr="00730DE4" w:rsidRDefault="00094BA5">
      <w:pPr>
        <w:suppressAutoHyphens w:val="0"/>
        <w:spacing w:before="0" w:line="259" w:lineRule="auto"/>
        <w:rPr>
          <w:lang w:val="en-US"/>
        </w:rPr>
      </w:pPr>
      <w:r w:rsidRPr="00730DE4">
        <w:rPr>
          <w:lang w:val="en-US"/>
        </w:rPr>
        <w:br w:type="page"/>
      </w:r>
    </w:p>
    <w:p w14:paraId="186921BC" w14:textId="69EBCC06" w:rsidR="00FA2FF9" w:rsidRPr="00730DE4" w:rsidRDefault="00FA2FF9" w:rsidP="002B7001">
      <w:pPr>
        <w:pStyle w:val="Heading2"/>
      </w:pPr>
      <w:bookmarkStart w:id="1867" w:name="_Toc180491052"/>
      <w:bookmarkStart w:id="1868" w:name="_Toc180492085"/>
      <w:r w:rsidRPr="00730DE4">
        <w:rPr>
          <w:lang w:val="en-US"/>
        </w:rPr>
        <w:t xml:space="preserve">Appendix 9: </w:t>
      </w:r>
      <w:r w:rsidRPr="00730DE4">
        <w:t>Where to find us</w:t>
      </w:r>
      <w:bookmarkEnd w:id="1867"/>
      <w:bookmarkEnd w:id="1868"/>
    </w:p>
    <w:p w14:paraId="143FE3F8" w14:textId="77777777" w:rsidR="00FA2FF9" w:rsidRPr="00730DE4" w:rsidRDefault="00FA2FF9" w:rsidP="009D0A95">
      <w:r w:rsidRPr="00730DE4">
        <w:t>Our principal place of business is 61 Mary Street, Brisbane, Queensland 4000.</w:t>
      </w:r>
    </w:p>
    <w:p w14:paraId="72195D2F" w14:textId="77777777" w:rsidR="00FA2FF9" w:rsidRPr="00730DE4" w:rsidRDefault="00FA2FF9" w:rsidP="009D0A95">
      <w:r w:rsidRPr="00730DE4">
        <w:t xml:space="preserve">Addresses for the department’s statewide network of Customer Service Centres are listed over the following pages. </w:t>
      </w:r>
      <w:bookmarkStart w:id="1869" w:name="_Hlk145066096"/>
      <w:r w:rsidRPr="00730DE4">
        <w:t xml:space="preserve">For details about the services we provide, visit our website at </w:t>
      </w:r>
      <w:hyperlink r:id="rId159" w:history="1">
        <w:r w:rsidRPr="00730DE4">
          <w:rPr>
            <w:rStyle w:val="Hyperlink"/>
          </w:rPr>
          <w:t>www.tmr.qld.gov.au</w:t>
        </w:r>
      </w:hyperlink>
      <w:r w:rsidRPr="00730DE4">
        <w:t xml:space="preserve"> or telephone our call centre on 13 23 80*.</w:t>
      </w:r>
    </w:p>
    <w:bookmarkEnd w:id="1869"/>
    <w:p w14:paraId="5218C7D6" w14:textId="77777777" w:rsidR="00FA2FF9" w:rsidRPr="00730DE4" w:rsidRDefault="00FA2FF9" w:rsidP="0069763E">
      <w:pPr>
        <w:pStyle w:val="Caption"/>
      </w:pPr>
      <w:r w:rsidRPr="00730DE4">
        <w:t>*Local call charge in Australia. Higher rates apply from mobile phones and payphones. Check with your service provider for call costs. For international callers, please phone +61 7 3834 2011.</w:t>
      </w:r>
    </w:p>
    <w:p w14:paraId="1BB74F03" w14:textId="4AAF526D" w:rsidR="00FA2FF9" w:rsidRPr="00730DE4" w:rsidRDefault="00FA2FF9" w:rsidP="002B7001">
      <w:pPr>
        <w:pStyle w:val="Heading3"/>
      </w:pPr>
      <w:bookmarkStart w:id="1870" w:name="_Toc180487848"/>
      <w:bookmarkStart w:id="1871" w:name="_Toc180491053"/>
      <w:bookmarkStart w:id="1872" w:name="_Toc180492086"/>
      <w:r w:rsidRPr="00730DE4">
        <w:t>Customer Service Centres</w:t>
      </w:r>
      <w:bookmarkEnd w:id="1870"/>
      <w:bookmarkEnd w:id="1871"/>
      <w:bookmarkEnd w:id="1872"/>
    </w:p>
    <w:tbl>
      <w:tblPr>
        <w:tblStyle w:val="TMRDefault"/>
        <w:tblW w:w="5000" w:type="pct"/>
        <w:tblLook w:val="04A0" w:firstRow="1" w:lastRow="0" w:firstColumn="1" w:lastColumn="0" w:noHBand="0" w:noVBand="1"/>
      </w:tblPr>
      <w:tblGrid>
        <w:gridCol w:w="3716"/>
        <w:gridCol w:w="10276"/>
      </w:tblGrid>
      <w:tr w:rsidR="00FA2FF9" w:rsidRPr="00730DE4" w14:paraId="2F62D69D" w14:textId="77777777" w:rsidTr="00B9757A">
        <w:trPr>
          <w:cnfStyle w:val="100000000000" w:firstRow="1" w:lastRow="0" w:firstColumn="0" w:lastColumn="0" w:oddVBand="0" w:evenVBand="0" w:oddHBand="0" w:evenHBand="0" w:firstRowFirstColumn="0" w:firstRowLastColumn="0" w:lastRowFirstColumn="0" w:lastRowLastColumn="0"/>
          <w:tblHeader/>
        </w:trPr>
        <w:tc>
          <w:tcPr>
            <w:tcW w:w="1328" w:type="pct"/>
          </w:tcPr>
          <w:p w14:paraId="625ED9A4" w14:textId="77777777" w:rsidR="00FA2FF9" w:rsidRPr="00730DE4" w:rsidRDefault="00FA2FF9" w:rsidP="009D0A95">
            <w:pPr>
              <w:pStyle w:val="NoSpacing"/>
              <w:rPr>
                <w:color w:val="FFFFFF" w:themeColor="background1"/>
              </w:rPr>
            </w:pPr>
            <w:r w:rsidRPr="00730DE4">
              <w:rPr>
                <w:color w:val="FFFFFF" w:themeColor="background1"/>
              </w:rPr>
              <w:t>Suburb/town</w:t>
            </w:r>
          </w:p>
        </w:tc>
        <w:tc>
          <w:tcPr>
            <w:tcW w:w="3672" w:type="pct"/>
          </w:tcPr>
          <w:p w14:paraId="6BD04137" w14:textId="77777777" w:rsidR="00FA2FF9" w:rsidRPr="00730DE4" w:rsidRDefault="00FA2FF9" w:rsidP="009D0A95">
            <w:pPr>
              <w:pStyle w:val="NoSpacing"/>
              <w:rPr>
                <w:color w:val="FFFFFF" w:themeColor="background1"/>
              </w:rPr>
            </w:pPr>
            <w:r w:rsidRPr="00730DE4">
              <w:rPr>
                <w:color w:val="FFFFFF" w:themeColor="background1"/>
              </w:rPr>
              <w:t>Address</w:t>
            </w:r>
          </w:p>
        </w:tc>
      </w:tr>
      <w:tr w:rsidR="00FA2FF9" w:rsidRPr="00730DE4" w14:paraId="6D72F314" w14:textId="77777777" w:rsidTr="00B9757A">
        <w:trPr>
          <w:cnfStyle w:val="000000100000" w:firstRow="0" w:lastRow="0" w:firstColumn="0" w:lastColumn="0" w:oddVBand="0" w:evenVBand="0" w:oddHBand="1" w:evenHBand="0" w:firstRowFirstColumn="0" w:firstRowLastColumn="0" w:lastRowFirstColumn="0" w:lastRowLastColumn="0"/>
        </w:trPr>
        <w:tc>
          <w:tcPr>
            <w:tcW w:w="1328" w:type="pct"/>
          </w:tcPr>
          <w:p w14:paraId="7DD013C8" w14:textId="77777777" w:rsidR="00FA2FF9" w:rsidRPr="00730DE4" w:rsidRDefault="00FA2FF9" w:rsidP="009D0A95">
            <w:pPr>
              <w:pStyle w:val="NoSpacing"/>
            </w:pPr>
            <w:r w:rsidRPr="00730DE4">
              <w:t>Atherton</w:t>
            </w:r>
          </w:p>
        </w:tc>
        <w:tc>
          <w:tcPr>
            <w:tcW w:w="3672" w:type="pct"/>
          </w:tcPr>
          <w:p w14:paraId="3293DC30" w14:textId="77777777" w:rsidR="00FA2FF9" w:rsidRPr="00730DE4" w:rsidRDefault="00FA2FF9" w:rsidP="009D0A95">
            <w:pPr>
              <w:pStyle w:val="NoSpacing"/>
            </w:pPr>
            <w:r w:rsidRPr="00730DE4">
              <w:t>Shop 2, 13B Herberton Road, Atherton QLD 4883</w:t>
            </w:r>
          </w:p>
        </w:tc>
      </w:tr>
      <w:tr w:rsidR="00FA2FF9" w:rsidRPr="00730DE4" w14:paraId="3574BC73" w14:textId="77777777" w:rsidTr="00B9757A">
        <w:tc>
          <w:tcPr>
            <w:tcW w:w="1328" w:type="pct"/>
          </w:tcPr>
          <w:p w14:paraId="6DE437B4" w14:textId="77777777" w:rsidR="00FA2FF9" w:rsidRPr="00730DE4" w:rsidRDefault="00FA2FF9" w:rsidP="009D0A95">
            <w:pPr>
              <w:pStyle w:val="NoSpacing"/>
            </w:pPr>
            <w:r w:rsidRPr="00730DE4">
              <w:t>Beenleigh</w:t>
            </w:r>
          </w:p>
        </w:tc>
        <w:tc>
          <w:tcPr>
            <w:tcW w:w="3672" w:type="pct"/>
          </w:tcPr>
          <w:p w14:paraId="6739F4E4" w14:textId="77777777" w:rsidR="00FA2FF9" w:rsidRPr="00730DE4" w:rsidRDefault="00FA2FF9" w:rsidP="009D0A95">
            <w:pPr>
              <w:pStyle w:val="NoSpacing"/>
            </w:pPr>
            <w:r w:rsidRPr="00730DE4">
              <w:rPr>
                <w:lang w:val="en-US"/>
              </w:rPr>
              <w:t xml:space="preserve"> Shop 47 Beenleigh Marketplace 114–118 George Street, Beenleigh Qld 4207</w:t>
            </w:r>
          </w:p>
        </w:tc>
      </w:tr>
      <w:tr w:rsidR="00FA2FF9" w:rsidRPr="00730DE4" w14:paraId="74DDD478" w14:textId="77777777" w:rsidTr="00B9757A">
        <w:trPr>
          <w:cnfStyle w:val="000000100000" w:firstRow="0" w:lastRow="0" w:firstColumn="0" w:lastColumn="0" w:oddVBand="0" w:evenVBand="0" w:oddHBand="1" w:evenHBand="0" w:firstRowFirstColumn="0" w:firstRowLastColumn="0" w:lastRowFirstColumn="0" w:lastRowLastColumn="0"/>
        </w:trPr>
        <w:tc>
          <w:tcPr>
            <w:tcW w:w="1328" w:type="pct"/>
          </w:tcPr>
          <w:p w14:paraId="5A6E57A6" w14:textId="77777777" w:rsidR="00FA2FF9" w:rsidRPr="00730DE4" w:rsidRDefault="00FA2FF9" w:rsidP="009D0A95">
            <w:pPr>
              <w:pStyle w:val="NoSpacing"/>
            </w:pPr>
            <w:r w:rsidRPr="00730DE4">
              <w:t>Bethania</w:t>
            </w:r>
          </w:p>
        </w:tc>
        <w:tc>
          <w:tcPr>
            <w:tcW w:w="3672" w:type="pct"/>
          </w:tcPr>
          <w:p w14:paraId="56256D45" w14:textId="77777777" w:rsidR="00FA2FF9" w:rsidRPr="00730DE4" w:rsidRDefault="00FA2FF9" w:rsidP="009D0A95">
            <w:pPr>
              <w:pStyle w:val="NoSpacing"/>
              <w:rPr>
                <w:lang w:val="en-US"/>
              </w:rPr>
            </w:pPr>
            <w:r w:rsidRPr="00730DE4">
              <w:t>Shop 10/13–15 Glasson Dr, Bethania QLD 4205</w:t>
            </w:r>
          </w:p>
        </w:tc>
      </w:tr>
      <w:tr w:rsidR="00FA2FF9" w:rsidRPr="00730DE4" w14:paraId="7F8279AA" w14:textId="77777777" w:rsidTr="00B9757A">
        <w:tc>
          <w:tcPr>
            <w:tcW w:w="1328" w:type="pct"/>
          </w:tcPr>
          <w:p w14:paraId="7D2CE8B7" w14:textId="77777777" w:rsidR="00FA2FF9" w:rsidRPr="00730DE4" w:rsidRDefault="00FA2FF9" w:rsidP="009D0A95">
            <w:pPr>
              <w:pStyle w:val="NoSpacing"/>
            </w:pPr>
            <w:r w:rsidRPr="00730DE4">
              <w:t>Blackwater</w:t>
            </w:r>
          </w:p>
        </w:tc>
        <w:tc>
          <w:tcPr>
            <w:tcW w:w="3672" w:type="pct"/>
          </w:tcPr>
          <w:p w14:paraId="3EE8AEB0" w14:textId="77777777" w:rsidR="00FA2FF9" w:rsidRPr="00730DE4" w:rsidRDefault="00FA2FF9" w:rsidP="009D0A95">
            <w:pPr>
              <w:pStyle w:val="NoSpacing"/>
            </w:pPr>
            <w:r w:rsidRPr="00730DE4">
              <w:t>8 Blain Street, Blackwater QLD 4717</w:t>
            </w:r>
          </w:p>
        </w:tc>
      </w:tr>
      <w:tr w:rsidR="00FA2FF9" w:rsidRPr="00730DE4" w14:paraId="6370FCFE" w14:textId="77777777" w:rsidTr="00B9757A">
        <w:trPr>
          <w:cnfStyle w:val="000000100000" w:firstRow="0" w:lastRow="0" w:firstColumn="0" w:lastColumn="0" w:oddVBand="0" w:evenVBand="0" w:oddHBand="1" w:evenHBand="0" w:firstRowFirstColumn="0" w:firstRowLastColumn="0" w:lastRowFirstColumn="0" w:lastRowLastColumn="0"/>
        </w:trPr>
        <w:tc>
          <w:tcPr>
            <w:tcW w:w="1328" w:type="pct"/>
          </w:tcPr>
          <w:p w14:paraId="4B8265E5" w14:textId="77777777" w:rsidR="00FA2FF9" w:rsidRPr="00730DE4" w:rsidRDefault="00FA2FF9" w:rsidP="009D0A95">
            <w:pPr>
              <w:pStyle w:val="NoSpacing"/>
            </w:pPr>
            <w:r w:rsidRPr="00730DE4">
              <w:t>Bowen</w:t>
            </w:r>
          </w:p>
        </w:tc>
        <w:tc>
          <w:tcPr>
            <w:tcW w:w="3672" w:type="pct"/>
          </w:tcPr>
          <w:p w14:paraId="648BD4D6" w14:textId="77777777" w:rsidR="00FA2FF9" w:rsidRPr="00730DE4" w:rsidRDefault="00FA2FF9" w:rsidP="009D0A95">
            <w:pPr>
              <w:pStyle w:val="NoSpacing"/>
            </w:pPr>
            <w:r w:rsidRPr="00730DE4">
              <w:t>6 Herbert Street, Bowen QLD 4805</w:t>
            </w:r>
          </w:p>
        </w:tc>
      </w:tr>
      <w:tr w:rsidR="00FA2FF9" w:rsidRPr="00730DE4" w14:paraId="44B965CF" w14:textId="77777777" w:rsidTr="00B9757A">
        <w:tc>
          <w:tcPr>
            <w:tcW w:w="1328" w:type="pct"/>
          </w:tcPr>
          <w:p w14:paraId="00A681A8" w14:textId="77777777" w:rsidR="00FA2FF9" w:rsidRPr="00730DE4" w:rsidRDefault="00FA2FF9" w:rsidP="009D0A95">
            <w:pPr>
              <w:pStyle w:val="NoSpacing"/>
            </w:pPr>
            <w:r w:rsidRPr="00730DE4">
              <w:t>Brisbane (City)</w:t>
            </w:r>
          </w:p>
        </w:tc>
        <w:tc>
          <w:tcPr>
            <w:tcW w:w="3672" w:type="pct"/>
          </w:tcPr>
          <w:p w14:paraId="0EC8B44B" w14:textId="77777777" w:rsidR="00FA2FF9" w:rsidRPr="00730DE4" w:rsidRDefault="00FA2FF9" w:rsidP="009D0A95">
            <w:pPr>
              <w:pStyle w:val="NoSpacing"/>
            </w:pPr>
            <w:r w:rsidRPr="00730DE4">
              <w:t>229 Elizabeth Street, Brisbane QLD 4000</w:t>
            </w:r>
          </w:p>
        </w:tc>
      </w:tr>
      <w:tr w:rsidR="00FA2FF9" w:rsidRPr="00730DE4" w14:paraId="07A5E7BB" w14:textId="77777777" w:rsidTr="00B9757A">
        <w:trPr>
          <w:cnfStyle w:val="000000100000" w:firstRow="0" w:lastRow="0" w:firstColumn="0" w:lastColumn="0" w:oddVBand="0" w:evenVBand="0" w:oddHBand="1" w:evenHBand="0" w:firstRowFirstColumn="0" w:firstRowLastColumn="0" w:lastRowFirstColumn="0" w:lastRowLastColumn="0"/>
        </w:trPr>
        <w:tc>
          <w:tcPr>
            <w:tcW w:w="1328" w:type="pct"/>
          </w:tcPr>
          <w:p w14:paraId="17837CE6" w14:textId="77777777" w:rsidR="00FA2FF9" w:rsidRPr="00730DE4" w:rsidRDefault="00FA2FF9" w:rsidP="009D0A95">
            <w:pPr>
              <w:pStyle w:val="NoSpacing"/>
            </w:pPr>
            <w:r w:rsidRPr="00730DE4">
              <w:t>Brisbane (Charlotte Street)</w:t>
            </w:r>
          </w:p>
        </w:tc>
        <w:tc>
          <w:tcPr>
            <w:tcW w:w="3672" w:type="pct"/>
          </w:tcPr>
          <w:p w14:paraId="2A5B3250" w14:textId="77777777" w:rsidR="00FA2FF9" w:rsidRPr="00730DE4" w:rsidRDefault="00FA2FF9" w:rsidP="009D0A95">
            <w:pPr>
              <w:pStyle w:val="NoSpacing"/>
            </w:pPr>
            <w:r w:rsidRPr="00730DE4">
              <w:t>Queensland Government Service Centre, 33 Charlotte Street, Brisbane QLD 4000</w:t>
            </w:r>
          </w:p>
        </w:tc>
      </w:tr>
      <w:tr w:rsidR="00FA2FF9" w:rsidRPr="00730DE4" w14:paraId="6B5B73FB" w14:textId="77777777" w:rsidTr="00B9757A">
        <w:tc>
          <w:tcPr>
            <w:tcW w:w="1328" w:type="pct"/>
          </w:tcPr>
          <w:p w14:paraId="02B79B0C" w14:textId="77777777" w:rsidR="00FA2FF9" w:rsidRPr="00730DE4" w:rsidRDefault="00FA2FF9" w:rsidP="009D0A95">
            <w:pPr>
              <w:pStyle w:val="NoSpacing"/>
            </w:pPr>
            <w:r w:rsidRPr="00730DE4">
              <w:t>Bundaberg</w:t>
            </w:r>
          </w:p>
        </w:tc>
        <w:tc>
          <w:tcPr>
            <w:tcW w:w="3672" w:type="pct"/>
          </w:tcPr>
          <w:p w14:paraId="58C3D1FB" w14:textId="77777777" w:rsidR="00FA2FF9" w:rsidRPr="00730DE4" w:rsidRDefault="00FA2FF9" w:rsidP="009D0A95">
            <w:pPr>
              <w:pStyle w:val="NoSpacing"/>
            </w:pPr>
            <w:r w:rsidRPr="00730DE4">
              <w:t>9 Production Street, West Bundaberg QLD 4670</w:t>
            </w:r>
          </w:p>
        </w:tc>
      </w:tr>
      <w:tr w:rsidR="00FA2FF9" w:rsidRPr="00730DE4" w14:paraId="0B025716" w14:textId="77777777" w:rsidTr="00B9757A">
        <w:trPr>
          <w:cnfStyle w:val="000000100000" w:firstRow="0" w:lastRow="0" w:firstColumn="0" w:lastColumn="0" w:oddVBand="0" w:evenVBand="0" w:oddHBand="1" w:evenHBand="0" w:firstRowFirstColumn="0" w:firstRowLastColumn="0" w:lastRowFirstColumn="0" w:lastRowLastColumn="0"/>
        </w:trPr>
        <w:tc>
          <w:tcPr>
            <w:tcW w:w="1328" w:type="pct"/>
          </w:tcPr>
          <w:p w14:paraId="2E7D674F" w14:textId="77777777" w:rsidR="00FA2FF9" w:rsidRPr="00730DE4" w:rsidRDefault="00FA2FF9" w:rsidP="009D0A95">
            <w:pPr>
              <w:pStyle w:val="NoSpacing"/>
            </w:pPr>
            <w:r w:rsidRPr="00730DE4">
              <w:t>Bundall</w:t>
            </w:r>
          </w:p>
        </w:tc>
        <w:tc>
          <w:tcPr>
            <w:tcW w:w="3672" w:type="pct"/>
          </w:tcPr>
          <w:p w14:paraId="1BF116BF" w14:textId="77777777" w:rsidR="00FA2FF9" w:rsidRPr="00730DE4" w:rsidRDefault="00FA2FF9" w:rsidP="009D0A95">
            <w:pPr>
              <w:pStyle w:val="NoSpacing"/>
            </w:pPr>
            <w:r w:rsidRPr="00730DE4">
              <w:t>30 Upton Street, Bundall QLD 4217</w:t>
            </w:r>
          </w:p>
        </w:tc>
      </w:tr>
      <w:tr w:rsidR="00FA2FF9" w:rsidRPr="00730DE4" w14:paraId="704A78BE" w14:textId="77777777" w:rsidTr="00B9757A">
        <w:tc>
          <w:tcPr>
            <w:tcW w:w="1328" w:type="pct"/>
          </w:tcPr>
          <w:p w14:paraId="73D39538" w14:textId="77777777" w:rsidR="00FA2FF9" w:rsidRPr="00730DE4" w:rsidRDefault="00FA2FF9" w:rsidP="009D0A95">
            <w:pPr>
              <w:pStyle w:val="NoSpacing"/>
            </w:pPr>
            <w:r w:rsidRPr="00730DE4">
              <w:t>Bundamba</w:t>
            </w:r>
          </w:p>
        </w:tc>
        <w:tc>
          <w:tcPr>
            <w:tcW w:w="3672" w:type="pct"/>
          </w:tcPr>
          <w:p w14:paraId="17108852" w14:textId="77777777" w:rsidR="00FA2FF9" w:rsidRPr="00730DE4" w:rsidRDefault="00FA2FF9" w:rsidP="009D0A95">
            <w:pPr>
              <w:pStyle w:val="NoSpacing"/>
            </w:pPr>
            <w:r w:rsidRPr="00730DE4">
              <w:t>28 Brisbane Road, Bundamba, Qld, 4304</w:t>
            </w:r>
          </w:p>
        </w:tc>
      </w:tr>
      <w:tr w:rsidR="00FA2FF9" w:rsidRPr="00730DE4" w14:paraId="27518A77" w14:textId="77777777" w:rsidTr="00B9757A">
        <w:trPr>
          <w:cnfStyle w:val="000000100000" w:firstRow="0" w:lastRow="0" w:firstColumn="0" w:lastColumn="0" w:oddVBand="0" w:evenVBand="0" w:oddHBand="1" w:evenHBand="0" w:firstRowFirstColumn="0" w:firstRowLastColumn="0" w:lastRowFirstColumn="0" w:lastRowLastColumn="0"/>
        </w:trPr>
        <w:tc>
          <w:tcPr>
            <w:tcW w:w="1328" w:type="pct"/>
          </w:tcPr>
          <w:p w14:paraId="740711BF" w14:textId="77777777" w:rsidR="00FA2FF9" w:rsidRPr="00730DE4" w:rsidRDefault="00FA2FF9" w:rsidP="009D0A95">
            <w:pPr>
              <w:pStyle w:val="NoSpacing"/>
            </w:pPr>
            <w:r w:rsidRPr="00730DE4">
              <w:t>Burleigh Waters</w:t>
            </w:r>
          </w:p>
        </w:tc>
        <w:tc>
          <w:tcPr>
            <w:tcW w:w="3672" w:type="pct"/>
          </w:tcPr>
          <w:p w14:paraId="4E40CEFC" w14:textId="77777777" w:rsidR="00FA2FF9" w:rsidRPr="00730DE4" w:rsidRDefault="00FA2FF9" w:rsidP="009D0A95">
            <w:pPr>
              <w:pStyle w:val="NoSpacing"/>
            </w:pPr>
            <w:r w:rsidRPr="00730DE4">
              <w:t>Shop 1, Burleigh Home Space, 1 Santa Maria Court, Burleigh Waters QLD 4220</w:t>
            </w:r>
          </w:p>
        </w:tc>
      </w:tr>
      <w:tr w:rsidR="00FA2FF9" w:rsidRPr="00730DE4" w14:paraId="7353530F" w14:textId="77777777" w:rsidTr="00B9757A">
        <w:tc>
          <w:tcPr>
            <w:tcW w:w="1328" w:type="pct"/>
          </w:tcPr>
          <w:p w14:paraId="7E39C6CD" w14:textId="77777777" w:rsidR="00FA2FF9" w:rsidRPr="00730DE4" w:rsidRDefault="00FA2FF9" w:rsidP="009D0A95">
            <w:pPr>
              <w:pStyle w:val="NoSpacing"/>
            </w:pPr>
            <w:r w:rsidRPr="00730DE4">
              <w:t>Caboolture</w:t>
            </w:r>
          </w:p>
        </w:tc>
        <w:tc>
          <w:tcPr>
            <w:tcW w:w="3672" w:type="pct"/>
          </w:tcPr>
          <w:p w14:paraId="098CA2EF" w14:textId="77777777" w:rsidR="00FA2FF9" w:rsidRPr="00730DE4" w:rsidRDefault="00FA2FF9" w:rsidP="009D0A95">
            <w:pPr>
              <w:pStyle w:val="NoSpacing"/>
            </w:pPr>
            <w:r w:rsidRPr="00730DE4">
              <w:t>Cnr Aerodrome Road and Piper Street, Caboolture QLD 4510</w:t>
            </w:r>
          </w:p>
        </w:tc>
      </w:tr>
      <w:tr w:rsidR="00FA2FF9" w:rsidRPr="00730DE4" w14:paraId="1F3A3CB1" w14:textId="77777777" w:rsidTr="00B9757A">
        <w:trPr>
          <w:cnfStyle w:val="000000100000" w:firstRow="0" w:lastRow="0" w:firstColumn="0" w:lastColumn="0" w:oddVBand="0" w:evenVBand="0" w:oddHBand="1" w:evenHBand="0" w:firstRowFirstColumn="0" w:firstRowLastColumn="0" w:lastRowFirstColumn="0" w:lastRowLastColumn="0"/>
        </w:trPr>
        <w:tc>
          <w:tcPr>
            <w:tcW w:w="1328" w:type="pct"/>
          </w:tcPr>
          <w:p w14:paraId="5EA6550B" w14:textId="77777777" w:rsidR="00FA2FF9" w:rsidRPr="00730DE4" w:rsidRDefault="00FA2FF9" w:rsidP="009D0A95">
            <w:pPr>
              <w:pStyle w:val="NoSpacing"/>
            </w:pPr>
            <w:r w:rsidRPr="00730DE4">
              <w:t>Cairns (Bentley Park)</w:t>
            </w:r>
          </w:p>
        </w:tc>
        <w:tc>
          <w:tcPr>
            <w:tcW w:w="3672" w:type="pct"/>
          </w:tcPr>
          <w:p w14:paraId="2E1964BC" w14:textId="77777777" w:rsidR="00FA2FF9" w:rsidRPr="00730DE4" w:rsidRDefault="00FA2FF9" w:rsidP="009D0A95">
            <w:pPr>
              <w:pStyle w:val="NoSpacing"/>
            </w:pPr>
            <w:r w:rsidRPr="00730DE4">
              <w:t>Shop 18, Bentley Village Shopping Centre, 96 McLaughlin Road, Bentley Park QLD 4869</w:t>
            </w:r>
          </w:p>
        </w:tc>
      </w:tr>
      <w:tr w:rsidR="00FA2FF9" w:rsidRPr="00730DE4" w14:paraId="676E3698" w14:textId="77777777" w:rsidTr="00B9757A">
        <w:tc>
          <w:tcPr>
            <w:tcW w:w="1328" w:type="pct"/>
          </w:tcPr>
          <w:p w14:paraId="18371537" w14:textId="77777777" w:rsidR="00FA2FF9" w:rsidRPr="00730DE4" w:rsidRDefault="00FA2FF9" w:rsidP="009D0A95">
            <w:pPr>
              <w:pStyle w:val="NoSpacing"/>
            </w:pPr>
            <w:r w:rsidRPr="00730DE4">
              <w:t>Cairns (Kenny Street)</w:t>
            </w:r>
          </w:p>
        </w:tc>
        <w:tc>
          <w:tcPr>
            <w:tcW w:w="3672" w:type="pct"/>
          </w:tcPr>
          <w:p w14:paraId="14359A54" w14:textId="77777777" w:rsidR="00FA2FF9" w:rsidRPr="00730DE4" w:rsidRDefault="00FA2FF9" w:rsidP="009D0A95">
            <w:pPr>
              <w:pStyle w:val="NoSpacing"/>
            </w:pPr>
            <w:r w:rsidRPr="00730DE4">
              <w:t>82–86 Kenny Street, Portsmith, Cairns QLD 4870</w:t>
            </w:r>
          </w:p>
        </w:tc>
      </w:tr>
      <w:tr w:rsidR="00FA2FF9" w:rsidRPr="00730DE4" w14:paraId="671648F6" w14:textId="77777777" w:rsidTr="00B9757A">
        <w:trPr>
          <w:cnfStyle w:val="000000100000" w:firstRow="0" w:lastRow="0" w:firstColumn="0" w:lastColumn="0" w:oddVBand="0" w:evenVBand="0" w:oddHBand="1" w:evenHBand="0" w:firstRowFirstColumn="0" w:firstRowLastColumn="0" w:lastRowFirstColumn="0" w:lastRowLastColumn="0"/>
        </w:trPr>
        <w:tc>
          <w:tcPr>
            <w:tcW w:w="1328" w:type="pct"/>
          </w:tcPr>
          <w:p w14:paraId="0A315A43" w14:textId="77777777" w:rsidR="00FA2FF9" w:rsidRPr="00730DE4" w:rsidRDefault="00FA2FF9" w:rsidP="009D0A95">
            <w:pPr>
              <w:pStyle w:val="NoSpacing"/>
            </w:pPr>
            <w:r w:rsidRPr="00730DE4">
              <w:t>Caloundra</w:t>
            </w:r>
          </w:p>
        </w:tc>
        <w:tc>
          <w:tcPr>
            <w:tcW w:w="3672" w:type="pct"/>
          </w:tcPr>
          <w:p w14:paraId="2260652E" w14:textId="77777777" w:rsidR="00FA2FF9" w:rsidRPr="00730DE4" w:rsidRDefault="00FA2FF9" w:rsidP="009D0A95">
            <w:pPr>
              <w:pStyle w:val="NoSpacing"/>
            </w:pPr>
            <w:r w:rsidRPr="00730DE4">
              <w:t>54 Canberra Terrace, Caloundra QLD 4551</w:t>
            </w:r>
          </w:p>
        </w:tc>
      </w:tr>
      <w:tr w:rsidR="00FA2FF9" w:rsidRPr="00730DE4" w14:paraId="4B7538EE" w14:textId="77777777" w:rsidTr="00B9757A">
        <w:tc>
          <w:tcPr>
            <w:tcW w:w="1328" w:type="pct"/>
          </w:tcPr>
          <w:p w14:paraId="5CF9E87F" w14:textId="77777777" w:rsidR="00FA2FF9" w:rsidRPr="00730DE4" w:rsidRDefault="00FA2FF9" w:rsidP="009D0A95">
            <w:pPr>
              <w:pStyle w:val="NoSpacing"/>
            </w:pPr>
            <w:r w:rsidRPr="00730DE4">
              <w:t>Carseldine</w:t>
            </w:r>
          </w:p>
        </w:tc>
        <w:tc>
          <w:tcPr>
            <w:tcW w:w="3672" w:type="pct"/>
          </w:tcPr>
          <w:p w14:paraId="7A5935E3" w14:textId="77777777" w:rsidR="00FA2FF9" w:rsidRPr="00730DE4" w:rsidRDefault="00FA2FF9" w:rsidP="009D0A95">
            <w:pPr>
              <w:pStyle w:val="NoSpacing"/>
            </w:pPr>
            <w:r w:rsidRPr="00730DE4">
              <w:t>532 Beams Road, Carseldine 4034</w:t>
            </w:r>
          </w:p>
        </w:tc>
      </w:tr>
      <w:tr w:rsidR="00FA2FF9" w:rsidRPr="00730DE4" w14:paraId="1B6F575D" w14:textId="77777777" w:rsidTr="00B9757A">
        <w:trPr>
          <w:cnfStyle w:val="000000100000" w:firstRow="0" w:lastRow="0" w:firstColumn="0" w:lastColumn="0" w:oddVBand="0" w:evenVBand="0" w:oddHBand="1" w:evenHBand="0" w:firstRowFirstColumn="0" w:firstRowLastColumn="0" w:lastRowFirstColumn="0" w:lastRowLastColumn="0"/>
        </w:trPr>
        <w:tc>
          <w:tcPr>
            <w:tcW w:w="1328" w:type="pct"/>
          </w:tcPr>
          <w:p w14:paraId="6B15D8DA" w14:textId="77777777" w:rsidR="00FA2FF9" w:rsidRPr="00730DE4" w:rsidRDefault="00FA2FF9" w:rsidP="009D0A95">
            <w:pPr>
              <w:pStyle w:val="NoSpacing"/>
            </w:pPr>
            <w:r w:rsidRPr="00730DE4">
              <w:t>Charleville</w:t>
            </w:r>
          </w:p>
        </w:tc>
        <w:tc>
          <w:tcPr>
            <w:tcW w:w="3672" w:type="pct"/>
          </w:tcPr>
          <w:p w14:paraId="402D0D98" w14:textId="77777777" w:rsidR="00FA2FF9" w:rsidRPr="00730DE4" w:rsidRDefault="00FA2FF9" w:rsidP="009D0A95">
            <w:pPr>
              <w:pStyle w:val="NoSpacing"/>
            </w:pPr>
            <w:r w:rsidRPr="00730DE4">
              <w:t>Hood Street, Charleville QLD 4470</w:t>
            </w:r>
          </w:p>
        </w:tc>
      </w:tr>
      <w:tr w:rsidR="00FA2FF9" w:rsidRPr="00730DE4" w14:paraId="55576E98" w14:textId="77777777" w:rsidTr="00B9757A">
        <w:tc>
          <w:tcPr>
            <w:tcW w:w="1328" w:type="pct"/>
          </w:tcPr>
          <w:p w14:paraId="197747C8" w14:textId="77777777" w:rsidR="00FA2FF9" w:rsidRPr="00730DE4" w:rsidRDefault="00FA2FF9" w:rsidP="009D0A95">
            <w:pPr>
              <w:pStyle w:val="NoSpacing"/>
            </w:pPr>
            <w:r w:rsidRPr="00730DE4">
              <w:t>Charters Towers</w:t>
            </w:r>
          </w:p>
        </w:tc>
        <w:tc>
          <w:tcPr>
            <w:tcW w:w="3672" w:type="pct"/>
          </w:tcPr>
          <w:p w14:paraId="10097197" w14:textId="77777777" w:rsidR="00FA2FF9" w:rsidRPr="00730DE4" w:rsidRDefault="00FA2FF9" w:rsidP="009D0A95">
            <w:pPr>
              <w:pStyle w:val="NoSpacing"/>
            </w:pPr>
            <w:r w:rsidRPr="00730DE4">
              <w:t>11–15 Church Street, Charters Towers QLD 4820</w:t>
            </w:r>
          </w:p>
        </w:tc>
      </w:tr>
      <w:tr w:rsidR="00FA2FF9" w:rsidRPr="00730DE4" w14:paraId="41BEFE26" w14:textId="77777777" w:rsidTr="00B9757A">
        <w:trPr>
          <w:cnfStyle w:val="000000100000" w:firstRow="0" w:lastRow="0" w:firstColumn="0" w:lastColumn="0" w:oddVBand="0" w:evenVBand="0" w:oddHBand="1" w:evenHBand="0" w:firstRowFirstColumn="0" w:firstRowLastColumn="0" w:lastRowFirstColumn="0" w:lastRowLastColumn="0"/>
        </w:trPr>
        <w:tc>
          <w:tcPr>
            <w:tcW w:w="1328" w:type="pct"/>
          </w:tcPr>
          <w:p w14:paraId="163A94AA" w14:textId="77777777" w:rsidR="00FA2FF9" w:rsidRPr="00730DE4" w:rsidRDefault="00FA2FF9" w:rsidP="009D0A95">
            <w:pPr>
              <w:pStyle w:val="NoSpacing"/>
            </w:pPr>
            <w:r w:rsidRPr="00730DE4">
              <w:t>Chermside</w:t>
            </w:r>
          </w:p>
        </w:tc>
        <w:tc>
          <w:tcPr>
            <w:tcW w:w="3672" w:type="pct"/>
          </w:tcPr>
          <w:p w14:paraId="6065F042" w14:textId="77777777" w:rsidR="00FA2FF9" w:rsidRPr="00730DE4" w:rsidRDefault="00FA2FF9" w:rsidP="009D0A95">
            <w:pPr>
              <w:pStyle w:val="NoSpacing"/>
            </w:pPr>
            <w:r w:rsidRPr="00730DE4">
              <w:t>766 Gympie Road, Chermside QLD 4032</w:t>
            </w:r>
          </w:p>
        </w:tc>
      </w:tr>
      <w:tr w:rsidR="00FA2FF9" w:rsidRPr="00730DE4" w14:paraId="66F274E2" w14:textId="77777777" w:rsidTr="00B9757A">
        <w:tc>
          <w:tcPr>
            <w:tcW w:w="1328" w:type="pct"/>
          </w:tcPr>
          <w:p w14:paraId="5728E067" w14:textId="77777777" w:rsidR="00FA2FF9" w:rsidRPr="00730DE4" w:rsidRDefault="00FA2FF9" w:rsidP="009D0A95">
            <w:pPr>
              <w:pStyle w:val="NoSpacing"/>
            </w:pPr>
            <w:r w:rsidRPr="00730DE4">
              <w:t>Cleveland</w:t>
            </w:r>
          </w:p>
        </w:tc>
        <w:tc>
          <w:tcPr>
            <w:tcW w:w="3672" w:type="pct"/>
          </w:tcPr>
          <w:p w14:paraId="5635BF23" w14:textId="77777777" w:rsidR="00FA2FF9" w:rsidRPr="00730DE4" w:rsidRDefault="00FA2FF9" w:rsidP="009D0A95">
            <w:pPr>
              <w:pStyle w:val="NoSpacing"/>
            </w:pPr>
            <w:r w:rsidRPr="00730DE4">
              <w:t>Ross Court Centre, Cnr Bloomfield Street and Ross Court, Cleveland QLD 4163</w:t>
            </w:r>
          </w:p>
        </w:tc>
      </w:tr>
      <w:tr w:rsidR="00FA2FF9" w:rsidRPr="00730DE4" w14:paraId="21F2B354" w14:textId="77777777" w:rsidTr="00B9757A">
        <w:trPr>
          <w:cnfStyle w:val="000000100000" w:firstRow="0" w:lastRow="0" w:firstColumn="0" w:lastColumn="0" w:oddVBand="0" w:evenVBand="0" w:oddHBand="1" w:evenHBand="0" w:firstRowFirstColumn="0" w:firstRowLastColumn="0" w:lastRowFirstColumn="0" w:lastRowLastColumn="0"/>
        </w:trPr>
        <w:tc>
          <w:tcPr>
            <w:tcW w:w="1328" w:type="pct"/>
          </w:tcPr>
          <w:p w14:paraId="7E7AF3C4" w14:textId="77777777" w:rsidR="00FA2FF9" w:rsidRPr="00730DE4" w:rsidRDefault="00FA2FF9" w:rsidP="009D0A95">
            <w:pPr>
              <w:pStyle w:val="NoSpacing"/>
            </w:pPr>
            <w:r w:rsidRPr="00730DE4">
              <w:t>Cloncurry</w:t>
            </w:r>
          </w:p>
        </w:tc>
        <w:tc>
          <w:tcPr>
            <w:tcW w:w="3672" w:type="pct"/>
          </w:tcPr>
          <w:p w14:paraId="4DE69519" w14:textId="77777777" w:rsidR="00FA2FF9" w:rsidRPr="00730DE4" w:rsidRDefault="00FA2FF9" w:rsidP="009D0A95">
            <w:pPr>
              <w:pStyle w:val="NoSpacing"/>
            </w:pPr>
            <w:r w:rsidRPr="00730DE4">
              <w:t>16–22 Ramsay Street, Cloncurry QLD 4824</w:t>
            </w:r>
          </w:p>
        </w:tc>
      </w:tr>
      <w:tr w:rsidR="00FA2FF9" w:rsidRPr="00730DE4" w14:paraId="4C73AB71" w14:textId="77777777" w:rsidTr="00B9757A">
        <w:tc>
          <w:tcPr>
            <w:tcW w:w="1328" w:type="pct"/>
          </w:tcPr>
          <w:p w14:paraId="76D66FC9" w14:textId="77777777" w:rsidR="00FA2FF9" w:rsidRPr="00730DE4" w:rsidRDefault="00FA2FF9" w:rsidP="009D0A95">
            <w:pPr>
              <w:pStyle w:val="NoSpacing"/>
            </w:pPr>
            <w:r w:rsidRPr="00730DE4">
              <w:t>Currumbin Waters</w:t>
            </w:r>
          </w:p>
        </w:tc>
        <w:tc>
          <w:tcPr>
            <w:tcW w:w="3672" w:type="pct"/>
          </w:tcPr>
          <w:p w14:paraId="1B8B5CCB" w14:textId="77777777" w:rsidR="00FA2FF9" w:rsidRPr="00730DE4" w:rsidRDefault="00FA2FF9" w:rsidP="009D0A95">
            <w:pPr>
              <w:pStyle w:val="NoSpacing"/>
            </w:pPr>
            <w:r w:rsidRPr="00730DE4">
              <w:t>Unit 3, 109 Currumbin Creek Road, Currumbin Waters QLD 4223</w:t>
            </w:r>
          </w:p>
        </w:tc>
      </w:tr>
      <w:tr w:rsidR="00FA2FF9" w:rsidRPr="00730DE4" w14:paraId="0F5D32E8" w14:textId="77777777" w:rsidTr="00B9757A">
        <w:trPr>
          <w:cnfStyle w:val="000000100000" w:firstRow="0" w:lastRow="0" w:firstColumn="0" w:lastColumn="0" w:oddVBand="0" w:evenVBand="0" w:oddHBand="1" w:evenHBand="0" w:firstRowFirstColumn="0" w:firstRowLastColumn="0" w:lastRowFirstColumn="0" w:lastRowLastColumn="0"/>
        </w:trPr>
        <w:tc>
          <w:tcPr>
            <w:tcW w:w="1328" w:type="pct"/>
          </w:tcPr>
          <w:p w14:paraId="0C84E3C6" w14:textId="77777777" w:rsidR="00FA2FF9" w:rsidRPr="00730DE4" w:rsidRDefault="00FA2FF9" w:rsidP="009D0A95">
            <w:pPr>
              <w:pStyle w:val="NoSpacing"/>
            </w:pPr>
            <w:r w:rsidRPr="00730DE4">
              <w:t>Dalby</w:t>
            </w:r>
          </w:p>
        </w:tc>
        <w:tc>
          <w:tcPr>
            <w:tcW w:w="3672" w:type="pct"/>
          </w:tcPr>
          <w:p w14:paraId="6122CE9C" w14:textId="77777777" w:rsidR="00FA2FF9" w:rsidRPr="00730DE4" w:rsidRDefault="00FA2FF9" w:rsidP="009D0A95">
            <w:pPr>
              <w:pStyle w:val="NoSpacing"/>
            </w:pPr>
            <w:r w:rsidRPr="00730DE4">
              <w:t>20 Cunningham Street, Dalby QLD 4405</w:t>
            </w:r>
          </w:p>
        </w:tc>
      </w:tr>
      <w:tr w:rsidR="00FA2FF9" w:rsidRPr="00730DE4" w14:paraId="01B1B33C" w14:textId="77777777" w:rsidTr="00B9757A">
        <w:tc>
          <w:tcPr>
            <w:tcW w:w="1328" w:type="pct"/>
          </w:tcPr>
          <w:p w14:paraId="0576A7E8" w14:textId="77777777" w:rsidR="00FA2FF9" w:rsidRPr="00730DE4" w:rsidRDefault="00FA2FF9" w:rsidP="009D0A95">
            <w:pPr>
              <w:pStyle w:val="NoSpacing"/>
            </w:pPr>
            <w:r w:rsidRPr="00730DE4">
              <w:t>Emerald</w:t>
            </w:r>
          </w:p>
        </w:tc>
        <w:tc>
          <w:tcPr>
            <w:tcW w:w="3672" w:type="pct"/>
          </w:tcPr>
          <w:p w14:paraId="3414168B" w14:textId="77777777" w:rsidR="00FA2FF9" w:rsidRPr="00730DE4" w:rsidRDefault="00FA2FF9" w:rsidP="009D0A95">
            <w:pPr>
              <w:pStyle w:val="NoSpacing"/>
            </w:pPr>
            <w:r w:rsidRPr="00730DE4">
              <w:t>83 Esmond Street, Emerald QLD 4720</w:t>
            </w:r>
          </w:p>
        </w:tc>
      </w:tr>
      <w:tr w:rsidR="00FA2FF9" w:rsidRPr="00730DE4" w14:paraId="6F97B2EF" w14:textId="77777777" w:rsidTr="00B9757A">
        <w:trPr>
          <w:cnfStyle w:val="000000100000" w:firstRow="0" w:lastRow="0" w:firstColumn="0" w:lastColumn="0" w:oddVBand="0" w:evenVBand="0" w:oddHBand="1" w:evenHBand="0" w:firstRowFirstColumn="0" w:firstRowLastColumn="0" w:lastRowFirstColumn="0" w:lastRowLastColumn="0"/>
        </w:trPr>
        <w:tc>
          <w:tcPr>
            <w:tcW w:w="1328" w:type="pct"/>
          </w:tcPr>
          <w:p w14:paraId="1935A505" w14:textId="77777777" w:rsidR="00FA2FF9" w:rsidRPr="00730DE4" w:rsidRDefault="00FA2FF9" w:rsidP="009D0A95">
            <w:pPr>
              <w:pStyle w:val="NoSpacing"/>
            </w:pPr>
            <w:r w:rsidRPr="00730DE4">
              <w:t>Gladstone</w:t>
            </w:r>
          </w:p>
        </w:tc>
        <w:tc>
          <w:tcPr>
            <w:tcW w:w="3672" w:type="pct"/>
          </w:tcPr>
          <w:p w14:paraId="3A086857" w14:textId="77777777" w:rsidR="00FA2FF9" w:rsidRPr="00730DE4" w:rsidRDefault="00FA2FF9" w:rsidP="009D0A95">
            <w:pPr>
              <w:pStyle w:val="NoSpacing"/>
            </w:pPr>
            <w:r w:rsidRPr="00730DE4">
              <w:t>2 Paterson Street, Gladstone QLD 4680</w:t>
            </w:r>
          </w:p>
        </w:tc>
      </w:tr>
      <w:tr w:rsidR="00FA2FF9" w:rsidRPr="00730DE4" w14:paraId="72DFB8D8" w14:textId="77777777" w:rsidTr="00B9757A">
        <w:tc>
          <w:tcPr>
            <w:tcW w:w="1328" w:type="pct"/>
          </w:tcPr>
          <w:p w14:paraId="29B87928" w14:textId="77777777" w:rsidR="00FA2FF9" w:rsidRPr="00730DE4" w:rsidRDefault="00FA2FF9" w:rsidP="009D0A95">
            <w:pPr>
              <w:pStyle w:val="NoSpacing"/>
            </w:pPr>
            <w:r w:rsidRPr="00730DE4">
              <w:t>Goondiwindi</w:t>
            </w:r>
          </w:p>
        </w:tc>
        <w:tc>
          <w:tcPr>
            <w:tcW w:w="3672" w:type="pct"/>
          </w:tcPr>
          <w:p w14:paraId="250CB09A" w14:textId="77777777" w:rsidR="00FA2FF9" w:rsidRPr="00730DE4" w:rsidRDefault="00FA2FF9" w:rsidP="009D0A95">
            <w:pPr>
              <w:pStyle w:val="NoSpacing"/>
            </w:pPr>
            <w:r w:rsidRPr="00730DE4">
              <w:t>6 Brisbane Street, Goondiwindi QLD 4390</w:t>
            </w:r>
          </w:p>
        </w:tc>
      </w:tr>
      <w:tr w:rsidR="00FA2FF9" w:rsidRPr="00730DE4" w14:paraId="5889046E" w14:textId="77777777" w:rsidTr="00B9757A">
        <w:trPr>
          <w:cnfStyle w:val="000000100000" w:firstRow="0" w:lastRow="0" w:firstColumn="0" w:lastColumn="0" w:oddVBand="0" w:evenVBand="0" w:oddHBand="1" w:evenHBand="0" w:firstRowFirstColumn="0" w:firstRowLastColumn="0" w:lastRowFirstColumn="0" w:lastRowLastColumn="0"/>
        </w:trPr>
        <w:tc>
          <w:tcPr>
            <w:tcW w:w="1328" w:type="pct"/>
          </w:tcPr>
          <w:p w14:paraId="0BC31974" w14:textId="77777777" w:rsidR="00FA2FF9" w:rsidRPr="00730DE4" w:rsidRDefault="00FA2FF9" w:rsidP="009D0A95">
            <w:pPr>
              <w:pStyle w:val="NoSpacing"/>
            </w:pPr>
            <w:r w:rsidRPr="00730DE4">
              <w:t>Greenslopes</w:t>
            </w:r>
          </w:p>
        </w:tc>
        <w:tc>
          <w:tcPr>
            <w:tcW w:w="3672" w:type="pct"/>
          </w:tcPr>
          <w:p w14:paraId="56B428AB" w14:textId="77777777" w:rsidR="00FA2FF9" w:rsidRPr="00730DE4" w:rsidRDefault="00FA2FF9" w:rsidP="009D0A95">
            <w:pPr>
              <w:pStyle w:val="NoSpacing"/>
            </w:pPr>
            <w:r w:rsidRPr="00730DE4">
              <w:t>Greenslopes Shopping Mall, 700 Logan Road (Cnr Plimsoll Street), Greenslopes QLD 4120</w:t>
            </w:r>
          </w:p>
        </w:tc>
      </w:tr>
      <w:tr w:rsidR="00FA2FF9" w:rsidRPr="00730DE4" w14:paraId="2CFACC19" w14:textId="77777777" w:rsidTr="00B9757A">
        <w:tc>
          <w:tcPr>
            <w:tcW w:w="1328" w:type="pct"/>
          </w:tcPr>
          <w:p w14:paraId="1B7BE7C6" w14:textId="77777777" w:rsidR="00FA2FF9" w:rsidRPr="00730DE4" w:rsidRDefault="00FA2FF9" w:rsidP="009D0A95">
            <w:pPr>
              <w:pStyle w:val="NoSpacing"/>
            </w:pPr>
            <w:r w:rsidRPr="00730DE4">
              <w:t>Gympie</w:t>
            </w:r>
          </w:p>
        </w:tc>
        <w:tc>
          <w:tcPr>
            <w:tcW w:w="3672" w:type="pct"/>
          </w:tcPr>
          <w:p w14:paraId="7B775B69" w14:textId="77777777" w:rsidR="00FA2FF9" w:rsidRPr="00730DE4" w:rsidRDefault="00FA2FF9" w:rsidP="009D0A95">
            <w:pPr>
              <w:pStyle w:val="NoSpacing"/>
            </w:pPr>
            <w:r w:rsidRPr="00730DE4">
              <w:t>Floor 1, 50 River Road, Gympie QLD 4570</w:t>
            </w:r>
          </w:p>
        </w:tc>
      </w:tr>
      <w:tr w:rsidR="00FA2FF9" w:rsidRPr="00730DE4" w14:paraId="7B8D4841" w14:textId="77777777" w:rsidTr="00B9757A">
        <w:trPr>
          <w:cnfStyle w:val="000000100000" w:firstRow="0" w:lastRow="0" w:firstColumn="0" w:lastColumn="0" w:oddVBand="0" w:evenVBand="0" w:oddHBand="1" w:evenHBand="0" w:firstRowFirstColumn="0" w:firstRowLastColumn="0" w:lastRowFirstColumn="0" w:lastRowLastColumn="0"/>
        </w:trPr>
        <w:tc>
          <w:tcPr>
            <w:tcW w:w="1328" w:type="pct"/>
          </w:tcPr>
          <w:p w14:paraId="2C74A5C9" w14:textId="77777777" w:rsidR="00FA2FF9" w:rsidRPr="00730DE4" w:rsidRDefault="00FA2FF9" w:rsidP="009D0A95">
            <w:pPr>
              <w:pStyle w:val="NoSpacing"/>
            </w:pPr>
            <w:r w:rsidRPr="00730DE4">
              <w:t>Helensvale</w:t>
            </w:r>
          </w:p>
        </w:tc>
        <w:tc>
          <w:tcPr>
            <w:tcW w:w="3672" w:type="pct"/>
          </w:tcPr>
          <w:p w14:paraId="1208ED88" w14:textId="77777777" w:rsidR="00FA2FF9" w:rsidRPr="00730DE4" w:rsidRDefault="00FA2FF9" w:rsidP="009D0A95">
            <w:pPr>
              <w:pStyle w:val="NoSpacing"/>
            </w:pPr>
            <w:r w:rsidRPr="00730DE4">
              <w:t>Helensvale Plaza Shopping Centre, 12 Sir John Overall Drive, Helensvale QLD 4212</w:t>
            </w:r>
          </w:p>
        </w:tc>
      </w:tr>
      <w:tr w:rsidR="00FA2FF9" w:rsidRPr="00730DE4" w14:paraId="7E01B833" w14:textId="77777777" w:rsidTr="00B9757A">
        <w:tc>
          <w:tcPr>
            <w:tcW w:w="1328" w:type="pct"/>
          </w:tcPr>
          <w:p w14:paraId="7619DB3F" w14:textId="77777777" w:rsidR="00FA2FF9" w:rsidRPr="00730DE4" w:rsidRDefault="00FA2FF9" w:rsidP="009D0A95">
            <w:pPr>
              <w:pStyle w:val="NoSpacing"/>
            </w:pPr>
            <w:r w:rsidRPr="00730DE4">
              <w:t>Hervey Bay</w:t>
            </w:r>
          </w:p>
        </w:tc>
        <w:tc>
          <w:tcPr>
            <w:tcW w:w="3672" w:type="pct"/>
          </w:tcPr>
          <w:p w14:paraId="58FD06FB" w14:textId="77777777" w:rsidR="00FA2FF9" w:rsidRPr="00730DE4" w:rsidRDefault="00FA2FF9" w:rsidP="009D0A95">
            <w:pPr>
              <w:pStyle w:val="NoSpacing"/>
            </w:pPr>
            <w:r w:rsidRPr="00730DE4">
              <w:t>50–54 Main Street, Pialba QLD 4655</w:t>
            </w:r>
          </w:p>
        </w:tc>
      </w:tr>
      <w:tr w:rsidR="00FA2FF9" w:rsidRPr="00730DE4" w14:paraId="2D6A185E" w14:textId="77777777" w:rsidTr="00B9757A">
        <w:trPr>
          <w:cnfStyle w:val="000000100000" w:firstRow="0" w:lastRow="0" w:firstColumn="0" w:lastColumn="0" w:oddVBand="0" w:evenVBand="0" w:oddHBand="1" w:evenHBand="0" w:firstRowFirstColumn="0" w:firstRowLastColumn="0" w:lastRowFirstColumn="0" w:lastRowLastColumn="0"/>
        </w:trPr>
        <w:tc>
          <w:tcPr>
            <w:tcW w:w="1328" w:type="pct"/>
          </w:tcPr>
          <w:p w14:paraId="230487BF" w14:textId="77777777" w:rsidR="00FA2FF9" w:rsidRPr="00730DE4" w:rsidRDefault="00FA2FF9" w:rsidP="009D0A95">
            <w:pPr>
              <w:pStyle w:val="NoSpacing"/>
            </w:pPr>
            <w:r w:rsidRPr="00730DE4">
              <w:t>Innisfail</w:t>
            </w:r>
          </w:p>
        </w:tc>
        <w:tc>
          <w:tcPr>
            <w:tcW w:w="3672" w:type="pct"/>
          </w:tcPr>
          <w:p w14:paraId="7FD870BE" w14:textId="77777777" w:rsidR="00FA2FF9" w:rsidRPr="00730DE4" w:rsidRDefault="00FA2FF9" w:rsidP="009D0A95">
            <w:pPr>
              <w:pStyle w:val="NoSpacing"/>
            </w:pPr>
            <w:r w:rsidRPr="00730DE4">
              <w:t>12–14 Clifford Road, Innisfail QLD 4860</w:t>
            </w:r>
          </w:p>
        </w:tc>
      </w:tr>
      <w:tr w:rsidR="00FA2FF9" w:rsidRPr="00730DE4" w14:paraId="52BDAFE4" w14:textId="77777777" w:rsidTr="00B9757A">
        <w:tc>
          <w:tcPr>
            <w:tcW w:w="1328" w:type="pct"/>
          </w:tcPr>
          <w:p w14:paraId="5A35A4FD" w14:textId="77777777" w:rsidR="00FA2FF9" w:rsidRPr="00730DE4" w:rsidRDefault="00FA2FF9" w:rsidP="009D0A95">
            <w:pPr>
              <w:pStyle w:val="NoSpacing"/>
            </w:pPr>
            <w:r w:rsidRPr="00730DE4">
              <w:t>Ipswich</w:t>
            </w:r>
          </w:p>
        </w:tc>
        <w:tc>
          <w:tcPr>
            <w:tcW w:w="3672" w:type="pct"/>
          </w:tcPr>
          <w:p w14:paraId="57076BC1" w14:textId="77777777" w:rsidR="00FA2FF9" w:rsidRPr="00730DE4" w:rsidRDefault="00FA2FF9" w:rsidP="009D0A95">
            <w:pPr>
              <w:pStyle w:val="NoSpacing"/>
            </w:pPr>
            <w:r w:rsidRPr="00730DE4">
              <w:t>2 Colvin Street, North Ipswich QLD 4305</w:t>
            </w:r>
          </w:p>
        </w:tc>
      </w:tr>
      <w:tr w:rsidR="00FA2FF9" w:rsidRPr="00730DE4" w14:paraId="6361D1F8" w14:textId="77777777" w:rsidTr="00B9757A">
        <w:trPr>
          <w:cnfStyle w:val="000000100000" w:firstRow="0" w:lastRow="0" w:firstColumn="0" w:lastColumn="0" w:oddVBand="0" w:evenVBand="0" w:oddHBand="1" w:evenHBand="0" w:firstRowFirstColumn="0" w:firstRowLastColumn="0" w:lastRowFirstColumn="0" w:lastRowLastColumn="0"/>
        </w:trPr>
        <w:tc>
          <w:tcPr>
            <w:tcW w:w="1328" w:type="pct"/>
          </w:tcPr>
          <w:p w14:paraId="5211A36E" w14:textId="77777777" w:rsidR="00FA2FF9" w:rsidRPr="00730DE4" w:rsidRDefault="00FA2FF9" w:rsidP="009D0A95">
            <w:pPr>
              <w:pStyle w:val="NoSpacing"/>
            </w:pPr>
            <w:r w:rsidRPr="00730DE4">
              <w:t>Kingaroy</w:t>
            </w:r>
          </w:p>
        </w:tc>
        <w:tc>
          <w:tcPr>
            <w:tcW w:w="3672" w:type="pct"/>
          </w:tcPr>
          <w:p w14:paraId="09B7987E" w14:textId="77777777" w:rsidR="00FA2FF9" w:rsidRPr="00730DE4" w:rsidRDefault="00FA2FF9" w:rsidP="009D0A95">
            <w:pPr>
              <w:pStyle w:val="NoSpacing"/>
            </w:pPr>
            <w:r w:rsidRPr="00730DE4">
              <w:t>Artie Kerr Building, 130 Kingaroy Street, Kingaroy QLD 4610</w:t>
            </w:r>
          </w:p>
        </w:tc>
      </w:tr>
      <w:tr w:rsidR="00FA2FF9" w:rsidRPr="00730DE4" w14:paraId="2AF7FAA0" w14:textId="77777777" w:rsidTr="00B9757A">
        <w:tc>
          <w:tcPr>
            <w:tcW w:w="1328" w:type="pct"/>
          </w:tcPr>
          <w:p w14:paraId="3AC0F9C6" w14:textId="77777777" w:rsidR="00FA2FF9" w:rsidRPr="00730DE4" w:rsidRDefault="00FA2FF9" w:rsidP="009D0A95">
            <w:pPr>
              <w:pStyle w:val="NoSpacing"/>
            </w:pPr>
            <w:r w:rsidRPr="00730DE4">
              <w:t>Logan City</w:t>
            </w:r>
          </w:p>
        </w:tc>
        <w:tc>
          <w:tcPr>
            <w:tcW w:w="3672" w:type="pct"/>
          </w:tcPr>
          <w:p w14:paraId="183B033D" w14:textId="77777777" w:rsidR="00FA2FF9" w:rsidRPr="00730DE4" w:rsidRDefault="00FA2FF9" w:rsidP="009D0A95">
            <w:pPr>
              <w:pStyle w:val="NoSpacing"/>
            </w:pPr>
            <w:r w:rsidRPr="00730DE4">
              <w:t>43–45 Jacaranda Avenue, Logan Central QLD 4114</w:t>
            </w:r>
          </w:p>
        </w:tc>
      </w:tr>
      <w:tr w:rsidR="00FA2FF9" w:rsidRPr="00730DE4" w14:paraId="437F5D3A" w14:textId="77777777" w:rsidTr="00B9757A">
        <w:trPr>
          <w:cnfStyle w:val="000000100000" w:firstRow="0" w:lastRow="0" w:firstColumn="0" w:lastColumn="0" w:oddVBand="0" w:evenVBand="0" w:oddHBand="1" w:evenHBand="0" w:firstRowFirstColumn="0" w:firstRowLastColumn="0" w:lastRowFirstColumn="0" w:lastRowLastColumn="0"/>
        </w:trPr>
        <w:tc>
          <w:tcPr>
            <w:tcW w:w="1328" w:type="pct"/>
          </w:tcPr>
          <w:p w14:paraId="0656A033" w14:textId="77777777" w:rsidR="00FA2FF9" w:rsidRPr="00730DE4" w:rsidRDefault="00FA2FF9" w:rsidP="009D0A95">
            <w:pPr>
              <w:pStyle w:val="NoSpacing"/>
            </w:pPr>
            <w:r w:rsidRPr="00730DE4">
              <w:t>Longreach</w:t>
            </w:r>
          </w:p>
        </w:tc>
        <w:tc>
          <w:tcPr>
            <w:tcW w:w="3672" w:type="pct"/>
          </w:tcPr>
          <w:p w14:paraId="444C705C" w14:textId="77777777" w:rsidR="00FA2FF9" w:rsidRPr="00730DE4" w:rsidRDefault="00FA2FF9" w:rsidP="009D0A95">
            <w:pPr>
              <w:pStyle w:val="NoSpacing"/>
            </w:pPr>
            <w:r w:rsidRPr="00730DE4">
              <w:t>14 Wonga Street, Longreach QLD 4730</w:t>
            </w:r>
          </w:p>
        </w:tc>
      </w:tr>
      <w:tr w:rsidR="00FA2FF9" w:rsidRPr="00730DE4" w14:paraId="1B94DEE1" w14:textId="77777777" w:rsidTr="00B9757A">
        <w:tc>
          <w:tcPr>
            <w:tcW w:w="1328" w:type="pct"/>
          </w:tcPr>
          <w:p w14:paraId="082851D1" w14:textId="77777777" w:rsidR="00FA2FF9" w:rsidRPr="00730DE4" w:rsidRDefault="00FA2FF9" w:rsidP="009D0A95">
            <w:pPr>
              <w:pStyle w:val="NoSpacing"/>
            </w:pPr>
            <w:r w:rsidRPr="00730DE4">
              <w:t>Macgregor</w:t>
            </w:r>
          </w:p>
        </w:tc>
        <w:tc>
          <w:tcPr>
            <w:tcW w:w="3672" w:type="pct"/>
          </w:tcPr>
          <w:p w14:paraId="0DD766F1" w14:textId="77777777" w:rsidR="00FA2FF9" w:rsidRPr="00730DE4" w:rsidRDefault="00FA2FF9" w:rsidP="009D0A95">
            <w:pPr>
              <w:pStyle w:val="NoSpacing"/>
            </w:pPr>
            <w:r w:rsidRPr="00730DE4">
              <w:t>Kessels Court, 567 Kessels Road, Macgregor QLD 4109</w:t>
            </w:r>
          </w:p>
        </w:tc>
      </w:tr>
      <w:tr w:rsidR="00FA2FF9" w:rsidRPr="00730DE4" w14:paraId="4E7F6E55" w14:textId="77777777" w:rsidTr="00B9757A">
        <w:trPr>
          <w:cnfStyle w:val="000000100000" w:firstRow="0" w:lastRow="0" w:firstColumn="0" w:lastColumn="0" w:oddVBand="0" w:evenVBand="0" w:oddHBand="1" w:evenHBand="0" w:firstRowFirstColumn="0" w:firstRowLastColumn="0" w:lastRowFirstColumn="0" w:lastRowLastColumn="0"/>
        </w:trPr>
        <w:tc>
          <w:tcPr>
            <w:tcW w:w="1328" w:type="pct"/>
          </w:tcPr>
          <w:p w14:paraId="39372179" w14:textId="77777777" w:rsidR="00FA2FF9" w:rsidRPr="00730DE4" w:rsidRDefault="00FA2FF9" w:rsidP="009D0A95">
            <w:pPr>
              <w:pStyle w:val="NoSpacing"/>
            </w:pPr>
            <w:r w:rsidRPr="00730DE4">
              <w:t>Mackay</w:t>
            </w:r>
          </w:p>
        </w:tc>
        <w:tc>
          <w:tcPr>
            <w:tcW w:w="3672" w:type="pct"/>
          </w:tcPr>
          <w:p w14:paraId="130C0097" w14:textId="77777777" w:rsidR="00FA2FF9" w:rsidRPr="00730DE4" w:rsidRDefault="00FA2FF9" w:rsidP="009D0A95">
            <w:pPr>
              <w:pStyle w:val="NoSpacing"/>
            </w:pPr>
            <w:r w:rsidRPr="00730DE4">
              <w:t>Cnr Endeavour Street and Industrial Street, Mackay QLD 4740</w:t>
            </w:r>
          </w:p>
        </w:tc>
      </w:tr>
      <w:tr w:rsidR="00FA2FF9" w:rsidRPr="00730DE4" w14:paraId="4F0BFF9F" w14:textId="77777777" w:rsidTr="00B9757A">
        <w:tc>
          <w:tcPr>
            <w:tcW w:w="1328" w:type="pct"/>
          </w:tcPr>
          <w:p w14:paraId="09B885AE" w14:textId="77777777" w:rsidR="00FA2FF9" w:rsidRPr="00730DE4" w:rsidRDefault="00FA2FF9" w:rsidP="009D0A95">
            <w:pPr>
              <w:pStyle w:val="NoSpacing"/>
            </w:pPr>
            <w:r w:rsidRPr="00730DE4">
              <w:t>Mareeba</w:t>
            </w:r>
          </w:p>
        </w:tc>
        <w:tc>
          <w:tcPr>
            <w:tcW w:w="3672" w:type="pct"/>
          </w:tcPr>
          <w:p w14:paraId="06ED0CAD" w14:textId="77777777" w:rsidR="00FA2FF9" w:rsidRPr="00730DE4" w:rsidRDefault="00FA2FF9" w:rsidP="009D0A95">
            <w:pPr>
              <w:pStyle w:val="NoSpacing"/>
            </w:pPr>
            <w:r w:rsidRPr="00730DE4">
              <w:t>147 Walsh Street, Mareeba QLD 4880</w:t>
            </w:r>
          </w:p>
        </w:tc>
      </w:tr>
      <w:tr w:rsidR="00FA2FF9" w:rsidRPr="00730DE4" w14:paraId="2C10CA25" w14:textId="77777777" w:rsidTr="00B9757A">
        <w:trPr>
          <w:cnfStyle w:val="000000100000" w:firstRow="0" w:lastRow="0" w:firstColumn="0" w:lastColumn="0" w:oddVBand="0" w:evenVBand="0" w:oddHBand="1" w:evenHBand="0" w:firstRowFirstColumn="0" w:firstRowLastColumn="0" w:lastRowFirstColumn="0" w:lastRowLastColumn="0"/>
        </w:trPr>
        <w:tc>
          <w:tcPr>
            <w:tcW w:w="1328" w:type="pct"/>
          </w:tcPr>
          <w:p w14:paraId="1A5A4823" w14:textId="77777777" w:rsidR="00FA2FF9" w:rsidRPr="00730DE4" w:rsidRDefault="00FA2FF9" w:rsidP="009D0A95">
            <w:pPr>
              <w:pStyle w:val="NoSpacing"/>
            </w:pPr>
            <w:r w:rsidRPr="00730DE4">
              <w:t>Maroochydore</w:t>
            </w:r>
          </w:p>
        </w:tc>
        <w:tc>
          <w:tcPr>
            <w:tcW w:w="3672" w:type="pct"/>
          </w:tcPr>
          <w:p w14:paraId="148E243C" w14:textId="77777777" w:rsidR="00FA2FF9" w:rsidRPr="00730DE4" w:rsidRDefault="00FA2FF9" w:rsidP="009D0A95">
            <w:pPr>
              <w:pStyle w:val="NoSpacing"/>
            </w:pPr>
            <w:r w:rsidRPr="00730DE4">
              <w:t>6 Kelly Court (off Kayleigh Drive), Maroochydore QLD 4558</w:t>
            </w:r>
          </w:p>
        </w:tc>
      </w:tr>
      <w:tr w:rsidR="00FA2FF9" w:rsidRPr="00730DE4" w14:paraId="03B22327" w14:textId="77777777" w:rsidTr="00B9757A">
        <w:tc>
          <w:tcPr>
            <w:tcW w:w="1328" w:type="pct"/>
          </w:tcPr>
          <w:p w14:paraId="1B27B7B3" w14:textId="77777777" w:rsidR="00FA2FF9" w:rsidRPr="00730DE4" w:rsidRDefault="00FA2FF9" w:rsidP="009D0A95">
            <w:pPr>
              <w:pStyle w:val="NoSpacing"/>
            </w:pPr>
            <w:r w:rsidRPr="00730DE4">
              <w:t>Maryborough</w:t>
            </w:r>
          </w:p>
        </w:tc>
        <w:tc>
          <w:tcPr>
            <w:tcW w:w="3672" w:type="pct"/>
          </w:tcPr>
          <w:p w14:paraId="5DBF01BA" w14:textId="77777777" w:rsidR="00FA2FF9" w:rsidRPr="00730DE4" w:rsidRDefault="00FA2FF9" w:rsidP="009D0A95">
            <w:pPr>
              <w:pStyle w:val="NoSpacing"/>
            </w:pPr>
            <w:r w:rsidRPr="00730DE4">
              <w:t>Bright Street, Maryborough QLD 4650</w:t>
            </w:r>
          </w:p>
        </w:tc>
      </w:tr>
      <w:tr w:rsidR="00FA2FF9" w:rsidRPr="00730DE4" w14:paraId="1F61F620" w14:textId="77777777" w:rsidTr="00B9757A">
        <w:trPr>
          <w:cnfStyle w:val="000000100000" w:firstRow="0" w:lastRow="0" w:firstColumn="0" w:lastColumn="0" w:oddVBand="0" w:evenVBand="0" w:oddHBand="1" w:evenHBand="0" w:firstRowFirstColumn="0" w:firstRowLastColumn="0" w:lastRowFirstColumn="0" w:lastRowLastColumn="0"/>
        </w:trPr>
        <w:tc>
          <w:tcPr>
            <w:tcW w:w="1328" w:type="pct"/>
          </w:tcPr>
          <w:p w14:paraId="63FB35D4" w14:textId="77777777" w:rsidR="00FA2FF9" w:rsidRPr="00730DE4" w:rsidRDefault="00FA2FF9" w:rsidP="009D0A95">
            <w:pPr>
              <w:pStyle w:val="NoSpacing"/>
            </w:pPr>
            <w:r w:rsidRPr="00730DE4">
              <w:t>Mount Isa</w:t>
            </w:r>
          </w:p>
        </w:tc>
        <w:tc>
          <w:tcPr>
            <w:tcW w:w="3672" w:type="pct"/>
          </w:tcPr>
          <w:p w14:paraId="374CFBBB" w14:textId="77777777" w:rsidR="00FA2FF9" w:rsidRPr="00730DE4" w:rsidRDefault="00FA2FF9" w:rsidP="009D0A95">
            <w:pPr>
              <w:pStyle w:val="NoSpacing"/>
            </w:pPr>
            <w:r w:rsidRPr="00730DE4">
              <w:t>Shop 1, 29 Simpson Street, Mount Isa QLD 4825</w:t>
            </w:r>
          </w:p>
        </w:tc>
      </w:tr>
      <w:tr w:rsidR="00FA2FF9" w:rsidRPr="00730DE4" w14:paraId="46C122C2" w14:textId="77777777" w:rsidTr="00B9757A">
        <w:tc>
          <w:tcPr>
            <w:tcW w:w="1328" w:type="pct"/>
          </w:tcPr>
          <w:p w14:paraId="0C2BDE27" w14:textId="77777777" w:rsidR="00FA2FF9" w:rsidRPr="00730DE4" w:rsidRDefault="00FA2FF9" w:rsidP="009D0A95">
            <w:pPr>
              <w:pStyle w:val="NoSpacing"/>
            </w:pPr>
            <w:r w:rsidRPr="00730DE4">
              <w:t>Nambour</w:t>
            </w:r>
          </w:p>
        </w:tc>
        <w:tc>
          <w:tcPr>
            <w:tcW w:w="3672" w:type="pct"/>
          </w:tcPr>
          <w:p w14:paraId="09F63E4F" w14:textId="77777777" w:rsidR="00FA2FF9" w:rsidRPr="00730DE4" w:rsidRDefault="00FA2FF9" w:rsidP="009D0A95">
            <w:pPr>
              <w:pStyle w:val="NoSpacing"/>
            </w:pPr>
            <w:r w:rsidRPr="00730DE4">
              <w:t>Cnr Stanley Street and Coronation Avenue, Nambour QLD 4560</w:t>
            </w:r>
          </w:p>
        </w:tc>
      </w:tr>
      <w:tr w:rsidR="00FA2FF9" w:rsidRPr="00730DE4" w14:paraId="2F9A66D7" w14:textId="77777777" w:rsidTr="00B9757A">
        <w:trPr>
          <w:cnfStyle w:val="000000100000" w:firstRow="0" w:lastRow="0" w:firstColumn="0" w:lastColumn="0" w:oddVBand="0" w:evenVBand="0" w:oddHBand="1" w:evenHBand="0" w:firstRowFirstColumn="0" w:firstRowLastColumn="0" w:lastRowFirstColumn="0" w:lastRowLastColumn="0"/>
        </w:trPr>
        <w:tc>
          <w:tcPr>
            <w:tcW w:w="1328" w:type="pct"/>
          </w:tcPr>
          <w:p w14:paraId="7A5F3FF2" w14:textId="77777777" w:rsidR="00FA2FF9" w:rsidRPr="00730DE4" w:rsidRDefault="00FA2FF9" w:rsidP="009D0A95">
            <w:pPr>
              <w:pStyle w:val="NoSpacing"/>
            </w:pPr>
            <w:r w:rsidRPr="00730DE4">
              <w:t>Proserpine</w:t>
            </w:r>
          </w:p>
        </w:tc>
        <w:tc>
          <w:tcPr>
            <w:tcW w:w="3672" w:type="pct"/>
          </w:tcPr>
          <w:p w14:paraId="33250E17" w14:textId="77777777" w:rsidR="00FA2FF9" w:rsidRPr="00730DE4" w:rsidRDefault="00FA2FF9" w:rsidP="009D0A95">
            <w:pPr>
              <w:pStyle w:val="NoSpacing"/>
            </w:pPr>
            <w:r w:rsidRPr="00730DE4">
              <w:t>17 Main Street, Proserpine, QLD 4800</w:t>
            </w:r>
          </w:p>
        </w:tc>
      </w:tr>
      <w:tr w:rsidR="00FA2FF9" w:rsidRPr="00730DE4" w14:paraId="7499A325" w14:textId="77777777" w:rsidTr="00B9757A">
        <w:tc>
          <w:tcPr>
            <w:tcW w:w="1328" w:type="pct"/>
          </w:tcPr>
          <w:p w14:paraId="516821D1" w14:textId="77777777" w:rsidR="00FA2FF9" w:rsidRPr="00730DE4" w:rsidRDefault="00FA2FF9" w:rsidP="009D0A95">
            <w:pPr>
              <w:pStyle w:val="NoSpacing"/>
            </w:pPr>
            <w:r w:rsidRPr="00730DE4">
              <w:t>Redcliffe (Kippa Ring)</w:t>
            </w:r>
          </w:p>
        </w:tc>
        <w:tc>
          <w:tcPr>
            <w:tcW w:w="3672" w:type="pct"/>
          </w:tcPr>
          <w:p w14:paraId="22E6355B" w14:textId="77777777" w:rsidR="00FA2FF9" w:rsidRPr="00730DE4" w:rsidRDefault="00FA2FF9" w:rsidP="009D0A95">
            <w:pPr>
              <w:pStyle w:val="NoSpacing"/>
            </w:pPr>
            <w:r w:rsidRPr="00730DE4">
              <w:t>Cnr Beach Street and Bingle Street, Kippa Ring QLD 4021</w:t>
            </w:r>
          </w:p>
        </w:tc>
      </w:tr>
      <w:tr w:rsidR="00FA2FF9" w:rsidRPr="00730DE4" w14:paraId="6CB2A893" w14:textId="77777777" w:rsidTr="00B9757A">
        <w:trPr>
          <w:cnfStyle w:val="000000100000" w:firstRow="0" w:lastRow="0" w:firstColumn="0" w:lastColumn="0" w:oddVBand="0" w:evenVBand="0" w:oddHBand="1" w:evenHBand="0" w:firstRowFirstColumn="0" w:firstRowLastColumn="0" w:lastRowFirstColumn="0" w:lastRowLastColumn="0"/>
        </w:trPr>
        <w:tc>
          <w:tcPr>
            <w:tcW w:w="1328" w:type="pct"/>
          </w:tcPr>
          <w:p w14:paraId="4514C065" w14:textId="77777777" w:rsidR="00FA2FF9" w:rsidRPr="00730DE4" w:rsidRDefault="00FA2FF9" w:rsidP="009D0A95">
            <w:pPr>
              <w:pStyle w:val="NoSpacing"/>
            </w:pPr>
            <w:r w:rsidRPr="00730DE4">
              <w:t>Rockhampton</w:t>
            </w:r>
          </w:p>
        </w:tc>
        <w:tc>
          <w:tcPr>
            <w:tcW w:w="3672" w:type="pct"/>
          </w:tcPr>
          <w:p w14:paraId="4825C991" w14:textId="77777777" w:rsidR="00FA2FF9" w:rsidRPr="00730DE4" w:rsidRDefault="00FA2FF9" w:rsidP="009D0A95">
            <w:pPr>
              <w:pStyle w:val="NoSpacing"/>
            </w:pPr>
            <w:r w:rsidRPr="00730DE4">
              <w:t>31 Knight Street, North Rockhampton QLD 4701</w:t>
            </w:r>
          </w:p>
        </w:tc>
      </w:tr>
      <w:tr w:rsidR="00FA2FF9" w:rsidRPr="00730DE4" w14:paraId="4C5333CE" w14:textId="77777777" w:rsidTr="00B9757A">
        <w:tc>
          <w:tcPr>
            <w:tcW w:w="1328" w:type="pct"/>
          </w:tcPr>
          <w:p w14:paraId="1CF9F4A2" w14:textId="77777777" w:rsidR="00FA2FF9" w:rsidRPr="00730DE4" w:rsidRDefault="00FA2FF9" w:rsidP="009D0A95">
            <w:pPr>
              <w:pStyle w:val="NoSpacing"/>
            </w:pPr>
            <w:r w:rsidRPr="00730DE4">
              <w:t>Roma</w:t>
            </w:r>
          </w:p>
        </w:tc>
        <w:tc>
          <w:tcPr>
            <w:tcW w:w="3672" w:type="pct"/>
          </w:tcPr>
          <w:p w14:paraId="3C2AAD9D" w14:textId="77777777" w:rsidR="00FA2FF9" w:rsidRPr="00730DE4" w:rsidRDefault="00FA2FF9" w:rsidP="009D0A95">
            <w:pPr>
              <w:pStyle w:val="NoSpacing"/>
            </w:pPr>
            <w:r w:rsidRPr="00730DE4">
              <w:t>56–58 Gregory Street, Roma QLD 4455</w:t>
            </w:r>
          </w:p>
        </w:tc>
      </w:tr>
      <w:tr w:rsidR="00FA2FF9" w:rsidRPr="00730DE4" w14:paraId="017EFC8E" w14:textId="77777777" w:rsidTr="00B9757A">
        <w:trPr>
          <w:cnfStyle w:val="000000100000" w:firstRow="0" w:lastRow="0" w:firstColumn="0" w:lastColumn="0" w:oddVBand="0" w:evenVBand="0" w:oddHBand="1" w:evenHBand="0" w:firstRowFirstColumn="0" w:firstRowLastColumn="0" w:lastRowFirstColumn="0" w:lastRowLastColumn="0"/>
        </w:trPr>
        <w:tc>
          <w:tcPr>
            <w:tcW w:w="1328" w:type="pct"/>
          </w:tcPr>
          <w:p w14:paraId="2EF74286" w14:textId="77777777" w:rsidR="00FA2FF9" w:rsidRPr="00730DE4" w:rsidRDefault="00FA2FF9" w:rsidP="009D0A95">
            <w:pPr>
              <w:pStyle w:val="NoSpacing"/>
            </w:pPr>
            <w:r w:rsidRPr="00730DE4">
              <w:t>Sherwood</w:t>
            </w:r>
          </w:p>
        </w:tc>
        <w:tc>
          <w:tcPr>
            <w:tcW w:w="3672" w:type="pct"/>
          </w:tcPr>
          <w:p w14:paraId="5EBFDC9B" w14:textId="77777777" w:rsidR="00FA2FF9" w:rsidRPr="00730DE4" w:rsidRDefault="00FA2FF9" w:rsidP="009D0A95">
            <w:pPr>
              <w:pStyle w:val="NoSpacing"/>
            </w:pPr>
            <w:r w:rsidRPr="00730DE4">
              <w:t>14 Primrose Street, Sherwood QLD 4075</w:t>
            </w:r>
          </w:p>
        </w:tc>
      </w:tr>
      <w:tr w:rsidR="00FA2FF9" w:rsidRPr="00730DE4" w14:paraId="5EC8EE39" w14:textId="77777777" w:rsidTr="00B9757A">
        <w:tc>
          <w:tcPr>
            <w:tcW w:w="1328" w:type="pct"/>
          </w:tcPr>
          <w:p w14:paraId="7FAB89AE" w14:textId="77777777" w:rsidR="00FA2FF9" w:rsidRPr="00730DE4" w:rsidRDefault="00FA2FF9" w:rsidP="009D0A95">
            <w:pPr>
              <w:pStyle w:val="NoSpacing"/>
            </w:pPr>
            <w:r w:rsidRPr="00730DE4">
              <w:t>Southport</w:t>
            </w:r>
          </w:p>
        </w:tc>
        <w:tc>
          <w:tcPr>
            <w:tcW w:w="3672" w:type="pct"/>
          </w:tcPr>
          <w:p w14:paraId="72CDDDF5" w14:textId="77777777" w:rsidR="00FA2FF9" w:rsidRPr="00730DE4" w:rsidRDefault="00FA2FF9" w:rsidP="009D0A95">
            <w:pPr>
              <w:pStyle w:val="NoSpacing"/>
            </w:pPr>
            <w:r w:rsidRPr="00730DE4">
              <w:t>265 Nerang Street, Southport QLD 4215</w:t>
            </w:r>
          </w:p>
        </w:tc>
      </w:tr>
      <w:tr w:rsidR="00FA2FF9" w:rsidRPr="00730DE4" w14:paraId="36ADDDDD" w14:textId="77777777" w:rsidTr="00B9757A">
        <w:trPr>
          <w:cnfStyle w:val="000000100000" w:firstRow="0" w:lastRow="0" w:firstColumn="0" w:lastColumn="0" w:oddVBand="0" w:evenVBand="0" w:oddHBand="1" w:evenHBand="0" w:firstRowFirstColumn="0" w:firstRowLastColumn="0" w:lastRowFirstColumn="0" w:lastRowLastColumn="0"/>
        </w:trPr>
        <w:tc>
          <w:tcPr>
            <w:tcW w:w="1328" w:type="pct"/>
          </w:tcPr>
          <w:p w14:paraId="5D67E20A" w14:textId="77777777" w:rsidR="00FA2FF9" w:rsidRPr="00730DE4" w:rsidRDefault="00FA2FF9" w:rsidP="009D0A95">
            <w:pPr>
              <w:pStyle w:val="NoSpacing"/>
            </w:pPr>
            <w:r w:rsidRPr="00730DE4">
              <w:t>Strathpine</w:t>
            </w:r>
          </w:p>
        </w:tc>
        <w:tc>
          <w:tcPr>
            <w:tcW w:w="3672" w:type="pct"/>
          </w:tcPr>
          <w:p w14:paraId="75577198" w14:textId="77777777" w:rsidR="00FA2FF9" w:rsidRPr="00730DE4" w:rsidRDefault="00FA2FF9" w:rsidP="009D0A95">
            <w:pPr>
              <w:pStyle w:val="NoSpacing"/>
            </w:pPr>
            <w:r w:rsidRPr="00730DE4">
              <w:t>43 Bells Pocket Road, Strathpine QLD 4500</w:t>
            </w:r>
          </w:p>
        </w:tc>
      </w:tr>
      <w:tr w:rsidR="00FA2FF9" w:rsidRPr="00730DE4" w14:paraId="6860A526" w14:textId="77777777" w:rsidTr="00B9757A">
        <w:tc>
          <w:tcPr>
            <w:tcW w:w="1328" w:type="pct"/>
          </w:tcPr>
          <w:p w14:paraId="472534B0" w14:textId="77777777" w:rsidR="00FA2FF9" w:rsidRPr="00730DE4" w:rsidRDefault="00FA2FF9" w:rsidP="009D0A95">
            <w:pPr>
              <w:pStyle w:val="NoSpacing"/>
            </w:pPr>
            <w:r w:rsidRPr="00730DE4">
              <w:t>Tewantin</w:t>
            </w:r>
          </w:p>
        </w:tc>
        <w:tc>
          <w:tcPr>
            <w:tcW w:w="3672" w:type="pct"/>
          </w:tcPr>
          <w:p w14:paraId="79630FC3" w14:textId="77777777" w:rsidR="00FA2FF9" w:rsidRPr="00730DE4" w:rsidRDefault="00FA2FF9" w:rsidP="009D0A95">
            <w:pPr>
              <w:pStyle w:val="NoSpacing"/>
            </w:pPr>
            <w:r w:rsidRPr="00730DE4">
              <w:t>8 Sidoni Street, Tewantin QLD 4565</w:t>
            </w:r>
          </w:p>
        </w:tc>
      </w:tr>
      <w:tr w:rsidR="00FA2FF9" w:rsidRPr="00730DE4" w14:paraId="7663C70C" w14:textId="77777777" w:rsidTr="00B9757A">
        <w:trPr>
          <w:cnfStyle w:val="000000100000" w:firstRow="0" w:lastRow="0" w:firstColumn="0" w:lastColumn="0" w:oddVBand="0" w:evenVBand="0" w:oddHBand="1" w:evenHBand="0" w:firstRowFirstColumn="0" w:firstRowLastColumn="0" w:lastRowFirstColumn="0" w:lastRowLastColumn="0"/>
        </w:trPr>
        <w:tc>
          <w:tcPr>
            <w:tcW w:w="1328" w:type="pct"/>
          </w:tcPr>
          <w:p w14:paraId="5EAC7FA4" w14:textId="77777777" w:rsidR="00FA2FF9" w:rsidRPr="00730DE4" w:rsidRDefault="00FA2FF9" w:rsidP="009D0A95">
            <w:pPr>
              <w:pStyle w:val="NoSpacing"/>
            </w:pPr>
            <w:r w:rsidRPr="00730DE4">
              <w:t>Toowong</w:t>
            </w:r>
          </w:p>
        </w:tc>
        <w:tc>
          <w:tcPr>
            <w:tcW w:w="3672" w:type="pct"/>
          </w:tcPr>
          <w:p w14:paraId="1AA99271" w14:textId="77777777" w:rsidR="00FA2FF9" w:rsidRPr="00730DE4" w:rsidRDefault="00FA2FF9" w:rsidP="009D0A95">
            <w:pPr>
              <w:pStyle w:val="NoSpacing"/>
            </w:pPr>
            <w:r w:rsidRPr="00730DE4">
              <w:t>15 Lissner Street, Toowong QLD 4066</w:t>
            </w:r>
          </w:p>
        </w:tc>
      </w:tr>
      <w:tr w:rsidR="00FA2FF9" w:rsidRPr="00730DE4" w14:paraId="1BB4FA18" w14:textId="77777777" w:rsidTr="00B9757A">
        <w:tc>
          <w:tcPr>
            <w:tcW w:w="1328" w:type="pct"/>
          </w:tcPr>
          <w:p w14:paraId="6CD81AEE" w14:textId="77777777" w:rsidR="00FA2FF9" w:rsidRPr="00730DE4" w:rsidRDefault="00FA2FF9" w:rsidP="009D0A95">
            <w:pPr>
              <w:pStyle w:val="NoSpacing"/>
            </w:pPr>
            <w:r w:rsidRPr="00730DE4">
              <w:t>Townsville  (Cannon Park)</w:t>
            </w:r>
          </w:p>
        </w:tc>
        <w:tc>
          <w:tcPr>
            <w:tcW w:w="3672" w:type="pct"/>
          </w:tcPr>
          <w:p w14:paraId="398E1B2A" w14:textId="77777777" w:rsidR="00FA2FF9" w:rsidRPr="00730DE4" w:rsidRDefault="00FA2FF9" w:rsidP="009D0A95">
            <w:pPr>
              <w:pStyle w:val="NoSpacing"/>
            </w:pPr>
            <w:r w:rsidRPr="00730DE4">
              <w:t>Shop 14, 31–57 High Range Drive, Thuringowa QLD 4817</w:t>
            </w:r>
          </w:p>
        </w:tc>
      </w:tr>
      <w:tr w:rsidR="00FA2FF9" w:rsidRPr="00730DE4" w14:paraId="23DD9850" w14:textId="77777777" w:rsidTr="00B9757A">
        <w:trPr>
          <w:cnfStyle w:val="000000100000" w:firstRow="0" w:lastRow="0" w:firstColumn="0" w:lastColumn="0" w:oddVBand="0" w:evenVBand="0" w:oddHBand="1" w:evenHBand="0" w:firstRowFirstColumn="0" w:firstRowLastColumn="0" w:lastRowFirstColumn="0" w:lastRowLastColumn="0"/>
        </w:trPr>
        <w:tc>
          <w:tcPr>
            <w:tcW w:w="1328" w:type="pct"/>
          </w:tcPr>
          <w:p w14:paraId="08EB2A69" w14:textId="77777777" w:rsidR="00FA2FF9" w:rsidRPr="00730DE4" w:rsidRDefault="00FA2FF9" w:rsidP="009D0A95">
            <w:pPr>
              <w:pStyle w:val="NoSpacing"/>
            </w:pPr>
            <w:r w:rsidRPr="00730DE4">
              <w:t>Toowoomba (Harristown)</w:t>
            </w:r>
          </w:p>
        </w:tc>
        <w:tc>
          <w:tcPr>
            <w:tcW w:w="3672" w:type="pct"/>
          </w:tcPr>
          <w:p w14:paraId="40C6C0C2" w14:textId="77777777" w:rsidR="00FA2FF9" w:rsidRPr="00730DE4" w:rsidRDefault="00FA2FF9" w:rsidP="009D0A95">
            <w:pPr>
              <w:pStyle w:val="NoSpacing"/>
            </w:pPr>
            <w:r w:rsidRPr="00730DE4">
              <w:t>Cnr Yaldwyn Street and Warwick Street, Toowoomba QLD 4350</w:t>
            </w:r>
          </w:p>
        </w:tc>
      </w:tr>
      <w:tr w:rsidR="00FA2FF9" w:rsidRPr="00730DE4" w14:paraId="1A4C3B0C" w14:textId="77777777" w:rsidTr="00B9757A">
        <w:tc>
          <w:tcPr>
            <w:tcW w:w="1328" w:type="pct"/>
          </w:tcPr>
          <w:p w14:paraId="0728F3A2" w14:textId="77777777" w:rsidR="00FA2FF9" w:rsidRPr="00730DE4" w:rsidRDefault="00FA2FF9" w:rsidP="009D0A95">
            <w:pPr>
              <w:pStyle w:val="NoSpacing"/>
            </w:pPr>
            <w:r w:rsidRPr="00730DE4">
              <w:t>Toowoomba</w:t>
            </w:r>
          </w:p>
        </w:tc>
        <w:tc>
          <w:tcPr>
            <w:tcW w:w="3672" w:type="pct"/>
          </w:tcPr>
          <w:p w14:paraId="491734AA" w14:textId="77777777" w:rsidR="00FA2FF9" w:rsidRPr="00730DE4" w:rsidRDefault="00FA2FF9" w:rsidP="005340EC">
            <w:pPr>
              <w:pStyle w:val="NoSpacing"/>
            </w:pPr>
            <w:r w:rsidRPr="00730DE4">
              <w:rPr>
                <w:lang w:val="en-US"/>
              </w:rPr>
              <w:t xml:space="preserve"> 367 Ruthven Street, Toowoomba Qld 4350</w:t>
            </w:r>
          </w:p>
        </w:tc>
      </w:tr>
      <w:tr w:rsidR="00FA2FF9" w:rsidRPr="00730DE4" w14:paraId="7BEB42FD" w14:textId="77777777" w:rsidTr="00B9757A">
        <w:trPr>
          <w:cnfStyle w:val="000000100000" w:firstRow="0" w:lastRow="0" w:firstColumn="0" w:lastColumn="0" w:oddVBand="0" w:evenVBand="0" w:oddHBand="1" w:evenHBand="0" w:firstRowFirstColumn="0" w:firstRowLastColumn="0" w:lastRowFirstColumn="0" w:lastRowLastColumn="0"/>
        </w:trPr>
        <w:tc>
          <w:tcPr>
            <w:tcW w:w="1328" w:type="pct"/>
          </w:tcPr>
          <w:p w14:paraId="7981F44D" w14:textId="77777777" w:rsidR="00FA2FF9" w:rsidRPr="00730DE4" w:rsidRDefault="00FA2FF9" w:rsidP="009D0A95">
            <w:pPr>
              <w:pStyle w:val="NoSpacing"/>
            </w:pPr>
            <w:r w:rsidRPr="00730DE4">
              <w:t>Townsville (Garbutt)</w:t>
            </w:r>
          </w:p>
        </w:tc>
        <w:tc>
          <w:tcPr>
            <w:tcW w:w="3672" w:type="pct"/>
          </w:tcPr>
          <w:p w14:paraId="09862FFA" w14:textId="77777777" w:rsidR="00FA2FF9" w:rsidRPr="00730DE4" w:rsidRDefault="00FA2FF9" w:rsidP="009D0A95">
            <w:pPr>
              <w:pStyle w:val="NoSpacing"/>
            </w:pPr>
            <w:r w:rsidRPr="00730DE4">
              <w:t>21–35 Leyland Street, Garbutt QLD 4814</w:t>
            </w:r>
          </w:p>
        </w:tc>
      </w:tr>
      <w:tr w:rsidR="00FA2FF9" w:rsidRPr="00730DE4" w14:paraId="19FA5D3D" w14:textId="77777777" w:rsidTr="00B9757A">
        <w:tc>
          <w:tcPr>
            <w:tcW w:w="1328" w:type="pct"/>
          </w:tcPr>
          <w:p w14:paraId="0B75D475" w14:textId="77777777" w:rsidR="00FA2FF9" w:rsidRPr="00730DE4" w:rsidRDefault="00FA2FF9" w:rsidP="009D0A95">
            <w:pPr>
              <w:pStyle w:val="NoSpacing"/>
            </w:pPr>
            <w:r w:rsidRPr="00730DE4">
              <w:t>Warwick</w:t>
            </w:r>
          </w:p>
        </w:tc>
        <w:tc>
          <w:tcPr>
            <w:tcW w:w="3672" w:type="pct"/>
          </w:tcPr>
          <w:p w14:paraId="42643963" w14:textId="77777777" w:rsidR="00FA2FF9" w:rsidRPr="00730DE4" w:rsidRDefault="00FA2FF9" w:rsidP="009D0A95">
            <w:pPr>
              <w:pStyle w:val="NoSpacing"/>
            </w:pPr>
            <w:r w:rsidRPr="00730DE4">
              <w:t>51 Victoria Street, Warwick QLD 4370</w:t>
            </w:r>
          </w:p>
        </w:tc>
      </w:tr>
      <w:tr w:rsidR="00FA2FF9" w:rsidRPr="00730DE4" w14:paraId="67807F24" w14:textId="77777777" w:rsidTr="00B9757A">
        <w:trPr>
          <w:cnfStyle w:val="000000100000" w:firstRow="0" w:lastRow="0" w:firstColumn="0" w:lastColumn="0" w:oddVBand="0" w:evenVBand="0" w:oddHBand="1" w:evenHBand="0" w:firstRowFirstColumn="0" w:firstRowLastColumn="0" w:lastRowFirstColumn="0" w:lastRowLastColumn="0"/>
        </w:trPr>
        <w:tc>
          <w:tcPr>
            <w:tcW w:w="1328" w:type="pct"/>
          </w:tcPr>
          <w:p w14:paraId="34D7B192" w14:textId="77777777" w:rsidR="00FA2FF9" w:rsidRPr="00730DE4" w:rsidRDefault="00FA2FF9" w:rsidP="009D0A95">
            <w:pPr>
              <w:pStyle w:val="NoSpacing"/>
            </w:pPr>
            <w:r w:rsidRPr="00730DE4">
              <w:t>Wynnum</w:t>
            </w:r>
          </w:p>
        </w:tc>
        <w:tc>
          <w:tcPr>
            <w:tcW w:w="3672" w:type="pct"/>
          </w:tcPr>
          <w:p w14:paraId="51C401A9" w14:textId="77777777" w:rsidR="00FA2FF9" w:rsidRPr="00730DE4" w:rsidRDefault="00FA2FF9" w:rsidP="009D0A95">
            <w:pPr>
              <w:pStyle w:val="NoSpacing"/>
            </w:pPr>
            <w:r w:rsidRPr="00730DE4">
              <w:t>139 Tingal Road, Wynnum QLD 4178</w:t>
            </w:r>
          </w:p>
        </w:tc>
      </w:tr>
      <w:tr w:rsidR="00FA2FF9" w:rsidRPr="00730DE4" w14:paraId="1F0470C4" w14:textId="77777777" w:rsidTr="00B9757A">
        <w:tc>
          <w:tcPr>
            <w:tcW w:w="1328" w:type="pct"/>
          </w:tcPr>
          <w:p w14:paraId="479A849C" w14:textId="77777777" w:rsidR="00FA2FF9" w:rsidRPr="00730DE4" w:rsidRDefault="00FA2FF9" w:rsidP="009D0A95">
            <w:pPr>
              <w:pStyle w:val="NoSpacing"/>
            </w:pPr>
            <w:r w:rsidRPr="00730DE4">
              <w:t>Zillmere**</w:t>
            </w:r>
          </w:p>
        </w:tc>
        <w:tc>
          <w:tcPr>
            <w:tcW w:w="3672" w:type="pct"/>
          </w:tcPr>
          <w:p w14:paraId="0DDE2A2B" w14:textId="77777777" w:rsidR="00FA2FF9" w:rsidRPr="00730DE4" w:rsidRDefault="00FA2FF9" w:rsidP="009D0A95">
            <w:pPr>
              <w:pStyle w:val="NoSpacing"/>
            </w:pPr>
            <w:r w:rsidRPr="00730DE4">
              <w:t>69 Pineapple Street, Zillmere QLD 4034</w:t>
            </w:r>
          </w:p>
        </w:tc>
      </w:tr>
    </w:tbl>
    <w:p w14:paraId="6A895065" w14:textId="77777777" w:rsidR="00FA2FF9" w:rsidRPr="00730DE4" w:rsidRDefault="00FA2FF9" w:rsidP="0069763E">
      <w:pPr>
        <w:pStyle w:val="Caption"/>
      </w:pPr>
      <w:r w:rsidRPr="00730DE4">
        <w:t>Notes:</w:t>
      </w:r>
    </w:p>
    <w:p w14:paraId="30DE313F" w14:textId="77777777" w:rsidR="00FA2FF9" w:rsidRPr="00730DE4" w:rsidRDefault="00FA2FF9" w:rsidP="0069763E">
      <w:pPr>
        <w:pStyle w:val="Caption"/>
      </w:pPr>
      <w:r w:rsidRPr="00730DE4">
        <w:t>** Limited services available due to size and location of centre office.</w:t>
      </w:r>
    </w:p>
    <w:p w14:paraId="57140FB5" w14:textId="77777777" w:rsidR="00FA2FF9" w:rsidRPr="00730DE4" w:rsidRDefault="00FA2FF9" w:rsidP="0069763E">
      <w:pPr>
        <w:pStyle w:val="Caption"/>
      </w:pPr>
      <w:r w:rsidRPr="00730DE4">
        <w:t>TMR has three mobile customer service centre units operating across Queensland to deliver services to regional and remote areas.</w:t>
      </w:r>
    </w:p>
    <w:p w14:paraId="37AB7A15" w14:textId="77777777" w:rsidR="00FA2FF9" w:rsidRPr="00730DE4" w:rsidRDefault="00FA2FF9" w:rsidP="0069763E">
      <w:pPr>
        <w:pStyle w:val="Caption"/>
      </w:pPr>
      <w:r w:rsidRPr="00730DE4">
        <w:t xml:space="preserve">TMR's Indigenous Driver Licensing Unit (based in Cairns, Bentley Park office) also delivers a range of licensing services to remote areas. </w:t>
      </w:r>
    </w:p>
    <w:p w14:paraId="48773D9D" w14:textId="77777777" w:rsidR="00FA2FF9" w:rsidRPr="00730DE4" w:rsidRDefault="00FA2FF9" w:rsidP="002B7001">
      <w:pPr>
        <w:pStyle w:val="Heading3"/>
      </w:pPr>
      <w:bookmarkStart w:id="1873" w:name="_Toc180487849"/>
      <w:bookmarkStart w:id="1874" w:name="_Toc180491054"/>
      <w:bookmarkStart w:id="1875" w:name="_Toc180492087"/>
      <w:r w:rsidRPr="00730DE4">
        <w:t>Queensland Government Agency Program</w:t>
      </w:r>
      <w:bookmarkEnd w:id="1873"/>
      <w:bookmarkEnd w:id="1874"/>
      <w:bookmarkEnd w:id="1875"/>
    </w:p>
    <w:tbl>
      <w:tblPr>
        <w:tblStyle w:val="TMRDefault"/>
        <w:tblW w:w="5000" w:type="pct"/>
        <w:tblLook w:val="04A0" w:firstRow="1" w:lastRow="0" w:firstColumn="1" w:lastColumn="0" w:noHBand="0" w:noVBand="1"/>
      </w:tblPr>
      <w:tblGrid>
        <w:gridCol w:w="4592"/>
        <w:gridCol w:w="9400"/>
      </w:tblGrid>
      <w:tr w:rsidR="00FA2FF9" w:rsidRPr="00730DE4" w14:paraId="54108D36" w14:textId="77777777" w:rsidTr="00B9757A">
        <w:trPr>
          <w:cnfStyle w:val="100000000000" w:firstRow="1" w:lastRow="0" w:firstColumn="0" w:lastColumn="0" w:oddVBand="0" w:evenVBand="0" w:oddHBand="0" w:evenHBand="0" w:firstRowFirstColumn="0" w:firstRowLastColumn="0" w:lastRowFirstColumn="0" w:lastRowLastColumn="0"/>
          <w:tblHeader/>
        </w:trPr>
        <w:tc>
          <w:tcPr>
            <w:tcW w:w="1641" w:type="pct"/>
          </w:tcPr>
          <w:p w14:paraId="21837C8A" w14:textId="77777777" w:rsidR="00FA2FF9" w:rsidRPr="00730DE4" w:rsidRDefault="00FA2FF9" w:rsidP="009D0A95">
            <w:pPr>
              <w:pStyle w:val="NoSpacing"/>
              <w:rPr>
                <w:color w:val="FFFFFF" w:themeColor="background1"/>
              </w:rPr>
            </w:pPr>
            <w:r w:rsidRPr="00730DE4">
              <w:rPr>
                <w:color w:val="FFFFFF" w:themeColor="background1"/>
              </w:rPr>
              <w:t>Suburb/town</w:t>
            </w:r>
          </w:p>
        </w:tc>
        <w:tc>
          <w:tcPr>
            <w:tcW w:w="3359" w:type="pct"/>
          </w:tcPr>
          <w:p w14:paraId="4C4D7F11" w14:textId="77777777" w:rsidR="00FA2FF9" w:rsidRPr="00730DE4" w:rsidRDefault="00FA2FF9" w:rsidP="009D0A95">
            <w:pPr>
              <w:pStyle w:val="NoSpacing"/>
              <w:rPr>
                <w:color w:val="FFFFFF" w:themeColor="background1"/>
              </w:rPr>
            </w:pPr>
            <w:r w:rsidRPr="00730DE4">
              <w:rPr>
                <w:color w:val="FFFFFF" w:themeColor="background1"/>
              </w:rPr>
              <w:t>Address</w:t>
            </w:r>
          </w:p>
        </w:tc>
      </w:tr>
      <w:tr w:rsidR="00FA2FF9" w:rsidRPr="00730DE4" w14:paraId="3C889409" w14:textId="77777777" w:rsidTr="00B9757A">
        <w:trPr>
          <w:cnfStyle w:val="000000100000" w:firstRow="0" w:lastRow="0" w:firstColumn="0" w:lastColumn="0" w:oddVBand="0" w:evenVBand="0" w:oddHBand="1" w:evenHBand="0" w:firstRowFirstColumn="0" w:firstRowLastColumn="0" w:lastRowFirstColumn="0" w:lastRowLastColumn="0"/>
        </w:trPr>
        <w:tc>
          <w:tcPr>
            <w:tcW w:w="1641" w:type="pct"/>
          </w:tcPr>
          <w:p w14:paraId="1A0628E3" w14:textId="77777777" w:rsidR="00FA2FF9" w:rsidRPr="00730DE4" w:rsidRDefault="00FA2FF9" w:rsidP="009D0A95">
            <w:pPr>
              <w:pStyle w:val="NoSpacing"/>
              <w:rPr>
                <w:lang w:val="en-US"/>
              </w:rPr>
            </w:pPr>
            <w:r w:rsidRPr="00730DE4">
              <w:rPr>
                <w:lang w:val="en-US"/>
              </w:rPr>
              <w:t>Agnes Water QGAP</w:t>
            </w:r>
          </w:p>
        </w:tc>
        <w:tc>
          <w:tcPr>
            <w:tcW w:w="3359" w:type="pct"/>
          </w:tcPr>
          <w:p w14:paraId="795B3EE3" w14:textId="77777777" w:rsidR="00FA2FF9" w:rsidRPr="00730DE4" w:rsidRDefault="00FA2FF9" w:rsidP="009D0A95">
            <w:pPr>
              <w:pStyle w:val="NoSpacing"/>
              <w:rPr>
                <w:lang w:val="en-US"/>
              </w:rPr>
            </w:pPr>
            <w:r w:rsidRPr="00730DE4">
              <w:rPr>
                <w:lang w:val="en-US"/>
              </w:rPr>
              <w:t>71 Springs Rd, Agnes Water QLD 4677</w:t>
            </w:r>
          </w:p>
        </w:tc>
      </w:tr>
      <w:tr w:rsidR="00FA2FF9" w:rsidRPr="00730DE4" w14:paraId="1C61B24A" w14:textId="77777777" w:rsidTr="00B9757A">
        <w:tc>
          <w:tcPr>
            <w:tcW w:w="1641" w:type="pct"/>
          </w:tcPr>
          <w:p w14:paraId="5EA3E3A0" w14:textId="77777777" w:rsidR="00FA2FF9" w:rsidRPr="00730DE4" w:rsidRDefault="00FA2FF9" w:rsidP="009D0A95">
            <w:pPr>
              <w:pStyle w:val="NoSpacing"/>
              <w:rPr>
                <w:lang w:val="en-US"/>
              </w:rPr>
            </w:pPr>
            <w:r w:rsidRPr="00730DE4">
              <w:rPr>
                <w:lang w:val="en-US"/>
              </w:rPr>
              <w:t>Aramac QGAP</w:t>
            </w:r>
          </w:p>
        </w:tc>
        <w:tc>
          <w:tcPr>
            <w:tcW w:w="3359" w:type="pct"/>
          </w:tcPr>
          <w:p w14:paraId="50606078" w14:textId="77777777" w:rsidR="00FA2FF9" w:rsidRPr="00730DE4" w:rsidRDefault="00FA2FF9" w:rsidP="009D0A95">
            <w:pPr>
              <w:pStyle w:val="NoSpacing"/>
              <w:rPr>
                <w:lang w:val="en-US"/>
              </w:rPr>
            </w:pPr>
            <w:r w:rsidRPr="00730DE4">
              <w:rPr>
                <w:lang w:val="en-US"/>
              </w:rPr>
              <w:t>Gordon Street, Aramac QLD 4726</w:t>
            </w:r>
          </w:p>
        </w:tc>
      </w:tr>
      <w:tr w:rsidR="00FA2FF9" w:rsidRPr="00730DE4" w14:paraId="6DCC5653" w14:textId="77777777" w:rsidTr="00B9757A">
        <w:trPr>
          <w:cnfStyle w:val="000000100000" w:firstRow="0" w:lastRow="0" w:firstColumn="0" w:lastColumn="0" w:oddVBand="0" w:evenVBand="0" w:oddHBand="1" w:evenHBand="0" w:firstRowFirstColumn="0" w:firstRowLastColumn="0" w:lastRowFirstColumn="0" w:lastRowLastColumn="0"/>
        </w:trPr>
        <w:tc>
          <w:tcPr>
            <w:tcW w:w="1641" w:type="pct"/>
          </w:tcPr>
          <w:p w14:paraId="6B017A6D" w14:textId="77777777" w:rsidR="00FA2FF9" w:rsidRPr="00730DE4" w:rsidRDefault="00FA2FF9" w:rsidP="009D0A95">
            <w:pPr>
              <w:pStyle w:val="NoSpacing"/>
              <w:rPr>
                <w:lang w:val="en-US"/>
              </w:rPr>
            </w:pPr>
            <w:r w:rsidRPr="00730DE4">
              <w:rPr>
                <w:lang w:val="en-US"/>
              </w:rPr>
              <w:t>Augathella QGAP</w:t>
            </w:r>
          </w:p>
        </w:tc>
        <w:tc>
          <w:tcPr>
            <w:tcW w:w="3359" w:type="pct"/>
          </w:tcPr>
          <w:p w14:paraId="32C2949F" w14:textId="77777777" w:rsidR="00FA2FF9" w:rsidRPr="00730DE4" w:rsidRDefault="00FA2FF9" w:rsidP="009D0A95">
            <w:pPr>
              <w:pStyle w:val="NoSpacing"/>
              <w:rPr>
                <w:lang w:val="en-US"/>
              </w:rPr>
            </w:pPr>
            <w:r w:rsidRPr="00730DE4">
              <w:rPr>
                <w:lang w:val="en-US"/>
              </w:rPr>
              <w:t>Augathella Visitors Centre, 98 Main Street, Augathella QLD 4477</w:t>
            </w:r>
          </w:p>
        </w:tc>
      </w:tr>
      <w:tr w:rsidR="00FA2FF9" w:rsidRPr="00730DE4" w14:paraId="5D5D798A" w14:textId="77777777" w:rsidTr="00B9757A">
        <w:tc>
          <w:tcPr>
            <w:tcW w:w="1641" w:type="pct"/>
          </w:tcPr>
          <w:p w14:paraId="5318A1B1" w14:textId="77777777" w:rsidR="00FA2FF9" w:rsidRPr="00730DE4" w:rsidRDefault="00FA2FF9" w:rsidP="009D0A95">
            <w:pPr>
              <w:pStyle w:val="NoSpacing"/>
              <w:rPr>
                <w:lang w:val="en-US"/>
              </w:rPr>
            </w:pPr>
            <w:r w:rsidRPr="00730DE4">
              <w:rPr>
                <w:lang w:val="en-US"/>
              </w:rPr>
              <w:t>Ayr QGAP (TMR led)</w:t>
            </w:r>
          </w:p>
        </w:tc>
        <w:tc>
          <w:tcPr>
            <w:tcW w:w="3359" w:type="pct"/>
          </w:tcPr>
          <w:p w14:paraId="72FFE0BC" w14:textId="77777777" w:rsidR="00FA2FF9" w:rsidRPr="00730DE4" w:rsidRDefault="00FA2FF9" w:rsidP="009D0A95">
            <w:pPr>
              <w:pStyle w:val="NoSpacing"/>
              <w:rPr>
                <w:lang w:val="en-US"/>
              </w:rPr>
            </w:pPr>
            <w:r w:rsidRPr="00730DE4">
              <w:rPr>
                <w:lang w:val="en-US"/>
              </w:rPr>
              <w:t>Ayr Magistrates Court, 163 Queen Street Ayr QLD 4807</w:t>
            </w:r>
          </w:p>
        </w:tc>
      </w:tr>
      <w:tr w:rsidR="00FA2FF9" w:rsidRPr="00730DE4" w14:paraId="26668A95" w14:textId="77777777" w:rsidTr="00B9757A">
        <w:trPr>
          <w:cnfStyle w:val="000000100000" w:firstRow="0" w:lastRow="0" w:firstColumn="0" w:lastColumn="0" w:oddVBand="0" w:evenVBand="0" w:oddHBand="1" w:evenHBand="0" w:firstRowFirstColumn="0" w:firstRowLastColumn="0" w:lastRowFirstColumn="0" w:lastRowLastColumn="0"/>
        </w:trPr>
        <w:tc>
          <w:tcPr>
            <w:tcW w:w="1641" w:type="pct"/>
          </w:tcPr>
          <w:p w14:paraId="660C9D0A" w14:textId="77777777" w:rsidR="00FA2FF9" w:rsidRPr="00730DE4" w:rsidRDefault="00FA2FF9" w:rsidP="009D0A95">
            <w:pPr>
              <w:pStyle w:val="NoSpacing"/>
              <w:rPr>
                <w:lang w:val="en-US"/>
              </w:rPr>
            </w:pPr>
            <w:r w:rsidRPr="00730DE4">
              <w:rPr>
                <w:lang w:val="en-US"/>
              </w:rPr>
              <w:t>Babinda QGAP</w:t>
            </w:r>
          </w:p>
        </w:tc>
        <w:tc>
          <w:tcPr>
            <w:tcW w:w="3359" w:type="pct"/>
          </w:tcPr>
          <w:p w14:paraId="0CF176C8" w14:textId="77777777" w:rsidR="00FA2FF9" w:rsidRPr="00730DE4" w:rsidRDefault="00FA2FF9" w:rsidP="009D0A95">
            <w:pPr>
              <w:pStyle w:val="NoSpacing"/>
              <w:rPr>
                <w:lang w:val="en-US"/>
              </w:rPr>
            </w:pPr>
            <w:r w:rsidRPr="00730DE4">
              <w:rPr>
                <w:lang w:val="en-US"/>
              </w:rPr>
              <w:t>10 Munro Street, Babinda QLD 4861</w:t>
            </w:r>
          </w:p>
        </w:tc>
      </w:tr>
      <w:tr w:rsidR="00FA2FF9" w:rsidRPr="00730DE4" w14:paraId="37E85F7B" w14:textId="77777777" w:rsidTr="00B9757A">
        <w:tc>
          <w:tcPr>
            <w:tcW w:w="1641" w:type="pct"/>
          </w:tcPr>
          <w:p w14:paraId="46DF4B3F" w14:textId="77777777" w:rsidR="00FA2FF9" w:rsidRPr="00730DE4" w:rsidRDefault="00FA2FF9" w:rsidP="009D0A95">
            <w:pPr>
              <w:pStyle w:val="NoSpacing"/>
              <w:rPr>
                <w:lang w:val="en-US"/>
              </w:rPr>
            </w:pPr>
            <w:r w:rsidRPr="00730DE4">
              <w:rPr>
                <w:lang w:val="en-US"/>
              </w:rPr>
              <w:t>Barcaldine QGAP (TMR led)</w:t>
            </w:r>
          </w:p>
        </w:tc>
        <w:tc>
          <w:tcPr>
            <w:tcW w:w="3359" w:type="pct"/>
          </w:tcPr>
          <w:p w14:paraId="7F5696E9" w14:textId="77777777" w:rsidR="00FA2FF9" w:rsidRPr="00730DE4" w:rsidRDefault="00FA2FF9" w:rsidP="009D0A95">
            <w:pPr>
              <w:pStyle w:val="NoSpacing"/>
              <w:rPr>
                <w:lang w:val="en-US"/>
              </w:rPr>
            </w:pPr>
            <w:r w:rsidRPr="00730DE4">
              <w:rPr>
                <w:lang w:val="en-US"/>
              </w:rPr>
              <w:t>65 Ash Street, Barcaldine QLD (temporary)</w:t>
            </w:r>
          </w:p>
        </w:tc>
      </w:tr>
      <w:tr w:rsidR="00FA2FF9" w:rsidRPr="00730DE4" w14:paraId="56C57A46" w14:textId="77777777" w:rsidTr="00B9757A">
        <w:trPr>
          <w:cnfStyle w:val="000000100000" w:firstRow="0" w:lastRow="0" w:firstColumn="0" w:lastColumn="0" w:oddVBand="0" w:evenVBand="0" w:oddHBand="1" w:evenHBand="0" w:firstRowFirstColumn="0" w:firstRowLastColumn="0" w:lastRowFirstColumn="0" w:lastRowLastColumn="0"/>
          <w:trHeight w:val="95"/>
        </w:trPr>
        <w:tc>
          <w:tcPr>
            <w:tcW w:w="1641" w:type="pct"/>
          </w:tcPr>
          <w:p w14:paraId="68A3CED1" w14:textId="77777777" w:rsidR="00FA2FF9" w:rsidRPr="00730DE4" w:rsidRDefault="00FA2FF9" w:rsidP="009D0A95">
            <w:pPr>
              <w:pStyle w:val="NoSpacing"/>
              <w:rPr>
                <w:lang w:val="en-US"/>
              </w:rPr>
            </w:pPr>
            <w:r w:rsidRPr="00730DE4">
              <w:rPr>
                <w:lang w:val="en-US"/>
              </w:rPr>
              <w:t>Beaudesert Customer Centre (TMR led)</w:t>
            </w:r>
          </w:p>
        </w:tc>
        <w:tc>
          <w:tcPr>
            <w:tcW w:w="3359" w:type="pct"/>
          </w:tcPr>
          <w:p w14:paraId="6F421FA9" w14:textId="77777777" w:rsidR="00FA2FF9" w:rsidRPr="00730DE4" w:rsidRDefault="00FA2FF9" w:rsidP="009D0A95">
            <w:pPr>
              <w:pStyle w:val="NoSpacing"/>
              <w:rPr>
                <w:lang w:val="en-US"/>
              </w:rPr>
            </w:pPr>
            <w:r w:rsidRPr="00730DE4">
              <w:rPr>
                <w:lang w:val="en-US"/>
              </w:rPr>
              <w:t>Tenancy 2, 1 Telemon Street, Beaudesert QLD 4285</w:t>
            </w:r>
          </w:p>
        </w:tc>
      </w:tr>
      <w:tr w:rsidR="00FA2FF9" w:rsidRPr="00730DE4" w14:paraId="4163B1D5" w14:textId="77777777" w:rsidTr="00B9757A">
        <w:trPr>
          <w:trHeight w:val="95"/>
        </w:trPr>
        <w:tc>
          <w:tcPr>
            <w:tcW w:w="1641" w:type="pct"/>
          </w:tcPr>
          <w:p w14:paraId="70F0AE36" w14:textId="77777777" w:rsidR="00FA2FF9" w:rsidRPr="00730DE4" w:rsidRDefault="00FA2FF9" w:rsidP="009D0A95">
            <w:pPr>
              <w:pStyle w:val="NoSpacing"/>
              <w:rPr>
                <w:lang w:val="en-US"/>
              </w:rPr>
            </w:pPr>
            <w:r w:rsidRPr="00730DE4">
              <w:rPr>
                <w:lang w:val="en-US"/>
              </w:rPr>
              <w:t>Bedourie QGAP</w:t>
            </w:r>
          </w:p>
        </w:tc>
        <w:tc>
          <w:tcPr>
            <w:tcW w:w="3359" w:type="pct"/>
          </w:tcPr>
          <w:p w14:paraId="5C584534" w14:textId="77777777" w:rsidR="00FA2FF9" w:rsidRPr="00730DE4" w:rsidRDefault="00FA2FF9" w:rsidP="009D0A95">
            <w:pPr>
              <w:pStyle w:val="NoSpacing"/>
              <w:rPr>
                <w:lang w:val="en-US"/>
              </w:rPr>
            </w:pPr>
            <w:r w:rsidRPr="00730DE4">
              <w:rPr>
                <w:lang w:val="en-US"/>
              </w:rPr>
              <w:t>Police Station, Merri Street, Bedourie QLD 4829</w:t>
            </w:r>
          </w:p>
        </w:tc>
      </w:tr>
      <w:tr w:rsidR="00FA2FF9" w:rsidRPr="00730DE4" w14:paraId="64BA95B5" w14:textId="77777777" w:rsidTr="00B9757A">
        <w:trPr>
          <w:cnfStyle w:val="000000100000" w:firstRow="0" w:lastRow="0" w:firstColumn="0" w:lastColumn="0" w:oddVBand="0" w:evenVBand="0" w:oddHBand="1" w:evenHBand="0" w:firstRowFirstColumn="0" w:firstRowLastColumn="0" w:lastRowFirstColumn="0" w:lastRowLastColumn="0"/>
        </w:trPr>
        <w:tc>
          <w:tcPr>
            <w:tcW w:w="1641" w:type="pct"/>
          </w:tcPr>
          <w:p w14:paraId="28AA1F55" w14:textId="77777777" w:rsidR="00FA2FF9" w:rsidRPr="00730DE4" w:rsidRDefault="00FA2FF9" w:rsidP="009D0A95">
            <w:pPr>
              <w:pStyle w:val="NoSpacing"/>
              <w:rPr>
                <w:lang w:val="en-US"/>
              </w:rPr>
            </w:pPr>
            <w:r w:rsidRPr="00730DE4">
              <w:rPr>
                <w:lang w:val="en-US"/>
              </w:rPr>
              <w:t>Biloela QGAP (TMR led)</w:t>
            </w:r>
          </w:p>
        </w:tc>
        <w:tc>
          <w:tcPr>
            <w:tcW w:w="3359" w:type="pct"/>
          </w:tcPr>
          <w:p w14:paraId="2180C963" w14:textId="77777777" w:rsidR="00FA2FF9" w:rsidRPr="00730DE4" w:rsidRDefault="00FA2FF9" w:rsidP="009D0A95">
            <w:pPr>
              <w:pStyle w:val="NoSpacing"/>
              <w:rPr>
                <w:lang w:val="en-US"/>
              </w:rPr>
            </w:pPr>
            <w:r w:rsidRPr="00730DE4">
              <w:rPr>
                <w:lang w:val="en-US"/>
              </w:rPr>
              <w:t>Cnr Melton and Grevillea Street, Biloela QLD 4715</w:t>
            </w:r>
          </w:p>
        </w:tc>
      </w:tr>
      <w:tr w:rsidR="00FA2FF9" w:rsidRPr="00730DE4" w14:paraId="0027AF7B" w14:textId="77777777" w:rsidTr="00B9757A">
        <w:tc>
          <w:tcPr>
            <w:tcW w:w="1641" w:type="pct"/>
          </w:tcPr>
          <w:p w14:paraId="650E2A2D" w14:textId="77777777" w:rsidR="00FA2FF9" w:rsidRPr="00730DE4" w:rsidRDefault="00FA2FF9" w:rsidP="009D0A95">
            <w:pPr>
              <w:pStyle w:val="NoSpacing"/>
              <w:rPr>
                <w:lang w:val="en-US"/>
              </w:rPr>
            </w:pPr>
            <w:r w:rsidRPr="00730DE4">
              <w:rPr>
                <w:lang w:val="en-US"/>
              </w:rPr>
              <w:t>Birdsville QGAP</w:t>
            </w:r>
          </w:p>
        </w:tc>
        <w:tc>
          <w:tcPr>
            <w:tcW w:w="3359" w:type="pct"/>
          </w:tcPr>
          <w:p w14:paraId="6B74EFFD" w14:textId="77777777" w:rsidR="00FA2FF9" w:rsidRPr="00730DE4" w:rsidRDefault="00FA2FF9" w:rsidP="009D0A95">
            <w:pPr>
              <w:pStyle w:val="NoSpacing"/>
              <w:rPr>
                <w:lang w:val="en-US"/>
              </w:rPr>
            </w:pPr>
            <w:r w:rsidRPr="00730DE4">
              <w:rPr>
                <w:lang w:val="en-US"/>
              </w:rPr>
              <w:t>Police Station, 17 MacDonald Street, Birdsville QLD 4482</w:t>
            </w:r>
          </w:p>
        </w:tc>
      </w:tr>
      <w:tr w:rsidR="00FA2FF9" w:rsidRPr="00730DE4" w14:paraId="339F0886" w14:textId="77777777" w:rsidTr="00B9757A">
        <w:trPr>
          <w:cnfStyle w:val="000000100000" w:firstRow="0" w:lastRow="0" w:firstColumn="0" w:lastColumn="0" w:oddVBand="0" w:evenVBand="0" w:oddHBand="1" w:evenHBand="0" w:firstRowFirstColumn="0" w:firstRowLastColumn="0" w:lastRowFirstColumn="0" w:lastRowLastColumn="0"/>
          <w:trHeight w:val="95"/>
        </w:trPr>
        <w:tc>
          <w:tcPr>
            <w:tcW w:w="1641" w:type="pct"/>
          </w:tcPr>
          <w:p w14:paraId="0D83AAD3" w14:textId="77777777" w:rsidR="00FA2FF9" w:rsidRPr="00730DE4" w:rsidRDefault="00FA2FF9" w:rsidP="009D0A95">
            <w:pPr>
              <w:pStyle w:val="NoSpacing"/>
              <w:rPr>
                <w:lang w:val="en-US"/>
              </w:rPr>
            </w:pPr>
            <w:r w:rsidRPr="00730DE4">
              <w:rPr>
                <w:lang w:val="en-US"/>
              </w:rPr>
              <w:t>Blackall QGAP</w:t>
            </w:r>
          </w:p>
        </w:tc>
        <w:tc>
          <w:tcPr>
            <w:tcW w:w="3359" w:type="pct"/>
          </w:tcPr>
          <w:p w14:paraId="0F3D096B" w14:textId="77777777" w:rsidR="00FA2FF9" w:rsidRPr="00730DE4" w:rsidRDefault="00FA2FF9" w:rsidP="009D0A95">
            <w:pPr>
              <w:pStyle w:val="NoSpacing"/>
              <w:rPr>
                <w:lang w:val="en-US"/>
              </w:rPr>
            </w:pPr>
            <w:r w:rsidRPr="00730DE4">
              <w:rPr>
                <w:lang w:val="en-US"/>
              </w:rPr>
              <w:t>139–141 Shamrock Street, Blackall QLD 4472</w:t>
            </w:r>
          </w:p>
        </w:tc>
      </w:tr>
      <w:tr w:rsidR="00FA2FF9" w:rsidRPr="00730DE4" w14:paraId="757C81CB" w14:textId="77777777" w:rsidTr="00B9757A">
        <w:tc>
          <w:tcPr>
            <w:tcW w:w="1641" w:type="pct"/>
          </w:tcPr>
          <w:p w14:paraId="7716C09E" w14:textId="77777777" w:rsidR="00FA2FF9" w:rsidRPr="00730DE4" w:rsidRDefault="00FA2FF9" w:rsidP="009D0A95">
            <w:pPr>
              <w:pStyle w:val="NoSpacing"/>
              <w:rPr>
                <w:lang w:val="en-US"/>
              </w:rPr>
            </w:pPr>
            <w:r w:rsidRPr="00730DE4">
              <w:rPr>
                <w:lang w:val="en-US"/>
              </w:rPr>
              <w:t>Blackbutt QGAP</w:t>
            </w:r>
          </w:p>
        </w:tc>
        <w:tc>
          <w:tcPr>
            <w:tcW w:w="3359" w:type="pct"/>
          </w:tcPr>
          <w:p w14:paraId="3EE86BCE" w14:textId="77777777" w:rsidR="00FA2FF9" w:rsidRPr="00730DE4" w:rsidRDefault="00FA2FF9" w:rsidP="009D0A95">
            <w:pPr>
              <w:pStyle w:val="NoSpacing"/>
              <w:rPr>
                <w:lang w:val="en-US"/>
              </w:rPr>
            </w:pPr>
            <w:r w:rsidRPr="00730DE4">
              <w:rPr>
                <w:lang w:val="en-US"/>
              </w:rPr>
              <w:t>69 Hart Street, Blackbutt QLD 4314</w:t>
            </w:r>
          </w:p>
        </w:tc>
      </w:tr>
      <w:tr w:rsidR="00FA2FF9" w:rsidRPr="00730DE4" w14:paraId="54AC9E83" w14:textId="77777777" w:rsidTr="00B9757A">
        <w:trPr>
          <w:cnfStyle w:val="000000100000" w:firstRow="0" w:lastRow="0" w:firstColumn="0" w:lastColumn="0" w:oddVBand="0" w:evenVBand="0" w:oddHBand="1" w:evenHBand="0" w:firstRowFirstColumn="0" w:firstRowLastColumn="0" w:lastRowFirstColumn="0" w:lastRowLastColumn="0"/>
        </w:trPr>
        <w:tc>
          <w:tcPr>
            <w:tcW w:w="1641" w:type="pct"/>
          </w:tcPr>
          <w:p w14:paraId="448C3F48" w14:textId="77777777" w:rsidR="00FA2FF9" w:rsidRPr="00730DE4" w:rsidRDefault="00FA2FF9" w:rsidP="009D0A95">
            <w:pPr>
              <w:pStyle w:val="NoSpacing"/>
              <w:rPr>
                <w:lang w:val="en-US"/>
              </w:rPr>
            </w:pPr>
            <w:r w:rsidRPr="00730DE4">
              <w:rPr>
                <w:lang w:val="en-US"/>
              </w:rPr>
              <w:t>Boonah QGAP</w:t>
            </w:r>
          </w:p>
        </w:tc>
        <w:tc>
          <w:tcPr>
            <w:tcW w:w="3359" w:type="pct"/>
          </w:tcPr>
          <w:p w14:paraId="536494C8" w14:textId="77777777" w:rsidR="00FA2FF9" w:rsidRPr="00730DE4" w:rsidRDefault="00FA2FF9" w:rsidP="009D0A95">
            <w:pPr>
              <w:pStyle w:val="NoSpacing"/>
              <w:rPr>
                <w:lang w:val="en-US"/>
              </w:rPr>
            </w:pPr>
            <w:r w:rsidRPr="00730DE4">
              <w:rPr>
                <w:lang w:val="en-US"/>
              </w:rPr>
              <w:t>70 High Street, Boonah QLD 4310</w:t>
            </w:r>
          </w:p>
        </w:tc>
      </w:tr>
      <w:tr w:rsidR="00FA2FF9" w:rsidRPr="00730DE4" w14:paraId="32B1E9C7" w14:textId="77777777" w:rsidTr="00B9757A">
        <w:tc>
          <w:tcPr>
            <w:tcW w:w="1641" w:type="pct"/>
          </w:tcPr>
          <w:p w14:paraId="7D49E9F8" w14:textId="77777777" w:rsidR="00FA2FF9" w:rsidRPr="00730DE4" w:rsidRDefault="00FA2FF9" w:rsidP="009D0A95">
            <w:pPr>
              <w:pStyle w:val="NoSpacing"/>
              <w:rPr>
                <w:lang w:val="en-US"/>
              </w:rPr>
            </w:pPr>
            <w:r w:rsidRPr="00730DE4">
              <w:rPr>
                <w:lang w:val="en-US"/>
              </w:rPr>
              <w:t>Boulia QGAP</w:t>
            </w:r>
          </w:p>
        </w:tc>
        <w:tc>
          <w:tcPr>
            <w:tcW w:w="3359" w:type="pct"/>
          </w:tcPr>
          <w:p w14:paraId="17A1BBE4" w14:textId="77777777" w:rsidR="00FA2FF9" w:rsidRPr="00730DE4" w:rsidRDefault="00FA2FF9" w:rsidP="009D0A95">
            <w:pPr>
              <w:pStyle w:val="NoSpacing"/>
              <w:rPr>
                <w:lang w:val="en-US"/>
              </w:rPr>
            </w:pPr>
            <w:r w:rsidRPr="00730DE4">
              <w:rPr>
                <w:lang w:val="en-US"/>
              </w:rPr>
              <w:t>Boulia Police Station, 39 Herbert Street, Boulia QLD 4829</w:t>
            </w:r>
          </w:p>
        </w:tc>
      </w:tr>
      <w:tr w:rsidR="00FA2FF9" w:rsidRPr="00730DE4" w14:paraId="009C3B41" w14:textId="77777777" w:rsidTr="00B9757A">
        <w:trPr>
          <w:cnfStyle w:val="000000100000" w:firstRow="0" w:lastRow="0" w:firstColumn="0" w:lastColumn="0" w:oddVBand="0" w:evenVBand="0" w:oddHBand="1" w:evenHBand="0" w:firstRowFirstColumn="0" w:firstRowLastColumn="0" w:lastRowFirstColumn="0" w:lastRowLastColumn="0"/>
        </w:trPr>
        <w:tc>
          <w:tcPr>
            <w:tcW w:w="1641" w:type="pct"/>
          </w:tcPr>
          <w:p w14:paraId="6E6249DD" w14:textId="77777777" w:rsidR="00FA2FF9" w:rsidRPr="00730DE4" w:rsidRDefault="00FA2FF9" w:rsidP="009D0A95">
            <w:pPr>
              <w:pStyle w:val="NoSpacing"/>
              <w:rPr>
                <w:lang w:val="en-US"/>
              </w:rPr>
            </w:pPr>
            <w:r w:rsidRPr="00730DE4">
              <w:rPr>
                <w:lang w:val="en-US"/>
              </w:rPr>
              <w:t>Camooweal QGAP</w:t>
            </w:r>
          </w:p>
        </w:tc>
        <w:tc>
          <w:tcPr>
            <w:tcW w:w="3359" w:type="pct"/>
          </w:tcPr>
          <w:p w14:paraId="4BB88391" w14:textId="77777777" w:rsidR="00FA2FF9" w:rsidRPr="00730DE4" w:rsidRDefault="00FA2FF9" w:rsidP="009D0A95">
            <w:pPr>
              <w:pStyle w:val="NoSpacing"/>
              <w:rPr>
                <w:lang w:val="en-US"/>
              </w:rPr>
            </w:pPr>
            <w:r w:rsidRPr="00730DE4">
              <w:rPr>
                <w:lang w:val="en-US"/>
              </w:rPr>
              <w:t>Barkly Street, Camooweal QLD 4828</w:t>
            </w:r>
          </w:p>
        </w:tc>
      </w:tr>
      <w:tr w:rsidR="00FA2FF9" w:rsidRPr="00730DE4" w14:paraId="1D9F0B42" w14:textId="77777777" w:rsidTr="00B9757A">
        <w:tc>
          <w:tcPr>
            <w:tcW w:w="1641" w:type="pct"/>
          </w:tcPr>
          <w:p w14:paraId="0499DD78" w14:textId="77777777" w:rsidR="00FA2FF9" w:rsidRPr="00730DE4" w:rsidRDefault="00FA2FF9" w:rsidP="009D0A95">
            <w:pPr>
              <w:pStyle w:val="NoSpacing"/>
              <w:rPr>
                <w:lang w:val="en-US"/>
              </w:rPr>
            </w:pPr>
            <w:r w:rsidRPr="00730DE4">
              <w:rPr>
                <w:lang w:val="en-US"/>
              </w:rPr>
              <w:t>Cannonvale QGAP (TMR led)</w:t>
            </w:r>
          </w:p>
        </w:tc>
        <w:tc>
          <w:tcPr>
            <w:tcW w:w="3359" w:type="pct"/>
          </w:tcPr>
          <w:p w14:paraId="1DD2088F" w14:textId="77777777" w:rsidR="00FA2FF9" w:rsidRPr="00730DE4" w:rsidRDefault="00FA2FF9" w:rsidP="009D0A95">
            <w:pPr>
              <w:pStyle w:val="NoSpacing"/>
              <w:rPr>
                <w:lang w:val="en-US"/>
              </w:rPr>
            </w:pPr>
            <w:r w:rsidRPr="00730DE4">
              <w:rPr>
                <w:lang w:val="en-US"/>
              </w:rPr>
              <w:t>Shops 5–7, 11 Island Drive, Cannonvale QLD 4802</w:t>
            </w:r>
          </w:p>
        </w:tc>
      </w:tr>
      <w:tr w:rsidR="00FA2FF9" w:rsidRPr="00730DE4" w14:paraId="1E6846DF" w14:textId="77777777" w:rsidTr="00B9757A">
        <w:trPr>
          <w:cnfStyle w:val="000000100000" w:firstRow="0" w:lastRow="0" w:firstColumn="0" w:lastColumn="0" w:oddVBand="0" w:evenVBand="0" w:oddHBand="1" w:evenHBand="0" w:firstRowFirstColumn="0" w:firstRowLastColumn="0" w:lastRowFirstColumn="0" w:lastRowLastColumn="0"/>
        </w:trPr>
        <w:tc>
          <w:tcPr>
            <w:tcW w:w="1641" w:type="pct"/>
          </w:tcPr>
          <w:p w14:paraId="797FAB18" w14:textId="77777777" w:rsidR="00FA2FF9" w:rsidRPr="00730DE4" w:rsidRDefault="00FA2FF9" w:rsidP="009D0A95">
            <w:pPr>
              <w:pStyle w:val="NoSpacing"/>
              <w:rPr>
                <w:lang w:val="en-US"/>
              </w:rPr>
            </w:pPr>
            <w:r w:rsidRPr="00730DE4">
              <w:rPr>
                <w:lang w:val="en-US"/>
              </w:rPr>
              <w:t>Childers QGAP (TMR led)</w:t>
            </w:r>
          </w:p>
        </w:tc>
        <w:tc>
          <w:tcPr>
            <w:tcW w:w="3359" w:type="pct"/>
          </w:tcPr>
          <w:p w14:paraId="31D39E2F" w14:textId="77777777" w:rsidR="00FA2FF9" w:rsidRPr="00730DE4" w:rsidRDefault="00FA2FF9" w:rsidP="009D0A95">
            <w:pPr>
              <w:pStyle w:val="NoSpacing"/>
              <w:rPr>
                <w:lang w:val="en-US"/>
              </w:rPr>
            </w:pPr>
            <w:r w:rsidRPr="00730DE4">
              <w:rPr>
                <w:lang w:val="en-US"/>
              </w:rPr>
              <w:t>Childers Magistrates Court, 67 Churchill Street, Childers QLD 4660</w:t>
            </w:r>
          </w:p>
        </w:tc>
      </w:tr>
      <w:tr w:rsidR="00FA2FF9" w:rsidRPr="00730DE4" w14:paraId="6D829738" w14:textId="77777777" w:rsidTr="00B9757A">
        <w:tc>
          <w:tcPr>
            <w:tcW w:w="1641" w:type="pct"/>
          </w:tcPr>
          <w:p w14:paraId="21738BAA" w14:textId="77777777" w:rsidR="00FA2FF9" w:rsidRPr="00730DE4" w:rsidRDefault="00FA2FF9" w:rsidP="009D0A95">
            <w:pPr>
              <w:pStyle w:val="NoSpacing"/>
              <w:rPr>
                <w:lang w:val="en-US"/>
              </w:rPr>
            </w:pPr>
            <w:r w:rsidRPr="00730DE4">
              <w:rPr>
                <w:lang w:val="en-US"/>
              </w:rPr>
              <w:t>Chinchilla QGAP</w:t>
            </w:r>
          </w:p>
        </w:tc>
        <w:tc>
          <w:tcPr>
            <w:tcW w:w="3359" w:type="pct"/>
          </w:tcPr>
          <w:p w14:paraId="68C1CA81" w14:textId="77777777" w:rsidR="00FA2FF9" w:rsidRPr="00730DE4" w:rsidRDefault="00FA2FF9" w:rsidP="009D0A95">
            <w:pPr>
              <w:pStyle w:val="NoSpacing"/>
              <w:rPr>
                <w:lang w:val="en-US"/>
              </w:rPr>
            </w:pPr>
            <w:r w:rsidRPr="00730DE4">
              <w:rPr>
                <w:lang w:val="en-US"/>
              </w:rPr>
              <w:t>Chinchilla Magistrates Court, 90 Heeney Street, Chinchilla QLD 4413</w:t>
            </w:r>
          </w:p>
        </w:tc>
      </w:tr>
      <w:tr w:rsidR="00FA2FF9" w:rsidRPr="00730DE4" w14:paraId="4E14D0A0" w14:textId="77777777" w:rsidTr="00B9757A">
        <w:trPr>
          <w:cnfStyle w:val="000000100000" w:firstRow="0" w:lastRow="0" w:firstColumn="0" w:lastColumn="0" w:oddVBand="0" w:evenVBand="0" w:oddHBand="1" w:evenHBand="0" w:firstRowFirstColumn="0" w:firstRowLastColumn="0" w:lastRowFirstColumn="0" w:lastRowLastColumn="0"/>
        </w:trPr>
        <w:tc>
          <w:tcPr>
            <w:tcW w:w="1641" w:type="pct"/>
          </w:tcPr>
          <w:p w14:paraId="45F02FD0" w14:textId="77777777" w:rsidR="00FA2FF9" w:rsidRPr="00730DE4" w:rsidRDefault="00FA2FF9" w:rsidP="009D0A95">
            <w:pPr>
              <w:pStyle w:val="NoSpacing"/>
              <w:rPr>
                <w:lang w:val="en-US"/>
              </w:rPr>
            </w:pPr>
            <w:r w:rsidRPr="00730DE4">
              <w:rPr>
                <w:lang w:val="en-US"/>
              </w:rPr>
              <w:t>Camooweal QGAP</w:t>
            </w:r>
          </w:p>
        </w:tc>
        <w:tc>
          <w:tcPr>
            <w:tcW w:w="3359" w:type="pct"/>
          </w:tcPr>
          <w:p w14:paraId="2A670AC4" w14:textId="77777777" w:rsidR="00FA2FF9" w:rsidRPr="00730DE4" w:rsidRDefault="00FA2FF9" w:rsidP="009D0A95">
            <w:pPr>
              <w:pStyle w:val="NoSpacing"/>
              <w:rPr>
                <w:lang w:val="en-US"/>
              </w:rPr>
            </w:pPr>
            <w:r w:rsidRPr="00730DE4">
              <w:rPr>
                <w:lang w:val="en-US"/>
              </w:rPr>
              <w:t>Barkly Street, Camooweal QLD 4828</w:t>
            </w:r>
          </w:p>
        </w:tc>
      </w:tr>
      <w:tr w:rsidR="00FA2FF9" w:rsidRPr="00730DE4" w14:paraId="6B578EA1" w14:textId="77777777" w:rsidTr="00B9757A">
        <w:tc>
          <w:tcPr>
            <w:tcW w:w="1641" w:type="pct"/>
          </w:tcPr>
          <w:p w14:paraId="0F9478A6" w14:textId="77777777" w:rsidR="00FA2FF9" w:rsidRPr="00730DE4" w:rsidRDefault="00FA2FF9" w:rsidP="009D0A95">
            <w:pPr>
              <w:pStyle w:val="NoSpacing"/>
              <w:rPr>
                <w:lang w:val="en-US"/>
              </w:rPr>
            </w:pPr>
            <w:r w:rsidRPr="00730DE4">
              <w:rPr>
                <w:lang w:val="en-US"/>
              </w:rPr>
              <w:t>Clermont QGAP (TMR led)</w:t>
            </w:r>
          </w:p>
        </w:tc>
        <w:tc>
          <w:tcPr>
            <w:tcW w:w="3359" w:type="pct"/>
          </w:tcPr>
          <w:p w14:paraId="4DE528B5" w14:textId="77777777" w:rsidR="00FA2FF9" w:rsidRPr="00730DE4" w:rsidRDefault="00FA2FF9" w:rsidP="009D0A95">
            <w:pPr>
              <w:pStyle w:val="NoSpacing"/>
              <w:rPr>
                <w:lang w:val="en-US"/>
              </w:rPr>
            </w:pPr>
            <w:r w:rsidRPr="00730DE4">
              <w:rPr>
                <w:lang w:val="en-US"/>
              </w:rPr>
              <w:t>Clermont Magistrates Court, 44 Daintree Street, Clermont QLD 4721</w:t>
            </w:r>
          </w:p>
        </w:tc>
      </w:tr>
      <w:tr w:rsidR="00FA2FF9" w:rsidRPr="00730DE4" w14:paraId="7A4806D9" w14:textId="77777777" w:rsidTr="00B9757A">
        <w:trPr>
          <w:cnfStyle w:val="000000100000" w:firstRow="0" w:lastRow="0" w:firstColumn="0" w:lastColumn="0" w:oddVBand="0" w:evenVBand="0" w:oddHBand="1" w:evenHBand="0" w:firstRowFirstColumn="0" w:firstRowLastColumn="0" w:lastRowFirstColumn="0" w:lastRowLastColumn="0"/>
        </w:trPr>
        <w:tc>
          <w:tcPr>
            <w:tcW w:w="1641" w:type="pct"/>
          </w:tcPr>
          <w:p w14:paraId="19079F64" w14:textId="77777777" w:rsidR="00FA2FF9" w:rsidRPr="00730DE4" w:rsidRDefault="00FA2FF9" w:rsidP="009D0A95">
            <w:pPr>
              <w:pStyle w:val="NoSpacing"/>
              <w:rPr>
                <w:lang w:val="en-US"/>
              </w:rPr>
            </w:pPr>
            <w:r w:rsidRPr="00730DE4">
              <w:rPr>
                <w:lang w:val="en-US"/>
              </w:rPr>
              <w:t>Collinsville QGAP</w:t>
            </w:r>
          </w:p>
        </w:tc>
        <w:tc>
          <w:tcPr>
            <w:tcW w:w="3359" w:type="pct"/>
          </w:tcPr>
          <w:p w14:paraId="547A7E31" w14:textId="77777777" w:rsidR="00FA2FF9" w:rsidRPr="00730DE4" w:rsidRDefault="00FA2FF9" w:rsidP="009D0A95">
            <w:pPr>
              <w:pStyle w:val="NoSpacing"/>
              <w:rPr>
                <w:lang w:val="en-US"/>
              </w:rPr>
            </w:pPr>
            <w:r w:rsidRPr="00730DE4">
              <w:rPr>
                <w:lang w:val="en-US"/>
              </w:rPr>
              <w:t>64 Sonoma Street, Collinsville QLD 4804</w:t>
            </w:r>
          </w:p>
        </w:tc>
      </w:tr>
      <w:tr w:rsidR="00FA2FF9" w:rsidRPr="00730DE4" w14:paraId="5CBFAAD6" w14:textId="77777777" w:rsidTr="00B9757A">
        <w:tc>
          <w:tcPr>
            <w:tcW w:w="1641" w:type="pct"/>
          </w:tcPr>
          <w:p w14:paraId="383BA5FF" w14:textId="77777777" w:rsidR="00FA2FF9" w:rsidRPr="00730DE4" w:rsidRDefault="00FA2FF9" w:rsidP="009D0A95">
            <w:pPr>
              <w:pStyle w:val="NoSpacing"/>
              <w:rPr>
                <w:lang w:val="en-US"/>
              </w:rPr>
            </w:pPr>
            <w:r w:rsidRPr="00730DE4">
              <w:rPr>
                <w:lang w:val="en-US"/>
              </w:rPr>
              <w:t>Cooktown QGAP</w:t>
            </w:r>
          </w:p>
        </w:tc>
        <w:tc>
          <w:tcPr>
            <w:tcW w:w="3359" w:type="pct"/>
          </w:tcPr>
          <w:p w14:paraId="635C0884" w14:textId="77777777" w:rsidR="00FA2FF9" w:rsidRPr="00730DE4" w:rsidRDefault="00FA2FF9" w:rsidP="009D0A95">
            <w:pPr>
              <w:pStyle w:val="NoSpacing"/>
              <w:rPr>
                <w:lang w:val="en-US"/>
              </w:rPr>
            </w:pPr>
            <w:r w:rsidRPr="00730DE4">
              <w:rPr>
                <w:lang w:val="en-US"/>
              </w:rPr>
              <w:t>172 Charlotte Street, Cooktown QLD 4895</w:t>
            </w:r>
          </w:p>
        </w:tc>
      </w:tr>
      <w:tr w:rsidR="00FA2FF9" w:rsidRPr="00730DE4" w14:paraId="0E58ADFD" w14:textId="77777777" w:rsidTr="00B9757A">
        <w:trPr>
          <w:cnfStyle w:val="000000100000" w:firstRow="0" w:lastRow="0" w:firstColumn="0" w:lastColumn="0" w:oddVBand="0" w:evenVBand="0" w:oddHBand="1" w:evenHBand="0" w:firstRowFirstColumn="0" w:firstRowLastColumn="0" w:lastRowFirstColumn="0" w:lastRowLastColumn="0"/>
        </w:trPr>
        <w:tc>
          <w:tcPr>
            <w:tcW w:w="1641" w:type="pct"/>
          </w:tcPr>
          <w:p w14:paraId="4009A963" w14:textId="77777777" w:rsidR="00FA2FF9" w:rsidRPr="00730DE4" w:rsidRDefault="00FA2FF9" w:rsidP="009D0A95">
            <w:pPr>
              <w:pStyle w:val="NoSpacing"/>
              <w:rPr>
                <w:lang w:val="en-US"/>
              </w:rPr>
            </w:pPr>
            <w:r w:rsidRPr="00730DE4">
              <w:rPr>
                <w:lang w:val="en-US"/>
              </w:rPr>
              <w:t>Crow's Nest QGAP</w:t>
            </w:r>
          </w:p>
        </w:tc>
        <w:tc>
          <w:tcPr>
            <w:tcW w:w="3359" w:type="pct"/>
          </w:tcPr>
          <w:p w14:paraId="4DB4060B" w14:textId="77777777" w:rsidR="00FA2FF9" w:rsidRPr="00730DE4" w:rsidRDefault="00FA2FF9" w:rsidP="009D0A95">
            <w:pPr>
              <w:pStyle w:val="NoSpacing"/>
              <w:rPr>
                <w:lang w:val="en-US"/>
              </w:rPr>
            </w:pPr>
            <w:r w:rsidRPr="00730DE4">
              <w:rPr>
                <w:lang w:val="en-US"/>
              </w:rPr>
              <w:t>16 Charlotte Street, Crow's Nest QLD 4355</w:t>
            </w:r>
          </w:p>
        </w:tc>
      </w:tr>
      <w:tr w:rsidR="00FA2FF9" w:rsidRPr="00730DE4" w14:paraId="3BB27143" w14:textId="77777777" w:rsidTr="00B9757A">
        <w:tc>
          <w:tcPr>
            <w:tcW w:w="1641" w:type="pct"/>
          </w:tcPr>
          <w:p w14:paraId="7B177C27" w14:textId="77777777" w:rsidR="00FA2FF9" w:rsidRPr="00730DE4" w:rsidRDefault="00FA2FF9" w:rsidP="009D0A95">
            <w:pPr>
              <w:pStyle w:val="NoSpacing"/>
              <w:rPr>
                <w:lang w:val="en-US"/>
              </w:rPr>
            </w:pPr>
            <w:r w:rsidRPr="00730DE4">
              <w:rPr>
                <w:lang w:val="en-US"/>
              </w:rPr>
              <w:t>Croydon QGAP</w:t>
            </w:r>
          </w:p>
        </w:tc>
        <w:tc>
          <w:tcPr>
            <w:tcW w:w="3359" w:type="pct"/>
          </w:tcPr>
          <w:p w14:paraId="4F02DBAE" w14:textId="77777777" w:rsidR="00FA2FF9" w:rsidRPr="00730DE4" w:rsidRDefault="00FA2FF9" w:rsidP="009D0A95">
            <w:pPr>
              <w:pStyle w:val="NoSpacing"/>
              <w:rPr>
                <w:lang w:val="en-US"/>
              </w:rPr>
            </w:pPr>
            <w:r w:rsidRPr="00730DE4">
              <w:rPr>
                <w:lang w:val="en-US"/>
              </w:rPr>
              <w:t>Samwell Street, Croydon QLD 4871</w:t>
            </w:r>
          </w:p>
        </w:tc>
      </w:tr>
      <w:tr w:rsidR="00FA2FF9" w:rsidRPr="00730DE4" w14:paraId="715DB2A7" w14:textId="77777777" w:rsidTr="00B9757A">
        <w:trPr>
          <w:cnfStyle w:val="000000100000" w:firstRow="0" w:lastRow="0" w:firstColumn="0" w:lastColumn="0" w:oddVBand="0" w:evenVBand="0" w:oddHBand="1" w:evenHBand="0" w:firstRowFirstColumn="0" w:firstRowLastColumn="0" w:lastRowFirstColumn="0" w:lastRowLastColumn="0"/>
        </w:trPr>
        <w:tc>
          <w:tcPr>
            <w:tcW w:w="1641" w:type="pct"/>
          </w:tcPr>
          <w:p w14:paraId="47AFE304" w14:textId="77777777" w:rsidR="00FA2FF9" w:rsidRPr="00730DE4" w:rsidRDefault="00FA2FF9" w:rsidP="009D0A95">
            <w:pPr>
              <w:pStyle w:val="NoSpacing"/>
              <w:rPr>
                <w:lang w:val="en-US"/>
              </w:rPr>
            </w:pPr>
            <w:r w:rsidRPr="00730DE4">
              <w:rPr>
                <w:lang w:val="en-US"/>
              </w:rPr>
              <w:t>Cunnamulla QGAP (TMR led)</w:t>
            </w:r>
          </w:p>
        </w:tc>
        <w:tc>
          <w:tcPr>
            <w:tcW w:w="3359" w:type="pct"/>
          </w:tcPr>
          <w:p w14:paraId="41A4FBD3" w14:textId="77777777" w:rsidR="00FA2FF9" w:rsidRPr="00730DE4" w:rsidRDefault="00FA2FF9" w:rsidP="009D0A95">
            <w:pPr>
              <w:pStyle w:val="NoSpacing"/>
              <w:rPr>
                <w:lang w:val="en-US"/>
              </w:rPr>
            </w:pPr>
            <w:r w:rsidRPr="00730DE4">
              <w:rPr>
                <w:lang w:val="en-US"/>
              </w:rPr>
              <w:t>Cunnamulla Magistrates Court, 5 Stockyard Street, Cunnamulla QLD 4490</w:t>
            </w:r>
          </w:p>
        </w:tc>
      </w:tr>
      <w:tr w:rsidR="00FA2FF9" w:rsidRPr="00730DE4" w14:paraId="18237F26" w14:textId="77777777" w:rsidTr="00B9757A">
        <w:tc>
          <w:tcPr>
            <w:tcW w:w="1641" w:type="pct"/>
          </w:tcPr>
          <w:p w14:paraId="329BAB2D" w14:textId="77777777" w:rsidR="00FA2FF9" w:rsidRPr="00730DE4" w:rsidRDefault="00FA2FF9" w:rsidP="009D0A95">
            <w:pPr>
              <w:pStyle w:val="NoSpacing"/>
              <w:rPr>
                <w:lang w:val="en-US"/>
              </w:rPr>
            </w:pPr>
            <w:r w:rsidRPr="00730DE4">
              <w:rPr>
                <w:lang w:val="en-US"/>
              </w:rPr>
              <w:t>Dirranbandi QGAP</w:t>
            </w:r>
          </w:p>
        </w:tc>
        <w:tc>
          <w:tcPr>
            <w:tcW w:w="3359" w:type="pct"/>
          </w:tcPr>
          <w:p w14:paraId="1902B697" w14:textId="77777777" w:rsidR="00FA2FF9" w:rsidRPr="00730DE4" w:rsidRDefault="00FA2FF9" w:rsidP="009D0A95">
            <w:pPr>
              <w:pStyle w:val="NoSpacing"/>
              <w:rPr>
                <w:lang w:val="en-US"/>
              </w:rPr>
            </w:pPr>
            <w:r w:rsidRPr="00730DE4">
              <w:rPr>
                <w:lang w:val="en-US"/>
              </w:rPr>
              <w:t>35–37 Railway Street, Dirranbandi QLD 4486</w:t>
            </w:r>
          </w:p>
        </w:tc>
      </w:tr>
      <w:tr w:rsidR="00FA2FF9" w:rsidRPr="00730DE4" w14:paraId="6C3971EE" w14:textId="77777777" w:rsidTr="00B9757A">
        <w:trPr>
          <w:cnfStyle w:val="000000100000" w:firstRow="0" w:lastRow="0" w:firstColumn="0" w:lastColumn="0" w:oddVBand="0" w:evenVBand="0" w:oddHBand="1" w:evenHBand="0" w:firstRowFirstColumn="0" w:firstRowLastColumn="0" w:lastRowFirstColumn="0" w:lastRowLastColumn="0"/>
        </w:trPr>
        <w:tc>
          <w:tcPr>
            <w:tcW w:w="1641" w:type="pct"/>
          </w:tcPr>
          <w:p w14:paraId="24D18270" w14:textId="77777777" w:rsidR="00FA2FF9" w:rsidRPr="00730DE4" w:rsidRDefault="00FA2FF9" w:rsidP="009D0A95">
            <w:pPr>
              <w:pStyle w:val="NoSpacing"/>
              <w:rPr>
                <w:lang w:val="en-US"/>
              </w:rPr>
            </w:pPr>
            <w:r w:rsidRPr="00730DE4">
              <w:rPr>
                <w:lang w:val="en-US"/>
              </w:rPr>
              <w:t>Eidsvold QGAP</w:t>
            </w:r>
          </w:p>
        </w:tc>
        <w:tc>
          <w:tcPr>
            <w:tcW w:w="3359" w:type="pct"/>
          </w:tcPr>
          <w:p w14:paraId="1485CDEB" w14:textId="77777777" w:rsidR="00FA2FF9" w:rsidRPr="00730DE4" w:rsidRDefault="00FA2FF9" w:rsidP="009D0A95">
            <w:pPr>
              <w:pStyle w:val="NoSpacing"/>
              <w:rPr>
                <w:lang w:val="en-US"/>
              </w:rPr>
            </w:pPr>
            <w:r w:rsidRPr="00730DE4">
              <w:rPr>
                <w:lang w:val="en-US"/>
              </w:rPr>
              <w:t>48 Moreton St, Eidsvold QLD 4627</w:t>
            </w:r>
          </w:p>
        </w:tc>
      </w:tr>
      <w:tr w:rsidR="00FA2FF9" w:rsidRPr="00730DE4" w14:paraId="2D395CC7" w14:textId="77777777" w:rsidTr="00B9757A">
        <w:tc>
          <w:tcPr>
            <w:tcW w:w="1641" w:type="pct"/>
          </w:tcPr>
          <w:p w14:paraId="72D4B530" w14:textId="77777777" w:rsidR="00FA2FF9" w:rsidRPr="00730DE4" w:rsidRDefault="00FA2FF9" w:rsidP="009D0A95">
            <w:pPr>
              <w:pStyle w:val="NoSpacing"/>
              <w:rPr>
                <w:lang w:val="en-US"/>
              </w:rPr>
            </w:pPr>
            <w:r w:rsidRPr="00730DE4">
              <w:rPr>
                <w:lang w:val="en-US"/>
              </w:rPr>
              <w:t>Gatton QGAP (TMR led)</w:t>
            </w:r>
          </w:p>
        </w:tc>
        <w:tc>
          <w:tcPr>
            <w:tcW w:w="3359" w:type="pct"/>
          </w:tcPr>
          <w:p w14:paraId="6537EAD8" w14:textId="77777777" w:rsidR="00FA2FF9" w:rsidRPr="00730DE4" w:rsidRDefault="00FA2FF9" w:rsidP="009D0A95">
            <w:pPr>
              <w:pStyle w:val="NoSpacing"/>
              <w:rPr>
                <w:lang w:val="en-US"/>
              </w:rPr>
            </w:pPr>
            <w:r w:rsidRPr="00730DE4">
              <w:rPr>
                <w:lang w:val="en-US"/>
              </w:rPr>
              <w:t>7 William Street, Gatton, Qld, 4343</w:t>
            </w:r>
          </w:p>
        </w:tc>
      </w:tr>
      <w:tr w:rsidR="00FA2FF9" w:rsidRPr="00730DE4" w14:paraId="1E16346B" w14:textId="77777777" w:rsidTr="00B9757A">
        <w:trPr>
          <w:cnfStyle w:val="000000100000" w:firstRow="0" w:lastRow="0" w:firstColumn="0" w:lastColumn="0" w:oddVBand="0" w:evenVBand="0" w:oddHBand="1" w:evenHBand="0" w:firstRowFirstColumn="0" w:firstRowLastColumn="0" w:lastRowFirstColumn="0" w:lastRowLastColumn="0"/>
        </w:trPr>
        <w:tc>
          <w:tcPr>
            <w:tcW w:w="1641" w:type="pct"/>
          </w:tcPr>
          <w:p w14:paraId="0CA8FEE2" w14:textId="77777777" w:rsidR="00FA2FF9" w:rsidRPr="00730DE4" w:rsidRDefault="00FA2FF9" w:rsidP="009D0A95">
            <w:pPr>
              <w:pStyle w:val="NoSpacing"/>
              <w:rPr>
                <w:lang w:val="en-US"/>
              </w:rPr>
            </w:pPr>
            <w:r w:rsidRPr="00730DE4">
              <w:rPr>
                <w:lang w:val="en-US"/>
              </w:rPr>
              <w:t>Gayndah QGAP (TMR led)</w:t>
            </w:r>
          </w:p>
        </w:tc>
        <w:tc>
          <w:tcPr>
            <w:tcW w:w="3359" w:type="pct"/>
          </w:tcPr>
          <w:p w14:paraId="4A46ED9B" w14:textId="77777777" w:rsidR="00FA2FF9" w:rsidRPr="00730DE4" w:rsidRDefault="00FA2FF9" w:rsidP="009D0A95">
            <w:pPr>
              <w:pStyle w:val="NoSpacing"/>
              <w:rPr>
                <w:lang w:val="en-US"/>
              </w:rPr>
            </w:pPr>
            <w:r w:rsidRPr="00730DE4">
              <w:rPr>
                <w:lang w:val="en-US"/>
              </w:rPr>
              <w:t>Gayndah Magistrates Court, 20 Capper Street, Gayndah QLD 4625</w:t>
            </w:r>
          </w:p>
        </w:tc>
      </w:tr>
      <w:tr w:rsidR="00FA2FF9" w:rsidRPr="00730DE4" w14:paraId="7E1E3102" w14:textId="77777777" w:rsidTr="00B9757A">
        <w:tc>
          <w:tcPr>
            <w:tcW w:w="1641" w:type="pct"/>
          </w:tcPr>
          <w:p w14:paraId="54E5AFEE" w14:textId="77777777" w:rsidR="00FA2FF9" w:rsidRPr="00730DE4" w:rsidRDefault="00FA2FF9" w:rsidP="009D0A95">
            <w:pPr>
              <w:pStyle w:val="NoSpacing"/>
              <w:rPr>
                <w:lang w:val="en-US"/>
              </w:rPr>
            </w:pPr>
            <w:r w:rsidRPr="00730DE4">
              <w:rPr>
                <w:lang w:val="en-US"/>
              </w:rPr>
              <w:t>Georgetown QGAP</w:t>
            </w:r>
          </w:p>
        </w:tc>
        <w:tc>
          <w:tcPr>
            <w:tcW w:w="3359" w:type="pct"/>
          </w:tcPr>
          <w:p w14:paraId="0A9B2D1C" w14:textId="77777777" w:rsidR="00FA2FF9" w:rsidRPr="00730DE4" w:rsidRDefault="00FA2FF9" w:rsidP="009D0A95">
            <w:pPr>
              <w:pStyle w:val="NoSpacing"/>
              <w:rPr>
                <w:lang w:val="en-US"/>
              </w:rPr>
            </w:pPr>
            <w:r w:rsidRPr="00730DE4">
              <w:rPr>
                <w:lang w:val="en-US"/>
              </w:rPr>
              <w:t>12 High Street, Georgetown QLD 4871</w:t>
            </w:r>
          </w:p>
        </w:tc>
      </w:tr>
      <w:tr w:rsidR="00FA2FF9" w:rsidRPr="00730DE4" w14:paraId="00471FF1" w14:textId="77777777" w:rsidTr="00B9757A">
        <w:trPr>
          <w:cnfStyle w:val="000000100000" w:firstRow="0" w:lastRow="0" w:firstColumn="0" w:lastColumn="0" w:oddVBand="0" w:evenVBand="0" w:oddHBand="1" w:evenHBand="0" w:firstRowFirstColumn="0" w:firstRowLastColumn="0" w:lastRowFirstColumn="0" w:lastRowLastColumn="0"/>
        </w:trPr>
        <w:tc>
          <w:tcPr>
            <w:tcW w:w="1641" w:type="pct"/>
          </w:tcPr>
          <w:p w14:paraId="674B0F83" w14:textId="77777777" w:rsidR="00FA2FF9" w:rsidRPr="00730DE4" w:rsidRDefault="00FA2FF9" w:rsidP="009D0A95">
            <w:pPr>
              <w:pStyle w:val="NoSpacing"/>
              <w:rPr>
                <w:lang w:val="en-US"/>
              </w:rPr>
            </w:pPr>
            <w:r w:rsidRPr="00730DE4">
              <w:rPr>
                <w:lang w:val="en-US"/>
              </w:rPr>
              <w:t>Goombungee QGAP</w:t>
            </w:r>
          </w:p>
        </w:tc>
        <w:tc>
          <w:tcPr>
            <w:tcW w:w="3359" w:type="pct"/>
          </w:tcPr>
          <w:p w14:paraId="459F031C" w14:textId="77777777" w:rsidR="00FA2FF9" w:rsidRPr="00730DE4" w:rsidRDefault="00FA2FF9" w:rsidP="009D0A95">
            <w:pPr>
              <w:pStyle w:val="NoSpacing"/>
              <w:rPr>
                <w:lang w:val="en-US"/>
              </w:rPr>
            </w:pPr>
            <w:r w:rsidRPr="00730DE4">
              <w:rPr>
                <w:lang w:val="en-US"/>
              </w:rPr>
              <w:t>89 Mocatta Street, Goombungee QLD 4354</w:t>
            </w:r>
          </w:p>
        </w:tc>
      </w:tr>
      <w:tr w:rsidR="00FA2FF9" w:rsidRPr="00730DE4" w14:paraId="632B78BB" w14:textId="77777777" w:rsidTr="00B9757A">
        <w:tc>
          <w:tcPr>
            <w:tcW w:w="1641" w:type="pct"/>
          </w:tcPr>
          <w:p w14:paraId="43A12110" w14:textId="77777777" w:rsidR="00FA2FF9" w:rsidRPr="00730DE4" w:rsidRDefault="00FA2FF9" w:rsidP="009D0A95">
            <w:pPr>
              <w:pStyle w:val="NoSpacing"/>
              <w:rPr>
                <w:lang w:val="en-US"/>
              </w:rPr>
            </w:pPr>
            <w:r w:rsidRPr="00730DE4">
              <w:rPr>
                <w:lang w:val="en-US"/>
              </w:rPr>
              <w:t>Herberton QGAP</w:t>
            </w:r>
          </w:p>
        </w:tc>
        <w:tc>
          <w:tcPr>
            <w:tcW w:w="3359" w:type="pct"/>
          </w:tcPr>
          <w:p w14:paraId="177E4BB7" w14:textId="77777777" w:rsidR="00FA2FF9" w:rsidRPr="00730DE4" w:rsidRDefault="00FA2FF9" w:rsidP="009D0A95">
            <w:pPr>
              <w:pStyle w:val="NoSpacing"/>
              <w:rPr>
                <w:lang w:val="en-US"/>
              </w:rPr>
            </w:pPr>
            <w:r w:rsidRPr="00730DE4">
              <w:rPr>
                <w:lang w:val="en-US"/>
              </w:rPr>
              <w:t>56 Grace Street, Herberton QLD 4887</w:t>
            </w:r>
          </w:p>
        </w:tc>
      </w:tr>
      <w:tr w:rsidR="00FA2FF9" w:rsidRPr="00730DE4" w14:paraId="56B04423" w14:textId="77777777" w:rsidTr="00B9757A">
        <w:trPr>
          <w:cnfStyle w:val="000000100000" w:firstRow="0" w:lastRow="0" w:firstColumn="0" w:lastColumn="0" w:oddVBand="0" w:evenVBand="0" w:oddHBand="1" w:evenHBand="0" w:firstRowFirstColumn="0" w:firstRowLastColumn="0" w:lastRowFirstColumn="0" w:lastRowLastColumn="0"/>
        </w:trPr>
        <w:tc>
          <w:tcPr>
            <w:tcW w:w="1641" w:type="pct"/>
          </w:tcPr>
          <w:p w14:paraId="15C38231" w14:textId="77777777" w:rsidR="00FA2FF9" w:rsidRPr="00730DE4" w:rsidRDefault="00FA2FF9" w:rsidP="009D0A95">
            <w:pPr>
              <w:pStyle w:val="NoSpacing"/>
              <w:rPr>
                <w:lang w:val="en-US"/>
              </w:rPr>
            </w:pPr>
            <w:r w:rsidRPr="00730DE4">
              <w:rPr>
                <w:lang w:val="en-US"/>
              </w:rPr>
              <w:t>Hughenden QGAP</w:t>
            </w:r>
          </w:p>
        </w:tc>
        <w:tc>
          <w:tcPr>
            <w:tcW w:w="3359" w:type="pct"/>
          </w:tcPr>
          <w:p w14:paraId="086646A1" w14:textId="77777777" w:rsidR="00FA2FF9" w:rsidRPr="00730DE4" w:rsidRDefault="00FA2FF9" w:rsidP="009D0A95">
            <w:pPr>
              <w:pStyle w:val="NoSpacing"/>
              <w:rPr>
                <w:lang w:val="en-US"/>
              </w:rPr>
            </w:pPr>
            <w:r w:rsidRPr="00730DE4">
              <w:rPr>
                <w:lang w:val="en-US"/>
              </w:rPr>
              <w:t>65 Brodie Street, Hughenden QLD 4821</w:t>
            </w:r>
          </w:p>
        </w:tc>
      </w:tr>
      <w:tr w:rsidR="00FA2FF9" w:rsidRPr="00730DE4" w14:paraId="0D61934F" w14:textId="77777777" w:rsidTr="00B9757A">
        <w:tc>
          <w:tcPr>
            <w:tcW w:w="1641" w:type="pct"/>
          </w:tcPr>
          <w:p w14:paraId="4332CEA7" w14:textId="77777777" w:rsidR="00FA2FF9" w:rsidRPr="00730DE4" w:rsidRDefault="00FA2FF9" w:rsidP="009D0A95">
            <w:pPr>
              <w:pStyle w:val="NoSpacing"/>
              <w:rPr>
                <w:lang w:val="en-US"/>
              </w:rPr>
            </w:pPr>
            <w:r w:rsidRPr="00730DE4">
              <w:rPr>
                <w:lang w:val="en-US"/>
              </w:rPr>
              <w:t>Ingham QGAP (TMR led)</w:t>
            </w:r>
          </w:p>
        </w:tc>
        <w:tc>
          <w:tcPr>
            <w:tcW w:w="3359" w:type="pct"/>
          </w:tcPr>
          <w:p w14:paraId="0F2EB1A4" w14:textId="77777777" w:rsidR="00FA2FF9" w:rsidRPr="00730DE4" w:rsidRDefault="00FA2FF9" w:rsidP="009D0A95">
            <w:pPr>
              <w:pStyle w:val="NoSpacing"/>
              <w:rPr>
                <w:lang w:val="en-US"/>
              </w:rPr>
            </w:pPr>
            <w:r w:rsidRPr="00730DE4">
              <w:rPr>
                <w:lang w:val="en-US"/>
              </w:rPr>
              <w:t>Ingham Magistrates Court, 35 Palm Terrace, Ingham QLD 4850</w:t>
            </w:r>
          </w:p>
        </w:tc>
      </w:tr>
      <w:tr w:rsidR="00FA2FF9" w:rsidRPr="00730DE4" w14:paraId="634EEDEB" w14:textId="77777777" w:rsidTr="00B9757A">
        <w:trPr>
          <w:cnfStyle w:val="000000100000" w:firstRow="0" w:lastRow="0" w:firstColumn="0" w:lastColumn="0" w:oddVBand="0" w:evenVBand="0" w:oddHBand="1" w:evenHBand="0" w:firstRowFirstColumn="0" w:firstRowLastColumn="0" w:lastRowFirstColumn="0" w:lastRowLastColumn="0"/>
        </w:trPr>
        <w:tc>
          <w:tcPr>
            <w:tcW w:w="1641" w:type="pct"/>
          </w:tcPr>
          <w:p w14:paraId="735CF00C" w14:textId="77777777" w:rsidR="00FA2FF9" w:rsidRPr="00730DE4" w:rsidRDefault="00FA2FF9" w:rsidP="009D0A95">
            <w:pPr>
              <w:pStyle w:val="NoSpacing"/>
              <w:rPr>
                <w:lang w:val="en-US"/>
              </w:rPr>
            </w:pPr>
            <w:r w:rsidRPr="00730DE4">
              <w:rPr>
                <w:lang w:val="en-US"/>
              </w:rPr>
              <w:t>Inglewood QGAP (TMR led)</w:t>
            </w:r>
          </w:p>
        </w:tc>
        <w:tc>
          <w:tcPr>
            <w:tcW w:w="3359" w:type="pct"/>
          </w:tcPr>
          <w:p w14:paraId="4F71FEF5" w14:textId="77777777" w:rsidR="00FA2FF9" w:rsidRPr="00730DE4" w:rsidRDefault="00FA2FF9" w:rsidP="009D0A95">
            <w:pPr>
              <w:pStyle w:val="NoSpacing"/>
              <w:rPr>
                <w:lang w:val="en-US"/>
              </w:rPr>
            </w:pPr>
            <w:r w:rsidRPr="00730DE4">
              <w:rPr>
                <w:lang w:val="en-US"/>
              </w:rPr>
              <w:t>25 Albert Street, Inglewood QLD 4387</w:t>
            </w:r>
          </w:p>
        </w:tc>
      </w:tr>
      <w:tr w:rsidR="00FA2FF9" w:rsidRPr="00730DE4" w14:paraId="0A68AC46" w14:textId="77777777" w:rsidTr="00B9757A">
        <w:tc>
          <w:tcPr>
            <w:tcW w:w="1641" w:type="pct"/>
          </w:tcPr>
          <w:p w14:paraId="660A464E" w14:textId="77777777" w:rsidR="00FA2FF9" w:rsidRPr="00730DE4" w:rsidRDefault="00FA2FF9" w:rsidP="009D0A95">
            <w:pPr>
              <w:pStyle w:val="NoSpacing"/>
              <w:rPr>
                <w:lang w:val="en-US"/>
              </w:rPr>
            </w:pPr>
            <w:r w:rsidRPr="00730DE4">
              <w:rPr>
                <w:lang w:val="en-US"/>
              </w:rPr>
              <w:t>Injune QGAP</w:t>
            </w:r>
          </w:p>
        </w:tc>
        <w:tc>
          <w:tcPr>
            <w:tcW w:w="3359" w:type="pct"/>
          </w:tcPr>
          <w:p w14:paraId="33381ACB" w14:textId="77777777" w:rsidR="00FA2FF9" w:rsidRPr="00730DE4" w:rsidRDefault="00FA2FF9" w:rsidP="009D0A95">
            <w:pPr>
              <w:pStyle w:val="NoSpacing"/>
              <w:rPr>
                <w:lang w:val="en-US"/>
              </w:rPr>
            </w:pPr>
            <w:r w:rsidRPr="00730DE4">
              <w:rPr>
                <w:lang w:val="en-US"/>
              </w:rPr>
              <w:t>Hutton Street, Injune QLD 4454</w:t>
            </w:r>
          </w:p>
        </w:tc>
      </w:tr>
      <w:tr w:rsidR="00FA2FF9" w:rsidRPr="00730DE4" w14:paraId="4044B310" w14:textId="77777777" w:rsidTr="00B9757A">
        <w:trPr>
          <w:cnfStyle w:val="000000100000" w:firstRow="0" w:lastRow="0" w:firstColumn="0" w:lastColumn="0" w:oddVBand="0" w:evenVBand="0" w:oddHBand="1" w:evenHBand="0" w:firstRowFirstColumn="0" w:firstRowLastColumn="0" w:lastRowFirstColumn="0" w:lastRowLastColumn="0"/>
        </w:trPr>
        <w:tc>
          <w:tcPr>
            <w:tcW w:w="1641" w:type="pct"/>
          </w:tcPr>
          <w:p w14:paraId="6CA5BAB1" w14:textId="77777777" w:rsidR="00FA2FF9" w:rsidRPr="00730DE4" w:rsidRDefault="00FA2FF9" w:rsidP="009D0A95">
            <w:pPr>
              <w:pStyle w:val="NoSpacing"/>
              <w:rPr>
                <w:lang w:val="en-US"/>
              </w:rPr>
            </w:pPr>
            <w:r w:rsidRPr="00730DE4">
              <w:rPr>
                <w:lang w:val="en-US"/>
              </w:rPr>
              <w:t>Isisford QGAP</w:t>
            </w:r>
          </w:p>
        </w:tc>
        <w:tc>
          <w:tcPr>
            <w:tcW w:w="3359" w:type="pct"/>
          </w:tcPr>
          <w:p w14:paraId="2CF7FA29" w14:textId="77777777" w:rsidR="00FA2FF9" w:rsidRPr="00730DE4" w:rsidRDefault="00FA2FF9" w:rsidP="009D0A95">
            <w:pPr>
              <w:pStyle w:val="NoSpacing"/>
              <w:rPr>
                <w:lang w:val="en-US"/>
              </w:rPr>
            </w:pPr>
            <w:r w:rsidRPr="00730DE4">
              <w:rPr>
                <w:lang w:val="en-US"/>
              </w:rPr>
              <w:t>Police Station, St Mary Street, Isisford QLD 4731</w:t>
            </w:r>
          </w:p>
        </w:tc>
      </w:tr>
      <w:tr w:rsidR="00FA2FF9" w:rsidRPr="00730DE4" w14:paraId="1B801EFB" w14:textId="77777777" w:rsidTr="00B9757A">
        <w:tc>
          <w:tcPr>
            <w:tcW w:w="1641" w:type="pct"/>
          </w:tcPr>
          <w:p w14:paraId="2696412F" w14:textId="77777777" w:rsidR="00FA2FF9" w:rsidRPr="00730DE4" w:rsidRDefault="00FA2FF9" w:rsidP="009D0A95">
            <w:pPr>
              <w:pStyle w:val="NoSpacing"/>
              <w:rPr>
                <w:lang w:val="en-US"/>
              </w:rPr>
            </w:pPr>
            <w:r w:rsidRPr="00730DE4">
              <w:rPr>
                <w:lang w:val="en-US"/>
              </w:rPr>
              <w:t>Jandowae QGAP</w:t>
            </w:r>
          </w:p>
        </w:tc>
        <w:tc>
          <w:tcPr>
            <w:tcW w:w="3359" w:type="pct"/>
          </w:tcPr>
          <w:p w14:paraId="6D4F6FC7" w14:textId="77777777" w:rsidR="00FA2FF9" w:rsidRPr="00730DE4" w:rsidRDefault="00FA2FF9" w:rsidP="009D0A95">
            <w:pPr>
              <w:pStyle w:val="NoSpacing"/>
              <w:rPr>
                <w:lang w:val="en-US"/>
              </w:rPr>
            </w:pPr>
            <w:r w:rsidRPr="00730DE4">
              <w:rPr>
                <w:lang w:val="en-US"/>
              </w:rPr>
              <w:t>Cnr George &amp; High Sts, Jandowae QLD 4410</w:t>
            </w:r>
          </w:p>
        </w:tc>
      </w:tr>
      <w:tr w:rsidR="00FA2FF9" w:rsidRPr="00730DE4" w14:paraId="39B6ED71" w14:textId="77777777" w:rsidTr="00B9757A">
        <w:trPr>
          <w:cnfStyle w:val="000000100000" w:firstRow="0" w:lastRow="0" w:firstColumn="0" w:lastColumn="0" w:oddVBand="0" w:evenVBand="0" w:oddHBand="1" w:evenHBand="0" w:firstRowFirstColumn="0" w:firstRowLastColumn="0" w:lastRowFirstColumn="0" w:lastRowLastColumn="0"/>
        </w:trPr>
        <w:tc>
          <w:tcPr>
            <w:tcW w:w="1641" w:type="pct"/>
          </w:tcPr>
          <w:p w14:paraId="1D313610" w14:textId="77777777" w:rsidR="00FA2FF9" w:rsidRPr="00730DE4" w:rsidRDefault="00FA2FF9" w:rsidP="009D0A95">
            <w:pPr>
              <w:pStyle w:val="NoSpacing"/>
              <w:rPr>
                <w:lang w:val="en-US"/>
              </w:rPr>
            </w:pPr>
            <w:r w:rsidRPr="00730DE4">
              <w:rPr>
                <w:lang w:val="en-US"/>
              </w:rPr>
              <w:t>Julia Creek QGAP (TMR led)</w:t>
            </w:r>
          </w:p>
        </w:tc>
        <w:tc>
          <w:tcPr>
            <w:tcW w:w="3359" w:type="pct"/>
          </w:tcPr>
          <w:p w14:paraId="03F3C41B" w14:textId="77777777" w:rsidR="00FA2FF9" w:rsidRPr="00730DE4" w:rsidRDefault="00FA2FF9" w:rsidP="009D0A95">
            <w:pPr>
              <w:pStyle w:val="NoSpacing"/>
              <w:rPr>
                <w:lang w:val="en-US"/>
              </w:rPr>
            </w:pPr>
            <w:r w:rsidRPr="00730DE4">
              <w:rPr>
                <w:lang w:val="en-US"/>
              </w:rPr>
              <w:t>Julia Creek Magistrates Court, 14 Burke Street, Julia Creek QLD 4823</w:t>
            </w:r>
          </w:p>
        </w:tc>
      </w:tr>
      <w:tr w:rsidR="00FA2FF9" w:rsidRPr="00730DE4" w14:paraId="54BB9436" w14:textId="77777777" w:rsidTr="00B9757A">
        <w:tc>
          <w:tcPr>
            <w:tcW w:w="1641" w:type="pct"/>
          </w:tcPr>
          <w:p w14:paraId="39BFD348" w14:textId="77777777" w:rsidR="00FA2FF9" w:rsidRPr="00730DE4" w:rsidRDefault="00FA2FF9" w:rsidP="009D0A95">
            <w:pPr>
              <w:pStyle w:val="NoSpacing"/>
              <w:rPr>
                <w:lang w:val="en-US"/>
              </w:rPr>
            </w:pPr>
            <w:r w:rsidRPr="00730DE4">
              <w:rPr>
                <w:lang w:val="en-US"/>
              </w:rPr>
              <w:t>Jundah QGAP</w:t>
            </w:r>
          </w:p>
        </w:tc>
        <w:tc>
          <w:tcPr>
            <w:tcW w:w="3359" w:type="pct"/>
          </w:tcPr>
          <w:p w14:paraId="0F1932B9" w14:textId="77777777" w:rsidR="00FA2FF9" w:rsidRPr="00730DE4" w:rsidRDefault="00FA2FF9" w:rsidP="009D0A95">
            <w:pPr>
              <w:pStyle w:val="NoSpacing"/>
              <w:rPr>
                <w:lang w:val="en-US"/>
              </w:rPr>
            </w:pPr>
            <w:r w:rsidRPr="00730DE4">
              <w:rPr>
                <w:lang w:val="en-US"/>
              </w:rPr>
              <w:t>Police Station, Dickson Street, Jundah QLD 4736</w:t>
            </w:r>
          </w:p>
        </w:tc>
      </w:tr>
      <w:tr w:rsidR="00FA2FF9" w:rsidRPr="00730DE4" w14:paraId="04F68E55" w14:textId="77777777" w:rsidTr="00B9757A">
        <w:trPr>
          <w:cnfStyle w:val="000000100000" w:firstRow="0" w:lastRow="0" w:firstColumn="0" w:lastColumn="0" w:oddVBand="0" w:evenVBand="0" w:oddHBand="1" w:evenHBand="0" w:firstRowFirstColumn="0" w:firstRowLastColumn="0" w:lastRowFirstColumn="0" w:lastRowLastColumn="0"/>
        </w:trPr>
        <w:tc>
          <w:tcPr>
            <w:tcW w:w="1641" w:type="pct"/>
          </w:tcPr>
          <w:p w14:paraId="3B31AD84" w14:textId="77777777" w:rsidR="00FA2FF9" w:rsidRPr="00730DE4" w:rsidRDefault="00FA2FF9" w:rsidP="009D0A95">
            <w:pPr>
              <w:pStyle w:val="NoSpacing"/>
              <w:rPr>
                <w:lang w:val="en-US"/>
              </w:rPr>
            </w:pPr>
            <w:r w:rsidRPr="00730DE4">
              <w:rPr>
                <w:lang w:val="en-US"/>
              </w:rPr>
              <w:t>Kilkivan QGAP</w:t>
            </w:r>
          </w:p>
        </w:tc>
        <w:tc>
          <w:tcPr>
            <w:tcW w:w="3359" w:type="pct"/>
          </w:tcPr>
          <w:p w14:paraId="7BDA68E2" w14:textId="77777777" w:rsidR="00FA2FF9" w:rsidRPr="00730DE4" w:rsidRDefault="00FA2FF9" w:rsidP="009D0A95">
            <w:pPr>
              <w:pStyle w:val="NoSpacing"/>
              <w:rPr>
                <w:lang w:val="en-US"/>
              </w:rPr>
            </w:pPr>
            <w:r w:rsidRPr="00730DE4">
              <w:rPr>
                <w:lang w:val="en-US"/>
              </w:rPr>
              <w:t>26 Bligh Street, Kilkivan QLD 4600</w:t>
            </w:r>
          </w:p>
        </w:tc>
      </w:tr>
      <w:tr w:rsidR="00FA2FF9" w:rsidRPr="00730DE4" w14:paraId="2A179422" w14:textId="77777777" w:rsidTr="00B9757A">
        <w:tc>
          <w:tcPr>
            <w:tcW w:w="1641" w:type="pct"/>
          </w:tcPr>
          <w:p w14:paraId="01BEF979" w14:textId="77777777" w:rsidR="00FA2FF9" w:rsidRPr="00730DE4" w:rsidRDefault="00FA2FF9" w:rsidP="009D0A95">
            <w:pPr>
              <w:pStyle w:val="NoSpacing"/>
              <w:rPr>
                <w:lang w:val="en-US"/>
              </w:rPr>
            </w:pPr>
            <w:r w:rsidRPr="00730DE4">
              <w:rPr>
                <w:lang w:val="en-US"/>
              </w:rPr>
              <w:t>Laidley QGAP</w:t>
            </w:r>
          </w:p>
        </w:tc>
        <w:tc>
          <w:tcPr>
            <w:tcW w:w="3359" w:type="pct"/>
          </w:tcPr>
          <w:p w14:paraId="167538FA" w14:textId="77777777" w:rsidR="00FA2FF9" w:rsidRPr="00730DE4" w:rsidRDefault="00FA2FF9" w:rsidP="009D0A95">
            <w:pPr>
              <w:pStyle w:val="NoSpacing"/>
              <w:rPr>
                <w:lang w:val="en-US"/>
              </w:rPr>
            </w:pPr>
            <w:r w:rsidRPr="00730DE4">
              <w:rPr>
                <w:lang w:val="en-US"/>
              </w:rPr>
              <w:t>9 Spicer Street, Laidley QLD 4341</w:t>
            </w:r>
          </w:p>
        </w:tc>
      </w:tr>
      <w:tr w:rsidR="00FA2FF9" w:rsidRPr="00730DE4" w14:paraId="4A75B3C7" w14:textId="77777777" w:rsidTr="00B9757A">
        <w:trPr>
          <w:cnfStyle w:val="000000100000" w:firstRow="0" w:lastRow="0" w:firstColumn="0" w:lastColumn="0" w:oddVBand="0" w:evenVBand="0" w:oddHBand="1" w:evenHBand="0" w:firstRowFirstColumn="0" w:firstRowLastColumn="0" w:lastRowFirstColumn="0" w:lastRowLastColumn="0"/>
        </w:trPr>
        <w:tc>
          <w:tcPr>
            <w:tcW w:w="1641" w:type="pct"/>
          </w:tcPr>
          <w:p w14:paraId="659AA781" w14:textId="77777777" w:rsidR="00FA2FF9" w:rsidRPr="00730DE4" w:rsidRDefault="00FA2FF9" w:rsidP="009D0A95">
            <w:pPr>
              <w:pStyle w:val="NoSpacing"/>
              <w:rPr>
                <w:lang w:val="en-US"/>
              </w:rPr>
            </w:pPr>
            <w:r w:rsidRPr="00730DE4">
              <w:rPr>
                <w:lang w:val="en-US"/>
              </w:rPr>
              <w:t>Landsborough QGAP (TMR led)</w:t>
            </w:r>
          </w:p>
        </w:tc>
        <w:tc>
          <w:tcPr>
            <w:tcW w:w="3359" w:type="pct"/>
          </w:tcPr>
          <w:p w14:paraId="7918E0D1" w14:textId="77777777" w:rsidR="00FA2FF9" w:rsidRPr="00730DE4" w:rsidRDefault="00FA2FF9" w:rsidP="009D0A95">
            <w:pPr>
              <w:pStyle w:val="NoSpacing"/>
              <w:rPr>
                <w:lang w:val="en-US"/>
              </w:rPr>
            </w:pPr>
            <w:r w:rsidRPr="00730DE4">
              <w:rPr>
                <w:lang w:val="en-US"/>
              </w:rPr>
              <w:t>Landsborough Magistrates Court, 12 Caloundra Street, Landsborough QLD 4550</w:t>
            </w:r>
          </w:p>
        </w:tc>
      </w:tr>
      <w:tr w:rsidR="00FA2FF9" w:rsidRPr="00730DE4" w14:paraId="51ABCC98" w14:textId="77777777" w:rsidTr="00B9757A">
        <w:tc>
          <w:tcPr>
            <w:tcW w:w="1641" w:type="pct"/>
          </w:tcPr>
          <w:p w14:paraId="207EAAE4" w14:textId="77777777" w:rsidR="00FA2FF9" w:rsidRPr="00730DE4" w:rsidRDefault="00FA2FF9" w:rsidP="009D0A95">
            <w:pPr>
              <w:pStyle w:val="NoSpacing"/>
              <w:rPr>
                <w:lang w:val="en-US"/>
              </w:rPr>
            </w:pPr>
            <w:r w:rsidRPr="00730DE4">
              <w:rPr>
                <w:lang w:val="en-US"/>
              </w:rPr>
              <w:t>Lowood QGAP</w:t>
            </w:r>
          </w:p>
        </w:tc>
        <w:tc>
          <w:tcPr>
            <w:tcW w:w="3359" w:type="pct"/>
          </w:tcPr>
          <w:p w14:paraId="366EBF40" w14:textId="77777777" w:rsidR="00FA2FF9" w:rsidRPr="00730DE4" w:rsidRDefault="00FA2FF9" w:rsidP="009D0A95">
            <w:pPr>
              <w:pStyle w:val="NoSpacing"/>
              <w:rPr>
                <w:lang w:val="en-US"/>
              </w:rPr>
            </w:pPr>
            <w:r w:rsidRPr="00730DE4">
              <w:rPr>
                <w:lang w:val="en-US"/>
              </w:rPr>
              <w:t>1 Michel Street, Lowood QLD 4311</w:t>
            </w:r>
          </w:p>
        </w:tc>
      </w:tr>
      <w:tr w:rsidR="00FA2FF9" w:rsidRPr="00730DE4" w14:paraId="456003C6" w14:textId="77777777" w:rsidTr="00B9757A">
        <w:trPr>
          <w:cnfStyle w:val="000000100000" w:firstRow="0" w:lastRow="0" w:firstColumn="0" w:lastColumn="0" w:oddVBand="0" w:evenVBand="0" w:oddHBand="1" w:evenHBand="0" w:firstRowFirstColumn="0" w:firstRowLastColumn="0" w:lastRowFirstColumn="0" w:lastRowLastColumn="0"/>
        </w:trPr>
        <w:tc>
          <w:tcPr>
            <w:tcW w:w="1641" w:type="pct"/>
          </w:tcPr>
          <w:p w14:paraId="46D4D4F6" w14:textId="77777777" w:rsidR="00FA2FF9" w:rsidRPr="00730DE4" w:rsidRDefault="00FA2FF9" w:rsidP="009D0A95">
            <w:pPr>
              <w:pStyle w:val="NoSpacing"/>
              <w:rPr>
                <w:lang w:val="en-US"/>
              </w:rPr>
            </w:pPr>
            <w:r w:rsidRPr="00730DE4">
              <w:rPr>
                <w:lang w:val="en-US"/>
              </w:rPr>
              <w:t>Malanda QGAP</w:t>
            </w:r>
          </w:p>
        </w:tc>
        <w:tc>
          <w:tcPr>
            <w:tcW w:w="3359" w:type="pct"/>
          </w:tcPr>
          <w:p w14:paraId="6DFAB0DD" w14:textId="77777777" w:rsidR="00FA2FF9" w:rsidRPr="00730DE4" w:rsidRDefault="00FA2FF9" w:rsidP="009D0A95">
            <w:pPr>
              <w:pStyle w:val="NoSpacing"/>
              <w:rPr>
                <w:lang w:val="en-US"/>
              </w:rPr>
            </w:pPr>
            <w:r w:rsidRPr="00730DE4">
              <w:rPr>
                <w:lang w:val="en-US"/>
              </w:rPr>
              <w:t>Malanda Police Station, 29 James Street, Malanda QLD 4885</w:t>
            </w:r>
          </w:p>
        </w:tc>
      </w:tr>
      <w:tr w:rsidR="00FA2FF9" w:rsidRPr="00730DE4" w14:paraId="31C55F0C" w14:textId="77777777" w:rsidTr="00B9757A">
        <w:tc>
          <w:tcPr>
            <w:tcW w:w="1641" w:type="pct"/>
          </w:tcPr>
          <w:p w14:paraId="0F7D9594" w14:textId="77777777" w:rsidR="00FA2FF9" w:rsidRPr="00730DE4" w:rsidRDefault="00FA2FF9" w:rsidP="009D0A95">
            <w:pPr>
              <w:pStyle w:val="NoSpacing"/>
              <w:rPr>
                <w:lang w:val="en-US"/>
              </w:rPr>
            </w:pPr>
            <w:r w:rsidRPr="00730DE4">
              <w:rPr>
                <w:lang w:val="en-US"/>
              </w:rPr>
              <w:t>Maleny QGAP</w:t>
            </w:r>
          </w:p>
        </w:tc>
        <w:tc>
          <w:tcPr>
            <w:tcW w:w="3359" w:type="pct"/>
          </w:tcPr>
          <w:p w14:paraId="5FE00FA7" w14:textId="77777777" w:rsidR="00FA2FF9" w:rsidRPr="00730DE4" w:rsidRDefault="00FA2FF9" w:rsidP="009D0A95">
            <w:pPr>
              <w:pStyle w:val="NoSpacing"/>
              <w:rPr>
                <w:lang w:val="en-US"/>
              </w:rPr>
            </w:pPr>
            <w:r w:rsidRPr="00730DE4">
              <w:rPr>
                <w:lang w:val="en-US"/>
              </w:rPr>
              <w:t>Police Station, 10–14 Macadamia Drive, Maleny QLD 4552</w:t>
            </w:r>
          </w:p>
        </w:tc>
      </w:tr>
      <w:tr w:rsidR="00FA2FF9" w:rsidRPr="00730DE4" w14:paraId="6053AC70" w14:textId="77777777" w:rsidTr="00B9757A">
        <w:trPr>
          <w:cnfStyle w:val="000000100000" w:firstRow="0" w:lastRow="0" w:firstColumn="0" w:lastColumn="0" w:oddVBand="0" w:evenVBand="0" w:oddHBand="1" w:evenHBand="0" w:firstRowFirstColumn="0" w:firstRowLastColumn="0" w:lastRowFirstColumn="0" w:lastRowLastColumn="0"/>
        </w:trPr>
        <w:tc>
          <w:tcPr>
            <w:tcW w:w="1641" w:type="pct"/>
          </w:tcPr>
          <w:p w14:paraId="7BDC1FFB" w14:textId="77777777" w:rsidR="00FA2FF9" w:rsidRPr="00730DE4" w:rsidRDefault="00FA2FF9" w:rsidP="009D0A95">
            <w:pPr>
              <w:pStyle w:val="NoSpacing"/>
              <w:rPr>
                <w:lang w:val="en-US"/>
              </w:rPr>
            </w:pPr>
            <w:r w:rsidRPr="00730DE4">
              <w:rPr>
                <w:lang w:val="en-US"/>
              </w:rPr>
              <w:t>Mary Valley QGAP</w:t>
            </w:r>
          </w:p>
        </w:tc>
        <w:tc>
          <w:tcPr>
            <w:tcW w:w="3359" w:type="pct"/>
          </w:tcPr>
          <w:p w14:paraId="46C3CB1B" w14:textId="77777777" w:rsidR="00FA2FF9" w:rsidRPr="00730DE4" w:rsidRDefault="00FA2FF9" w:rsidP="009D0A95">
            <w:pPr>
              <w:pStyle w:val="NoSpacing"/>
              <w:rPr>
                <w:lang w:val="en-US"/>
              </w:rPr>
            </w:pPr>
            <w:r w:rsidRPr="00730DE4">
              <w:rPr>
                <w:lang w:val="en-US"/>
              </w:rPr>
              <w:t>45 Main St, Kandanga QLD 4570</w:t>
            </w:r>
          </w:p>
        </w:tc>
      </w:tr>
      <w:tr w:rsidR="00FA2FF9" w:rsidRPr="00730DE4" w14:paraId="6443B7EE" w14:textId="77777777" w:rsidTr="00B9757A">
        <w:tc>
          <w:tcPr>
            <w:tcW w:w="1641" w:type="pct"/>
          </w:tcPr>
          <w:p w14:paraId="050B3888" w14:textId="77777777" w:rsidR="00FA2FF9" w:rsidRPr="00730DE4" w:rsidRDefault="00FA2FF9" w:rsidP="009D0A95">
            <w:pPr>
              <w:pStyle w:val="NoSpacing"/>
              <w:rPr>
                <w:lang w:val="en-US"/>
              </w:rPr>
            </w:pPr>
            <w:r w:rsidRPr="00730DE4">
              <w:rPr>
                <w:lang w:val="en-US"/>
              </w:rPr>
              <w:t>Middlemount QGAP</w:t>
            </w:r>
          </w:p>
        </w:tc>
        <w:tc>
          <w:tcPr>
            <w:tcW w:w="3359" w:type="pct"/>
          </w:tcPr>
          <w:p w14:paraId="1A8465D7" w14:textId="77777777" w:rsidR="00FA2FF9" w:rsidRPr="00730DE4" w:rsidRDefault="00FA2FF9" w:rsidP="009D0A95">
            <w:pPr>
              <w:pStyle w:val="NoSpacing"/>
              <w:rPr>
                <w:lang w:val="en-US"/>
              </w:rPr>
            </w:pPr>
            <w:r w:rsidRPr="00730DE4">
              <w:rPr>
                <w:lang w:val="en-US"/>
              </w:rPr>
              <w:t>Middlemount Shopping Centre, James Randall Court, Middlemount QLD 4746</w:t>
            </w:r>
          </w:p>
        </w:tc>
      </w:tr>
      <w:tr w:rsidR="00FA2FF9" w:rsidRPr="00730DE4" w14:paraId="5C710C85" w14:textId="77777777" w:rsidTr="00B9757A">
        <w:trPr>
          <w:cnfStyle w:val="000000100000" w:firstRow="0" w:lastRow="0" w:firstColumn="0" w:lastColumn="0" w:oddVBand="0" w:evenVBand="0" w:oddHBand="1" w:evenHBand="0" w:firstRowFirstColumn="0" w:firstRowLastColumn="0" w:lastRowFirstColumn="0" w:lastRowLastColumn="0"/>
        </w:trPr>
        <w:tc>
          <w:tcPr>
            <w:tcW w:w="1641" w:type="pct"/>
          </w:tcPr>
          <w:p w14:paraId="14F4029A" w14:textId="77777777" w:rsidR="00FA2FF9" w:rsidRPr="00730DE4" w:rsidRDefault="00FA2FF9" w:rsidP="009D0A95">
            <w:pPr>
              <w:pStyle w:val="NoSpacing"/>
              <w:rPr>
                <w:lang w:val="en-US"/>
              </w:rPr>
            </w:pPr>
            <w:r w:rsidRPr="00730DE4">
              <w:rPr>
                <w:lang w:val="en-US"/>
              </w:rPr>
              <w:t>Miles QGAP</w:t>
            </w:r>
          </w:p>
        </w:tc>
        <w:tc>
          <w:tcPr>
            <w:tcW w:w="3359" w:type="pct"/>
          </w:tcPr>
          <w:p w14:paraId="701478F4" w14:textId="77777777" w:rsidR="00FA2FF9" w:rsidRPr="00730DE4" w:rsidRDefault="00FA2FF9" w:rsidP="009D0A95">
            <w:pPr>
              <w:pStyle w:val="NoSpacing"/>
              <w:rPr>
                <w:lang w:val="en-US"/>
              </w:rPr>
            </w:pPr>
            <w:r w:rsidRPr="00730DE4">
              <w:rPr>
                <w:lang w:val="en-US"/>
              </w:rPr>
              <w:t>32 Constance Street, Miles QLD 4415</w:t>
            </w:r>
          </w:p>
        </w:tc>
      </w:tr>
      <w:tr w:rsidR="00FA2FF9" w:rsidRPr="00730DE4" w14:paraId="65EBC510" w14:textId="77777777" w:rsidTr="00B9757A">
        <w:tc>
          <w:tcPr>
            <w:tcW w:w="1641" w:type="pct"/>
          </w:tcPr>
          <w:p w14:paraId="77FA2919" w14:textId="77777777" w:rsidR="00FA2FF9" w:rsidRPr="00730DE4" w:rsidRDefault="00FA2FF9" w:rsidP="009D0A95">
            <w:pPr>
              <w:pStyle w:val="NoSpacing"/>
              <w:rPr>
                <w:lang w:val="en-US"/>
              </w:rPr>
            </w:pPr>
            <w:r w:rsidRPr="00730DE4">
              <w:rPr>
                <w:lang w:val="en-US"/>
              </w:rPr>
              <w:t>Mirani QGAP</w:t>
            </w:r>
          </w:p>
        </w:tc>
        <w:tc>
          <w:tcPr>
            <w:tcW w:w="3359" w:type="pct"/>
          </w:tcPr>
          <w:p w14:paraId="53079BAB" w14:textId="77777777" w:rsidR="00FA2FF9" w:rsidRPr="00730DE4" w:rsidRDefault="00FA2FF9" w:rsidP="009D0A95">
            <w:pPr>
              <w:pStyle w:val="NoSpacing"/>
              <w:rPr>
                <w:lang w:val="en-US"/>
              </w:rPr>
            </w:pPr>
            <w:r w:rsidRPr="00730DE4">
              <w:rPr>
                <w:lang w:val="en-US"/>
              </w:rPr>
              <w:t>20 Victoria Street, Mirani QLD 4754</w:t>
            </w:r>
          </w:p>
        </w:tc>
      </w:tr>
      <w:tr w:rsidR="00FA2FF9" w:rsidRPr="00730DE4" w14:paraId="080A0DDD" w14:textId="77777777" w:rsidTr="00B9757A">
        <w:trPr>
          <w:cnfStyle w:val="000000100000" w:firstRow="0" w:lastRow="0" w:firstColumn="0" w:lastColumn="0" w:oddVBand="0" w:evenVBand="0" w:oddHBand="1" w:evenHBand="0" w:firstRowFirstColumn="0" w:firstRowLastColumn="0" w:lastRowFirstColumn="0" w:lastRowLastColumn="0"/>
        </w:trPr>
        <w:tc>
          <w:tcPr>
            <w:tcW w:w="1641" w:type="pct"/>
          </w:tcPr>
          <w:p w14:paraId="20F3DDC4" w14:textId="77777777" w:rsidR="00FA2FF9" w:rsidRPr="00730DE4" w:rsidRDefault="00FA2FF9" w:rsidP="009D0A95">
            <w:pPr>
              <w:pStyle w:val="NoSpacing"/>
              <w:rPr>
                <w:lang w:val="en-US"/>
              </w:rPr>
            </w:pPr>
            <w:r w:rsidRPr="00730DE4">
              <w:rPr>
                <w:lang w:val="en-US"/>
              </w:rPr>
              <w:t>Mitchell QGAP (TMR led)</w:t>
            </w:r>
          </w:p>
        </w:tc>
        <w:tc>
          <w:tcPr>
            <w:tcW w:w="3359" w:type="pct"/>
          </w:tcPr>
          <w:p w14:paraId="468F71B5" w14:textId="77777777" w:rsidR="00FA2FF9" w:rsidRPr="00730DE4" w:rsidRDefault="00FA2FF9" w:rsidP="009D0A95">
            <w:pPr>
              <w:pStyle w:val="NoSpacing"/>
              <w:rPr>
                <w:lang w:val="en-US"/>
              </w:rPr>
            </w:pPr>
            <w:r w:rsidRPr="00730DE4">
              <w:rPr>
                <w:lang w:val="en-US"/>
              </w:rPr>
              <w:t>Mitchell Magistrates Court, Cnr Mary and Dublin Streets, Mitchell QLD 4465</w:t>
            </w:r>
          </w:p>
        </w:tc>
      </w:tr>
      <w:tr w:rsidR="00FA2FF9" w:rsidRPr="00730DE4" w14:paraId="22B8803D" w14:textId="77777777" w:rsidTr="00B9757A">
        <w:tc>
          <w:tcPr>
            <w:tcW w:w="1641" w:type="pct"/>
          </w:tcPr>
          <w:p w14:paraId="04C29A5A" w14:textId="77777777" w:rsidR="00FA2FF9" w:rsidRPr="00730DE4" w:rsidRDefault="00FA2FF9" w:rsidP="009D0A95">
            <w:pPr>
              <w:pStyle w:val="NoSpacing"/>
              <w:rPr>
                <w:lang w:val="en-US"/>
              </w:rPr>
            </w:pPr>
            <w:r w:rsidRPr="00730DE4">
              <w:rPr>
                <w:lang w:val="en-US"/>
              </w:rPr>
              <w:t>Monto QGAP</w:t>
            </w:r>
          </w:p>
        </w:tc>
        <w:tc>
          <w:tcPr>
            <w:tcW w:w="3359" w:type="pct"/>
          </w:tcPr>
          <w:p w14:paraId="38A8119D" w14:textId="77777777" w:rsidR="00FA2FF9" w:rsidRPr="00730DE4" w:rsidRDefault="00FA2FF9" w:rsidP="009D0A95">
            <w:pPr>
              <w:pStyle w:val="NoSpacing"/>
              <w:rPr>
                <w:lang w:val="en-US"/>
              </w:rPr>
            </w:pPr>
            <w:r w:rsidRPr="00730DE4">
              <w:rPr>
                <w:lang w:val="en-US"/>
              </w:rPr>
              <w:t>53 Newton Street, Monto QLD 4630</w:t>
            </w:r>
          </w:p>
        </w:tc>
      </w:tr>
      <w:tr w:rsidR="00FA2FF9" w:rsidRPr="00730DE4" w14:paraId="49FDFC12" w14:textId="77777777" w:rsidTr="00B9757A">
        <w:trPr>
          <w:cnfStyle w:val="000000100000" w:firstRow="0" w:lastRow="0" w:firstColumn="0" w:lastColumn="0" w:oddVBand="0" w:evenVBand="0" w:oddHBand="1" w:evenHBand="0" w:firstRowFirstColumn="0" w:firstRowLastColumn="0" w:lastRowFirstColumn="0" w:lastRowLastColumn="0"/>
        </w:trPr>
        <w:tc>
          <w:tcPr>
            <w:tcW w:w="1641" w:type="pct"/>
          </w:tcPr>
          <w:p w14:paraId="1B1C7396" w14:textId="77777777" w:rsidR="00FA2FF9" w:rsidRPr="00730DE4" w:rsidRDefault="00FA2FF9" w:rsidP="009D0A95">
            <w:pPr>
              <w:pStyle w:val="NoSpacing"/>
              <w:rPr>
                <w:lang w:val="en-US"/>
              </w:rPr>
            </w:pPr>
            <w:r w:rsidRPr="00730DE4">
              <w:rPr>
                <w:lang w:val="en-US"/>
              </w:rPr>
              <w:t>Moranbah QGAP (TMR led)</w:t>
            </w:r>
          </w:p>
        </w:tc>
        <w:tc>
          <w:tcPr>
            <w:tcW w:w="3359" w:type="pct"/>
          </w:tcPr>
          <w:p w14:paraId="2D8B09A6" w14:textId="77777777" w:rsidR="00FA2FF9" w:rsidRPr="00730DE4" w:rsidRDefault="00FA2FF9" w:rsidP="009D0A95">
            <w:pPr>
              <w:pStyle w:val="NoSpacing"/>
              <w:rPr>
                <w:lang w:val="en-US"/>
              </w:rPr>
            </w:pPr>
            <w:r w:rsidRPr="00730DE4">
              <w:rPr>
                <w:lang w:val="en-US"/>
              </w:rPr>
              <w:t>Moranbah Magistrates Court, 21 Griffin Street, Moranbah QLD 4744</w:t>
            </w:r>
          </w:p>
        </w:tc>
      </w:tr>
      <w:tr w:rsidR="00FA2FF9" w:rsidRPr="00730DE4" w14:paraId="37BE4703" w14:textId="77777777" w:rsidTr="00B9757A">
        <w:tc>
          <w:tcPr>
            <w:tcW w:w="1641" w:type="pct"/>
          </w:tcPr>
          <w:p w14:paraId="2FBC256B" w14:textId="77777777" w:rsidR="00FA2FF9" w:rsidRPr="00730DE4" w:rsidRDefault="00FA2FF9" w:rsidP="009D0A95">
            <w:pPr>
              <w:pStyle w:val="NoSpacing"/>
              <w:rPr>
                <w:lang w:val="en-US"/>
              </w:rPr>
            </w:pPr>
            <w:r w:rsidRPr="00730DE4">
              <w:rPr>
                <w:lang w:val="en-US"/>
              </w:rPr>
              <w:t>Mossman QGAP (TMR led)</w:t>
            </w:r>
          </w:p>
        </w:tc>
        <w:tc>
          <w:tcPr>
            <w:tcW w:w="3359" w:type="pct"/>
          </w:tcPr>
          <w:p w14:paraId="5FF43C68" w14:textId="77777777" w:rsidR="00FA2FF9" w:rsidRPr="00730DE4" w:rsidRDefault="00FA2FF9" w:rsidP="009D0A95">
            <w:pPr>
              <w:pStyle w:val="NoSpacing"/>
              <w:rPr>
                <w:lang w:val="en-US"/>
              </w:rPr>
            </w:pPr>
            <w:r w:rsidRPr="00730DE4">
              <w:rPr>
                <w:lang w:val="en-US"/>
              </w:rPr>
              <w:t>Mossman Magistrates Court, 27 Front Street, Mossman QLD 4873</w:t>
            </w:r>
          </w:p>
        </w:tc>
      </w:tr>
      <w:tr w:rsidR="00FA2FF9" w:rsidRPr="00730DE4" w14:paraId="18D53C87" w14:textId="77777777" w:rsidTr="00B9757A">
        <w:trPr>
          <w:cnfStyle w:val="000000100000" w:firstRow="0" w:lastRow="0" w:firstColumn="0" w:lastColumn="0" w:oddVBand="0" w:evenVBand="0" w:oddHBand="1" w:evenHBand="0" w:firstRowFirstColumn="0" w:firstRowLastColumn="0" w:lastRowFirstColumn="0" w:lastRowLastColumn="0"/>
        </w:trPr>
        <w:tc>
          <w:tcPr>
            <w:tcW w:w="1641" w:type="pct"/>
          </w:tcPr>
          <w:p w14:paraId="19B700C7" w14:textId="77777777" w:rsidR="00FA2FF9" w:rsidRPr="00730DE4" w:rsidRDefault="00FA2FF9" w:rsidP="009D0A95">
            <w:pPr>
              <w:pStyle w:val="NoSpacing"/>
              <w:rPr>
                <w:lang w:val="en-US"/>
              </w:rPr>
            </w:pPr>
            <w:r w:rsidRPr="00730DE4">
              <w:rPr>
                <w:lang w:val="en-US"/>
              </w:rPr>
              <w:t>Mount Garnet QGAP</w:t>
            </w:r>
          </w:p>
        </w:tc>
        <w:tc>
          <w:tcPr>
            <w:tcW w:w="3359" w:type="pct"/>
          </w:tcPr>
          <w:p w14:paraId="1CA59F19" w14:textId="77777777" w:rsidR="00FA2FF9" w:rsidRPr="00730DE4" w:rsidRDefault="00FA2FF9" w:rsidP="009D0A95">
            <w:pPr>
              <w:pStyle w:val="NoSpacing"/>
              <w:rPr>
                <w:lang w:val="en-US"/>
              </w:rPr>
            </w:pPr>
            <w:r w:rsidRPr="00730DE4">
              <w:rPr>
                <w:lang w:val="en-US"/>
              </w:rPr>
              <w:t>Police Station, Garnet Street, Mt Garnet QLD 4872</w:t>
            </w:r>
          </w:p>
        </w:tc>
      </w:tr>
      <w:tr w:rsidR="00FA2FF9" w:rsidRPr="00730DE4" w14:paraId="6FC5223F" w14:textId="77777777" w:rsidTr="00B9757A">
        <w:tc>
          <w:tcPr>
            <w:tcW w:w="1641" w:type="pct"/>
          </w:tcPr>
          <w:p w14:paraId="477FD498" w14:textId="77777777" w:rsidR="00FA2FF9" w:rsidRPr="00730DE4" w:rsidRDefault="00FA2FF9" w:rsidP="009D0A95">
            <w:pPr>
              <w:pStyle w:val="NoSpacing"/>
              <w:rPr>
                <w:lang w:val="en-US"/>
              </w:rPr>
            </w:pPr>
            <w:r w:rsidRPr="00730DE4">
              <w:rPr>
                <w:lang w:val="en-US"/>
              </w:rPr>
              <w:t>Mount Morgan QGAP</w:t>
            </w:r>
          </w:p>
        </w:tc>
        <w:tc>
          <w:tcPr>
            <w:tcW w:w="3359" w:type="pct"/>
          </w:tcPr>
          <w:p w14:paraId="0E0BA4FC" w14:textId="77777777" w:rsidR="00FA2FF9" w:rsidRPr="00730DE4" w:rsidRDefault="00FA2FF9" w:rsidP="009D0A95">
            <w:pPr>
              <w:pStyle w:val="NoSpacing"/>
              <w:rPr>
                <w:lang w:val="en-US"/>
              </w:rPr>
            </w:pPr>
            <w:r w:rsidRPr="00730DE4">
              <w:rPr>
                <w:lang w:val="en-US"/>
              </w:rPr>
              <w:t>32 Hall St, Mt Morgan QLD 4714</w:t>
            </w:r>
          </w:p>
        </w:tc>
      </w:tr>
      <w:tr w:rsidR="00FA2FF9" w:rsidRPr="00730DE4" w14:paraId="51FE41A6" w14:textId="77777777" w:rsidTr="00B9757A">
        <w:trPr>
          <w:cnfStyle w:val="000000100000" w:firstRow="0" w:lastRow="0" w:firstColumn="0" w:lastColumn="0" w:oddVBand="0" w:evenVBand="0" w:oddHBand="1" w:evenHBand="0" w:firstRowFirstColumn="0" w:firstRowLastColumn="0" w:lastRowFirstColumn="0" w:lastRowLastColumn="0"/>
        </w:trPr>
        <w:tc>
          <w:tcPr>
            <w:tcW w:w="1641" w:type="pct"/>
          </w:tcPr>
          <w:p w14:paraId="78BFCEC2" w14:textId="77777777" w:rsidR="00FA2FF9" w:rsidRPr="00730DE4" w:rsidRDefault="00FA2FF9" w:rsidP="009D0A95">
            <w:pPr>
              <w:pStyle w:val="NoSpacing"/>
              <w:rPr>
                <w:lang w:val="en-US"/>
              </w:rPr>
            </w:pPr>
            <w:r w:rsidRPr="00730DE4">
              <w:rPr>
                <w:lang w:val="en-US"/>
              </w:rPr>
              <w:t>Moura QGAP (TMR led)</w:t>
            </w:r>
          </w:p>
        </w:tc>
        <w:tc>
          <w:tcPr>
            <w:tcW w:w="3359" w:type="pct"/>
          </w:tcPr>
          <w:p w14:paraId="716BDCB0" w14:textId="77777777" w:rsidR="00FA2FF9" w:rsidRPr="00730DE4" w:rsidRDefault="00FA2FF9" w:rsidP="009D0A95">
            <w:pPr>
              <w:pStyle w:val="NoSpacing"/>
              <w:rPr>
                <w:lang w:val="en-US"/>
              </w:rPr>
            </w:pPr>
            <w:r w:rsidRPr="00730DE4">
              <w:rPr>
                <w:lang w:val="en-US"/>
              </w:rPr>
              <w:t>Marshall and Shirley Streets, Moura QLD 4718</w:t>
            </w:r>
          </w:p>
        </w:tc>
      </w:tr>
      <w:tr w:rsidR="00FA2FF9" w:rsidRPr="00730DE4" w14:paraId="2DD765CF" w14:textId="77777777" w:rsidTr="00B9757A">
        <w:tc>
          <w:tcPr>
            <w:tcW w:w="1641" w:type="pct"/>
          </w:tcPr>
          <w:p w14:paraId="222964EF" w14:textId="77777777" w:rsidR="00FA2FF9" w:rsidRPr="00730DE4" w:rsidRDefault="00FA2FF9" w:rsidP="009D0A95">
            <w:pPr>
              <w:pStyle w:val="NoSpacing"/>
              <w:rPr>
                <w:lang w:val="en-US"/>
              </w:rPr>
            </w:pPr>
            <w:r w:rsidRPr="00730DE4">
              <w:rPr>
                <w:lang w:val="en-US"/>
              </w:rPr>
              <w:t>Mundubbera QGAP</w:t>
            </w:r>
          </w:p>
        </w:tc>
        <w:tc>
          <w:tcPr>
            <w:tcW w:w="3359" w:type="pct"/>
          </w:tcPr>
          <w:p w14:paraId="2911E052" w14:textId="77777777" w:rsidR="00FA2FF9" w:rsidRPr="00730DE4" w:rsidRDefault="00FA2FF9" w:rsidP="009D0A95">
            <w:pPr>
              <w:pStyle w:val="NoSpacing"/>
              <w:rPr>
                <w:lang w:val="en-US"/>
              </w:rPr>
            </w:pPr>
            <w:r w:rsidRPr="00730DE4">
              <w:rPr>
                <w:lang w:val="en-US"/>
              </w:rPr>
              <w:t>69 Stuart-Russell Street  Mundubbera, Qld, 4626</w:t>
            </w:r>
          </w:p>
        </w:tc>
      </w:tr>
      <w:tr w:rsidR="00FA2FF9" w:rsidRPr="00730DE4" w14:paraId="0346E50C" w14:textId="77777777" w:rsidTr="00B9757A">
        <w:trPr>
          <w:cnfStyle w:val="000000100000" w:firstRow="0" w:lastRow="0" w:firstColumn="0" w:lastColumn="0" w:oddVBand="0" w:evenVBand="0" w:oddHBand="1" w:evenHBand="0" w:firstRowFirstColumn="0" w:firstRowLastColumn="0" w:lastRowFirstColumn="0" w:lastRowLastColumn="0"/>
        </w:trPr>
        <w:tc>
          <w:tcPr>
            <w:tcW w:w="1641" w:type="pct"/>
          </w:tcPr>
          <w:p w14:paraId="3B697CA2" w14:textId="77777777" w:rsidR="00FA2FF9" w:rsidRPr="00730DE4" w:rsidRDefault="00FA2FF9" w:rsidP="009D0A95">
            <w:pPr>
              <w:pStyle w:val="NoSpacing"/>
              <w:rPr>
                <w:lang w:val="en-US"/>
              </w:rPr>
            </w:pPr>
            <w:r w:rsidRPr="00730DE4">
              <w:rPr>
                <w:lang w:val="en-US"/>
              </w:rPr>
              <w:t>Murgon QGAP</w:t>
            </w:r>
          </w:p>
        </w:tc>
        <w:tc>
          <w:tcPr>
            <w:tcW w:w="3359" w:type="pct"/>
          </w:tcPr>
          <w:p w14:paraId="58DF22CD" w14:textId="77777777" w:rsidR="00FA2FF9" w:rsidRPr="00730DE4" w:rsidRDefault="00FA2FF9" w:rsidP="009D0A95">
            <w:pPr>
              <w:pStyle w:val="NoSpacing"/>
              <w:rPr>
                <w:lang w:val="en-US"/>
              </w:rPr>
            </w:pPr>
            <w:r w:rsidRPr="00730DE4">
              <w:rPr>
                <w:lang w:val="en-US"/>
              </w:rPr>
              <w:t>48 Stephens Street West, Murgon QLD 4605</w:t>
            </w:r>
          </w:p>
        </w:tc>
      </w:tr>
      <w:tr w:rsidR="00FA2FF9" w:rsidRPr="00730DE4" w14:paraId="15340C80" w14:textId="77777777" w:rsidTr="00B9757A">
        <w:tc>
          <w:tcPr>
            <w:tcW w:w="1641" w:type="pct"/>
          </w:tcPr>
          <w:p w14:paraId="51CDB747" w14:textId="77777777" w:rsidR="00FA2FF9" w:rsidRPr="00730DE4" w:rsidRDefault="00FA2FF9" w:rsidP="009D0A95">
            <w:pPr>
              <w:pStyle w:val="NoSpacing"/>
              <w:rPr>
                <w:lang w:val="en-US"/>
              </w:rPr>
            </w:pPr>
            <w:r w:rsidRPr="00730DE4">
              <w:rPr>
                <w:lang w:val="en-US"/>
              </w:rPr>
              <w:t>Nanango QGAP (TMR led)</w:t>
            </w:r>
          </w:p>
        </w:tc>
        <w:tc>
          <w:tcPr>
            <w:tcW w:w="3359" w:type="pct"/>
          </w:tcPr>
          <w:p w14:paraId="5BFD084B" w14:textId="77777777" w:rsidR="00FA2FF9" w:rsidRPr="00730DE4" w:rsidRDefault="00FA2FF9" w:rsidP="009D0A95">
            <w:pPr>
              <w:pStyle w:val="NoSpacing"/>
              <w:rPr>
                <w:lang w:val="en-US"/>
              </w:rPr>
            </w:pPr>
            <w:r w:rsidRPr="00730DE4">
              <w:rPr>
                <w:lang w:val="en-US"/>
              </w:rPr>
              <w:t>Nanango Magistrates Court, 30 Henry Street, Nanango QLD 4615</w:t>
            </w:r>
          </w:p>
        </w:tc>
      </w:tr>
      <w:tr w:rsidR="00FA2FF9" w:rsidRPr="00730DE4" w14:paraId="74F87B52" w14:textId="77777777" w:rsidTr="00B9757A">
        <w:trPr>
          <w:cnfStyle w:val="000000100000" w:firstRow="0" w:lastRow="0" w:firstColumn="0" w:lastColumn="0" w:oddVBand="0" w:evenVBand="0" w:oddHBand="1" w:evenHBand="0" w:firstRowFirstColumn="0" w:firstRowLastColumn="0" w:lastRowFirstColumn="0" w:lastRowLastColumn="0"/>
        </w:trPr>
        <w:tc>
          <w:tcPr>
            <w:tcW w:w="1641" w:type="pct"/>
          </w:tcPr>
          <w:p w14:paraId="08D04985" w14:textId="77777777" w:rsidR="00FA2FF9" w:rsidRPr="00730DE4" w:rsidRDefault="00FA2FF9" w:rsidP="009D0A95">
            <w:pPr>
              <w:pStyle w:val="NoSpacing"/>
              <w:rPr>
                <w:lang w:val="en-US"/>
              </w:rPr>
            </w:pPr>
            <w:r w:rsidRPr="00730DE4">
              <w:rPr>
                <w:lang w:val="en-US"/>
              </w:rPr>
              <w:t>Normanton QGAP</w:t>
            </w:r>
          </w:p>
        </w:tc>
        <w:tc>
          <w:tcPr>
            <w:tcW w:w="3359" w:type="pct"/>
          </w:tcPr>
          <w:p w14:paraId="39A11D94" w14:textId="77777777" w:rsidR="00FA2FF9" w:rsidRPr="00730DE4" w:rsidRDefault="00FA2FF9" w:rsidP="009D0A95">
            <w:pPr>
              <w:pStyle w:val="NoSpacing"/>
              <w:rPr>
                <w:lang w:val="en-US"/>
              </w:rPr>
            </w:pPr>
            <w:r w:rsidRPr="00730DE4">
              <w:rPr>
                <w:lang w:val="en-US"/>
              </w:rPr>
              <w:t>24 Haig Street, Normanton QLD 4890</w:t>
            </w:r>
          </w:p>
        </w:tc>
      </w:tr>
      <w:tr w:rsidR="00FA2FF9" w:rsidRPr="00730DE4" w14:paraId="1B1EECDC" w14:textId="77777777" w:rsidTr="00B9757A">
        <w:tc>
          <w:tcPr>
            <w:tcW w:w="1641" w:type="pct"/>
          </w:tcPr>
          <w:p w14:paraId="7BA000B5" w14:textId="77777777" w:rsidR="00FA2FF9" w:rsidRPr="00730DE4" w:rsidRDefault="00FA2FF9" w:rsidP="009D0A95">
            <w:pPr>
              <w:pStyle w:val="NoSpacing"/>
              <w:rPr>
                <w:lang w:val="en-US"/>
              </w:rPr>
            </w:pPr>
            <w:r w:rsidRPr="00730DE4">
              <w:rPr>
                <w:lang w:val="en-US"/>
              </w:rPr>
              <w:t>North Stradbroke Island QGAP (TMR led)</w:t>
            </w:r>
          </w:p>
        </w:tc>
        <w:tc>
          <w:tcPr>
            <w:tcW w:w="3359" w:type="pct"/>
          </w:tcPr>
          <w:p w14:paraId="44480CC6" w14:textId="77777777" w:rsidR="00FA2FF9" w:rsidRPr="00730DE4" w:rsidRDefault="00FA2FF9" w:rsidP="009D0A95">
            <w:pPr>
              <w:pStyle w:val="NoSpacing"/>
              <w:rPr>
                <w:lang w:val="en-US"/>
              </w:rPr>
            </w:pPr>
            <w:r w:rsidRPr="00730DE4">
              <w:rPr>
                <w:lang w:val="en-US"/>
              </w:rPr>
              <w:t>5 Ballow Street, Dunwich QLD 4183</w:t>
            </w:r>
          </w:p>
        </w:tc>
      </w:tr>
      <w:tr w:rsidR="00FA2FF9" w:rsidRPr="00730DE4" w14:paraId="37A6EA75" w14:textId="77777777" w:rsidTr="00B9757A">
        <w:trPr>
          <w:cnfStyle w:val="000000100000" w:firstRow="0" w:lastRow="0" w:firstColumn="0" w:lastColumn="0" w:oddVBand="0" w:evenVBand="0" w:oddHBand="1" w:evenHBand="0" w:firstRowFirstColumn="0" w:firstRowLastColumn="0" w:lastRowFirstColumn="0" w:lastRowLastColumn="0"/>
        </w:trPr>
        <w:tc>
          <w:tcPr>
            <w:tcW w:w="1641" w:type="pct"/>
          </w:tcPr>
          <w:p w14:paraId="0C71811A" w14:textId="77777777" w:rsidR="00FA2FF9" w:rsidRPr="00730DE4" w:rsidRDefault="00FA2FF9" w:rsidP="009D0A95">
            <w:pPr>
              <w:pStyle w:val="NoSpacing"/>
              <w:rPr>
                <w:lang w:val="en-US"/>
              </w:rPr>
            </w:pPr>
            <w:r w:rsidRPr="00730DE4">
              <w:rPr>
                <w:lang w:val="en-US"/>
              </w:rPr>
              <w:t>Oakey QGAP (TMR led)</w:t>
            </w:r>
          </w:p>
        </w:tc>
        <w:tc>
          <w:tcPr>
            <w:tcW w:w="3359" w:type="pct"/>
          </w:tcPr>
          <w:p w14:paraId="7972795D" w14:textId="77777777" w:rsidR="00FA2FF9" w:rsidRPr="00730DE4" w:rsidRDefault="00FA2FF9" w:rsidP="009D0A95">
            <w:pPr>
              <w:pStyle w:val="NoSpacing"/>
              <w:rPr>
                <w:lang w:val="en-US"/>
              </w:rPr>
            </w:pPr>
            <w:r w:rsidRPr="00730DE4">
              <w:rPr>
                <w:lang w:val="en-US"/>
              </w:rPr>
              <w:t>Oakey Magistrates Court, 73 Campbell Street, Oakey QLD 4401</w:t>
            </w:r>
          </w:p>
        </w:tc>
      </w:tr>
      <w:tr w:rsidR="00FA2FF9" w:rsidRPr="00730DE4" w14:paraId="589F3B58" w14:textId="77777777" w:rsidTr="00B9757A">
        <w:tc>
          <w:tcPr>
            <w:tcW w:w="1641" w:type="pct"/>
          </w:tcPr>
          <w:p w14:paraId="197D6625" w14:textId="77777777" w:rsidR="00FA2FF9" w:rsidRPr="00730DE4" w:rsidRDefault="00FA2FF9" w:rsidP="009D0A95">
            <w:pPr>
              <w:pStyle w:val="NoSpacing"/>
              <w:rPr>
                <w:lang w:val="en-US"/>
              </w:rPr>
            </w:pPr>
            <w:r w:rsidRPr="00730DE4">
              <w:rPr>
                <w:lang w:val="en-US"/>
              </w:rPr>
              <w:t>Pittsworth QGAP (TMR led)</w:t>
            </w:r>
          </w:p>
        </w:tc>
        <w:tc>
          <w:tcPr>
            <w:tcW w:w="3359" w:type="pct"/>
          </w:tcPr>
          <w:p w14:paraId="7AC45289" w14:textId="77777777" w:rsidR="00FA2FF9" w:rsidRPr="00730DE4" w:rsidRDefault="00FA2FF9" w:rsidP="009D0A95">
            <w:pPr>
              <w:pStyle w:val="NoSpacing"/>
              <w:rPr>
                <w:lang w:val="en-US"/>
              </w:rPr>
            </w:pPr>
            <w:r w:rsidRPr="00730DE4">
              <w:rPr>
                <w:lang w:val="en-US"/>
              </w:rPr>
              <w:t>Pittsworth Magistrates Court, 77 Yandilla Street, Pittsworth QLD 4356</w:t>
            </w:r>
          </w:p>
        </w:tc>
      </w:tr>
      <w:tr w:rsidR="00FA2FF9" w:rsidRPr="00730DE4" w14:paraId="4FCF2A1E" w14:textId="77777777" w:rsidTr="00B9757A">
        <w:trPr>
          <w:cnfStyle w:val="000000100000" w:firstRow="0" w:lastRow="0" w:firstColumn="0" w:lastColumn="0" w:oddVBand="0" w:evenVBand="0" w:oddHBand="1" w:evenHBand="0" w:firstRowFirstColumn="0" w:firstRowLastColumn="0" w:lastRowFirstColumn="0" w:lastRowLastColumn="0"/>
        </w:trPr>
        <w:tc>
          <w:tcPr>
            <w:tcW w:w="1641" w:type="pct"/>
          </w:tcPr>
          <w:p w14:paraId="6FB47642" w14:textId="77777777" w:rsidR="00FA2FF9" w:rsidRPr="00730DE4" w:rsidRDefault="00FA2FF9" w:rsidP="009D0A95">
            <w:pPr>
              <w:pStyle w:val="NoSpacing"/>
              <w:rPr>
                <w:lang w:val="en-US"/>
              </w:rPr>
            </w:pPr>
            <w:r w:rsidRPr="00730DE4">
              <w:rPr>
                <w:lang w:val="en-US"/>
              </w:rPr>
              <w:t>Ravenshoe QGAP</w:t>
            </w:r>
          </w:p>
        </w:tc>
        <w:tc>
          <w:tcPr>
            <w:tcW w:w="3359" w:type="pct"/>
          </w:tcPr>
          <w:p w14:paraId="7929B344" w14:textId="77777777" w:rsidR="00FA2FF9" w:rsidRPr="00730DE4" w:rsidRDefault="00FA2FF9" w:rsidP="009D0A95">
            <w:pPr>
              <w:pStyle w:val="NoSpacing"/>
              <w:rPr>
                <w:lang w:val="en-US"/>
              </w:rPr>
            </w:pPr>
            <w:r w:rsidRPr="00730DE4">
              <w:rPr>
                <w:lang w:val="en-US"/>
              </w:rPr>
              <w:t>27–29 Grigg Street, Ravenshoe QLD 4888</w:t>
            </w:r>
          </w:p>
        </w:tc>
      </w:tr>
      <w:tr w:rsidR="00FA2FF9" w:rsidRPr="00730DE4" w14:paraId="4C8B57B6" w14:textId="77777777" w:rsidTr="00B9757A">
        <w:tc>
          <w:tcPr>
            <w:tcW w:w="1641" w:type="pct"/>
          </w:tcPr>
          <w:p w14:paraId="598FA8D3" w14:textId="77777777" w:rsidR="00FA2FF9" w:rsidRPr="00730DE4" w:rsidRDefault="00FA2FF9" w:rsidP="009D0A95">
            <w:pPr>
              <w:pStyle w:val="NoSpacing"/>
              <w:rPr>
                <w:lang w:val="en-US"/>
              </w:rPr>
            </w:pPr>
            <w:r w:rsidRPr="00730DE4">
              <w:rPr>
                <w:lang w:val="en-US"/>
              </w:rPr>
              <w:t>Richmond QGAP (TMR led)</w:t>
            </w:r>
          </w:p>
        </w:tc>
        <w:tc>
          <w:tcPr>
            <w:tcW w:w="3359" w:type="pct"/>
          </w:tcPr>
          <w:p w14:paraId="774C7E04" w14:textId="77777777" w:rsidR="00FA2FF9" w:rsidRPr="00730DE4" w:rsidRDefault="00FA2FF9" w:rsidP="009D0A95">
            <w:pPr>
              <w:pStyle w:val="NoSpacing"/>
              <w:rPr>
                <w:lang w:val="en-US"/>
              </w:rPr>
            </w:pPr>
            <w:r w:rsidRPr="00730DE4">
              <w:rPr>
                <w:lang w:val="en-US"/>
              </w:rPr>
              <w:t>Richmond Magistrates Court, 53 Goldring Street, Richmond QLD 4822</w:t>
            </w:r>
          </w:p>
        </w:tc>
      </w:tr>
      <w:tr w:rsidR="00FA2FF9" w:rsidRPr="00730DE4" w14:paraId="7FC68E46" w14:textId="77777777" w:rsidTr="00B9757A">
        <w:trPr>
          <w:cnfStyle w:val="000000100000" w:firstRow="0" w:lastRow="0" w:firstColumn="0" w:lastColumn="0" w:oddVBand="0" w:evenVBand="0" w:oddHBand="1" w:evenHBand="0" w:firstRowFirstColumn="0" w:firstRowLastColumn="0" w:lastRowFirstColumn="0" w:lastRowLastColumn="0"/>
        </w:trPr>
        <w:tc>
          <w:tcPr>
            <w:tcW w:w="1641" w:type="pct"/>
          </w:tcPr>
          <w:p w14:paraId="18B0CF7D" w14:textId="77777777" w:rsidR="00FA2FF9" w:rsidRPr="00730DE4" w:rsidRDefault="00FA2FF9" w:rsidP="009D0A95">
            <w:pPr>
              <w:pStyle w:val="NoSpacing"/>
              <w:rPr>
                <w:lang w:val="en-US"/>
              </w:rPr>
            </w:pPr>
            <w:r w:rsidRPr="00730DE4">
              <w:rPr>
                <w:lang w:val="en-US"/>
              </w:rPr>
              <w:t>Sarina QGAP (TMR led)</w:t>
            </w:r>
          </w:p>
        </w:tc>
        <w:tc>
          <w:tcPr>
            <w:tcW w:w="3359" w:type="pct"/>
          </w:tcPr>
          <w:p w14:paraId="5214B73D" w14:textId="77777777" w:rsidR="00FA2FF9" w:rsidRPr="00730DE4" w:rsidRDefault="00FA2FF9" w:rsidP="009D0A95">
            <w:pPr>
              <w:pStyle w:val="NoSpacing"/>
              <w:rPr>
                <w:lang w:val="en-US"/>
              </w:rPr>
            </w:pPr>
            <w:r w:rsidRPr="00730DE4">
              <w:rPr>
                <w:lang w:val="en-US"/>
              </w:rPr>
              <w:t>Sarina Magistrates Court, 52–54 Broad Street, Sarina QLD 4737</w:t>
            </w:r>
          </w:p>
        </w:tc>
      </w:tr>
      <w:tr w:rsidR="00FA2FF9" w:rsidRPr="00730DE4" w14:paraId="47445201" w14:textId="77777777" w:rsidTr="00B9757A">
        <w:tc>
          <w:tcPr>
            <w:tcW w:w="1641" w:type="pct"/>
          </w:tcPr>
          <w:p w14:paraId="7F4D21F1" w14:textId="77777777" w:rsidR="00FA2FF9" w:rsidRPr="00730DE4" w:rsidRDefault="00FA2FF9" w:rsidP="009D0A95">
            <w:pPr>
              <w:pStyle w:val="NoSpacing"/>
              <w:rPr>
                <w:lang w:val="en-US"/>
              </w:rPr>
            </w:pPr>
            <w:r w:rsidRPr="00730DE4">
              <w:rPr>
                <w:lang w:val="en-US"/>
              </w:rPr>
              <w:t>Springsure QGAP (TMR led)</w:t>
            </w:r>
          </w:p>
        </w:tc>
        <w:tc>
          <w:tcPr>
            <w:tcW w:w="3359" w:type="pct"/>
          </w:tcPr>
          <w:p w14:paraId="4D1C06F9" w14:textId="77777777" w:rsidR="00FA2FF9" w:rsidRPr="00730DE4" w:rsidRDefault="00FA2FF9" w:rsidP="009D0A95">
            <w:pPr>
              <w:pStyle w:val="NoSpacing"/>
              <w:rPr>
                <w:lang w:val="en-US"/>
              </w:rPr>
            </w:pPr>
            <w:r w:rsidRPr="00730DE4">
              <w:rPr>
                <w:lang w:val="en-US"/>
              </w:rPr>
              <w:t>Springsure Magistrates Court, 45 Eclipse Street, Springsure QLD 4722</w:t>
            </w:r>
          </w:p>
        </w:tc>
      </w:tr>
      <w:tr w:rsidR="00FA2FF9" w:rsidRPr="00730DE4" w14:paraId="6118040D" w14:textId="77777777" w:rsidTr="00B9757A">
        <w:trPr>
          <w:cnfStyle w:val="000000100000" w:firstRow="0" w:lastRow="0" w:firstColumn="0" w:lastColumn="0" w:oddVBand="0" w:evenVBand="0" w:oddHBand="1" w:evenHBand="0" w:firstRowFirstColumn="0" w:firstRowLastColumn="0" w:lastRowFirstColumn="0" w:lastRowLastColumn="0"/>
        </w:trPr>
        <w:tc>
          <w:tcPr>
            <w:tcW w:w="1641" w:type="pct"/>
          </w:tcPr>
          <w:p w14:paraId="230AB826" w14:textId="77777777" w:rsidR="00FA2FF9" w:rsidRPr="00730DE4" w:rsidRDefault="00FA2FF9" w:rsidP="009D0A95">
            <w:pPr>
              <w:pStyle w:val="NoSpacing"/>
              <w:rPr>
                <w:lang w:val="en-US"/>
              </w:rPr>
            </w:pPr>
            <w:r w:rsidRPr="00730DE4">
              <w:rPr>
                <w:lang w:val="en-US"/>
              </w:rPr>
              <w:t>Surat QGAP</w:t>
            </w:r>
          </w:p>
        </w:tc>
        <w:tc>
          <w:tcPr>
            <w:tcW w:w="3359" w:type="pct"/>
          </w:tcPr>
          <w:p w14:paraId="6D473DBA" w14:textId="77777777" w:rsidR="00FA2FF9" w:rsidRPr="00730DE4" w:rsidRDefault="00FA2FF9" w:rsidP="009D0A95">
            <w:pPr>
              <w:pStyle w:val="NoSpacing"/>
              <w:rPr>
                <w:lang w:val="en-US"/>
              </w:rPr>
            </w:pPr>
            <w:r w:rsidRPr="00730DE4">
              <w:rPr>
                <w:lang w:val="en-US"/>
              </w:rPr>
              <w:t>62 Burrowes Street, Surat QLD 4417</w:t>
            </w:r>
          </w:p>
        </w:tc>
      </w:tr>
      <w:tr w:rsidR="00FA2FF9" w:rsidRPr="00730DE4" w14:paraId="35EA5AD8" w14:textId="77777777" w:rsidTr="00B9757A">
        <w:tc>
          <w:tcPr>
            <w:tcW w:w="1641" w:type="pct"/>
          </w:tcPr>
          <w:p w14:paraId="71604DBF" w14:textId="77777777" w:rsidR="00FA2FF9" w:rsidRPr="00730DE4" w:rsidRDefault="00FA2FF9" w:rsidP="009D0A95">
            <w:pPr>
              <w:pStyle w:val="NoSpacing"/>
              <w:rPr>
                <w:lang w:val="en-US"/>
              </w:rPr>
            </w:pPr>
            <w:r w:rsidRPr="00730DE4">
              <w:rPr>
                <w:lang w:val="en-US"/>
              </w:rPr>
              <w:t>St George QGAP (TMR led)</w:t>
            </w:r>
          </w:p>
        </w:tc>
        <w:tc>
          <w:tcPr>
            <w:tcW w:w="3359" w:type="pct"/>
          </w:tcPr>
          <w:p w14:paraId="16938F3A" w14:textId="77777777" w:rsidR="00FA2FF9" w:rsidRPr="00730DE4" w:rsidRDefault="00FA2FF9" w:rsidP="009D0A95">
            <w:pPr>
              <w:pStyle w:val="NoSpacing"/>
              <w:rPr>
                <w:lang w:val="en-US"/>
              </w:rPr>
            </w:pPr>
            <w:r w:rsidRPr="00730DE4">
              <w:rPr>
                <w:lang w:val="en-US"/>
              </w:rPr>
              <w:t>St George Magistrates Court, 44 St George's Terrace, St George QLD 4487</w:t>
            </w:r>
          </w:p>
        </w:tc>
      </w:tr>
      <w:tr w:rsidR="00FA2FF9" w:rsidRPr="00730DE4" w14:paraId="41A81A55" w14:textId="77777777" w:rsidTr="00B9757A">
        <w:trPr>
          <w:cnfStyle w:val="000000100000" w:firstRow="0" w:lastRow="0" w:firstColumn="0" w:lastColumn="0" w:oddVBand="0" w:evenVBand="0" w:oddHBand="1" w:evenHBand="0" w:firstRowFirstColumn="0" w:firstRowLastColumn="0" w:lastRowFirstColumn="0" w:lastRowLastColumn="0"/>
        </w:trPr>
        <w:tc>
          <w:tcPr>
            <w:tcW w:w="1641" w:type="pct"/>
          </w:tcPr>
          <w:p w14:paraId="7AABE1D6" w14:textId="77777777" w:rsidR="00FA2FF9" w:rsidRPr="00730DE4" w:rsidRDefault="00FA2FF9" w:rsidP="009D0A95">
            <w:pPr>
              <w:pStyle w:val="NoSpacing"/>
              <w:rPr>
                <w:lang w:val="en-US"/>
              </w:rPr>
            </w:pPr>
            <w:r w:rsidRPr="00730DE4">
              <w:rPr>
                <w:lang w:val="en-US"/>
              </w:rPr>
              <w:t>Quilpie QGAP</w:t>
            </w:r>
          </w:p>
        </w:tc>
        <w:tc>
          <w:tcPr>
            <w:tcW w:w="3359" w:type="pct"/>
          </w:tcPr>
          <w:p w14:paraId="2F03D8FC" w14:textId="77777777" w:rsidR="00FA2FF9" w:rsidRPr="00730DE4" w:rsidRDefault="00FA2FF9" w:rsidP="009D0A95">
            <w:pPr>
              <w:pStyle w:val="NoSpacing"/>
              <w:rPr>
                <w:lang w:val="en-US"/>
              </w:rPr>
            </w:pPr>
            <w:r w:rsidRPr="00730DE4">
              <w:rPr>
                <w:lang w:val="en-US"/>
              </w:rPr>
              <w:t>5 Buln Buln Street, Quilpie QLD 4480</w:t>
            </w:r>
          </w:p>
        </w:tc>
      </w:tr>
      <w:tr w:rsidR="00FA2FF9" w:rsidRPr="00730DE4" w14:paraId="0D70ABEB" w14:textId="77777777" w:rsidTr="00B9757A">
        <w:tc>
          <w:tcPr>
            <w:tcW w:w="1641" w:type="pct"/>
          </w:tcPr>
          <w:p w14:paraId="69070019" w14:textId="77777777" w:rsidR="00FA2FF9" w:rsidRPr="00730DE4" w:rsidRDefault="00FA2FF9" w:rsidP="009D0A95">
            <w:pPr>
              <w:pStyle w:val="NoSpacing"/>
              <w:rPr>
                <w:lang w:val="en-US"/>
              </w:rPr>
            </w:pPr>
            <w:r w:rsidRPr="00730DE4">
              <w:rPr>
                <w:lang w:val="en-US"/>
              </w:rPr>
              <w:t>Stanthorpe QGAP (TMR led)</w:t>
            </w:r>
          </w:p>
        </w:tc>
        <w:tc>
          <w:tcPr>
            <w:tcW w:w="3359" w:type="pct"/>
          </w:tcPr>
          <w:p w14:paraId="4C9BBB63" w14:textId="77777777" w:rsidR="00FA2FF9" w:rsidRPr="00730DE4" w:rsidRDefault="00FA2FF9" w:rsidP="009D0A95">
            <w:pPr>
              <w:pStyle w:val="NoSpacing"/>
              <w:rPr>
                <w:lang w:val="en-US"/>
              </w:rPr>
            </w:pPr>
            <w:r w:rsidRPr="00730DE4">
              <w:rPr>
                <w:lang w:val="en-US"/>
              </w:rPr>
              <w:t>51 Marsh Street, Stanthorpe QLD 4380</w:t>
            </w:r>
          </w:p>
        </w:tc>
      </w:tr>
      <w:tr w:rsidR="00FA2FF9" w:rsidRPr="00730DE4" w14:paraId="6266191B" w14:textId="77777777" w:rsidTr="00B9757A">
        <w:trPr>
          <w:cnfStyle w:val="000000100000" w:firstRow="0" w:lastRow="0" w:firstColumn="0" w:lastColumn="0" w:oddVBand="0" w:evenVBand="0" w:oddHBand="1" w:evenHBand="0" w:firstRowFirstColumn="0" w:firstRowLastColumn="0" w:lastRowFirstColumn="0" w:lastRowLastColumn="0"/>
        </w:trPr>
        <w:tc>
          <w:tcPr>
            <w:tcW w:w="1641" w:type="pct"/>
          </w:tcPr>
          <w:p w14:paraId="36801FE0" w14:textId="77777777" w:rsidR="00FA2FF9" w:rsidRPr="00730DE4" w:rsidRDefault="00FA2FF9" w:rsidP="009D0A95">
            <w:pPr>
              <w:pStyle w:val="NoSpacing"/>
              <w:rPr>
                <w:lang w:val="en-US"/>
              </w:rPr>
            </w:pPr>
            <w:r w:rsidRPr="00730DE4">
              <w:rPr>
                <w:lang w:val="en-US"/>
              </w:rPr>
              <w:t>Tara QGAP</w:t>
            </w:r>
          </w:p>
        </w:tc>
        <w:tc>
          <w:tcPr>
            <w:tcW w:w="3359" w:type="pct"/>
          </w:tcPr>
          <w:p w14:paraId="6C53B57B" w14:textId="77777777" w:rsidR="00FA2FF9" w:rsidRPr="00730DE4" w:rsidRDefault="00FA2FF9" w:rsidP="009D0A95">
            <w:pPr>
              <w:pStyle w:val="NoSpacing"/>
              <w:rPr>
                <w:lang w:val="en-US"/>
              </w:rPr>
            </w:pPr>
            <w:r w:rsidRPr="00730DE4">
              <w:rPr>
                <w:lang w:val="en-US"/>
              </w:rPr>
              <w:t>19 Fry Street, Tara QLD 4421</w:t>
            </w:r>
          </w:p>
        </w:tc>
      </w:tr>
      <w:tr w:rsidR="00FA2FF9" w:rsidRPr="00730DE4" w14:paraId="3755AF49" w14:textId="77777777" w:rsidTr="00B9757A">
        <w:tc>
          <w:tcPr>
            <w:tcW w:w="1641" w:type="pct"/>
          </w:tcPr>
          <w:p w14:paraId="01DE1088" w14:textId="77777777" w:rsidR="00FA2FF9" w:rsidRPr="00730DE4" w:rsidRDefault="00FA2FF9" w:rsidP="009D0A95">
            <w:pPr>
              <w:pStyle w:val="NoSpacing"/>
              <w:rPr>
                <w:lang w:val="en-US"/>
              </w:rPr>
            </w:pPr>
            <w:r w:rsidRPr="00730DE4">
              <w:rPr>
                <w:lang w:val="en-US"/>
              </w:rPr>
              <w:t>Taroom QGAP (TMR led)</w:t>
            </w:r>
          </w:p>
        </w:tc>
        <w:tc>
          <w:tcPr>
            <w:tcW w:w="3359" w:type="pct"/>
          </w:tcPr>
          <w:p w14:paraId="3F2CDE37" w14:textId="77777777" w:rsidR="00FA2FF9" w:rsidRPr="00730DE4" w:rsidRDefault="00FA2FF9" w:rsidP="009D0A95">
            <w:pPr>
              <w:pStyle w:val="NoSpacing"/>
              <w:rPr>
                <w:lang w:val="en-US"/>
              </w:rPr>
            </w:pPr>
            <w:r w:rsidRPr="00730DE4">
              <w:rPr>
                <w:lang w:val="en-US"/>
              </w:rPr>
              <w:t>Taroom Magistrates Court, 33 Yaldwyn Street, Taroom QLD 4420</w:t>
            </w:r>
          </w:p>
        </w:tc>
      </w:tr>
      <w:tr w:rsidR="00FA2FF9" w:rsidRPr="00730DE4" w14:paraId="71D835F2" w14:textId="77777777" w:rsidTr="00B9757A">
        <w:trPr>
          <w:cnfStyle w:val="000000100000" w:firstRow="0" w:lastRow="0" w:firstColumn="0" w:lastColumn="0" w:oddVBand="0" w:evenVBand="0" w:oddHBand="1" w:evenHBand="0" w:firstRowFirstColumn="0" w:firstRowLastColumn="0" w:lastRowFirstColumn="0" w:lastRowLastColumn="0"/>
        </w:trPr>
        <w:tc>
          <w:tcPr>
            <w:tcW w:w="1641" w:type="pct"/>
          </w:tcPr>
          <w:p w14:paraId="6D32630D" w14:textId="77777777" w:rsidR="00FA2FF9" w:rsidRPr="00730DE4" w:rsidRDefault="00FA2FF9" w:rsidP="009D0A95">
            <w:pPr>
              <w:pStyle w:val="NoSpacing"/>
              <w:rPr>
                <w:lang w:val="en-US"/>
              </w:rPr>
            </w:pPr>
            <w:r w:rsidRPr="00730DE4">
              <w:rPr>
                <w:lang w:val="en-US"/>
              </w:rPr>
              <w:t>Texas QGAP (TMR led)</w:t>
            </w:r>
          </w:p>
        </w:tc>
        <w:tc>
          <w:tcPr>
            <w:tcW w:w="3359" w:type="pct"/>
          </w:tcPr>
          <w:p w14:paraId="410EDA44" w14:textId="77777777" w:rsidR="00FA2FF9" w:rsidRPr="00730DE4" w:rsidRDefault="00FA2FF9" w:rsidP="009D0A95">
            <w:pPr>
              <w:pStyle w:val="NoSpacing"/>
              <w:rPr>
                <w:lang w:val="en-US"/>
              </w:rPr>
            </w:pPr>
            <w:r w:rsidRPr="00730DE4">
              <w:rPr>
                <w:lang w:val="en-US"/>
              </w:rPr>
              <w:t>32 Cadell Street, Texas QLD 4385</w:t>
            </w:r>
          </w:p>
        </w:tc>
      </w:tr>
      <w:tr w:rsidR="00FA2FF9" w:rsidRPr="00730DE4" w14:paraId="470E3036" w14:textId="77777777" w:rsidTr="00B9757A">
        <w:tc>
          <w:tcPr>
            <w:tcW w:w="1641" w:type="pct"/>
          </w:tcPr>
          <w:p w14:paraId="0E9A7D8D" w14:textId="77777777" w:rsidR="00FA2FF9" w:rsidRPr="00730DE4" w:rsidRDefault="00FA2FF9" w:rsidP="009D0A95">
            <w:pPr>
              <w:pStyle w:val="NoSpacing"/>
              <w:rPr>
                <w:lang w:val="en-US"/>
              </w:rPr>
            </w:pPr>
            <w:r w:rsidRPr="00730DE4">
              <w:rPr>
                <w:lang w:val="en-US"/>
              </w:rPr>
              <w:t>Thargomindah QGAP</w:t>
            </w:r>
          </w:p>
        </w:tc>
        <w:tc>
          <w:tcPr>
            <w:tcW w:w="3359" w:type="pct"/>
          </w:tcPr>
          <w:p w14:paraId="57CF4EC8" w14:textId="77777777" w:rsidR="00FA2FF9" w:rsidRPr="00730DE4" w:rsidRDefault="00FA2FF9" w:rsidP="009D0A95">
            <w:pPr>
              <w:pStyle w:val="NoSpacing"/>
              <w:rPr>
                <w:lang w:val="en-US"/>
              </w:rPr>
            </w:pPr>
            <w:r w:rsidRPr="00730DE4">
              <w:rPr>
                <w:lang w:val="en-US"/>
              </w:rPr>
              <w:t>Police Station, Dowling Street, Thargomindah QLD 4492</w:t>
            </w:r>
          </w:p>
        </w:tc>
      </w:tr>
      <w:tr w:rsidR="00FA2FF9" w:rsidRPr="00730DE4" w14:paraId="717882F6" w14:textId="77777777" w:rsidTr="00B9757A">
        <w:trPr>
          <w:cnfStyle w:val="000000100000" w:firstRow="0" w:lastRow="0" w:firstColumn="0" w:lastColumn="0" w:oddVBand="0" w:evenVBand="0" w:oddHBand="1" w:evenHBand="0" w:firstRowFirstColumn="0" w:firstRowLastColumn="0" w:lastRowFirstColumn="0" w:lastRowLastColumn="0"/>
        </w:trPr>
        <w:tc>
          <w:tcPr>
            <w:tcW w:w="1641" w:type="pct"/>
          </w:tcPr>
          <w:p w14:paraId="065C747E" w14:textId="77777777" w:rsidR="00FA2FF9" w:rsidRPr="00730DE4" w:rsidRDefault="00FA2FF9" w:rsidP="009D0A95">
            <w:pPr>
              <w:pStyle w:val="NoSpacing"/>
              <w:rPr>
                <w:lang w:val="en-US"/>
              </w:rPr>
            </w:pPr>
            <w:r w:rsidRPr="00730DE4">
              <w:rPr>
                <w:lang w:val="en-US"/>
              </w:rPr>
              <w:t>Thursday Island QGAP</w:t>
            </w:r>
          </w:p>
        </w:tc>
        <w:tc>
          <w:tcPr>
            <w:tcW w:w="3359" w:type="pct"/>
          </w:tcPr>
          <w:p w14:paraId="23EDB654" w14:textId="77777777" w:rsidR="00FA2FF9" w:rsidRPr="00730DE4" w:rsidRDefault="00FA2FF9" w:rsidP="009D0A95">
            <w:pPr>
              <w:pStyle w:val="NoSpacing"/>
              <w:rPr>
                <w:lang w:val="en-US"/>
              </w:rPr>
            </w:pPr>
            <w:r w:rsidRPr="00730DE4">
              <w:rPr>
                <w:lang w:val="en-US"/>
              </w:rPr>
              <w:t>136 Douglas Street, Thursday Island QLD 4875</w:t>
            </w:r>
          </w:p>
        </w:tc>
      </w:tr>
      <w:tr w:rsidR="00FA2FF9" w:rsidRPr="00730DE4" w14:paraId="60763C4C" w14:textId="77777777" w:rsidTr="00B9757A">
        <w:tc>
          <w:tcPr>
            <w:tcW w:w="1641" w:type="pct"/>
          </w:tcPr>
          <w:p w14:paraId="37451E64" w14:textId="77777777" w:rsidR="00FA2FF9" w:rsidRPr="00730DE4" w:rsidRDefault="00FA2FF9" w:rsidP="009D0A95">
            <w:pPr>
              <w:pStyle w:val="NoSpacing"/>
              <w:rPr>
                <w:lang w:val="en-US"/>
              </w:rPr>
            </w:pPr>
            <w:r w:rsidRPr="00730DE4">
              <w:rPr>
                <w:lang w:val="en-US"/>
              </w:rPr>
              <w:t>Toogoolawah QGAP (TMR led)</w:t>
            </w:r>
          </w:p>
        </w:tc>
        <w:tc>
          <w:tcPr>
            <w:tcW w:w="3359" w:type="pct"/>
          </w:tcPr>
          <w:p w14:paraId="71ABA217" w14:textId="77777777" w:rsidR="00FA2FF9" w:rsidRPr="00730DE4" w:rsidRDefault="00FA2FF9" w:rsidP="009D0A95">
            <w:pPr>
              <w:pStyle w:val="NoSpacing"/>
              <w:rPr>
                <w:lang w:val="en-US"/>
              </w:rPr>
            </w:pPr>
            <w:r w:rsidRPr="00730DE4">
              <w:rPr>
                <w:lang w:val="en-US"/>
              </w:rPr>
              <w:t>Toogoolawah Magistrates Court, Hopkins Place, Gardner Street North, Toogoolawah QLD 4313</w:t>
            </w:r>
          </w:p>
        </w:tc>
      </w:tr>
      <w:tr w:rsidR="00FA2FF9" w:rsidRPr="00730DE4" w14:paraId="03064A2E" w14:textId="77777777" w:rsidTr="00B9757A">
        <w:trPr>
          <w:cnfStyle w:val="000000100000" w:firstRow="0" w:lastRow="0" w:firstColumn="0" w:lastColumn="0" w:oddVBand="0" w:evenVBand="0" w:oddHBand="1" w:evenHBand="0" w:firstRowFirstColumn="0" w:firstRowLastColumn="0" w:lastRowFirstColumn="0" w:lastRowLastColumn="0"/>
        </w:trPr>
        <w:tc>
          <w:tcPr>
            <w:tcW w:w="1641" w:type="pct"/>
          </w:tcPr>
          <w:p w14:paraId="32F417D6" w14:textId="77777777" w:rsidR="00FA2FF9" w:rsidRPr="00730DE4" w:rsidRDefault="00FA2FF9" w:rsidP="009D0A95">
            <w:pPr>
              <w:pStyle w:val="NoSpacing"/>
              <w:rPr>
                <w:lang w:val="en-US"/>
              </w:rPr>
            </w:pPr>
            <w:r w:rsidRPr="00730DE4">
              <w:rPr>
                <w:lang w:val="en-US"/>
              </w:rPr>
              <w:t>Tully QGAP (TMR led)</w:t>
            </w:r>
          </w:p>
        </w:tc>
        <w:tc>
          <w:tcPr>
            <w:tcW w:w="3359" w:type="pct"/>
          </w:tcPr>
          <w:p w14:paraId="5943399E" w14:textId="77777777" w:rsidR="00FA2FF9" w:rsidRPr="00730DE4" w:rsidRDefault="00FA2FF9" w:rsidP="009D0A95">
            <w:pPr>
              <w:pStyle w:val="NoSpacing"/>
              <w:rPr>
                <w:lang w:val="en-US"/>
              </w:rPr>
            </w:pPr>
            <w:r w:rsidRPr="00730DE4">
              <w:rPr>
                <w:lang w:val="en-US"/>
              </w:rPr>
              <w:t>Tully Magistrates Court, 46 Bryant Street, Tully QLD 4854</w:t>
            </w:r>
          </w:p>
        </w:tc>
      </w:tr>
      <w:tr w:rsidR="00FA2FF9" w:rsidRPr="00730DE4" w14:paraId="2C156D83" w14:textId="77777777" w:rsidTr="00B9757A">
        <w:tc>
          <w:tcPr>
            <w:tcW w:w="1641" w:type="pct"/>
          </w:tcPr>
          <w:p w14:paraId="235869C8" w14:textId="77777777" w:rsidR="00FA2FF9" w:rsidRPr="00730DE4" w:rsidRDefault="00FA2FF9" w:rsidP="009D0A95">
            <w:pPr>
              <w:pStyle w:val="NoSpacing"/>
              <w:rPr>
                <w:lang w:val="en-US"/>
              </w:rPr>
            </w:pPr>
            <w:r w:rsidRPr="00730DE4">
              <w:rPr>
                <w:lang w:val="en-US"/>
              </w:rPr>
              <w:t>Wandoan QGAP</w:t>
            </w:r>
          </w:p>
        </w:tc>
        <w:tc>
          <w:tcPr>
            <w:tcW w:w="3359" w:type="pct"/>
          </w:tcPr>
          <w:p w14:paraId="11DED170" w14:textId="77777777" w:rsidR="00FA2FF9" w:rsidRPr="00730DE4" w:rsidRDefault="00FA2FF9" w:rsidP="009D0A95">
            <w:pPr>
              <w:pStyle w:val="NoSpacing"/>
              <w:rPr>
                <w:lang w:val="en-US"/>
              </w:rPr>
            </w:pPr>
            <w:r w:rsidRPr="00730DE4">
              <w:rPr>
                <w:lang w:val="en-US"/>
              </w:rPr>
              <w:t>11 Lawton Street, Wandoan QLD 4419</w:t>
            </w:r>
          </w:p>
        </w:tc>
      </w:tr>
      <w:tr w:rsidR="00FA2FF9" w:rsidRPr="00730DE4" w14:paraId="51A9452E" w14:textId="77777777" w:rsidTr="00B9757A">
        <w:trPr>
          <w:cnfStyle w:val="000000100000" w:firstRow="0" w:lastRow="0" w:firstColumn="0" w:lastColumn="0" w:oddVBand="0" w:evenVBand="0" w:oddHBand="1" w:evenHBand="0" w:firstRowFirstColumn="0" w:firstRowLastColumn="0" w:lastRowFirstColumn="0" w:lastRowLastColumn="0"/>
        </w:trPr>
        <w:tc>
          <w:tcPr>
            <w:tcW w:w="1641" w:type="pct"/>
          </w:tcPr>
          <w:p w14:paraId="4D16FA6E" w14:textId="77777777" w:rsidR="00FA2FF9" w:rsidRPr="00730DE4" w:rsidRDefault="00FA2FF9" w:rsidP="009D0A95">
            <w:pPr>
              <w:pStyle w:val="NoSpacing"/>
              <w:rPr>
                <w:lang w:val="en-US"/>
              </w:rPr>
            </w:pPr>
            <w:r w:rsidRPr="00730DE4">
              <w:rPr>
                <w:lang w:val="en-US"/>
              </w:rPr>
              <w:t>Weipa QGAP</w:t>
            </w:r>
          </w:p>
        </w:tc>
        <w:tc>
          <w:tcPr>
            <w:tcW w:w="3359" w:type="pct"/>
          </w:tcPr>
          <w:p w14:paraId="05921E83" w14:textId="77777777" w:rsidR="00FA2FF9" w:rsidRPr="00730DE4" w:rsidRDefault="00FA2FF9" w:rsidP="009D0A95">
            <w:pPr>
              <w:pStyle w:val="NoSpacing"/>
              <w:rPr>
                <w:lang w:val="en-US"/>
              </w:rPr>
            </w:pPr>
            <w:r w:rsidRPr="00730DE4">
              <w:rPr>
                <w:lang w:val="en-US"/>
              </w:rPr>
              <w:t>Memorial Square, Central Avenue Weipa QLD 4874</w:t>
            </w:r>
          </w:p>
        </w:tc>
      </w:tr>
      <w:tr w:rsidR="00FA2FF9" w:rsidRPr="00730DE4" w14:paraId="5CE1F64E" w14:textId="77777777" w:rsidTr="00B9757A">
        <w:tc>
          <w:tcPr>
            <w:tcW w:w="1641" w:type="pct"/>
          </w:tcPr>
          <w:p w14:paraId="65CFDB63" w14:textId="77777777" w:rsidR="00FA2FF9" w:rsidRPr="00730DE4" w:rsidRDefault="00FA2FF9" w:rsidP="009D0A95">
            <w:pPr>
              <w:pStyle w:val="NoSpacing"/>
              <w:rPr>
                <w:lang w:val="en-US"/>
              </w:rPr>
            </w:pPr>
            <w:r w:rsidRPr="00730DE4">
              <w:rPr>
                <w:lang w:val="en-US"/>
              </w:rPr>
              <w:t>Windorah QGAP</w:t>
            </w:r>
          </w:p>
        </w:tc>
        <w:tc>
          <w:tcPr>
            <w:tcW w:w="3359" w:type="pct"/>
          </w:tcPr>
          <w:p w14:paraId="72205175" w14:textId="77777777" w:rsidR="00FA2FF9" w:rsidRPr="00730DE4" w:rsidRDefault="00FA2FF9" w:rsidP="009D0A95">
            <w:pPr>
              <w:pStyle w:val="NoSpacing"/>
              <w:rPr>
                <w:lang w:val="en-US"/>
              </w:rPr>
            </w:pPr>
            <w:r w:rsidRPr="00730DE4">
              <w:rPr>
                <w:lang w:val="en-US"/>
              </w:rPr>
              <w:t>Police Station, Victoria Street, Windorah QLD 4481</w:t>
            </w:r>
          </w:p>
        </w:tc>
      </w:tr>
      <w:tr w:rsidR="00FA2FF9" w:rsidRPr="00730DE4" w14:paraId="37645BA6" w14:textId="77777777" w:rsidTr="00B9757A">
        <w:trPr>
          <w:cnfStyle w:val="000000100000" w:firstRow="0" w:lastRow="0" w:firstColumn="0" w:lastColumn="0" w:oddVBand="0" w:evenVBand="0" w:oddHBand="1" w:evenHBand="0" w:firstRowFirstColumn="0" w:firstRowLastColumn="0" w:lastRowFirstColumn="0" w:lastRowLastColumn="0"/>
        </w:trPr>
        <w:tc>
          <w:tcPr>
            <w:tcW w:w="1641" w:type="pct"/>
          </w:tcPr>
          <w:p w14:paraId="63B2F177" w14:textId="77777777" w:rsidR="00FA2FF9" w:rsidRPr="00730DE4" w:rsidRDefault="00FA2FF9" w:rsidP="009D0A95">
            <w:pPr>
              <w:pStyle w:val="NoSpacing"/>
              <w:rPr>
                <w:lang w:val="en-US"/>
              </w:rPr>
            </w:pPr>
            <w:r w:rsidRPr="00730DE4">
              <w:rPr>
                <w:lang w:val="en-US"/>
              </w:rPr>
              <w:t>Winton QGAP (TMR led)</w:t>
            </w:r>
          </w:p>
        </w:tc>
        <w:tc>
          <w:tcPr>
            <w:tcW w:w="3359" w:type="pct"/>
          </w:tcPr>
          <w:p w14:paraId="62E647FB" w14:textId="77777777" w:rsidR="00FA2FF9" w:rsidRPr="00730DE4" w:rsidRDefault="00FA2FF9" w:rsidP="009D0A95">
            <w:pPr>
              <w:pStyle w:val="NoSpacing"/>
              <w:rPr>
                <w:lang w:val="en-US"/>
              </w:rPr>
            </w:pPr>
            <w:r w:rsidRPr="00730DE4">
              <w:rPr>
                <w:lang w:val="en-US"/>
              </w:rPr>
              <w:t>Winton Magistrates Court, 59 Vindex Street, Winton QLD 4735</w:t>
            </w:r>
          </w:p>
        </w:tc>
      </w:tr>
      <w:tr w:rsidR="00FA2FF9" w:rsidRPr="00730DE4" w14:paraId="599C5B10" w14:textId="77777777" w:rsidTr="00B9757A">
        <w:tc>
          <w:tcPr>
            <w:tcW w:w="1641" w:type="pct"/>
          </w:tcPr>
          <w:p w14:paraId="201CC5A0" w14:textId="77777777" w:rsidR="00FA2FF9" w:rsidRPr="00730DE4" w:rsidRDefault="00FA2FF9" w:rsidP="009D0A95">
            <w:pPr>
              <w:pStyle w:val="NoSpacing"/>
              <w:rPr>
                <w:lang w:val="en-US"/>
              </w:rPr>
            </w:pPr>
            <w:r w:rsidRPr="00730DE4">
              <w:rPr>
                <w:lang w:val="en-US"/>
              </w:rPr>
              <w:t>Yarrabah QGAP</w:t>
            </w:r>
          </w:p>
        </w:tc>
        <w:tc>
          <w:tcPr>
            <w:tcW w:w="3359" w:type="pct"/>
          </w:tcPr>
          <w:p w14:paraId="0AD64832" w14:textId="77777777" w:rsidR="00FA2FF9" w:rsidRPr="00730DE4" w:rsidRDefault="00FA2FF9" w:rsidP="009D0A95">
            <w:pPr>
              <w:pStyle w:val="NoSpacing"/>
              <w:rPr>
                <w:lang w:val="en-US"/>
              </w:rPr>
            </w:pPr>
            <w:r w:rsidRPr="00730DE4">
              <w:rPr>
                <w:lang w:val="en-US"/>
              </w:rPr>
              <w:t>56 Sawmill Road, Yarrabah QLD 4871</w:t>
            </w:r>
          </w:p>
        </w:tc>
      </w:tr>
      <w:tr w:rsidR="00FA2FF9" w:rsidRPr="00730DE4" w14:paraId="0D190FA9" w14:textId="77777777" w:rsidTr="00B9757A">
        <w:trPr>
          <w:cnfStyle w:val="000000100000" w:firstRow="0" w:lastRow="0" w:firstColumn="0" w:lastColumn="0" w:oddVBand="0" w:evenVBand="0" w:oddHBand="1" w:evenHBand="0" w:firstRowFirstColumn="0" w:firstRowLastColumn="0" w:lastRowFirstColumn="0" w:lastRowLastColumn="0"/>
        </w:trPr>
        <w:tc>
          <w:tcPr>
            <w:tcW w:w="1641" w:type="pct"/>
          </w:tcPr>
          <w:p w14:paraId="5E5E57CB" w14:textId="77777777" w:rsidR="00FA2FF9" w:rsidRPr="00730DE4" w:rsidRDefault="00FA2FF9" w:rsidP="009D0A95">
            <w:pPr>
              <w:pStyle w:val="NoSpacing"/>
              <w:rPr>
                <w:lang w:val="en-US"/>
              </w:rPr>
            </w:pPr>
            <w:r w:rsidRPr="00730DE4">
              <w:rPr>
                <w:lang w:val="en-US"/>
              </w:rPr>
              <w:t>Yeppoon QGAP (TMR led)</w:t>
            </w:r>
          </w:p>
        </w:tc>
        <w:tc>
          <w:tcPr>
            <w:tcW w:w="3359" w:type="pct"/>
          </w:tcPr>
          <w:p w14:paraId="645ADE8F" w14:textId="77777777" w:rsidR="00FA2FF9" w:rsidRPr="00730DE4" w:rsidRDefault="00FA2FF9" w:rsidP="009D0A95">
            <w:pPr>
              <w:pStyle w:val="NoSpacing"/>
              <w:rPr>
                <w:lang w:val="en-US"/>
              </w:rPr>
            </w:pPr>
            <w:r w:rsidRPr="00730DE4">
              <w:rPr>
                <w:lang w:val="en-US"/>
              </w:rPr>
              <w:t>21–23 Normanby Street, Yeppoon QLD 4703</w:t>
            </w:r>
          </w:p>
        </w:tc>
      </w:tr>
    </w:tbl>
    <w:p w14:paraId="15FE590F" w14:textId="77777777" w:rsidR="00FA2FF9" w:rsidRPr="00730DE4" w:rsidRDefault="00FA2FF9" w:rsidP="002B7001">
      <w:pPr>
        <w:pStyle w:val="Heading3"/>
      </w:pPr>
      <w:bookmarkStart w:id="1876" w:name="_Toc180487850"/>
      <w:bookmarkStart w:id="1877" w:name="_Toc180491055"/>
      <w:bookmarkStart w:id="1878" w:name="_Toc180492088"/>
      <w:r w:rsidRPr="00730DE4">
        <w:t>Key regional maritime offices</w:t>
      </w:r>
      <w:bookmarkEnd w:id="1876"/>
      <w:bookmarkEnd w:id="1877"/>
      <w:bookmarkEnd w:id="1878"/>
      <w:r w:rsidRPr="00730DE4">
        <w:t xml:space="preserve"> </w:t>
      </w:r>
    </w:p>
    <w:tbl>
      <w:tblPr>
        <w:tblStyle w:val="TMRDefault"/>
        <w:tblW w:w="5000" w:type="pct"/>
        <w:tblLook w:val="04A0" w:firstRow="1" w:lastRow="0" w:firstColumn="1" w:lastColumn="0" w:noHBand="0" w:noVBand="1"/>
      </w:tblPr>
      <w:tblGrid>
        <w:gridCol w:w="2205"/>
        <w:gridCol w:w="11787"/>
      </w:tblGrid>
      <w:tr w:rsidR="00FA2FF9" w:rsidRPr="00730DE4" w14:paraId="09EA92BA" w14:textId="77777777" w:rsidTr="00B9757A">
        <w:trPr>
          <w:cnfStyle w:val="100000000000" w:firstRow="1" w:lastRow="0" w:firstColumn="0" w:lastColumn="0" w:oddVBand="0" w:evenVBand="0" w:oddHBand="0" w:evenHBand="0" w:firstRowFirstColumn="0" w:firstRowLastColumn="0" w:lastRowFirstColumn="0" w:lastRowLastColumn="0"/>
          <w:tblHeader/>
        </w:trPr>
        <w:tc>
          <w:tcPr>
            <w:tcW w:w="788" w:type="pct"/>
          </w:tcPr>
          <w:p w14:paraId="59AB4C32" w14:textId="77777777" w:rsidR="00FA2FF9" w:rsidRPr="00730DE4" w:rsidRDefault="00FA2FF9" w:rsidP="009D0A95">
            <w:pPr>
              <w:pStyle w:val="NoSpacing"/>
              <w:rPr>
                <w:color w:val="FFFFFF" w:themeColor="background1"/>
              </w:rPr>
            </w:pPr>
            <w:r w:rsidRPr="00730DE4">
              <w:rPr>
                <w:color w:val="FFFFFF" w:themeColor="background1"/>
              </w:rPr>
              <w:t>Suburb/town</w:t>
            </w:r>
          </w:p>
        </w:tc>
        <w:tc>
          <w:tcPr>
            <w:tcW w:w="4212" w:type="pct"/>
          </w:tcPr>
          <w:p w14:paraId="1B96F967" w14:textId="77777777" w:rsidR="00FA2FF9" w:rsidRPr="00730DE4" w:rsidRDefault="00FA2FF9" w:rsidP="009D0A95">
            <w:pPr>
              <w:pStyle w:val="NoSpacing"/>
              <w:rPr>
                <w:color w:val="FFFFFF" w:themeColor="background1"/>
              </w:rPr>
            </w:pPr>
            <w:r w:rsidRPr="00730DE4">
              <w:rPr>
                <w:color w:val="FFFFFF" w:themeColor="background1"/>
              </w:rPr>
              <w:t>Address</w:t>
            </w:r>
          </w:p>
        </w:tc>
      </w:tr>
      <w:tr w:rsidR="00FA2FF9" w:rsidRPr="00730DE4" w14:paraId="589A7D15" w14:textId="77777777" w:rsidTr="00B9757A">
        <w:trPr>
          <w:cnfStyle w:val="000000100000" w:firstRow="0" w:lastRow="0" w:firstColumn="0" w:lastColumn="0" w:oddVBand="0" w:evenVBand="0" w:oddHBand="1" w:evenHBand="0" w:firstRowFirstColumn="0" w:firstRowLastColumn="0" w:lastRowFirstColumn="0" w:lastRowLastColumn="0"/>
        </w:trPr>
        <w:tc>
          <w:tcPr>
            <w:tcW w:w="788" w:type="pct"/>
          </w:tcPr>
          <w:p w14:paraId="070BA6CA" w14:textId="77777777" w:rsidR="00FA2FF9" w:rsidRPr="00730DE4" w:rsidRDefault="00FA2FF9" w:rsidP="009D0A95">
            <w:pPr>
              <w:pStyle w:val="NoSpacing"/>
            </w:pPr>
            <w:r w:rsidRPr="00730DE4">
              <w:t>Brisbane</w:t>
            </w:r>
          </w:p>
        </w:tc>
        <w:tc>
          <w:tcPr>
            <w:tcW w:w="4212" w:type="pct"/>
          </w:tcPr>
          <w:p w14:paraId="650A5638" w14:textId="77777777" w:rsidR="00FA2FF9" w:rsidRPr="00730DE4" w:rsidRDefault="00FA2FF9" w:rsidP="009D0A95">
            <w:pPr>
              <w:pStyle w:val="NoSpacing"/>
            </w:pPr>
            <w:r w:rsidRPr="00730DE4">
              <w:t>Floor 1, Pinkenba Marine Operations Base, MacArthur Avenue East, Pinkenba QLD 4008</w:t>
            </w:r>
          </w:p>
        </w:tc>
      </w:tr>
      <w:tr w:rsidR="00FA2FF9" w:rsidRPr="00730DE4" w14:paraId="788722F3" w14:textId="77777777" w:rsidTr="00B9757A">
        <w:tc>
          <w:tcPr>
            <w:tcW w:w="788" w:type="pct"/>
          </w:tcPr>
          <w:p w14:paraId="39BD6732" w14:textId="77777777" w:rsidR="00FA2FF9" w:rsidRPr="00730DE4" w:rsidRDefault="00FA2FF9" w:rsidP="009D0A95">
            <w:pPr>
              <w:pStyle w:val="NoSpacing"/>
            </w:pPr>
            <w:r w:rsidRPr="00730DE4">
              <w:t>Cairns</w:t>
            </w:r>
          </w:p>
        </w:tc>
        <w:tc>
          <w:tcPr>
            <w:tcW w:w="4212" w:type="pct"/>
          </w:tcPr>
          <w:p w14:paraId="322CB777" w14:textId="77777777" w:rsidR="00FA2FF9" w:rsidRPr="00730DE4" w:rsidRDefault="00FA2FF9" w:rsidP="009D0A95">
            <w:pPr>
              <w:pStyle w:val="NoSpacing"/>
            </w:pPr>
            <w:r w:rsidRPr="00730DE4">
              <w:t>Floor 1, Portsmith Marine Operations, 100–106 Tingira Street, Portsmith QLD 4870</w:t>
            </w:r>
          </w:p>
        </w:tc>
      </w:tr>
      <w:tr w:rsidR="00FA2FF9" w:rsidRPr="00730DE4" w14:paraId="15363AA3" w14:textId="77777777" w:rsidTr="00B9757A">
        <w:trPr>
          <w:cnfStyle w:val="000000100000" w:firstRow="0" w:lastRow="0" w:firstColumn="0" w:lastColumn="0" w:oddVBand="0" w:evenVBand="0" w:oddHBand="1" w:evenHBand="0" w:firstRowFirstColumn="0" w:firstRowLastColumn="0" w:lastRowFirstColumn="0" w:lastRowLastColumn="0"/>
        </w:trPr>
        <w:tc>
          <w:tcPr>
            <w:tcW w:w="788" w:type="pct"/>
          </w:tcPr>
          <w:p w14:paraId="7354B27E" w14:textId="77777777" w:rsidR="00FA2FF9" w:rsidRPr="00730DE4" w:rsidRDefault="00FA2FF9" w:rsidP="009D0A95">
            <w:pPr>
              <w:pStyle w:val="NoSpacing"/>
            </w:pPr>
            <w:r w:rsidRPr="00730DE4">
              <w:t>Gladstone</w:t>
            </w:r>
          </w:p>
        </w:tc>
        <w:tc>
          <w:tcPr>
            <w:tcW w:w="4212" w:type="pct"/>
          </w:tcPr>
          <w:p w14:paraId="13509379" w14:textId="77777777" w:rsidR="00FA2FF9" w:rsidRPr="00730DE4" w:rsidRDefault="00FA2FF9" w:rsidP="009D0A95">
            <w:pPr>
              <w:pStyle w:val="NoSpacing"/>
            </w:pPr>
            <w:r w:rsidRPr="00730DE4">
              <w:t>Floor 7, 21 Yarroon Street, Gladstone QLD 4680</w:t>
            </w:r>
          </w:p>
        </w:tc>
      </w:tr>
      <w:tr w:rsidR="00FA2FF9" w:rsidRPr="00730DE4" w14:paraId="53C89CE7" w14:textId="77777777" w:rsidTr="00B9757A">
        <w:tc>
          <w:tcPr>
            <w:tcW w:w="788" w:type="pct"/>
          </w:tcPr>
          <w:p w14:paraId="5C744319" w14:textId="77777777" w:rsidR="00FA2FF9" w:rsidRPr="00730DE4" w:rsidRDefault="00FA2FF9" w:rsidP="009D0A95">
            <w:pPr>
              <w:pStyle w:val="NoSpacing"/>
            </w:pPr>
            <w:r w:rsidRPr="00730DE4">
              <w:t>Mackay</w:t>
            </w:r>
          </w:p>
        </w:tc>
        <w:tc>
          <w:tcPr>
            <w:tcW w:w="4212" w:type="pct"/>
          </w:tcPr>
          <w:p w14:paraId="733F05A6" w14:textId="77777777" w:rsidR="00FA2FF9" w:rsidRPr="00730DE4" w:rsidRDefault="00FA2FF9" w:rsidP="009D0A95">
            <w:pPr>
              <w:pStyle w:val="NoSpacing"/>
            </w:pPr>
            <w:r w:rsidRPr="00730DE4">
              <w:t>Floor 3, Mackay Government Office Building, 44 Nelson Street, Mackay QLD 4740</w:t>
            </w:r>
          </w:p>
        </w:tc>
      </w:tr>
      <w:tr w:rsidR="00FA2FF9" w:rsidRPr="00730DE4" w14:paraId="1EF21B61" w14:textId="77777777" w:rsidTr="00B9757A">
        <w:trPr>
          <w:cnfStyle w:val="000000100000" w:firstRow="0" w:lastRow="0" w:firstColumn="0" w:lastColumn="0" w:oddVBand="0" w:evenVBand="0" w:oddHBand="1" w:evenHBand="0" w:firstRowFirstColumn="0" w:firstRowLastColumn="0" w:lastRowFirstColumn="0" w:lastRowLastColumn="0"/>
        </w:trPr>
        <w:tc>
          <w:tcPr>
            <w:tcW w:w="788" w:type="pct"/>
          </w:tcPr>
          <w:p w14:paraId="52381D76" w14:textId="77777777" w:rsidR="00FA2FF9" w:rsidRPr="00730DE4" w:rsidRDefault="00FA2FF9" w:rsidP="009D0A95">
            <w:pPr>
              <w:pStyle w:val="NoSpacing"/>
            </w:pPr>
            <w:r w:rsidRPr="00730DE4">
              <w:t xml:space="preserve">Townsville </w:t>
            </w:r>
          </w:p>
        </w:tc>
        <w:tc>
          <w:tcPr>
            <w:tcW w:w="4212" w:type="pct"/>
          </w:tcPr>
          <w:p w14:paraId="4DCF2603" w14:textId="77777777" w:rsidR="00FA2FF9" w:rsidRPr="00730DE4" w:rsidRDefault="00FA2FF9" w:rsidP="009D0A95">
            <w:pPr>
              <w:pStyle w:val="NoSpacing"/>
            </w:pPr>
            <w:r w:rsidRPr="00730DE4">
              <w:t>60 Ross Street, Townsville QLD 4810</w:t>
            </w:r>
          </w:p>
        </w:tc>
      </w:tr>
    </w:tbl>
    <w:p w14:paraId="3305E316" w14:textId="77777777" w:rsidR="00FA2FF9" w:rsidRPr="00730DE4" w:rsidRDefault="00FA2FF9" w:rsidP="0069763E">
      <w:pPr>
        <w:pStyle w:val="Caption"/>
      </w:pPr>
      <w:r w:rsidRPr="00730DE4">
        <w:t xml:space="preserve">A full list of MSQ offices can be found here </w:t>
      </w:r>
      <w:hyperlink r:id="rId160" w:history="1">
        <w:r w:rsidRPr="00730DE4">
          <w:rPr>
            <w:rStyle w:val="Hyperlink"/>
            <w:i/>
            <w:iCs/>
          </w:rPr>
          <w:t>https://www.msq.qld.gov.au/About-us/How-to-contact-us/Regions</w:t>
        </w:r>
      </w:hyperlink>
      <w:r w:rsidRPr="00730DE4">
        <w:t xml:space="preserve"> </w:t>
      </w:r>
    </w:p>
    <w:p w14:paraId="03E59378" w14:textId="77777777" w:rsidR="00FA2FF9" w:rsidRPr="00730DE4" w:rsidRDefault="00FA2FF9" w:rsidP="002B7001">
      <w:pPr>
        <w:pStyle w:val="Heading3"/>
      </w:pPr>
      <w:bookmarkStart w:id="1879" w:name="_Toc180487851"/>
      <w:bookmarkStart w:id="1880" w:name="_Toc180491056"/>
      <w:bookmarkStart w:id="1881" w:name="_Toc180492089"/>
      <w:r w:rsidRPr="00730DE4">
        <w:t>Trans</w:t>
      </w:r>
      <w:r w:rsidRPr="00730DE4">
        <w:rPr>
          <w:lang w:val="en-US"/>
        </w:rPr>
        <w:t>l</w:t>
      </w:r>
      <w:r w:rsidRPr="00730DE4">
        <w:t>ink regional contact centres</w:t>
      </w:r>
      <w:bookmarkEnd w:id="1879"/>
      <w:bookmarkEnd w:id="1880"/>
      <w:bookmarkEnd w:id="1881"/>
    </w:p>
    <w:tbl>
      <w:tblPr>
        <w:tblStyle w:val="TMRDefault"/>
        <w:tblW w:w="5000" w:type="pct"/>
        <w:tblLook w:val="04A0" w:firstRow="1" w:lastRow="0" w:firstColumn="1" w:lastColumn="0" w:noHBand="0" w:noVBand="1"/>
      </w:tblPr>
      <w:tblGrid>
        <w:gridCol w:w="2401"/>
        <w:gridCol w:w="11591"/>
      </w:tblGrid>
      <w:tr w:rsidR="00FA2FF9" w:rsidRPr="00730DE4" w14:paraId="6F7B8A69" w14:textId="77777777" w:rsidTr="00B9757A">
        <w:trPr>
          <w:cnfStyle w:val="100000000000" w:firstRow="1" w:lastRow="0" w:firstColumn="0" w:lastColumn="0" w:oddVBand="0" w:evenVBand="0" w:oddHBand="0" w:evenHBand="0" w:firstRowFirstColumn="0" w:firstRowLastColumn="0" w:lastRowFirstColumn="0" w:lastRowLastColumn="0"/>
          <w:tblHeader/>
        </w:trPr>
        <w:tc>
          <w:tcPr>
            <w:tcW w:w="858" w:type="pct"/>
          </w:tcPr>
          <w:p w14:paraId="19571938" w14:textId="77777777" w:rsidR="00FA2FF9" w:rsidRPr="00730DE4" w:rsidRDefault="00FA2FF9" w:rsidP="009D0A95">
            <w:pPr>
              <w:pStyle w:val="NoSpacing"/>
              <w:rPr>
                <w:color w:val="FFFFFF" w:themeColor="background1"/>
              </w:rPr>
            </w:pPr>
            <w:r w:rsidRPr="00730DE4">
              <w:rPr>
                <w:color w:val="FFFFFF" w:themeColor="background1"/>
              </w:rPr>
              <w:t>Suburb/town</w:t>
            </w:r>
          </w:p>
        </w:tc>
        <w:tc>
          <w:tcPr>
            <w:tcW w:w="4142" w:type="pct"/>
          </w:tcPr>
          <w:p w14:paraId="3D6F3CC8" w14:textId="77777777" w:rsidR="00FA2FF9" w:rsidRPr="00730DE4" w:rsidRDefault="00FA2FF9" w:rsidP="009D0A95">
            <w:pPr>
              <w:pStyle w:val="NoSpacing"/>
              <w:rPr>
                <w:color w:val="FFFFFF" w:themeColor="background1"/>
              </w:rPr>
            </w:pPr>
            <w:r w:rsidRPr="00730DE4">
              <w:rPr>
                <w:color w:val="FFFFFF" w:themeColor="background1"/>
              </w:rPr>
              <w:t>Address</w:t>
            </w:r>
          </w:p>
        </w:tc>
      </w:tr>
      <w:tr w:rsidR="00FA2FF9" w:rsidRPr="00730DE4" w14:paraId="3A39558E" w14:textId="77777777" w:rsidTr="00B9757A">
        <w:trPr>
          <w:cnfStyle w:val="000000100000" w:firstRow="0" w:lastRow="0" w:firstColumn="0" w:lastColumn="0" w:oddVBand="0" w:evenVBand="0" w:oddHBand="1" w:evenHBand="0" w:firstRowFirstColumn="0" w:firstRowLastColumn="0" w:lastRowFirstColumn="0" w:lastRowLastColumn="0"/>
        </w:trPr>
        <w:tc>
          <w:tcPr>
            <w:tcW w:w="858" w:type="pct"/>
          </w:tcPr>
          <w:p w14:paraId="7179E277" w14:textId="77777777" w:rsidR="00FA2FF9" w:rsidRPr="00730DE4" w:rsidRDefault="00FA2FF9" w:rsidP="009D0A95">
            <w:pPr>
              <w:pStyle w:val="NoSpacing"/>
            </w:pPr>
            <w:r w:rsidRPr="00730DE4">
              <w:t>Cairns</w:t>
            </w:r>
          </w:p>
        </w:tc>
        <w:tc>
          <w:tcPr>
            <w:tcW w:w="4142" w:type="pct"/>
          </w:tcPr>
          <w:p w14:paraId="6BF1E70A" w14:textId="77777777" w:rsidR="00FA2FF9" w:rsidRPr="00730DE4" w:rsidRDefault="00FA2FF9" w:rsidP="009D0A95">
            <w:pPr>
              <w:pStyle w:val="NoSpacing"/>
            </w:pPr>
            <w:r w:rsidRPr="00730DE4">
              <w:t>Floor 4, 15 Lake Street, Cairns QLD 4870</w:t>
            </w:r>
          </w:p>
        </w:tc>
      </w:tr>
      <w:tr w:rsidR="00FA2FF9" w:rsidRPr="00730DE4" w14:paraId="30C2F216" w14:textId="77777777" w:rsidTr="00B9757A">
        <w:tc>
          <w:tcPr>
            <w:tcW w:w="858" w:type="pct"/>
          </w:tcPr>
          <w:p w14:paraId="44940A38" w14:textId="77777777" w:rsidR="00FA2FF9" w:rsidRPr="00730DE4" w:rsidRDefault="00FA2FF9" w:rsidP="009D0A95">
            <w:pPr>
              <w:pStyle w:val="NoSpacing"/>
            </w:pPr>
            <w:r w:rsidRPr="00730DE4">
              <w:t>Carseldine</w:t>
            </w:r>
          </w:p>
        </w:tc>
        <w:tc>
          <w:tcPr>
            <w:tcW w:w="4142" w:type="pct"/>
          </w:tcPr>
          <w:p w14:paraId="7E58D3D1" w14:textId="77777777" w:rsidR="00FA2FF9" w:rsidRPr="00730DE4" w:rsidRDefault="00FA2FF9" w:rsidP="009D0A95">
            <w:pPr>
              <w:pStyle w:val="NoSpacing"/>
            </w:pPr>
            <w:r w:rsidRPr="00730DE4">
              <w:t>Building B, Floor 3, 532 Beams Road, Carseldine QLD 4034</w:t>
            </w:r>
          </w:p>
        </w:tc>
      </w:tr>
      <w:tr w:rsidR="00FA2FF9" w:rsidRPr="00730DE4" w14:paraId="3711D813" w14:textId="77777777" w:rsidTr="00B9757A">
        <w:trPr>
          <w:cnfStyle w:val="000000100000" w:firstRow="0" w:lastRow="0" w:firstColumn="0" w:lastColumn="0" w:oddVBand="0" w:evenVBand="0" w:oddHBand="1" w:evenHBand="0" w:firstRowFirstColumn="0" w:firstRowLastColumn="0" w:lastRowFirstColumn="0" w:lastRowLastColumn="0"/>
        </w:trPr>
        <w:tc>
          <w:tcPr>
            <w:tcW w:w="858" w:type="pct"/>
          </w:tcPr>
          <w:p w14:paraId="41CE04E4" w14:textId="77777777" w:rsidR="00FA2FF9" w:rsidRPr="00730DE4" w:rsidRDefault="00FA2FF9" w:rsidP="009D0A95">
            <w:pPr>
              <w:pStyle w:val="NoSpacing"/>
            </w:pPr>
            <w:r w:rsidRPr="00730DE4">
              <w:t xml:space="preserve">Ipswich </w:t>
            </w:r>
          </w:p>
        </w:tc>
        <w:tc>
          <w:tcPr>
            <w:tcW w:w="4142" w:type="pct"/>
          </w:tcPr>
          <w:p w14:paraId="179E82EF" w14:textId="77777777" w:rsidR="00FA2FF9" w:rsidRPr="00730DE4" w:rsidRDefault="00FA2FF9" w:rsidP="009D0A95">
            <w:pPr>
              <w:pStyle w:val="NoSpacing"/>
            </w:pPr>
            <w:r w:rsidRPr="00730DE4">
              <w:t>Floor 1, 28 Brisbane Road, Bundamba QLD 4304</w:t>
            </w:r>
          </w:p>
        </w:tc>
      </w:tr>
      <w:tr w:rsidR="00FA2FF9" w:rsidRPr="00730DE4" w14:paraId="2A34E0DB" w14:textId="77777777" w:rsidTr="00B9757A">
        <w:tc>
          <w:tcPr>
            <w:tcW w:w="858" w:type="pct"/>
          </w:tcPr>
          <w:p w14:paraId="429B3528" w14:textId="77777777" w:rsidR="00FA2FF9" w:rsidRPr="00730DE4" w:rsidRDefault="00FA2FF9" w:rsidP="009D0A95">
            <w:pPr>
              <w:pStyle w:val="NoSpacing"/>
            </w:pPr>
            <w:r w:rsidRPr="00730DE4">
              <w:t>Mackay</w:t>
            </w:r>
          </w:p>
        </w:tc>
        <w:tc>
          <w:tcPr>
            <w:tcW w:w="4142" w:type="pct"/>
          </w:tcPr>
          <w:p w14:paraId="57531AB8" w14:textId="77777777" w:rsidR="00FA2FF9" w:rsidRPr="00730DE4" w:rsidRDefault="00FA2FF9" w:rsidP="009D0A95">
            <w:pPr>
              <w:pStyle w:val="NoSpacing"/>
            </w:pPr>
            <w:r w:rsidRPr="00730DE4">
              <w:t>Floor 3, 44 Nelson Street, Mackay QLD 4740</w:t>
            </w:r>
          </w:p>
        </w:tc>
      </w:tr>
      <w:tr w:rsidR="00FA2FF9" w:rsidRPr="00730DE4" w14:paraId="151062E7" w14:textId="77777777" w:rsidTr="00B9757A">
        <w:trPr>
          <w:cnfStyle w:val="000000100000" w:firstRow="0" w:lastRow="0" w:firstColumn="0" w:lastColumn="0" w:oddVBand="0" w:evenVBand="0" w:oddHBand="1" w:evenHBand="0" w:firstRowFirstColumn="0" w:firstRowLastColumn="0" w:lastRowFirstColumn="0" w:lastRowLastColumn="0"/>
        </w:trPr>
        <w:tc>
          <w:tcPr>
            <w:tcW w:w="858" w:type="pct"/>
          </w:tcPr>
          <w:p w14:paraId="49A30D7F" w14:textId="77777777" w:rsidR="00FA2FF9" w:rsidRPr="00730DE4" w:rsidRDefault="00FA2FF9" w:rsidP="009D0A95">
            <w:pPr>
              <w:pStyle w:val="NoSpacing"/>
            </w:pPr>
            <w:r w:rsidRPr="00730DE4">
              <w:t>Sunshine Coast</w:t>
            </w:r>
          </w:p>
        </w:tc>
        <w:tc>
          <w:tcPr>
            <w:tcW w:w="4142" w:type="pct"/>
          </w:tcPr>
          <w:p w14:paraId="0F49961C" w14:textId="77777777" w:rsidR="00FA2FF9" w:rsidRPr="00730DE4" w:rsidRDefault="00FA2FF9" w:rsidP="009D0A95">
            <w:pPr>
              <w:pStyle w:val="NoSpacing"/>
            </w:pPr>
            <w:r w:rsidRPr="00730DE4">
              <w:t>50 Wises Road, Buderim QLD 4556</w:t>
            </w:r>
          </w:p>
        </w:tc>
      </w:tr>
      <w:tr w:rsidR="00FA2FF9" w:rsidRPr="00730DE4" w14:paraId="562FBBD0" w14:textId="77777777" w:rsidTr="00B9757A">
        <w:tc>
          <w:tcPr>
            <w:tcW w:w="858" w:type="pct"/>
          </w:tcPr>
          <w:p w14:paraId="30AEEA45" w14:textId="77777777" w:rsidR="00FA2FF9" w:rsidRPr="00730DE4" w:rsidRDefault="00FA2FF9" w:rsidP="009D0A95">
            <w:pPr>
              <w:pStyle w:val="NoSpacing"/>
            </w:pPr>
            <w:r w:rsidRPr="00730DE4">
              <w:t>Maryborough</w:t>
            </w:r>
          </w:p>
        </w:tc>
        <w:tc>
          <w:tcPr>
            <w:tcW w:w="4142" w:type="pct"/>
          </w:tcPr>
          <w:p w14:paraId="415E354E" w14:textId="77777777" w:rsidR="00FA2FF9" w:rsidRPr="00730DE4" w:rsidRDefault="00FA2FF9" w:rsidP="009D0A95">
            <w:pPr>
              <w:pStyle w:val="NoSpacing"/>
            </w:pPr>
            <w:r w:rsidRPr="00730DE4">
              <w:t>Bright Street, Maryborough QLD 4650</w:t>
            </w:r>
          </w:p>
        </w:tc>
      </w:tr>
      <w:tr w:rsidR="00FA2FF9" w:rsidRPr="00730DE4" w14:paraId="49D221EA" w14:textId="77777777" w:rsidTr="00B9757A">
        <w:trPr>
          <w:cnfStyle w:val="000000100000" w:firstRow="0" w:lastRow="0" w:firstColumn="0" w:lastColumn="0" w:oddVBand="0" w:evenVBand="0" w:oddHBand="1" w:evenHBand="0" w:firstRowFirstColumn="0" w:firstRowLastColumn="0" w:lastRowFirstColumn="0" w:lastRowLastColumn="0"/>
        </w:trPr>
        <w:tc>
          <w:tcPr>
            <w:tcW w:w="858" w:type="pct"/>
          </w:tcPr>
          <w:p w14:paraId="00450989" w14:textId="77777777" w:rsidR="00FA2FF9" w:rsidRPr="00730DE4" w:rsidRDefault="00FA2FF9" w:rsidP="009D0A95">
            <w:pPr>
              <w:pStyle w:val="NoSpacing"/>
            </w:pPr>
            <w:r w:rsidRPr="00730DE4">
              <w:t xml:space="preserve">Rockhampton </w:t>
            </w:r>
          </w:p>
        </w:tc>
        <w:tc>
          <w:tcPr>
            <w:tcW w:w="4142" w:type="pct"/>
          </w:tcPr>
          <w:p w14:paraId="738B809E" w14:textId="77777777" w:rsidR="00FA2FF9" w:rsidRPr="00730DE4" w:rsidRDefault="00FA2FF9" w:rsidP="009D0A95">
            <w:pPr>
              <w:pStyle w:val="NoSpacing"/>
            </w:pPr>
            <w:r w:rsidRPr="00730DE4">
              <w:t>31 Knight Street, North Rockhampton QLD 4701</w:t>
            </w:r>
          </w:p>
        </w:tc>
      </w:tr>
      <w:tr w:rsidR="00FA2FF9" w:rsidRPr="00730DE4" w14:paraId="696B64DF" w14:textId="77777777" w:rsidTr="00B9757A">
        <w:tc>
          <w:tcPr>
            <w:tcW w:w="858" w:type="pct"/>
          </w:tcPr>
          <w:p w14:paraId="1D6BE141" w14:textId="77777777" w:rsidR="00FA2FF9" w:rsidRPr="00730DE4" w:rsidRDefault="00FA2FF9" w:rsidP="009D0A95">
            <w:pPr>
              <w:pStyle w:val="NoSpacing"/>
            </w:pPr>
            <w:r w:rsidRPr="00730DE4">
              <w:t>Roma</w:t>
            </w:r>
          </w:p>
        </w:tc>
        <w:tc>
          <w:tcPr>
            <w:tcW w:w="4142" w:type="pct"/>
          </w:tcPr>
          <w:p w14:paraId="4EAD4CE2" w14:textId="77777777" w:rsidR="00FA2FF9" w:rsidRPr="00730DE4" w:rsidRDefault="00FA2FF9" w:rsidP="009D0A95">
            <w:pPr>
              <w:pStyle w:val="NoSpacing"/>
            </w:pPr>
            <w:r w:rsidRPr="00730DE4">
              <w:t>56 Gregory Street, Roma QLD 4455</w:t>
            </w:r>
          </w:p>
        </w:tc>
      </w:tr>
      <w:tr w:rsidR="00FA2FF9" w:rsidRPr="00730DE4" w14:paraId="23DBF522" w14:textId="77777777" w:rsidTr="00B9757A">
        <w:trPr>
          <w:cnfStyle w:val="000000100000" w:firstRow="0" w:lastRow="0" w:firstColumn="0" w:lastColumn="0" w:oddVBand="0" w:evenVBand="0" w:oddHBand="1" w:evenHBand="0" w:firstRowFirstColumn="0" w:firstRowLastColumn="0" w:lastRowFirstColumn="0" w:lastRowLastColumn="0"/>
        </w:trPr>
        <w:tc>
          <w:tcPr>
            <w:tcW w:w="858" w:type="pct"/>
          </w:tcPr>
          <w:p w14:paraId="5809B8FE" w14:textId="77777777" w:rsidR="00FA2FF9" w:rsidRPr="00730DE4" w:rsidRDefault="00FA2FF9" w:rsidP="009D0A95">
            <w:pPr>
              <w:pStyle w:val="NoSpacing"/>
            </w:pPr>
            <w:r w:rsidRPr="00730DE4">
              <w:t>Southport</w:t>
            </w:r>
          </w:p>
        </w:tc>
        <w:tc>
          <w:tcPr>
            <w:tcW w:w="4142" w:type="pct"/>
          </w:tcPr>
          <w:p w14:paraId="080ADD64" w14:textId="77777777" w:rsidR="00FA2FF9" w:rsidRPr="00730DE4" w:rsidRDefault="00FA2FF9" w:rsidP="009D0A95">
            <w:pPr>
              <w:pStyle w:val="NoSpacing"/>
            </w:pPr>
            <w:r w:rsidRPr="00730DE4">
              <w:t>Floor 8, 12 Marine Parade, Southport QLD 4215</w:t>
            </w:r>
          </w:p>
        </w:tc>
      </w:tr>
      <w:tr w:rsidR="00FA2FF9" w:rsidRPr="00730DE4" w14:paraId="7C08ADAF" w14:textId="77777777" w:rsidTr="00B9757A">
        <w:tc>
          <w:tcPr>
            <w:tcW w:w="858" w:type="pct"/>
          </w:tcPr>
          <w:p w14:paraId="4857EED8" w14:textId="77777777" w:rsidR="00FA2FF9" w:rsidRPr="00730DE4" w:rsidRDefault="00FA2FF9" w:rsidP="009D0A95">
            <w:pPr>
              <w:pStyle w:val="NoSpacing"/>
            </w:pPr>
            <w:r w:rsidRPr="00730DE4">
              <w:t>Toowoomba</w:t>
            </w:r>
          </w:p>
        </w:tc>
        <w:tc>
          <w:tcPr>
            <w:tcW w:w="4142" w:type="pct"/>
          </w:tcPr>
          <w:p w14:paraId="7072B7F9" w14:textId="77777777" w:rsidR="00FA2FF9" w:rsidRPr="00730DE4" w:rsidRDefault="00FA2FF9" w:rsidP="009D0A95">
            <w:pPr>
              <w:pStyle w:val="NoSpacing"/>
            </w:pPr>
            <w:r w:rsidRPr="00730DE4">
              <w:t>Level 1, 367 Ruthven Street, Toowoomba QLD 4350</w:t>
            </w:r>
          </w:p>
        </w:tc>
      </w:tr>
      <w:tr w:rsidR="00FA2FF9" w:rsidRPr="00730DE4" w14:paraId="30CC36A2" w14:textId="77777777" w:rsidTr="00B9757A">
        <w:trPr>
          <w:cnfStyle w:val="000000100000" w:firstRow="0" w:lastRow="0" w:firstColumn="0" w:lastColumn="0" w:oddVBand="0" w:evenVBand="0" w:oddHBand="1" w:evenHBand="0" w:firstRowFirstColumn="0" w:firstRowLastColumn="0" w:lastRowFirstColumn="0" w:lastRowLastColumn="0"/>
        </w:trPr>
        <w:tc>
          <w:tcPr>
            <w:tcW w:w="858" w:type="pct"/>
          </w:tcPr>
          <w:p w14:paraId="73FC17DE" w14:textId="77777777" w:rsidR="00FA2FF9" w:rsidRPr="00730DE4" w:rsidRDefault="00FA2FF9" w:rsidP="009D0A95">
            <w:pPr>
              <w:pStyle w:val="NoSpacing"/>
            </w:pPr>
            <w:r w:rsidRPr="00730DE4">
              <w:t>Townsville</w:t>
            </w:r>
          </w:p>
        </w:tc>
        <w:tc>
          <w:tcPr>
            <w:tcW w:w="4142" w:type="pct"/>
          </w:tcPr>
          <w:p w14:paraId="292CA53F" w14:textId="77777777" w:rsidR="00FA2FF9" w:rsidRPr="00730DE4" w:rsidRDefault="00FA2FF9" w:rsidP="009D0A95">
            <w:pPr>
              <w:pStyle w:val="NoSpacing"/>
            </w:pPr>
            <w:r w:rsidRPr="00730DE4">
              <w:t>Floor 5, Townsville Government Office Building, 445 Flinders Street, Townsville, QLD 4810</w:t>
            </w:r>
          </w:p>
        </w:tc>
      </w:tr>
    </w:tbl>
    <w:p w14:paraId="5559A359" w14:textId="108B378D" w:rsidR="00FA2FF9" w:rsidRPr="00730DE4" w:rsidRDefault="00FA2FF9" w:rsidP="002B7001">
      <w:pPr>
        <w:pStyle w:val="Heading3"/>
      </w:pPr>
      <w:bookmarkStart w:id="1882" w:name="_Toc180487852"/>
      <w:bookmarkStart w:id="1883" w:name="_Toc180491057"/>
      <w:bookmarkStart w:id="1884" w:name="_Toc180492090"/>
      <w:r w:rsidRPr="00730DE4">
        <w:t>Traffic management centres</w:t>
      </w:r>
      <w:bookmarkEnd w:id="1882"/>
      <w:bookmarkEnd w:id="1883"/>
      <w:bookmarkEnd w:id="1884"/>
      <w:r w:rsidRPr="00730DE4">
        <w:t xml:space="preserve"> </w:t>
      </w:r>
    </w:p>
    <w:tbl>
      <w:tblPr>
        <w:tblStyle w:val="TMRDefault"/>
        <w:tblW w:w="5000" w:type="pct"/>
        <w:tblLook w:val="04A0" w:firstRow="1" w:lastRow="0" w:firstColumn="1" w:lastColumn="0" w:noHBand="0" w:noVBand="1"/>
      </w:tblPr>
      <w:tblGrid>
        <w:gridCol w:w="6316"/>
        <w:gridCol w:w="7676"/>
      </w:tblGrid>
      <w:tr w:rsidR="00FA2FF9" w:rsidRPr="00730DE4" w14:paraId="1D8E12A4" w14:textId="77777777" w:rsidTr="00B9757A">
        <w:trPr>
          <w:cnfStyle w:val="100000000000" w:firstRow="1" w:lastRow="0" w:firstColumn="0" w:lastColumn="0" w:oddVBand="0" w:evenVBand="0" w:oddHBand="0" w:evenHBand="0" w:firstRowFirstColumn="0" w:firstRowLastColumn="0" w:lastRowFirstColumn="0" w:lastRowLastColumn="0"/>
          <w:tblHeader/>
        </w:trPr>
        <w:tc>
          <w:tcPr>
            <w:tcW w:w="2257" w:type="pct"/>
          </w:tcPr>
          <w:p w14:paraId="6ADC6871" w14:textId="77777777" w:rsidR="00FA2FF9" w:rsidRPr="00730DE4" w:rsidRDefault="00FA2FF9" w:rsidP="009D0A95">
            <w:pPr>
              <w:pStyle w:val="NoSpacing"/>
              <w:rPr>
                <w:color w:val="FFFFFF" w:themeColor="background1"/>
              </w:rPr>
            </w:pPr>
            <w:r w:rsidRPr="00730DE4">
              <w:rPr>
                <w:color w:val="FFFFFF" w:themeColor="background1"/>
              </w:rPr>
              <w:t>Office</w:t>
            </w:r>
          </w:p>
        </w:tc>
        <w:tc>
          <w:tcPr>
            <w:tcW w:w="2743" w:type="pct"/>
          </w:tcPr>
          <w:p w14:paraId="249FB276" w14:textId="77777777" w:rsidR="00FA2FF9" w:rsidRPr="00730DE4" w:rsidRDefault="00FA2FF9" w:rsidP="009D0A95">
            <w:pPr>
              <w:pStyle w:val="NoSpacing"/>
              <w:rPr>
                <w:color w:val="FFFFFF" w:themeColor="background1"/>
              </w:rPr>
            </w:pPr>
            <w:r w:rsidRPr="00730DE4">
              <w:rPr>
                <w:color w:val="FFFFFF" w:themeColor="background1"/>
              </w:rPr>
              <w:t>Contact</w:t>
            </w:r>
          </w:p>
        </w:tc>
      </w:tr>
      <w:tr w:rsidR="00FA2FF9" w:rsidRPr="00730DE4" w14:paraId="452A8A6D" w14:textId="77777777" w:rsidTr="00B9757A">
        <w:trPr>
          <w:cnfStyle w:val="000000100000" w:firstRow="0" w:lastRow="0" w:firstColumn="0" w:lastColumn="0" w:oddVBand="0" w:evenVBand="0" w:oddHBand="1" w:evenHBand="0" w:firstRowFirstColumn="0" w:firstRowLastColumn="0" w:lastRowFirstColumn="0" w:lastRowLastColumn="0"/>
        </w:trPr>
        <w:tc>
          <w:tcPr>
            <w:tcW w:w="2257" w:type="pct"/>
          </w:tcPr>
          <w:p w14:paraId="6E6DD2C6" w14:textId="77777777" w:rsidR="00FA2FF9" w:rsidRPr="00730DE4" w:rsidRDefault="00FA2FF9" w:rsidP="009D0A95">
            <w:pPr>
              <w:pStyle w:val="NoSpacing"/>
            </w:pPr>
            <w:r w:rsidRPr="00730DE4">
              <w:t>Brisbane Metropolitan Transport Management Centre</w:t>
            </w:r>
          </w:p>
        </w:tc>
        <w:tc>
          <w:tcPr>
            <w:tcW w:w="2743" w:type="pct"/>
          </w:tcPr>
          <w:p w14:paraId="063BF4CA" w14:textId="77777777" w:rsidR="00FA2FF9" w:rsidRPr="00730DE4" w:rsidRDefault="00FA2FF9" w:rsidP="009D0A95">
            <w:pPr>
              <w:pStyle w:val="NoSpacing"/>
            </w:pPr>
            <w:r w:rsidRPr="00730DE4">
              <w:t>Phone: (07) 3292 6000 Post: GPO Box 1434, Brisbane QLD 4001</w:t>
            </w:r>
          </w:p>
        </w:tc>
      </w:tr>
      <w:tr w:rsidR="00FA2FF9" w:rsidRPr="00730DE4" w14:paraId="688D1A04" w14:textId="77777777" w:rsidTr="00B9757A">
        <w:tc>
          <w:tcPr>
            <w:tcW w:w="2257" w:type="pct"/>
          </w:tcPr>
          <w:p w14:paraId="0C0D5569" w14:textId="77777777" w:rsidR="00FA2FF9" w:rsidRPr="00730DE4" w:rsidRDefault="00FA2FF9" w:rsidP="009D0A95">
            <w:pPr>
              <w:pStyle w:val="NoSpacing"/>
            </w:pPr>
            <w:r w:rsidRPr="00730DE4">
              <w:t>Statewide Traffic Management Centre, Nerang</w:t>
            </w:r>
          </w:p>
        </w:tc>
        <w:tc>
          <w:tcPr>
            <w:tcW w:w="2743" w:type="pct"/>
          </w:tcPr>
          <w:p w14:paraId="76926081" w14:textId="77777777" w:rsidR="00FA2FF9" w:rsidRPr="00730DE4" w:rsidRDefault="00FA2FF9" w:rsidP="009D0A95">
            <w:pPr>
              <w:pStyle w:val="NoSpacing"/>
            </w:pPr>
            <w:r w:rsidRPr="00730DE4">
              <w:t>Phone: (07) 5561 3800</w:t>
            </w:r>
          </w:p>
        </w:tc>
      </w:tr>
      <w:tr w:rsidR="00FA2FF9" w:rsidRPr="00730DE4" w14:paraId="71574783" w14:textId="77777777" w:rsidTr="00B9757A">
        <w:trPr>
          <w:cnfStyle w:val="000000100000" w:firstRow="0" w:lastRow="0" w:firstColumn="0" w:lastColumn="0" w:oddVBand="0" w:evenVBand="0" w:oddHBand="1" w:evenHBand="0" w:firstRowFirstColumn="0" w:firstRowLastColumn="0" w:lastRowFirstColumn="0" w:lastRowLastColumn="0"/>
        </w:trPr>
        <w:tc>
          <w:tcPr>
            <w:tcW w:w="2257" w:type="pct"/>
          </w:tcPr>
          <w:p w14:paraId="082BEDB0" w14:textId="77777777" w:rsidR="00FA2FF9" w:rsidRPr="00730DE4" w:rsidRDefault="00FA2FF9" w:rsidP="009D0A95">
            <w:pPr>
              <w:pStyle w:val="NoSpacing"/>
            </w:pPr>
            <w:r w:rsidRPr="00730DE4">
              <w:t>Maroochydore Traffic Management Centre</w:t>
            </w:r>
          </w:p>
        </w:tc>
        <w:tc>
          <w:tcPr>
            <w:tcW w:w="2743" w:type="pct"/>
          </w:tcPr>
          <w:p w14:paraId="184A3170" w14:textId="77777777" w:rsidR="00FA2FF9" w:rsidRPr="00730DE4" w:rsidRDefault="00FA2FF9" w:rsidP="009D0A95">
            <w:pPr>
              <w:pStyle w:val="NoSpacing"/>
            </w:pPr>
            <w:r w:rsidRPr="00730DE4">
              <w:t>Phone: (07) 5313 8737</w:t>
            </w:r>
          </w:p>
        </w:tc>
      </w:tr>
      <w:tr w:rsidR="00FA2FF9" w:rsidRPr="00730DE4" w14:paraId="3B1994F6" w14:textId="77777777" w:rsidTr="00B9757A">
        <w:tc>
          <w:tcPr>
            <w:tcW w:w="2257" w:type="pct"/>
          </w:tcPr>
          <w:p w14:paraId="3C5F64C6" w14:textId="77777777" w:rsidR="00FA2FF9" w:rsidRPr="00730DE4" w:rsidRDefault="00FA2FF9" w:rsidP="009D0A95">
            <w:pPr>
              <w:pStyle w:val="NoSpacing"/>
            </w:pPr>
            <w:r w:rsidRPr="00730DE4">
              <w:t>Townsville Traffic Management Centre</w:t>
            </w:r>
          </w:p>
        </w:tc>
        <w:tc>
          <w:tcPr>
            <w:tcW w:w="2743" w:type="pct"/>
          </w:tcPr>
          <w:p w14:paraId="32A9E742" w14:textId="77777777" w:rsidR="00FA2FF9" w:rsidRPr="00730DE4" w:rsidRDefault="00FA2FF9" w:rsidP="009D0A95">
            <w:pPr>
              <w:pStyle w:val="NoSpacing"/>
            </w:pPr>
            <w:r w:rsidRPr="00730DE4">
              <w:t>Phone: (07) 4421 8807</w:t>
            </w:r>
          </w:p>
        </w:tc>
      </w:tr>
      <w:tr w:rsidR="00FA2FF9" w:rsidRPr="00730DE4" w14:paraId="0FD4C9F4" w14:textId="77777777" w:rsidTr="00B9757A">
        <w:trPr>
          <w:cnfStyle w:val="000000100000" w:firstRow="0" w:lastRow="0" w:firstColumn="0" w:lastColumn="0" w:oddVBand="0" w:evenVBand="0" w:oddHBand="1" w:evenHBand="0" w:firstRowFirstColumn="0" w:firstRowLastColumn="0" w:lastRowFirstColumn="0" w:lastRowLastColumn="0"/>
        </w:trPr>
        <w:tc>
          <w:tcPr>
            <w:tcW w:w="2257" w:type="pct"/>
          </w:tcPr>
          <w:p w14:paraId="5F746DDE" w14:textId="77777777" w:rsidR="00FA2FF9" w:rsidRPr="00730DE4" w:rsidRDefault="00FA2FF9" w:rsidP="009D0A95">
            <w:pPr>
              <w:pStyle w:val="NoSpacing"/>
            </w:pPr>
            <w:r w:rsidRPr="00730DE4">
              <w:t>Cairns Traffic Management Centre</w:t>
            </w:r>
          </w:p>
        </w:tc>
        <w:tc>
          <w:tcPr>
            <w:tcW w:w="2743" w:type="pct"/>
          </w:tcPr>
          <w:p w14:paraId="10A7C8F3" w14:textId="77777777" w:rsidR="00FA2FF9" w:rsidRPr="00730DE4" w:rsidRDefault="00FA2FF9" w:rsidP="009D0A95">
            <w:pPr>
              <w:pStyle w:val="NoSpacing"/>
            </w:pPr>
            <w:r w:rsidRPr="00730DE4">
              <w:t>Phone: (07) 4045 7244</w:t>
            </w:r>
          </w:p>
        </w:tc>
      </w:tr>
      <w:tr w:rsidR="00FA2FF9" w:rsidRPr="00730DE4" w14:paraId="22986BCD" w14:textId="77777777" w:rsidTr="00B9757A">
        <w:tc>
          <w:tcPr>
            <w:tcW w:w="2257" w:type="pct"/>
          </w:tcPr>
          <w:p w14:paraId="7154478A" w14:textId="77777777" w:rsidR="00FA2FF9" w:rsidRPr="00730DE4" w:rsidRDefault="00FA2FF9" w:rsidP="009D0A95">
            <w:pPr>
              <w:pStyle w:val="NoSpacing"/>
            </w:pPr>
            <w:r w:rsidRPr="00730DE4">
              <w:t>Toowoomba Traffic Management Centre</w:t>
            </w:r>
          </w:p>
        </w:tc>
        <w:tc>
          <w:tcPr>
            <w:tcW w:w="2743" w:type="pct"/>
          </w:tcPr>
          <w:p w14:paraId="49497849" w14:textId="77777777" w:rsidR="00FA2FF9" w:rsidRPr="00730DE4" w:rsidRDefault="00FA2FF9" w:rsidP="009D0A95">
            <w:pPr>
              <w:pStyle w:val="NoSpacing"/>
            </w:pPr>
            <w:r w:rsidRPr="00730DE4">
              <w:t>Phone: (07) 4639 0700</w:t>
            </w:r>
          </w:p>
        </w:tc>
      </w:tr>
    </w:tbl>
    <w:p w14:paraId="7563D154" w14:textId="60379857" w:rsidR="00FA2FF9" w:rsidRPr="00730DE4" w:rsidRDefault="00FA2FF9" w:rsidP="002B7001">
      <w:pPr>
        <w:pStyle w:val="Heading3"/>
      </w:pPr>
      <w:bookmarkStart w:id="1885" w:name="_Toc180487853"/>
      <w:bookmarkStart w:id="1886" w:name="_Toc180491058"/>
      <w:bookmarkStart w:id="1887" w:name="_Toc180492091"/>
      <w:r w:rsidRPr="00730DE4">
        <w:t>Transport and traffic information</w:t>
      </w:r>
      <w:bookmarkEnd w:id="1885"/>
      <w:bookmarkEnd w:id="1886"/>
      <w:bookmarkEnd w:id="1887"/>
    </w:p>
    <w:tbl>
      <w:tblPr>
        <w:tblStyle w:val="TMRDefault"/>
        <w:tblW w:w="5000" w:type="pct"/>
        <w:tblLook w:val="04A0" w:firstRow="1" w:lastRow="0" w:firstColumn="1" w:lastColumn="0" w:noHBand="0" w:noVBand="1"/>
      </w:tblPr>
      <w:tblGrid>
        <w:gridCol w:w="3280"/>
        <w:gridCol w:w="10712"/>
      </w:tblGrid>
      <w:tr w:rsidR="00FA2FF9" w:rsidRPr="00730DE4" w14:paraId="258D4222" w14:textId="77777777" w:rsidTr="002D6779">
        <w:trPr>
          <w:cnfStyle w:val="100000000000" w:firstRow="1" w:lastRow="0" w:firstColumn="0" w:lastColumn="0" w:oddVBand="0" w:evenVBand="0" w:oddHBand="0" w:evenHBand="0" w:firstRowFirstColumn="0" w:firstRowLastColumn="0" w:lastRowFirstColumn="0" w:lastRowLastColumn="0"/>
          <w:tblHeader/>
        </w:trPr>
        <w:tc>
          <w:tcPr>
            <w:tcW w:w="1172" w:type="pct"/>
          </w:tcPr>
          <w:p w14:paraId="116280F3" w14:textId="77777777" w:rsidR="00FA2FF9" w:rsidRPr="00730DE4" w:rsidRDefault="00FA2FF9" w:rsidP="009D0A95">
            <w:pPr>
              <w:pStyle w:val="NoSpacing"/>
              <w:rPr>
                <w:color w:val="FFFFFF" w:themeColor="background1"/>
              </w:rPr>
            </w:pPr>
            <w:r w:rsidRPr="00730DE4">
              <w:rPr>
                <w:color w:val="FFFFFF" w:themeColor="background1"/>
              </w:rPr>
              <w:t>Office</w:t>
            </w:r>
          </w:p>
        </w:tc>
        <w:tc>
          <w:tcPr>
            <w:tcW w:w="3828" w:type="pct"/>
          </w:tcPr>
          <w:p w14:paraId="0AF9A074" w14:textId="77777777" w:rsidR="00FA2FF9" w:rsidRPr="00730DE4" w:rsidRDefault="00FA2FF9" w:rsidP="009D0A95">
            <w:pPr>
              <w:pStyle w:val="NoSpacing"/>
              <w:rPr>
                <w:color w:val="FFFFFF" w:themeColor="background1"/>
              </w:rPr>
            </w:pPr>
            <w:r w:rsidRPr="00730DE4">
              <w:rPr>
                <w:color w:val="FFFFFF" w:themeColor="background1"/>
              </w:rPr>
              <w:t>Contact</w:t>
            </w:r>
          </w:p>
        </w:tc>
      </w:tr>
      <w:tr w:rsidR="00FA2FF9" w:rsidRPr="00730DE4" w14:paraId="23D5098D" w14:textId="77777777" w:rsidTr="0069763E">
        <w:trPr>
          <w:cnfStyle w:val="000000100000" w:firstRow="0" w:lastRow="0" w:firstColumn="0" w:lastColumn="0" w:oddVBand="0" w:evenVBand="0" w:oddHBand="1" w:evenHBand="0" w:firstRowFirstColumn="0" w:firstRowLastColumn="0" w:lastRowFirstColumn="0" w:lastRowLastColumn="0"/>
        </w:trPr>
        <w:tc>
          <w:tcPr>
            <w:tcW w:w="1172" w:type="pct"/>
          </w:tcPr>
          <w:p w14:paraId="372ECA79" w14:textId="77777777" w:rsidR="00FA2FF9" w:rsidRPr="00730DE4" w:rsidRDefault="00FA2FF9" w:rsidP="009D0A95">
            <w:pPr>
              <w:pStyle w:val="NoSpacing"/>
            </w:pPr>
            <w:r w:rsidRPr="00730DE4">
              <w:t>Public transport</w:t>
            </w:r>
          </w:p>
        </w:tc>
        <w:tc>
          <w:tcPr>
            <w:tcW w:w="3828" w:type="pct"/>
          </w:tcPr>
          <w:p w14:paraId="191A5FAC" w14:textId="076C0223" w:rsidR="00FA2FF9" w:rsidRPr="00730DE4" w:rsidRDefault="00FA2FF9" w:rsidP="009D0A95">
            <w:pPr>
              <w:pStyle w:val="NoSpacing"/>
            </w:pPr>
            <w:r w:rsidRPr="00730DE4">
              <w:t xml:space="preserve">Phone: 13 12 30 Web: </w:t>
            </w:r>
            <w:hyperlink r:id="rId161" w:history="1">
              <w:r w:rsidR="0011594D" w:rsidRPr="00730DE4">
                <w:rPr>
                  <w:rStyle w:val="Hyperlink"/>
                </w:rPr>
                <w:t>www.translink.com.au</w:t>
              </w:r>
            </w:hyperlink>
          </w:p>
        </w:tc>
      </w:tr>
      <w:tr w:rsidR="00FA2FF9" w:rsidRPr="00730DE4" w14:paraId="1FCCFE79" w14:textId="77777777" w:rsidTr="0069763E">
        <w:tc>
          <w:tcPr>
            <w:tcW w:w="1172" w:type="pct"/>
          </w:tcPr>
          <w:p w14:paraId="3EDC2550" w14:textId="77777777" w:rsidR="00FA2FF9" w:rsidRPr="00730DE4" w:rsidRDefault="00FA2FF9" w:rsidP="009D0A95">
            <w:pPr>
              <w:pStyle w:val="NoSpacing"/>
            </w:pPr>
            <w:r w:rsidRPr="00730DE4">
              <w:t>Traffic information</w:t>
            </w:r>
          </w:p>
        </w:tc>
        <w:tc>
          <w:tcPr>
            <w:tcW w:w="3828" w:type="pct"/>
          </w:tcPr>
          <w:p w14:paraId="1E9045A8" w14:textId="61E669DC" w:rsidR="00FA2FF9" w:rsidRPr="00730DE4" w:rsidRDefault="00FA2FF9" w:rsidP="009D0A95">
            <w:pPr>
              <w:pStyle w:val="NoSpacing"/>
            </w:pPr>
            <w:r w:rsidRPr="00730DE4">
              <w:t xml:space="preserve">Phone: 13 19 40 Web: </w:t>
            </w:r>
            <w:hyperlink r:id="rId162" w:history="1">
              <w:r w:rsidR="0011594D" w:rsidRPr="00730DE4">
                <w:rPr>
                  <w:rStyle w:val="Hyperlink"/>
                </w:rPr>
                <w:t>https://qldtraffic.qld.gov.au</w:t>
              </w:r>
            </w:hyperlink>
          </w:p>
        </w:tc>
      </w:tr>
    </w:tbl>
    <w:p w14:paraId="5B9EB507" w14:textId="77777777" w:rsidR="00FA2FF9" w:rsidRPr="00730DE4" w:rsidRDefault="00FA2FF9" w:rsidP="002B7001">
      <w:pPr>
        <w:pStyle w:val="Heading3"/>
      </w:pPr>
      <w:bookmarkStart w:id="1888" w:name="_Toc180487854"/>
      <w:bookmarkStart w:id="1889" w:name="_Toc180491059"/>
      <w:bookmarkStart w:id="1890" w:name="_Toc180492092"/>
      <w:r w:rsidRPr="00730DE4">
        <w:t>Motor Vehicle Inspection Centres</w:t>
      </w:r>
      <w:bookmarkEnd w:id="1888"/>
      <w:bookmarkEnd w:id="1889"/>
      <w:bookmarkEnd w:id="1890"/>
      <w:r w:rsidRPr="00730DE4">
        <w:rPr>
          <w:lang w:val="en-US"/>
        </w:rPr>
        <w:t xml:space="preserve"> </w:t>
      </w:r>
    </w:p>
    <w:p w14:paraId="7293B637" w14:textId="77777777" w:rsidR="00FA2FF9" w:rsidRPr="00730DE4" w:rsidRDefault="00FA2FF9" w:rsidP="009D0A95">
      <w:pPr>
        <w:rPr>
          <w:lang w:val="en-US"/>
        </w:rPr>
      </w:pPr>
      <w:r w:rsidRPr="00730DE4">
        <w:rPr>
          <w:lang w:val="en-US"/>
        </w:rPr>
        <w:t xml:space="preserve">Heavy vehicle inspections are now performed by the National Heavy Vehicle Regulator. You can book a heavy vehicle inspection using TMR’s online service </w:t>
      </w:r>
      <w:hyperlink r:id="rId163" w:history="1">
        <w:r w:rsidRPr="00730DE4">
          <w:rPr>
            <w:rStyle w:val="Hyperlink"/>
            <w:lang w:val="en-US"/>
          </w:rPr>
          <w:t>https://www.service.transport.qld.gov.au/SBSExternal/public/WelcomeVehicleInspection.xhtml</w:t>
        </w:r>
      </w:hyperlink>
    </w:p>
    <w:p w14:paraId="27C252AB" w14:textId="77777777" w:rsidR="00FA2FF9" w:rsidRPr="00730DE4" w:rsidRDefault="00FA2FF9" w:rsidP="002B7001">
      <w:pPr>
        <w:pStyle w:val="Heading4"/>
        <w:rPr>
          <w:lang w:val="en-US"/>
        </w:rPr>
      </w:pPr>
      <w:bookmarkStart w:id="1891" w:name="_Toc180487855"/>
      <w:bookmarkStart w:id="1892" w:name="_Toc180491060"/>
      <w:bookmarkStart w:id="1893" w:name="_Toc180492093"/>
      <w:r w:rsidRPr="00730DE4">
        <w:t>South East Queensland South</w:t>
      </w:r>
      <w:bookmarkEnd w:id="1891"/>
      <w:bookmarkEnd w:id="1892"/>
      <w:bookmarkEnd w:id="1893"/>
    </w:p>
    <w:p w14:paraId="64EA392B" w14:textId="77777777" w:rsidR="00FA2FF9" w:rsidRPr="00730DE4" w:rsidRDefault="00FA2FF9" w:rsidP="009D0A95">
      <w:pPr>
        <w:pStyle w:val="ListBullet"/>
      </w:pPr>
      <w:r w:rsidRPr="00730DE4">
        <w:t>Darra MVIC, Argyle Parade, Darra 4077</w:t>
      </w:r>
    </w:p>
    <w:p w14:paraId="08A018AA" w14:textId="77777777" w:rsidR="00FA2FF9" w:rsidRPr="00730DE4" w:rsidRDefault="00FA2FF9" w:rsidP="009D0A95">
      <w:pPr>
        <w:pStyle w:val="ListBullet"/>
      </w:pPr>
      <w:r w:rsidRPr="00730DE4">
        <w:t>Ipswich MVIC, 2 Colvin Street, North Ipswich 4305</w:t>
      </w:r>
    </w:p>
    <w:p w14:paraId="00DEF6C5" w14:textId="77777777" w:rsidR="00FA2FF9" w:rsidRPr="00730DE4" w:rsidRDefault="00FA2FF9" w:rsidP="009D0A95">
      <w:pPr>
        <w:pStyle w:val="ListBullet"/>
      </w:pPr>
      <w:r w:rsidRPr="00730DE4">
        <w:t>Bundall MVIC, 30 Upton Street, Bundall 4217</w:t>
      </w:r>
    </w:p>
    <w:p w14:paraId="04ADA236" w14:textId="77777777" w:rsidR="00FA2FF9" w:rsidRPr="00730DE4" w:rsidRDefault="00FA2FF9" w:rsidP="009D0A95">
      <w:pPr>
        <w:pStyle w:val="ListBullet"/>
      </w:pPr>
      <w:r w:rsidRPr="00730DE4">
        <w:t>Beenleigh MVIC, 31 Logan River Road, Beenleigh 4207</w:t>
      </w:r>
    </w:p>
    <w:p w14:paraId="14349F67" w14:textId="77777777" w:rsidR="00FA2FF9" w:rsidRPr="00730DE4" w:rsidRDefault="00FA2FF9" w:rsidP="009D0A95">
      <w:pPr>
        <w:pStyle w:val="ListBullet"/>
      </w:pPr>
      <w:r w:rsidRPr="00730DE4">
        <w:t>Logan MVIC, 43–45 Jacaranda Avenue, Logan Central 4114</w:t>
      </w:r>
    </w:p>
    <w:p w14:paraId="41D3F0B7" w14:textId="77777777" w:rsidR="00FA2FF9" w:rsidRPr="00730DE4" w:rsidRDefault="00FA2FF9" w:rsidP="002B7001">
      <w:pPr>
        <w:pStyle w:val="Heading4"/>
        <w:rPr>
          <w:lang w:val="en-US"/>
        </w:rPr>
      </w:pPr>
      <w:bookmarkStart w:id="1894" w:name="_Toc180487856"/>
      <w:bookmarkStart w:id="1895" w:name="_Toc180491061"/>
      <w:bookmarkStart w:id="1896" w:name="_Toc180492094"/>
      <w:r w:rsidRPr="00730DE4">
        <w:t>South East Queensland North</w:t>
      </w:r>
      <w:bookmarkEnd w:id="1894"/>
      <w:bookmarkEnd w:id="1895"/>
      <w:bookmarkEnd w:id="1896"/>
    </w:p>
    <w:p w14:paraId="7AC6832F" w14:textId="77777777" w:rsidR="00FA2FF9" w:rsidRPr="00730DE4" w:rsidRDefault="00FA2FF9" w:rsidP="009D0A95">
      <w:pPr>
        <w:pStyle w:val="ListBullet"/>
      </w:pPr>
      <w:r w:rsidRPr="00730DE4">
        <w:t>Maroochydore MVIC, 5 Kelly Court, Maroochydore QLD 4558</w:t>
      </w:r>
    </w:p>
    <w:p w14:paraId="2CA3AB45" w14:textId="77777777" w:rsidR="00FA2FF9" w:rsidRPr="00730DE4" w:rsidRDefault="00FA2FF9" w:rsidP="009D0A95">
      <w:pPr>
        <w:pStyle w:val="ListBullet"/>
      </w:pPr>
      <w:r w:rsidRPr="00730DE4">
        <w:t>Zillmere MVIC, 69 Pineapple Street, Zillmere QLD 4034</w:t>
      </w:r>
    </w:p>
    <w:p w14:paraId="1DEE4006" w14:textId="77777777" w:rsidR="00FA2FF9" w:rsidRPr="00730DE4" w:rsidRDefault="00FA2FF9" w:rsidP="002B7001">
      <w:pPr>
        <w:pStyle w:val="Heading4"/>
      </w:pPr>
      <w:bookmarkStart w:id="1897" w:name="_Toc180487857"/>
      <w:bookmarkStart w:id="1898" w:name="_Toc180491062"/>
      <w:bookmarkStart w:id="1899" w:name="_Toc180492095"/>
      <w:r w:rsidRPr="00730DE4">
        <w:t>Southern</w:t>
      </w:r>
      <w:bookmarkEnd w:id="1897"/>
      <w:bookmarkEnd w:id="1898"/>
      <w:bookmarkEnd w:id="1899"/>
    </w:p>
    <w:p w14:paraId="581AE45E" w14:textId="77777777" w:rsidR="00FA2FF9" w:rsidRPr="00730DE4" w:rsidRDefault="00FA2FF9" w:rsidP="009D0A95">
      <w:pPr>
        <w:pStyle w:val="ListBullet"/>
      </w:pPr>
      <w:r w:rsidRPr="00730DE4">
        <w:t>Bundaberg MVIC, 14 Production Street, Bundaberg QLD 4670</w:t>
      </w:r>
    </w:p>
    <w:p w14:paraId="1AB7E136" w14:textId="77777777" w:rsidR="00FA2FF9" w:rsidRPr="00730DE4" w:rsidRDefault="00FA2FF9" w:rsidP="009D0A95">
      <w:pPr>
        <w:pStyle w:val="ListBullet"/>
      </w:pPr>
      <w:r w:rsidRPr="00730DE4">
        <w:t>Maryborough MVIC, Bright Street, Maryborough QLD 4650</w:t>
      </w:r>
    </w:p>
    <w:p w14:paraId="1B47A026" w14:textId="77777777" w:rsidR="00FA2FF9" w:rsidRPr="00730DE4" w:rsidRDefault="00FA2FF9" w:rsidP="009D0A95">
      <w:pPr>
        <w:pStyle w:val="ListBullet"/>
      </w:pPr>
      <w:r w:rsidRPr="00730DE4">
        <w:t>Warwick MVIC, 1 Parker Street, Warwick QLD 4370</w:t>
      </w:r>
    </w:p>
    <w:p w14:paraId="25D788E1" w14:textId="77777777" w:rsidR="00FA2FF9" w:rsidRPr="00730DE4" w:rsidRDefault="00FA2FF9" w:rsidP="009D0A95">
      <w:pPr>
        <w:pStyle w:val="ListBullet"/>
      </w:pPr>
      <w:r w:rsidRPr="00730DE4">
        <w:t>Roma MVIC, 44 Tiffin Street, Roma QLD 4455</w:t>
      </w:r>
    </w:p>
    <w:p w14:paraId="58AAE69F" w14:textId="77777777" w:rsidR="00FA2FF9" w:rsidRPr="00730DE4" w:rsidRDefault="00FA2FF9" w:rsidP="009D0A95">
      <w:pPr>
        <w:pStyle w:val="ListBullet"/>
      </w:pPr>
      <w:r w:rsidRPr="00730DE4">
        <w:t>Toowoomba (Harristown) MVIC, Cnr Yaldwyn and Warwick Streets, Toowoomba QLD 4350</w:t>
      </w:r>
    </w:p>
    <w:p w14:paraId="2F5E3529" w14:textId="77777777" w:rsidR="00FA2FF9" w:rsidRPr="00730DE4" w:rsidRDefault="00FA2FF9" w:rsidP="009D0A95">
      <w:pPr>
        <w:pStyle w:val="ListBullet"/>
      </w:pPr>
      <w:r w:rsidRPr="00730DE4">
        <w:t>Gympie MVIC, 17 Oak Street, Gympie QLD 4570</w:t>
      </w:r>
    </w:p>
    <w:p w14:paraId="4C2A1FBD" w14:textId="77777777" w:rsidR="00FA2FF9" w:rsidRPr="00730DE4" w:rsidRDefault="00FA2FF9" w:rsidP="002B7001">
      <w:pPr>
        <w:pStyle w:val="Heading4"/>
      </w:pPr>
      <w:bookmarkStart w:id="1900" w:name="_Toc180487858"/>
      <w:bookmarkStart w:id="1901" w:name="_Toc180491063"/>
      <w:bookmarkStart w:id="1902" w:name="_Toc180492096"/>
      <w:r w:rsidRPr="00730DE4">
        <w:t>Central</w:t>
      </w:r>
      <w:bookmarkEnd w:id="1900"/>
      <w:bookmarkEnd w:id="1901"/>
      <w:bookmarkEnd w:id="1902"/>
    </w:p>
    <w:p w14:paraId="07107832" w14:textId="77777777" w:rsidR="00FA2FF9" w:rsidRPr="00730DE4" w:rsidRDefault="00FA2FF9" w:rsidP="009D0A95">
      <w:pPr>
        <w:pStyle w:val="ListBullet"/>
      </w:pPr>
      <w:r w:rsidRPr="00730DE4">
        <w:t>Emerald MVIC, 20 Batts Street, Emerald QLD 4720</w:t>
      </w:r>
    </w:p>
    <w:p w14:paraId="1DDFC42C" w14:textId="77777777" w:rsidR="00FA2FF9" w:rsidRPr="00730DE4" w:rsidRDefault="00FA2FF9" w:rsidP="009D0A95">
      <w:pPr>
        <w:pStyle w:val="ListBullet"/>
      </w:pPr>
      <w:r w:rsidRPr="00730DE4">
        <w:t>Mackay MVIC, Corner Endeavour and Industrial Streets, Mackay QLD 4740</w:t>
      </w:r>
    </w:p>
    <w:p w14:paraId="2C7593B1" w14:textId="77777777" w:rsidR="00FA2FF9" w:rsidRPr="00730DE4" w:rsidRDefault="00FA2FF9" w:rsidP="009D0A95">
      <w:pPr>
        <w:pStyle w:val="ListBullet"/>
      </w:pPr>
      <w:r w:rsidRPr="00730DE4">
        <w:t>Longreach MVIC, 14 Wonga Street, Longreach QLD 4730</w:t>
      </w:r>
    </w:p>
    <w:p w14:paraId="35AFC09F" w14:textId="77777777" w:rsidR="00FA2FF9" w:rsidRPr="00730DE4" w:rsidRDefault="00FA2FF9" w:rsidP="009D0A95">
      <w:pPr>
        <w:pStyle w:val="ListBullet"/>
      </w:pPr>
      <w:r w:rsidRPr="00730DE4">
        <w:t>Gladstone MVIC, 2 Paterson Street, Gladstone QLD 4680</w:t>
      </w:r>
    </w:p>
    <w:p w14:paraId="327D6D01" w14:textId="77777777" w:rsidR="00FA2FF9" w:rsidRPr="00730DE4" w:rsidRDefault="00FA2FF9" w:rsidP="009D0A95">
      <w:pPr>
        <w:pStyle w:val="ListBullet"/>
      </w:pPr>
      <w:r w:rsidRPr="00730DE4">
        <w:t>Rockhampton MVIC, 31 Knight Street, North Rockhampton QLD 4701</w:t>
      </w:r>
    </w:p>
    <w:p w14:paraId="10CB7FA8" w14:textId="77777777" w:rsidR="00FA2FF9" w:rsidRPr="00730DE4" w:rsidRDefault="00FA2FF9" w:rsidP="002B7001">
      <w:pPr>
        <w:pStyle w:val="Heading4"/>
      </w:pPr>
      <w:bookmarkStart w:id="1903" w:name="_Toc180487859"/>
      <w:bookmarkStart w:id="1904" w:name="_Toc180491064"/>
      <w:bookmarkStart w:id="1905" w:name="_Toc180492097"/>
      <w:r w:rsidRPr="00730DE4">
        <w:t>Northern</w:t>
      </w:r>
      <w:bookmarkEnd w:id="1903"/>
      <w:bookmarkEnd w:id="1904"/>
      <w:bookmarkEnd w:id="1905"/>
    </w:p>
    <w:p w14:paraId="69ECFDA9" w14:textId="77777777" w:rsidR="00FA2FF9" w:rsidRPr="00730DE4" w:rsidRDefault="00FA2FF9" w:rsidP="009D0A95">
      <w:pPr>
        <w:pStyle w:val="ListBullet"/>
      </w:pPr>
      <w:r w:rsidRPr="00730DE4">
        <w:t>Cairns MVIC, 82–86 Kenny Street, Portsmith 4870</w:t>
      </w:r>
    </w:p>
    <w:p w14:paraId="43CC2DFC" w14:textId="77777777" w:rsidR="00FA2FF9" w:rsidRPr="00730DE4" w:rsidRDefault="00FA2FF9" w:rsidP="009D0A95">
      <w:pPr>
        <w:pStyle w:val="ListBullet"/>
      </w:pPr>
      <w:r w:rsidRPr="00730DE4">
        <w:t>Townsville MVIC, 21–35 Leyland Street, Garbutt 4814</w:t>
      </w:r>
    </w:p>
    <w:p w14:paraId="0B0D047A" w14:textId="77777777" w:rsidR="00FA2FF9" w:rsidRPr="00730DE4" w:rsidRDefault="00FA2FF9" w:rsidP="009D0A95">
      <w:pPr>
        <w:pStyle w:val="ListBullet"/>
      </w:pPr>
      <w:r w:rsidRPr="00730DE4">
        <w:t>Mount Isa MVIC, 17 Enterprise Road, Mount Isa 4825</w:t>
      </w:r>
    </w:p>
    <w:p w14:paraId="0D716D54" w14:textId="77777777" w:rsidR="00FA2FF9" w:rsidRPr="00730DE4" w:rsidRDefault="00FA2FF9" w:rsidP="009D0A95">
      <w:pPr>
        <w:pStyle w:val="ListBullet"/>
      </w:pPr>
      <w:r w:rsidRPr="00730DE4">
        <w:t>Innisfail MVIC, 12–14 Clifford Road, Innisfail 4860</w:t>
      </w:r>
    </w:p>
    <w:p w14:paraId="537BDB0C" w14:textId="04AE83F9" w:rsidR="00FA2FF9" w:rsidRPr="00730DE4" w:rsidRDefault="00FA2FF9" w:rsidP="002B7001">
      <w:pPr>
        <w:pStyle w:val="Heading3"/>
        <w:rPr>
          <w:lang w:val="en-US"/>
        </w:rPr>
      </w:pPr>
      <w:bookmarkStart w:id="1906" w:name="_Toc180487860"/>
      <w:bookmarkStart w:id="1907" w:name="_Toc180491065"/>
      <w:bookmarkStart w:id="1908" w:name="_Toc180492098"/>
      <w:r w:rsidRPr="00730DE4">
        <w:rPr>
          <w:lang w:val="en-US"/>
        </w:rPr>
        <w:t>Queensland Government Customer and Digital Group</w:t>
      </w:r>
      <w:bookmarkEnd w:id="1906"/>
      <w:bookmarkEnd w:id="1907"/>
      <w:bookmarkEnd w:id="1908"/>
    </w:p>
    <w:p w14:paraId="518F49A7" w14:textId="77777777" w:rsidR="00FA2FF9" w:rsidRPr="00730DE4" w:rsidRDefault="00FA2FF9" w:rsidP="009D0A95">
      <w:pPr>
        <w:rPr>
          <w:lang w:val="en-US"/>
        </w:rPr>
      </w:pPr>
      <w:r w:rsidRPr="00730DE4">
        <w:rPr>
          <w:lang w:val="en-US"/>
        </w:rPr>
        <w:t xml:space="preserve">Further information about the services we provide is available at </w:t>
      </w:r>
      <w:hyperlink r:id="rId164" w:history="1">
        <w:r w:rsidRPr="00730DE4">
          <w:rPr>
            <w:rStyle w:val="Hyperlink"/>
            <w:lang w:val="en-US"/>
          </w:rPr>
          <w:t>www.qld.gov.au</w:t>
        </w:r>
      </w:hyperlink>
      <w:r w:rsidRPr="00730DE4">
        <w:rPr>
          <w:lang w:val="en-US"/>
        </w:rPr>
        <w:t xml:space="preserve"> or by calling 13 QGOV (13 74 68).</w:t>
      </w:r>
    </w:p>
    <w:p w14:paraId="010973E6" w14:textId="77777777" w:rsidR="00FA2FF9" w:rsidRPr="00730DE4" w:rsidRDefault="00FA2FF9" w:rsidP="002B7001">
      <w:pPr>
        <w:pStyle w:val="Heading4"/>
        <w:rPr>
          <w:lang w:val="en-US"/>
        </w:rPr>
      </w:pPr>
      <w:bookmarkStart w:id="1909" w:name="_Toc180487861"/>
      <w:bookmarkStart w:id="1910" w:name="_Toc180491066"/>
      <w:bookmarkStart w:id="1911" w:name="_Toc180492099"/>
      <w:r w:rsidRPr="00730DE4">
        <w:rPr>
          <w:lang w:val="en-US"/>
        </w:rPr>
        <w:t>Brisbane CBD</w:t>
      </w:r>
      <w:bookmarkEnd w:id="1909"/>
      <w:bookmarkEnd w:id="1910"/>
      <w:bookmarkEnd w:id="1911"/>
    </w:p>
    <w:tbl>
      <w:tblPr>
        <w:tblStyle w:val="TMRDefault"/>
        <w:tblW w:w="5000" w:type="pct"/>
        <w:tblLook w:val="04A0" w:firstRow="1" w:lastRow="0" w:firstColumn="1" w:lastColumn="0" w:noHBand="0" w:noVBand="1"/>
      </w:tblPr>
      <w:tblGrid>
        <w:gridCol w:w="7211"/>
        <w:gridCol w:w="6781"/>
      </w:tblGrid>
      <w:tr w:rsidR="00FA2FF9" w:rsidRPr="00730DE4" w14:paraId="6E0BF988" w14:textId="77777777" w:rsidTr="00B9757A">
        <w:trPr>
          <w:cnfStyle w:val="100000000000" w:firstRow="1" w:lastRow="0" w:firstColumn="0" w:lastColumn="0" w:oddVBand="0" w:evenVBand="0" w:oddHBand="0" w:evenHBand="0" w:firstRowFirstColumn="0" w:firstRowLastColumn="0" w:lastRowFirstColumn="0" w:lastRowLastColumn="0"/>
          <w:tblHeader/>
        </w:trPr>
        <w:tc>
          <w:tcPr>
            <w:tcW w:w="2577" w:type="pct"/>
          </w:tcPr>
          <w:p w14:paraId="62AFE511" w14:textId="77777777" w:rsidR="00FA2FF9" w:rsidRPr="00730DE4" w:rsidRDefault="00FA2FF9" w:rsidP="009D0A95">
            <w:pPr>
              <w:pStyle w:val="NoSpacing"/>
              <w:rPr>
                <w:color w:val="FFFFFF" w:themeColor="background1"/>
                <w:lang w:val="en-US"/>
              </w:rPr>
            </w:pPr>
            <w:r w:rsidRPr="00730DE4">
              <w:rPr>
                <w:color w:val="FFFFFF" w:themeColor="background1"/>
              </w:rPr>
              <w:t>Office</w:t>
            </w:r>
          </w:p>
        </w:tc>
        <w:tc>
          <w:tcPr>
            <w:tcW w:w="2423" w:type="pct"/>
          </w:tcPr>
          <w:p w14:paraId="10F3A4F5" w14:textId="77777777" w:rsidR="00FA2FF9" w:rsidRPr="00730DE4" w:rsidRDefault="00FA2FF9" w:rsidP="009D0A95">
            <w:pPr>
              <w:pStyle w:val="NoSpacing"/>
              <w:rPr>
                <w:color w:val="FFFFFF" w:themeColor="background1"/>
                <w:lang w:val="en-US"/>
              </w:rPr>
            </w:pPr>
            <w:r w:rsidRPr="00730DE4">
              <w:rPr>
                <w:color w:val="FFFFFF" w:themeColor="background1"/>
              </w:rPr>
              <w:t>Address</w:t>
            </w:r>
          </w:p>
        </w:tc>
      </w:tr>
      <w:tr w:rsidR="00FA2FF9" w:rsidRPr="00730DE4" w14:paraId="04ED9EA0" w14:textId="77777777" w:rsidTr="00B9757A">
        <w:trPr>
          <w:cnfStyle w:val="000000100000" w:firstRow="0" w:lastRow="0" w:firstColumn="0" w:lastColumn="0" w:oddVBand="0" w:evenVBand="0" w:oddHBand="1" w:evenHBand="0" w:firstRowFirstColumn="0" w:firstRowLastColumn="0" w:lastRowFirstColumn="0" w:lastRowLastColumn="0"/>
        </w:trPr>
        <w:tc>
          <w:tcPr>
            <w:tcW w:w="2577" w:type="pct"/>
          </w:tcPr>
          <w:p w14:paraId="5C70CEE4" w14:textId="77777777" w:rsidR="00FA2FF9" w:rsidRPr="00730DE4" w:rsidRDefault="00FA2FF9" w:rsidP="009D0A95">
            <w:pPr>
              <w:pStyle w:val="NoSpacing"/>
            </w:pPr>
            <w:r w:rsidRPr="00730DE4">
              <w:t>Office of the Chief Customer and Digital Officer</w:t>
            </w:r>
          </w:p>
        </w:tc>
        <w:tc>
          <w:tcPr>
            <w:tcW w:w="2423" w:type="pct"/>
          </w:tcPr>
          <w:p w14:paraId="6EBDDDA9" w14:textId="77777777" w:rsidR="00FA2FF9" w:rsidRPr="00730DE4" w:rsidRDefault="00FA2FF9" w:rsidP="009D0A95">
            <w:pPr>
              <w:pStyle w:val="NoSpacing"/>
            </w:pPr>
            <w:r w:rsidRPr="00730DE4">
              <w:t>111 George Street, Brisbane QLD 4000</w:t>
            </w:r>
          </w:p>
        </w:tc>
      </w:tr>
      <w:tr w:rsidR="00FA2FF9" w:rsidRPr="00730DE4" w14:paraId="04DD1BD9" w14:textId="77777777" w:rsidTr="00B9757A">
        <w:tc>
          <w:tcPr>
            <w:tcW w:w="2577" w:type="pct"/>
          </w:tcPr>
          <w:p w14:paraId="2AEB07EA" w14:textId="77777777" w:rsidR="00FA2FF9" w:rsidRPr="00730DE4" w:rsidRDefault="00FA2FF9" w:rsidP="009D0A95">
            <w:pPr>
              <w:pStyle w:val="NoSpacing"/>
              <w:rPr>
                <w:lang w:val="en-US"/>
              </w:rPr>
            </w:pPr>
            <w:r w:rsidRPr="00730DE4">
              <w:rPr>
                <w:lang w:val="en-US"/>
              </w:rPr>
              <w:t>Customer and Digital Strategy</w:t>
            </w:r>
          </w:p>
        </w:tc>
        <w:tc>
          <w:tcPr>
            <w:tcW w:w="2423" w:type="pct"/>
          </w:tcPr>
          <w:p w14:paraId="159B60CB" w14:textId="77777777" w:rsidR="00FA2FF9" w:rsidRPr="00730DE4" w:rsidRDefault="00FA2FF9" w:rsidP="009D0A95">
            <w:pPr>
              <w:pStyle w:val="NoSpacing"/>
              <w:rPr>
                <w:lang w:val="en-US"/>
              </w:rPr>
            </w:pPr>
            <w:r w:rsidRPr="00730DE4">
              <w:rPr>
                <w:lang w:val="en-US"/>
              </w:rPr>
              <w:t>111 George Street, Brisbane QLD 4000</w:t>
            </w:r>
          </w:p>
        </w:tc>
      </w:tr>
      <w:tr w:rsidR="00FA2FF9" w:rsidRPr="00730DE4" w14:paraId="09BD6D2D" w14:textId="77777777" w:rsidTr="00B9757A">
        <w:trPr>
          <w:cnfStyle w:val="000000100000" w:firstRow="0" w:lastRow="0" w:firstColumn="0" w:lastColumn="0" w:oddVBand="0" w:evenVBand="0" w:oddHBand="1" w:evenHBand="0" w:firstRowFirstColumn="0" w:firstRowLastColumn="0" w:lastRowFirstColumn="0" w:lastRowLastColumn="0"/>
        </w:trPr>
        <w:tc>
          <w:tcPr>
            <w:tcW w:w="2577" w:type="pct"/>
          </w:tcPr>
          <w:p w14:paraId="31820DFA" w14:textId="77777777" w:rsidR="00FA2FF9" w:rsidRPr="00730DE4" w:rsidRDefault="00FA2FF9" w:rsidP="009D0A95">
            <w:pPr>
              <w:pStyle w:val="NoSpacing"/>
              <w:rPr>
                <w:lang w:val="en-US"/>
              </w:rPr>
            </w:pPr>
            <w:r w:rsidRPr="00730DE4">
              <w:rPr>
                <w:lang w:val="en-US"/>
              </w:rPr>
              <w:t>Queensland Shared Services</w:t>
            </w:r>
          </w:p>
        </w:tc>
        <w:tc>
          <w:tcPr>
            <w:tcW w:w="2423" w:type="pct"/>
          </w:tcPr>
          <w:p w14:paraId="655F07DC" w14:textId="77777777" w:rsidR="00FA2FF9" w:rsidRPr="00730DE4" w:rsidRDefault="00FA2FF9" w:rsidP="009D0A95">
            <w:pPr>
              <w:pStyle w:val="NoSpacing"/>
              <w:rPr>
                <w:lang w:val="en-US"/>
              </w:rPr>
            </w:pPr>
            <w:r w:rsidRPr="00730DE4">
              <w:rPr>
                <w:lang w:val="en-US"/>
              </w:rPr>
              <w:t>310 Ann Street, Brisbane QLD 4000</w:t>
            </w:r>
          </w:p>
        </w:tc>
      </w:tr>
      <w:tr w:rsidR="00FA2FF9" w:rsidRPr="00730DE4" w14:paraId="6259FFD0" w14:textId="77777777" w:rsidTr="00B9757A">
        <w:tc>
          <w:tcPr>
            <w:tcW w:w="2577" w:type="pct"/>
          </w:tcPr>
          <w:p w14:paraId="4311FA31" w14:textId="77777777" w:rsidR="00FA2FF9" w:rsidRPr="00730DE4" w:rsidRDefault="00FA2FF9" w:rsidP="009D0A95">
            <w:pPr>
              <w:pStyle w:val="NoSpacing"/>
              <w:rPr>
                <w:lang w:val="en-US"/>
              </w:rPr>
            </w:pPr>
            <w:r w:rsidRPr="00730DE4">
              <w:rPr>
                <w:lang w:val="en-US"/>
              </w:rPr>
              <w:t>Corporate Administration Agency</w:t>
            </w:r>
          </w:p>
        </w:tc>
        <w:tc>
          <w:tcPr>
            <w:tcW w:w="2423" w:type="pct"/>
          </w:tcPr>
          <w:p w14:paraId="23B7EF09" w14:textId="77777777" w:rsidR="00FA2FF9" w:rsidRPr="00730DE4" w:rsidRDefault="00FA2FF9" w:rsidP="009D0A95">
            <w:pPr>
              <w:pStyle w:val="NoSpacing"/>
              <w:rPr>
                <w:lang w:val="en-US"/>
              </w:rPr>
            </w:pPr>
            <w:r w:rsidRPr="00730DE4">
              <w:rPr>
                <w:lang w:val="en-US"/>
              </w:rPr>
              <w:t>111 George Street, Brisbane QLD 4000</w:t>
            </w:r>
          </w:p>
        </w:tc>
      </w:tr>
      <w:tr w:rsidR="00FA2FF9" w:rsidRPr="00730DE4" w14:paraId="5ABEE91D" w14:textId="77777777" w:rsidTr="00B9757A">
        <w:trPr>
          <w:cnfStyle w:val="000000100000" w:firstRow="0" w:lastRow="0" w:firstColumn="0" w:lastColumn="0" w:oddVBand="0" w:evenVBand="0" w:oddHBand="1" w:evenHBand="0" w:firstRowFirstColumn="0" w:firstRowLastColumn="0" w:lastRowFirstColumn="0" w:lastRowLastColumn="0"/>
        </w:trPr>
        <w:tc>
          <w:tcPr>
            <w:tcW w:w="2577" w:type="pct"/>
          </w:tcPr>
          <w:p w14:paraId="31B7BCB5" w14:textId="77777777" w:rsidR="00FA2FF9" w:rsidRPr="00730DE4" w:rsidRDefault="00FA2FF9" w:rsidP="009D0A95">
            <w:pPr>
              <w:pStyle w:val="NoSpacing"/>
              <w:rPr>
                <w:lang w:val="en-US"/>
              </w:rPr>
            </w:pPr>
            <w:r w:rsidRPr="00730DE4">
              <w:rPr>
                <w:lang w:val="en-US"/>
              </w:rPr>
              <w:t>Smart Service Queensland (Corporate)</w:t>
            </w:r>
          </w:p>
        </w:tc>
        <w:tc>
          <w:tcPr>
            <w:tcW w:w="2423" w:type="pct"/>
          </w:tcPr>
          <w:p w14:paraId="70CF460A" w14:textId="77777777" w:rsidR="00FA2FF9" w:rsidRPr="00730DE4" w:rsidRDefault="00FA2FF9" w:rsidP="009D0A95">
            <w:pPr>
              <w:pStyle w:val="NoSpacing"/>
              <w:rPr>
                <w:lang w:val="en-US"/>
              </w:rPr>
            </w:pPr>
            <w:r w:rsidRPr="00730DE4">
              <w:rPr>
                <w:lang w:val="en-US"/>
              </w:rPr>
              <w:t>310 Ann Street, Brisbane QLD 4000</w:t>
            </w:r>
          </w:p>
        </w:tc>
      </w:tr>
      <w:tr w:rsidR="00FA2FF9" w:rsidRPr="00730DE4" w14:paraId="05515402" w14:textId="77777777" w:rsidTr="00B9757A">
        <w:tc>
          <w:tcPr>
            <w:tcW w:w="2577" w:type="pct"/>
          </w:tcPr>
          <w:p w14:paraId="6901E48F" w14:textId="77777777" w:rsidR="00FA2FF9" w:rsidRPr="00730DE4" w:rsidRDefault="00FA2FF9" w:rsidP="009D0A95">
            <w:pPr>
              <w:pStyle w:val="NoSpacing"/>
              <w:rPr>
                <w:lang w:val="en-US"/>
              </w:rPr>
            </w:pPr>
            <w:r w:rsidRPr="00730DE4">
              <w:rPr>
                <w:lang w:val="en-US"/>
              </w:rPr>
              <w:t>Smart Service Queensland (Queensland Government Service Centre)</w:t>
            </w:r>
          </w:p>
        </w:tc>
        <w:tc>
          <w:tcPr>
            <w:tcW w:w="2423" w:type="pct"/>
          </w:tcPr>
          <w:p w14:paraId="08AA38CA" w14:textId="77777777" w:rsidR="00FA2FF9" w:rsidRPr="00730DE4" w:rsidRDefault="00FA2FF9" w:rsidP="009D0A95">
            <w:pPr>
              <w:pStyle w:val="NoSpacing"/>
              <w:rPr>
                <w:lang w:val="en-US"/>
              </w:rPr>
            </w:pPr>
            <w:r w:rsidRPr="00730DE4">
              <w:rPr>
                <w:lang w:val="en-US"/>
              </w:rPr>
              <w:t>33 Charlotte Street, Upper Plaza, Brisbane QLD 4000</w:t>
            </w:r>
          </w:p>
        </w:tc>
      </w:tr>
      <w:tr w:rsidR="00FA2FF9" w:rsidRPr="00730DE4" w14:paraId="77C8D869" w14:textId="77777777" w:rsidTr="00B9757A">
        <w:trPr>
          <w:cnfStyle w:val="000000100000" w:firstRow="0" w:lastRow="0" w:firstColumn="0" w:lastColumn="0" w:oddVBand="0" w:evenVBand="0" w:oddHBand="1" w:evenHBand="0" w:firstRowFirstColumn="0" w:firstRowLastColumn="0" w:lastRowFirstColumn="0" w:lastRowLastColumn="0"/>
        </w:trPr>
        <w:tc>
          <w:tcPr>
            <w:tcW w:w="2577" w:type="pct"/>
          </w:tcPr>
          <w:p w14:paraId="1C10942A" w14:textId="77777777" w:rsidR="00FA2FF9" w:rsidRPr="00730DE4" w:rsidRDefault="00FA2FF9" w:rsidP="009D0A95">
            <w:pPr>
              <w:pStyle w:val="NoSpacing"/>
              <w:rPr>
                <w:lang w:val="en-US"/>
              </w:rPr>
            </w:pPr>
            <w:r w:rsidRPr="00730DE4">
              <w:rPr>
                <w:lang w:val="en-US"/>
              </w:rPr>
              <w:t>Transformation and Enabling Technologies</w:t>
            </w:r>
          </w:p>
        </w:tc>
        <w:tc>
          <w:tcPr>
            <w:tcW w:w="2423" w:type="pct"/>
          </w:tcPr>
          <w:p w14:paraId="4310D504" w14:textId="77777777" w:rsidR="00FA2FF9" w:rsidRPr="00730DE4" w:rsidRDefault="00FA2FF9" w:rsidP="009D0A95">
            <w:pPr>
              <w:pStyle w:val="NoSpacing"/>
              <w:rPr>
                <w:lang w:val="en-US"/>
              </w:rPr>
            </w:pPr>
            <w:r w:rsidRPr="00730DE4">
              <w:rPr>
                <w:lang w:val="en-US"/>
              </w:rPr>
              <w:t>140 Creek Street, Brisbane QLD 4000</w:t>
            </w:r>
          </w:p>
        </w:tc>
      </w:tr>
      <w:tr w:rsidR="00FA2FF9" w:rsidRPr="00730DE4" w14:paraId="462D142A" w14:textId="77777777" w:rsidTr="00B9757A">
        <w:tc>
          <w:tcPr>
            <w:tcW w:w="2577" w:type="pct"/>
          </w:tcPr>
          <w:p w14:paraId="6F232BCD" w14:textId="77777777" w:rsidR="00FA2FF9" w:rsidRPr="00730DE4" w:rsidRDefault="00FA2FF9" w:rsidP="009D0A95">
            <w:pPr>
              <w:pStyle w:val="NoSpacing"/>
              <w:rPr>
                <w:lang w:val="en-US"/>
              </w:rPr>
            </w:pPr>
            <w:r w:rsidRPr="00730DE4">
              <w:rPr>
                <w:lang w:val="en-US"/>
              </w:rPr>
              <w:t>CITEC</w:t>
            </w:r>
          </w:p>
        </w:tc>
        <w:tc>
          <w:tcPr>
            <w:tcW w:w="2423" w:type="pct"/>
          </w:tcPr>
          <w:p w14:paraId="33545AD3" w14:textId="77777777" w:rsidR="00FA2FF9" w:rsidRPr="00730DE4" w:rsidRDefault="00FA2FF9" w:rsidP="009D0A95">
            <w:pPr>
              <w:pStyle w:val="NoSpacing"/>
              <w:rPr>
                <w:lang w:val="en-US"/>
              </w:rPr>
            </w:pPr>
            <w:r w:rsidRPr="00730DE4">
              <w:rPr>
                <w:lang w:val="en-US"/>
              </w:rPr>
              <w:t>140 Creek Street, Brisbane QLD 4000</w:t>
            </w:r>
          </w:p>
        </w:tc>
      </w:tr>
    </w:tbl>
    <w:p w14:paraId="13B4AC64" w14:textId="77777777" w:rsidR="00FA2FF9" w:rsidRPr="00730DE4" w:rsidRDefault="00FA2FF9" w:rsidP="002B7001">
      <w:pPr>
        <w:pStyle w:val="Heading4"/>
        <w:rPr>
          <w:lang w:val="en-US"/>
        </w:rPr>
      </w:pPr>
      <w:bookmarkStart w:id="1912" w:name="_Toc180487862"/>
      <w:bookmarkStart w:id="1913" w:name="_Toc180491067"/>
      <w:bookmarkStart w:id="1914" w:name="_Toc180492100"/>
      <w:r w:rsidRPr="00730DE4">
        <w:rPr>
          <w:lang w:val="en-US"/>
        </w:rPr>
        <w:t>Smart Service Queensland Contact Centres</w:t>
      </w:r>
      <w:bookmarkEnd w:id="1912"/>
      <w:bookmarkEnd w:id="1913"/>
      <w:bookmarkEnd w:id="1914"/>
    </w:p>
    <w:tbl>
      <w:tblPr>
        <w:tblStyle w:val="TMRDefault"/>
        <w:tblW w:w="5000" w:type="pct"/>
        <w:tblLook w:val="04A0" w:firstRow="1" w:lastRow="0" w:firstColumn="1" w:lastColumn="0" w:noHBand="0" w:noVBand="1"/>
      </w:tblPr>
      <w:tblGrid>
        <w:gridCol w:w="2538"/>
        <w:gridCol w:w="11454"/>
      </w:tblGrid>
      <w:tr w:rsidR="00FA2FF9" w:rsidRPr="00730DE4" w14:paraId="18FAF189" w14:textId="77777777" w:rsidTr="00B9757A">
        <w:trPr>
          <w:cnfStyle w:val="100000000000" w:firstRow="1" w:lastRow="0" w:firstColumn="0" w:lastColumn="0" w:oddVBand="0" w:evenVBand="0" w:oddHBand="0" w:evenHBand="0" w:firstRowFirstColumn="0" w:firstRowLastColumn="0" w:lastRowFirstColumn="0" w:lastRowLastColumn="0"/>
        </w:trPr>
        <w:tc>
          <w:tcPr>
            <w:tcW w:w="907" w:type="pct"/>
          </w:tcPr>
          <w:p w14:paraId="154623A4" w14:textId="77777777" w:rsidR="00FA2FF9" w:rsidRPr="00730DE4" w:rsidRDefault="00FA2FF9" w:rsidP="009D0A95">
            <w:pPr>
              <w:pStyle w:val="NoSpacing"/>
              <w:rPr>
                <w:lang w:val="en-US"/>
              </w:rPr>
            </w:pPr>
            <w:r w:rsidRPr="00730DE4">
              <w:rPr>
                <w:color w:val="FFFFFF" w:themeColor="background1"/>
              </w:rPr>
              <w:t>Suburb/town</w:t>
            </w:r>
          </w:p>
        </w:tc>
        <w:tc>
          <w:tcPr>
            <w:tcW w:w="4093" w:type="pct"/>
          </w:tcPr>
          <w:p w14:paraId="3ED1FD9B" w14:textId="77777777" w:rsidR="00FA2FF9" w:rsidRPr="00730DE4" w:rsidRDefault="00FA2FF9" w:rsidP="009D0A95">
            <w:pPr>
              <w:pStyle w:val="NoSpacing"/>
              <w:rPr>
                <w:lang w:val="en-US"/>
              </w:rPr>
            </w:pPr>
            <w:r w:rsidRPr="00730DE4">
              <w:rPr>
                <w:color w:val="FFFFFF" w:themeColor="background1"/>
              </w:rPr>
              <w:t>Address</w:t>
            </w:r>
          </w:p>
        </w:tc>
      </w:tr>
      <w:tr w:rsidR="00FA2FF9" w:rsidRPr="00730DE4" w14:paraId="57F74E10" w14:textId="77777777" w:rsidTr="00B9757A">
        <w:trPr>
          <w:cnfStyle w:val="000000100000" w:firstRow="0" w:lastRow="0" w:firstColumn="0" w:lastColumn="0" w:oddVBand="0" w:evenVBand="0" w:oddHBand="1" w:evenHBand="0" w:firstRowFirstColumn="0" w:firstRowLastColumn="0" w:lastRowFirstColumn="0" w:lastRowLastColumn="0"/>
        </w:trPr>
        <w:tc>
          <w:tcPr>
            <w:tcW w:w="907" w:type="pct"/>
          </w:tcPr>
          <w:p w14:paraId="6E10E085" w14:textId="77777777" w:rsidR="00FA2FF9" w:rsidRPr="00730DE4" w:rsidRDefault="00FA2FF9" w:rsidP="009D0A95">
            <w:pPr>
              <w:pStyle w:val="NoSpacing"/>
              <w:rPr>
                <w:lang w:val="en-US"/>
              </w:rPr>
            </w:pPr>
            <w:r w:rsidRPr="00730DE4">
              <w:rPr>
                <w:lang w:val="en-US"/>
              </w:rPr>
              <w:t>Mount Gravatt</w:t>
            </w:r>
          </w:p>
        </w:tc>
        <w:tc>
          <w:tcPr>
            <w:tcW w:w="4093" w:type="pct"/>
          </w:tcPr>
          <w:p w14:paraId="188240A9" w14:textId="77777777" w:rsidR="00FA2FF9" w:rsidRPr="00730DE4" w:rsidRDefault="00FA2FF9" w:rsidP="009D0A95">
            <w:pPr>
              <w:pStyle w:val="NoSpacing"/>
              <w:rPr>
                <w:lang w:val="en-US"/>
              </w:rPr>
            </w:pPr>
            <w:r w:rsidRPr="00730DE4">
              <w:rPr>
                <w:lang w:val="en-US"/>
              </w:rPr>
              <w:t>Garden Square Block B, 643 Kessels Road, Upper Mount Gravatt, QLD 4122</w:t>
            </w:r>
          </w:p>
        </w:tc>
      </w:tr>
      <w:tr w:rsidR="00FA2FF9" w:rsidRPr="00730DE4" w14:paraId="57CAE96C" w14:textId="77777777" w:rsidTr="00B9757A">
        <w:tc>
          <w:tcPr>
            <w:tcW w:w="907" w:type="pct"/>
          </w:tcPr>
          <w:p w14:paraId="457A9E45" w14:textId="77777777" w:rsidR="00FA2FF9" w:rsidRPr="00730DE4" w:rsidRDefault="00FA2FF9" w:rsidP="009D0A95">
            <w:pPr>
              <w:pStyle w:val="NoSpacing"/>
              <w:rPr>
                <w:lang w:val="en-US"/>
              </w:rPr>
            </w:pPr>
            <w:r w:rsidRPr="00730DE4">
              <w:rPr>
                <w:lang w:val="en-US"/>
              </w:rPr>
              <w:t>Zillmere</w:t>
            </w:r>
          </w:p>
        </w:tc>
        <w:tc>
          <w:tcPr>
            <w:tcW w:w="4093" w:type="pct"/>
          </w:tcPr>
          <w:p w14:paraId="0C168A79" w14:textId="77777777" w:rsidR="00FA2FF9" w:rsidRPr="00730DE4" w:rsidRDefault="00FA2FF9" w:rsidP="009D0A95">
            <w:pPr>
              <w:pStyle w:val="NoSpacing"/>
              <w:rPr>
                <w:lang w:val="en-US"/>
              </w:rPr>
            </w:pPr>
            <w:r w:rsidRPr="00730DE4">
              <w:rPr>
                <w:lang w:val="en-US"/>
              </w:rPr>
              <w:t>Dandiiri Contact Centre, 79 Pineapple Street, Zillmere QLD 4034</w:t>
            </w:r>
          </w:p>
        </w:tc>
      </w:tr>
    </w:tbl>
    <w:p w14:paraId="563F6C79" w14:textId="3EF4FA3C" w:rsidR="00FA2FF9" w:rsidRPr="00730DE4" w:rsidRDefault="00FA2FF9" w:rsidP="002B7001">
      <w:pPr>
        <w:pStyle w:val="Heading4"/>
        <w:rPr>
          <w:lang w:val="en-US"/>
        </w:rPr>
      </w:pPr>
      <w:bookmarkStart w:id="1915" w:name="_Toc180487863"/>
      <w:bookmarkStart w:id="1916" w:name="_Toc180491068"/>
      <w:bookmarkStart w:id="1917" w:name="_Toc180492101"/>
      <w:r w:rsidRPr="00730DE4">
        <w:rPr>
          <w:lang w:val="en-US"/>
        </w:rPr>
        <w:t>Regional Queensland</w:t>
      </w:r>
      <w:bookmarkEnd w:id="1915"/>
      <w:bookmarkEnd w:id="1916"/>
      <w:bookmarkEnd w:id="1917"/>
      <w:r w:rsidRPr="00730DE4">
        <w:rPr>
          <w:lang w:val="en-US"/>
        </w:rPr>
        <w:tab/>
      </w:r>
    </w:p>
    <w:tbl>
      <w:tblPr>
        <w:tblStyle w:val="TMRDefault"/>
        <w:tblW w:w="5000" w:type="pct"/>
        <w:tblLook w:val="04A0" w:firstRow="1" w:lastRow="0" w:firstColumn="1" w:lastColumn="0" w:noHBand="0" w:noVBand="1"/>
      </w:tblPr>
      <w:tblGrid>
        <w:gridCol w:w="7430"/>
        <w:gridCol w:w="6562"/>
      </w:tblGrid>
      <w:tr w:rsidR="00FA2FF9" w:rsidRPr="00730DE4" w14:paraId="2BB7AB43" w14:textId="77777777" w:rsidTr="00B9757A">
        <w:trPr>
          <w:cnfStyle w:val="100000000000" w:firstRow="1" w:lastRow="0" w:firstColumn="0" w:lastColumn="0" w:oddVBand="0" w:evenVBand="0" w:oddHBand="0" w:evenHBand="0" w:firstRowFirstColumn="0" w:firstRowLastColumn="0" w:lastRowFirstColumn="0" w:lastRowLastColumn="0"/>
          <w:tblHeader/>
        </w:trPr>
        <w:tc>
          <w:tcPr>
            <w:tcW w:w="2655" w:type="pct"/>
          </w:tcPr>
          <w:p w14:paraId="5A3132D9" w14:textId="77777777" w:rsidR="00FA2FF9" w:rsidRPr="00730DE4" w:rsidRDefault="00FA2FF9" w:rsidP="0053598B">
            <w:pPr>
              <w:pStyle w:val="NoSpacing"/>
              <w:rPr>
                <w:lang w:val="en-US"/>
              </w:rPr>
            </w:pPr>
            <w:r w:rsidRPr="00730DE4">
              <w:rPr>
                <w:color w:val="FFFFFF" w:themeColor="background1"/>
              </w:rPr>
              <w:t>Office</w:t>
            </w:r>
          </w:p>
        </w:tc>
        <w:tc>
          <w:tcPr>
            <w:tcW w:w="2345" w:type="pct"/>
          </w:tcPr>
          <w:p w14:paraId="2C78A751" w14:textId="77777777" w:rsidR="00FA2FF9" w:rsidRPr="00730DE4" w:rsidRDefault="00FA2FF9" w:rsidP="0053598B">
            <w:pPr>
              <w:pStyle w:val="NoSpacing"/>
              <w:rPr>
                <w:lang w:val="en-US"/>
              </w:rPr>
            </w:pPr>
            <w:r w:rsidRPr="00730DE4">
              <w:rPr>
                <w:color w:val="FFFFFF" w:themeColor="background1"/>
              </w:rPr>
              <w:t>Address</w:t>
            </w:r>
          </w:p>
        </w:tc>
      </w:tr>
      <w:tr w:rsidR="00FA2FF9" w:rsidRPr="00730DE4" w14:paraId="10312D0B" w14:textId="77777777" w:rsidTr="00B9757A">
        <w:trPr>
          <w:cnfStyle w:val="000000100000" w:firstRow="0" w:lastRow="0" w:firstColumn="0" w:lastColumn="0" w:oddVBand="0" w:evenVBand="0" w:oddHBand="1" w:evenHBand="0" w:firstRowFirstColumn="0" w:firstRowLastColumn="0" w:lastRowFirstColumn="0" w:lastRowLastColumn="0"/>
        </w:trPr>
        <w:tc>
          <w:tcPr>
            <w:tcW w:w="2655" w:type="pct"/>
          </w:tcPr>
          <w:p w14:paraId="40320534" w14:textId="77777777" w:rsidR="00FA2FF9" w:rsidRPr="00730DE4" w:rsidRDefault="00FA2FF9" w:rsidP="0053598B">
            <w:pPr>
              <w:pStyle w:val="NoSpacing"/>
              <w:rPr>
                <w:lang w:val="en-US"/>
              </w:rPr>
            </w:pPr>
            <w:r w:rsidRPr="00730DE4">
              <w:rPr>
                <w:lang w:val="en-US"/>
              </w:rPr>
              <w:t>Smart Service Queensland (Queensland Government Service Centre Maroochydore)</w:t>
            </w:r>
          </w:p>
        </w:tc>
        <w:tc>
          <w:tcPr>
            <w:tcW w:w="2345" w:type="pct"/>
          </w:tcPr>
          <w:p w14:paraId="59FE69E4" w14:textId="77777777" w:rsidR="00FA2FF9" w:rsidRPr="00730DE4" w:rsidRDefault="00FA2FF9" w:rsidP="0053598B">
            <w:pPr>
              <w:pStyle w:val="NoSpacing"/>
              <w:rPr>
                <w:lang w:val="en-US"/>
              </w:rPr>
            </w:pPr>
            <w:r w:rsidRPr="00730DE4">
              <w:rPr>
                <w:lang w:val="en-US"/>
              </w:rPr>
              <w:t>Mike Ahern Centre, 12 First Avenue, Maroochydore QLD 4558</w:t>
            </w:r>
          </w:p>
        </w:tc>
      </w:tr>
      <w:tr w:rsidR="00FA2FF9" w:rsidRPr="00730DE4" w14:paraId="000BBD12" w14:textId="77777777" w:rsidTr="00B9757A">
        <w:tc>
          <w:tcPr>
            <w:tcW w:w="2655" w:type="pct"/>
          </w:tcPr>
          <w:p w14:paraId="4999B0F9" w14:textId="77777777" w:rsidR="00FA2FF9" w:rsidRPr="00730DE4" w:rsidRDefault="00FA2FF9" w:rsidP="0053598B">
            <w:pPr>
              <w:pStyle w:val="NoSpacing"/>
              <w:rPr>
                <w:lang w:val="en-US"/>
              </w:rPr>
            </w:pPr>
            <w:r w:rsidRPr="00730DE4">
              <w:rPr>
                <w:lang w:val="en-US"/>
              </w:rPr>
              <w:t>Smart Service Queensland (Queensland Government Service Centre Cairns)</w:t>
            </w:r>
          </w:p>
        </w:tc>
        <w:tc>
          <w:tcPr>
            <w:tcW w:w="2345" w:type="pct"/>
          </w:tcPr>
          <w:p w14:paraId="28272038" w14:textId="77777777" w:rsidR="00FA2FF9" w:rsidRPr="00730DE4" w:rsidRDefault="00FA2FF9" w:rsidP="0053598B">
            <w:pPr>
              <w:pStyle w:val="NoSpacing"/>
              <w:rPr>
                <w:lang w:val="en-US"/>
              </w:rPr>
            </w:pPr>
            <w:r w:rsidRPr="00730DE4">
              <w:rPr>
                <w:lang w:val="en-US"/>
              </w:rPr>
              <w:t>5B Sheridan Street, William McCormack Place, Cairns QLD 4870</w:t>
            </w:r>
          </w:p>
        </w:tc>
      </w:tr>
      <w:tr w:rsidR="00FA2FF9" w:rsidRPr="00730DE4" w14:paraId="3EF7DE88" w14:textId="77777777" w:rsidTr="00B9757A">
        <w:trPr>
          <w:cnfStyle w:val="000000100000" w:firstRow="0" w:lastRow="0" w:firstColumn="0" w:lastColumn="0" w:oddVBand="0" w:evenVBand="0" w:oddHBand="1" w:evenHBand="0" w:firstRowFirstColumn="0" w:firstRowLastColumn="0" w:lastRowFirstColumn="0" w:lastRowLastColumn="0"/>
        </w:trPr>
        <w:tc>
          <w:tcPr>
            <w:tcW w:w="2655" w:type="pct"/>
          </w:tcPr>
          <w:p w14:paraId="5D60FBE8" w14:textId="77777777" w:rsidR="00FA2FF9" w:rsidRPr="00730DE4" w:rsidRDefault="00FA2FF9" w:rsidP="0053598B">
            <w:pPr>
              <w:pStyle w:val="NoSpacing"/>
              <w:rPr>
                <w:lang w:val="en-US"/>
              </w:rPr>
            </w:pPr>
            <w:r w:rsidRPr="00730DE4">
              <w:rPr>
                <w:lang w:val="en-US"/>
              </w:rPr>
              <w:t>Queensland Shared Services (Maroochydore)</w:t>
            </w:r>
          </w:p>
        </w:tc>
        <w:tc>
          <w:tcPr>
            <w:tcW w:w="2345" w:type="pct"/>
          </w:tcPr>
          <w:p w14:paraId="6CACDF1A" w14:textId="77777777" w:rsidR="00FA2FF9" w:rsidRPr="00730DE4" w:rsidRDefault="00FA2FF9" w:rsidP="0053598B">
            <w:pPr>
              <w:pStyle w:val="NoSpacing"/>
              <w:rPr>
                <w:lang w:val="en-US"/>
              </w:rPr>
            </w:pPr>
            <w:r w:rsidRPr="00730DE4">
              <w:rPr>
                <w:lang w:val="en-US"/>
              </w:rPr>
              <w:t>Mike Ahern Centre, 12 First Avenue, Maroochydore QLD 4558</w:t>
            </w:r>
          </w:p>
        </w:tc>
      </w:tr>
      <w:tr w:rsidR="00FA2FF9" w:rsidRPr="00730DE4" w14:paraId="0A5A2B79" w14:textId="77777777" w:rsidTr="00B9757A">
        <w:tc>
          <w:tcPr>
            <w:tcW w:w="2655" w:type="pct"/>
          </w:tcPr>
          <w:p w14:paraId="4620EB6F" w14:textId="77777777" w:rsidR="00FA2FF9" w:rsidRPr="00730DE4" w:rsidRDefault="00FA2FF9" w:rsidP="0053598B">
            <w:pPr>
              <w:pStyle w:val="NoSpacing"/>
              <w:rPr>
                <w:lang w:val="en-US"/>
              </w:rPr>
            </w:pPr>
            <w:r w:rsidRPr="00730DE4">
              <w:rPr>
                <w:lang w:val="en-US"/>
              </w:rPr>
              <w:t>Queensland Shared Services (Cairns)</w:t>
            </w:r>
          </w:p>
        </w:tc>
        <w:tc>
          <w:tcPr>
            <w:tcW w:w="2345" w:type="pct"/>
          </w:tcPr>
          <w:p w14:paraId="77F4EDF8" w14:textId="77777777" w:rsidR="00FA2FF9" w:rsidRPr="00730DE4" w:rsidRDefault="00FA2FF9" w:rsidP="0053598B">
            <w:pPr>
              <w:pStyle w:val="NoSpacing"/>
              <w:rPr>
                <w:lang w:val="en-US"/>
              </w:rPr>
            </w:pPr>
            <w:r w:rsidRPr="00730DE4">
              <w:rPr>
                <w:lang w:val="en-US"/>
              </w:rPr>
              <w:t>5B Sheridan Street, William McCormack Place, Cairns QLD 4870</w:t>
            </w:r>
          </w:p>
        </w:tc>
      </w:tr>
      <w:tr w:rsidR="00FA2FF9" w:rsidRPr="00730DE4" w14:paraId="6BA2B57E" w14:textId="77777777" w:rsidTr="00B9757A">
        <w:trPr>
          <w:cnfStyle w:val="000000100000" w:firstRow="0" w:lastRow="0" w:firstColumn="0" w:lastColumn="0" w:oddVBand="0" w:evenVBand="0" w:oddHBand="1" w:evenHBand="0" w:firstRowFirstColumn="0" w:firstRowLastColumn="0" w:lastRowFirstColumn="0" w:lastRowLastColumn="0"/>
        </w:trPr>
        <w:tc>
          <w:tcPr>
            <w:tcW w:w="2655" w:type="pct"/>
          </w:tcPr>
          <w:p w14:paraId="4042757B" w14:textId="77777777" w:rsidR="00FA2FF9" w:rsidRPr="00730DE4" w:rsidRDefault="00FA2FF9" w:rsidP="0053598B">
            <w:pPr>
              <w:pStyle w:val="NoSpacing"/>
              <w:rPr>
                <w:lang w:val="en-US"/>
              </w:rPr>
            </w:pPr>
            <w:r w:rsidRPr="00730DE4">
              <w:rPr>
                <w:lang w:val="en-US"/>
              </w:rPr>
              <w:t>Queensland Shared Services (Gold Coast)</w:t>
            </w:r>
          </w:p>
        </w:tc>
        <w:tc>
          <w:tcPr>
            <w:tcW w:w="2345" w:type="pct"/>
          </w:tcPr>
          <w:p w14:paraId="50A1D62F" w14:textId="77777777" w:rsidR="00FA2FF9" w:rsidRPr="00730DE4" w:rsidRDefault="00FA2FF9" w:rsidP="0053598B">
            <w:pPr>
              <w:pStyle w:val="NoSpacing"/>
              <w:rPr>
                <w:lang w:val="en-US"/>
              </w:rPr>
            </w:pPr>
            <w:r w:rsidRPr="00730DE4">
              <w:rPr>
                <w:lang w:val="en-US"/>
              </w:rPr>
              <w:t>Easy T Centre, 510 Christine Avenue, Robina QLD 4226</w:t>
            </w:r>
          </w:p>
        </w:tc>
      </w:tr>
      <w:tr w:rsidR="00FA2FF9" w:rsidRPr="00730DE4" w14:paraId="7072AC32" w14:textId="77777777" w:rsidTr="00B9757A">
        <w:tc>
          <w:tcPr>
            <w:tcW w:w="2655" w:type="pct"/>
          </w:tcPr>
          <w:p w14:paraId="5C199C9B" w14:textId="77777777" w:rsidR="00FA2FF9" w:rsidRPr="00730DE4" w:rsidRDefault="00FA2FF9" w:rsidP="0053598B">
            <w:pPr>
              <w:pStyle w:val="NoSpacing"/>
              <w:rPr>
                <w:lang w:val="en-US"/>
              </w:rPr>
            </w:pPr>
            <w:r w:rsidRPr="00730DE4">
              <w:rPr>
                <w:lang w:val="en-US"/>
              </w:rPr>
              <w:t>Queensland Shared Services (Gympie)</w:t>
            </w:r>
          </w:p>
        </w:tc>
        <w:tc>
          <w:tcPr>
            <w:tcW w:w="2345" w:type="pct"/>
          </w:tcPr>
          <w:p w14:paraId="5D99CDA2" w14:textId="77777777" w:rsidR="00FA2FF9" w:rsidRPr="00730DE4" w:rsidRDefault="00FA2FF9" w:rsidP="0053598B">
            <w:pPr>
              <w:pStyle w:val="NoSpacing"/>
              <w:rPr>
                <w:lang w:val="en-US"/>
              </w:rPr>
            </w:pPr>
            <w:r w:rsidRPr="00730DE4">
              <w:rPr>
                <w:lang w:val="en-US"/>
              </w:rPr>
              <w:t>Cnr Louisa Street and Cartwright Road, Gympie QLD 4230</w:t>
            </w:r>
          </w:p>
        </w:tc>
      </w:tr>
      <w:tr w:rsidR="00FA2FF9" w:rsidRPr="00730DE4" w14:paraId="3803C616" w14:textId="77777777" w:rsidTr="00B9757A">
        <w:trPr>
          <w:cnfStyle w:val="000000100000" w:firstRow="0" w:lastRow="0" w:firstColumn="0" w:lastColumn="0" w:oddVBand="0" w:evenVBand="0" w:oddHBand="1" w:evenHBand="0" w:firstRowFirstColumn="0" w:firstRowLastColumn="0" w:lastRowFirstColumn="0" w:lastRowLastColumn="0"/>
        </w:trPr>
        <w:tc>
          <w:tcPr>
            <w:tcW w:w="2655" w:type="pct"/>
          </w:tcPr>
          <w:p w14:paraId="7A44ED07" w14:textId="77777777" w:rsidR="00FA2FF9" w:rsidRPr="00730DE4" w:rsidRDefault="00FA2FF9" w:rsidP="0053598B">
            <w:pPr>
              <w:pStyle w:val="NoSpacing"/>
              <w:rPr>
                <w:lang w:val="en-US"/>
              </w:rPr>
            </w:pPr>
            <w:r w:rsidRPr="00730DE4">
              <w:rPr>
                <w:lang w:val="en-US"/>
              </w:rPr>
              <w:t>Queensland Shared Services (Rockhampton)</w:t>
            </w:r>
          </w:p>
        </w:tc>
        <w:tc>
          <w:tcPr>
            <w:tcW w:w="2345" w:type="pct"/>
          </w:tcPr>
          <w:p w14:paraId="414610EA" w14:textId="77777777" w:rsidR="00FA2FF9" w:rsidRPr="00730DE4" w:rsidRDefault="00FA2FF9" w:rsidP="0053598B">
            <w:pPr>
              <w:pStyle w:val="NoSpacing"/>
              <w:rPr>
                <w:lang w:val="en-US"/>
              </w:rPr>
            </w:pPr>
            <w:r w:rsidRPr="00730DE4">
              <w:rPr>
                <w:lang w:val="en-US"/>
              </w:rPr>
              <w:t>19 Bolsover Street, Rockhampton QLD 4700</w:t>
            </w:r>
          </w:p>
        </w:tc>
      </w:tr>
      <w:tr w:rsidR="00FA2FF9" w:rsidRPr="00730DE4" w14:paraId="73CB6840" w14:textId="77777777" w:rsidTr="00B9757A">
        <w:tc>
          <w:tcPr>
            <w:tcW w:w="2655" w:type="pct"/>
          </w:tcPr>
          <w:p w14:paraId="03D3151C" w14:textId="77777777" w:rsidR="00FA2FF9" w:rsidRPr="00730DE4" w:rsidRDefault="00FA2FF9" w:rsidP="0053598B">
            <w:pPr>
              <w:pStyle w:val="NoSpacing"/>
              <w:rPr>
                <w:lang w:val="en-US"/>
              </w:rPr>
            </w:pPr>
            <w:r w:rsidRPr="00730DE4">
              <w:rPr>
                <w:lang w:val="en-US"/>
              </w:rPr>
              <w:t>Queensland Shared Services (Toowoomba)</w:t>
            </w:r>
          </w:p>
        </w:tc>
        <w:tc>
          <w:tcPr>
            <w:tcW w:w="2345" w:type="pct"/>
          </w:tcPr>
          <w:p w14:paraId="53DD81DA" w14:textId="77777777" w:rsidR="00FA2FF9" w:rsidRPr="00730DE4" w:rsidRDefault="00FA2FF9" w:rsidP="0053598B">
            <w:pPr>
              <w:pStyle w:val="NoSpacing"/>
              <w:rPr>
                <w:lang w:val="en-US"/>
              </w:rPr>
            </w:pPr>
            <w:r w:rsidRPr="00730DE4">
              <w:rPr>
                <w:lang w:val="en-US"/>
              </w:rPr>
              <w:t>Central Plaza, 532 Ruthven Street, Toowoomba QLD 4350</w:t>
            </w:r>
          </w:p>
        </w:tc>
      </w:tr>
      <w:tr w:rsidR="00FA2FF9" w:rsidRPr="00730DE4" w14:paraId="48E90E7A" w14:textId="77777777" w:rsidTr="00B9757A">
        <w:trPr>
          <w:cnfStyle w:val="000000100000" w:firstRow="0" w:lastRow="0" w:firstColumn="0" w:lastColumn="0" w:oddVBand="0" w:evenVBand="0" w:oddHBand="1" w:evenHBand="0" w:firstRowFirstColumn="0" w:firstRowLastColumn="0" w:lastRowFirstColumn="0" w:lastRowLastColumn="0"/>
        </w:trPr>
        <w:tc>
          <w:tcPr>
            <w:tcW w:w="2655" w:type="pct"/>
          </w:tcPr>
          <w:p w14:paraId="5D6B5A35" w14:textId="77777777" w:rsidR="00FA2FF9" w:rsidRPr="00730DE4" w:rsidRDefault="00FA2FF9" w:rsidP="0053598B">
            <w:pPr>
              <w:pStyle w:val="NoSpacing"/>
              <w:rPr>
                <w:lang w:val="en-US"/>
              </w:rPr>
            </w:pPr>
            <w:r w:rsidRPr="00730DE4">
              <w:rPr>
                <w:lang w:val="en-US"/>
              </w:rPr>
              <w:t>Queensland Shared Services (Townsville)</w:t>
            </w:r>
          </w:p>
        </w:tc>
        <w:tc>
          <w:tcPr>
            <w:tcW w:w="2345" w:type="pct"/>
          </w:tcPr>
          <w:p w14:paraId="7A707FF0" w14:textId="77777777" w:rsidR="00FA2FF9" w:rsidRPr="00730DE4" w:rsidRDefault="00FA2FF9" w:rsidP="0053598B">
            <w:pPr>
              <w:pStyle w:val="NoSpacing"/>
              <w:rPr>
                <w:lang w:val="en-US"/>
              </w:rPr>
            </w:pPr>
            <w:r w:rsidRPr="00730DE4">
              <w:rPr>
                <w:lang w:val="en-US"/>
              </w:rPr>
              <w:t>Commonwealth Centre, 187 Townsville Street, Townsville, QLD 4810</w:t>
            </w:r>
          </w:p>
        </w:tc>
      </w:tr>
    </w:tbl>
    <w:p w14:paraId="36DDF8E0" w14:textId="77777777" w:rsidR="002D6779" w:rsidRPr="00730DE4" w:rsidRDefault="002D6779" w:rsidP="002B7001">
      <w:pPr>
        <w:pStyle w:val="Heading2"/>
        <w:rPr>
          <w:lang w:val="en-US"/>
        </w:rPr>
        <w:sectPr w:rsidR="002D6779" w:rsidRPr="00730DE4" w:rsidSect="00773DE6">
          <w:pgSz w:w="16838" w:h="11906" w:orient="landscape" w:code="9"/>
          <w:pgMar w:top="1134" w:right="1418" w:bottom="1418" w:left="1418" w:header="454" w:footer="454" w:gutter="0"/>
          <w:cols w:space="708"/>
          <w:docGrid w:linePitch="360"/>
        </w:sectPr>
      </w:pPr>
    </w:p>
    <w:p w14:paraId="543654C6" w14:textId="72B84CE2" w:rsidR="00FA2FF9" w:rsidRPr="00730DE4" w:rsidRDefault="00FA2FF9" w:rsidP="002B7001">
      <w:pPr>
        <w:pStyle w:val="Heading2"/>
        <w:rPr>
          <w:lang w:val="en-US"/>
        </w:rPr>
      </w:pPr>
      <w:bookmarkStart w:id="1918" w:name="_Toc180491069"/>
      <w:bookmarkStart w:id="1919" w:name="_Toc180492102"/>
      <w:r w:rsidRPr="00730DE4">
        <w:rPr>
          <w:lang w:val="en-US"/>
        </w:rPr>
        <w:t>Appendix 10: Index</w:t>
      </w:r>
      <w:bookmarkEnd w:id="1918"/>
      <w:bookmarkEnd w:id="1919"/>
    </w:p>
    <w:tbl>
      <w:tblPr>
        <w:tblStyle w:val="TMRDefault"/>
        <w:tblW w:w="4988" w:type="pct"/>
        <w:tblInd w:w="10" w:type="dxa"/>
        <w:tblLook w:val="04A0" w:firstRow="1" w:lastRow="0" w:firstColumn="1" w:lastColumn="0" w:noHBand="0" w:noVBand="1"/>
      </w:tblPr>
      <w:tblGrid>
        <w:gridCol w:w="4947"/>
        <w:gridCol w:w="4091"/>
      </w:tblGrid>
      <w:tr w:rsidR="00FA2FF9" w:rsidRPr="00730DE4" w14:paraId="68FF4575" w14:textId="77777777" w:rsidTr="007758AD">
        <w:trPr>
          <w:cnfStyle w:val="100000000000" w:firstRow="1" w:lastRow="0" w:firstColumn="0" w:lastColumn="0" w:oddVBand="0" w:evenVBand="0" w:oddHBand="0" w:evenHBand="0" w:firstRowFirstColumn="0" w:firstRowLastColumn="0" w:lastRowFirstColumn="0" w:lastRowLastColumn="0"/>
          <w:tblHeader/>
        </w:trPr>
        <w:tc>
          <w:tcPr>
            <w:tcW w:w="2737" w:type="pct"/>
          </w:tcPr>
          <w:p w14:paraId="435F0F50" w14:textId="77777777" w:rsidR="00FA2FF9" w:rsidRPr="00730DE4" w:rsidRDefault="00FA2FF9" w:rsidP="00722210">
            <w:pPr>
              <w:pStyle w:val="NoSpacing"/>
              <w:rPr>
                <w:color w:val="FFFFFF" w:themeColor="background1"/>
                <w:lang w:val="en-US"/>
              </w:rPr>
            </w:pPr>
            <w:r w:rsidRPr="00730DE4">
              <w:rPr>
                <w:color w:val="FFFFFF" w:themeColor="background1"/>
                <w:lang w:val="en-US"/>
              </w:rPr>
              <w:t>Topic</w:t>
            </w:r>
          </w:p>
        </w:tc>
        <w:tc>
          <w:tcPr>
            <w:tcW w:w="2263" w:type="pct"/>
          </w:tcPr>
          <w:p w14:paraId="30DB52AB" w14:textId="77777777" w:rsidR="00FA2FF9" w:rsidRPr="00730DE4" w:rsidRDefault="00FA2FF9" w:rsidP="00722210">
            <w:pPr>
              <w:pStyle w:val="NoSpacing"/>
              <w:rPr>
                <w:color w:val="FFFFFF" w:themeColor="background1"/>
                <w:lang w:val="en-US"/>
              </w:rPr>
            </w:pPr>
            <w:r w:rsidRPr="00730DE4">
              <w:rPr>
                <w:color w:val="FFFFFF" w:themeColor="background1"/>
                <w:lang w:val="en-US"/>
              </w:rPr>
              <w:t>Page</w:t>
            </w:r>
          </w:p>
        </w:tc>
      </w:tr>
      <w:tr w:rsidR="00FA2FF9" w:rsidRPr="00730DE4" w14:paraId="1DFA0376" w14:textId="77777777" w:rsidTr="007758AD">
        <w:trPr>
          <w:cnfStyle w:val="000000100000" w:firstRow="0" w:lastRow="0" w:firstColumn="0" w:lastColumn="0" w:oddVBand="0" w:evenVBand="0" w:oddHBand="1" w:evenHBand="0" w:firstRowFirstColumn="0" w:firstRowLastColumn="0" w:lastRowFirstColumn="0" w:lastRowLastColumn="0"/>
        </w:trPr>
        <w:tc>
          <w:tcPr>
            <w:tcW w:w="2737" w:type="pct"/>
          </w:tcPr>
          <w:p w14:paraId="24188374" w14:textId="77777777" w:rsidR="00FA2FF9" w:rsidRPr="00730DE4" w:rsidRDefault="00FA2FF9" w:rsidP="00722210">
            <w:pPr>
              <w:pStyle w:val="NoSpacing"/>
              <w:rPr>
                <w:lang w:val="en-US"/>
              </w:rPr>
            </w:pPr>
            <w:r w:rsidRPr="00730DE4">
              <w:rPr>
                <w:lang w:val="en-US"/>
              </w:rPr>
              <w:t>About us</w:t>
            </w:r>
          </w:p>
        </w:tc>
        <w:tc>
          <w:tcPr>
            <w:tcW w:w="2263" w:type="pct"/>
          </w:tcPr>
          <w:p w14:paraId="5B77CCD6" w14:textId="6B0DE888" w:rsidR="00FA2FF9" w:rsidRPr="00730DE4" w:rsidRDefault="007758AD" w:rsidP="00722210">
            <w:pPr>
              <w:pStyle w:val="NoSpacing"/>
              <w:rPr>
                <w:lang w:val="en-US"/>
              </w:rPr>
            </w:pPr>
            <w:r w:rsidRPr="00730DE4">
              <w:rPr>
                <w:lang w:val="en-US"/>
              </w:rPr>
              <w:t>5–8</w:t>
            </w:r>
          </w:p>
        </w:tc>
      </w:tr>
      <w:tr w:rsidR="00FA2FF9" w:rsidRPr="00730DE4" w14:paraId="48658E5C" w14:textId="77777777" w:rsidTr="007758AD">
        <w:tc>
          <w:tcPr>
            <w:tcW w:w="2737" w:type="pct"/>
          </w:tcPr>
          <w:p w14:paraId="1B6397EB" w14:textId="77777777" w:rsidR="00FA2FF9" w:rsidRPr="00730DE4" w:rsidRDefault="00FA2FF9" w:rsidP="00722210">
            <w:pPr>
              <w:pStyle w:val="NoSpacing"/>
              <w:rPr>
                <w:lang w:val="en-US"/>
              </w:rPr>
            </w:pPr>
            <w:r w:rsidRPr="00730DE4">
              <w:rPr>
                <w:lang w:val="en-US"/>
              </w:rPr>
              <w:t>Air services</w:t>
            </w:r>
          </w:p>
        </w:tc>
        <w:tc>
          <w:tcPr>
            <w:tcW w:w="2263" w:type="pct"/>
          </w:tcPr>
          <w:p w14:paraId="56C7C1E0" w14:textId="721C6102" w:rsidR="00FA2FF9" w:rsidRPr="00730DE4" w:rsidRDefault="007758AD" w:rsidP="00722210">
            <w:pPr>
              <w:pStyle w:val="NoSpacing"/>
              <w:rPr>
                <w:lang w:val="en-US"/>
              </w:rPr>
            </w:pPr>
            <w:r w:rsidRPr="00730DE4">
              <w:rPr>
                <w:lang w:val="en-US"/>
              </w:rPr>
              <w:t>74, 82</w:t>
            </w:r>
          </w:p>
        </w:tc>
      </w:tr>
      <w:tr w:rsidR="00FA2FF9" w:rsidRPr="00730DE4" w14:paraId="7A5A8D5F" w14:textId="77777777" w:rsidTr="007758AD">
        <w:trPr>
          <w:cnfStyle w:val="000000100000" w:firstRow="0" w:lastRow="0" w:firstColumn="0" w:lastColumn="0" w:oddVBand="0" w:evenVBand="0" w:oddHBand="1" w:evenHBand="0" w:firstRowFirstColumn="0" w:firstRowLastColumn="0" w:lastRowFirstColumn="0" w:lastRowLastColumn="0"/>
        </w:trPr>
        <w:tc>
          <w:tcPr>
            <w:tcW w:w="2737" w:type="pct"/>
          </w:tcPr>
          <w:p w14:paraId="7B132D0B" w14:textId="77777777" w:rsidR="00FA2FF9" w:rsidRPr="00730DE4" w:rsidRDefault="00FA2FF9" w:rsidP="00722210">
            <w:pPr>
              <w:pStyle w:val="NoSpacing"/>
              <w:rPr>
                <w:lang w:val="en-US"/>
              </w:rPr>
            </w:pPr>
            <w:r w:rsidRPr="00730DE4">
              <w:rPr>
                <w:lang w:val="en-US"/>
              </w:rPr>
              <w:t>Associated authorities</w:t>
            </w:r>
          </w:p>
        </w:tc>
        <w:tc>
          <w:tcPr>
            <w:tcW w:w="2263" w:type="pct"/>
          </w:tcPr>
          <w:p w14:paraId="29B40618" w14:textId="6EBB1DAC" w:rsidR="00FA2FF9" w:rsidRPr="00730DE4" w:rsidRDefault="00013220" w:rsidP="00722210">
            <w:pPr>
              <w:pStyle w:val="NoSpacing"/>
              <w:rPr>
                <w:lang w:val="en-US"/>
              </w:rPr>
            </w:pPr>
            <w:r>
              <w:rPr>
                <w:lang w:val="en-US"/>
              </w:rPr>
              <w:t>374–379</w:t>
            </w:r>
          </w:p>
        </w:tc>
      </w:tr>
      <w:tr w:rsidR="00FA2FF9" w:rsidRPr="00730DE4" w14:paraId="44F4A24D" w14:textId="77777777" w:rsidTr="007758AD">
        <w:tc>
          <w:tcPr>
            <w:tcW w:w="2737" w:type="pct"/>
          </w:tcPr>
          <w:p w14:paraId="7EEE80BA" w14:textId="77777777" w:rsidR="00FA2FF9" w:rsidRPr="00730DE4" w:rsidRDefault="00FA2FF9" w:rsidP="00722210">
            <w:pPr>
              <w:pStyle w:val="NoSpacing"/>
              <w:rPr>
                <w:lang w:val="en-US"/>
              </w:rPr>
            </w:pPr>
            <w:r w:rsidRPr="00730DE4">
              <w:rPr>
                <w:lang w:val="en-US"/>
              </w:rPr>
              <w:t>Award recognition</w:t>
            </w:r>
          </w:p>
        </w:tc>
        <w:tc>
          <w:tcPr>
            <w:tcW w:w="2263" w:type="pct"/>
          </w:tcPr>
          <w:p w14:paraId="1ECD4C4B" w14:textId="268F1D89" w:rsidR="00FA2FF9" w:rsidRPr="00730DE4" w:rsidRDefault="007758AD" w:rsidP="00722210">
            <w:pPr>
              <w:pStyle w:val="NoSpacing"/>
              <w:rPr>
                <w:lang w:val="en-US"/>
              </w:rPr>
            </w:pPr>
            <w:r w:rsidRPr="00730DE4">
              <w:rPr>
                <w:lang w:val="en-US"/>
              </w:rPr>
              <w:t>13, 1</w:t>
            </w:r>
            <w:r w:rsidR="00495400" w:rsidRPr="00730DE4">
              <w:rPr>
                <w:lang w:val="en-US"/>
              </w:rPr>
              <w:t>77</w:t>
            </w:r>
            <w:r w:rsidRPr="00730DE4">
              <w:rPr>
                <w:lang w:val="en-US"/>
              </w:rPr>
              <w:t>, 203–204, 213, 215–216, 217, 224, 241, 255–257</w:t>
            </w:r>
          </w:p>
        </w:tc>
      </w:tr>
      <w:tr w:rsidR="00FA2FF9" w:rsidRPr="00730DE4" w14:paraId="1B39BDB0" w14:textId="77777777" w:rsidTr="007758AD">
        <w:trPr>
          <w:cnfStyle w:val="000000100000" w:firstRow="0" w:lastRow="0" w:firstColumn="0" w:lastColumn="0" w:oddVBand="0" w:evenVBand="0" w:oddHBand="1" w:evenHBand="0" w:firstRowFirstColumn="0" w:firstRowLastColumn="0" w:lastRowFirstColumn="0" w:lastRowLastColumn="0"/>
        </w:trPr>
        <w:tc>
          <w:tcPr>
            <w:tcW w:w="2737" w:type="pct"/>
          </w:tcPr>
          <w:p w14:paraId="780341A1" w14:textId="77777777" w:rsidR="00FA2FF9" w:rsidRPr="00730DE4" w:rsidRDefault="00FA2FF9" w:rsidP="00722210">
            <w:pPr>
              <w:pStyle w:val="NoSpacing"/>
              <w:rPr>
                <w:lang w:val="en-US"/>
              </w:rPr>
            </w:pPr>
            <w:r w:rsidRPr="00730DE4">
              <w:rPr>
                <w:lang w:val="en-US"/>
              </w:rPr>
              <w:t>Brisbane 2032 Olympic and Paralympic Games</w:t>
            </w:r>
          </w:p>
        </w:tc>
        <w:tc>
          <w:tcPr>
            <w:tcW w:w="2263" w:type="pct"/>
          </w:tcPr>
          <w:p w14:paraId="2FF9BFA4" w14:textId="416E68EE" w:rsidR="00FA2FF9" w:rsidRPr="00730DE4" w:rsidRDefault="007758AD" w:rsidP="00722210">
            <w:pPr>
              <w:pStyle w:val="NoSpacing"/>
              <w:rPr>
                <w:lang w:val="en-US"/>
              </w:rPr>
            </w:pPr>
            <w:r w:rsidRPr="00730DE4">
              <w:rPr>
                <w:lang w:val="en-US"/>
              </w:rPr>
              <w:t>8, 10, 15, 30, 58, 61, 74, 77–78, 79, 162–163, 27</w:t>
            </w:r>
            <w:r w:rsidR="0000329D" w:rsidRPr="00730DE4">
              <w:rPr>
                <w:lang w:val="en-US"/>
              </w:rPr>
              <w:t>1</w:t>
            </w:r>
          </w:p>
        </w:tc>
      </w:tr>
      <w:tr w:rsidR="00FA2FF9" w:rsidRPr="00730DE4" w14:paraId="1CCC9300" w14:textId="77777777" w:rsidTr="007758AD">
        <w:tc>
          <w:tcPr>
            <w:tcW w:w="2737" w:type="pct"/>
          </w:tcPr>
          <w:p w14:paraId="112ECAE1" w14:textId="77777777" w:rsidR="00FA2FF9" w:rsidRPr="00730DE4" w:rsidRDefault="00FA2FF9" w:rsidP="00722210">
            <w:pPr>
              <w:pStyle w:val="NoSpacing"/>
              <w:rPr>
                <w:lang w:val="en-US"/>
              </w:rPr>
            </w:pPr>
            <w:r w:rsidRPr="00730DE4">
              <w:rPr>
                <w:lang w:val="en-US"/>
              </w:rPr>
              <w:t>Bruce Highway</w:t>
            </w:r>
          </w:p>
        </w:tc>
        <w:tc>
          <w:tcPr>
            <w:tcW w:w="2263" w:type="pct"/>
          </w:tcPr>
          <w:p w14:paraId="4B29C738" w14:textId="13644D23" w:rsidR="00FA2FF9" w:rsidRPr="00730DE4" w:rsidRDefault="007758AD" w:rsidP="00722210">
            <w:pPr>
              <w:pStyle w:val="NoSpacing"/>
              <w:rPr>
                <w:lang w:val="en-US"/>
              </w:rPr>
            </w:pPr>
            <w:r w:rsidRPr="00730DE4">
              <w:rPr>
                <w:lang w:val="en-US"/>
              </w:rPr>
              <w:t>9–10, 15, 75, 94–95, 97–98, 99, 105–106, 111–115, 119–121, 122, 123–124, 125–126, 126–127, 128, 135–136, 137–138, 139, 146–147, 184–185, 186, 189</w:t>
            </w:r>
          </w:p>
        </w:tc>
      </w:tr>
      <w:tr w:rsidR="00FA2FF9" w:rsidRPr="00730DE4" w14:paraId="2722AC15" w14:textId="77777777" w:rsidTr="007758AD">
        <w:trPr>
          <w:cnfStyle w:val="000000100000" w:firstRow="0" w:lastRow="0" w:firstColumn="0" w:lastColumn="0" w:oddVBand="0" w:evenVBand="0" w:oddHBand="1" w:evenHBand="0" w:firstRowFirstColumn="0" w:firstRowLastColumn="0" w:lastRowFirstColumn="0" w:lastRowLastColumn="0"/>
        </w:trPr>
        <w:tc>
          <w:tcPr>
            <w:tcW w:w="2737" w:type="pct"/>
          </w:tcPr>
          <w:p w14:paraId="6F3030CD" w14:textId="77777777" w:rsidR="00FA2FF9" w:rsidRPr="00730DE4" w:rsidRDefault="00FA2FF9" w:rsidP="00722210">
            <w:pPr>
              <w:pStyle w:val="NoSpacing"/>
              <w:rPr>
                <w:lang w:val="en-US"/>
              </w:rPr>
            </w:pPr>
            <w:r w:rsidRPr="00730DE4">
              <w:rPr>
                <w:lang w:val="en-US"/>
              </w:rPr>
              <w:t>Camera Detected Offence Program</w:t>
            </w:r>
          </w:p>
        </w:tc>
        <w:tc>
          <w:tcPr>
            <w:tcW w:w="2263" w:type="pct"/>
          </w:tcPr>
          <w:p w14:paraId="26CD2574" w14:textId="6A106B39" w:rsidR="00FA2FF9" w:rsidRPr="00730DE4" w:rsidRDefault="00013220" w:rsidP="00722210">
            <w:pPr>
              <w:pStyle w:val="NoSpacing"/>
              <w:rPr>
                <w:lang w:val="en-US"/>
              </w:rPr>
            </w:pPr>
            <w:r>
              <w:rPr>
                <w:lang w:val="en-US"/>
              </w:rPr>
              <w:t>34, 186, 381–387</w:t>
            </w:r>
          </w:p>
        </w:tc>
      </w:tr>
      <w:tr w:rsidR="00FA2FF9" w:rsidRPr="00730DE4" w14:paraId="604BF224" w14:textId="77777777" w:rsidTr="007758AD">
        <w:tc>
          <w:tcPr>
            <w:tcW w:w="2737" w:type="pct"/>
          </w:tcPr>
          <w:p w14:paraId="78306C67" w14:textId="77777777" w:rsidR="00FA2FF9" w:rsidRPr="00730DE4" w:rsidRDefault="00FA2FF9" w:rsidP="00722210">
            <w:pPr>
              <w:pStyle w:val="NoSpacing"/>
              <w:rPr>
                <w:lang w:val="en-US"/>
              </w:rPr>
            </w:pPr>
            <w:r w:rsidRPr="00730DE4">
              <w:rPr>
                <w:lang w:val="en-US"/>
              </w:rPr>
              <w:t>Chief Finance Officer’s Report</w:t>
            </w:r>
          </w:p>
        </w:tc>
        <w:tc>
          <w:tcPr>
            <w:tcW w:w="2263" w:type="pct"/>
          </w:tcPr>
          <w:p w14:paraId="74BBB642" w14:textId="528F3ED2" w:rsidR="00FA2FF9" w:rsidRPr="00730DE4" w:rsidRDefault="00BB62E2" w:rsidP="00722210">
            <w:pPr>
              <w:pStyle w:val="NoSpacing"/>
              <w:rPr>
                <w:lang w:val="en-US"/>
              </w:rPr>
            </w:pPr>
            <w:r w:rsidRPr="00730DE4">
              <w:rPr>
                <w:lang w:val="en-US"/>
              </w:rPr>
              <w:t>15–19</w:t>
            </w:r>
          </w:p>
        </w:tc>
      </w:tr>
      <w:tr w:rsidR="00FA2FF9" w:rsidRPr="00730DE4" w14:paraId="39C294FF" w14:textId="77777777" w:rsidTr="007758AD">
        <w:trPr>
          <w:cnfStyle w:val="000000100000" w:firstRow="0" w:lastRow="0" w:firstColumn="0" w:lastColumn="0" w:oddVBand="0" w:evenVBand="0" w:oddHBand="1" w:evenHBand="0" w:firstRowFirstColumn="0" w:firstRowLastColumn="0" w:lastRowFirstColumn="0" w:lastRowLastColumn="0"/>
        </w:trPr>
        <w:tc>
          <w:tcPr>
            <w:tcW w:w="2737" w:type="pct"/>
          </w:tcPr>
          <w:p w14:paraId="5C954C22" w14:textId="77777777" w:rsidR="00FA2FF9" w:rsidRPr="00730DE4" w:rsidRDefault="00FA2FF9" w:rsidP="00722210">
            <w:pPr>
              <w:pStyle w:val="NoSpacing"/>
              <w:rPr>
                <w:lang w:val="en-US"/>
              </w:rPr>
            </w:pPr>
            <w:r w:rsidRPr="00730DE4">
              <w:rPr>
                <w:lang w:val="en-US"/>
              </w:rPr>
              <w:t>Compliance checklist</w:t>
            </w:r>
          </w:p>
        </w:tc>
        <w:tc>
          <w:tcPr>
            <w:tcW w:w="2263" w:type="pct"/>
          </w:tcPr>
          <w:p w14:paraId="66969442" w14:textId="34B0CAE2" w:rsidR="00FA2FF9" w:rsidRPr="00730DE4" w:rsidRDefault="001557C8" w:rsidP="00722210">
            <w:pPr>
              <w:pStyle w:val="NoSpacing"/>
              <w:rPr>
                <w:lang w:val="en-US"/>
              </w:rPr>
            </w:pPr>
            <w:r>
              <w:rPr>
                <w:lang w:val="en-US"/>
              </w:rPr>
              <w:t>417–421</w:t>
            </w:r>
          </w:p>
        </w:tc>
      </w:tr>
      <w:tr w:rsidR="00FA2FF9" w:rsidRPr="00730DE4" w14:paraId="03F840AB" w14:textId="77777777" w:rsidTr="007758AD">
        <w:tc>
          <w:tcPr>
            <w:tcW w:w="2737" w:type="pct"/>
          </w:tcPr>
          <w:p w14:paraId="78DADF7D" w14:textId="77777777" w:rsidR="00FA2FF9" w:rsidRPr="00730DE4" w:rsidRDefault="00FA2FF9" w:rsidP="00722210">
            <w:pPr>
              <w:pStyle w:val="NoSpacing"/>
              <w:rPr>
                <w:lang w:val="en-US"/>
              </w:rPr>
            </w:pPr>
            <w:r w:rsidRPr="00730DE4">
              <w:rPr>
                <w:lang w:val="en-US"/>
              </w:rPr>
              <w:t>Committees</w:t>
            </w:r>
          </w:p>
        </w:tc>
        <w:tc>
          <w:tcPr>
            <w:tcW w:w="2263" w:type="pct"/>
          </w:tcPr>
          <w:p w14:paraId="7FBCAAFA" w14:textId="397E13BC" w:rsidR="00FA2FF9" w:rsidRPr="00730DE4" w:rsidRDefault="00BB62E2" w:rsidP="00722210">
            <w:pPr>
              <w:pStyle w:val="NoSpacing"/>
              <w:rPr>
                <w:lang w:val="en-US"/>
              </w:rPr>
            </w:pPr>
            <w:r w:rsidRPr="00730DE4">
              <w:rPr>
                <w:lang w:val="en-US"/>
              </w:rPr>
              <w:t>272–278, 290</w:t>
            </w:r>
          </w:p>
        </w:tc>
      </w:tr>
      <w:tr w:rsidR="00FA2FF9" w:rsidRPr="00730DE4" w14:paraId="5D33674A" w14:textId="77777777" w:rsidTr="007758AD">
        <w:trPr>
          <w:cnfStyle w:val="000000100000" w:firstRow="0" w:lastRow="0" w:firstColumn="0" w:lastColumn="0" w:oddVBand="0" w:evenVBand="0" w:oddHBand="1" w:evenHBand="0" w:firstRowFirstColumn="0" w:firstRowLastColumn="0" w:lastRowFirstColumn="0" w:lastRowLastColumn="0"/>
        </w:trPr>
        <w:tc>
          <w:tcPr>
            <w:tcW w:w="2737" w:type="pct"/>
          </w:tcPr>
          <w:p w14:paraId="65D59FBC" w14:textId="77777777" w:rsidR="00FA2FF9" w:rsidRPr="00730DE4" w:rsidRDefault="00FA2FF9" w:rsidP="00722210">
            <w:pPr>
              <w:pStyle w:val="NoSpacing"/>
              <w:rPr>
                <w:lang w:val="en-US"/>
              </w:rPr>
            </w:pPr>
            <w:r w:rsidRPr="00730DE4">
              <w:rPr>
                <w:lang w:val="en-US"/>
              </w:rPr>
              <w:t>Complaints management</w:t>
            </w:r>
          </w:p>
        </w:tc>
        <w:tc>
          <w:tcPr>
            <w:tcW w:w="2263" w:type="pct"/>
          </w:tcPr>
          <w:p w14:paraId="4F5DD14D" w14:textId="748C3D15" w:rsidR="00FA2FF9" w:rsidRPr="00730DE4" w:rsidRDefault="00BB62E2" w:rsidP="00722210">
            <w:pPr>
              <w:pStyle w:val="NoSpacing"/>
              <w:rPr>
                <w:lang w:val="en-US"/>
              </w:rPr>
            </w:pPr>
            <w:r w:rsidRPr="00730DE4">
              <w:rPr>
                <w:lang w:val="en-US"/>
              </w:rPr>
              <w:t>46, 283–284</w:t>
            </w:r>
          </w:p>
        </w:tc>
      </w:tr>
      <w:tr w:rsidR="00FA2FF9" w:rsidRPr="00730DE4" w14:paraId="782E4C7D" w14:textId="77777777" w:rsidTr="007758AD">
        <w:tc>
          <w:tcPr>
            <w:tcW w:w="2737" w:type="pct"/>
          </w:tcPr>
          <w:p w14:paraId="180E6670" w14:textId="77777777" w:rsidR="00FA2FF9" w:rsidRPr="00730DE4" w:rsidRDefault="00FA2FF9" w:rsidP="00722210">
            <w:pPr>
              <w:pStyle w:val="NoSpacing"/>
              <w:rPr>
                <w:lang w:val="en-US"/>
              </w:rPr>
            </w:pPr>
            <w:r w:rsidRPr="00730DE4">
              <w:rPr>
                <w:lang w:val="en-US"/>
              </w:rPr>
              <w:t>Continuity Management</w:t>
            </w:r>
          </w:p>
        </w:tc>
        <w:tc>
          <w:tcPr>
            <w:tcW w:w="2263" w:type="pct"/>
          </w:tcPr>
          <w:p w14:paraId="7B7CA762" w14:textId="3CC41E9C" w:rsidR="00FA2FF9" w:rsidRPr="00730DE4" w:rsidRDefault="00BB62E2" w:rsidP="00722210">
            <w:pPr>
              <w:pStyle w:val="NoSpacing"/>
              <w:rPr>
                <w:lang w:val="en-US"/>
              </w:rPr>
            </w:pPr>
            <w:r w:rsidRPr="00730DE4">
              <w:rPr>
                <w:lang w:val="en-US"/>
              </w:rPr>
              <w:t>209</w:t>
            </w:r>
          </w:p>
        </w:tc>
      </w:tr>
      <w:tr w:rsidR="00FA2FF9" w:rsidRPr="00730DE4" w14:paraId="6FE2FAC3" w14:textId="77777777" w:rsidTr="007758AD">
        <w:trPr>
          <w:cnfStyle w:val="000000100000" w:firstRow="0" w:lastRow="0" w:firstColumn="0" w:lastColumn="0" w:oddVBand="0" w:evenVBand="0" w:oddHBand="1" w:evenHBand="0" w:firstRowFirstColumn="0" w:firstRowLastColumn="0" w:lastRowFirstColumn="0" w:lastRowLastColumn="0"/>
        </w:trPr>
        <w:tc>
          <w:tcPr>
            <w:tcW w:w="2737" w:type="pct"/>
          </w:tcPr>
          <w:p w14:paraId="23395B36" w14:textId="77777777" w:rsidR="00FA2FF9" w:rsidRPr="00730DE4" w:rsidRDefault="00FA2FF9" w:rsidP="00722210">
            <w:pPr>
              <w:pStyle w:val="NoSpacing"/>
              <w:rPr>
                <w:lang w:val="en-US"/>
              </w:rPr>
            </w:pPr>
            <w:r w:rsidRPr="00730DE4">
              <w:rPr>
                <w:lang w:val="en-US"/>
              </w:rPr>
              <w:t>Coronial inquests</w:t>
            </w:r>
          </w:p>
        </w:tc>
        <w:tc>
          <w:tcPr>
            <w:tcW w:w="2263" w:type="pct"/>
          </w:tcPr>
          <w:p w14:paraId="6A6CED92" w14:textId="1B0BF747" w:rsidR="00FA2FF9" w:rsidRPr="00730DE4" w:rsidRDefault="00BB62E2" w:rsidP="00722210">
            <w:pPr>
              <w:pStyle w:val="NoSpacing"/>
              <w:rPr>
                <w:lang w:val="en-US"/>
              </w:rPr>
            </w:pPr>
            <w:r w:rsidRPr="00730DE4">
              <w:rPr>
                <w:lang w:val="en-US"/>
              </w:rPr>
              <w:t>289–290</w:t>
            </w:r>
          </w:p>
        </w:tc>
      </w:tr>
      <w:tr w:rsidR="00FA2FF9" w:rsidRPr="00730DE4" w14:paraId="194FA02E" w14:textId="77777777" w:rsidTr="007758AD">
        <w:tc>
          <w:tcPr>
            <w:tcW w:w="2737" w:type="pct"/>
          </w:tcPr>
          <w:p w14:paraId="71BB0D4A" w14:textId="77777777" w:rsidR="00FA2FF9" w:rsidRPr="00730DE4" w:rsidRDefault="00FA2FF9" w:rsidP="00722210">
            <w:pPr>
              <w:pStyle w:val="NoSpacing"/>
              <w:rPr>
                <w:lang w:val="en-US"/>
              </w:rPr>
            </w:pPr>
            <w:r w:rsidRPr="00730DE4">
              <w:rPr>
                <w:lang w:val="en-US"/>
              </w:rPr>
              <w:t>Customer experience</w:t>
            </w:r>
          </w:p>
        </w:tc>
        <w:tc>
          <w:tcPr>
            <w:tcW w:w="2263" w:type="pct"/>
          </w:tcPr>
          <w:p w14:paraId="2FF9B2DD" w14:textId="577122B0" w:rsidR="00FA2FF9" w:rsidRPr="00730DE4" w:rsidRDefault="00BB62E2" w:rsidP="00722210">
            <w:pPr>
              <w:pStyle w:val="NoSpacing"/>
              <w:rPr>
                <w:lang w:val="en-US"/>
              </w:rPr>
            </w:pPr>
            <w:r w:rsidRPr="00730DE4">
              <w:rPr>
                <w:lang w:val="en-US"/>
              </w:rPr>
              <w:t>13, 22, 37, 46–47, 61–62, 165–167, 170</w:t>
            </w:r>
          </w:p>
        </w:tc>
      </w:tr>
      <w:tr w:rsidR="00FA2FF9" w:rsidRPr="00730DE4" w14:paraId="560440F4" w14:textId="77777777" w:rsidTr="007758AD">
        <w:trPr>
          <w:cnfStyle w:val="000000100000" w:firstRow="0" w:lastRow="0" w:firstColumn="0" w:lastColumn="0" w:oddVBand="0" w:evenVBand="0" w:oddHBand="1" w:evenHBand="0" w:firstRowFirstColumn="0" w:firstRowLastColumn="0" w:lastRowFirstColumn="0" w:lastRowLastColumn="0"/>
        </w:trPr>
        <w:tc>
          <w:tcPr>
            <w:tcW w:w="2737" w:type="pct"/>
          </w:tcPr>
          <w:p w14:paraId="1EC0BAA9" w14:textId="77777777" w:rsidR="00FA2FF9" w:rsidRPr="00730DE4" w:rsidRDefault="00FA2FF9" w:rsidP="00722210">
            <w:pPr>
              <w:pStyle w:val="NoSpacing"/>
              <w:rPr>
                <w:lang w:val="en-US"/>
              </w:rPr>
            </w:pPr>
            <w:r w:rsidRPr="00730DE4">
              <w:rPr>
                <w:lang w:val="en-US"/>
              </w:rPr>
              <w:t>Cyber security</w:t>
            </w:r>
          </w:p>
        </w:tc>
        <w:tc>
          <w:tcPr>
            <w:tcW w:w="2263" w:type="pct"/>
          </w:tcPr>
          <w:p w14:paraId="62C5B6D7" w14:textId="29EB7D81" w:rsidR="00FA2FF9" w:rsidRPr="00730DE4" w:rsidRDefault="003F12FF" w:rsidP="00722210">
            <w:pPr>
              <w:pStyle w:val="NoSpacing"/>
              <w:rPr>
                <w:lang w:val="en-US"/>
              </w:rPr>
            </w:pPr>
            <w:r w:rsidRPr="00730DE4">
              <w:rPr>
                <w:lang w:val="en-US"/>
              </w:rPr>
              <w:t>7, 11, 14, 22, 28, 63, 70, 156, 178, 206, 213, 216, 222, 281, 292</w:t>
            </w:r>
          </w:p>
        </w:tc>
      </w:tr>
      <w:tr w:rsidR="00FA2FF9" w:rsidRPr="00730DE4" w14:paraId="12D8595C" w14:textId="77777777" w:rsidTr="007758AD">
        <w:tc>
          <w:tcPr>
            <w:tcW w:w="2737" w:type="pct"/>
          </w:tcPr>
          <w:p w14:paraId="7C3CAB3A" w14:textId="77777777" w:rsidR="00FA2FF9" w:rsidRPr="00730DE4" w:rsidRDefault="00FA2FF9" w:rsidP="00722210">
            <w:pPr>
              <w:pStyle w:val="NoSpacing"/>
              <w:rPr>
                <w:lang w:val="en-US"/>
              </w:rPr>
            </w:pPr>
            <w:r w:rsidRPr="00730DE4">
              <w:rPr>
                <w:lang w:val="en-US"/>
              </w:rPr>
              <w:t>Cycling</w:t>
            </w:r>
          </w:p>
        </w:tc>
        <w:tc>
          <w:tcPr>
            <w:tcW w:w="2263" w:type="pct"/>
          </w:tcPr>
          <w:p w14:paraId="3E81C110" w14:textId="2E44EA0F" w:rsidR="00FA2FF9" w:rsidRPr="00730DE4" w:rsidRDefault="00CB3191" w:rsidP="00722210">
            <w:pPr>
              <w:pStyle w:val="NoSpacing"/>
              <w:rPr>
                <w:lang w:val="en-US"/>
              </w:rPr>
            </w:pPr>
            <w:r w:rsidRPr="00730DE4">
              <w:rPr>
                <w:lang w:val="en-US"/>
              </w:rPr>
              <w:t>30,</w:t>
            </w:r>
            <w:r w:rsidR="00014E72" w:rsidRPr="00730DE4">
              <w:rPr>
                <w:lang w:val="en-US"/>
              </w:rPr>
              <w:t xml:space="preserve"> </w:t>
            </w:r>
            <w:r w:rsidRPr="00730DE4">
              <w:rPr>
                <w:lang w:val="en-US"/>
              </w:rPr>
              <w:t>36, 71, 74, 88, 89–90, 99, 105–106, 107–108, 125, 131–132, 134, 140, 144–145, 192</w:t>
            </w:r>
          </w:p>
        </w:tc>
      </w:tr>
      <w:tr w:rsidR="00FA2FF9" w:rsidRPr="00730DE4" w14:paraId="5D50B9F0" w14:textId="77777777" w:rsidTr="007758AD">
        <w:trPr>
          <w:cnfStyle w:val="000000100000" w:firstRow="0" w:lastRow="0" w:firstColumn="0" w:lastColumn="0" w:oddVBand="0" w:evenVBand="0" w:oddHBand="1" w:evenHBand="0" w:firstRowFirstColumn="0" w:firstRowLastColumn="0" w:lastRowFirstColumn="0" w:lastRowLastColumn="0"/>
        </w:trPr>
        <w:tc>
          <w:tcPr>
            <w:tcW w:w="2737" w:type="pct"/>
          </w:tcPr>
          <w:p w14:paraId="10E8CA09" w14:textId="77777777" w:rsidR="00FA2FF9" w:rsidRPr="00730DE4" w:rsidRDefault="00FA2FF9" w:rsidP="00722210">
            <w:pPr>
              <w:pStyle w:val="NoSpacing"/>
              <w:rPr>
                <w:lang w:val="en-US"/>
              </w:rPr>
            </w:pPr>
            <w:r w:rsidRPr="00730DE4">
              <w:rPr>
                <w:lang w:val="en-US"/>
              </w:rPr>
              <w:t>Digital Licence App</w:t>
            </w:r>
          </w:p>
        </w:tc>
        <w:tc>
          <w:tcPr>
            <w:tcW w:w="2263" w:type="pct"/>
          </w:tcPr>
          <w:p w14:paraId="4D9B63CE" w14:textId="2127CC0A" w:rsidR="00FA2FF9" w:rsidRPr="00730DE4" w:rsidRDefault="00E65C83" w:rsidP="00722210">
            <w:pPr>
              <w:pStyle w:val="NoSpacing"/>
              <w:rPr>
                <w:lang w:val="en-US"/>
              </w:rPr>
            </w:pPr>
            <w:r w:rsidRPr="00730DE4">
              <w:rPr>
                <w:lang w:val="en-US"/>
              </w:rPr>
              <w:t>15, 170–171, 275</w:t>
            </w:r>
          </w:p>
        </w:tc>
      </w:tr>
      <w:tr w:rsidR="00FA2FF9" w:rsidRPr="00730DE4" w14:paraId="5D6DBDE8" w14:textId="77777777" w:rsidTr="007758AD">
        <w:tc>
          <w:tcPr>
            <w:tcW w:w="2737" w:type="pct"/>
          </w:tcPr>
          <w:p w14:paraId="7CFA1FCC" w14:textId="77777777" w:rsidR="00FA2FF9" w:rsidRPr="00730DE4" w:rsidRDefault="00FA2FF9" w:rsidP="00722210">
            <w:pPr>
              <w:pStyle w:val="NoSpacing"/>
              <w:rPr>
                <w:lang w:val="en-US"/>
              </w:rPr>
            </w:pPr>
            <w:r w:rsidRPr="00730DE4">
              <w:rPr>
                <w:lang w:val="en-US"/>
              </w:rPr>
              <w:t>Director-General message</w:t>
            </w:r>
          </w:p>
        </w:tc>
        <w:tc>
          <w:tcPr>
            <w:tcW w:w="2263" w:type="pct"/>
          </w:tcPr>
          <w:p w14:paraId="22A2DFBB" w14:textId="7553EA99" w:rsidR="00FA2FF9" w:rsidRPr="00730DE4" w:rsidRDefault="002F5ED8" w:rsidP="00722210">
            <w:pPr>
              <w:pStyle w:val="NoSpacing"/>
              <w:rPr>
                <w:lang w:val="en-US"/>
              </w:rPr>
            </w:pPr>
            <w:r w:rsidRPr="00730DE4">
              <w:rPr>
                <w:lang w:val="en-US"/>
              </w:rPr>
              <w:t>9–14</w:t>
            </w:r>
          </w:p>
        </w:tc>
      </w:tr>
      <w:tr w:rsidR="00FA2FF9" w:rsidRPr="00730DE4" w14:paraId="5D0535B4" w14:textId="77777777" w:rsidTr="007758AD">
        <w:trPr>
          <w:cnfStyle w:val="000000100000" w:firstRow="0" w:lastRow="0" w:firstColumn="0" w:lastColumn="0" w:oddVBand="0" w:evenVBand="0" w:oddHBand="1" w:evenHBand="0" w:firstRowFirstColumn="0" w:firstRowLastColumn="0" w:lastRowFirstColumn="0" w:lastRowLastColumn="0"/>
        </w:trPr>
        <w:tc>
          <w:tcPr>
            <w:tcW w:w="2737" w:type="pct"/>
          </w:tcPr>
          <w:p w14:paraId="561B573B" w14:textId="77777777" w:rsidR="00FA2FF9" w:rsidRPr="00730DE4" w:rsidRDefault="00FA2FF9" w:rsidP="00722210">
            <w:pPr>
              <w:pStyle w:val="NoSpacing"/>
              <w:rPr>
                <w:lang w:val="en-US"/>
              </w:rPr>
            </w:pPr>
            <w:r w:rsidRPr="00730DE4">
              <w:rPr>
                <w:lang w:val="en-US"/>
              </w:rPr>
              <w:t>Digital Uplift</w:t>
            </w:r>
          </w:p>
        </w:tc>
        <w:tc>
          <w:tcPr>
            <w:tcW w:w="2263" w:type="pct"/>
          </w:tcPr>
          <w:p w14:paraId="71EE4620" w14:textId="5205A80A" w:rsidR="00FA2FF9" w:rsidRPr="00730DE4" w:rsidRDefault="002F5ED8" w:rsidP="00722210">
            <w:pPr>
              <w:pStyle w:val="NoSpacing"/>
              <w:rPr>
                <w:lang w:val="en-US"/>
              </w:rPr>
            </w:pPr>
            <w:r w:rsidRPr="00730DE4">
              <w:rPr>
                <w:lang w:val="en-US"/>
              </w:rPr>
              <w:t>240–241</w:t>
            </w:r>
          </w:p>
        </w:tc>
      </w:tr>
      <w:tr w:rsidR="00FA2FF9" w:rsidRPr="00730DE4" w14:paraId="20CBC197" w14:textId="77777777" w:rsidTr="007758AD">
        <w:tc>
          <w:tcPr>
            <w:tcW w:w="2737" w:type="pct"/>
          </w:tcPr>
          <w:p w14:paraId="2BEA32CD" w14:textId="77777777" w:rsidR="00FA2FF9" w:rsidRPr="00730DE4" w:rsidRDefault="00FA2FF9" w:rsidP="00722210">
            <w:pPr>
              <w:pStyle w:val="NoSpacing"/>
              <w:rPr>
                <w:lang w:val="en-US"/>
              </w:rPr>
            </w:pPr>
            <w:r w:rsidRPr="00730DE4">
              <w:rPr>
                <w:lang w:val="en-US"/>
              </w:rPr>
              <w:t>Diversity and inclusion</w:t>
            </w:r>
          </w:p>
        </w:tc>
        <w:tc>
          <w:tcPr>
            <w:tcW w:w="2263" w:type="pct"/>
          </w:tcPr>
          <w:p w14:paraId="52ABB857" w14:textId="7ADF14C8" w:rsidR="00FA2FF9" w:rsidRPr="00730DE4" w:rsidRDefault="002F5ED8" w:rsidP="00722210">
            <w:pPr>
              <w:pStyle w:val="NoSpacing"/>
              <w:rPr>
                <w:lang w:val="en-US"/>
              </w:rPr>
            </w:pPr>
            <w:r w:rsidRPr="00730DE4">
              <w:rPr>
                <w:lang w:val="en-US"/>
              </w:rPr>
              <w:t>12–13, 26, 63–64, 163–164, 165, 221, 225–227, 242–248, 250, 251–252</w:t>
            </w:r>
          </w:p>
        </w:tc>
      </w:tr>
      <w:tr w:rsidR="00FA2FF9" w:rsidRPr="00730DE4" w14:paraId="0A00A575" w14:textId="77777777" w:rsidTr="007758AD">
        <w:trPr>
          <w:cnfStyle w:val="000000100000" w:firstRow="0" w:lastRow="0" w:firstColumn="0" w:lastColumn="0" w:oddVBand="0" w:evenVBand="0" w:oddHBand="1" w:evenHBand="0" w:firstRowFirstColumn="0" w:firstRowLastColumn="0" w:lastRowFirstColumn="0" w:lastRowLastColumn="0"/>
        </w:trPr>
        <w:tc>
          <w:tcPr>
            <w:tcW w:w="2737" w:type="pct"/>
          </w:tcPr>
          <w:p w14:paraId="43CE8B7B" w14:textId="77777777" w:rsidR="00FA2FF9" w:rsidRPr="00730DE4" w:rsidRDefault="00FA2FF9" w:rsidP="00722210">
            <w:pPr>
              <w:pStyle w:val="NoSpacing"/>
              <w:rPr>
                <w:lang w:val="en-US"/>
              </w:rPr>
            </w:pPr>
            <w:r w:rsidRPr="00730DE4">
              <w:rPr>
                <w:lang w:val="en-US"/>
              </w:rPr>
              <w:t>Environment and Heritage</w:t>
            </w:r>
          </w:p>
        </w:tc>
        <w:tc>
          <w:tcPr>
            <w:tcW w:w="2263" w:type="pct"/>
          </w:tcPr>
          <w:p w14:paraId="65C9CE6A" w14:textId="4D2CBCE1" w:rsidR="00FA2FF9" w:rsidRPr="00730DE4" w:rsidRDefault="0014079C" w:rsidP="00722210">
            <w:pPr>
              <w:pStyle w:val="NoSpacing"/>
              <w:rPr>
                <w:lang w:val="en-US"/>
              </w:rPr>
            </w:pPr>
            <w:r w:rsidRPr="00730DE4">
              <w:rPr>
                <w:lang w:val="en-US"/>
              </w:rPr>
              <w:t>9–10, 65–68, 80, 104, 105–106, 152, 154, 183–186, 196, 199–200, 202, 223</w:t>
            </w:r>
          </w:p>
        </w:tc>
      </w:tr>
      <w:tr w:rsidR="00FA2FF9" w:rsidRPr="00730DE4" w14:paraId="0EE4830C" w14:textId="77777777" w:rsidTr="007758AD">
        <w:tc>
          <w:tcPr>
            <w:tcW w:w="2737" w:type="pct"/>
          </w:tcPr>
          <w:p w14:paraId="55D83106" w14:textId="77777777" w:rsidR="00FA2FF9" w:rsidRPr="00730DE4" w:rsidRDefault="00FA2FF9" w:rsidP="00722210">
            <w:pPr>
              <w:pStyle w:val="NoSpacing"/>
              <w:rPr>
                <w:lang w:val="en-US"/>
              </w:rPr>
            </w:pPr>
            <w:r w:rsidRPr="00730DE4">
              <w:rPr>
                <w:lang w:val="en-US"/>
              </w:rPr>
              <w:t>Ethics</w:t>
            </w:r>
          </w:p>
        </w:tc>
        <w:tc>
          <w:tcPr>
            <w:tcW w:w="2263" w:type="pct"/>
          </w:tcPr>
          <w:p w14:paraId="61DDA3DF" w14:textId="6CE96494" w:rsidR="00FA2FF9" w:rsidRPr="00730DE4" w:rsidRDefault="00FB59A1" w:rsidP="00722210">
            <w:pPr>
              <w:pStyle w:val="NoSpacing"/>
              <w:rPr>
                <w:lang w:val="en-US"/>
              </w:rPr>
            </w:pPr>
            <w:r w:rsidRPr="00730DE4">
              <w:rPr>
                <w:lang w:val="en-US"/>
              </w:rPr>
              <w:t>286, 287</w:t>
            </w:r>
          </w:p>
        </w:tc>
      </w:tr>
      <w:tr w:rsidR="00FA2FF9" w:rsidRPr="00730DE4" w14:paraId="2AB20A66" w14:textId="77777777" w:rsidTr="007758AD">
        <w:trPr>
          <w:cnfStyle w:val="000000100000" w:firstRow="0" w:lastRow="0" w:firstColumn="0" w:lastColumn="0" w:oddVBand="0" w:evenVBand="0" w:oddHBand="1" w:evenHBand="0" w:firstRowFirstColumn="0" w:firstRowLastColumn="0" w:lastRowFirstColumn="0" w:lastRowLastColumn="0"/>
        </w:trPr>
        <w:tc>
          <w:tcPr>
            <w:tcW w:w="2737" w:type="pct"/>
          </w:tcPr>
          <w:p w14:paraId="6F841F73" w14:textId="77777777" w:rsidR="00FA2FF9" w:rsidRPr="00730DE4" w:rsidRDefault="00FA2FF9" w:rsidP="00722210">
            <w:pPr>
              <w:pStyle w:val="NoSpacing"/>
              <w:rPr>
                <w:lang w:val="en-US"/>
              </w:rPr>
            </w:pPr>
            <w:r w:rsidRPr="00730DE4">
              <w:rPr>
                <w:lang w:val="en-US"/>
              </w:rPr>
              <w:t>Executive Leadership team profiles</w:t>
            </w:r>
          </w:p>
        </w:tc>
        <w:tc>
          <w:tcPr>
            <w:tcW w:w="2263" w:type="pct"/>
          </w:tcPr>
          <w:p w14:paraId="3AB7728B" w14:textId="1B6883C2" w:rsidR="00FA2FF9" w:rsidRPr="00730DE4" w:rsidRDefault="00BB5F8C" w:rsidP="00722210">
            <w:pPr>
              <w:pStyle w:val="NoSpacing"/>
              <w:rPr>
                <w:lang w:val="en-US"/>
              </w:rPr>
            </w:pPr>
            <w:r w:rsidRPr="00730DE4">
              <w:rPr>
                <w:lang w:val="en-US"/>
              </w:rPr>
              <w:t>264–271</w:t>
            </w:r>
          </w:p>
        </w:tc>
      </w:tr>
      <w:tr w:rsidR="00FA2FF9" w:rsidRPr="00730DE4" w14:paraId="001A9F92" w14:textId="77777777" w:rsidTr="007758AD">
        <w:tc>
          <w:tcPr>
            <w:tcW w:w="2737" w:type="pct"/>
          </w:tcPr>
          <w:p w14:paraId="0B45C4F9" w14:textId="77777777" w:rsidR="00FA2FF9" w:rsidRPr="00730DE4" w:rsidRDefault="00FA2FF9" w:rsidP="00722210">
            <w:pPr>
              <w:pStyle w:val="NoSpacing"/>
              <w:rPr>
                <w:lang w:val="en-US"/>
              </w:rPr>
            </w:pPr>
            <w:r w:rsidRPr="00730DE4">
              <w:rPr>
                <w:lang w:val="en-US"/>
              </w:rPr>
              <w:t>Fast facts</w:t>
            </w:r>
          </w:p>
        </w:tc>
        <w:tc>
          <w:tcPr>
            <w:tcW w:w="2263" w:type="pct"/>
          </w:tcPr>
          <w:p w14:paraId="0EA236BD" w14:textId="1AA40E0A" w:rsidR="00FA2FF9" w:rsidRPr="00730DE4" w:rsidRDefault="00AA76BA" w:rsidP="00722210">
            <w:pPr>
              <w:pStyle w:val="NoSpacing"/>
              <w:rPr>
                <w:lang w:val="en-US"/>
              </w:rPr>
            </w:pPr>
            <w:r w:rsidRPr="00730DE4">
              <w:rPr>
                <w:lang w:val="en-US"/>
              </w:rPr>
              <w:t>71–73</w:t>
            </w:r>
          </w:p>
        </w:tc>
      </w:tr>
      <w:tr w:rsidR="00FA2FF9" w:rsidRPr="00730DE4" w14:paraId="4A97BA48" w14:textId="77777777" w:rsidTr="007758AD">
        <w:trPr>
          <w:cnfStyle w:val="000000100000" w:firstRow="0" w:lastRow="0" w:firstColumn="0" w:lastColumn="0" w:oddVBand="0" w:evenVBand="0" w:oddHBand="1" w:evenHBand="0" w:firstRowFirstColumn="0" w:firstRowLastColumn="0" w:lastRowFirstColumn="0" w:lastRowLastColumn="0"/>
        </w:trPr>
        <w:tc>
          <w:tcPr>
            <w:tcW w:w="2737" w:type="pct"/>
          </w:tcPr>
          <w:p w14:paraId="18684C47" w14:textId="77777777" w:rsidR="00FA2FF9" w:rsidRPr="00730DE4" w:rsidRDefault="00FA2FF9" w:rsidP="00722210">
            <w:pPr>
              <w:pStyle w:val="NoSpacing"/>
              <w:rPr>
                <w:lang w:val="en-US"/>
              </w:rPr>
            </w:pPr>
            <w:r w:rsidRPr="00730DE4">
              <w:rPr>
                <w:lang w:val="en-US"/>
              </w:rPr>
              <w:t>Figures and table index</w:t>
            </w:r>
          </w:p>
        </w:tc>
        <w:tc>
          <w:tcPr>
            <w:tcW w:w="2263" w:type="pct"/>
          </w:tcPr>
          <w:p w14:paraId="74430806" w14:textId="310D84DF" w:rsidR="00FA2FF9" w:rsidRPr="00730DE4" w:rsidRDefault="00BF2BD6" w:rsidP="00722210">
            <w:pPr>
              <w:pStyle w:val="NoSpacing"/>
              <w:rPr>
                <w:lang w:val="en-US"/>
              </w:rPr>
            </w:pPr>
            <w:r>
              <w:rPr>
                <w:lang w:val="en-US"/>
              </w:rPr>
              <w:t>442–445</w:t>
            </w:r>
          </w:p>
        </w:tc>
      </w:tr>
      <w:tr w:rsidR="00FA2FF9" w:rsidRPr="00730DE4" w14:paraId="1E016399" w14:textId="77777777" w:rsidTr="007758AD">
        <w:tc>
          <w:tcPr>
            <w:tcW w:w="2737" w:type="pct"/>
          </w:tcPr>
          <w:p w14:paraId="39D241FC" w14:textId="77777777" w:rsidR="00FA2FF9" w:rsidRPr="00730DE4" w:rsidRDefault="00FA2FF9" w:rsidP="00722210">
            <w:pPr>
              <w:pStyle w:val="NoSpacing"/>
              <w:rPr>
                <w:lang w:val="en-US"/>
              </w:rPr>
            </w:pPr>
            <w:r w:rsidRPr="00730DE4">
              <w:rPr>
                <w:lang w:val="en-US"/>
              </w:rPr>
              <w:t>Financial statements</w:t>
            </w:r>
          </w:p>
        </w:tc>
        <w:tc>
          <w:tcPr>
            <w:tcW w:w="2263" w:type="pct"/>
          </w:tcPr>
          <w:p w14:paraId="523A349E" w14:textId="73C6AA26" w:rsidR="00FA2FF9" w:rsidRPr="00730DE4" w:rsidRDefault="00BF2BD6" w:rsidP="00722210">
            <w:pPr>
              <w:pStyle w:val="NoSpacing"/>
              <w:rPr>
                <w:lang w:val="en-US"/>
              </w:rPr>
            </w:pPr>
            <w:r>
              <w:rPr>
                <w:lang w:val="en-US"/>
              </w:rPr>
              <w:t>286–376</w:t>
            </w:r>
          </w:p>
        </w:tc>
      </w:tr>
      <w:tr w:rsidR="00FA2FF9" w:rsidRPr="00730DE4" w14:paraId="76DB071B" w14:textId="77777777" w:rsidTr="007758AD">
        <w:trPr>
          <w:cnfStyle w:val="000000100000" w:firstRow="0" w:lastRow="0" w:firstColumn="0" w:lastColumn="0" w:oddVBand="0" w:evenVBand="0" w:oddHBand="1" w:evenHBand="0" w:firstRowFirstColumn="0" w:firstRowLastColumn="0" w:lastRowFirstColumn="0" w:lastRowLastColumn="0"/>
        </w:trPr>
        <w:tc>
          <w:tcPr>
            <w:tcW w:w="2737" w:type="pct"/>
          </w:tcPr>
          <w:p w14:paraId="3656A206" w14:textId="77777777" w:rsidR="00FA2FF9" w:rsidRPr="00730DE4" w:rsidRDefault="00FA2FF9" w:rsidP="00722210">
            <w:pPr>
              <w:pStyle w:val="NoSpacing"/>
              <w:rPr>
                <w:lang w:val="en-US"/>
              </w:rPr>
            </w:pPr>
            <w:r w:rsidRPr="00730DE4">
              <w:rPr>
                <w:lang w:val="en-US"/>
              </w:rPr>
              <w:t>Financials—independent auditor</w:t>
            </w:r>
          </w:p>
        </w:tc>
        <w:tc>
          <w:tcPr>
            <w:tcW w:w="2263" w:type="pct"/>
          </w:tcPr>
          <w:p w14:paraId="349297EC" w14:textId="6D46BBC1" w:rsidR="00FA2FF9" w:rsidRPr="00730DE4" w:rsidRDefault="002D5123" w:rsidP="00722210">
            <w:pPr>
              <w:pStyle w:val="NoSpacing"/>
              <w:rPr>
                <w:lang w:val="en-US"/>
              </w:rPr>
            </w:pPr>
            <w:r>
              <w:rPr>
                <w:lang w:val="en-US"/>
              </w:rPr>
              <w:t>372–376</w:t>
            </w:r>
          </w:p>
        </w:tc>
      </w:tr>
      <w:tr w:rsidR="00FA2FF9" w:rsidRPr="00730DE4" w14:paraId="09876153" w14:textId="77777777" w:rsidTr="007758AD">
        <w:tc>
          <w:tcPr>
            <w:tcW w:w="2737" w:type="pct"/>
          </w:tcPr>
          <w:p w14:paraId="4BAC96DC" w14:textId="77777777" w:rsidR="00FA2FF9" w:rsidRPr="00730DE4" w:rsidRDefault="00FA2FF9" w:rsidP="00722210">
            <w:pPr>
              <w:pStyle w:val="NoSpacing"/>
              <w:rPr>
                <w:lang w:val="en-US"/>
              </w:rPr>
            </w:pPr>
            <w:r w:rsidRPr="00730DE4">
              <w:rPr>
                <w:lang w:val="en-US"/>
              </w:rPr>
              <w:t>Governance committees</w:t>
            </w:r>
          </w:p>
        </w:tc>
        <w:tc>
          <w:tcPr>
            <w:tcW w:w="2263" w:type="pct"/>
          </w:tcPr>
          <w:p w14:paraId="37246019" w14:textId="7B903809" w:rsidR="00FA2FF9" w:rsidRPr="00730DE4" w:rsidRDefault="00D72D7D" w:rsidP="00722210">
            <w:pPr>
              <w:pStyle w:val="NoSpacing"/>
              <w:rPr>
                <w:lang w:val="en-US"/>
              </w:rPr>
            </w:pPr>
            <w:r w:rsidRPr="00730DE4">
              <w:rPr>
                <w:lang w:val="en-US"/>
              </w:rPr>
              <w:t>2</w:t>
            </w:r>
            <w:r w:rsidR="00AA76BA" w:rsidRPr="00730DE4">
              <w:rPr>
                <w:lang w:val="en-US"/>
              </w:rPr>
              <w:t>72–278</w:t>
            </w:r>
          </w:p>
        </w:tc>
      </w:tr>
      <w:tr w:rsidR="00FA2FF9" w:rsidRPr="00730DE4" w14:paraId="07E84858" w14:textId="77777777" w:rsidTr="007758AD">
        <w:trPr>
          <w:cnfStyle w:val="000000100000" w:firstRow="0" w:lastRow="0" w:firstColumn="0" w:lastColumn="0" w:oddVBand="0" w:evenVBand="0" w:oddHBand="1" w:evenHBand="0" w:firstRowFirstColumn="0" w:firstRowLastColumn="0" w:lastRowFirstColumn="0" w:lastRowLastColumn="0"/>
        </w:trPr>
        <w:tc>
          <w:tcPr>
            <w:tcW w:w="2737" w:type="pct"/>
          </w:tcPr>
          <w:p w14:paraId="29AD5025" w14:textId="77777777" w:rsidR="00FA2FF9" w:rsidRPr="00730DE4" w:rsidRDefault="00FA2FF9" w:rsidP="00722210">
            <w:pPr>
              <w:pStyle w:val="NoSpacing"/>
              <w:rPr>
                <w:lang w:val="en-US"/>
              </w:rPr>
            </w:pPr>
            <w:r w:rsidRPr="00730DE4">
              <w:rPr>
                <w:lang w:val="en-US"/>
              </w:rPr>
              <w:t>Government bodies</w:t>
            </w:r>
          </w:p>
        </w:tc>
        <w:tc>
          <w:tcPr>
            <w:tcW w:w="2263" w:type="pct"/>
          </w:tcPr>
          <w:p w14:paraId="78E86E9C" w14:textId="04C96978" w:rsidR="00FA2FF9" w:rsidRPr="00730DE4" w:rsidRDefault="002D5123" w:rsidP="00722210">
            <w:pPr>
              <w:pStyle w:val="NoSpacing"/>
              <w:rPr>
                <w:lang w:val="en-US"/>
              </w:rPr>
            </w:pPr>
            <w:r>
              <w:rPr>
                <w:lang w:val="en-US"/>
              </w:rPr>
              <w:t>378–380</w:t>
            </w:r>
          </w:p>
        </w:tc>
      </w:tr>
      <w:tr w:rsidR="00FA2FF9" w:rsidRPr="00730DE4" w14:paraId="0AA79088" w14:textId="77777777" w:rsidTr="007758AD">
        <w:tc>
          <w:tcPr>
            <w:tcW w:w="2737" w:type="pct"/>
          </w:tcPr>
          <w:p w14:paraId="752BFA35" w14:textId="77777777" w:rsidR="00FA2FF9" w:rsidRPr="00730DE4" w:rsidRDefault="00FA2FF9" w:rsidP="00722210">
            <w:pPr>
              <w:pStyle w:val="NoSpacing"/>
              <w:rPr>
                <w:lang w:val="en-US"/>
              </w:rPr>
            </w:pPr>
            <w:r w:rsidRPr="00730DE4">
              <w:rPr>
                <w:lang w:val="en-US"/>
              </w:rPr>
              <w:t>Glossary</w:t>
            </w:r>
          </w:p>
        </w:tc>
        <w:tc>
          <w:tcPr>
            <w:tcW w:w="2263" w:type="pct"/>
          </w:tcPr>
          <w:p w14:paraId="332AC3D5" w14:textId="229BEDC3" w:rsidR="00FA2FF9" w:rsidRPr="00730DE4" w:rsidRDefault="002D5123" w:rsidP="00722210">
            <w:pPr>
              <w:pStyle w:val="NoSpacing"/>
              <w:rPr>
                <w:lang w:val="en-US"/>
              </w:rPr>
            </w:pPr>
            <w:r>
              <w:rPr>
                <w:lang w:val="en-US"/>
              </w:rPr>
              <w:t>404–408</w:t>
            </w:r>
          </w:p>
        </w:tc>
      </w:tr>
      <w:tr w:rsidR="00FA2FF9" w:rsidRPr="00730DE4" w14:paraId="5D262910" w14:textId="77777777" w:rsidTr="007758AD">
        <w:trPr>
          <w:cnfStyle w:val="000000100000" w:firstRow="0" w:lastRow="0" w:firstColumn="0" w:lastColumn="0" w:oddVBand="0" w:evenVBand="0" w:oddHBand="1" w:evenHBand="0" w:firstRowFirstColumn="0" w:firstRowLastColumn="0" w:lastRowFirstColumn="0" w:lastRowLastColumn="0"/>
        </w:trPr>
        <w:tc>
          <w:tcPr>
            <w:tcW w:w="2737" w:type="pct"/>
          </w:tcPr>
          <w:p w14:paraId="59607630" w14:textId="77777777" w:rsidR="00FA2FF9" w:rsidRPr="00730DE4" w:rsidRDefault="00FA2FF9" w:rsidP="00722210">
            <w:pPr>
              <w:pStyle w:val="NoSpacing"/>
              <w:rPr>
                <w:lang w:val="en-US"/>
              </w:rPr>
            </w:pPr>
            <w:r w:rsidRPr="00730DE4">
              <w:rPr>
                <w:lang w:val="en-US"/>
              </w:rPr>
              <w:t>Graduate program</w:t>
            </w:r>
          </w:p>
        </w:tc>
        <w:tc>
          <w:tcPr>
            <w:tcW w:w="2263" w:type="pct"/>
          </w:tcPr>
          <w:p w14:paraId="64A305E6" w14:textId="1F290447" w:rsidR="00FA2FF9" w:rsidRPr="00730DE4" w:rsidRDefault="000F240A" w:rsidP="00722210">
            <w:pPr>
              <w:pStyle w:val="NoSpacing"/>
              <w:rPr>
                <w:lang w:val="en-US"/>
              </w:rPr>
            </w:pPr>
            <w:r w:rsidRPr="00730DE4">
              <w:rPr>
                <w:lang w:val="en-US"/>
              </w:rPr>
              <w:t>7–8, 38, 39, 214, 222, 223, 247, 251–252</w:t>
            </w:r>
          </w:p>
        </w:tc>
      </w:tr>
      <w:tr w:rsidR="00FA2FF9" w:rsidRPr="00730DE4" w14:paraId="2D91B19F" w14:textId="77777777" w:rsidTr="007758AD">
        <w:tc>
          <w:tcPr>
            <w:tcW w:w="2737" w:type="pct"/>
          </w:tcPr>
          <w:p w14:paraId="1C0222DB" w14:textId="77777777" w:rsidR="00FA2FF9" w:rsidRPr="00730DE4" w:rsidRDefault="00FA2FF9" w:rsidP="00722210">
            <w:pPr>
              <w:pStyle w:val="NoSpacing"/>
              <w:rPr>
                <w:lang w:val="en-US"/>
              </w:rPr>
            </w:pPr>
            <w:r w:rsidRPr="00730DE4">
              <w:rPr>
                <w:lang w:val="en-US"/>
              </w:rPr>
              <w:t>Health and safety</w:t>
            </w:r>
          </w:p>
        </w:tc>
        <w:tc>
          <w:tcPr>
            <w:tcW w:w="2263" w:type="pct"/>
          </w:tcPr>
          <w:p w14:paraId="18FFEF72" w14:textId="6F79C7DB" w:rsidR="00FA2FF9" w:rsidRPr="00730DE4" w:rsidRDefault="00831DFA" w:rsidP="00722210">
            <w:pPr>
              <w:pStyle w:val="NoSpacing"/>
              <w:rPr>
                <w:lang w:val="en-US"/>
              </w:rPr>
            </w:pPr>
            <w:r w:rsidRPr="00730DE4">
              <w:rPr>
                <w:lang w:val="en-US"/>
              </w:rPr>
              <w:t>13, 24, 25–26, 32, 224, 225–227, 236–237, 250–251, 258–259, 254–255. 260</w:t>
            </w:r>
          </w:p>
        </w:tc>
      </w:tr>
      <w:tr w:rsidR="00FA2FF9" w:rsidRPr="00730DE4" w14:paraId="652E41DB" w14:textId="77777777" w:rsidTr="007758AD">
        <w:trPr>
          <w:cnfStyle w:val="000000100000" w:firstRow="0" w:lastRow="0" w:firstColumn="0" w:lastColumn="0" w:oddVBand="0" w:evenVBand="0" w:oddHBand="1" w:evenHBand="0" w:firstRowFirstColumn="0" w:firstRowLastColumn="0" w:lastRowFirstColumn="0" w:lastRowLastColumn="0"/>
        </w:trPr>
        <w:tc>
          <w:tcPr>
            <w:tcW w:w="2737" w:type="pct"/>
          </w:tcPr>
          <w:p w14:paraId="4957E5FF" w14:textId="77777777" w:rsidR="00FA2FF9" w:rsidRPr="00730DE4" w:rsidRDefault="00FA2FF9" w:rsidP="00722210">
            <w:pPr>
              <w:pStyle w:val="NoSpacing"/>
              <w:rPr>
                <w:lang w:val="en-US"/>
              </w:rPr>
            </w:pPr>
            <w:r w:rsidRPr="00730DE4">
              <w:rPr>
                <w:lang w:val="en-US"/>
              </w:rPr>
              <w:t>Heavy vehicle safety</w:t>
            </w:r>
          </w:p>
        </w:tc>
        <w:tc>
          <w:tcPr>
            <w:tcW w:w="2263" w:type="pct"/>
          </w:tcPr>
          <w:p w14:paraId="4C1F3B2E" w14:textId="1BCDB2AC" w:rsidR="00FA2FF9" w:rsidRPr="00730DE4" w:rsidRDefault="008C4E19" w:rsidP="00722210">
            <w:pPr>
              <w:pStyle w:val="NoSpacing"/>
              <w:rPr>
                <w:lang w:val="en-US"/>
              </w:rPr>
            </w:pPr>
            <w:r w:rsidRPr="00730DE4">
              <w:rPr>
                <w:lang w:val="en-US"/>
              </w:rPr>
              <w:t>29, 34, 150–151, 172–174</w:t>
            </w:r>
          </w:p>
        </w:tc>
      </w:tr>
      <w:tr w:rsidR="00FA2FF9" w:rsidRPr="00730DE4" w14:paraId="08AA2E4F" w14:textId="77777777" w:rsidTr="007758AD">
        <w:tc>
          <w:tcPr>
            <w:tcW w:w="2737" w:type="pct"/>
          </w:tcPr>
          <w:p w14:paraId="3AA148D9" w14:textId="77777777" w:rsidR="00FA2FF9" w:rsidRPr="00730DE4" w:rsidRDefault="00FA2FF9" w:rsidP="00722210">
            <w:pPr>
              <w:pStyle w:val="NoSpacing"/>
              <w:rPr>
                <w:lang w:val="en-US"/>
              </w:rPr>
            </w:pPr>
            <w:r w:rsidRPr="00730DE4">
              <w:rPr>
                <w:lang w:val="en-US"/>
              </w:rPr>
              <w:t>Infrastructure projects</w:t>
            </w:r>
          </w:p>
        </w:tc>
        <w:tc>
          <w:tcPr>
            <w:tcW w:w="2263" w:type="pct"/>
          </w:tcPr>
          <w:p w14:paraId="587481F3" w14:textId="168199FC" w:rsidR="00FA2FF9" w:rsidRPr="00730DE4" w:rsidRDefault="008E724E" w:rsidP="00722210">
            <w:pPr>
              <w:pStyle w:val="NoSpacing"/>
              <w:rPr>
                <w:lang w:val="en-US"/>
              </w:rPr>
            </w:pPr>
            <w:r w:rsidRPr="00730DE4">
              <w:rPr>
                <w:lang w:val="en-US"/>
              </w:rPr>
              <w:t>5, 9–10, 15–16, 29, 30, 35–36, 39, 65–67, 69, 74–154, 162–163, 180–181, 184–185, 189–190, 276–277</w:t>
            </w:r>
          </w:p>
        </w:tc>
      </w:tr>
      <w:tr w:rsidR="00FA2FF9" w:rsidRPr="00730DE4" w14:paraId="639074DF" w14:textId="77777777" w:rsidTr="007758AD">
        <w:trPr>
          <w:cnfStyle w:val="000000100000" w:firstRow="0" w:lastRow="0" w:firstColumn="0" w:lastColumn="0" w:oddVBand="0" w:evenVBand="0" w:oddHBand="1" w:evenHBand="0" w:firstRowFirstColumn="0" w:firstRowLastColumn="0" w:lastRowFirstColumn="0" w:lastRowLastColumn="0"/>
        </w:trPr>
        <w:tc>
          <w:tcPr>
            <w:tcW w:w="2737" w:type="pct"/>
          </w:tcPr>
          <w:p w14:paraId="03BF36D0" w14:textId="77777777" w:rsidR="00FA2FF9" w:rsidRPr="00730DE4" w:rsidRDefault="00FA2FF9" w:rsidP="00722210">
            <w:pPr>
              <w:pStyle w:val="NoSpacing"/>
              <w:rPr>
                <w:lang w:val="en-US"/>
              </w:rPr>
            </w:pPr>
            <w:r w:rsidRPr="00730DE4">
              <w:rPr>
                <w:lang w:val="en-US"/>
              </w:rPr>
              <w:t>Information privacy</w:t>
            </w:r>
          </w:p>
        </w:tc>
        <w:tc>
          <w:tcPr>
            <w:tcW w:w="2263" w:type="pct"/>
          </w:tcPr>
          <w:p w14:paraId="59A6802F" w14:textId="24D6F020" w:rsidR="00FA2FF9" w:rsidRPr="00730DE4" w:rsidRDefault="007D7AB7" w:rsidP="00722210">
            <w:pPr>
              <w:pStyle w:val="NoSpacing"/>
              <w:rPr>
                <w:lang w:val="en-US"/>
              </w:rPr>
            </w:pPr>
            <w:r w:rsidRPr="00730DE4">
              <w:rPr>
                <w:lang w:val="en-US"/>
              </w:rPr>
              <w:t>279–280, 288</w:t>
            </w:r>
          </w:p>
        </w:tc>
      </w:tr>
      <w:tr w:rsidR="00FA2FF9" w:rsidRPr="00730DE4" w14:paraId="7A32BF5B" w14:textId="77777777" w:rsidTr="007758AD">
        <w:tc>
          <w:tcPr>
            <w:tcW w:w="2737" w:type="pct"/>
          </w:tcPr>
          <w:p w14:paraId="37E07B22" w14:textId="77777777" w:rsidR="00FA2FF9" w:rsidRPr="00730DE4" w:rsidRDefault="00FA2FF9" w:rsidP="00722210">
            <w:pPr>
              <w:pStyle w:val="NoSpacing"/>
              <w:rPr>
                <w:lang w:val="en-US"/>
              </w:rPr>
            </w:pPr>
            <w:r w:rsidRPr="00730DE4">
              <w:rPr>
                <w:lang w:val="en-US"/>
              </w:rPr>
              <w:t>Information systems</w:t>
            </w:r>
          </w:p>
        </w:tc>
        <w:tc>
          <w:tcPr>
            <w:tcW w:w="2263" w:type="pct"/>
          </w:tcPr>
          <w:p w14:paraId="39E0A550" w14:textId="31839D6F" w:rsidR="00FA2FF9" w:rsidRPr="00730DE4" w:rsidRDefault="007D7AB7" w:rsidP="00722210">
            <w:pPr>
              <w:pStyle w:val="NoSpacing"/>
              <w:rPr>
                <w:lang w:val="en-US"/>
              </w:rPr>
            </w:pPr>
            <w:r w:rsidRPr="00730DE4">
              <w:rPr>
                <w:lang w:val="en-US"/>
              </w:rPr>
              <w:t>54, 281</w:t>
            </w:r>
          </w:p>
        </w:tc>
      </w:tr>
      <w:tr w:rsidR="00FA2FF9" w:rsidRPr="00730DE4" w14:paraId="04C0E400" w14:textId="77777777" w:rsidTr="007758AD">
        <w:trPr>
          <w:cnfStyle w:val="000000100000" w:firstRow="0" w:lastRow="0" w:firstColumn="0" w:lastColumn="0" w:oddVBand="0" w:evenVBand="0" w:oddHBand="1" w:evenHBand="0" w:firstRowFirstColumn="0" w:firstRowLastColumn="0" w:lastRowFirstColumn="0" w:lastRowLastColumn="0"/>
        </w:trPr>
        <w:tc>
          <w:tcPr>
            <w:tcW w:w="2737" w:type="pct"/>
          </w:tcPr>
          <w:p w14:paraId="07E40956" w14:textId="77777777" w:rsidR="00FA2FF9" w:rsidRPr="00730DE4" w:rsidRDefault="00FA2FF9" w:rsidP="00722210">
            <w:pPr>
              <w:pStyle w:val="NoSpacing"/>
              <w:rPr>
                <w:lang w:val="en-US"/>
              </w:rPr>
            </w:pPr>
            <w:r w:rsidRPr="00730DE4">
              <w:rPr>
                <w:lang w:val="en-US"/>
              </w:rPr>
              <w:t>Injury management</w:t>
            </w:r>
          </w:p>
        </w:tc>
        <w:tc>
          <w:tcPr>
            <w:tcW w:w="2263" w:type="pct"/>
          </w:tcPr>
          <w:p w14:paraId="5246E4B5" w14:textId="17C60E62" w:rsidR="00FA2FF9" w:rsidRPr="00730DE4" w:rsidRDefault="007D7AB7" w:rsidP="00722210">
            <w:pPr>
              <w:pStyle w:val="NoSpacing"/>
              <w:rPr>
                <w:lang w:val="en-US"/>
              </w:rPr>
            </w:pPr>
            <w:r w:rsidRPr="00730DE4">
              <w:rPr>
                <w:lang w:val="en-US"/>
              </w:rPr>
              <w:t>259</w:t>
            </w:r>
          </w:p>
        </w:tc>
      </w:tr>
      <w:tr w:rsidR="00FA2FF9" w:rsidRPr="00730DE4" w14:paraId="7CF9AC31" w14:textId="77777777" w:rsidTr="007758AD">
        <w:tc>
          <w:tcPr>
            <w:tcW w:w="2737" w:type="pct"/>
          </w:tcPr>
          <w:p w14:paraId="76F78B38" w14:textId="77777777" w:rsidR="00FA2FF9" w:rsidRPr="00730DE4" w:rsidRDefault="00FA2FF9" w:rsidP="00722210">
            <w:pPr>
              <w:pStyle w:val="NoSpacing"/>
              <w:rPr>
                <w:lang w:val="en-US"/>
              </w:rPr>
            </w:pPr>
            <w:r w:rsidRPr="00730DE4">
              <w:rPr>
                <w:lang w:val="en-US"/>
              </w:rPr>
              <w:t>Innovation</w:t>
            </w:r>
          </w:p>
        </w:tc>
        <w:tc>
          <w:tcPr>
            <w:tcW w:w="2263" w:type="pct"/>
          </w:tcPr>
          <w:p w14:paraId="11A4DE87" w14:textId="5F2C15DB" w:rsidR="00FA2FF9" w:rsidRPr="00730DE4" w:rsidRDefault="007B023C" w:rsidP="00722210">
            <w:pPr>
              <w:pStyle w:val="NoSpacing"/>
              <w:rPr>
                <w:lang w:val="en-US"/>
              </w:rPr>
            </w:pPr>
            <w:r w:rsidRPr="00730DE4">
              <w:rPr>
                <w:lang w:val="en-US"/>
              </w:rPr>
              <w:t>58–64, 104, 157, 168–169, 186</w:t>
            </w:r>
          </w:p>
        </w:tc>
      </w:tr>
      <w:tr w:rsidR="00FA2FF9" w:rsidRPr="00730DE4" w14:paraId="7AECCA03" w14:textId="77777777" w:rsidTr="007758AD">
        <w:trPr>
          <w:cnfStyle w:val="000000100000" w:firstRow="0" w:lastRow="0" w:firstColumn="0" w:lastColumn="0" w:oddVBand="0" w:evenVBand="0" w:oddHBand="1" w:evenHBand="0" w:firstRowFirstColumn="0" w:firstRowLastColumn="0" w:lastRowFirstColumn="0" w:lastRowLastColumn="0"/>
        </w:trPr>
        <w:tc>
          <w:tcPr>
            <w:tcW w:w="2737" w:type="pct"/>
          </w:tcPr>
          <w:p w14:paraId="114FDB20" w14:textId="77777777" w:rsidR="00FA2FF9" w:rsidRPr="00730DE4" w:rsidRDefault="00FA2FF9" w:rsidP="00722210">
            <w:pPr>
              <w:pStyle w:val="NoSpacing"/>
              <w:rPr>
                <w:lang w:val="en-US"/>
              </w:rPr>
            </w:pPr>
            <w:r w:rsidRPr="00730DE4">
              <w:rPr>
                <w:lang w:val="en-US"/>
              </w:rPr>
              <w:t>Internal audit</w:t>
            </w:r>
          </w:p>
        </w:tc>
        <w:tc>
          <w:tcPr>
            <w:tcW w:w="2263" w:type="pct"/>
          </w:tcPr>
          <w:p w14:paraId="3F960FE6" w14:textId="681822CA" w:rsidR="00FA2FF9" w:rsidRPr="00730DE4" w:rsidRDefault="00D16E06" w:rsidP="00722210">
            <w:pPr>
              <w:pStyle w:val="NoSpacing"/>
              <w:rPr>
                <w:lang w:val="en-US"/>
              </w:rPr>
            </w:pPr>
            <w:r w:rsidRPr="00730DE4">
              <w:rPr>
                <w:lang w:val="en-US"/>
              </w:rPr>
              <w:t>272–273, 284–285</w:t>
            </w:r>
          </w:p>
        </w:tc>
      </w:tr>
      <w:tr w:rsidR="00FA2FF9" w:rsidRPr="00730DE4" w14:paraId="48D958A7" w14:textId="77777777" w:rsidTr="007758AD">
        <w:tc>
          <w:tcPr>
            <w:tcW w:w="2737" w:type="pct"/>
          </w:tcPr>
          <w:p w14:paraId="690EBEA9" w14:textId="77777777" w:rsidR="00FA2FF9" w:rsidRPr="00730DE4" w:rsidRDefault="00FA2FF9" w:rsidP="00722210">
            <w:pPr>
              <w:pStyle w:val="NoSpacing"/>
              <w:rPr>
                <w:lang w:val="en-US"/>
              </w:rPr>
            </w:pPr>
            <w:r w:rsidRPr="00730DE4">
              <w:rPr>
                <w:lang w:val="en-US"/>
              </w:rPr>
              <w:t>Key priorities and outcomes</w:t>
            </w:r>
          </w:p>
        </w:tc>
        <w:tc>
          <w:tcPr>
            <w:tcW w:w="2263" w:type="pct"/>
          </w:tcPr>
          <w:p w14:paraId="75B5570C" w14:textId="138D77DB" w:rsidR="00FA2FF9" w:rsidRPr="00730DE4" w:rsidRDefault="00F71EE0" w:rsidP="00722210">
            <w:pPr>
              <w:pStyle w:val="NoSpacing"/>
              <w:rPr>
                <w:lang w:val="en-US"/>
              </w:rPr>
            </w:pPr>
            <w:r w:rsidRPr="00730DE4">
              <w:rPr>
                <w:lang w:val="en-US"/>
              </w:rPr>
              <w:t>32–39</w:t>
            </w:r>
          </w:p>
        </w:tc>
      </w:tr>
      <w:tr w:rsidR="00FA2FF9" w:rsidRPr="00730DE4" w14:paraId="26B26910" w14:textId="77777777" w:rsidTr="007758AD">
        <w:trPr>
          <w:cnfStyle w:val="000000100000" w:firstRow="0" w:lastRow="0" w:firstColumn="0" w:lastColumn="0" w:oddVBand="0" w:evenVBand="0" w:oddHBand="1" w:evenHBand="0" w:firstRowFirstColumn="0" w:firstRowLastColumn="0" w:lastRowFirstColumn="0" w:lastRowLastColumn="0"/>
        </w:trPr>
        <w:tc>
          <w:tcPr>
            <w:tcW w:w="2737" w:type="pct"/>
          </w:tcPr>
          <w:p w14:paraId="552ACAB8" w14:textId="77777777" w:rsidR="00FA2FF9" w:rsidRPr="00730DE4" w:rsidRDefault="00FA2FF9" w:rsidP="00722210">
            <w:pPr>
              <w:pStyle w:val="NoSpacing"/>
              <w:rPr>
                <w:lang w:val="en-US"/>
              </w:rPr>
            </w:pPr>
            <w:r w:rsidRPr="00730DE4">
              <w:rPr>
                <w:lang w:val="en-US"/>
              </w:rPr>
              <w:t>Leadership and management development</w:t>
            </w:r>
          </w:p>
        </w:tc>
        <w:tc>
          <w:tcPr>
            <w:tcW w:w="2263" w:type="pct"/>
          </w:tcPr>
          <w:p w14:paraId="65AFDCB1" w14:textId="10E57053" w:rsidR="00FA2FF9" w:rsidRPr="00730DE4" w:rsidRDefault="00B66B3D" w:rsidP="00722210">
            <w:pPr>
              <w:pStyle w:val="NoSpacing"/>
              <w:rPr>
                <w:lang w:val="en-US"/>
              </w:rPr>
            </w:pPr>
            <w:r w:rsidRPr="00730DE4">
              <w:rPr>
                <w:lang w:val="en-US"/>
              </w:rPr>
              <w:t>12–14, 225–226, 236–237, 249–251</w:t>
            </w:r>
          </w:p>
        </w:tc>
      </w:tr>
      <w:tr w:rsidR="00FA2FF9" w:rsidRPr="00730DE4" w14:paraId="4DE1C692" w14:textId="77777777" w:rsidTr="007758AD">
        <w:tc>
          <w:tcPr>
            <w:tcW w:w="2737" w:type="pct"/>
          </w:tcPr>
          <w:p w14:paraId="257560D5" w14:textId="77777777" w:rsidR="00FA2FF9" w:rsidRPr="00730DE4" w:rsidRDefault="00FA2FF9" w:rsidP="00722210">
            <w:pPr>
              <w:pStyle w:val="NoSpacing"/>
              <w:rPr>
                <w:lang w:val="en-US"/>
              </w:rPr>
            </w:pPr>
            <w:r w:rsidRPr="00730DE4">
              <w:rPr>
                <w:lang w:val="en-US"/>
              </w:rPr>
              <w:t>Letter of compliance</w:t>
            </w:r>
          </w:p>
        </w:tc>
        <w:tc>
          <w:tcPr>
            <w:tcW w:w="2263" w:type="pct"/>
          </w:tcPr>
          <w:p w14:paraId="231092F0" w14:textId="147B6A3A" w:rsidR="00FA2FF9" w:rsidRPr="00730DE4" w:rsidRDefault="00581325" w:rsidP="00722210">
            <w:pPr>
              <w:pStyle w:val="NoSpacing"/>
              <w:rPr>
                <w:lang w:val="en-US"/>
              </w:rPr>
            </w:pPr>
            <w:r w:rsidRPr="00730DE4">
              <w:rPr>
                <w:lang w:val="en-US"/>
              </w:rPr>
              <w:t>2</w:t>
            </w:r>
          </w:p>
        </w:tc>
      </w:tr>
      <w:tr w:rsidR="00FA2FF9" w:rsidRPr="00730DE4" w14:paraId="25177362" w14:textId="77777777" w:rsidTr="007758AD">
        <w:trPr>
          <w:cnfStyle w:val="000000100000" w:firstRow="0" w:lastRow="0" w:firstColumn="0" w:lastColumn="0" w:oddVBand="0" w:evenVBand="0" w:oddHBand="1" w:evenHBand="0" w:firstRowFirstColumn="0" w:firstRowLastColumn="0" w:lastRowFirstColumn="0" w:lastRowLastColumn="0"/>
        </w:trPr>
        <w:tc>
          <w:tcPr>
            <w:tcW w:w="2737" w:type="pct"/>
          </w:tcPr>
          <w:p w14:paraId="698BB085" w14:textId="77777777" w:rsidR="00FA2FF9" w:rsidRPr="00730DE4" w:rsidRDefault="00FA2FF9" w:rsidP="00722210">
            <w:pPr>
              <w:pStyle w:val="NoSpacing"/>
              <w:rPr>
                <w:lang w:val="en-US"/>
              </w:rPr>
            </w:pPr>
            <w:r w:rsidRPr="00730DE4">
              <w:rPr>
                <w:lang w:val="en-US"/>
              </w:rPr>
              <w:t>Marine infrastructure</w:t>
            </w:r>
          </w:p>
        </w:tc>
        <w:tc>
          <w:tcPr>
            <w:tcW w:w="2263" w:type="pct"/>
          </w:tcPr>
          <w:p w14:paraId="2EFFC438" w14:textId="79BFF409" w:rsidR="00FA2FF9" w:rsidRPr="00730DE4" w:rsidRDefault="00581325" w:rsidP="00722210">
            <w:pPr>
              <w:pStyle w:val="NoSpacing"/>
              <w:rPr>
                <w:lang w:val="en-US"/>
              </w:rPr>
            </w:pPr>
            <w:r w:rsidRPr="00730DE4">
              <w:rPr>
                <w:lang w:val="en-US"/>
              </w:rPr>
              <w:t>74, 78–79, 91–92</w:t>
            </w:r>
          </w:p>
        </w:tc>
      </w:tr>
      <w:tr w:rsidR="00FA2FF9" w:rsidRPr="00730DE4" w14:paraId="665931C3" w14:textId="77777777" w:rsidTr="007758AD">
        <w:tc>
          <w:tcPr>
            <w:tcW w:w="2737" w:type="pct"/>
          </w:tcPr>
          <w:p w14:paraId="0FB244AE" w14:textId="77777777" w:rsidR="00FA2FF9" w:rsidRPr="00730DE4" w:rsidRDefault="00FA2FF9" w:rsidP="00722210">
            <w:pPr>
              <w:pStyle w:val="NoSpacing"/>
              <w:rPr>
                <w:lang w:val="en-US"/>
              </w:rPr>
            </w:pPr>
            <w:r w:rsidRPr="00730DE4">
              <w:rPr>
                <w:lang w:val="en-US"/>
              </w:rPr>
              <w:t>Marine safety</w:t>
            </w:r>
          </w:p>
        </w:tc>
        <w:tc>
          <w:tcPr>
            <w:tcW w:w="2263" w:type="pct"/>
          </w:tcPr>
          <w:p w14:paraId="45018507" w14:textId="1DFF9D3A" w:rsidR="00FA2FF9" w:rsidRPr="00730DE4" w:rsidRDefault="005C6720" w:rsidP="00722210">
            <w:pPr>
              <w:pStyle w:val="NoSpacing"/>
              <w:rPr>
                <w:lang w:val="en-US"/>
              </w:rPr>
            </w:pPr>
            <w:r w:rsidRPr="00730DE4">
              <w:rPr>
                <w:lang w:val="en-US"/>
              </w:rPr>
              <w:t>196–202</w:t>
            </w:r>
          </w:p>
        </w:tc>
      </w:tr>
      <w:tr w:rsidR="00FA2FF9" w:rsidRPr="00730DE4" w14:paraId="4F9A614E" w14:textId="77777777" w:rsidTr="007758AD">
        <w:trPr>
          <w:cnfStyle w:val="000000100000" w:firstRow="0" w:lastRow="0" w:firstColumn="0" w:lastColumn="0" w:oddVBand="0" w:evenVBand="0" w:oddHBand="1" w:evenHBand="0" w:firstRowFirstColumn="0" w:firstRowLastColumn="0" w:lastRowFirstColumn="0" w:lastRowLastColumn="0"/>
        </w:trPr>
        <w:tc>
          <w:tcPr>
            <w:tcW w:w="2737" w:type="pct"/>
          </w:tcPr>
          <w:p w14:paraId="06D6E5FA" w14:textId="77777777" w:rsidR="00FA2FF9" w:rsidRPr="00730DE4" w:rsidRDefault="00FA2FF9" w:rsidP="00722210">
            <w:pPr>
              <w:pStyle w:val="NoSpacing"/>
              <w:rPr>
                <w:lang w:val="en-US"/>
              </w:rPr>
            </w:pPr>
            <w:r w:rsidRPr="00730DE4">
              <w:rPr>
                <w:lang w:val="en-US"/>
              </w:rPr>
              <w:t>Mentoring</w:t>
            </w:r>
          </w:p>
        </w:tc>
        <w:tc>
          <w:tcPr>
            <w:tcW w:w="2263" w:type="pct"/>
          </w:tcPr>
          <w:p w14:paraId="7D415D04" w14:textId="04355D56" w:rsidR="00FA2FF9" w:rsidRPr="00730DE4" w:rsidRDefault="006879AF" w:rsidP="00722210">
            <w:pPr>
              <w:pStyle w:val="NoSpacing"/>
              <w:rPr>
                <w:lang w:val="en-US"/>
              </w:rPr>
            </w:pPr>
            <w:r w:rsidRPr="00730DE4">
              <w:rPr>
                <w:lang w:val="en-US"/>
              </w:rPr>
              <w:t>31, 201, 223, 250–251, 252–253</w:t>
            </w:r>
          </w:p>
        </w:tc>
      </w:tr>
      <w:tr w:rsidR="00FA2FF9" w:rsidRPr="00730DE4" w14:paraId="64A52F1F" w14:textId="77777777" w:rsidTr="007758AD">
        <w:tc>
          <w:tcPr>
            <w:tcW w:w="2737" w:type="pct"/>
          </w:tcPr>
          <w:p w14:paraId="7093DB1A" w14:textId="77777777" w:rsidR="00FA2FF9" w:rsidRPr="00730DE4" w:rsidRDefault="00FA2FF9" w:rsidP="00722210">
            <w:pPr>
              <w:pStyle w:val="NoSpacing"/>
              <w:rPr>
                <w:lang w:val="en-US"/>
              </w:rPr>
            </w:pPr>
            <w:r w:rsidRPr="00730DE4">
              <w:rPr>
                <w:lang w:val="en-US"/>
              </w:rPr>
              <w:t>Mobility as a Service</w:t>
            </w:r>
          </w:p>
        </w:tc>
        <w:tc>
          <w:tcPr>
            <w:tcW w:w="2263" w:type="pct"/>
          </w:tcPr>
          <w:p w14:paraId="7349789E" w14:textId="08973D63" w:rsidR="00FA2FF9" w:rsidRPr="00730DE4" w:rsidRDefault="005316BD" w:rsidP="00722210">
            <w:pPr>
              <w:pStyle w:val="NoSpacing"/>
              <w:rPr>
                <w:lang w:val="en-US"/>
              </w:rPr>
            </w:pPr>
            <w:r w:rsidRPr="00730DE4">
              <w:rPr>
                <w:lang w:val="en-US"/>
              </w:rPr>
              <w:t>60, 145–146</w:t>
            </w:r>
          </w:p>
        </w:tc>
      </w:tr>
      <w:tr w:rsidR="00FA2FF9" w:rsidRPr="00730DE4" w14:paraId="128E54AC" w14:textId="77777777" w:rsidTr="007758AD">
        <w:trPr>
          <w:cnfStyle w:val="000000100000" w:firstRow="0" w:lastRow="0" w:firstColumn="0" w:lastColumn="0" w:oddVBand="0" w:evenVBand="0" w:oddHBand="1" w:evenHBand="0" w:firstRowFirstColumn="0" w:firstRowLastColumn="0" w:lastRowFirstColumn="0" w:lastRowLastColumn="0"/>
        </w:trPr>
        <w:tc>
          <w:tcPr>
            <w:tcW w:w="2737" w:type="pct"/>
          </w:tcPr>
          <w:p w14:paraId="300D9D7E" w14:textId="77777777" w:rsidR="00FA2FF9" w:rsidRPr="00730DE4" w:rsidRDefault="00FA2FF9" w:rsidP="00722210">
            <w:pPr>
              <w:pStyle w:val="NoSpacing"/>
              <w:rPr>
                <w:lang w:val="en-US"/>
              </w:rPr>
            </w:pPr>
            <w:r w:rsidRPr="00730DE4">
              <w:rPr>
                <w:lang w:val="en-US"/>
              </w:rPr>
              <w:t>Objectives for the community</w:t>
            </w:r>
          </w:p>
        </w:tc>
        <w:tc>
          <w:tcPr>
            <w:tcW w:w="2263" w:type="pct"/>
          </w:tcPr>
          <w:p w14:paraId="155FAD76" w14:textId="0001E59E" w:rsidR="00FA2FF9" w:rsidRPr="00730DE4" w:rsidRDefault="00262D70" w:rsidP="00722210">
            <w:pPr>
              <w:pStyle w:val="NoSpacing"/>
              <w:rPr>
                <w:lang w:val="en-US"/>
              </w:rPr>
            </w:pPr>
            <w:r w:rsidRPr="00730DE4">
              <w:rPr>
                <w:lang w:val="en-US"/>
              </w:rPr>
              <w:t>27–31</w:t>
            </w:r>
          </w:p>
        </w:tc>
      </w:tr>
      <w:tr w:rsidR="00FA2FF9" w:rsidRPr="00730DE4" w14:paraId="359B08EE" w14:textId="77777777" w:rsidTr="007758AD">
        <w:tc>
          <w:tcPr>
            <w:tcW w:w="2737" w:type="pct"/>
          </w:tcPr>
          <w:p w14:paraId="795304ED" w14:textId="77777777" w:rsidR="00FA2FF9" w:rsidRPr="00730DE4" w:rsidRDefault="00FA2FF9" w:rsidP="00722210">
            <w:pPr>
              <w:pStyle w:val="NoSpacing"/>
              <w:rPr>
                <w:lang w:val="en-US"/>
              </w:rPr>
            </w:pPr>
            <w:r w:rsidRPr="00730DE4">
              <w:rPr>
                <w:lang w:val="en-US"/>
              </w:rPr>
              <w:t>Open data</w:t>
            </w:r>
          </w:p>
        </w:tc>
        <w:tc>
          <w:tcPr>
            <w:tcW w:w="2263" w:type="pct"/>
          </w:tcPr>
          <w:p w14:paraId="00F0EC04" w14:textId="021F11D1" w:rsidR="00FA2FF9" w:rsidRPr="00730DE4" w:rsidRDefault="002C1AE3" w:rsidP="00722210">
            <w:pPr>
              <w:pStyle w:val="NoSpacing"/>
              <w:rPr>
                <w:lang w:val="en-US"/>
              </w:rPr>
            </w:pPr>
            <w:r>
              <w:rPr>
                <w:lang w:val="en-US"/>
              </w:rPr>
              <w:t>6, 74, 282, 420</w:t>
            </w:r>
          </w:p>
        </w:tc>
      </w:tr>
      <w:tr w:rsidR="00FA2FF9" w:rsidRPr="00730DE4" w14:paraId="07102477" w14:textId="77777777" w:rsidTr="007758AD">
        <w:trPr>
          <w:cnfStyle w:val="000000100000" w:firstRow="0" w:lastRow="0" w:firstColumn="0" w:lastColumn="0" w:oddVBand="0" w:evenVBand="0" w:oddHBand="1" w:evenHBand="0" w:firstRowFirstColumn="0" w:firstRowLastColumn="0" w:lastRowFirstColumn="0" w:lastRowLastColumn="0"/>
        </w:trPr>
        <w:tc>
          <w:tcPr>
            <w:tcW w:w="2737" w:type="pct"/>
          </w:tcPr>
          <w:p w14:paraId="17B26423" w14:textId="77777777" w:rsidR="00FA2FF9" w:rsidRPr="00730DE4" w:rsidRDefault="00FA2FF9" w:rsidP="00722210">
            <w:pPr>
              <w:pStyle w:val="NoSpacing"/>
              <w:rPr>
                <w:lang w:val="en-US"/>
              </w:rPr>
            </w:pPr>
            <w:r w:rsidRPr="00730DE4">
              <w:rPr>
                <w:lang w:val="en-US"/>
              </w:rPr>
              <w:t>Organisational structure</w:t>
            </w:r>
          </w:p>
        </w:tc>
        <w:tc>
          <w:tcPr>
            <w:tcW w:w="2263" w:type="pct"/>
          </w:tcPr>
          <w:p w14:paraId="31B85135" w14:textId="3613D6A6" w:rsidR="00FA2FF9" w:rsidRPr="00730DE4" w:rsidRDefault="00246B70" w:rsidP="00722210">
            <w:pPr>
              <w:pStyle w:val="NoSpacing"/>
              <w:rPr>
                <w:lang w:val="en-US"/>
              </w:rPr>
            </w:pPr>
            <w:r w:rsidRPr="00730DE4">
              <w:rPr>
                <w:lang w:val="en-US"/>
              </w:rPr>
              <w:t>262–263</w:t>
            </w:r>
          </w:p>
        </w:tc>
      </w:tr>
      <w:tr w:rsidR="00FA2FF9" w:rsidRPr="00730DE4" w14:paraId="20FEFEF2" w14:textId="77777777" w:rsidTr="007758AD">
        <w:tc>
          <w:tcPr>
            <w:tcW w:w="2737" w:type="pct"/>
          </w:tcPr>
          <w:p w14:paraId="1153A447" w14:textId="77777777" w:rsidR="00FA2FF9" w:rsidRPr="00730DE4" w:rsidRDefault="00FA2FF9" w:rsidP="00722210">
            <w:pPr>
              <w:pStyle w:val="NoSpacing"/>
              <w:rPr>
                <w:lang w:val="en-US"/>
              </w:rPr>
            </w:pPr>
            <w:r w:rsidRPr="00730DE4">
              <w:rPr>
                <w:lang w:val="en-US"/>
              </w:rPr>
              <w:t>Our services</w:t>
            </w:r>
          </w:p>
        </w:tc>
        <w:tc>
          <w:tcPr>
            <w:tcW w:w="2263" w:type="pct"/>
          </w:tcPr>
          <w:p w14:paraId="50D1F05D" w14:textId="4FCE2FB9" w:rsidR="00FA2FF9" w:rsidRPr="00730DE4" w:rsidRDefault="00792A7B" w:rsidP="00722210">
            <w:pPr>
              <w:pStyle w:val="NoSpacing"/>
              <w:rPr>
                <w:lang w:val="en-US"/>
              </w:rPr>
            </w:pPr>
            <w:r w:rsidRPr="00730DE4">
              <w:rPr>
                <w:lang w:val="en-US"/>
              </w:rPr>
              <w:t>7–8, 9, 11–12, 13–14, 15–16, 20–26, 28–29, 37–38, 63, 155–222</w:t>
            </w:r>
          </w:p>
        </w:tc>
      </w:tr>
      <w:tr w:rsidR="00FA2FF9" w:rsidRPr="00730DE4" w14:paraId="57375A1F" w14:textId="77777777" w:rsidTr="007758AD">
        <w:trPr>
          <w:cnfStyle w:val="000000100000" w:firstRow="0" w:lastRow="0" w:firstColumn="0" w:lastColumn="0" w:oddVBand="0" w:evenVBand="0" w:oddHBand="1" w:evenHBand="0" w:firstRowFirstColumn="0" w:firstRowLastColumn="0" w:lastRowFirstColumn="0" w:lastRowLastColumn="0"/>
        </w:trPr>
        <w:tc>
          <w:tcPr>
            <w:tcW w:w="2737" w:type="pct"/>
          </w:tcPr>
          <w:p w14:paraId="7187579D" w14:textId="77777777" w:rsidR="00FA2FF9" w:rsidRPr="00730DE4" w:rsidRDefault="00FA2FF9" w:rsidP="00722210">
            <w:pPr>
              <w:pStyle w:val="NoSpacing"/>
              <w:rPr>
                <w:lang w:val="en-US"/>
              </w:rPr>
            </w:pPr>
            <w:r w:rsidRPr="00730DE4">
              <w:rPr>
                <w:lang w:val="en-US"/>
              </w:rPr>
              <w:t>Pacific Motorway</w:t>
            </w:r>
          </w:p>
        </w:tc>
        <w:tc>
          <w:tcPr>
            <w:tcW w:w="2263" w:type="pct"/>
          </w:tcPr>
          <w:p w14:paraId="703909BC" w14:textId="5026BF4A" w:rsidR="00FA2FF9" w:rsidRPr="00730DE4" w:rsidRDefault="00D65741" w:rsidP="00722210">
            <w:pPr>
              <w:pStyle w:val="NoSpacing"/>
              <w:rPr>
                <w:lang w:val="en-US"/>
              </w:rPr>
            </w:pPr>
            <w:r w:rsidRPr="00730DE4">
              <w:rPr>
                <w:lang w:val="en-US"/>
              </w:rPr>
              <w:t>34, 36, 69, 75, 144, 149–150, 154</w:t>
            </w:r>
          </w:p>
        </w:tc>
      </w:tr>
      <w:tr w:rsidR="00FA2FF9" w:rsidRPr="00730DE4" w14:paraId="50B31DBA" w14:textId="77777777" w:rsidTr="007758AD">
        <w:tc>
          <w:tcPr>
            <w:tcW w:w="2737" w:type="pct"/>
          </w:tcPr>
          <w:p w14:paraId="0189359A" w14:textId="77777777" w:rsidR="00FA2FF9" w:rsidRPr="00730DE4" w:rsidRDefault="00FA2FF9" w:rsidP="00722210">
            <w:pPr>
              <w:pStyle w:val="NoSpacing"/>
              <w:rPr>
                <w:lang w:val="en-US"/>
              </w:rPr>
            </w:pPr>
            <w:r w:rsidRPr="00730DE4">
              <w:rPr>
                <w:lang w:val="en-US"/>
              </w:rPr>
              <w:t>Parliamentary committees</w:t>
            </w:r>
          </w:p>
        </w:tc>
        <w:tc>
          <w:tcPr>
            <w:tcW w:w="2263" w:type="pct"/>
          </w:tcPr>
          <w:p w14:paraId="07D9FC5D" w14:textId="2FBF556A" w:rsidR="00FA2FF9" w:rsidRPr="00730DE4" w:rsidRDefault="00C25514" w:rsidP="00722210">
            <w:pPr>
              <w:pStyle w:val="NoSpacing"/>
              <w:rPr>
                <w:lang w:val="en-US"/>
              </w:rPr>
            </w:pPr>
            <w:r w:rsidRPr="00730DE4">
              <w:rPr>
                <w:lang w:val="en-US"/>
              </w:rPr>
              <w:t>291</w:t>
            </w:r>
          </w:p>
        </w:tc>
      </w:tr>
      <w:tr w:rsidR="00FA2FF9" w:rsidRPr="00730DE4" w14:paraId="1A483EBF" w14:textId="77777777" w:rsidTr="007758AD">
        <w:trPr>
          <w:cnfStyle w:val="000000100000" w:firstRow="0" w:lastRow="0" w:firstColumn="0" w:lastColumn="0" w:oddVBand="0" w:evenVBand="0" w:oddHBand="1" w:evenHBand="0" w:firstRowFirstColumn="0" w:firstRowLastColumn="0" w:lastRowFirstColumn="0" w:lastRowLastColumn="0"/>
        </w:trPr>
        <w:tc>
          <w:tcPr>
            <w:tcW w:w="2737" w:type="pct"/>
          </w:tcPr>
          <w:p w14:paraId="028858C8" w14:textId="77777777" w:rsidR="00FA2FF9" w:rsidRPr="00730DE4" w:rsidRDefault="00FA2FF9" w:rsidP="00722210">
            <w:pPr>
              <w:pStyle w:val="NoSpacing"/>
              <w:rPr>
                <w:lang w:val="en-US"/>
              </w:rPr>
            </w:pPr>
            <w:r w:rsidRPr="00730DE4">
              <w:rPr>
                <w:lang w:val="en-US"/>
              </w:rPr>
              <w:t>Passenger transport operator payments</w:t>
            </w:r>
          </w:p>
        </w:tc>
        <w:tc>
          <w:tcPr>
            <w:tcW w:w="2263" w:type="pct"/>
          </w:tcPr>
          <w:p w14:paraId="43C2912D" w14:textId="4C29CF66" w:rsidR="00FA2FF9" w:rsidRPr="00730DE4" w:rsidRDefault="002C4110" w:rsidP="00722210">
            <w:pPr>
              <w:pStyle w:val="NoSpacing"/>
              <w:rPr>
                <w:lang w:val="en-US"/>
              </w:rPr>
            </w:pPr>
            <w:r>
              <w:rPr>
                <w:lang w:val="en-US"/>
              </w:rPr>
              <w:t>388–399</w:t>
            </w:r>
          </w:p>
        </w:tc>
      </w:tr>
      <w:tr w:rsidR="00FA2FF9" w:rsidRPr="00730DE4" w14:paraId="39022089" w14:textId="77777777" w:rsidTr="007758AD">
        <w:tc>
          <w:tcPr>
            <w:tcW w:w="2737" w:type="pct"/>
          </w:tcPr>
          <w:p w14:paraId="609BF63C" w14:textId="77777777" w:rsidR="00FA2FF9" w:rsidRPr="00730DE4" w:rsidRDefault="00FA2FF9" w:rsidP="00722210">
            <w:pPr>
              <w:pStyle w:val="NoSpacing"/>
              <w:rPr>
                <w:lang w:val="en-US"/>
              </w:rPr>
            </w:pPr>
            <w:r w:rsidRPr="00730DE4">
              <w:rPr>
                <w:lang w:val="en-US"/>
              </w:rPr>
              <w:t>Performance management</w:t>
            </w:r>
          </w:p>
        </w:tc>
        <w:tc>
          <w:tcPr>
            <w:tcW w:w="2263" w:type="pct"/>
          </w:tcPr>
          <w:p w14:paraId="5A423543" w14:textId="4D92C66C" w:rsidR="00FA2FF9" w:rsidRPr="00730DE4" w:rsidRDefault="00347BAF" w:rsidP="00722210">
            <w:pPr>
              <w:pStyle w:val="NoSpacing"/>
              <w:rPr>
                <w:lang w:val="en-US"/>
              </w:rPr>
            </w:pPr>
            <w:r w:rsidRPr="00730DE4">
              <w:rPr>
                <w:lang w:val="en-US"/>
              </w:rPr>
              <w:t>226, 249–251, 282</w:t>
            </w:r>
          </w:p>
        </w:tc>
      </w:tr>
      <w:tr w:rsidR="00FA2FF9" w:rsidRPr="00730DE4" w14:paraId="20B278EE" w14:textId="77777777" w:rsidTr="007758AD">
        <w:trPr>
          <w:cnfStyle w:val="000000100000" w:firstRow="0" w:lastRow="0" w:firstColumn="0" w:lastColumn="0" w:oddVBand="0" w:evenVBand="0" w:oddHBand="1" w:evenHBand="0" w:firstRowFirstColumn="0" w:firstRowLastColumn="0" w:lastRowFirstColumn="0" w:lastRowLastColumn="0"/>
        </w:trPr>
        <w:tc>
          <w:tcPr>
            <w:tcW w:w="2737" w:type="pct"/>
          </w:tcPr>
          <w:p w14:paraId="21A6EF67" w14:textId="77777777" w:rsidR="00FA2FF9" w:rsidRPr="00730DE4" w:rsidRDefault="00FA2FF9" w:rsidP="00722210">
            <w:pPr>
              <w:pStyle w:val="NoSpacing"/>
              <w:rPr>
                <w:lang w:val="en-US"/>
              </w:rPr>
            </w:pPr>
            <w:r w:rsidRPr="00730DE4">
              <w:rPr>
                <w:lang w:val="en-US"/>
              </w:rPr>
              <w:t>Public sector values</w:t>
            </w:r>
          </w:p>
        </w:tc>
        <w:tc>
          <w:tcPr>
            <w:tcW w:w="2263" w:type="pct"/>
          </w:tcPr>
          <w:p w14:paraId="1C3B0EC6" w14:textId="621208A4" w:rsidR="00FA2FF9" w:rsidRPr="00730DE4" w:rsidRDefault="00702E2B" w:rsidP="00722210">
            <w:pPr>
              <w:pStyle w:val="NoSpacing"/>
              <w:rPr>
                <w:lang w:val="en-US"/>
              </w:rPr>
            </w:pPr>
            <w:r w:rsidRPr="00730DE4">
              <w:rPr>
                <w:lang w:val="en-US"/>
              </w:rPr>
              <w:t>255–257</w:t>
            </w:r>
          </w:p>
        </w:tc>
      </w:tr>
      <w:tr w:rsidR="00FA2FF9" w:rsidRPr="00730DE4" w14:paraId="251D802A" w14:textId="77777777" w:rsidTr="007758AD">
        <w:tc>
          <w:tcPr>
            <w:tcW w:w="2737" w:type="pct"/>
          </w:tcPr>
          <w:p w14:paraId="79D6025F" w14:textId="77777777" w:rsidR="00FA2FF9" w:rsidRPr="00730DE4" w:rsidRDefault="00FA2FF9" w:rsidP="00722210">
            <w:pPr>
              <w:pStyle w:val="NoSpacing"/>
              <w:rPr>
                <w:lang w:val="en-US"/>
              </w:rPr>
            </w:pPr>
            <w:r w:rsidRPr="00730DE4">
              <w:rPr>
                <w:lang w:val="en-US"/>
              </w:rPr>
              <w:t>Queensland Electric Super Highway</w:t>
            </w:r>
          </w:p>
        </w:tc>
        <w:tc>
          <w:tcPr>
            <w:tcW w:w="2263" w:type="pct"/>
          </w:tcPr>
          <w:p w14:paraId="2225F465" w14:textId="784B32B1" w:rsidR="00FA2FF9" w:rsidRPr="00730DE4" w:rsidRDefault="004B6A28" w:rsidP="00722210">
            <w:pPr>
              <w:pStyle w:val="NoSpacing"/>
              <w:rPr>
                <w:lang w:val="en-US"/>
              </w:rPr>
            </w:pPr>
            <w:r w:rsidRPr="00730DE4">
              <w:rPr>
                <w:lang w:val="en-US"/>
              </w:rPr>
              <w:t>66–67, 71, 74, 83–84</w:t>
            </w:r>
          </w:p>
        </w:tc>
      </w:tr>
      <w:tr w:rsidR="00FA2FF9" w:rsidRPr="00730DE4" w14:paraId="547C46BC" w14:textId="77777777" w:rsidTr="007758AD">
        <w:trPr>
          <w:cnfStyle w:val="000000100000" w:firstRow="0" w:lastRow="0" w:firstColumn="0" w:lastColumn="0" w:oddVBand="0" w:evenVBand="0" w:oddHBand="1" w:evenHBand="0" w:firstRowFirstColumn="0" w:firstRowLastColumn="0" w:lastRowFirstColumn="0" w:lastRowLastColumn="0"/>
        </w:trPr>
        <w:tc>
          <w:tcPr>
            <w:tcW w:w="2737" w:type="pct"/>
          </w:tcPr>
          <w:p w14:paraId="77CA8AF2" w14:textId="77777777" w:rsidR="00FA2FF9" w:rsidRPr="00730DE4" w:rsidRDefault="00FA2FF9" w:rsidP="00722210">
            <w:pPr>
              <w:pStyle w:val="NoSpacing"/>
              <w:rPr>
                <w:lang w:val="en-US"/>
              </w:rPr>
            </w:pPr>
            <w:r w:rsidRPr="00730DE4">
              <w:rPr>
                <w:lang w:val="en-US"/>
              </w:rPr>
              <w:t>Queensland Government Customer and Digital Group</w:t>
            </w:r>
          </w:p>
        </w:tc>
        <w:tc>
          <w:tcPr>
            <w:tcW w:w="2263" w:type="pct"/>
          </w:tcPr>
          <w:p w14:paraId="30414EE4" w14:textId="57EF5412" w:rsidR="00FA2FF9" w:rsidRPr="00730DE4" w:rsidRDefault="008D1B4D" w:rsidP="00722210">
            <w:pPr>
              <w:pStyle w:val="NoSpacing"/>
              <w:rPr>
                <w:lang w:val="en-US"/>
              </w:rPr>
            </w:pPr>
            <w:r w:rsidRPr="00730DE4">
              <w:rPr>
                <w:lang w:val="en-US"/>
              </w:rPr>
              <w:t>7–8, 11, 12, 61, 63, 155, 164–165, 205–206, 208, 213–222, 228–236, 240–241, 259, 271, 273</w:t>
            </w:r>
          </w:p>
        </w:tc>
      </w:tr>
      <w:tr w:rsidR="00FA2FF9" w:rsidRPr="00730DE4" w14:paraId="75164300" w14:textId="77777777" w:rsidTr="007758AD">
        <w:tc>
          <w:tcPr>
            <w:tcW w:w="2737" w:type="pct"/>
          </w:tcPr>
          <w:p w14:paraId="3EB28632" w14:textId="77777777" w:rsidR="00FA2FF9" w:rsidRPr="00730DE4" w:rsidRDefault="00FA2FF9" w:rsidP="00722210">
            <w:pPr>
              <w:pStyle w:val="NoSpacing"/>
              <w:rPr>
                <w:lang w:val="en-US"/>
              </w:rPr>
            </w:pPr>
            <w:r w:rsidRPr="00730DE4">
              <w:rPr>
                <w:lang w:val="en-US"/>
              </w:rPr>
              <w:t>Queensland Transport and Roads Investment Program</w:t>
            </w:r>
          </w:p>
        </w:tc>
        <w:tc>
          <w:tcPr>
            <w:tcW w:w="2263" w:type="pct"/>
          </w:tcPr>
          <w:p w14:paraId="61D2F538" w14:textId="3D18F55D" w:rsidR="00FA2FF9" w:rsidRPr="00730DE4" w:rsidRDefault="002C1FBA" w:rsidP="00722210">
            <w:pPr>
              <w:pStyle w:val="NoSpacing"/>
              <w:rPr>
                <w:lang w:val="en-US"/>
              </w:rPr>
            </w:pPr>
            <w:r w:rsidRPr="00730DE4">
              <w:rPr>
                <w:lang w:val="en-US"/>
              </w:rPr>
              <w:t>9–10, 27, 41, 44, 74, 76–77, 277</w:t>
            </w:r>
          </w:p>
        </w:tc>
      </w:tr>
      <w:tr w:rsidR="00631512" w:rsidRPr="00730DE4" w14:paraId="7028F13D" w14:textId="77777777" w:rsidTr="007758AD">
        <w:trPr>
          <w:cnfStyle w:val="000000100000" w:firstRow="0" w:lastRow="0" w:firstColumn="0" w:lastColumn="0" w:oddVBand="0" w:evenVBand="0" w:oddHBand="1" w:evenHBand="0" w:firstRowFirstColumn="0" w:firstRowLastColumn="0" w:lastRowFirstColumn="0" w:lastRowLastColumn="0"/>
        </w:trPr>
        <w:tc>
          <w:tcPr>
            <w:tcW w:w="2737" w:type="pct"/>
          </w:tcPr>
          <w:p w14:paraId="2067E295" w14:textId="467A70D0" w:rsidR="00631512" w:rsidRPr="00730DE4" w:rsidRDefault="00631512" w:rsidP="00722210">
            <w:pPr>
              <w:pStyle w:val="NoSpacing"/>
              <w:rPr>
                <w:lang w:val="en-US"/>
              </w:rPr>
            </w:pPr>
            <w:r w:rsidRPr="00730DE4">
              <w:rPr>
                <w:lang w:val="en-US"/>
              </w:rPr>
              <w:t>Rail Safety</w:t>
            </w:r>
          </w:p>
        </w:tc>
        <w:tc>
          <w:tcPr>
            <w:tcW w:w="2263" w:type="pct"/>
          </w:tcPr>
          <w:p w14:paraId="4C6C41E6" w14:textId="0884650C" w:rsidR="00631512" w:rsidRPr="00730DE4" w:rsidRDefault="0083652E" w:rsidP="00722210">
            <w:pPr>
              <w:pStyle w:val="NoSpacing"/>
              <w:rPr>
                <w:lang w:val="en-US"/>
              </w:rPr>
            </w:pPr>
            <w:r w:rsidRPr="00730DE4">
              <w:rPr>
                <w:lang w:val="en-US"/>
              </w:rPr>
              <w:t>195</w:t>
            </w:r>
          </w:p>
        </w:tc>
      </w:tr>
      <w:tr w:rsidR="00FA2FF9" w:rsidRPr="00730DE4" w14:paraId="70ED09CD" w14:textId="77777777" w:rsidTr="007758AD">
        <w:tc>
          <w:tcPr>
            <w:tcW w:w="2737" w:type="pct"/>
          </w:tcPr>
          <w:p w14:paraId="72155926" w14:textId="77777777" w:rsidR="00FA2FF9" w:rsidRPr="00730DE4" w:rsidRDefault="00FA2FF9" w:rsidP="00722210">
            <w:pPr>
              <w:pStyle w:val="NoSpacing"/>
              <w:rPr>
                <w:lang w:val="en-US"/>
              </w:rPr>
            </w:pPr>
            <w:r w:rsidRPr="00730DE4">
              <w:rPr>
                <w:lang w:val="en-US"/>
              </w:rPr>
              <w:t>Rail infrastructure</w:t>
            </w:r>
          </w:p>
        </w:tc>
        <w:tc>
          <w:tcPr>
            <w:tcW w:w="2263" w:type="pct"/>
          </w:tcPr>
          <w:p w14:paraId="3809F447" w14:textId="292D9D5D" w:rsidR="00FA2FF9" w:rsidRPr="00730DE4" w:rsidRDefault="0083652E" w:rsidP="00722210">
            <w:pPr>
              <w:pStyle w:val="NoSpacing"/>
              <w:rPr>
                <w:lang w:val="en-US"/>
              </w:rPr>
            </w:pPr>
            <w:r w:rsidRPr="00730DE4">
              <w:rPr>
                <w:lang w:val="en-US"/>
              </w:rPr>
              <w:t>9, 15–16, 27, 33, 34, 59, 69, 74, 76–77, 80–81, 136, 142, 143–144, 147–148, 178–180</w:t>
            </w:r>
          </w:p>
        </w:tc>
      </w:tr>
      <w:tr w:rsidR="00FA2FF9" w:rsidRPr="00730DE4" w14:paraId="04CFD34A" w14:textId="77777777" w:rsidTr="007758AD">
        <w:trPr>
          <w:cnfStyle w:val="000000100000" w:firstRow="0" w:lastRow="0" w:firstColumn="0" w:lastColumn="0" w:oddVBand="0" w:evenVBand="0" w:oddHBand="1" w:evenHBand="0" w:firstRowFirstColumn="0" w:firstRowLastColumn="0" w:lastRowFirstColumn="0" w:lastRowLastColumn="0"/>
        </w:trPr>
        <w:tc>
          <w:tcPr>
            <w:tcW w:w="2737" w:type="pct"/>
          </w:tcPr>
          <w:p w14:paraId="509DFEA6" w14:textId="77777777" w:rsidR="00FA2FF9" w:rsidRPr="00730DE4" w:rsidRDefault="00FA2FF9" w:rsidP="00722210">
            <w:pPr>
              <w:pStyle w:val="NoSpacing"/>
              <w:rPr>
                <w:lang w:val="en-US"/>
              </w:rPr>
            </w:pPr>
            <w:r w:rsidRPr="00730DE4">
              <w:rPr>
                <w:lang w:val="en-US"/>
              </w:rPr>
              <w:t>Recordkeeping</w:t>
            </w:r>
          </w:p>
        </w:tc>
        <w:tc>
          <w:tcPr>
            <w:tcW w:w="2263" w:type="pct"/>
          </w:tcPr>
          <w:p w14:paraId="583F05D6" w14:textId="3067F763" w:rsidR="00FA2FF9" w:rsidRPr="00730DE4" w:rsidRDefault="00A15195" w:rsidP="00722210">
            <w:pPr>
              <w:pStyle w:val="NoSpacing"/>
              <w:rPr>
                <w:lang w:val="en-US"/>
              </w:rPr>
            </w:pPr>
            <w:r w:rsidRPr="00730DE4">
              <w:rPr>
                <w:lang w:val="en-US"/>
              </w:rPr>
              <w:t>54, 240, 279</w:t>
            </w:r>
          </w:p>
        </w:tc>
      </w:tr>
      <w:tr w:rsidR="00FA2FF9" w:rsidRPr="00730DE4" w14:paraId="0BB23FF4" w14:textId="77777777" w:rsidTr="007758AD">
        <w:tc>
          <w:tcPr>
            <w:tcW w:w="2737" w:type="pct"/>
          </w:tcPr>
          <w:p w14:paraId="33E96A9E" w14:textId="77777777" w:rsidR="00FA2FF9" w:rsidRPr="00730DE4" w:rsidRDefault="00FA2FF9" w:rsidP="00722210">
            <w:pPr>
              <w:pStyle w:val="NoSpacing"/>
              <w:rPr>
                <w:lang w:val="en-US"/>
              </w:rPr>
            </w:pPr>
            <w:r w:rsidRPr="00730DE4">
              <w:rPr>
                <w:lang w:val="en-US"/>
              </w:rPr>
              <w:t>Redundancy and retrenchment</w:t>
            </w:r>
          </w:p>
        </w:tc>
        <w:tc>
          <w:tcPr>
            <w:tcW w:w="2263" w:type="pct"/>
          </w:tcPr>
          <w:p w14:paraId="1CABF3BC" w14:textId="24DB5162" w:rsidR="00FA2FF9" w:rsidRPr="00730DE4" w:rsidRDefault="00967B32" w:rsidP="00722210">
            <w:pPr>
              <w:pStyle w:val="NoSpacing"/>
              <w:rPr>
                <w:lang w:val="en-US"/>
              </w:rPr>
            </w:pPr>
            <w:r w:rsidRPr="00730DE4">
              <w:rPr>
                <w:lang w:val="en-US"/>
              </w:rPr>
              <w:t>239</w:t>
            </w:r>
          </w:p>
        </w:tc>
      </w:tr>
      <w:tr w:rsidR="00AB5A18" w:rsidRPr="00730DE4" w14:paraId="07D3E57C" w14:textId="77777777" w:rsidTr="007758AD">
        <w:trPr>
          <w:cnfStyle w:val="000000100000" w:firstRow="0" w:lastRow="0" w:firstColumn="0" w:lastColumn="0" w:oddVBand="0" w:evenVBand="0" w:oddHBand="1" w:evenHBand="0" w:firstRowFirstColumn="0" w:firstRowLastColumn="0" w:lastRowFirstColumn="0" w:lastRowLastColumn="0"/>
        </w:trPr>
        <w:tc>
          <w:tcPr>
            <w:tcW w:w="2737" w:type="pct"/>
          </w:tcPr>
          <w:p w14:paraId="593A4C54" w14:textId="77777777" w:rsidR="00AB5A18" w:rsidRPr="00730DE4" w:rsidRDefault="00AB5A18" w:rsidP="00AB5A18">
            <w:pPr>
              <w:pStyle w:val="NoSpacing"/>
              <w:rPr>
                <w:lang w:val="en-US"/>
              </w:rPr>
            </w:pPr>
            <w:r w:rsidRPr="00730DE4">
              <w:rPr>
                <w:lang w:val="en-US"/>
              </w:rPr>
              <w:t>Right to information</w:t>
            </w:r>
          </w:p>
        </w:tc>
        <w:tc>
          <w:tcPr>
            <w:tcW w:w="2263" w:type="pct"/>
          </w:tcPr>
          <w:p w14:paraId="2C8F12E0" w14:textId="4DA0085C" w:rsidR="00AB5A18" w:rsidRPr="00730DE4" w:rsidRDefault="00AB5A18" w:rsidP="00AB5A18">
            <w:pPr>
              <w:pStyle w:val="NoSpacing"/>
              <w:rPr>
                <w:lang w:val="en-US"/>
              </w:rPr>
            </w:pPr>
            <w:r w:rsidRPr="00730DE4">
              <w:rPr>
                <w:lang w:val="en-US"/>
              </w:rPr>
              <w:t>261, 279–280, 287–288</w:t>
            </w:r>
          </w:p>
        </w:tc>
      </w:tr>
      <w:tr w:rsidR="00AB5A18" w:rsidRPr="00730DE4" w14:paraId="109F3319" w14:textId="77777777" w:rsidTr="007758AD">
        <w:tc>
          <w:tcPr>
            <w:tcW w:w="2737" w:type="pct"/>
          </w:tcPr>
          <w:p w14:paraId="67176BCF" w14:textId="77777777" w:rsidR="00AB5A18" w:rsidRPr="00730DE4" w:rsidRDefault="00AB5A18" w:rsidP="00AB5A18">
            <w:pPr>
              <w:pStyle w:val="NoSpacing"/>
              <w:rPr>
                <w:lang w:val="en-US"/>
              </w:rPr>
            </w:pPr>
            <w:r w:rsidRPr="00730DE4">
              <w:rPr>
                <w:lang w:val="en-US"/>
              </w:rPr>
              <w:t>Risk management</w:t>
            </w:r>
          </w:p>
        </w:tc>
        <w:tc>
          <w:tcPr>
            <w:tcW w:w="2263" w:type="pct"/>
          </w:tcPr>
          <w:p w14:paraId="088FD306" w14:textId="0F6DA1F8" w:rsidR="00AB5A18" w:rsidRPr="00730DE4" w:rsidRDefault="00AB5A18" w:rsidP="00AB5A18">
            <w:pPr>
              <w:pStyle w:val="NoSpacing"/>
              <w:rPr>
                <w:lang w:val="en-US"/>
              </w:rPr>
            </w:pPr>
            <w:r w:rsidRPr="00730DE4">
              <w:rPr>
                <w:lang w:val="en-US"/>
              </w:rPr>
              <w:t>261, 281, 291–292</w:t>
            </w:r>
          </w:p>
        </w:tc>
      </w:tr>
      <w:tr w:rsidR="00FA2FF9" w:rsidRPr="00730DE4" w14:paraId="69500A2E" w14:textId="77777777" w:rsidTr="007758AD">
        <w:trPr>
          <w:cnfStyle w:val="000000100000" w:firstRow="0" w:lastRow="0" w:firstColumn="0" w:lastColumn="0" w:oddVBand="0" w:evenVBand="0" w:oddHBand="1" w:evenHBand="0" w:firstRowFirstColumn="0" w:firstRowLastColumn="0" w:lastRowFirstColumn="0" w:lastRowLastColumn="0"/>
        </w:trPr>
        <w:tc>
          <w:tcPr>
            <w:tcW w:w="2737" w:type="pct"/>
          </w:tcPr>
          <w:p w14:paraId="4677F61C" w14:textId="77777777" w:rsidR="00FA2FF9" w:rsidRPr="00730DE4" w:rsidRDefault="00FA2FF9" w:rsidP="00722210">
            <w:pPr>
              <w:pStyle w:val="NoSpacing"/>
              <w:rPr>
                <w:lang w:val="en-US"/>
              </w:rPr>
            </w:pPr>
            <w:r w:rsidRPr="00730DE4">
              <w:rPr>
                <w:lang w:val="en-US"/>
              </w:rPr>
              <w:t>Road infrastructure</w:t>
            </w:r>
          </w:p>
        </w:tc>
        <w:tc>
          <w:tcPr>
            <w:tcW w:w="2263" w:type="pct"/>
          </w:tcPr>
          <w:p w14:paraId="03297A93" w14:textId="0BA9395A" w:rsidR="00FA2FF9" w:rsidRPr="00730DE4" w:rsidRDefault="00AB5A18" w:rsidP="00722210">
            <w:pPr>
              <w:pStyle w:val="NoSpacing"/>
              <w:rPr>
                <w:lang w:val="en-US"/>
              </w:rPr>
            </w:pPr>
            <w:r w:rsidRPr="00730DE4">
              <w:rPr>
                <w:lang w:val="en-US"/>
              </w:rPr>
              <w:t>5, 29, 65–66, 69–70, 74–154 189</w:t>
            </w:r>
          </w:p>
        </w:tc>
      </w:tr>
      <w:tr w:rsidR="00FA2FF9" w:rsidRPr="00730DE4" w14:paraId="24F774FE" w14:textId="77777777" w:rsidTr="007758AD">
        <w:tc>
          <w:tcPr>
            <w:tcW w:w="2737" w:type="pct"/>
          </w:tcPr>
          <w:p w14:paraId="3EA36A12" w14:textId="77777777" w:rsidR="00FA2FF9" w:rsidRPr="00730DE4" w:rsidRDefault="00FA2FF9" w:rsidP="00722210">
            <w:pPr>
              <w:pStyle w:val="NoSpacing"/>
              <w:rPr>
                <w:lang w:val="en-US"/>
              </w:rPr>
            </w:pPr>
            <w:r w:rsidRPr="00730DE4">
              <w:rPr>
                <w:lang w:val="en-US"/>
              </w:rPr>
              <w:t>Road safety education</w:t>
            </w:r>
          </w:p>
        </w:tc>
        <w:tc>
          <w:tcPr>
            <w:tcW w:w="2263" w:type="pct"/>
          </w:tcPr>
          <w:p w14:paraId="1E28F97A" w14:textId="100DA8EB" w:rsidR="00FA2FF9" w:rsidRPr="00730DE4" w:rsidRDefault="000A1FF6" w:rsidP="00722210">
            <w:pPr>
              <w:pStyle w:val="NoSpacing"/>
              <w:rPr>
                <w:lang w:val="en-US"/>
              </w:rPr>
            </w:pPr>
            <w:r w:rsidRPr="00730DE4">
              <w:rPr>
                <w:lang w:val="en-US"/>
              </w:rPr>
              <w:t>11, 155–156, 187–194</w:t>
            </w:r>
          </w:p>
        </w:tc>
      </w:tr>
      <w:tr w:rsidR="00FA2FF9" w:rsidRPr="00730DE4" w14:paraId="1FF75AF1" w14:textId="77777777" w:rsidTr="007758AD">
        <w:trPr>
          <w:cnfStyle w:val="000000100000" w:firstRow="0" w:lastRow="0" w:firstColumn="0" w:lastColumn="0" w:oddVBand="0" w:evenVBand="0" w:oddHBand="1" w:evenHBand="0" w:firstRowFirstColumn="0" w:firstRowLastColumn="0" w:lastRowFirstColumn="0" w:lastRowLastColumn="0"/>
        </w:trPr>
        <w:tc>
          <w:tcPr>
            <w:tcW w:w="2737" w:type="pct"/>
          </w:tcPr>
          <w:p w14:paraId="44500C8A" w14:textId="77777777" w:rsidR="00FA2FF9" w:rsidRPr="00730DE4" w:rsidRDefault="00FA2FF9" w:rsidP="00722210">
            <w:pPr>
              <w:pStyle w:val="NoSpacing"/>
              <w:rPr>
                <w:lang w:val="en-US"/>
              </w:rPr>
            </w:pPr>
            <w:r w:rsidRPr="00730DE4">
              <w:rPr>
                <w:lang w:val="en-US"/>
              </w:rPr>
              <w:t>Safety performance</w:t>
            </w:r>
          </w:p>
        </w:tc>
        <w:tc>
          <w:tcPr>
            <w:tcW w:w="2263" w:type="pct"/>
          </w:tcPr>
          <w:p w14:paraId="4DFDE2EC" w14:textId="42A766F8" w:rsidR="00FA2FF9" w:rsidRPr="00730DE4" w:rsidRDefault="00667215" w:rsidP="00722210">
            <w:pPr>
              <w:pStyle w:val="NoSpacing"/>
              <w:rPr>
                <w:lang w:val="en-US"/>
              </w:rPr>
            </w:pPr>
            <w:r w:rsidRPr="00730DE4">
              <w:rPr>
                <w:lang w:val="en-US"/>
              </w:rPr>
              <w:t>260</w:t>
            </w:r>
          </w:p>
        </w:tc>
      </w:tr>
      <w:tr w:rsidR="00FA2FF9" w:rsidRPr="00730DE4" w14:paraId="6A28D4F7" w14:textId="77777777" w:rsidTr="007758AD">
        <w:tc>
          <w:tcPr>
            <w:tcW w:w="2737" w:type="pct"/>
          </w:tcPr>
          <w:p w14:paraId="6F6895E8" w14:textId="77777777" w:rsidR="00FA2FF9" w:rsidRPr="00730DE4" w:rsidRDefault="00FA2FF9" w:rsidP="00722210">
            <w:pPr>
              <w:pStyle w:val="NoSpacing"/>
              <w:rPr>
                <w:lang w:val="en-US"/>
              </w:rPr>
            </w:pPr>
            <w:r w:rsidRPr="00730DE4">
              <w:rPr>
                <w:lang w:val="en-US"/>
              </w:rPr>
              <w:t>Senior Leadership Team</w:t>
            </w:r>
          </w:p>
        </w:tc>
        <w:tc>
          <w:tcPr>
            <w:tcW w:w="2263" w:type="pct"/>
          </w:tcPr>
          <w:p w14:paraId="1A4BD4A1" w14:textId="7DC13C94" w:rsidR="00FA2FF9" w:rsidRPr="00730DE4" w:rsidRDefault="001722A9" w:rsidP="00722210">
            <w:pPr>
              <w:pStyle w:val="NoSpacing"/>
              <w:rPr>
                <w:lang w:val="en-US"/>
              </w:rPr>
            </w:pPr>
            <w:r w:rsidRPr="00730DE4">
              <w:rPr>
                <w:lang w:val="en-US"/>
              </w:rPr>
              <w:t>262–271</w:t>
            </w:r>
          </w:p>
        </w:tc>
      </w:tr>
      <w:tr w:rsidR="00FA2FF9" w:rsidRPr="00730DE4" w14:paraId="625AE350" w14:textId="77777777" w:rsidTr="007758AD">
        <w:trPr>
          <w:cnfStyle w:val="000000100000" w:firstRow="0" w:lastRow="0" w:firstColumn="0" w:lastColumn="0" w:oddVBand="0" w:evenVBand="0" w:oddHBand="1" w:evenHBand="0" w:firstRowFirstColumn="0" w:firstRowLastColumn="0" w:lastRowFirstColumn="0" w:lastRowLastColumn="0"/>
        </w:trPr>
        <w:tc>
          <w:tcPr>
            <w:tcW w:w="2737" w:type="pct"/>
          </w:tcPr>
          <w:p w14:paraId="3B7EF593" w14:textId="77777777" w:rsidR="00FA2FF9" w:rsidRPr="00730DE4" w:rsidRDefault="00FA2FF9" w:rsidP="00722210">
            <w:pPr>
              <w:pStyle w:val="NoSpacing"/>
              <w:rPr>
                <w:lang w:val="en-US"/>
              </w:rPr>
            </w:pPr>
            <w:r w:rsidRPr="00730DE4">
              <w:rPr>
                <w:lang w:val="en-US"/>
              </w:rPr>
              <w:t>Service delivery statements</w:t>
            </w:r>
          </w:p>
        </w:tc>
        <w:tc>
          <w:tcPr>
            <w:tcW w:w="2263" w:type="pct"/>
          </w:tcPr>
          <w:p w14:paraId="109FED2F" w14:textId="1CE972F5" w:rsidR="00FA2FF9" w:rsidRPr="00730DE4" w:rsidRDefault="00DA1C0C" w:rsidP="00722210">
            <w:pPr>
              <w:pStyle w:val="NoSpacing"/>
              <w:rPr>
                <w:lang w:val="en-US"/>
              </w:rPr>
            </w:pPr>
            <w:r w:rsidRPr="00730DE4">
              <w:rPr>
                <w:lang w:val="en-US"/>
              </w:rPr>
              <w:t>40–57</w:t>
            </w:r>
          </w:p>
        </w:tc>
      </w:tr>
      <w:tr w:rsidR="00FA2FF9" w:rsidRPr="00730DE4" w14:paraId="055DC931" w14:textId="77777777" w:rsidTr="007758AD">
        <w:tc>
          <w:tcPr>
            <w:tcW w:w="2737" w:type="pct"/>
          </w:tcPr>
          <w:p w14:paraId="53CF5997" w14:textId="77777777" w:rsidR="00FA2FF9" w:rsidRPr="00730DE4" w:rsidRDefault="00FA2FF9" w:rsidP="00722210">
            <w:pPr>
              <w:pStyle w:val="NoSpacing"/>
              <w:rPr>
                <w:lang w:val="en-US"/>
              </w:rPr>
            </w:pPr>
            <w:r w:rsidRPr="00730DE4">
              <w:rPr>
                <w:lang w:val="en-US"/>
              </w:rPr>
              <w:t>School transport operator payments</w:t>
            </w:r>
          </w:p>
        </w:tc>
        <w:tc>
          <w:tcPr>
            <w:tcW w:w="2263" w:type="pct"/>
          </w:tcPr>
          <w:p w14:paraId="54ACD46A" w14:textId="4CD9C260" w:rsidR="00FA2FF9" w:rsidRPr="00730DE4" w:rsidRDefault="00971339" w:rsidP="00722210">
            <w:pPr>
              <w:pStyle w:val="NoSpacing"/>
              <w:rPr>
                <w:lang w:val="en-US"/>
              </w:rPr>
            </w:pPr>
            <w:r w:rsidRPr="00730DE4">
              <w:rPr>
                <w:lang w:val="en-US"/>
              </w:rPr>
              <w:t>161–162</w:t>
            </w:r>
          </w:p>
        </w:tc>
      </w:tr>
      <w:tr w:rsidR="00FA2FF9" w:rsidRPr="00730DE4" w14:paraId="69CF7D56" w14:textId="77777777" w:rsidTr="007758AD">
        <w:trPr>
          <w:cnfStyle w:val="000000100000" w:firstRow="0" w:lastRow="0" w:firstColumn="0" w:lastColumn="0" w:oddVBand="0" w:evenVBand="0" w:oddHBand="1" w:evenHBand="0" w:firstRowFirstColumn="0" w:firstRowLastColumn="0" w:lastRowFirstColumn="0" w:lastRowLastColumn="0"/>
        </w:trPr>
        <w:tc>
          <w:tcPr>
            <w:tcW w:w="2737" w:type="pct"/>
          </w:tcPr>
          <w:p w14:paraId="79FC18BD" w14:textId="77777777" w:rsidR="00FA2FF9" w:rsidRPr="00730DE4" w:rsidRDefault="00FA2FF9" w:rsidP="00722210">
            <w:pPr>
              <w:pStyle w:val="NoSpacing"/>
              <w:rPr>
                <w:lang w:val="en-US"/>
              </w:rPr>
            </w:pPr>
            <w:r w:rsidRPr="00730DE4">
              <w:rPr>
                <w:lang w:val="en-US"/>
              </w:rPr>
              <w:t>Stakeholder engagement</w:t>
            </w:r>
          </w:p>
        </w:tc>
        <w:tc>
          <w:tcPr>
            <w:tcW w:w="2263" w:type="pct"/>
          </w:tcPr>
          <w:p w14:paraId="574E16DA" w14:textId="17E3CB08" w:rsidR="00FA2FF9" w:rsidRPr="00730DE4" w:rsidRDefault="002D3B9C" w:rsidP="00722210">
            <w:pPr>
              <w:pStyle w:val="NoSpacing"/>
              <w:rPr>
                <w:lang w:val="en-US"/>
              </w:rPr>
            </w:pPr>
            <w:r w:rsidRPr="00730DE4">
              <w:rPr>
                <w:lang w:val="en-US"/>
              </w:rPr>
              <w:t>88–89, 159–160, 175–176, 179–180, 200–201, 219</w:t>
            </w:r>
          </w:p>
        </w:tc>
      </w:tr>
      <w:tr w:rsidR="00FA2FF9" w:rsidRPr="00730DE4" w14:paraId="775D035D" w14:textId="77777777" w:rsidTr="007758AD">
        <w:tc>
          <w:tcPr>
            <w:tcW w:w="2737" w:type="pct"/>
          </w:tcPr>
          <w:p w14:paraId="58084BC5" w14:textId="77777777" w:rsidR="00FA2FF9" w:rsidRPr="00730DE4" w:rsidRDefault="00FA2FF9" w:rsidP="00722210">
            <w:pPr>
              <w:pStyle w:val="NoSpacing"/>
              <w:rPr>
                <w:lang w:val="en-US"/>
              </w:rPr>
            </w:pPr>
            <w:r w:rsidRPr="00730DE4">
              <w:rPr>
                <w:lang w:val="en-US"/>
              </w:rPr>
              <w:t>Strategic Plan</w:t>
            </w:r>
          </w:p>
        </w:tc>
        <w:tc>
          <w:tcPr>
            <w:tcW w:w="2263" w:type="pct"/>
          </w:tcPr>
          <w:p w14:paraId="514FA440" w14:textId="61385320" w:rsidR="00FA2FF9" w:rsidRPr="00730DE4" w:rsidRDefault="004D770C" w:rsidP="00722210">
            <w:pPr>
              <w:pStyle w:val="NoSpacing"/>
              <w:rPr>
                <w:lang w:val="en-US"/>
              </w:rPr>
            </w:pPr>
            <w:r w:rsidRPr="00730DE4">
              <w:rPr>
                <w:lang w:val="en-US"/>
              </w:rPr>
              <w:t>20–26, 32–</w:t>
            </w:r>
            <w:r w:rsidR="005554E9" w:rsidRPr="00730DE4">
              <w:rPr>
                <w:lang w:val="en-US"/>
              </w:rPr>
              <w:t>3</w:t>
            </w:r>
            <w:r w:rsidRPr="00730DE4">
              <w:rPr>
                <w:lang w:val="en-US"/>
              </w:rPr>
              <w:t>9</w:t>
            </w:r>
          </w:p>
        </w:tc>
      </w:tr>
      <w:tr w:rsidR="00FA2FF9" w:rsidRPr="00730DE4" w14:paraId="5114F841" w14:textId="77777777" w:rsidTr="007758AD">
        <w:trPr>
          <w:cnfStyle w:val="000000100000" w:firstRow="0" w:lastRow="0" w:firstColumn="0" w:lastColumn="0" w:oddVBand="0" w:evenVBand="0" w:oddHBand="1" w:evenHBand="0" w:firstRowFirstColumn="0" w:firstRowLastColumn="0" w:lastRowFirstColumn="0" w:lastRowLastColumn="0"/>
        </w:trPr>
        <w:tc>
          <w:tcPr>
            <w:tcW w:w="2737" w:type="pct"/>
          </w:tcPr>
          <w:p w14:paraId="4656F800" w14:textId="77777777" w:rsidR="00FA2FF9" w:rsidRPr="00730DE4" w:rsidRDefault="00FA2FF9" w:rsidP="00722210">
            <w:pPr>
              <w:pStyle w:val="NoSpacing"/>
              <w:rPr>
                <w:lang w:val="en-US"/>
              </w:rPr>
            </w:pPr>
            <w:r w:rsidRPr="00730DE4">
              <w:rPr>
                <w:lang w:val="en-US"/>
              </w:rPr>
              <w:t>Transport security</w:t>
            </w:r>
          </w:p>
        </w:tc>
        <w:tc>
          <w:tcPr>
            <w:tcW w:w="2263" w:type="pct"/>
          </w:tcPr>
          <w:p w14:paraId="11750386" w14:textId="03E20075" w:rsidR="00FA2FF9" w:rsidRPr="00730DE4" w:rsidRDefault="008A7063" w:rsidP="00722210">
            <w:pPr>
              <w:pStyle w:val="NoSpacing"/>
              <w:rPr>
                <w:lang w:val="en-US"/>
              </w:rPr>
            </w:pPr>
            <w:r w:rsidRPr="00730DE4">
              <w:rPr>
                <w:lang w:val="en-US"/>
              </w:rPr>
              <w:t>210</w:t>
            </w:r>
          </w:p>
        </w:tc>
      </w:tr>
      <w:tr w:rsidR="00FA2FF9" w:rsidRPr="00730DE4" w14:paraId="58C1CB4F" w14:textId="77777777" w:rsidTr="007758AD">
        <w:tc>
          <w:tcPr>
            <w:tcW w:w="2737" w:type="pct"/>
          </w:tcPr>
          <w:p w14:paraId="2C84C7E1" w14:textId="77777777" w:rsidR="00FA2FF9" w:rsidRPr="00730DE4" w:rsidRDefault="00FA2FF9" w:rsidP="00722210">
            <w:pPr>
              <w:pStyle w:val="NoSpacing"/>
              <w:rPr>
                <w:lang w:val="en-US"/>
              </w:rPr>
            </w:pPr>
            <w:r w:rsidRPr="00730DE4">
              <w:rPr>
                <w:lang w:val="en-US"/>
              </w:rPr>
              <w:t>Vision</w:t>
            </w:r>
          </w:p>
        </w:tc>
        <w:tc>
          <w:tcPr>
            <w:tcW w:w="2263" w:type="pct"/>
          </w:tcPr>
          <w:p w14:paraId="7CF4DCA6" w14:textId="61AFD4CB" w:rsidR="00FA2FF9" w:rsidRPr="00730DE4" w:rsidRDefault="00A15347" w:rsidP="00722210">
            <w:pPr>
              <w:pStyle w:val="NoSpacing"/>
              <w:rPr>
                <w:lang w:val="en-US"/>
              </w:rPr>
            </w:pPr>
            <w:r w:rsidRPr="00730DE4">
              <w:rPr>
                <w:lang w:val="en-US"/>
              </w:rPr>
              <w:t>5–8, 20–26</w:t>
            </w:r>
          </w:p>
        </w:tc>
      </w:tr>
      <w:tr w:rsidR="00FA2FF9" w:rsidRPr="00730DE4" w14:paraId="5A6330C9" w14:textId="77777777" w:rsidTr="007758AD">
        <w:trPr>
          <w:cnfStyle w:val="000000100000" w:firstRow="0" w:lastRow="0" w:firstColumn="0" w:lastColumn="0" w:oddVBand="0" w:evenVBand="0" w:oddHBand="1" w:evenHBand="0" w:firstRowFirstColumn="0" w:firstRowLastColumn="0" w:lastRowFirstColumn="0" w:lastRowLastColumn="0"/>
        </w:trPr>
        <w:tc>
          <w:tcPr>
            <w:tcW w:w="2737" w:type="pct"/>
          </w:tcPr>
          <w:p w14:paraId="1DA16B0C" w14:textId="77777777" w:rsidR="00FA2FF9" w:rsidRPr="00730DE4" w:rsidRDefault="00FA2FF9" w:rsidP="00722210">
            <w:pPr>
              <w:pStyle w:val="NoSpacing"/>
              <w:rPr>
                <w:lang w:val="en-US"/>
              </w:rPr>
            </w:pPr>
            <w:r w:rsidRPr="00730DE4">
              <w:rPr>
                <w:lang w:val="en-US"/>
              </w:rPr>
              <w:t>Walking</w:t>
            </w:r>
          </w:p>
        </w:tc>
        <w:tc>
          <w:tcPr>
            <w:tcW w:w="2263" w:type="pct"/>
          </w:tcPr>
          <w:p w14:paraId="54945A90" w14:textId="7EC15B02" w:rsidR="00FA2FF9" w:rsidRPr="00730DE4" w:rsidRDefault="005F5368" w:rsidP="00722210">
            <w:pPr>
              <w:pStyle w:val="NoSpacing"/>
              <w:rPr>
                <w:lang w:val="en-US"/>
              </w:rPr>
            </w:pPr>
            <w:r w:rsidRPr="00730DE4">
              <w:rPr>
                <w:lang w:val="en-US"/>
              </w:rPr>
              <w:t>30, 32, 71, 88–89</w:t>
            </w:r>
          </w:p>
        </w:tc>
      </w:tr>
      <w:tr w:rsidR="00FA2FF9" w:rsidRPr="00730DE4" w14:paraId="3B8DE160" w14:textId="77777777" w:rsidTr="007758AD">
        <w:tc>
          <w:tcPr>
            <w:tcW w:w="2737" w:type="pct"/>
          </w:tcPr>
          <w:p w14:paraId="2A536D22" w14:textId="77777777" w:rsidR="00FA2FF9" w:rsidRPr="00730DE4" w:rsidRDefault="00FA2FF9" w:rsidP="00722210">
            <w:pPr>
              <w:pStyle w:val="NoSpacing"/>
              <w:rPr>
                <w:lang w:val="en-US"/>
              </w:rPr>
            </w:pPr>
            <w:r w:rsidRPr="00730DE4">
              <w:rPr>
                <w:lang w:val="en-US"/>
              </w:rPr>
              <w:t>Waste management</w:t>
            </w:r>
          </w:p>
        </w:tc>
        <w:tc>
          <w:tcPr>
            <w:tcW w:w="2263" w:type="pct"/>
          </w:tcPr>
          <w:p w14:paraId="5D8E6A38" w14:textId="2ACA1BD3" w:rsidR="00FA2FF9" w:rsidRPr="00730DE4" w:rsidRDefault="00814FE6" w:rsidP="00722210">
            <w:pPr>
              <w:pStyle w:val="NoSpacing"/>
              <w:rPr>
                <w:lang w:val="en-US"/>
              </w:rPr>
            </w:pPr>
            <w:r w:rsidRPr="00730DE4">
              <w:rPr>
                <w:lang w:val="en-US"/>
              </w:rPr>
              <w:t>61, 186</w:t>
            </w:r>
          </w:p>
        </w:tc>
      </w:tr>
      <w:tr w:rsidR="00FA2FF9" w:rsidRPr="00730DE4" w14:paraId="0DE27E59" w14:textId="77777777" w:rsidTr="007758AD">
        <w:trPr>
          <w:cnfStyle w:val="000000100000" w:firstRow="0" w:lastRow="0" w:firstColumn="0" w:lastColumn="0" w:oddVBand="0" w:evenVBand="0" w:oddHBand="1" w:evenHBand="0" w:firstRowFirstColumn="0" w:firstRowLastColumn="0" w:lastRowFirstColumn="0" w:lastRowLastColumn="0"/>
        </w:trPr>
        <w:tc>
          <w:tcPr>
            <w:tcW w:w="2737" w:type="pct"/>
          </w:tcPr>
          <w:p w14:paraId="4D0C0374" w14:textId="77777777" w:rsidR="00FA2FF9" w:rsidRPr="00730DE4" w:rsidRDefault="00FA2FF9" w:rsidP="00722210">
            <w:pPr>
              <w:pStyle w:val="NoSpacing"/>
              <w:rPr>
                <w:lang w:val="en-US"/>
              </w:rPr>
            </w:pPr>
            <w:r w:rsidRPr="00730DE4">
              <w:rPr>
                <w:lang w:val="en-US"/>
              </w:rPr>
              <w:t>Wellness programs</w:t>
            </w:r>
          </w:p>
        </w:tc>
        <w:tc>
          <w:tcPr>
            <w:tcW w:w="2263" w:type="pct"/>
          </w:tcPr>
          <w:p w14:paraId="60ED6257" w14:textId="3509974D" w:rsidR="00FA2FF9" w:rsidRPr="00730DE4" w:rsidRDefault="002C4904" w:rsidP="00722210">
            <w:pPr>
              <w:pStyle w:val="NoSpacing"/>
              <w:rPr>
                <w:lang w:val="en-US"/>
              </w:rPr>
            </w:pPr>
            <w:r w:rsidRPr="00730DE4">
              <w:rPr>
                <w:lang w:val="en-US"/>
              </w:rPr>
              <w:t>225–227, 258</w:t>
            </w:r>
          </w:p>
        </w:tc>
      </w:tr>
      <w:tr w:rsidR="00FA2FF9" w:rsidRPr="00730DE4" w14:paraId="72248142" w14:textId="77777777" w:rsidTr="007758AD">
        <w:tc>
          <w:tcPr>
            <w:tcW w:w="2737" w:type="pct"/>
          </w:tcPr>
          <w:p w14:paraId="4515CE89" w14:textId="77777777" w:rsidR="00FA2FF9" w:rsidRPr="00730DE4" w:rsidRDefault="00FA2FF9" w:rsidP="00722210">
            <w:pPr>
              <w:pStyle w:val="NoSpacing"/>
              <w:rPr>
                <w:lang w:val="en-US"/>
              </w:rPr>
            </w:pPr>
            <w:r w:rsidRPr="00730DE4">
              <w:rPr>
                <w:lang w:val="en-US"/>
              </w:rPr>
              <w:t>Where to find us</w:t>
            </w:r>
          </w:p>
        </w:tc>
        <w:tc>
          <w:tcPr>
            <w:tcW w:w="2263" w:type="pct"/>
          </w:tcPr>
          <w:p w14:paraId="70A12C11" w14:textId="2C7EAAEE" w:rsidR="00FA2FF9" w:rsidRPr="00730DE4" w:rsidRDefault="00367A47" w:rsidP="00722210">
            <w:pPr>
              <w:pStyle w:val="NoSpacing"/>
              <w:rPr>
                <w:lang w:val="en-US"/>
              </w:rPr>
            </w:pPr>
            <w:r>
              <w:rPr>
                <w:lang w:val="en-US"/>
              </w:rPr>
              <w:t>422–437</w:t>
            </w:r>
          </w:p>
        </w:tc>
      </w:tr>
      <w:tr w:rsidR="00FA2FF9" w:rsidRPr="00730DE4" w14:paraId="5613CA2D" w14:textId="77777777" w:rsidTr="007758AD">
        <w:trPr>
          <w:cnfStyle w:val="000000100000" w:firstRow="0" w:lastRow="0" w:firstColumn="0" w:lastColumn="0" w:oddVBand="0" w:evenVBand="0" w:oddHBand="1" w:evenHBand="0" w:firstRowFirstColumn="0" w:firstRowLastColumn="0" w:lastRowFirstColumn="0" w:lastRowLastColumn="0"/>
        </w:trPr>
        <w:tc>
          <w:tcPr>
            <w:tcW w:w="2737" w:type="pct"/>
          </w:tcPr>
          <w:p w14:paraId="7D7FAF31" w14:textId="77777777" w:rsidR="00FA2FF9" w:rsidRPr="00730DE4" w:rsidRDefault="00FA2FF9" w:rsidP="00722210">
            <w:pPr>
              <w:pStyle w:val="NoSpacing"/>
              <w:rPr>
                <w:lang w:val="en-US"/>
              </w:rPr>
            </w:pPr>
            <w:r w:rsidRPr="00730DE4">
              <w:rPr>
                <w:lang w:val="en-US"/>
              </w:rPr>
              <w:t>Women in the workplace</w:t>
            </w:r>
          </w:p>
        </w:tc>
        <w:tc>
          <w:tcPr>
            <w:tcW w:w="2263" w:type="pct"/>
          </w:tcPr>
          <w:p w14:paraId="2670F27F" w14:textId="1F82DE67" w:rsidR="00FA2FF9" w:rsidRPr="00730DE4" w:rsidRDefault="00E31410" w:rsidP="00722210">
            <w:pPr>
              <w:pStyle w:val="NoSpacing"/>
              <w:rPr>
                <w:lang w:val="en-US"/>
              </w:rPr>
            </w:pPr>
            <w:r w:rsidRPr="00730DE4">
              <w:rPr>
                <w:lang w:val="en-US"/>
              </w:rPr>
              <w:t>13, 27, 39, 73, 205–206, 223–224, 225–226, 230–232, 236–237, 243–245, 247–248, 250–251, 252–253</w:t>
            </w:r>
          </w:p>
        </w:tc>
      </w:tr>
      <w:tr w:rsidR="00FA2FF9" w:rsidRPr="00730DE4" w14:paraId="03D2029F" w14:textId="77777777" w:rsidTr="007758AD">
        <w:tc>
          <w:tcPr>
            <w:tcW w:w="2737" w:type="pct"/>
          </w:tcPr>
          <w:p w14:paraId="50400A98" w14:textId="77777777" w:rsidR="00FA2FF9" w:rsidRPr="00730DE4" w:rsidRDefault="00FA2FF9" w:rsidP="00722210">
            <w:pPr>
              <w:pStyle w:val="NoSpacing"/>
              <w:rPr>
                <w:lang w:val="en-US"/>
              </w:rPr>
            </w:pPr>
            <w:r w:rsidRPr="00730DE4">
              <w:rPr>
                <w:lang w:val="en-US"/>
              </w:rPr>
              <w:t>Working for Queensland survey</w:t>
            </w:r>
          </w:p>
        </w:tc>
        <w:tc>
          <w:tcPr>
            <w:tcW w:w="2263" w:type="pct"/>
          </w:tcPr>
          <w:p w14:paraId="43E358C9" w14:textId="3A714D85" w:rsidR="00FA2FF9" w:rsidRPr="00730DE4" w:rsidRDefault="00091B9C" w:rsidP="00722210">
            <w:pPr>
              <w:pStyle w:val="NoSpacing"/>
              <w:rPr>
                <w:lang w:val="en-US"/>
              </w:rPr>
            </w:pPr>
            <w:r w:rsidRPr="00730DE4">
              <w:rPr>
                <w:lang w:val="en-US"/>
              </w:rPr>
              <w:t>243, 254–255</w:t>
            </w:r>
          </w:p>
        </w:tc>
      </w:tr>
      <w:tr w:rsidR="00FA2FF9" w:rsidRPr="00730DE4" w14:paraId="506D0FF4" w14:textId="77777777" w:rsidTr="007758AD">
        <w:trPr>
          <w:cnfStyle w:val="000000100000" w:firstRow="0" w:lastRow="0" w:firstColumn="0" w:lastColumn="0" w:oddVBand="0" w:evenVBand="0" w:oddHBand="1" w:evenHBand="0" w:firstRowFirstColumn="0" w:firstRowLastColumn="0" w:lastRowFirstColumn="0" w:lastRowLastColumn="0"/>
        </w:trPr>
        <w:tc>
          <w:tcPr>
            <w:tcW w:w="2737" w:type="pct"/>
          </w:tcPr>
          <w:p w14:paraId="2ABB3AF2" w14:textId="77777777" w:rsidR="00FA2FF9" w:rsidRPr="00730DE4" w:rsidRDefault="00FA2FF9" w:rsidP="00722210">
            <w:pPr>
              <w:pStyle w:val="NoSpacing"/>
              <w:rPr>
                <w:lang w:val="en-US"/>
              </w:rPr>
            </w:pPr>
            <w:r w:rsidRPr="00730DE4">
              <w:rPr>
                <w:lang w:val="en-US"/>
              </w:rPr>
              <w:t>Workforce profile</w:t>
            </w:r>
          </w:p>
        </w:tc>
        <w:tc>
          <w:tcPr>
            <w:tcW w:w="2263" w:type="pct"/>
          </w:tcPr>
          <w:p w14:paraId="6BD11DB1" w14:textId="7FF1E158" w:rsidR="00FA2FF9" w:rsidRPr="00730DE4" w:rsidRDefault="000A6A0D" w:rsidP="00722210">
            <w:pPr>
              <w:pStyle w:val="NoSpacing"/>
              <w:rPr>
                <w:lang w:val="en-US"/>
              </w:rPr>
            </w:pPr>
            <w:r w:rsidRPr="00730DE4">
              <w:rPr>
                <w:lang w:val="en-US"/>
              </w:rPr>
              <w:t>73, 228–236</w:t>
            </w:r>
          </w:p>
        </w:tc>
      </w:tr>
    </w:tbl>
    <w:p w14:paraId="2C044427" w14:textId="77777777" w:rsidR="00094BA5" w:rsidRPr="00730DE4" w:rsidRDefault="00094BA5">
      <w:pPr>
        <w:suppressAutoHyphens w:val="0"/>
        <w:spacing w:before="0" w:line="259" w:lineRule="auto"/>
        <w:rPr>
          <w:rFonts w:eastAsiaTheme="majorEastAsia" w:cstheme="majorBidi"/>
          <w:color w:val="080C0F" w:themeColor="text1"/>
          <w:sz w:val="60"/>
          <w:szCs w:val="32"/>
          <w:lang w:val="en-US"/>
        </w:rPr>
      </w:pPr>
      <w:r w:rsidRPr="00730DE4">
        <w:rPr>
          <w:lang w:val="en-US"/>
        </w:rPr>
        <w:br w:type="page"/>
      </w:r>
    </w:p>
    <w:p w14:paraId="2BD05160" w14:textId="532776C5" w:rsidR="00FA2FF9" w:rsidRPr="00730DE4" w:rsidRDefault="00FA2FF9" w:rsidP="002B7001">
      <w:pPr>
        <w:pStyle w:val="Heading2"/>
        <w:rPr>
          <w:lang w:val="en-US"/>
        </w:rPr>
      </w:pPr>
      <w:bookmarkStart w:id="1920" w:name="_Toc180491070"/>
      <w:bookmarkStart w:id="1921" w:name="_Toc180492103"/>
      <w:r w:rsidRPr="00730DE4">
        <w:rPr>
          <w:lang w:val="en-US"/>
        </w:rPr>
        <w:t>Appendix 11: Figures and tables</w:t>
      </w:r>
      <w:bookmarkEnd w:id="1920"/>
      <w:bookmarkEnd w:id="1921"/>
    </w:p>
    <w:p w14:paraId="71CE9C3A" w14:textId="77777777" w:rsidR="00FA2FF9" w:rsidRPr="00730DE4" w:rsidRDefault="00FA2FF9" w:rsidP="002B7001">
      <w:pPr>
        <w:pStyle w:val="Heading3"/>
        <w:rPr>
          <w:lang w:val="en-US"/>
        </w:rPr>
      </w:pPr>
      <w:bookmarkStart w:id="1922" w:name="_Toc180487866"/>
      <w:bookmarkStart w:id="1923" w:name="_Toc180491071"/>
      <w:bookmarkStart w:id="1924" w:name="_Toc180492104"/>
      <w:r w:rsidRPr="00730DE4">
        <w:rPr>
          <w:lang w:val="en-US"/>
        </w:rPr>
        <w:t>Figures</w:t>
      </w:r>
      <w:bookmarkEnd w:id="1922"/>
      <w:bookmarkEnd w:id="1923"/>
      <w:bookmarkEnd w:id="1924"/>
      <w:r w:rsidRPr="00730DE4">
        <w:rPr>
          <w:lang w:val="en-US"/>
        </w:rPr>
        <w:t xml:space="preserve"> </w:t>
      </w:r>
    </w:p>
    <w:tbl>
      <w:tblPr>
        <w:tblStyle w:val="TMRDefault"/>
        <w:tblW w:w="5000" w:type="pct"/>
        <w:tblLook w:val="0020" w:firstRow="1" w:lastRow="0" w:firstColumn="0" w:lastColumn="0" w:noHBand="0" w:noVBand="0"/>
      </w:tblPr>
      <w:tblGrid>
        <w:gridCol w:w="7927"/>
        <w:gridCol w:w="1133"/>
      </w:tblGrid>
      <w:tr w:rsidR="00FA2FF9" w:rsidRPr="00730DE4" w14:paraId="666DFBFB" w14:textId="77777777" w:rsidTr="0069763E">
        <w:trPr>
          <w:cnfStyle w:val="100000000000" w:firstRow="1" w:lastRow="0" w:firstColumn="0" w:lastColumn="0" w:oddVBand="0" w:evenVBand="0" w:oddHBand="0" w:evenHBand="0" w:firstRowFirstColumn="0" w:firstRowLastColumn="0" w:lastRowFirstColumn="0" w:lastRowLastColumn="0"/>
          <w:tblHeader/>
        </w:trPr>
        <w:tc>
          <w:tcPr>
            <w:tcW w:w="4375" w:type="pct"/>
          </w:tcPr>
          <w:p w14:paraId="1E4C5170" w14:textId="77777777" w:rsidR="00FA2FF9" w:rsidRPr="00730DE4" w:rsidRDefault="00FA2FF9" w:rsidP="00D00068">
            <w:pPr>
              <w:pStyle w:val="NoSpacing"/>
              <w:rPr>
                <w:color w:val="FFFFFF" w:themeColor="background1"/>
                <w:lang w:val="en-US"/>
              </w:rPr>
            </w:pPr>
            <w:r w:rsidRPr="00730DE4">
              <w:rPr>
                <w:color w:val="FFFFFF" w:themeColor="background1"/>
                <w:lang w:val="en-US"/>
              </w:rPr>
              <w:t>Figures</w:t>
            </w:r>
          </w:p>
        </w:tc>
        <w:tc>
          <w:tcPr>
            <w:tcW w:w="625" w:type="pct"/>
          </w:tcPr>
          <w:p w14:paraId="70DCEC9B" w14:textId="77777777" w:rsidR="00FA2FF9" w:rsidRPr="00730DE4" w:rsidRDefault="00FA2FF9" w:rsidP="00D00068">
            <w:pPr>
              <w:pStyle w:val="NoSpacing"/>
              <w:rPr>
                <w:color w:val="FFFFFF" w:themeColor="background1"/>
                <w:lang w:val="en-US"/>
              </w:rPr>
            </w:pPr>
            <w:r w:rsidRPr="00730DE4">
              <w:rPr>
                <w:color w:val="FFFFFF" w:themeColor="background1"/>
                <w:lang w:val="en-US"/>
              </w:rPr>
              <w:t>Page</w:t>
            </w:r>
          </w:p>
        </w:tc>
      </w:tr>
      <w:tr w:rsidR="00FA2FF9" w:rsidRPr="00730DE4" w14:paraId="01A542F7" w14:textId="77777777" w:rsidTr="0069763E">
        <w:trPr>
          <w:cnfStyle w:val="000000100000" w:firstRow="0" w:lastRow="0" w:firstColumn="0" w:lastColumn="0" w:oddVBand="0" w:evenVBand="0" w:oddHBand="1" w:evenHBand="0" w:firstRowFirstColumn="0" w:firstRowLastColumn="0" w:lastRowFirstColumn="0" w:lastRowLastColumn="0"/>
        </w:trPr>
        <w:tc>
          <w:tcPr>
            <w:tcW w:w="4375" w:type="pct"/>
          </w:tcPr>
          <w:p w14:paraId="2468A7D3" w14:textId="77777777" w:rsidR="00FA2FF9" w:rsidRPr="00730DE4" w:rsidRDefault="00FA2FF9" w:rsidP="00D00068">
            <w:pPr>
              <w:pStyle w:val="NoSpacing"/>
              <w:rPr>
                <w:lang w:val="en-US"/>
              </w:rPr>
            </w:pPr>
            <w:r w:rsidRPr="00730DE4">
              <w:rPr>
                <w:lang w:val="en-US"/>
              </w:rPr>
              <w:t>Figure 1: Income by category for the year ended 30 June 2024</w:t>
            </w:r>
          </w:p>
        </w:tc>
        <w:tc>
          <w:tcPr>
            <w:tcW w:w="625" w:type="pct"/>
          </w:tcPr>
          <w:p w14:paraId="5DFB02BF" w14:textId="4E9A8C76" w:rsidR="00FA2FF9" w:rsidRPr="00730DE4" w:rsidRDefault="004F3FB3" w:rsidP="00D00068">
            <w:pPr>
              <w:pStyle w:val="NoSpacing"/>
              <w:rPr>
                <w:lang w:val="en-US"/>
              </w:rPr>
            </w:pPr>
            <w:r w:rsidRPr="00730DE4">
              <w:rPr>
                <w:lang w:val="en-US"/>
              </w:rPr>
              <w:t>17</w:t>
            </w:r>
          </w:p>
        </w:tc>
      </w:tr>
      <w:tr w:rsidR="00FA2FF9" w:rsidRPr="00730DE4" w14:paraId="13D461C8" w14:textId="77777777" w:rsidTr="0069763E">
        <w:tc>
          <w:tcPr>
            <w:tcW w:w="4375" w:type="pct"/>
          </w:tcPr>
          <w:p w14:paraId="3C06AE96" w14:textId="77777777" w:rsidR="00FA2FF9" w:rsidRPr="00730DE4" w:rsidRDefault="00FA2FF9" w:rsidP="00D00068">
            <w:pPr>
              <w:pStyle w:val="NoSpacing"/>
              <w:rPr>
                <w:lang w:val="en-US"/>
              </w:rPr>
            </w:pPr>
            <w:r w:rsidRPr="00730DE4">
              <w:rPr>
                <w:lang w:val="en-US"/>
              </w:rPr>
              <w:t>Figure 2: Expenses by category for the year ended 30 June 2024</w:t>
            </w:r>
          </w:p>
        </w:tc>
        <w:tc>
          <w:tcPr>
            <w:tcW w:w="625" w:type="pct"/>
          </w:tcPr>
          <w:p w14:paraId="67647474" w14:textId="43AA33D6" w:rsidR="00FA2FF9" w:rsidRPr="00730DE4" w:rsidRDefault="004F3FB3" w:rsidP="00D00068">
            <w:pPr>
              <w:pStyle w:val="NoSpacing"/>
              <w:rPr>
                <w:lang w:val="en-US"/>
              </w:rPr>
            </w:pPr>
            <w:r w:rsidRPr="00730DE4">
              <w:rPr>
                <w:lang w:val="en-US"/>
              </w:rPr>
              <w:t>18</w:t>
            </w:r>
          </w:p>
        </w:tc>
      </w:tr>
      <w:tr w:rsidR="00FA2FF9" w:rsidRPr="00730DE4" w14:paraId="5357B85E" w14:textId="77777777" w:rsidTr="0069763E">
        <w:trPr>
          <w:cnfStyle w:val="000000100000" w:firstRow="0" w:lastRow="0" w:firstColumn="0" w:lastColumn="0" w:oddVBand="0" w:evenVBand="0" w:oddHBand="1" w:evenHBand="0" w:firstRowFirstColumn="0" w:firstRowLastColumn="0" w:lastRowFirstColumn="0" w:lastRowLastColumn="0"/>
        </w:trPr>
        <w:tc>
          <w:tcPr>
            <w:tcW w:w="4375" w:type="pct"/>
          </w:tcPr>
          <w:p w14:paraId="55B7EEC0" w14:textId="77777777" w:rsidR="00FA2FF9" w:rsidRPr="00730DE4" w:rsidRDefault="00FA2FF9" w:rsidP="00D00068">
            <w:pPr>
              <w:pStyle w:val="NoSpacing"/>
              <w:rPr>
                <w:lang w:val="en-US"/>
              </w:rPr>
            </w:pPr>
            <w:r w:rsidRPr="00730DE4">
              <w:rPr>
                <w:lang w:val="en-US"/>
              </w:rPr>
              <w:t>Figure 3: Marine fatalities (in Queensland)</w:t>
            </w:r>
          </w:p>
        </w:tc>
        <w:tc>
          <w:tcPr>
            <w:tcW w:w="625" w:type="pct"/>
          </w:tcPr>
          <w:p w14:paraId="0C4F2554" w14:textId="4EC136F7" w:rsidR="00FA2FF9" w:rsidRPr="00730DE4" w:rsidRDefault="004F3FB3" w:rsidP="00D00068">
            <w:pPr>
              <w:pStyle w:val="NoSpacing"/>
              <w:rPr>
                <w:lang w:val="en-US"/>
              </w:rPr>
            </w:pPr>
            <w:r w:rsidRPr="00730DE4">
              <w:rPr>
                <w:lang w:val="en-US"/>
              </w:rPr>
              <w:t>197–198</w:t>
            </w:r>
          </w:p>
        </w:tc>
      </w:tr>
      <w:tr w:rsidR="00FA2FF9" w:rsidRPr="00730DE4" w14:paraId="14E55B78" w14:textId="77777777" w:rsidTr="0069763E">
        <w:tc>
          <w:tcPr>
            <w:tcW w:w="4375" w:type="pct"/>
          </w:tcPr>
          <w:p w14:paraId="6748D878" w14:textId="77777777" w:rsidR="00FA2FF9" w:rsidRPr="00730DE4" w:rsidRDefault="00FA2FF9" w:rsidP="00D00068">
            <w:pPr>
              <w:pStyle w:val="NoSpacing"/>
              <w:rPr>
                <w:lang w:val="en-US"/>
              </w:rPr>
            </w:pPr>
            <w:r w:rsidRPr="00730DE4">
              <w:rPr>
                <w:lang w:val="en-US"/>
              </w:rPr>
              <w:t>Figure 4: Serious injuries from maritime incidents (in Queensland)</w:t>
            </w:r>
          </w:p>
        </w:tc>
        <w:tc>
          <w:tcPr>
            <w:tcW w:w="625" w:type="pct"/>
          </w:tcPr>
          <w:p w14:paraId="70A56A21" w14:textId="59F273D0" w:rsidR="00FA2FF9" w:rsidRPr="00730DE4" w:rsidRDefault="004F3FB3" w:rsidP="00D00068">
            <w:pPr>
              <w:pStyle w:val="NoSpacing"/>
              <w:rPr>
                <w:lang w:val="en-US"/>
              </w:rPr>
            </w:pPr>
            <w:r w:rsidRPr="00730DE4">
              <w:rPr>
                <w:lang w:val="en-US"/>
              </w:rPr>
              <w:t>198</w:t>
            </w:r>
          </w:p>
        </w:tc>
      </w:tr>
      <w:tr w:rsidR="00FA2FF9" w:rsidRPr="00730DE4" w14:paraId="3FB8CF89" w14:textId="77777777" w:rsidTr="0069763E">
        <w:trPr>
          <w:cnfStyle w:val="000000100000" w:firstRow="0" w:lastRow="0" w:firstColumn="0" w:lastColumn="0" w:oddVBand="0" w:evenVBand="0" w:oddHBand="1" w:evenHBand="0" w:firstRowFirstColumn="0" w:firstRowLastColumn="0" w:lastRowFirstColumn="0" w:lastRowLastColumn="0"/>
        </w:trPr>
        <w:tc>
          <w:tcPr>
            <w:tcW w:w="4375" w:type="pct"/>
          </w:tcPr>
          <w:p w14:paraId="3DF2B83A" w14:textId="77777777" w:rsidR="00FA2FF9" w:rsidRPr="00730DE4" w:rsidRDefault="00FA2FF9" w:rsidP="00D00068">
            <w:pPr>
              <w:pStyle w:val="NoSpacing"/>
              <w:rPr>
                <w:lang w:val="en-US"/>
              </w:rPr>
            </w:pPr>
            <w:r w:rsidRPr="00730DE4">
              <w:rPr>
                <w:lang w:val="en-US"/>
              </w:rPr>
              <w:t>Figure 5: Mobile speed cameras—Vehicles monitored per notice issued</w:t>
            </w:r>
          </w:p>
        </w:tc>
        <w:tc>
          <w:tcPr>
            <w:tcW w:w="625" w:type="pct"/>
          </w:tcPr>
          <w:p w14:paraId="2392544D" w14:textId="338A98F1" w:rsidR="00FA2FF9" w:rsidRPr="00730DE4" w:rsidRDefault="000433B5" w:rsidP="00D00068">
            <w:pPr>
              <w:pStyle w:val="NoSpacing"/>
              <w:rPr>
                <w:lang w:val="en-US"/>
              </w:rPr>
            </w:pPr>
            <w:r>
              <w:rPr>
                <w:lang w:val="en-US"/>
              </w:rPr>
              <w:t>385</w:t>
            </w:r>
          </w:p>
        </w:tc>
      </w:tr>
      <w:tr w:rsidR="00FA2FF9" w:rsidRPr="00730DE4" w14:paraId="2DBEC0F8" w14:textId="77777777" w:rsidTr="0069763E">
        <w:tc>
          <w:tcPr>
            <w:tcW w:w="4375" w:type="pct"/>
          </w:tcPr>
          <w:p w14:paraId="2FFE9223" w14:textId="77777777" w:rsidR="00FA2FF9" w:rsidRPr="00730DE4" w:rsidRDefault="00FA2FF9" w:rsidP="00D00068">
            <w:pPr>
              <w:pStyle w:val="NoSpacing"/>
              <w:rPr>
                <w:lang w:val="en-US"/>
              </w:rPr>
            </w:pPr>
            <w:r w:rsidRPr="00730DE4">
              <w:rPr>
                <w:lang w:val="en-US"/>
              </w:rPr>
              <w:t>Figure 6: Red light cameras—Vehicles monitored per notice issued</w:t>
            </w:r>
          </w:p>
        </w:tc>
        <w:tc>
          <w:tcPr>
            <w:tcW w:w="625" w:type="pct"/>
          </w:tcPr>
          <w:p w14:paraId="54391A9C" w14:textId="12C92715" w:rsidR="00FA2FF9" w:rsidRPr="00730DE4" w:rsidRDefault="00686341" w:rsidP="00D00068">
            <w:pPr>
              <w:pStyle w:val="NoSpacing"/>
              <w:rPr>
                <w:lang w:val="en-US"/>
              </w:rPr>
            </w:pPr>
            <w:r>
              <w:rPr>
                <w:lang w:val="en-US"/>
              </w:rPr>
              <w:t>385</w:t>
            </w:r>
          </w:p>
        </w:tc>
      </w:tr>
      <w:tr w:rsidR="00FA2FF9" w:rsidRPr="00730DE4" w14:paraId="0A077985" w14:textId="77777777" w:rsidTr="0069763E">
        <w:trPr>
          <w:cnfStyle w:val="000000100000" w:firstRow="0" w:lastRow="0" w:firstColumn="0" w:lastColumn="0" w:oddVBand="0" w:evenVBand="0" w:oddHBand="1" w:evenHBand="0" w:firstRowFirstColumn="0" w:firstRowLastColumn="0" w:lastRowFirstColumn="0" w:lastRowLastColumn="0"/>
        </w:trPr>
        <w:tc>
          <w:tcPr>
            <w:tcW w:w="4375" w:type="pct"/>
          </w:tcPr>
          <w:p w14:paraId="09FDABF6" w14:textId="77777777" w:rsidR="00FA2FF9" w:rsidRPr="00730DE4" w:rsidRDefault="00FA2FF9" w:rsidP="00D00068">
            <w:pPr>
              <w:pStyle w:val="NoSpacing"/>
              <w:rPr>
                <w:lang w:val="en-US"/>
              </w:rPr>
            </w:pPr>
            <w:r w:rsidRPr="00730DE4">
              <w:rPr>
                <w:lang w:val="en-US"/>
              </w:rPr>
              <w:t>Figure 7: Fixed speed cameras—Vehicles monitored per notice issued</w:t>
            </w:r>
          </w:p>
        </w:tc>
        <w:tc>
          <w:tcPr>
            <w:tcW w:w="625" w:type="pct"/>
          </w:tcPr>
          <w:p w14:paraId="63BAA2E1" w14:textId="7FD1DFCE" w:rsidR="00FA2FF9" w:rsidRPr="00730DE4" w:rsidRDefault="00C02D0D" w:rsidP="00D00068">
            <w:pPr>
              <w:pStyle w:val="NoSpacing"/>
              <w:rPr>
                <w:lang w:val="en-US"/>
              </w:rPr>
            </w:pPr>
            <w:r>
              <w:rPr>
                <w:lang w:val="en-US"/>
              </w:rPr>
              <w:t>386</w:t>
            </w:r>
          </w:p>
        </w:tc>
      </w:tr>
      <w:tr w:rsidR="00FA2FF9" w:rsidRPr="00730DE4" w14:paraId="54CC3B34" w14:textId="77777777" w:rsidTr="0069763E">
        <w:tc>
          <w:tcPr>
            <w:tcW w:w="4375" w:type="pct"/>
          </w:tcPr>
          <w:p w14:paraId="5BCD8662" w14:textId="77777777" w:rsidR="00FA2FF9" w:rsidRPr="00730DE4" w:rsidRDefault="00FA2FF9" w:rsidP="00D00068">
            <w:pPr>
              <w:pStyle w:val="NoSpacing"/>
              <w:rPr>
                <w:lang w:val="en-US"/>
              </w:rPr>
            </w:pPr>
            <w:r w:rsidRPr="00730DE4">
              <w:rPr>
                <w:lang w:val="en-US"/>
              </w:rPr>
              <w:t>Figure 8: Combination red light/speed camera—Vehicles monitored per notice issued</w:t>
            </w:r>
          </w:p>
        </w:tc>
        <w:tc>
          <w:tcPr>
            <w:tcW w:w="625" w:type="pct"/>
          </w:tcPr>
          <w:p w14:paraId="76A937BD" w14:textId="12D00989" w:rsidR="00FA2FF9" w:rsidRPr="00730DE4" w:rsidRDefault="00DE2E88" w:rsidP="00D00068">
            <w:pPr>
              <w:pStyle w:val="NoSpacing"/>
              <w:rPr>
                <w:lang w:val="en-US"/>
              </w:rPr>
            </w:pPr>
            <w:r>
              <w:rPr>
                <w:lang w:val="en-US"/>
              </w:rPr>
              <w:t>386</w:t>
            </w:r>
          </w:p>
        </w:tc>
      </w:tr>
    </w:tbl>
    <w:p w14:paraId="3A08294F" w14:textId="35DA1C94" w:rsidR="00FA2FF9" w:rsidRPr="00730DE4" w:rsidRDefault="00FA2FF9" w:rsidP="002B7001">
      <w:pPr>
        <w:pStyle w:val="Heading3"/>
        <w:rPr>
          <w:lang w:val="en-US"/>
        </w:rPr>
      </w:pPr>
      <w:bookmarkStart w:id="1925" w:name="_Toc180487867"/>
      <w:bookmarkStart w:id="1926" w:name="_Toc180491072"/>
      <w:bookmarkStart w:id="1927" w:name="_Toc180492105"/>
      <w:r w:rsidRPr="00730DE4">
        <w:rPr>
          <w:lang w:val="en-US"/>
        </w:rPr>
        <w:t>Tables</w:t>
      </w:r>
      <w:bookmarkEnd w:id="1925"/>
      <w:bookmarkEnd w:id="1926"/>
      <w:bookmarkEnd w:id="1927"/>
    </w:p>
    <w:tbl>
      <w:tblPr>
        <w:tblStyle w:val="TMRDefault"/>
        <w:tblW w:w="5000" w:type="pct"/>
        <w:tblLook w:val="0020" w:firstRow="1" w:lastRow="0" w:firstColumn="0" w:lastColumn="0" w:noHBand="0" w:noVBand="0"/>
      </w:tblPr>
      <w:tblGrid>
        <w:gridCol w:w="7964"/>
        <w:gridCol w:w="1096"/>
      </w:tblGrid>
      <w:tr w:rsidR="00FA2FF9" w:rsidRPr="00730DE4" w14:paraId="04BAF0A7" w14:textId="77777777" w:rsidTr="00B9757A">
        <w:trPr>
          <w:cnfStyle w:val="100000000000" w:firstRow="1" w:lastRow="0" w:firstColumn="0" w:lastColumn="0" w:oddVBand="0" w:evenVBand="0" w:oddHBand="0" w:evenHBand="0" w:firstRowFirstColumn="0" w:firstRowLastColumn="0" w:lastRowFirstColumn="0" w:lastRowLastColumn="0"/>
          <w:tblHeader/>
        </w:trPr>
        <w:tc>
          <w:tcPr>
            <w:tcW w:w="4395" w:type="pct"/>
          </w:tcPr>
          <w:p w14:paraId="6625995C" w14:textId="77777777" w:rsidR="00FA2FF9" w:rsidRPr="00730DE4" w:rsidRDefault="00FA2FF9" w:rsidP="00D00068">
            <w:pPr>
              <w:pStyle w:val="NoSpacing"/>
              <w:rPr>
                <w:color w:val="FFFFFF" w:themeColor="background1"/>
                <w:lang w:val="en-US"/>
              </w:rPr>
            </w:pPr>
            <w:r w:rsidRPr="00730DE4">
              <w:rPr>
                <w:color w:val="FFFFFF" w:themeColor="background1"/>
                <w:lang w:val="en-US"/>
              </w:rPr>
              <w:t>Tables</w:t>
            </w:r>
          </w:p>
        </w:tc>
        <w:tc>
          <w:tcPr>
            <w:tcW w:w="605" w:type="pct"/>
          </w:tcPr>
          <w:p w14:paraId="4B793A35" w14:textId="77777777" w:rsidR="00FA2FF9" w:rsidRPr="00730DE4" w:rsidRDefault="00FA2FF9" w:rsidP="00D00068">
            <w:pPr>
              <w:pStyle w:val="NoSpacing"/>
              <w:rPr>
                <w:color w:val="FFFFFF" w:themeColor="background1"/>
                <w:lang w:val="en-US"/>
              </w:rPr>
            </w:pPr>
            <w:r w:rsidRPr="00730DE4">
              <w:rPr>
                <w:color w:val="FFFFFF" w:themeColor="background1"/>
                <w:lang w:val="en-US"/>
              </w:rPr>
              <w:t>Page</w:t>
            </w:r>
          </w:p>
        </w:tc>
      </w:tr>
      <w:tr w:rsidR="00FA2FF9" w:rsidRPr="00730DE4" w14:paraId="222411FE" w14:textId="77777777" w:rsidTr="00B9757A">
        <w:trPr>
          <w:cnfStyle w:val="000000100000" w:firstRow="0" w:lastRow="0" w:firstColumn="0" w:lastColumn="0" w:oddVBand="0" w:evenVBand="0" w:oddHBand="1" w:evenHBand="0" w:firstRowFirstColumn="0" w:firstRowLastColumn="0" w:lastRowFirstColumn="0" w:lastRowLastColumn="0"/>
        </w:trPr>
        <w:tc>
          <w:tcPr>
            <w:tcW w:w="4395" w:type="pct"/>
          </w:tcPr>
          <w:p w14:paraId="12AEF1A4" w14:textId="77777777" w:rsidR="00FA2FF9" w:rsidRPr="00730DE4" w:rsidRDefault="00FA2FF9" w:rsidP="00D00068">
            <w:pPr>
              <w:pStyle w:val="NoSpacing"/>
              <w:rPr>
                <w:lang w:val="en-US"/>
              </w:rPr>
            </w:pPr>
            <w:r w:rsidRPr="00730DE4">
              <w:rPr>
                <w:lang w:val="en-US"/>
              </w:rPr>
              <w:t>Table 1: Summary of financial results of the department’s operations</w:t>
            </w:r>
          </w:p>
        </w:tc>
        <w:tc>
          <w:tcPr>
            <w:tcW w:w="605" w:type="pct"/>
          </w:tcPr>
          <w:p w14:paraId="5C78D22E" w14:textId="5945B333" w:rsidR="00FA2FF9" w:rsidRPr="00730DE4" w:rsidRDefault="004A12BC" w:rsidP="00D00068">
            <w:pPr>
              <w:pStyle w:val="NoSpacing"/>
              <w:rPr>
                <w:lang w:val="en-US"/>
              </w:rPr>
            </w:pPr>
            <w:r w:rsidRPr="00730DE4">
              <w:rPr>
                <w:lang w:val="en-US"/>
              </w:rPr>
              <w:t>17</w:t>
            </w:r>
          </w:p>
        </w:tc>
      </w:tr>
      <w:tr w:rsidR="00FA2FF9" w:rsidRPr="00730DE4" w14:paraId="6F5607E6" w14:textId="77777777" w:rsidTr="00B9757A">
        <w:tc>
          <w:tcPr>
            <w:tcW w:w="4395" w:type="pct"/>
          </w:tcPr>
          <w:p w14:paraId="5CD30A99" w14:textId="77777777" w:rsidR="00FA2FF9" w:rsidRPr="00730DE4" w:rsidRDefault="00FA2FF9" w:rsidP="00D00068">
            <w:pPr>
              <w:pStyle w:val="NoSpacing"/>
              <w:rPr>
                <w:lang w:val="en-US"/>
              </w:rPr>
            </w:pPr>
            <w:r w:rsidRPr="00730DE4">
              <w:rPr>
                <w:lang w:val="en-US"/>
              </w:rPr>
              <w:t>Table 2: Summary of financial position—Assets and liabilities</w:t>
            </w:r>
          </w:p>
        </w:tc>
        <w:tc>
          <w:tcPr>
            <w:tcW w:w="605" w:type="pct"/>
          </w:tcPr>
          <w:p w14:paraId="274A7ACE" w14:textId="1820E1CE" w:rsidR="00FA2FF9" w:rsidRPr="00730DE4" w:rsidRDefault="004A12BC" w:rsidP="00D00068">
            <w:pPr>
              <w:pStyle w:val="NoSpacing"/>
              <w:rPr>
                <w:lang w:val="en-US"/>
              </w:rPr>
            </w:pPr>
            <w:r w:rsidRPr="00730DE4">
              <w:rPr>
                <w:lang w:val="en-US"/>
              </w:rPr>
              <w:t>19</w:t>
            </w:r>
          </w:p>
        </w:tc>
      </w:tr>
      <w:tr w:rsidR="00FA2FF9" w:rsidRPr="00730DE4" w14:paraId="29C4E159" w14:textId="77777777" w:rsidTr="00B9757A">
        <w:trPr>
          <w:cnfStyle w:val="000000100000" w:firstRow="0" w:lastRow="0" w:firstColumn="0" w:lastColumn="0" w:oddVBand="0" w:evenVBand="0" w:oddHBand="1" w:evenHBand="0" w:firstRowFirstColumn="0" w:firstRowLastColumn="0" w:lastRowFirstColumn="0" w:lastRowLastColumn="0"/>
        </w:trPr>
        <w:tc>
          <w:tcPr>
            <w:tcW w:w="4395" w:type="pct"/>
          </w:tcPr>
          <w:p w14:paraId="527A054E" w14:textId="77777777" w:rsidR="00FA2FF9" w:rsidRPr="00730DE4" w:rsidRDefault="00FA2FF9" w:rsidP="00D00068">
            <w:pPr>
              <w:pStyle w:val="NoSpacing"/>
              <w:rPr>
                <w:lang w:val="en-US"/>
              </w:rPr>
            </w:pPr>
            <w:r w:rsidRPr="00730DE4">
              <w:rPr>
                <w:lang w:val="en-US"/>
              </w:rPr>
              <w:t>Table 3: Key priorities and outcomes: Accessible and integrated</w:t>
            </w:r>
          </w:p>
        </w:tc>
        <w:tc>
          <w:tcPr>
            <w:tcW w:w="605" w:type="pct"/>
          </w:tcPr>
          <w:p w14:paraId="2E2A59D4" w14:textId="07C30A88" w:rsidR="00FA2FF9" w:rsidRPr="00730DE4" w:rsidRDefault="004A12BC" w:rsidP="00D00068">
            <w:pPr>
              <w:pStyle w:val="NoSpacing"/>
              <w:rPr>
                <w:lang w:val="en-US"/>
              </w:rPr>
            </w:pPr>
            <w:r w:rsidRPr="00730DE4">
              <w:rPr>
                <w:lang w:val="en-US"/>
              </w:rPr>
              <w:t>32</w:t>
            </w:r>
          </w:p>
        </w:tc>
      </w:tr>
      <w:tr w:rsidR="00FA2FF9" w:rsidRPr="00730DE4" w14:paraId="1868B4CC" w14:textId="77777777" w:rsidTr="00B9757A">
        <w:tc>
          <w:tcPr>
            <w:tcW w:w="4395" w:type="pct"/>
          </w:tcPr>
          <w:p w14:paraId="0105EA2E" w14:textId="77777777" w:rsidR="00FA2FF9" w:rsidRPr="00730DE4" w:rsidRDefault="00FA2FF9" w:rsidP="00D00068">
            <w:pPr>
              <w:pStyle w:val="NoSpacing"/>
              <w:rPr>
                <w:lang w:val="en-US"/>
              </w:rPr>
            </w:pPr>
            <w:r w:rsidRPr="00730DE4">
              <w:rPr>
                <w:lang w:val="en-US"/>
              </w:rPr>
              <w:t>Table 4: Key priorities and outcomes: Safe and secure</w:t>
            </w:r>
          </w:p>
        </w:tc>
        <w:tc>
          <w:tcPr>
            <w:tcW w:w="605" w:type="pct"/>
          </w:tcPr>
          <w:p w14:paraId="5AF587D4" w14:textId="6D5EFA5F" w:rsidR="00FA2FF9" w:rsidRPr="00730DE4" w:rsidRDefault="004A12BC" w:rsidP="00D00068">
            <w:pPr>
              <w:pStyle w:val="NoSpacing"/>
              <w:rPr>
                <w:lang w:val="en-US"/>
              </w:rPr>
            </w:pPr>
            <w:r w:rsidRPr="00730DE4">
              <w:rPr>
                <w:lang w:val="en-US"/>
              </w:rPr>
              <w:t>33</w:t>
            </w:r>
          </w:p>
        </w:tc>
      </w:tr>
      <w:tr w:rsidR="00FA2FF9" w:rsidRPr="00730DE4" w14:paraId="2207ABC1" w14:textId="77777777" w:rsidTr="00B9757A">
        <w:trPr>
          <w:cnfStyle w:val="000000100000" w:firstRow="0" w:lastRow="0" w:firstColumn="0" w:lastColumn="0" w:oddVBand="0" w:evenVBand="0" w:oddHBand="1" w:evenHBand="0" w:firstRowFirstColumn="0" w:firstRowLastColumn="0" w:lastRowFirstColumn="0" w:lastRowLastColumn="0"/>
        </w:trPr>
        <w:tc>
          <w:tcPr>
            <w:tcW w:w="4395" w:type="pct"/>
          </w:tcPr>
          <w:p w14:paraId="03ECC0D1" w14:textId="77777777" w:rsidR="00FA2FF9" w:rsidRPr="00730DE4" w:rsidRDefault="00FA2FF9" w:rsidP="00D00068">
            <w:pPr>
              <w:pStyle w:val="NoSpacing"/>
              <w:rPr>
                <w:lang w:val="en-US"/>
              </w:rPr>
            </w:pPr>
            <w:r w:rsidRPr="00730DE4">
              <w:rPr>
                <w:lang w:val="en-US"/>
              </w:rPr>
              <w:t>Table 5: Key priorities and outcomes: Responsive</w:t>
            </w:r>
          </w:p>
        </w:tc>
        <w:tc>
          <w:tcPr>
            <w:tcW w:w="605" w:type="pct"/>
          </w:tcPr>
          <w:p w14:paraId="2CADC913" w14:textId="771D8A4A" w:rsidR="00FA2FF9" w:rsidRPr="00730DE4" w:rsidRDefault="004060C2" w:rsidP="00D00068">
            <w:pPr>
              <w:pStyle w:val="NoSpacing"/>
              <w:rPr>
                <w:lang w:val="en-US"/>
              </w:rPr>
            </w:pPr>
            <w:r w:rsidRPr="00730DE4">
              <w:rPr>
                <w:lang w:val="en-US"/>
              </w:rPr>
              <w:t>34–35</w:t>
            </w:r>
          </w:p>
        </w:tc>
      </w:tr>
      <w:tr w:rsidR="00FA2FF9" w:rsidRPr="00730DE4" w14:paraId="51C821DE" w14:textId="77777777" w:rsidTr="00B9757A">
        <w:tc>
          <w:tcPr>
            <w:tcW w:w="4395" w:type="pct"/>
          </w:tcPr>
          <w:p w14:paraId="1B54DA64" w14:textId="77777777" w:rsidR="00FA2FF9" w:rsidRPr="00730DE4" w:rsidRDefault="00FA2FF9" w:rsidP="00D00068">
            <w:pPr>
              <w:pStyle w:val="NoSpacing"/>
              <w:rPr>
                <w:lang w:val="en-US"/>
              </w:rPr>
            </w:pPr>
            <w:r w:rsidRPr="00730DE4">
              <w:rPr>
                <w:lang w:val="en-US"/>
              </w:rPr>
              <w:t>Table 6: Key priorities and outcomes: Efficient and productive</w:t>
            </w:r>
          </w:p>
        </w:tc>
        <w:tc>
          <w:tcPr>
            <w:tcW w:w="605" w:type="pct"/>
          </w:tcPr>
          <w:p w14:paraId="214AE88D" w14:textId="2415288D" w:rsidR="00FA2FF9" w:rsidRPr="00730DE4" w:rsidRDefault="004060C2" w:rsidP="00D00068">
            <w:pPr>
              <w:pStyle w:val="NoSpacing"/>
              <w:rPr>
                <w:lang w:val="en-US"/>
              </w:rPr>
            </w:pPr>
            <w:r w:rsidRPr="00730DE4">
              <w:rPr>
                <w:lang w:val="en-US"/>
              </w:rPr>
              <w:t>35–36</w:t>
            </w:r>
          </w:p>
        </w:tc>
      </w:tr>
      <w:tr w:rsidR="00FA2FF9" w:rsidRPr="00730DE4" w14:paraId="349C4117" w14:textId="77777777" w:rsidTr="00B9757A">
        <w:trPr>
          <w:cnfStyle w:val="000000100000" w:firstRow="0" w:lastRow="0" w:firstColumn="0" w:lastColumn="0" w:oddVBand="0" w:evenVBand="0" w:oddHBand="1" w:evenHBand="0" w:firstRowFirstColumn="0" w:firstRowLastColumn="0" w:lastRowFirstColumn="0" w:lastRowLastColumn="0"/>
        </w:trPr>
        <w:tc>
          <w:tcPr>
            <w:tcW w:w="4395" w:type="pct"/>
          </w:tcPr>
          <w:p w14:paraId="05C827C8" w14:textId="77777777" w:rsidR="00FA2FF9" w:rsidRPr="00730DE4" w:rsidRDefault="00FA2FF9" w:rsidP="00D00068">
            <w:pPr>
              <w:pStyle w:val="NoSpacing"/>
              <w:rPr>
                <w:lang w:val="en-US"/>
              </w:rPr>
            </w:pPr>
            <w:r w:rsidRPr="00730DE4">
              <w:rPr>
                <w:lang w:val="en-US"/>
              </w:rPr>
              <w:t>Table 7: Key priorities and outcomes: Sustainable</w:t>
            </w:r>
          </w:p>
        </w:tc>
        <w:tc>
          <w:tcPr>
            <w:tcW w:w="605" w:type="pct"/>
          </w:tcPr>
          <w:p w14:paraId="6AAAC6DF" w14:textId="03363F0F" w:rsidR="00FA2FF9" w:rsidRPr="00730DE4" w:rsidRDefault="004060C2" w:rsidP="00D00068">
            <w:pPr>
              <w:pStyle w:val="NoSpacing"/>
              <w:rPr>
                <w:lang w:val="en-US"/>
              </w:rPr>
            </w:pPr>
            <w:r w:rsidRPr="00730DE4">
              <w:rPr>
                <w:lang w:val="en-US"/>
              </w:rPr>
              <w:t>36–37</w:t>
            </w:r>
          </w:p>
        </w:tc>
      </w:tr>
      <w:tr w:rsidR="00FA2FF9" w:rsidRPr="00730DE4" w14:paraId="79461061" w14:textId="77777777" w:rsidTr="00B9757A">
        <w:tc>
          <w:tcPr>
            <w:tcW w:w="4395" w:type="pct"/>
          </w:tcPr>
          <w:p w14:paraId="6979CE4B" w14:textId="77777777" w:rsidR="00FA2FF9" w:rsidRPr="00730DE4" w:rsidRDefault="00FA2FF9" w:rsidP="00D00068">
            <w:pPr>
              <w:pStyle w:val="NoSpacing"/>
              <w:rPr>
                <w:lang w:val="en-US"/>
              </w:rPr>
            </w:pPr>
            <w:r w:rsidRPr="00730DE4">
              <w:rPr>
                <w:lang w:val="en-US"/>
              </w:rPr>
              <w:t>Table 8: Key priorities and outcomes: Digital economic contribution</w:t>
            </w:r>
          </w:p>
        </w:tc>
        <w:tc>
          <w:tcPr>
            <w:tcW w:w="605" w:type="pct"/>
          </w:tcPr>
          <w:p w14:paraId="00EC0345" w14:textId="6A7B7D3F" w:rsidR="00FA2FF9" w:rsidRPr="00730DE4" w:rsidRDefault="0006576B" w:rsidP="00D00068">
            <w:pPr>
              <w:pStyle w:val="NoSpacing"/>
              <w:rPr>
                <w:lang w:val="en-US"/>
              </w:rPr>
            </w:pPr>
            <w:r w:rsidRPr="00730DE4">
              <w:rPr>
                <w:lang w:val="en-US"/>
              </w:rPr>
              <w:t>37–38</w:t>
            </w:r>
          </w:p>
        </w:tc>
      </w:tr>
      <w:tr w:rsidR="00FA2FF9" w:rsidRPr="00730DE4" w14:paraId="36CB48D6" w14:textId="77777777" w:rsidTr="00B9757A">
        <w:trPr>
          <w:cnfStyle w:val="000000100000" w:firstRow="0" w:lastRow="0" w:firstColumn="0" w:lastColumn="0" w:oddVBand="0" w:evenVBand="0" w:oddHBand="1" w:evenHBand="0" w:firstRowFirstColumn="0" w:firstRowLastColumn="0" w:lastRowFirstColumn="0" w:lastRowLastColumn="0"/>
        </w:trPr>
        <w:tc>
          <w:tcPr>
            <w:tcW w:w="4395" w:type="pct"/>
          </w:tcPr>
          <w:p w14:paraId="0FEF60CA" w14:textId="77777777" w:rsidR="00FA2FF9" w:rsidRPr="00730DE4" w:rsidRDefault="00FA2FF9" w:rsidP="00D00068">
            <w:pPr>
              <w:pStyle w:val="NoSpacing"/>
              <w:rPr>
                <w:lang w:val="en-US"/>
              </w:rPr>
            </w:pPr>
            <w:r w:rsidRPr="00730DE4">
              <w:rPr>
                <w:lang w:val="en-US"/>
              </w:rPr>
              <w:t>Table 9: Key priorities and outcomes: Capable, adaptable, and aligned</w:t>
            </w:r>
          </w:p>
        </w:tc>
        <w:tc>
          <w:tcPr>
            <w:tcW w:w="605" w:type="pct"/>
          </w:tcPr>
          <w:p w14:paraId="6D60D4A9" w14:textId="4FD11AD0" w:rsidR="00FA2FF9" w:rsidRPr="00730DE4" w:rsidRDefault="0006576B" w:rsidP="00D00068">
            <w:pPr>
              <w:pStyle w:val="NoSpacing"/>
              <w:rPr>
                <w:lang w:val="en-US"/>
              </w:rPr>
            </w:pPr>
            <w:r w:rsidRPr="00730DE4">
              <w:rPr>
                <w:lang w:val="en-US"/>
              </w:rPr>
              <w:t>39</w:t>
            </w:r>
          </w:p>
        </w:tc>
      </w:tr>
      <w:tr w:rsidR="00FA2FF9" w:rsidRPr="00730DE4" w14:paraId="7683956C" w14:textId="77777777" w:rsidTr="00B9757A">
        <w:tc>
          <w:tcPr>
            <w:tcW w:w="4395" w:type="pct"/>
          </w:tcPr>
          <w:p w14:paraId="2FB613E2" w14:textId="77777777" w:rsidR="00FA2FF9" w:rsidRPr="00730DE4" w:rsidRDefault="00FA2FF9" w:rsidP="00D00068">
            <w:pPr>
              <w:pStyle w:val="NoSpacing"/>
              <w:rPr>
                <w:lang w:val="en-US"/>
              </w:rPr>
            </w:pPr>
            <w:r w:rsidRPr="00730DE4">
              <w:rPr>
                <w:lang w:val="en-US"/>
              </w:rPr>
              <w:t>Table 10: Transport System Investment Planning and Programming effectiveness measure</w:t>
            </w:r>
          </w:p>
        </w:tc>
        <w:tc>
          <w:tcPr>
            <w:tcW w:w="605" w:type="pct"/>
          </w:tcPr>
          <w:p w14:paraId="77258C48" w14:textId="56A914E8" w:rsidR="00FA2FF9" w:rsidRPr="00730DE4" w:rsidRDefault="0006576B" w:rsidP="00D00068">
            <w:pPr>
              <w:pStyle w:val="NoSpacing"/>
              <w:rPr>
                <w:lang w:val="en-US"/>
              </w:rPr>
            </w:pPr>
            <w:r w:rsidRPr="00730DE4">
              <w:rPr>
                <w:lang w:val="en-US"/>
              </w:rPr>
              <w:t>40</w:t>
            </w:r>
          </w:p>
        </w:tc>
      </w:tr>
      <w:tr w:rsidR="00FA2FF9" w:rsidRPr="00730DE4" w14:paraId="7375D755" w14:textId="77777777" w:rsidTr="00B9757A">
        <w:trPr>
          <w:cnfStyle w:val="000000100000" w:firstRow="0" w:lastRow="0" w:firstColumn="0" w:lastColumn="0" w:oddVBand="0" w:evenVBand="0" w:oddHBand="1" w:evenHBand="0" w:firstRowFirstColumn="0" w:firstRowLastColumn="0" w:lastRowFirstColumn="0" w:lastRowLastColumn="0"/>
        </w:trPr>
        <w:tc>
          <w:tcPr>
            <w:tcW w:w="4395" w:type="pct"/>
          </w:tcPr>
          <w:p w14:paraId="31084666" w14:textId="77777777" w:rsidR="00FA2FF9" w:rsidRPr="00730DE4" w:rsidRDefault="00FA2FF9" w:rsidP="00D00068">
            <w:pPr>
              <w:pStyle w:val="NoSpacing"/>
              <w:rPr>
                <w:lang w:val="en-US"/>
              </w:rPr>
            </w:pPr>
            <w:r w:rsidRPr="00730DE4">
              <w:rPr>
                <w:lang w:val="en-US"/>
              </w:rPr>
              <w:t>Table 11: Transport System Investment Planning and Programming efficiency measure</w:t>
            </w:r>
          </w:p>
        </w:tc>
        <w:tc>
          <w:tcPr>
            <w:tcW w:w="605" w:type="pct"/>
          </w:tcPr>
          <w:p w14:paraId="25817BC4" w14:textId="5B97FFEB" w:rsidR="00FA2FF9" w:rsidRPr="00730DE4" w:rsidRDefault="0006576B" w:rsidP="00D00068">
            <w:pPr>
              <w:pStyle w:val="NoSpacing"/>
              <w:rPr>
                <w:lang w:val="en-US"/>
              </w:rPr>
            </w:pPr>
            <w:r w:rsidRPr="00730DE4">
              <w:rPr>
                <w:lang w:val="en-US"/>
              </w:rPr>
              <w:t>41</w:t>
            </w:r>
          </w:p>
        </w:tc>
      </w:tr>
      <w:tr w:rsidR="00FA2FF9" w:rsidRPr="00730DE4" w14:paraId="1A5D5E79" w14:textId="77777777" w:rsidTr="00B9757A">
        <w:tc>
          <w:tcPr>
            <w:tcW w:w="4395" w:type="pct"/>
          </w:tcPr>
          <w:p w14:paraId="0AD2BC83" w14:textId="77777777" w:rsidR="00FA2FF9" w:rsidRPr="00730DE4" w:rsidRDefault="00FA2FF9" w:rsidP="00D00068">
            <w:pPr>
              <w:pStyle w:val="NoSpacing"/>
              <w:rPr>
                <w:lang w:val="en-US"/>
              </w:rPr>
            </w:pPr>
            <w:r w:rsidRPr="00730DE4">
              <w:rPr>
                <w:lang w:val="en-US"/>
              </w:rPr>
              <w:t>Table 12: Transport Infrastructure Management effectiveness measures</w:t>
            </w:r>
          </w:p>
        </w:tc>
        <w:tc>
          <w:tcPr>
            <w:tcW w:w="605" w:type="pct"/>
          </w:tcPr>
          <w:p w14:paraId="51969EF8" w14:textId="4D1748B2" w:rsidR="00FA2FF9" w:rsidRPr="00730DE4" w:rsidRDefault="0006576B" w:rsidP="00D00068">
            <w:pPr>
              <w:pStyle w:val="NoSpacing"/>
              <w:rPr>
                <w:lang w:val="en-US"/>
              </w:rPr>
            </w:pPr>
            <w:r w:rsidRPr="00730DE4">
              <w:rPr>
                <w:lang w:val="en-US"/>
              </w:rPr>
              <w:t>42–43</w:t>
            </w:r>
          </w:p>
        </w:tc>
      </w:tr>
      <w:tr w:rsidR="00FA2FF9" w:rsidRPr="00730DE4" w14:paraId="6024163E" w14:textId="77777777" w:rsidTr="00B9757A">
        <w:trPr>
          <w:cnfStyle w:val="000000100000" w:firstRow="0" w:lastRow="0" w:firstColumn="0" w:lastColumn="0" w:oddVBand="0" w:evenVBand="0" w:oddHBand="1" w:evenHBand="0" w:firstRowFirstColumn="0" w:firstRowLastColumn="0" w:lastRowFirstColumn="0" w:lastRowLastColumn="0"/>
        </w:trPr>
        <w:tc>
          <w:tcPr>
            <w:tcW w:w="4395" w:type="pct"/>
          </w:tcPr>
          <w:p w14:paraId="0AFDFB49" w14:textId="77777777" w:rsidR="00FA2FF9" w:rsidRPr="00730DE4" w:rsidRDefault="00FA2FF9" w:rsidP="00D00068">
            <w:pPr>
              <w:pStyle w:val="NoSpacing"/>
              <w:rPr>
                <w:lang w:val="en-US"/>
              </w:rPr>
            </w:pPr>
            <w:r w:rsidRPr="00730DE4">
              <w:rPr>
                <w:lang w:val="en-US"/>
              </w:rPr>
              <w:t>Table 13: Transport Infrastructure Management efficiency measure</w:t>
            </w:r>
          </w:p>
        </w:tc>
        <w:tc>
          <w:tcPr>
            <w:tcW w:w="605" w:type="pct"/>
          </w:tcPr>
          <w:p w14:paraId="4C9DE341" w14:textId="476D49E9" w:rsidR="00FA2FF9" w:rsidRPr="00730DE4" w:rsidRDefault="0006576B" w:rsidP="00D00068">
            <w:pPr>
              <w:pStyle w:val="NoSpacing"/>
              <w:rPr>
                <w:lang w:val="en-US"/>
              </w:rPr>
            </w:pPr>
            <w:r w:rsidRPr="00730DE4">
              <w:rPr>
                <w:lang w:val="en-US"/>
              </w:rPr>
              <w:t>43</w:t>
            </w:r>
          </w:p>
        </w:tc>
      </w:tr>
      <w:tr w:rsidR="00FA2FF9" w:rsidRPr="00730DE4" w14:paraId="12C8B8F5" w14:textId="77777777" w:rsidTr="00B9757A">
        <w:tc>
          <w:tcPr>
            <w:tcW w:w="4395" w:type="pct"/>
          </w:tcPr>
          <w:p w14:paraId="63763C5C" w14:textId="77777777" w:rsidR="00FA2FF9" w:rsidRPr="00730DE4" w:rsidRDefault="00FA2FF9" w:rsidP="00D00068">
            <w:pPr>
              <w:pStyle w:val="NoSpacing"/>
              <w:rPr>
                <w:lang w:val="en-US"/>
              </w:rPr>
            </w:pPr>
            <w:r w:rsidRPr="00730DE4">
              <w:rPr>
                <w:lang w:val="en-US"/>
              </w:rPr>
              <w:t>Table 14: Transport Infrastructure Delivery effectiveness measure</w:t>
            </w:r>
          </w:p>
        </w:tc>
        <w:tc>
          <w:tcPr>
            <w:tcW w:w="605" w:type="pct"/>
          </w:tcPr>
          <w:p w14:paraId="49F68E95" w14:textId="50418951" w:rsidR="00FA2FF9" w:rsidRPr="00730DE4" w:rsidRDefault="0006576B" w:rsidP="00D00068">
            <w:pPr>
              <w:pStyle w:val="NoSpacing"/>
              <w:rPr>
                <w:lang w:val="en-US"/>
              </w:rPr>
            </w:pPr>
            <w:r w:rsidRPr="00730DE4">
              <w:rPr>
                <w:lang w:val="en-US"/>
              </w:rPr>
              <w:t>44</w:t>
            </w:r>
          </w:p>
        </w:tc>
      </w:tr>
      <w:tr w:rsidR="00FA2FF9" w:rsidRPr="00730DE4" w14:paraId="4DC8C1A3" w14:textId="77777777" w:rsidTr="00B9757A">
        <w:trPr>
          <w:cnfStyle w:val="000000100000" w:firstRow="0" w:lastRow="0" w:firstColumn="0" w:lastColumn="0" w:oddVBand="0" w:evenVBand="0" w:oddHBand="1" w:evenHBand="0" w:firstRowFirstColumn="0" w:firstRowLastColumn="0" w:lastRowFirstColumn="0" w:lastRowLastColumn="0"/>
        </w:trPr>
        <w:tc>
          <w:tcPr>
            <w:tcW w:w="4395" w:type="pct"/>
          </w:tcPr>
          <w:p w14:paraId="396C45C7" w14:textId="77777777" w:rsidR="00FA2FF9" w:rsidRPr="00730DE4" w:rsidRDefault="00FA2FF9" w:rsidP="00D00068">
            <w:pPr>
              <w:pStyle w:val="NoSpacing"/>
              <w:rPr>
                <w:lang w:val="en-US"/>
              </w:rPr>
            </w:pPr>
            <w:r w:rsidRPr="00730DE4">
              <w:rPr>
                <w:lang w:val="en-US"/>
              </w:rPr>
              <w:t>Table 15: Transport Infrastructure Delivery efficiency measure</w:t>
            </w:r>
          </w:p>
        </w:tc>
        <w:tc>
          <w:tcPr>
            <w:tcW w:w="605" w:type="pct"/>
          </w:tcPr>
          <w:p w14:paraId="09BDB4AB" w14:textId="47B3E0F5" w:rsidR="00FA2FF9" w:rsidRPr="00730DE4" w:rsidRDefault="0006576B" w:rsidP="00D00068">
            <w:pPr>
              <w:pStyle w:val="NoSpacing"/>
              <w:rPr>
                <w:lang w:val="en-US"/>
              </w:rPr>
            </w:pPr>
            <w:r w:rsidRPr="00730DE4">
              <w:rPr>
                <w:lang w:val="en-US"/>
              </w:rPr>
              <w:t>44</w:t>
            </w:r>
          </w:p>
        </w:tc>
      </w:tr>
      <w:tr w:rsidR="00FA2FF9" w:rsidRPr="00730DE4" w14:paraId="639554C2" w14:textId="77777777" w:rsidTr="00B9757A">
        <w:tc>
          <w:tcPr>
            <w:tcW w:w="4395" w:type="pct"/>
          </w:tcPr>
          <w:p w14:paraId="29B968ED" w14:textId="77777777" w:rsidR="00FA2FF9" w:rsidRPr="00730DE4" w:rsidRDefault="00FA2FF9" w:rsidP="00D00068">
            <w:pPr>
              <w:pStyle w:val="NoSpacing"/>
              <w:rPr>
                <w:lang w:val="en-US"/>
              </w:rPr>
            </w:pPr>
            <w:r w:rsidRPr="00730DE4">
              <w:rPr>
                <w:lang w:val="en-US"/>
              </w:rPr>
              <w:t>Table 16: Transport Safety and Regulation effectiveness measures</w:t>
            </w:r>
          </w:p>
        </w:tc>
        <w:tc>
          <w:tcPr>
            <w:tcW w:w="605" w:type="pct"/>
          </w:tcPr>
          <w:p w14:paraId="48FB165A" w14:textId="116B51A9" w:rsidR="00FA2FF9" w:rsidRPr="00730DE4" w:rsidRDefault="0006576B" w:rsidP="00D00068">
            <w:pPr>
              <w:pStyle w:val="NoSpacing"/>
              <w:rPr>
                <w:lang w:val="en-US"/>
              </w:rPr>
            </w:pPr>
            <w:r w:rsidRPr="00730DE4">
              <w:rPr>
                <w:lang w:val="en-US"/>
              </w:rPr>
              <w:t>45</w:t>
            </w:r>
          </w:p>
        </w:tc>
      </w:tr>
      <w:tr w:rsidR="00FA2FF9" w:rsidRPr="00730DE4" w14:paraId="14F2DAE3" w14:textId="77777777" w:rsidTr="00B9757A">
        <w:trPr>
          <w:cnfStyle w:val="000000100000" w:firstRow="0" w:lastRow="0" w:firstColumn="0" w:lastColumn="0" w:oddVBand="0" w:evenVBand="0" w:oddHBand="1" w:evenHBand="0" w:firstRowFirstColumn="0" w:firstRowLastColumn="0" w:lastRowFirstColumn="0" w:lastRowLastColumn="0"/>
        </w:trPr>
        <w:tc>
          <w:tcPr>
            <w:tcW w:w="4395" w:type="pct"/>
          </w:tcPr>
          <w:p w14:paraId="72E17D0D" w14:textId="77777777" w:rsidR="00FA2FF9" w:rsidRPr="00730DE4" w:rsidRDefault="00FA2FF9" w:rsidP="00D00068">
            <w:pPr>
              <w:pStyle w:val="NoSpacing"/>
              <w:rPr>
                <w:lang w:val="en-US"/>
              </w:rPr>
            </w:pPr>
            <w:r w:rsidRPr="00730DE4">
              <w:rPr>
                <w:lang w:val="en-US"/>
              </w:rPr>
              <w:t>Table 17: Transport Safety and Regulation efficiency measure</w:t>
            </w:r>
          </w:p>
        </w:tc>
        <w:tc>
          <w:tcPr>
            <w:tcW w:w="605" w:type="pct"/>
          </w:tcPr>
          <w:p w14:paraId="4F874F1D" w14:textId="73B2C687" w:rsidR="00FA2FF9" w:rsidRPr="00730DE4" w:rsidRDefault="0006576B" w:rsidP="00D00068">
            <w:pPr>
              <w:pStyle w:val="NoSpacing"/>
              <w:rPr>
                <w:lang w:val="en-US"/>
              </w:rPr>
            </w:pPr>
            <w:r w:rsidRPr="00730DE4">
              <w:rPr>
                <w:lang w:val="en-US"/>
              </w:rPr>
              <w:t>45</w:t>
            </w:r>
          </w:p>
        </w:tc>
      </w:tr>
      <w:tr w:rsidR="00FA2FF9" w:rsidRPr="00730DE4" w14:paraId="4282DA17" w14:textId="77777777" w:rsidTr="00B9757A">
        <w:tc>
          <w:tcPr>
            <w:tcW w:w="4395" w:type="pct"/>
          </w:tcPr>
          <w:p w14:paraId="43C3F7A7" w14:textId="77777777" w:rsidR="00FA2FF9" w:rsidRPr="00730DE4" w:rsidRDefault="00FA2FF9" w:rsidP="00D00068">
            <w:pPr>
              <w:pStyle w:val="NoSpacing"/>
              <w:rPr>
                <w:lang w:val="en-US"/>
              </w:rPr>
            </w:pPr>
            <w:r w:rsidRPr="00730DE4">
              <w:rPr>
                <w:lang w:val="en-US"/>
              </w:rPr>
              <w:t>Table 18: Customer Experience effectiveness measures</w:t>
            </w:r>
          </w:p>
        </w:tc>
        <w:tc>
          <w:tcPr>
            <w:tcW w:w="605" w:type="pct"/>
          </w:tcPr>
          <w:p w14:paraId="50009C8E" w14:textId="79501591" w:rsidR="00FA2FF9" w:rsidRPr="00730DE4" w:rsidRDefault="0006576B" w:rsidP="00D00068">
            <w:pPr>
              <w:pStyle w:val="NoSpacing"/>
              <w:rPr>
                <w:lang w:val="en-US"/>
              </w:rPr>
            </w:pPr>
            <w:r w:rsidRPr="00730DE4">
              <w:rPr>
                <w:lang w:val="en-US"/>
              </w:rPr>
              <w:t>46–47</w:t>
            </w:r>
          </w:p>
        </w:tc>
      </w:tr>
      <w:tr w:rsidR="00FA2FF9" w:rsidRPr="00730DE4" w14:paraId="6D7058FE" w14:textId="77777777" w:rsidTr="00B9757A">
        <w:trPr>
          <w:cnfStyle w:val="000000100000" w:firstRow="0" w:lastRow="0" w:firstColumn="0" w:lastColumn="0" w:oddVBand="0" w:evenVBand="0" w:oddHBand="1" w:evenHBand="0" w:firstRowFirstColumn="0" w:firstRowLastColumn="0" w:lastRowFirstColumn="0" w:lastRowLastColumn="0"/>
        </w:trPr>
        <w:tc>
          <w:tcPr>
            <w:tcW w:w="4395" w:type="pct"/>
          </w:tcPr>
          <w:p w14:paraId="30F56A6A" w14:textId="77777777" w:rsidR="00FA2FF9" w:rsidRPr="00730DE4" w:rsidRDefault="00FA2FF9" w:rsidP="00D00068">
            <w:pPr>
              <w:pStyle w:val="NoSpacing"/>
              <w:rPr>
                <w:lang w:val="en-US"/>
              </w:rPr>
            </w:pPr>
            <w:r w:rsidRPr="00730DE4">
              <w:rPr>
                <w:lang w:val="en-US"/>
              </w:rPr>
              <w:t>Table 19: Customer Experience efficiency measures</w:t>
            </w:r>
          </w:p>
        </w:tc>
        <w:tc>
          <w:tcPr>
            <w:tcW w:w="605" w:type="pct"/>
          </w:tcPr>
          <w:p w14:paraId="520037FA" w14:textId="26C9EF82" w:rsidR="00FA2FF9" w:rsidRPr="00730DE4" w:rsidRDefault="0006576B" w:rsidP="00D00068">
            <w:pPr>
              <w:pStyle w:val="NoSpacing"/>
              <w:rPr>
                <w:lang w:val="en-US"/>
              </w:rPr>
            </w:pPr>
            <w:r w:rsidRPr="00730DE4">
              <w:rPr>
                <w:lang w:val="en-US"/>
              </w:rPr>
              <w:t>47</w:t>
            </w:r>
          </w:p>
        </w:tc>
      </w:tr>
      <w:tr w:rsidR="00FA2FF9" w:rsidRPr="00730DE4" w14:paraId="47D581FE" w14:textId="77777777" w:rsidTr="00B9757A">
        <w:tc>
          <w:tcPr>
            <w:tcW w:w="4395" w:type="pct"/>
          </w:tcPr>
          <w:p w14:paraId="0A130D0D" w14:textId="77777777" w:rsidR="00FA2FF9" w:rsidRPr="00730DE4" w:rsidRDefault="00FA2FF9" w:rsidP="00D00068">
            <w:pPr>
              <w:pStyle w:val="NoSpacing"/>
              <w:rPr>
                <w:lang w:val="en-US"/>
              </w:rPr>
            </w:pPr>
            <w:r w:rsidRPr="00730DE4">
              <w:rPr>
                <w:lang w:val="en-US"/>
              </w:rPr>
              <w:t>Table 20: Passenger Transport Services effectiveness measures</w:t>
            </w:r>
          </w:p>
        </w:tc>
        <w:tc>
          <w:tcPr>
            <w:tcW w:w="605" w:type="pct"/>
          </w:tcPr>
          <w:p w14:paraId="17E85A1B" w14:textId="4AF878B5" w:rsidR="00FA2FF9" w:rsidRPr="00730DE4" w:rsidRDefault="0006576B" w:rsidP="00D00068">
            <w:pPr>
              <w:pStyle w:val="NoSpacing"/>
              <w:rPr>
                <w:lang w:val="en-US"/>
              </w:rPr>
            </w:pPr>
            <w:r w:rsidRPr="00730DE4">
              <w:rPr>
                <w:lang w:val="en-US"/>
              </w:rPr>
              <w:t>48–49</w:t>
            </w:r>
          </w:p>
        </w:tc>
      </w:tr>
      <w:tr w:rsidR="00FA2FF9" w:rsidRPr="00730DE4" w14:paraId="287E573F" w14:textId="77777777" w:rsidTr="00B9757A">
        <w:trPr>
          <w:cnfStyle w:val="000000100000" w:firstRow="0" w:lastRow="0" w:firstColumn="0" w:lastColumn="0" w:oddVBand="0" w:evenVBand="0" w:oddHBand="1" w:evenHBand="0" w:firstRowFirstColumn="0" w:firstRowLastColumn="0" w:lastRowFirstColumn="0" w:lastRowLastColumn="0"/>
        </w:trPr>
        <w:tc>
          <w:tcPr>
            <w:tcW w:w="4395" w:type="pct"/>
          </w:tcPr>
          <w:p w14:paraId="64E8D25A" w14:textId="77777777" w:rsidR="00FA2FF9" w:rsidRPr="00730DE4" w:rsidRDefault="00FA2FF9" w:rsidP="00D00068">
            <w:pPr>
              <w:pStyle w:val="NoSpacing"/>
              <w:rPr>
                <w:lang w:val="en-US"/>
              </w:rPr>
            </w:pPr>
            <w:r w:rsidRPr="00730DE4">
              <w:rPr>
                <w:lang w:val="en-US"/>
              </w:rPr>
              <w:t>Table 21: Passenger Transport Services efficiency measure</w:t>
            </w:r>
          </w:p>
        </w:tc>
        <w:tc>
          <w:tcPr>
            <w:tcW w:w="605" w:type="pct"/>
          </w:tcPr>
          <w:p w14:paraId="52DAA1CF" w14:textId="3C19B3BB" w:rsidR="00FA2FF9" w:rsidRPr="00730DE4" w:rsidRDefault="0006576B" w:rsidP="00D00068">
            <w:pPr>
              <w:pStyle w:val="NoSpacing"/>
              <w:rPr>
                <w:lang w:val="en-US"/>
              </w:rPr>
            </w:pPr>
            <w:r w:rsidRPr="00730DE4">
              <w:rPr>
                <w:lang w:val="en-US"/>
              </w:rPr>
              <w:t>49</w:t>
            </w:r>
          </w:p>
        </w:tc>
      </w:tr>
      <w:tr w:rsidR="00FA2FF9" w:rsidRPr="00730DE4" w14:paraId="59B6CAD1" w14:textId="77777777" w:rsidTr="00B9757A">
        <w:tc>
          <w:tcPr>
            <w:tcW w:w="4395" w:type="pct"/>
          </w:tcPr>
          <w:p w14:paraId="11E5C596" w14:textId="77777777" w:rsidR="00FA2FF9" w:rsidRPr="00730DE4" w:rsidRDefault="00FA2FF9" w:rsidP="00D00068">
            <w:pPr>
              <w:pStyle w:val="NoSpacing"/>
              <w:rPr>
                <w:lang w:val="en-US"/>
              </w:rPr>
            </w:pPr>
            <w:r w:rsidRPr="00730DE4">
              <w:rPr>
                <w:lang w:val="en-US"/>
              </w:rPr>
              <w:t>Table 22: Customer and Digital Services effectiveness measures</w:t>
            </w:r>
          </w:p>
        </w:tc>
        <w:tc>
          <w:tcPr>
            <w:tcW w:w="605" w:type="pct"/>
          </w:tcPr>
          <w:p w14:paraId="36D9B9B9" w14:textId="3D784DE0" w:rsidR="00FA2FF9" w:rsidRPr="00730DE4" w:rsidRDefault="0006576B" w:rsidP="00D00068">
            <w:pPr>
              <w:pStyle w:val="NoSpacing"/>
              <w:rPr>
                <w:lang w:val="en-US"/>
              </w:rPr>
            </w:pPr>
            <w:r w:rsidRPr="00730DE4">
              <w:rPr>
                <w:lang w:val="en-US"/>
              </w:rPr>
              <w:t>50</w:t>
            </w:r>
          </w:p>
        </w:tc>
      </w:tr>
      <w:tr w:rsidR="00FA2FF9" w:rsidRPr="00730DE4" w14:paraId="4EF41B56" w14:textId="77777777" w:rsidTr="00B9757A">
        <w:trPr>
          <w:cnfStyle w:val="000000100000" w:firstRow="0" w:lastRow="0" w:firstColumn="0" w:lastColumn="0" w:oddVBand="0" w:evenVBand="0" w:oddHBand="1" w:evenHBand="0" w:firstRowFirstColumn="0" w:firstRowLastColumn="0" w:lastRowFirstColumn="0" w:lastRowLastColumn="0"/>
        </w:trPr>
        <w:tc>
          <w:tcPr>
            <w:tcW w:w="4395" w:type="pct"/>
          </w:tcPr>
          <w:p w14:paraId="548FA13F" w14:textId="77777777" w:rsidR="00FA2FF9" w:rsidRPr="00730DE4" w:rsidRDefault="00FA2FF9" w:rsidP="00D00068">
            <w:pPr>
              <w:pStyle w:val="NoSpacing"/>
              <w:rPr>
                <w:lang w:val="en-US"/>
              </w:rPr>
            </w:pPr>
            <w:r w:rsidRPr="00730DE4">
              <w:rPr>
                <w:lang w:val="en-US"/>
              </w:rPr>
              <w:t>Table 23: Customer and Digital Services efficiency measures</w:t>
            </w:r>
          </w:p>
        </w:tc>
        <w:tc>
          <w:tcPr>
            <w:tcW w:w="605" w:type="pct"/>
          </w:tcPr>
          <w:p w14:paraId="2529C841" w14:textId="62FF67BB" w:rsidR="00FA2FF9" w:rsidRPr="00730DE4" w:rsidRDefault="0006576B" w:rsidP="00D00068">
            <w:pPr>
              <w:pStyle w:val="NoSpacing"/>
              <w:rPr>
                <w:lang w:val="en-US"/>
              </w:rPr>
            </w:pPr>
            <w:r w:rsidRPr="00730DE4">
              <w:rPr>
                <w:lang w:val="en-US"/>
              </w:rPr>
              <w:t>51</w:t>
            </w:r>
          </w:p>
        </w:tc>
      </w:tr>
      <w:tr w:rsidR="00FA2FF9" w:rsidRPr="00730DE4" w14:paraId="39721722" w14:textId="77777777" w:rsidTr="00B9757A">
        <w:tc>
          <w:tcPr>
            <w:tcW w:w="4395" w:type="pct"/>
          </w:tcPr>
          <w:p w14:paraId="05C99527" w14:textId="77777777" w:rsidR="00FA2FF9" w:rsidRPr="00730DE4" w:rsidRDefault="00FA2FF9" w:rsidP="00D00068">
            <w:pPr>
              <w:pStyle w:val="NoSpacing"/>
              <w:rPr>
                <w:lang w:val="en-US"/>
              </w:rPr>
            </w:pPr>
            <w:r w:rsidRPr="00730DE4">
              <w:rPr>
                <w:lang w:val="en-US"/>
              </w:rPr>
              <w:t>Table 24: Transactional and advisory human resources services effectiveness measure</w:t>
            </w:r>
          </w:p>
        </w:tc>
        <w:tc>
          <w:tcPr>
            <w:tcW w:w="605" w:type="pct"/>
          </w:tcPr>
          <w:p w14:paraId="216BA3A8" w14:textId="3233C01B" w:rsidR="00FA2FF9" w:rsidRPr="00730DE4" w:rsidRDefault="0006576B" w:rsidP="00D00068">
            <w:pPr>
              <w:pStyle w:val="NoSpacing"/>
              <w:rPr>
                <w:lang w:val="en-US"/>
              </w:rPr>
            </w:pPr>
            <w:r w:rsidRPr="00730DE4">
              <w:rPr>
                <w:lang w:val="en-US"/>
              </w:rPr>
              <w:t>52</w:t>
            </w:r>
          </w:p>
        </w:tc>
      </w:tr>
      <w:tr w:rsidR="00FA2FF9" w:rsidRPr="00730DE4" w14:paraId="7F6DB01F" w14:textId="77777777" w:rsidTr="00B9757A">
        <w:trPr>
          <w:cnfStyle w:val="000000100000" w:firstRow="0" w:lastRow="0" w:firstColumn="0" w:lastColumn="0" w:oddVBand="0" w:evenVBand="0" w:oddHBand="1" w:evenHBand="0" w:firstRowFirstColumn="0" w:firstRowLastColumn="0" w:lastRowFirstColumn="0" w:lastRowLastColumn="0"/>
        </w:trPr>
        <w:tc>
          <w:tcPr>
            <w:tcW w:w="4395" w:type="pct"/>
          </w:tcPr>
          <w:p w14:paraId="68EE488B" w14:textId="77777777" w:rsidR="00FA2FF9" w:rsidRPr="00730DE4" w:rsidRDefault="00FA2FF9" w:rsidP="00D00068">
            <w:pPr>
              <w:pStyle w:val="NoSpacing"/>
              <w:rPr>
                <w:lang w:val="en-US"/>
              </w:rPr>
            </w:pPr>
            <w:r w:rsidRPr="00730DE4">
              <w:rPr>
                <w:lang w:val="en-US"/>
              </w:rPr>
              <w:t>Table 25: Transactional and advisory human resource services efficiency measure</w:t>
            </w:r>
          </w:p>
        </w:tc>
        <w:tc>
          <w:tcPr>
            <w:tcW w:w="605" w:type="pct"/>
          </w:tcPr>
          <w:p w14:paraId="1861EA7E" w14:textId="4D5314E5" w:rsidR="00FA2FF9" w:rsidRPr="00730DE4" w:rsidRDefault="0006576B" w:rsidP="00D00068">
            <w:pPr>
              <w:pStyle w:val="NoSpacing"/>
              <w:rPr>
                <w:lang w:val="en-US"/>
              </w:rPr>
            </w:pPr>
            <w:r w:rsidRPr="00730DE4">
              <w:rPr>
                <w:lang w:val="en-US"/>
              </w:rPr>
              <w:t>52</w:t>
            </w:r>
          </w:p>
        </w:tc>
      </w:tr>
      <w:tr w:rsidR="00FA2FF9" w:rsidRPr="00730DE4" w14:paraId="6238F2E8" w14:textId="77777777" w:rsidTr="00B9757A">
        <w:tc>
          <w:tcPr>
            <w:tcW w:w="4395" w:type="pct"/>
          </w:tcPr>
          <w:p w14:paraId="2E0A98FD" w14:textId="77777777" w:rsidR="00FA2FF9" w:rsidRPr="00730DE4" w:rsidRDefault="00FA2FF9" w:rsidP="00D00068">
            <w:pPr>
              <w:pStyle w:val="NoSpacing"/>
              <w:rPr>
                <w:lang w:val="en-US"/>
              </w:rPr>
            </w:pPr>
            <w:r w:rsidRPr="00730DE4">
              <w:rPr>
                <w:lang w:val="en-US"/>
              </w:rPr>
              <w:t>Table 26: Transactional and advisory finance services effectiveness measures</w:t>
            </w:r>
          </w:p>
        </w:tc>
        <w:tc>
          <w:tcPr>
            <w:tcW w:w="605" w:type="pct"/>
          </w:tcPr>
          <w:p w14:paraId="679BE1F9" w14:textId="762C3992" w:rsidR="00FA2FF9" w:rsidRPr="00730DE4" w:rsidRDefault="0006576B" w:rsidP="00D00068">
            <w:pPr>
              <w:pStyle w:val="NoSpacing"/>
              <w:rPr>
                <w:lang w:val="en-US"/>
              </w:rPr>
            </w:pPr>
            <w:r w:rsidRPr="00730DE4">
              <w:rPr>
                <w:lang w:val="en-US"/>
              </w:rPr>
              <w:t>52</w:t>
            </w:r>
          </w:p>
        </w:tc>
      </w:tr>
      <w:tr w:rsidR="00FA2FF9" w:rsidRPr="00730DE4" w14:paraId="68D5AF83" w14:textId="77777777" w:rsidTr="00B9757A">
        <w:trPr>
          <w:cnfStyle w:val="000000100000" w:firstRow="0" w:lastRow="0" w:firstColumn="0" w:lastColumn="0" w:oddVBand="0" w:evenVBand="0" w:oddHBand="1" w:evenHBand="0" w:firstRowFirstColumn="0" w:firstRowLastColumn="0" w:lastRowFirstColumn="0" w:lastRowLastColumn="0"/>
        </w:trPr>
        <w:tc>
          <w:tcPr>
            <w:tcW w:w="4395" w:type="pct"/>
          </w:tcPr>
          <w:p w14:paraId="3DCBAC3C" w14:textId="77777777" w:rsidR="00FA2FF9" w:rsidRPr="00730DE4" w:rsidRDefault="00FA2FF9" w:rsidP="00D00068">
            <w:pPr>
              <w:pStyle w:val="NoSpacing"/>
              <w:rPr>
                <w:lang w:val="en-US"/>
              </w:rPr>
            </w:pPr>
            <w:r w:rsidRPr="00730DE4">
              <w:rPr>
                <w:lang w:val="en-US"/>
              </w:rPr>
              <w:t>Table 27: Transactional and advisory finance services efficiency measures</w:t>
            </w:r>
          </w:p>
        </w:tc>
        <w:tc>
          <w:tcPr>
            <w:tcW w:w="605" w:type="pct"/>
          </w:tcPr>
          <w:p w14:paraId="499B6099" w14:textId="1A5755E0" w:rsidR="00FA2FF9" w:rsidRPr="00730DE4" w:rsidRDefault="0006576B" w:rsidP="00D00068">
            <w:pPr>
              <w:pStyle w:val="NoSpacing"/>
              <w:rPr>
                <w:lang w:val="en-US"/>
              </w:rPr>
            </w:pPr>
            <w:r w:rsidRPr="00730DE4">
              <w:rPr>
                <w:lang w:val="en-US"/>
              </w:rPr>
              <w:t>53</w:t>
            </w:r>
          </w:p>
        </w:tc>
      </w:tr>
      <w:tr w:rsidR="00FA2FF9" w:rsidRPr="00730DE4" w14:paraId="3F5BB69C" w14:textId="77777777" w:rsidTr="00B9757A">
        <w:tc>
          <w:tcPr>
            <w:tcW w:w="4395" w:type="pct"/>
          </w:tcPr>
          <w:p w14:paraId="68BB1DF0" w14:textId="77777777" w:rsidR="00FA2FF9" w:rsidRPr="00730DE4" w:rsidRDefault="00FA2FF9" w:rsidP="00D00068">
            <w:pPr>
              <w:pStyle w:val="NoSpacing"/>
              <w:rPr>
                <w:lang w:val="en-US"/>
              </w:rPr>
            </w:pPr>
            <w:r w:rsidRPr="00730DE4">
              <w:rPr>
                <w:lang w:val="en-US"/>
              </w:rPr>
              <w:t>Table 28: Corporate Administration Agency effectiveness measures</w:t>
            </w:r>
          </w:p>
        </w:tc>
        <w:tc>
          <w:tcPr>
            <w:tcW w:w="605" w:type="pct"/>
          </w:tcPr>
          <w:p w14:paraId="6D7868DC" w14:textId="4D18E8D6" w:rsidR="00FA2FF9" w:rsidRPr="00730DE4" w:rsidRDefault="00A22A0A" w:rsidP="00D00068">
            <w:pPr>
              <w:pStyle w:val="NoSpacing"/>
              <w:rPr>
                <w:lang w:val="en-US"/>
              </w:rPr>
            </w:pPr>
            <w:r w:rsidRPr="00730DE4">
              <w:rPr>
                <w:lang w:val="en-US"/>
              </w:rPr>
              <w:t>53–54</w:t>
            </w:r>
          </w:p>
        </w:tc>
      </w:tr>
      <w:tr w:rsidR="00FA2FF9" w:rsidRPr="00730DE4" w14:paraId="78953278" w14:textId="77777777" w:rsidTr="00B9757A">
        <w:trPr>
          <w:cnfStyle w:val="000000100000" w:firstRow="0" w:lastRow="0" w:firstColumn="0" w:lastColumn="0" w:oddVBand="0" w:evenVBand="0" w:oddHBand="1" w:evenHBand="0" w:firstRowFirstColumn="0" w:firstRowLastColumn="0" w:lastRowFirstColumn="0" w:lastRowLastColumn="0"/>
        </w:trPr>
        <w:tc>
          <w:tcPr>
            <w:tcW w:w="4395" w:type="pct"/>
          </w:tcPr>
          <w:p w14:paraId="3C794DB9" w14:textId="77777777" w:rsidR="00FA2FF9" w:rsidRPr="00730DE4" w:rsidRDefault="00FA2FF9" w:rsidP="00D00068">
            <w:pPr>
              <w:pStyle w:val="NoSpacing"/>
              <w:rPr>
                <w:lang w:val="en-US"/>
              </w:rPr>
            </w:pPr>
            <w:r w:rsidRPr="00730DE4">
              <w:rPr>
                <w:lang w:val="en-US"/>
              </w:rPr>
              <w:t>Table 29: Corporate Administration Agency efficiency measures</w:t>
            </w:r>
          </w:p>
        </w:tc>
        <w:tc>
          <w:tcPr>
            <w:tcW w:w="605" w:type="pct"/>
          </w:tcPr>
          <w:p w14:paraId="14A77DE3" w14:textId="2C93A59E" w:rsidR="00FA2FF9" w:rsidRPr="00730DE4" w:rsidRDefault="00A22A0A" w:rsidP="00D00068">
            <w:pPr>
              <w:pStyle w:val="NoSpacing"/>
              <w:rPr>
                <w:lang w:val="en-US"/>
              </w:rPr>
            </w:pPr>
            <w:r w:rsidRPr="00730DE4">
              <w:rPr>
                <w:lang w:val="en-US"/>
              </w:rPr>
              <w:t>54</w:t>
            </w:r>
          </w:p>
        </w:tc>
      </w:tr>
      <w:tr w:rsidR="00FA2FF9" w:rsidRPr="00730DE4" w14:paraId="293777C2" w14:textId="77777777" w:rsidTr="00B9757A">
        <w:tc>
          <w:tcPr>
            <w:tcW w:w="4395" w:type="pct"/>
          </w:tcPr>
          <w:p w14:paraId="0EBE30F7" w14:textId="77777777" w:rsidR="00FA2FF9" w:rsidRPr="00730DE4" w:rsidRDefault="00FA2FF9" w:rsidP="00D00068">
            <w:pPr>
              <w:pStyle w:val="NoSpacing"/>
              <w:rPr>
                <w:lang w:val="en-US"/>
              </w:rPr>
            </w:pPr>
            <w:r w:rsidRPr="00730DE4">
              <w:rPr>
                <w:lang w:val="en-US"/>
              </w:rPr>
              <w:t>Table 30: (RoadTek) Transport Infrastructure Construction and Maintenance effectiveness measure</w:t>
            </w:r>
          </w:p>
        </w:tc>
        <w:tc>
          <w:tcPr>
            <w:tcW w:w="605" w:type="pct"/>
          </w:tcPr>
          <w:p w14:paraId="31692183" w14:textId="7BE992F2" w:rsidR="00FA2FF9" w:rsidRPr="00730DE4" w:rsidRDefault="00A22A0A" w:rsidP="00D00068">
            <w:pPr>
              <w:pStyle w:val="NoSpacing"/>
              <w:rPr>
                <w:lang w:val="en-US"/>
              </w:rPr>
            </w:pPr>
            <w:r w:rsidRPr="00730DE4">
              <w:rPr>
                <w:lang w:val="en-US"/>
              </w:rPr>
              <w:t>55</w:t>
            </w:r>
          </w:p>
        </w:tc>
      </w:tr>
      <w:tr w:rsidR="00FA2FF9" w:rsidRPr="00730DE4" w14:paraId="4753B3EC" w14:textId="77777777" w:rsidTr="00B9757A">
        <w:trPr>
          <w:cnfStyle w:val="000000100000" w:firstRow="0" w:lastRow="0" w:firstColumn="0" w:lastColumn="0" w:oddVBand="0" w:evenVBand="0" w:oddHBand="1" w:evenHBand="0" w:firstRowFirstColumn="0" w:firstRowLastColumn="0" w:lastRowFirstColumn="0" w:lastRowLastColumn="0"/>
        </w:trPr>
        <w:tc>
          <w:tcPr>
            <w:tcW w:w="4395" w:type="pct"/>
          </w:tcPr>
          <w:p w14:paraId="4FFA06CC" w14:textId="77777777" w:rsidR="00FA2FF9" w:rsidRPr="00730DE4" w:rsidRDefault="00FA2FF9" w:rsidP="00D00068">
            <w:pPr>
              <w:pStyle w:val="NoSpacing"/>
              <w:rPr>
                <w:lang w:val="en-US"/>
              </w:rPr>
            </w:pPr>
            <w:r w:rsidRPr="00730DE4">
              <w:rPr>
                <w:lang w:val="en-US"/>
              </w:rPr>
              <w:t>Table 31: (RoadTek) Transport Infrastructure Construction and Maintenance efficiency measures</w:t>
            </w:r>
          </w:p>
        </w:tc>
        <w:tc>
          <w:tcPr>
            <w:tcW w:w="605" w:type="pct"/>
          </w:tcPr>
          <w:p w14:paraId="45E3983A" w14:textId="743152BF" w:rsidR="00FA2FF9" w:rsidRPr="00730DE4" w:rsidRDefault="00A22A0A" w:rsidP="00D00068">
            <w:pPr>
              <w:pStyle w:val="NoSpacing"/>
              <w:rPr>
                <w:lang w:val="en-US"/>
              </w:rPr>
            </w:pPr>
            <w:r w:rsidRPr="00730DE4">
              <w:rPr>
                <w:lang w:val="en-US"/>
              </w:rPr>
              <w:t>55</w:t>
            </w:r>
          </w:p>
        </w:tc>
      </w:tr>
      <w:tr w:rsidR="00FA2FF9" w:rsidRPr="00730DE4" w14:paraId="298269AD" w14:textId="77777777" w:rsidTr="00B9757A">
        <w:tc>
          <w:tcPr>
            <w:tcW w:w="4395" w:type="pct"/>
          </w:tcPr>
          <w:p w14:paraId="712A502E" w14:textId="77777777" w:rsidR="00FA2FF9" w:rsidRPr="00730DE4" w:rsidRDefault="00FA2FF9" w:rsidP="00D00068">
            <w:pPr>
              <w:pStyle w:val="NoSpacing"/>
              <w:rPr>
                <w:lang w:val="en-US"/>
              </w:rPr>
            </w:pPr>
            <w:r w:rsidRPr="00730DE4">
              <w:rPr>
                <w:lang w:val="en-US"/>
              </w:rPr>
              <w:t>Table 32: CITEC ICT effectiveness measures</w:t>
            </w:r>
          </w:p>
        </w:tc>
        <w:tc>
          <w:tcPr>
            <w:tcW w:w="605" w:type="pct"/>
          </w:tcPr>
          <w:p w14:paraId="7F52E0AE" w14:textId="7556E342" w:rsidR="00FA2FF9" w:rsidRPr="00730DE4" w:rsidRDefault="00A22A0A" w:rsidP="00D00068">
            <w:pPr>
              <w:pStyle w:val="NoSpacing"/>
              <w:rPr>
                <w:lang w:val="en-US"/>
              </w:rPr>
            </w:pPr>
            <w:r w:rsidRPr="00730DE4">
              <w:rPr>
                <w:lang w:val="en-US"/>
              </w:rPr>
              <w:t>56</w:t>
            </w:r>
          </w:p>
        </w:tc>
      </w:tr>
      <w:tr w:rsidR="00FA2FF9" w:rsidRPr="00730DE4" w14:paraId="69C7FC33" w14:textId="77777777" w:rsidTr="00B9757A">
        <w:trPr>
          <w:cnfStyle w:val="000000100000" w:firstRow="0" w:lastRow="0" w:firstColumn="0" w:lastColumn="0" w:oddVBand="0" w:evenVBand="0" w:oddHBand="1" w:evenHBand="0" w:firstRowFirstColumn="0" w:firstRowLastColumn="0" w:lastRowFirstColumn="0" w:lastRowLastColumn="0"/>
        </w:trPr>
        <w:tc>
          <w:tcPr>
            <w:tcW w:w="4395" w:type="pct"/>
          </w:tcPr>
          <w:p w14:paraId="0B1CCC12" w14:textId="77777777" w:rsidR="00FA2FF9" w:rsidRPr="00730DE4" w:rsidRDefault="00FA2FF9" w:rsidP="00D00068">
            <w:pPr>
              <w:pStyle w:val="NoSpacing"/>
              <w:rPr>
                <w:lang w:val="en-US"/>
              </w:rPr>
            </w:pPr>
            <w:r w:rsidRPr="00730DE4">
              <w:rPr>
                <w:lang w:val="en-US"/>
              </w:rPr>
              <w:t>Table 33: CITEC ICT efficiency measure</w:t>
            </w:r>
          </w:p>
        </w:tc>
        <w:tc>
          <w:tcPr>
            <w:tcW w:w="605" w:type="pct"/>
          </w:tcPr>
          <w:p w14:paraId="6ACD872F" w14:textId="79798325" w:rsidR="00FA2FF9" w:rsidRPr="00730DE4" w:rsidRDefault="00A22A0A" w:rsidP="00D00068">
            <w:pPr>
              <w:pStyle w:val="NoSpacing"/>
              <w:rPr>
                <w:lang w:val="en-US"/>
              </w:rPr>
            </w:pPr>
            <w:r w:rsidRPr="00730DE4">
              <w:rPr>
                <w:lang w:val="en-US"/>
              </w:rPr>
              <w:t>56</w:t>
            </w:r>
          </w:p>
        </w:tc>
      </w:tr>
      <w:tr w:rsidR="00FA2FF9" w:rsidRPr="00730DE4" w14:paraId="5B8B8650" w14:textId="77777777" w:rsidTr="00B9757A">
        <w:tc>
          <w:tcPr>
            <w:tcW w:w="4395" w:type="pct"/>
          </w:tcPr>
          <w:p w14:paraId="3823208C" w14:textId="77777777" w:rsidR="00FA2FF9" w:rsidRPr="00730DE4" w:rsidRDefault="00FA2FF9" w:rsidP="00D00068">
            <w:pPr>
              <w:pStyle w:val="NoSpacing"/>
              <w:rPr>
                <w:lang w:val="en-US"/>
              </w:rPr>
            </w:pPr>
            <w:r w:rsidRPr="00730DE4">
              <w:rPr>
                <w:lang w:val="en-US"/>
              </w:rPr>
              <w:t>Table 34: CITEC IB effectiveness measure</w:t>
            </w:r>
          </w:p>
        </w:tc>
        <w:tc>
          <w:tcPr>
            <w:tcW w:w="605" w:type="pct"/>
          </w:tcPr>
          <w:p w14:paraId="36A4638A" w14:textId="045B0900" w:rsidR="00FA2FF9" w:rsidRPr="00730DE4" w:rsidRDefault="00A22A0A" w:rsidP="00D00068">
            <w:pPr>
              <w:pStyle w:val="NoSpacing"/>
              <w:rPr>
                <w:lang w:val="en-US"/>
              </w:rPr>
            </w:pPr>
            <w:r w:rsidRPr="00730DE4">
              <w:rPr>
                <w:lang w:val="en-US"/>
              </w:rPr>
              <w:t>57</w:t>
            </w:r>
          </w:p>
        </w:tc>
      </w:tr>
      <w:tr w:rsidR="00FA2FF9" w:rsidRPr="00730DE4" w14:paraId="318AF256" w14:textId="77777777" w:rsidTr="00B9757A">
        <w:trPr>
          <w:cnfStyle w:val="000000100000" w:firstRow="0" w:lastRow="0" w:firstColumn="0" w:lastColumn="0" w:oddVBand="0" w:evenVBand="0" w:oddHBand="1" w:evenHBand="0" w:firstRowFirstColumn="0" w:firstRowLastColumn="0" w:lastRowFirstColumn="0" w:lastRowLastColumn="0"/>
        </w:trPr>
        <w:tc>
          <w:tcPr>
            <w:tcW w:w="4395" w:type="pct"/>
          </w:tcPr>
          <w:p w14:paraId="12AC9B75" w14:textId="77777777" w:rsidR="00FA2FF9" w:rsidRPr="00730DE4" w:rsidRDefault="00FA2FF9" w:rsidP="00D00068">
            <w:pPr>
              <w:pStyle w:val="NoSpacing"/>
              <w:rPr>
                <w:lang w:val="en-US"/>
              </w:rPr>
            </w:pPr>
            <w:r w:rsidRPr="00730DE4">
              <w:rPr>
                <w:lang w:val="en-US"/>
              </w:rPr>
              <w:t>Table 35: CITEC IB efficiency measure</w:t>
            </w:r>
          </w:p>
        </w:tc>
        <w:tc>
          <w:tcPr>
            <w:tcW w:w="605" w:type="pct"/>
          </w:tcPr>
          <w:p w14:paraId="02D49CAB" w14:textId="29A3CF89" w:rsidR="00FA2FF9" w:rsidRPr="00730DE4" w:rsidRDefault="00A22A0A" w:rsidP="00D00068">
            <w:pPr>
              <w:pStyle w:val="NoSpacing"/>
              <w:rPr>
                <w:lang w:val="en-US"/>
              </w:rPr>
            </w:pPr>
            <w:r w:rsidRPr="00730DE4">
              <w:rPr>
                <w:lang w:val="en-US"/>
              </w:rPr>
              <w:t>57</w:t>
            </w:r>
          </w:p>
        </w:tc>
      </w:tr>
      <w:tr w:rsidR="00FA2FF9" w:rsidRPr="00730DE4" w14:paraId="785DC5FE" w14:textId="77777777" w:rsidTr="00B9757A">
        <w:tc>
          <w:tcPr>
            <w:tcW w:w="4395" w:type="pct"/>
          </w:tcPr>
          <w:p w14:paraId="3A7F9926" w14:textId="77777777" w:rsidR="00FA2FF9" w:rsidRPr="00730DE4" w:rsidRDefault="00FA2FF9" w:rsidP="00D00068">
            <w:pPr>
              <w:pStyle w:val="NoSpacing"/>
              <w:rPr>
                <w:lang w:val="en-US"/>
              </w:rPr>
            </w:pPr>
            <w:r w:rsidRPr="00730DE4">
              <w:rPr>
                <w:lang w:val="en-US"/>
              </w:rPr>
              <w:t>Table 36: PPQ Digital Auctions Revenue for 2023–24</w:t>
            </w:r>
          </w:p>
        </w:tc>
        <w:tc>
          <w:tcPr>
            <w:tcW w:w="605" w:type="pct"/>
          </w:tcPr>
          <w:p w14:paraId="4C23115C" w14:textId="6CFC3C4F" w:rsidR="00FA2FF9" w:rsidRPr="00730DE4" w:rsidRDefault="00A22A0A" w:rsidP="00D00068">
            <w:pPr>
              <w:pStyle w:val="NoSpacing"/>
              <w:rPr>
                <w:lang w:val="en-US"/>
              </w:rPr>
            </w:pPr>
            <w:r w:rsidRPr="00730DE4">
              <w:rPr>
                <w:lang w:val="en-US"/>
              </w:rPr>
              <w:t>194</w:t>
            </w:r>
          </w:p>
        </w:tc>
      </w:tr>
      <w:tr w:rsidR="00FA2FF9" w:rsidRPr="00730DE4" w14:paraId="021B9901" w14:textId="77777777" w:rsidTr="00B9757A">
        <w:trPr>
          <w:cnfStyle w:val="000000100000" w:firstRow="0" w:lastRow="0" w:firstColumn="0" w:lastColumn="0" w:oddVBand="0" w:evenVBand="0" w:oddHBand="1" w:evenHBand="0" w:firstRowFirstColumn="0" w:firstRowLastColumn="0" w:lastRowFirstColumn="0" w:lastRowLastColumn="0"/>
        </w:trPr>
        <w:tc>
          <w:tcPr>
            <w:tcW w:w="4395" w:type="pct"/>
          </w:tcPr>
          <w:p w14:paraId="40819DBB" w14:textId="77777777" w:rsidR="00FA2FF9" w:rsidRPr="00730DE4" w:rsidRDefault="00FA2FF9" w:rsidP="00D00068">
            <w:pPr>
              <w:pStyle w:val="NoSpacing"/>
              <w:rPr>
                <w:lang w:val="en-US"/>
              </w:rPr>
            </w:pPr>
            <w:r w:rsidRPr="00730DE4">
              <w:rPr>
                <w:lang w:val="en-US"/>
              </w:rPr>
              <w:t>Table 37: Workforce statistics for TMR at 14 June 2024</w:t>
            </w:r>
          </w:p>
        </w:tc>
        <w:tc>
          <w:tcPr>
            <w:tcW w:w="605" w:type="pct"/>
          </w:tcPr>
          <w:p w14:paraId="478CDD89" w14:textId="5221B73A" w:rsidR="00FA2FF9" w:rsidRPr="00730DE4" w:rsidRDefault="00A22A0A" w:rsidP="00D00068">
            <w:pPr>
              <w:pStyle w:val="NoSpacing"/>
              <w:rPr>
                <w:lang w:val="en-US"/>
              </w:rPr>
            </w:pPr>
            <w:r w:rsidRPr="00730DE4">
              <w:rPr>
                <w:lang w:val="en-US"/>
              </w:rPr>
              <w:t>228–229</w:t>
            </w:r>
          </w:p>
        </w:tc>
      </w:tr>
      <w:tr w:rsidR="00FA2FF9" w:rsidRPr="00730DE4" w14:paraId="6587E813" w14:textId="77777777" w:rsidTr="00B9757A">
        <w:tc>
          <w:tcPr>
            <w:tcW w:w="4395" w:type="pct"/>
          </w:tcPr>
          <w:p w14:paraId="77C972BB" w14:textId="77777777" w:rsidR="00FA2FF9" w:rsidRPr="00730DE4" w:rsidRDefault="00FA2FF9" w:rsidP="00D00068">
            <w:pPr>
              <w:pStyle w:val="NoSpacing"/>
              <w:rPr>
                <w:lang w:val="en-US"/>
              </w:rPr>
            </w:pPr>
            <w:r w:rsidRPr="00730DE4">
              <w:rPr>
                <w:lang w:val="en-US"/>
              </w:rPr>
              <w:t>Table 38: Target group data equal employment opportunities (EEO) at 14 June 2024: EEO Groups</w:t>
            </w:r>
          </w:p>
        </w:tc>
        <w:tc>
          <w:tcPr>
            <w:tcW w:w="605" w:type="pct"/>
          </w:tcPr>
          <w:p w14:paraId="0643790F" w14:textId="5A94EC05" w:rsidR="00FA2FF9" w:rsidRPr="00730DE4" w:rsidRDefault="00A22A0A" w:rsidP="00D00068">
            <w:pPr>
              <w:pStyle w:val="NoSpacing"/>
              <w:rPr>
                <w:lang w:val="en-US"/>
              </w:rPr>
            </w:pPr>
            <w:r w:rsidRPr="00730DE4">
              <w:rPr>
                <w:lang w:val="en-US"/>
              </w:rPr>
              <w:t>230–232</w:t>
            </w:r>
          </w:p>
        </w:tc>
      </w:tr>
      <w:tr w:rsidR="00FA2FF9" w:rsidRPr="00730DE4" w14:paraId="49F58BA2" w14:textId="77777777" w:rsidTr="00B9757A">
        <w:trPr>
          <w:cnfStyle w:val="000000100000" w:firstRow="0" w:lastRow="0" w:firstColumn="0" w:lastColumn="0" w:oddVBand="0" w:evenVBand="0" w:oddHBand="1" w:evenHBand="0" w:firstRowFirstColumn="0" w:firstRowLastColumn="0" w:lastRowFirstColumn="0" w:lastRowLastColumn="0"/>
        </w:trPr>
        <w:tc>
          <w:tcPr>
            <w:tcW w:w="4395" w:type="pct"/>
          </w:tcPr>
          <w:p w14:paraId="29DF0083" w14:textId="77777777" w:rsidR="00FA2FF9" w:rsidRPr="00730DE4" w:rsidRDefault="00FA2FF9" w:rsidP="00D00068">
            <w:pPr>
              <w:pStyle w:val="NoSpacing"/>
              <w:rPr>
                <w:lang w:val="en-US"/>
              </w:rPr>
            </w:pPr>
            <w:r w:rsidRPr="00730DE4">
              <w:rPr>
                <w:lang w:val="en-US"/>
              </w:rPr>
              <w:t>Table 39: Target group data equal employment opportunities (EEO) at 14 June 2024: Gender</w:t>
            </w:r>
          </w:p>
        </w:tc>
        <w:tc>
          <w:tcPr>
            <w:tcW w:w="605" w:type="pct"/>
          </w:tcPr>
          <w:p w14:paraId="6B2372BC" w14:textId="62C69947" w:rsidR="00FA2FF9" w:rsidRPr="00730DE4" w:rsidRDefault="00A22A0A" w:rsidP="00D00068">
            <w:pPr>
              <w:pStyle w:val="NoSpacing"/>
              <w:rPr>
                <w:lang w:val="en-US"/>
              </w:rPr>
            </w:pPr>
            <w:r w:rsidRPr="00730DE4">
              <w:rPr>
                <w:lang w:val="en-US"/>
              </w:rPr>
              <w:t>233</w:t>
            </w:r>
          </w:p>
        </w:tc>
      </w:tr>
      <w:tr w:rsidR="00FA2FF9" w:rsidRPr="00730DE4" w14:paraId="2F6092A2" w14:textId="77777777" w:rsidTr="00B9757A">
        <w:tc>
          <w:tcPr>
            <w:tcW w:w="4395" w:type="pct"/>
          </w:tcPr>
          <w:p w14:paraId="6BFAB112" w14:textId="77777777" w:rsidR="00FA2FF9" w:rsidRPr="00730DE4" w:rsidRDefault="00FA2FF9" w:rsidP="00D00068">
            <w:pPr>
              <w:pStyle w:val="NoSpacing"/>
              <w:rPr>
                <w:lang w:val="en-US"/>
              </w:rPr>
            </w:pPr>
            <w:r w:rsidRPr="00730DE4">
              <w:rPr>
                <w:lang w:val="en-US"/>
              </w:rPr>
              <w:t>Table 40: Comparative workforce data as at 14 June 2023</w:t>
            </w:r>
          </w:p>
        </w:tc>
        <w:tc>
          <w:tcPr>
            <w:tcW w:w="605" w:type="pct"/>
          </w:tcPr>
          <w:p w14:paraId="0B67FCF9" w14:textId="65762FDC" w:rsidR="00FA2FF9" w:rsidRPr="00730DE4" w:rsidRDefault="00A22A0A" w:rsidP="00D00068">
            <w:pPr>
              <w:pStyle w:val="NoSpacing"/>
              <w:rPr>
                <w:lang w:val="en-US"/>
              </w:rPr>
            </w:pPr>
            <w:r w:rsidRPr="00730DE4">
              <w:rPr>
                <w:lang w:val="en-US"/>
              </w:rPr>
              <w:t>233–236</w:t>
            </w:r>
          </w:p>
        </w:tc>
      </w:tr>
      <w:tr w:rsidR="00FA2FF9" w:rsidRPr="00730DE4" w14:paraId="003B0A92" w14:textId="77777777" w:rsidTr="00B9757A">
        <w:trPr>
          <w:cnfStyle w:val="000000100000" w:firstRow="0" w:lastRow="0" w:firstColumn="0" w:lastColumn="0" w:oddVBand="0" w:evenVBand="0" w:oddHBand="1" w:evenHBand="0" w:firstRowFirstColumn="0" w:firstRowLastColumn="0" w:lastRowFirstColumn="0" w:lastRowLastColumn="0"/>
        </w:trPr>
        <w:tc>
          <w:tcPr>
            <w:tcW w:w="4395" w:type="pct"/>
          </w:tcPr>
          <w:p w14:paraId="26E610D8" w14:textId="77777777" w:rsidR="00FA2FF9" w:rsidRPr="00730DE4" w:rsidRDefault="00FA2FF9" w:rsidP="00D00068">
            <w:pPr>
              <w:pStyle w:val="NoSpacing"/>
              <w:rPr>
                <w:lang w:val="en-US"/>
              </w:rPr>
            </w:pPr>
            <w:r w:rsidRPr="00730DE4">
              <w:rPr>
                <w:lang w:val="en-US"/>
              </w:rPr>
              <w:t>Table 41: Comparison of workers’ compensation claims lodged over a five-year period</w:t>
            </w:r>
          </w:p>
        </w:tc>
        <w:tc>
          <w:tcPr>
            <w:tcW w:w="605" w:type="pct"/>
          </w:tcPr>
          <w:p w14:paraId="6320E697" w14:textId="3CCF0E40" w:rsidR="00FA2FF9" w:rsidRPr="00730DE4" w:rsidRDefault="00A22A0A" w:rsidP="00D00068">
            <w:pPr>
              <w:pStyle w:val="NoSpacing"/>
              <w:rPr>
                <w:lang w:val="en-US"/>
              </w:rPr>
            </w:pPr>
            <w:r w:rsidRPr="00730DE4">
              <w:rPr>
                <w:lang w:val="en-US"/>
              </w:rPr>
              <w:t>259</w:t>
            </w:r>
          </w:p>
        </w:tc>
      </w:tr>
      <w:tr w:rsidR="00FA2FF9" w:rsidRPr="00730DE4" w14:paraId="4B495A88" w14:textId="77777777" w:rsidTr="00B9757A">
        <w:tc>
          <w:tcPr>
            <w:tcW w:w="4395" w:type="pct"/>
          </w:tcPr>
          <w:p w14:paraId="7411431A" w14:textId="77777777" w:rsidR="00FA2FF9" w:rsidRPr="00730DE4" w:rsidRDefault="00FA2FF9" w:rsidP="00D00068">
            <w:pPr>
              <w:pStyle w:val="NoSpacing"/>
              <w:rPr>
                <w:lang w:val="en-US"/>
              </w:rPr>
            </w:pPr>
            <w:r w:rsidRPr="00730DE4">
              <w:rPr>
                <w:lang w:val="en-US"/>
              </w:rPr>
              <w:t>Table 42: Comparison of final return to work percentages</w:t>
            </w:r>
          </w:p>
        </w:tc>
        <w:tc>
          <w:tcPr>
            <w:tcW w:w="605" w:type="pct"/>
          </w:tcPr>
          <w:p w14:paraId="554821E6" w14:textId="13E132B5" w:rsidR="00FA2FF9" w:rsidRPr="00730DE4" w:rsidRDefault="00A22A0A" w:rsidP="00D00068">
            <w:pPr>
              <w:pStyle w:val="NoSpacing"/>
              <w:rPr>
                <w:lang w:val="en-US"/>
              </w:rPr>
            </w:pPr>
            <w:r w:rsidRPr="00730DE4">
              <w:rPr>
                <w:lang w:val="en-US"/>
              </w:rPr>
              <w:t>259</w:t>
            </w:r>
          </w:p>
        </w:tc>
      </w:tr>
      <w:tr w:rsidR="00FA2FF9" w:rsidRPr="00730DE4" w14:paraId="03646C6D" w14:textId="77777777" w:rsidTr="00B9757A">
        <w:trPr>
          <w:cnfStyle w:val="000000100000" w:firstRow="0" w:lastRow="0" w:firstColumn="0" w:lastColumn="0" w:oddVBand="0" w:evenVBand="0" w:oddHBand="1" w:evenHBand="0" w:firstRowFirstColumn="0" w:firstRowLastColumn="0" w:lastRowFirstColumn="0" w:lastRowLastColumn="0"/>
        </w:trPr>
        <w:tc>
          <w:tcPr>
            <w:tcW w:w="4395" w:type="pct"/>
          </w:tcPr>
          <w:p w14:paraId="5822F569" w14:textId="77777777" w:rsidR="00FA2FF9" w:rsidRPr="00730DE4" w:rsidRDefault="00FA2FF9" w:rsidP="00D00068">
            <w:pPr>
              <w:pStyle w:val="NoSpacing"/>
              <w:rPr>
                <w:lang w:val="en-US"/>
              </w:rPr>
            </w:pPr>
            <w:r w:rsidRPr="00730DE4">
              <w:rPr>
                <w:lang w:val="en-US"/>
              </w:rPr>
              <w:t>Table 43: Winners and Highly Commended for the 2023 CUBIE Awards</w:t>
            </w:r>
          </w:p>
        </w:tc>
        <w:tc>
          <w:tcPr>
            <w:tcW w:w="605" w:type="pct"/>
          </w:tcPr>
          <w:p w14:paraId="502DAD76" w14:textId="153E02EB" w:rsidR="00FA2FF9" w:rsidRPr="00730DE4" w:rsidRDefault="00A22A0A" w:rsidP="00D00068">
            <w:pPr>
              <w:pStyle w:val="NoSpacing"/>
              <w:rPr>
                <w:lang w:val="en-US"/>
              </w:rPr>
            </w:pPr>
            <w:r w:rsidRPr="00730DE4">
              <w:rPr>
                <w:lang w:val="en-US"/>
              </w:rPr>
              <w:t>256–257</w:t>
            </w:r>
          </w:p>
        </w:tc>
      </w:tr>
      <w:tr w:rsidR="00FA2FF9" w:rsidRPr="00730DE4" w14:paraId="2F485922" w14:textId="77777777" w:rsidTr="00B9757A">
        <w:tc>
          <w:tcPr>
            <w:tcW w:w="4395" w:type="pct"/>
          </w:tcPr>
          <w:p w14:paraId="3EA03BEF" w14:textId="77777777" w:rsidR="00FA2FF9" w:rsidRPr="00730DE4" w:rsidRDefault="00FA2FF9" w:rsidP="00D00068">
            <w:pPr>
              <w:pStyle w:val="NoSpacing"/>
              <w:rPr>
                <w:lang w:val="en-US"/>
              </w:rPr>
            </w:pPr>
            <w:r w:rsidRPr="00730DE4">
              <w:rPr>
                <w:lang w:val="en-US"/>
              </w:rPr>
              <w:t>Table 44: Complaints received</w:t>
            </w:r>
          </w:p>
        </w:tc>
        <w:tc>
          <w:tcPr>
            <w:tcW w:w="605" w:type="pct"/>
          </w:tcPr>
          <w:p w14:paraId="24280B5B" w14:textId="4E167FA5" w:rsidR="00FA2FF9" w:rsidRPr="00730DE4" w:rsidRDefault="00A22A0A" w:rsidP="00D00068">
            <w:pPr>
              <w:pStyle w:val="NoSpacing"/>
              <w:rPr>
                <w:lang w:val="en-US"/>
              </w:rPr>
            </w:pPr>
            <w:r w:rsidRPr="00730DE4">
              <w:rPr>
                <w:lang w:val="en-US"/>
              </w:rPr>
              <w:t>283–284</w:t>
            </w:r>
          </w:p>
        </w:tc>
      </w:tr>
      <w:tr w:rsidR="00FA2FF9" w:rsidRPr="00730DE4" w14:paraId="4FA3F902" w14:textId="77777777" w:rsidTr="00B9757A">
        <w:trPr>
          <w:cnfStyle w:val="000000100000" w:firstRow="0" w:lastRow="0" w:firstColumn="0" w:lastColumn="0" w:oddVBand="0" w:evenVBand="0" w:oddHBand="1" w:evenHBand="0" w:firstRowFirstColumn="0" w:firstRowLastColumn="0" w:lastRowFirstColumn="0" w:lastRowLastColumn="0"/>
        </w:trPr>
        <w:tc>
          <w:tcPr>
            <w:tcW w:w="4395" w:type="pct"/>
          </w:tcPr>
          <w:p w14:paraId="0590343D" w14:textId="77777777" w:rsidR="00FA2FF9" w:rsidRPr="00730DE4" w:rsidRDefault="00FA2FF9" w:rsidP="00D00068">
            <w:pPr>
              <w:pStyle w:val="NoSpacing"/>
              <w:rPr>
                <w:lang w:val="en-US"/>
              </w:rPr>
            </w:pPr>
            <w:r w:rsidRPr="00730DE4">
              <w:rPr>
                <w:lang w:val="en-US"/>
              </w:rPr>
              <w:t>Table 45: TMR addressable procurement spend with First Nations, regional, and Queensland vendors by financial year</w:t>
            </w:r>
          </w:p>
        </w:tc>
        <w:tc>
          <w:tcPr>
            <w:tcW w:w="605" w:type="pct"/>
          </w:tcPr>
          <w:p w14:paraId="0830B532" w14:textId="46F3C65B" w:rsidR="00FA2FF9" w:rsidRPr="00730DE4" w:rsidRDefault="00A22A0A" w:rsidP="00D00068">
            <w:pPr>
              <w:pStyle w:val="NoSpacing"/>
              <w:rPr>
                <w:lang w:val="en-US"/>
              </w:rPr>
            </w:pPr>
            <w:r w:rsidRPr="00730DE4">
              <w:rPr>
                <w:lang w:val="en-US"/>
              </w:rPr>
              <w:t>285–286</w:t>
            </w:r>
          </w:p>
        </w:tc>
      </w:tr>
      <w:tr w:rsidR="00FA2FF9" w:rsidRPr="00730DE4" w14:paraId="3F73BA0A" w14:textId="77777777" w:rsidTr="00B9757A">
        <w:tc>
          <w:tcPr>
            <w:tcW w:w="4395" w:type="pct"/>
          </w:tcPr>
          <w:p w14:paraId="6094A441" w14:textId="77777777" w:rsidR="00FA2FF9" w:rsidRPr="00730DE4" w:rsidRDefault="00FA2FF9" w:rsidP="00D00068">
            <w:pPr>
              <w:pStyle w:val="NoSpacing"/>
              <w:rPr>
                <w:lang w:val="en-US"/>
              </w:rPr>
            </w:pPr>
            <w:r w:rsidRPr="00730DE4">
              <w:rPr>
                <w:lang w:val="en-US"/>
              </w:rPr>
              <w:t>Table 46: CDOP Financial overview for 2023–24</w:t>
            </w:r>
          </w:p>
        </w:tc>
        <w:tc>
          <w:tcPr>
            <w:tcW w:w="605" w:type="pct"/>
          </w:tcPr>
          <w:p w14:paraId="416E4C59" w14:textId="5D4437CA" w:rsidR="00FA2FF9" w:rsidRPr="00730DE4" w:rsidRDefault="009A6AF9" w:rsidP="00D00068">
            <w:pPr>
              <w:pStyle w:val="NoSpacing"/>
              <w:rPr>
                <w:lang w:val="en-US"/>
              </w:rPr>
            </w:pPr>
            <w:r>
              <w:rPr>
                <w:lang w:val="en-US"/>
              </w:rPr>
              <w:t>381</w:t>
            </w:r>
          </w:p>
        </w:tc>
      </w:tr>
      <w:tr w:rsidR="00FA2FF9" w:rsidRPr="00730DE4" w14:paraId="4512C764" w14:textId="77777777" w:rsidTr="00B9757A">
        <w:trPr>
          <w:cnfStyle w:val="000000100000" w:firstRow="0" w:lastRow="0" w:firstColumn="0" w:lastColumn="0" w:oddVBand="0" w:evenVBand="0" w:oddHBand="1" w:evenHBand="0" w:firstRowFirstColumn="0" w:firstRowLastColumn="0" w:lastRowFirstColumn="0" w:lastRowLastColumn="0"/>
        </w:trPr>
        <w:tc>
          <w:tcPr>
            <w:tcW w:w="4395" w:type="pct"/>
          </w:tcPr>
          <w:p w14:paraId="55B4E4F4" w14:textId="77777777" w:rsidR="00FA2FF9" w:rsidRPr="00730DE4" w:rsidRDefault="00FA2FF9" w:rsidP="00D00068">
            <w:pPr>
              <w:pStyle w:val="NoSpacing"/>
              <w:rPr>
                <w:lang w:val="en-US"/>
              </w:rPr>
            </w:pPr>
            <w:r w:rsidRPr="00730DE4">
              <w:rPr>
                <w:lang w:val="en-US"/>
              </w:rPr>
              <w:t>Table 47: CDOP financial overview for 2023–24—Administrative/operational costs</w:t>
            </w:r>
          </w:p>
        </w:tc>
        <w:tc>
          <w:tcPr>
            <w:tcW w:w="605" w:type="pct"/>
          </w:tcPr>
          <w:p w14:paraId="17C03DE2" w14:textId="2217949B" w:rsidR="00FA2FF9" w:rsidRPr="00730DE4" w:rsidRDefault="005429A8" w:rsidP="00D00068">
            <w:pPr>
              <w:pStyle w:val="NoSpacing"/>
              <w:rPr>
                <w:lang w:val="en-US"/>
              </w:rPr>
            </w:pPr>
            <w:r>
              <w:rPr>
                <w:lang w:val="en-US"/>
              </w:rPr>
              <w:t>382</w:t>
            </w:r>
          </w:p>
        </w:tc>
      </w:tr>
      <w:tr w:rsidR="00FA2FF9" w:rsidRPr="00730DE4" w14:paraId="3D44132A" w14:textId="77777777" w:rsidTr="00B9757A">
        <w:tc>
          <w:tcPr>
            <w:tcW w:w="4395" w:type="pct"/>
          </w:tcPr>
          <w:p w14:paraId="7C781B52" w14:textId="77777777" w:rsidR="00FA2FF9" w:rsidRPr="00730DE4" w:rsidRDefault="00FA2FF9" w:rsidP="00D00068">
            <w:pPr>
              <w:pStyle w:val="NoSpacing"/>
              <w:rPr>
                <w:lang w:val="en-US"/>
              </w:rPr>
            </w:pPr>
            <w:r w:rsidRPr="00730DE4">
              <w:rPr>
                <w:lang w:val="en-US"/>
              </w:rPr>
              <w:t>Table 48: CDOP financial overview 2023–24—Road safety education and awareness and enabling practices</w:t>
            </w:r>
          </w:p>
        </w:tc>
        <w:tc>
          <w:tcPr>
            <w:tcW w:w="605" w:type="pct"/>
          </w:tcPr>
          <w:p w14:paraId="26BD0A62" w14:textId="5367CFE1" w:rsidR="00FA2FF9" w:rsidRPr="00730DE4" w:rsidRDefault="003D5B4B" w:rsidP="00D00068">
            <w:pPr>
              <w:pStyle w:val="NoSpacing"/>
              <w:rPr>
                <w:lang w:val="en-US"/>
              </w:rPr>
            </w:pPr>
            <w:r>
              <w:rPr>
                <w:lang w:val="en-US"/>
              </w:rPr>
              <w:t>383</w:t>
            </w:r>
          </w:p>
        </w:tc>
      </w:tr>
      <w:tr w:rsidR="00FA2FF9" w:rsidRPr="00730DE4" w14:paraId="37FFDB30" w14:textId="77777777" w:rsidTr="00B9757A">
        <w:trPr>
          <w:cnfStyle w:val="000000100000" w:firstRow="0" w:lastRow="0" w:firstColumn="0" w:lastColumn="0" w:oddVBand="0" w:evenVBand="0" w:oddHBand="1" w:evenHBand="0" w:firstRowFirstColumn="0" w:firstRowLastColumn="0" w:lastRowFirstColumn="0" w:lastRowLastColumn="0"/>
        </w:trPr>
        <w:tc>
          <w:tcPr>
            <w:tcW w:w="4395" w:type="pct"/>
          </w:tcPr>
          <w:p w14:paraId="77A0099F" w14:textId="77777777" w:rsidR="00FA2FF9" w:rsidRPr="00730DE4" w:rsidRDefault="00FA2FF9" w:rsidP="00D00068">
            <w:pPr>
              <w:pStyle w:val="NoSpacing"/>
              <w:rPr>
                <w:lang w:val="en-US"/>
              </w:rPr>
            </w:pPr>
            <w:r w:rsidRPr="00730DE4">
              <w:rPr>
                <w:lang w:val="en-US"/>
              </w:rPr>
              <w:t>Table 49: CDOP financial overview for 2023–24—Road accident injury rehabilitation programs</w:t>
            </w:r>
          </w:p>
        </w:tc>
        <w:tc>
          <w:tcPr>
            <w:tcW w:w="605" w:type="pct"/>
          </w:tcPr>
          <w:p w14:paraId="519E1105" w14:textId="35D2EA1F" w:rsidR="00FA2FF9" w:rsidRPr="00730DE4" w:rsidRDefault="007A5D5A" w:rsidP="00D00068">
            <w:pPr>
              <w:pStyle w:val="NoSpacing"/>
              <w:rPr>
                <w:lang w:val="en-US"/>
              </w:rPr>
            </w:pPr>
            <w:r>
              <w:rPr>
                <w:lang w:val="en-US"/>
              </w:rPr>
              <w:t>383</w:t>
            </w:r>
          </w:p>
        </w:tc>
      </w:tr>
      <w:tr w:rsidR="00FA2FF9" w:rsidRPr="00730DE4" w14:paraId="65853483" w14:textId="77777777" w:rsidTr="00B9757A">
        <w:tc>
          <w:tcPr>
            <w:tcW w:w="4395" w:type="pct"/>
          </w:tcPr>
          <w:p w14:paraId="6D888944" w14:textId="77777777" w:rsidR="00FA2FF9" w:rsidRPr="00730DE4" w:rsidRDefault="00FA2FF9" w:rsidP="00D00068">
            <w:pPr>
              <w:pStyle w:val="NoSpacing"/>
              <w:rPr>
                <w:lang w:val="en-US"/>
              </w:rPr>
            </w:pPr>
            <w:r w:rsidRPr="00730DE4">
              <w:rPr>
                <w:lang w:val="en-US"/>
              </w:rPr>
              <w:t>Table 50: CDOP financial overview for 2023–24—Improvements to the safety of state-controlled roads</w:t>
            </w:r>
          </w:p>
        </w:tc>
        <w:tc>
          <w:tcPr>
            <w:tcW w:w="605" w:type="pct"/>
          </w:tcPr>
          <w:p w14:paraId="2A06E4D3" w14:textId="35E3B7C9" w:rsidR="00FA2FF9" w:rsidRPr="00730DE4" w:rsidRDefault="00BE1D54" w:rsidP="00D00068">
            <w:pPr>
              <w:pStyle w:val="NoSpacing"/>
              <w:rPr>
                <w:lang w:val="en-US"/>
              </w:rPr>
            </w:pPr>
            <w:r>
              <w:rPr>
                <w:lang w:val="en-US"/>
              </w:rPr>
              <w:t>383</w:t>
            </w:r>
          </w:p>
        </w:tc>
      </w:tr>
      <w:tr w:rsidR="00FA2FF9" w:rsidRPr="00730DE4" w14:paraId="49FFE92D" w14:textId="77777777" w:rsidTr="00B9757A">
        <w:trPr>
          <w:cnfStyle w:val="000000100000" w:firstRow="0" w:lastRow="0" w:firstColumn="0" w:lastColumn="0" w:oddVBand="0" w:evenVBand="0" w:oddHBand="1" w:evenHBand="0" w:firstRowFirstColumn="0" w:firstRowLastColumn="0" w:lastRowFirstColumn="0" w:lastRowLastColumn="0"/>
        </w:trPr>
        <w:tc>
          <w:tcPr>
            <w:tcW w:w="4395" w:type="pct"/>
          </w:tcPr>
          <w:p w14:paraId="423C78D4" w14:textId="77777777" w:rsidR="00FA2FF9" w:rsidRPr="00730DE4" w:rsidRDefault="00FA2FF9" w:rsidP="00D00068">
            <w:pPr>
              <w:pStyle w:val="NoSpacing"/>
              <w:rPr>
                <w:lang w:val="en-US"/>
              </w:rPr>
            </w:pPr>
            <w:r w:rsidRPr="00730DE4">
              <w:rPr>
                <w:lang w:val="en-US"/>
              </w:rPr>
              <w:t>Table 51: CDOP financial overview for 2023–24—Totals</w:t>
            </w:r>
          </w:p>
        </w:tc>
        <w:tc>
          <w:tcPr>
            <w:tcW w:w="605" w:type="pct"/>
          </w:tcPr>
          <w:p w14:paraId="24F444CB" w14:textId="26B58327" w:rsidR="00FA2FF9" w:rsidRPr="00730DE4" w:rsidRDefault="00CF1B90" w:rsidP="00D00068">
            <w:pPr>
              <w:pStyle w:val="NoSpacing"/>
              <w:rPr>
                <w:lang w:val="en-US"/>
              </w:rPr>
            </w:pPr>
            <w:r>
              <w:rPr>
                <w:lang w:val="en-US"/>
              </w:rPr>
              <w:t>384</w:t>
            </w:r>
          </w:p>
        </w:tc>
      </w:tr>
      <w:tr w:rsidR="00FA2FF9" w:rsidRPr="00730DE4" w14:paraId="2F83AF46" w14:textId="77777777" w:rsidTr="00B9757A">
        <w:tc>
          <w:tcPr>
            <w:tcW w:w="4395" w:type="pct"/>
          </w:tcPr>
          <w:p w14:paraId="79A13D7C" w14:textId="77777777" w:rsidR="00FA2FF9" w:rsidRPr="00730DE4" w:rsidRDefault="00FA2FF9" w:rsidP="00D00068">
            <w:pPr>
              <w:pStyle w:val="NoSpacing"/>
              <w:rPr>
                <w:lang w:val="en-US"/>
              </w:rPr>
            </w:pPr>
            <w:r w:rsidRPr="00730DE4">
              <w:rPr>
                <w:lang w:val="en-US"/>
              </w:rPr>
              <w:t>Table 52: Number of mobile speed camera infringements per penalty bracket for 2023</w:t>
            </w:r>
          </w:p>
        </w:tc>
        <w:tc>
          <w:tcPr>
            <w:tcW w:w="605" w:type="pct"/>
          </w:tcPr>
          <w:p w14:paraId="39C0AB98" w14:textId="5D0400A3" w:rsidR="00FA2FF9" w:rsidRPr="00730DE4" w:rsidRDefault="00A10E29" w:rsidP="00D00068">
            <w:pPr>
              <w:pStyle w:val="NoSpacing"/>
              <w:rPr>
                <w:lang w:val="en-US"/>
              </w:rPr>
            </w:pPr>
            <w:r>
              <w:rPr>
                <w:lang w:val="en-US"/>
              </w:rPr>
              <w:t>385</w:t>
            </w:r>
          </w:p>
        </w:tc>
      </w:tr>
      <w:tr w:rsidR="00FA2FF9" w:rsidRPr="00730DE4" w14:paraId="4F628679" w14:textId="77777777" w:rsidTr="00B9757A">
        <w:trPr>
          <w:cnfStyle w:val="000000100000" w:firstRow="0" w:lastRow="0" w:firstColumn="0" w:lastColumn="0" w:oddVBand="0" w:evenVBand="0" w:oddHBand="1" w:evenHBand="0" w:firstRowFirstColumn="0" w:firstRowLastColumn="0" w:lastRowFirstColumn="0" w:lastRowLastColumn="0"/>
        </w:trPr>
        <w:tc>
          <w:tcPr>
            <w:tcW w:w="4395" w:type="pct"/>
          </w:tcPr>
          <w:p w14:paraId="69E7EE16" w14:textId="77777777" w:rsidR="00FA2FF9" w:rsidRPr="00730DE4" w:rsidRDefault="00FA2FF9" w:rsidP="00D00068">
            <w:pPr>
              <w:pStyle w:val="NoSpacing"/>
              <w:rPr>
                <w:lang w:val="en-US"/>
              </w:rPr>
            </w:pPr>
            <w:r w:rsidRPr="00730DE4">
              <w:rPr>
                <w:lang w:val="en-US"/>
              </w:rPr>
              <w:t>Table 53: Number of fixed speed camera infringements per penalty bracket for 2023</w:t>
            </w:r>
          </w:p>
        </w:tc>
        <w:tc>
          <w:tcPr>
            <w:tcW w:w="605" w:type="pct"/>
          </w:tcPr>
          <w:p w14:paraId="01A5C426" w14:textId="61535968" w:rsidR="00FA2FF9" w:rsidRPr="00730DE4" w:rsidRDefault="006169D1" w:rsidP="00D00068">
            <w:pPr>
              <w:pStyle w:val="NoSpacing"/>
              <w:rPr>
                <w:lang w:val="en-US"/>
              </w:rPr>
            </w:pPr>
            <w:r>
              <w:rPr>
                <w:lang w:val="en-US"/>
              </w:rPr>
              <w:t>386</w:t>
            </w:r>
          </w:p>
        </w:tc>
      </w:tr>
      <w:tr w:rsidR="00FA2FF9" w:rsidRPr="00730DE4" w14:paraId="6717A353" w14:textId="77777777" w:rsidTr="00B9757A">
        <w:tc>
          <w:tcPr>
            <w:tcW w:w="4395" w:type="pct"/>
          </w:tcPr>
          <w:p w14:paraId="11CDB14B" w14:textId="77777777" w:rsidR="00FA2FF9" w:rsidRPr="00730DE4" w:rsidRDefault="00FA2FF9" w:rsidP="00D00068">
            <w:pPr>
              <w:pStyle w:val="NoSpacing"/>
              <w:rPr>
                <w:lang w:val="en-US"/>
              </w:rPr>
            </w:pPr>
            <w:r w:rsidRPr="00730DE4">
              <w:rPr>
                <w:lang w:val="en-US"/>
              </w:rPr>
              <w:t>Table 54: Number of point-to-point speed camera infringements per penalty bracket for 2023</w:t>
            </w:r>
          </w:p>
        </w:tc>
        <w:tc>
          <w:tcPr>
            <w:tcW w:w="605" w:type="pct"/>
          </w:tcPr>
          <w:p w14:paraId="1B174751" w14:textId="79FB7A99" w:rsidR="00FA2FF9" w:rsidRPr="00730DE4" w:rsidRDefault="00C16374" w:rsidP="00D00068">
            <w:pPr>
              <w:pStyle w:val="NoSpacing"/>
              <w:rPr>
                <w:lang w:val="en-US"/>
              </w:rPr>
            </w:pPr>
            <w:r>
              <w:rPr>
                <w:lang w:val="en-US"/>
              </w:rPr>
              <w:t>387</w:t>
            </w:r>
          </w:p>
        </w:tc>
      </w:tr>
      <w:tr w:rsidR="00FA2FF9" w:rsidRPr="00730DE4" w14:paraId="542ED0F7" w14:textId="77777777" w:rsidTr="00B9757A">
        <w:trPr>
          <w:cnfStyle w:val="000000100000" w:firstRow="0" w:lastRow="0" w:firstColumn="0" w:lastColumn="0" w:oddVBand="0" w:evenVBand="0" w:oddHBand="1" w:evenHBand="0" w:firstRowFirstColumn="0" w:firstRowLastColumn="0" w:lastRowFirstColumn="0" w:lastRowLastColumn="0"/>
        </w:trPr>
        <w:tc>
          <w:tcPr>
            <w:tcW w:w="4395" w:type="pct"/>
          </w:tcPr>
          <w:p w14:paraId="10E18A23" w14:textId="77777777" w:rsidR="00FA2FF9" w:rsidRPr="00730DE4" w:rsidRDefault="00FA2FF9" w:rsidP="00D00068">
            <w:pPr>
              <w:pStyle w:val="NoSpacing"/>
              <w:rPr>
                <w:lang w:val="en-US"/>
              </w:rPr>
            </w:pPr>
            <w:r w:rsidRPr="00730DE4">
              <w:rPr>
                <w:lang w:val="en-US"/>
              </w:rPr>
              <w:t>Table 55: Passenger transport operator payments: South East Queensland—Bus</w:t>
            </w:r>
          </w:p>
        </w:tc>
        <w:tc>
          <w:tcPr>
            <w:tcW w:w="605" w:type="pct"/>
          </w:tcPr>
          <w:p w14:paraId="377D122B" w14:textId="198B6FA6" w:rsidR="00FA2FF9" w:rsidRPr="00730DE4" w:rsidRDefault="00730901" w:rsidP="00D00068">
            <w:pPr>
              <w:pStyle w:val="NoSpacing"/>
              <w:rPr>
                <w:lang w:val="en-US"/>
              </w:rPr>
            </w:pPr>
            <w:r>
              <w:rPr>
                <w:lang w:val="en-US"/>
              </w:rPr>
              <w:t>388–389</w:t>
            </w:r>
          </w:p>
        </w:tc>
      </w:tr>
      <w:tr w:rsidR="00FA2FF9" w:rsidRPr="00730DE4" w14:paraId="443ACABD" w14:textId="77777777" w:rsidTr="00B9757A">
        <w:tc>
          <w:tcPr>
            <w:tcW w:w="4395" w:type="pct"/>
          </w:tcPr>
          <w:p w14:paraId="2313694D" w14:textId="77777777" w:rsidR="00FA2FF9" w:rsidRPr="00730DE4" w:rsidRDefault="00FA2FF9" w:rsidP="00D00068">
            <w:pPr>
              <w:pStyle w:val="NoSpacing"/>
              <w:rPr>
                <w:lang w:val="en-US"/>
              </w:rPr>
            </w:pPr>
            <w:r w:rsidRPr="00730DE4">
              <w:rPr>
                <w:lang w:val="en-US"/>
              </w:rPr>
              <w:t>Table 56: Passenger transport operator payments: South East Queensland—Ferry</w:t>
            </w:r>
          </w:p>
        </w:tc>
        <w:tc>
          <w:tcPr>
            <w:tcW w:w="605" w:type="pct"/>
          </w:tcPr>
          <w:p w14:paraId="3ABB7315" w14:textId="17C1A227" w:rsidR="00FA2FF9" w:rsidRPr="00730DE4" w:rsidRDefault="0040194D" w:rsidP="00D00068">
            <w:pPr>
              <w:pStyle w:val="NoSpacing"/>
              <w:rPr>
                <w:lang w:val="en-US"/>
              </w:rPr>
            </w:pPr>
            <w:r>
              <w:rPr>
                <w:lang w:val="en-US"/>
              </w:rPr>
              <w:t>390</w:t>
            </w:r>
          </w:p>
        </w:tc>
      </w:tr>
      <w:tr w:rsidR="00FA2FF9" w:rsidRPr="00730DE4" w14:paraId="0746B781" w14:textId="77777777" w:rsidTr="00B9757A">
        <w:trPr>
          <w:cnfStyle w:val="000000100000" w:firstRow="0" w:lastRow="0" w:firstColumn="0" w:lastColumn="0" w:oddVBand="0" w:evenVBand="0" w:oddHBand="1" w:evenHBand="0" w:firstRowFirstColumn="0" w:firstRowLastColumn="0" w:lastRowFirstColumn="0" w:lastRowLastColumn="0"/>
        </w:trPr>
        <w:tc>
          <w:tcPr>
            <w:tcW w:w="4395" w:type="pct"/>
          </w:tcPr>
          <w:p w14:paraId="1E8093E5" w14:textId="77777777" w:rsidR="00FA2FF9" w:rsidRPr="00730DE4" w:rsidRDefault="00FA2FF9" w:rsidP="00D00068">
            <w:pPr>
              <w:pStyle w:val="NoSpacing"/>
              <w:rPr>
                <w:lang w:val="en-US"/>
              </w:rPr>
            </w:pPr>
            <w:r w:rsidRPr="00730DE4">
              <w:rPr>
                <w:lang w:val="en-US"/>
              </w:rPr>
              <w:t>Table 57: Passenger transport operator payments: South East Queensland—Citytrain</w:t>
            </w:r>
          </w:p>
        </w:tc>
        <w:tc>
          <w:tcPr>
            <w:tcW w:w="605" w:type="pct"/>
          </w:tcPr>
          <w:p w14:paraId="45B68CDC" w14:textId="0C5E6ECE" w:rsidR="00FA2FF9" w:rsidRPr="00730DE4" w:rsidRDefault="0040194D" w:rsidP="00D00068">
            <w:pPr>
              <w:pStyle w:val="NoSpacing"/>
              <w:rPr>
                <w:lang w:val="en-US"/>
              </w:rPr>
            </w:pPr>
            <w:r>
              <w:rPr>
                <w:lang w:val="en-US"/>
              </w:rPr>
              <w:t>390</w:t>
            </w:r>
          </w:p>
        </w:tc>
      </w:tr>
      <w:tr w:rsidR="00FA2FF9" w:rsidRPr="00730DE4" w14:paraId="3AC8B2C5" w14:textId="77777777" w:rsidTr="00B9757A">
        <w:tc>
          <w:tcPr>
            <w:tcW w:w="4395" w:type="pct"/>
          </w:tcPr>
          <w:p w14:paraId="3EFA92B3" w14:textId="77777777" w:rsidR="00FA2FF9" w:rsidRPr="00730DE4" w:rsidRDefault="00FA2FF9" w:rsidP="00D00068">
            <w:pPr>
              <w:pStyle w:val="NoSpacing"/>
              <w:rPr>
                <w:lang w:val="en-US"/>
              </w:rPr>
            </w:pPr>
            <w:r w:rsidRPr="00730DE4">
              <w:rPr>
                <w:lang w:val="en-US"/>
              </w:rPr>
              <w:t>Table 58: Passenger transport operator payments: South East Queensland—Rail replacement bus services</w:t>
            </w:r>
          </w:p>
        </w:tc>
        <w:tc>
          <w:tcPr>
            <w:tcW w:w="605" w:type="pct"/>
          </w:tcPr>
          <w:p w14:paraId="2DDAB7C4" w14:textId="59EC1C54" w:rsidR="00FA2FF9" w:rsidRPr="00730DE4" w:rsidRDefault="00CC16FE" w:rsidP="00D00068">
            <w:pPr>
              <w:pStyle w:val="NoSpacing"/>
              <w:rPr>
                <w:lang w:val="en-US"/>
              </w:rPr>
            </w:pPr>
            <w:r>
              <w:rPr>
                <w:lang w:val="en-US"/>
              </w:rPr>
              <w:t>391</w:t>
            </w:r>
          </w:p>
        </w:tc>
      </w:tr>
      <w:tr w:rsidR="00FA2FF9" w:rsidRPr="00730DE4" w14:paraId="79C1045D" w14:textId="77777777" w:rsidTr="00B9757A">
        <w:trPr>
          <w:cnfStyle w:val="000000100000" w:firstRow="0" w:lastRow="0" w:firstColumn="0" w:lastColumn="0" w:oddVBand="0" w:evenVBand="0" w:oddHBand="1" w:evenHBand="0" w:firstRowFirstColumn="0" w:firstRowLastColumn="0" w:lastRowFirstColumn="0" w:lastRowLastColumn="0"/>
        </w:trPr>
        <w:tc>
          <w:tcPr>
            <w:tcW w:w="4395" w:type="pct"/>
          </w:tcPr>
          <w:p w14:paraId="407EFDDE" w14:textId="77777777" w:rsidR="00FA2FF9" w:rsidRPr="00730DE4" w:rsidRDefault="00FA2FF9" w:rsidP="00D00068">
            <w:pPr>
              <w:pStyle w:val="NoSpacing"/>
              <w:rPr>
                <w:lang w:val="en-US"/>
              </w:rPr>
            </w:pPr>
            <w:r w:rsidRPr="00730DE4">
              <w:rPr>
                <w:lang w:val="en-US"/>
              </w:rPr>
              <w:t>Table 59: Passenger transport operator payments: South East Queensland—Light rail</w:t>
            </w:r>
          </w:p>
        </w:tc>
        <w:tc>
          <w:tcPr>
            <w:tcW w:w="605" w:type="pct"/>
          </w:tcPr>
          <w:p w14:paraId="62DE005E" w14:textId="428E9584" w:rsidR="00FA2FF9" w:rsidRPr="00730DE4" w:rsidRDefault="00EC6634" w:rsidP="00D00068">
            <w:pPr>
              <w:pStyle w:val="NoSpacing"/>
              <w:rPr>
                <w:lang w:val="en-US"/>
              </w:rPr>
            </w:pPr>
            <w:r>
              <w:rPr>
                <w:lang w:val="en-US"/>
              </w:rPr>
              <w:t>392</w:t>
            </w:r>
          </w:p>
        </w:tc>
      </w:tr>
      <w:tr w:rsidR="00FA2FF9" w:rsidRPr="00730DE4" w14:paraId="1D118A83" w14:textId="77777777" w:rsidTr="00B9757A">
        <w:tc>
          <w:tcPr>
            <w:tcW w:w="4395" w:type="pct"/>
          </w:tcPr>
          <w:p w14:paraId="7CD16B67" w14:textId="77777777" w:rsidR="00FA2FF9" w:rsidRPr="00730DE4" w:rsidRDefault="00FA2FF9" w:rsidP="00D00068">
            <w:pPr>
              <w:pStyle w:val="NoSpacing"/>
              <w:rPr>
                <w:lang w:val="en-US"/>
              </w:rPr>
            </w:pPr>
            <w:r w:rsidRPr="00730DE4">
              <w:rPr>
                <w:lang w:val="en-US"/>
              </w:rPr>
              <w:t>Table 60: Passenger transport operator payments: South East Queensland—On demand transport</w:t>
            </w:r>
          </w:p>
        </w:tc>
        <w:tc>
          <w:tcPr>
            <w:tcW w:w="605" w:type="pct"/>
          </w:tcPr>
          <w:p w14:paraId="091245EF" w14:textId="5F0EB922" w:rsidR="00FA2FF9" w:rsidRPr="00730DE4" w:rsidRDefault="00A930AB" w:rsidP="00D00068">
            <w:pPr>
              <w:pStyle w:val="NoSpacing"/>
              <w:rPr>
                <w:lang w:val="en-US"/>
              </w:rPr>
            </w:pPr>
            <w:r>
              <w:rPr>
                <w:lang w:val="en-US"/>
              </w:rPr>
              <w:t>392</w:t>
            </w:r>
          </w:p>
        </w:tc>
      </w:tr>
      <w:tr w:rsidR="00FA2FF9" w:rsidRPr="00730DE4" w14:paraId="73B330E7" w14:textId="77777777" w:rsidTr="00B9757A">
        <w:trPr>
          <w:cnfStyle w:val="000000100000" w:firstRow="0" w:lastRow="0" w:firstColumn="0" w:lastColumn="0" w:oddVBand="0" w:evenVBand="0" w:oddHBand="1" w:evenHBand="0" w:firstRowFirstColumn="0" w:firstRowLastColumn="0" w:lastRowFirstColumn="0" w:lastRowLastColumn="0"/>
        </w:trPr>
        <w:tc>
          <w:tcPr>
            <w:tcW w:w="4395" w:type="pct"/>
          </w:tcPr>
          <w:p w14:paraId="44FB8F44" w14:textId="46C5C460" w:rsidR="00FA2FF9" w:rsidRPr="00730DE4" w:rsidRDefault="00FA2FF9" w:rsidP="00D00068">
            <w:pPr>
              <w:pStyle w:val="NoSpacing"/>
              <w:rPr>
                <w:lang w:val="en-US"/>
              </w:rPr>
            </w:pPr>
            <w:r w:rsidRPr="00730DE4">
              <w:rPr>
                <w:lang w:val="en-US"/>
              </w:rPr>
              <w:t>Table 61: Passenger transport operator payments: South East Queensland—</w:t>
            </w:r>
            <w:r w:rsidR="00E10FC7" w:rsidRPr="00730DE4">
              <w:rPr>
                <w:lang w:val="en-US"/>
              </w:rPr>
              <w:t>Demand Responsive Transport</w:t>
            </w:r>
          </w:p>
        </w:tc>
        <w:tc>
          <w:tcPr>
            <w:tcW w:w="605" w:type="pct"/>
          </w:tcPr>
          <w:p w14:paraId="01B40F14" w14:textId="4A1A2AE5" w:rsidR="00FA2FF9" w:rsidRPr="00730DE4" w:rsidRDefault="000C32E7" w:rsidP="00D00068">
            <w:pPr>
              <w:pStyle w:val="NoSpacing"/>
              <w:rPr>
                <w:lang w:val="en-US"/>
              </w:rPr>
            </w:pPr>
            <w:r>
              <w:rPr>
                <w:lang w:val="en-US"/>
              </w:rPr>
              <w:t>393</w:t>
            </w:r>
          </w:p>
        </w:tc>
      </w:tr>
      <w:tr w:rsidR="00FA2FF9" w:rsidRPr="00730DE4" w14:paraId="00A08ED3" w14:textId="77777777" w:rsidTr="00B9757A">
        <w:tc>
          <w:tcPr>
            <w:tcW w:w="4395" w:type="pct"/>
          </w:tcPr>
          <w:p w14:paraId="3C68086E" w14:textId="77777777" w:rsidR="00FA2FF9" w:rsidRPr="00730DE4" w:rsidRDefault="00FA2FF9" w:rsidP="00D00068">
            <w:pPr>
              <w:pStyle w:val="NoSpacing"/>
              <w:rPr>
                <w:lang w:val="en-US"/>
              </w:rPr>
            </w:pPr>
            <w:r w:rsidRPr="00730DE4">
              <w:rPr>
                <w:lang w:val="en-US"/>
              </w:rPr>
              <w:t>Table 62: Passenger transport operator payments: South East Queensland—Total payment</w:t>
            </w:r>
          </w:p>
        </w:tc>
        <w:tc>
          <w:tcPr>
            <w:tcW w:w="605" w:type="pct"/>
          </w:tcPr>
          <w:p w14:paraId="7E182DC3" w14:textId="70118B83" w:rsidR="00FA2FF9" w:rsidRPr="00730DE4" w:rsidRDefault="00D9234F" w:rsidP="00D00068">
            <w:pPr>
              <w:pStyle w:val="NoSpacing"/>
              <w:rPr>
                <w:lang w:val="en-US"/>
              </w:rPr>
            </w:pPr>
            <w:r>
              <w:rPr>
                <w:lang w:val="en-US"/>
              </w:rPr>
              <w:t>393</w:t>
            </w:r>
          </w:p>
        </w:tc>
      </w:tr>
      <w:tr w:rsidR="00FA2FF9" w:rsidRPr="00730DE4" w14:paraId="20A8409A" w14:textId="77777777" w:rsidTr="00B9757A">
        <w:trPr>
          <w:cnfStyle w:val="000000100000" w:firstRow="0" w:lastRow="0" w:firstColumn="0" w:lastColumn="0" w:oddVBand="0" w:evenVBand="0" w:oddHBand="1" w:evenHBand="0" w:firstRowFirstColumn="0" w:firstRowLastColumn="0" w:lastRowFirstColumn="0" w:lastRowLastColumn="0"/>
        </w:trPr>
        <w:tc>
          <w:tcPr>
            <w:tcW w:w="4395" w:type="pct"/>
          </w:tcPr>
          <w:p w14:paraId="2A93E73B" w14:textId="77777777" w:rsidR="00FA2FF9" w:rsidRPr="00730DE4" w:rsidRDefault="00FA2FF9" w:rsidP="00D00068">
            <w:pPr>
              <w:pStyle w:val="NoSpacing"/>
              <w:rPr>
                <w:lang w:val="en-US"/>
              </w:rPr>
            </w:pPr>
            <w:r w:rsidRPr="00730DE4">
              <w:rPr>
                <w:lang w:val="en-US"/>
              </w:rPr>
              <w:t>Table 63: Passenger transport operator payments: Rest of Queensland—Regional urban bus</w:t>
            </w:r>
          </w:p>
        </w:tc>
        <w:tc>
          <w:tcPr>
            <w:tcW w:w="605" w:type="pct"/>
          </w:tcPr>
          <w:p w14:paraId="071A8D38" w14:textId="670C1DCD" w:rsidR="00FA2FF9" w:rsidRPr="00730DE4" w:rsidRDefault="002762B2" w:rsidP="00D00068">
            <w:pPr>
              <w:pStyle w:val="NoSpacing"/>
              <w:rPr>
                <w:lang w:val="en-US"/>
              </w:rPr>
            </w:pPr>
            <w:r>
              <w:rPr>
                <w:lang w:val="en-US"/>
              </w:rPr>
              <w:t>394–395</w:t>
            </w:r>
          </w:p>
        </w:tc>
      </w:tr>
      <w:tr w:rsidR="00FA2FF9" w:rsidRPr="00730DE4" w14:paraId="63A70BEA" w14:textId="77777777" w:rsidTr="00B9757A">
        <w:tc>
          <w:tcPr>
            <w:tcW w:w="4395" w:type="pct"/>
          </w:tcPr>
          <w:p w14:paraId="71C305F5" w14:textId="77777777" w:rsidR="00FA2FF9" w:rsidRPr="00730DE4" w:rsidRDefault="00FA2FF9" w:rsidP="00D00068">
            <w:pPr>
              <w:pStyle w:val="NoSpacing"/>
              <w:rPr>
                <w:lang w:val="en-US"/>
              </w:rPr>
            </w:pPr>
            <w:r w:rsidRPr="00730DE4">
              <w:rPr>
                <w:lang w:val="en-US"/>
              </w:rPr>
              <w:t>Table 64: Passenger transport operator payments: Rest of Queensland—Ferry</w:t>
            </w:r>
          </w:p>
        </w:tc>
        <w:tc>
          <w:tcPr>
            <w:tcW w:w="605" w:type="pct"/>
          </w:tcPr>
          <w:p w14:paraId="61C87E6D" w14:textId="176199A3" w:rsidR="00FA2FF9" w:rsidRPr="00730DE4" w:rsidRDefault="00DA16AE" w:rsidP="00D00068">
            <w:pPr>
              <w:pStyle w:val="NoSpacing"/>
              <w:rPr>
                <w:lang w:val="en-US"/>
              </w:rPr>
            </w:pPr>
            <w:r>
              <w:rPr>
                <w:lang w:val="en-US"/>
              </w:rPr>
              <w:t>396</w:t>
            </w:r>
          </w:p>
        </w:tc>
      </w:tr>
      <w:tr w:rsidR="00FA2FF9" w:rsidRPr="00730DE4" w14:paraId="20ED839F" w14:textId="77777777" w:rsidTr="00B9757A">
        <w:trPr>
          <w:cnfStyle w:val="000000100000" w:firstRow="0" w:lastRow="0" w:firstColumn="0" w:lastColumn="0" w:oddVBand="0" w:evenVBand="0" w:oddHBand="1" w:evenHBand="0" w:firstRowFirstColumn="0" w:firstRowLastColumn="0" w:lastRowFirstColumn="0" w:lastRowLastColumn="0"/>
        </w:trPr>
        <w:tc>
          <w:tcPr>
            <w:tcW w:w="4395" w:type="pct"/>
          </w:tcPr>
          <w:p w14:paraId="1A80F490" w14:textId="77777777" w:rsidR="00FA2FF9" w:rsidRPr="00730DE4" w:rsidRDefault="00FA2FF9" w:rsidP="00D00068">
            <w:pPr>
              <w:pStyle w:val="NoSpacing"/>
              <w:rPr>
                <w:lang w:val="en-US"/>
              </w:rPr>
            </w:pPr>
            <w:r w:rsidRPr="00730DE4">
              <w:rPr>
                <w:lang w:val="en-US"/>
              </w:rPr>
              <w:t>Table 65: Passenger transport operator payments: Rest of Queensland—Long distance rail</w:t>
            </w:r>
          </w:p>
        </w:tc>
        <w:tc>
          <w:tcPr>
            <w:tcW w:w="605" w:type="pct"/>
          </w:tcPr>
          <w:p w14:paraId="60330902" w14:textId="3BC5C513" w:rsidR="00FA2FF9" w:rsidRPr="00730DE4" w:rsidRDefault="00F37FE2" w:rsidP="00D00068">
            <w:pPr>
              <w:pStyle w:val="NoSpacing"/>
              <w:rPr>
                <w:lang w:val="en-US"/>
              </w:rPr>
            </w:pPr>
            <w:r>
              <w:rPr>
                <w:lang w:val="en-US"/>
              </w:rPr>
              <w:t>396</w:t>
            </w:r>
          </w:p>
        </w:tc>
      </w:tr>
      <w:tr w:rsidR="00FA2FF9" w:rsidRPr="00730DE4" w14:paraId="0E0D2E86" w14:textId="77777777" w:rsidTr="00B9757A">
        <w:tc>
          <w:tcPr>
            <w:tcW w:w="4395" w:type="pct"/>
          </w:tcPr>
          <w:p w14:paraId="52DF21D5" w14:textId="77777777" w:rsidR="00FA2FF9" w:rsidRPr="00730DE4" w:rsidRDefault="00FA2FF9" w:rsidP="00D00068">
            <w:pPr>
              <w:pStyle w:val="NoSpacing"/>
              <w:rPr>
                <w:lang w:val="en-US"/>
              </w:rPr>
            </w:pPr>
            <w:r w:rsidRPr="00730DE4">
              <w:rPr>
                <w:lang w:val="en-US"/>
              </w:rPr>
              <w:t>Table 66: Passenger transport operator payments: Rest of Queensland—Regional air</w:t>
            </w:r>
          </w:p>
        </w:tc>
        <w:tc>
          <w:tcPr>
            <w:tcW w:w="605" w:type="pct"/>
          </w:tcPr>
          <w:p w14:paraId="5521D5A0" w14:textId="75A46420" w:rsidR="00FA2FF9" w:rsidRPr="00730DE4" w:rsidRDefault="00AE0B76" w:rsidP="00D00068">
            <w:pPr>
              <w:pStyle w:val="NoSpacing"/>
              <w:rPr>
                <w:lang w:val="en-US"/>
              </w:rPr>
            </w:pPr>
            <w:r>
              <w:rPr>
                <w:lang w:val="en-US"/>
              </w:rPr>
              <w:t>397</w:t>
            </w:r>
          </w:p>
        </w:tc>
      </w:tr>
      <w:tr w:rsidR="00FA2FF9" w:rsidRPr="00730DE4" w14:paraId="0DC24AFD" w14:textId="77777777" w:rsidTr="00B9757A">
        <w:trPr>
          <w:cnfStyle w:val="000000100000" w:firstRow="0" w:lastRow="0" w:firstColumn="0" w:lastColumn="0" w:oddVBand="0" w:evenVBand="0" w:oddHBand="1" w:evenHBand="0" w:firstRowFirstColumn="0" w:firstRowLastColumn="0" w:lastRowFirstColumn="0" w:lastRowLastColumn="0"/>
        </w:trPr>
        <w:tc>
          <w:tcPr>
            <w:tcW w:w="4395" w:type="pct"/>
          </w:tcPr>
          <w:p w14:paraId="2ABE8487" w14:textId="77777777" w:rsidR="00FA2FF9" w:rsidRPr="00730DE4" w:rsidRDefault="00FA2FF9" w:rsidP="00D00068">
            <w:pPr>
              <w:pStyle w:val="NoSpacing"/>
              <w:rPr>
                <w:lang w:val="en-US"/>
              </w:rPr>
            </w:pPr>
            <w:r w:rsidRPr="00730DE4">
              <w:rPr>
                <w:lang w:val="en-US"/>
              </w:rPr>
              <w:t>Table 67: Passenger transport operator payments: Rest of Queensland—Long distance bus</w:t>
            </w:r>
          </w:p>
        </w:tc>
        <w:tc>
          <w:tcPr>
            <w:tcW w:w="605" w:type="pct"/>
          </w:tcPr>
          <w:p w14:paraId="69EEEB35" w14:textId="4C012DBA" w:rsidR="00FA2FF9" w:rsidRPr="00730DE4" w:rsidRDefault="00883945" w:rsidP="00D00068">
            <w:pPr>
              <w:pStyle w:val="NoSpacing"/>
              <w:rPr>
                <w:lang w:val="en-US"/>
              </w:rPr>
            </w:pPr>
            <w:r>
              <w:rPr>
                <w:lang w:val="en-US"/>
              </w:rPr>
              <w:t>398</w:t>
            </w:r>
          </w:p>
        </w:tc>
      </w:tr>
      <w:tr w:rsidR="00FA2FF9" w:rsidRPr="00730DE4" w14:paraId="45805715" w14:textId="77777777" w:rsidTr="00B9757A">
        <w:tc>
          <w:tcPr>
            <w:tcW w:w="4395" w:type="pct"/>
          </w:tcPr>
          <w:p w14:paraId="71C3939D" w14:textId="77777777" w:rsidR="00FA2FF9" w:rsidRPr="00730DE4" w:rsidRDefault="00FA2FF9" w:rsidP="00D00068">
            <w:pPr>
              <w:pStyle w:val="NoSpacing"/>
              <w:rPr>
                <w:lang w:val="en-US"/>
              </w:rPr>
            </w:pPr>
            <w:r w:rsidRPr="00730DE4">
              <w:rPr>
                <w:lang w:val="en-US"/>
              </w:rPr>
              <w:t>Table 68: Passenger transport operator payments: Rest of Queensland—Regional railbus</w:t>
            </w:r>
          </w:p>
        </w:tc>
        <w:tc>
          <w:tcPr>
            <w:tcW w:w="605" w:type="pct"/>
          </w:tcPr>
          <w:p w14:paraId="7702E7B7" w14:textId="6886C538" w:rsidR="00FA2FF9" w:rsidRPr="00730DE4" w:rsidRDefault="005F74EA" w:rsidP="00D00068">
            <w:pPr>
              <w:pStyle w:val="NoSpacing"/>
              <w:rPr>
                <w:lang w:val="en-US"/>
              </w:rPr>
            </w:pPr>
            <w:r>
              <w:rPr>
                <w:lang w:val="en-US"/>
              </w:rPr>
              <w:t>398</w:t>
            </w:r>
          </w:p>
        </w:tc>
      </w:tr>
      <w:tr w:rsidR="00FA2FF9" w:rsidRPr="00D00068" w14:paraId="43509249" w14:textId="77777777" w:rsidTr="00B9757A">
        <w:trPr>
          <w:cnfStyle w:val="000000100000" w:firstRow="0" w:lastRow="0" w:firstColumn="0" w:lastColumn="0" w:oddVBand="0" w:evenVBand="0" w:oddHBand="1" w:evenHBand="0" w:firstRowFirstColumn="0" w:firstRowLastColumn="0" w:lastRowFirstColumn="0" w:lastRowLastColumn="0"/>
        </w:trPr>
        <w:tc>
          <w:tcPr>
            <w:tcW w:w="4395" w:type="pct"/>
          </w:tcPr>
          <w:p w14:paraId="6799A75A" w14:textId="77777777" w:rsidR="00FA2FF9" w:rsidRDefault="00FA2FF9" w:rsidP="00D00068">
            <w:pPr>
              <w:pStyle w:val="NoSpacing"/>
              <w:rPr>
                <w:lang w:val="en-US"/>
              </w:rPr>
            </w:pPr>
            <w:r w:rsidRPr="00730DE4">
              <w:rPr>
                <w:lang w:val="en-US"/>
              </w:rPr>
              <w:t>Table 69: Passenger transport operator payments: Rest of Queensland—Total payments</w:t>
            </w:r>
          </w:p>
        </w:tc>
        <w:tc>
          <w:tcPr>
            <w:tcW w:w="605" w:type="pct"/>
          </w:tcPr>
          <w:p w14:paraId="0CB62906" w14:textId="58C48522" w:rsidR="00FA2FF9" w:rsidRPr="00D00068" w:rsidRDefault="00D40B95" w:rsidP="00D00068">
            <w:pPr>
              <w:pStyle w:val="NoSpacing"/>
              <w:rPr>
                <w:lang w:val="en-US"/>
              </w:rPr>
            </w:pPr>
            <w:r>
              <w:rPr>
                <w:lang w:val="en-US"/>
              </w:rPr>
              <w:t>399</w:t>
            </w:r>
          </w:p>
        </w:tc>
      </w:tr>
    </w:tbl>
    <w:p w14:paraId="7CC61514" w14:textId="77777777" w:rsidR="002514F8" w:rsidRPr="002514F8" w:rsidRDefault="002514F8" w:rsidP="00FA2FF9"/>
    <w:sectPr w:rsidR="002514F8" w:rsidRPr="002514F8" w:rsidSect="00773DE6">
      <w:pgSz w:w="11906" w:h="16838" w:code="9"/>
      <w:pgMar w:top="1134" w:right="1418" w:bottom="1418" w:left="1418"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3469C" w14:textId="77777777" w:rsidR="00CE5F2A" w:rsidRDefault="00CE5F2A" w:rsidP="00A9280E">
      <w:pPr>
        <w:spacing w:line="240" w:lineRule="auto"/>
      </w:pPr>
      <w:r>
        <w:separator/>
      </w:r>
    </w:p>
  </w:endnote>
  <w:endnote w:type="continuationSeparator" w:id="0">
    <w:p w14:paraId="49E50F70" w14:textId="77777777" w:rsidR="00CE5F2A" w:rsidRDefault="00CE5F2A" w:rsidP="00A928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eta Pro">
    <w:altName w:val="Calibri"/>
    <w:panose1 w:val="00000000000000000000"/>
    <w:charset w:val="00"/>
    <w:family w:val="modern"/>
    <w:notTrueType/>
    <w:pitch w:val="variable"/>
    <w:sig w:usb0="A00002FF" w:usb1="5000207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344DB" w14:textId="41B2CF45" w:rsidR="00A074ED" w:rsidRDefault="00C266B6">
    <w:pPr>
      <w:pStyle w:val="Footer"/>
    </w:pPr>
    <w:r>
      <w:rPr>
        <w:rStyle w:val="Header2Char"/>
      </w:rPr>
      <w:t>Annual Report 2023–2024 Department of Transport and Main Roads</w:t>
    </w:r>
    <w:r w:rsidR="00A355BF">
      <w:ptab w:relativeTo="margin" w:alignment="right" w:leader="none"/>
    </w:r>
    <w:r w:rsidR="00773DE6" w:rsidRPr="00773DE6">
      <w:fldChar w:fldCharType="begin"/>
    </w:r>
    <w:r w:rsidR="00773DE6" w:rsidRPr="00773DE6">
      <w:instrText xml:space="preserve"> PAGE   \* MERGEFORMAT </w:instrText>
    </w:r>
    <w:r w:rsidR="00773DE6" w:rsidRPr="00773DE6">
      <w:fldChar w:fldCharType="separate"/>
    </w:r>
    <w:r w:rsidR="00773DE6" w:rsidRPr="00773DE6">
      <w:rPr>
        <w:noProof/>
      </w:rPr>
      <w:t>1</w:t>
    </w:r>
    <w:r w:rsidR="00773DE6" w:rsidRPr="00773DE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8360" w14:textId="6A614A91" w:rsidR="00730DE4" w:rsidRPr="00F92B18" w:rsidRDefault="00730DE4" w:rsidP="00F92B18">
    <w:pPr>
      <w:pStyle w:val="Footer"/>
    </w:pPr>
    <w:r>
      <w:rPr>
        <w:rStyle w:val="Header2Char"/>
      </w:rPr>
      <w:t>Annual Report 2023–2024 Department of Transport and Main Roads</w:t>
    </w:r>
    <w:r>
      <w:ptab w:relativeTo="margin" w:alignment="right" w:leader="none"/>
    </w:r>
    <w:r w:rsidRPr="00773DE6">
      <w:fldChar w:fldCharType="begin"/>
    </w:r>
    <w:r w:rsidRPr="00773DE6">
      <w:instrText xml:space="preserve"> PAGE   \* MERGEFORMAT </w:instrText>
    </w:r>
    <w:r w:rsidRPr="00773DE6">
      <w:fldChar w:fldCharType="separate"/>
    </w:r>
    <w:r>
      <w:t>43</w:t>
    </w:r>
    <w:r w:rsidRPr="00773DE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B17D8" w14:textId="2C0EB0B3" w:rsidR="00730DE4" w:rsidRPr="00F92B18" w:rsidRDefault="00730DE4" w:rsidP="00F92B18">
    <w:pPr>
      <w:pStyle w:val="Footer"/>
    </w:pPr>
    <w:r>
      <w:rPr>
        <w:rStyle w:val="Header2Char"/>
      </w:rPr>
      <w:t>Annual Report 2023–2024 Department of Transport and Main Roads</w:t>
    </w:r>
    <w:r>
      <w:ptab w:relativeTo="margin" w:alignment="right" w:leader="none"/>
    </w:r>
    <w:r w:rsidRPr="00773DE6">
      <w:fldChar w:fldCharType="begin"/>
    </w:r>
    <w:r w:rsidRPr="00773DE6">
      <w:instrText xml:space="preserve"> PAGE   \* MERGEFORMAT </w:instrText>
    </w:r>
    <w:r w:rsidRPr="00773DE6">
      <w:fldChar w:fldCharType="separate"/>
    </w:r>
    <w:r>
      <w:t>43</w:t>
    </w:r>
    <w:r w:rsidRPr="00773DE6">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2FDC" w14:textId="199AF937" w:rsidR="00730DE4" w:rsidRPr="00F92B18" w:rsidRDefault="00730DE4" w:rsidP="00F92B18">
    <w:pPr>
      <w:pStyle w:val="Footer"/>
    </w:pPr>
    <w:r>
      <w:rPr>
        <w:rStyle w:val="Header2Char"/>
      </w:rPr>
      <w:t>Annual Report 2023–2024 Department of Transport and Main Roads</w:t>
    </w:r>
    <w:r>
      <w:ptab w:relativeTo="margin" w:alignment="right" w:leader="none"/>
    </w:r>
    <w:r w:rsidRPr="00773DE6">
      <w:fldChar w:fldCharType="begin"/>
    </w:r>
    <w:r w:rsidRPr="00773DE6">
      <w:instrText xml:space="preserve"> PAGE   \* MERGEFORMAT </w:instrText>
    </w:r>
    <w:r w:rsidRPr="00773DE6">
      <w:fldChar w:fldCharType="separate"/>
    </w:r>
    <w:r>
      <w:t>43</w:t>
    </w:r>
    <w:r w:rsidRPr="00773DE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75B0A" w14:textId="77777777" w:rsidR="00CE5F2A" w:rsidRDefault="00CE5F2A" w:rsidP="00A9280E">
      <w:pPr>
        <w:spacing w:line="240" w:lineRule="auto"/>
      </w:pPr>
      <w:r>
        <w:separator/>
      </w:r>
    </w:p>
  </w:footnote>
  <w:footnote w:type="continuationSeparator" w:id="0">
    <w:p w14:paraId="781FFEEF" w14:textId="77777777" w:rsidR="00CE5F2A" w:rsidRDefault="00CE5F2A" w:rsidP="00A928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86C5" w14:textId="77777777" w:rsidR="00730DE4" w:rsidRPr="00217B19" w:rsidRDefault="00730DE4" w:rsidP="00217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A69E7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9666262"/>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50823AE"/>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B94AAC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2BF195C"/>
    <w:multiLevelType w:val="hybridMultilevel"/>
    <w:tmpl w:val="2FE4B7C0"/>
    <w:lvl w:ilvl="0" w:tplc="9F02A3BE">
      <w:start w:val="1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932" w:hanging="360"/>
      </w:pPr>
      <w:rPr>
        <w:rFonts w:ascii="Courier New" w:hAnsi="Courier New" w:cs="Courier New" w:hint="default"/>
      </w:rPr>
    </w:lvl>
    <w:lvl w:ilvl="2" w:tplc="0C090005" w:tentative="1">
      <w:start w:val="1"/>
      <w:numFmt w:val="bullet"/>
      <w:lvlText w:val=""/>
      <w:lvlJc w:val="left"/>
      <w:pPr>
        <w:ind w:left="1652" w:hanging="360"/>
      </w:pPr>
      <w:rPr>
        <w:rFonts w:ascii="Wingdings" w:hAnsi="Wingdings" w:hint="default"/>
      </w:rPr>
    </w:lvl>
    <w:lvl w:ilvl="3" w:tplc="0C090001" w:tentative="1">
      <w:start w:val="1"/>
      <w:numFmt w:val="bullet"/>
      <w:lvlText w:val=""/>
      <w:lvlJc w:val="left"/>
      <w:pPr>
        <w:ind w:left="2372" w:hanging="360"/>
      </w:pPr>
      <w:rPr>
        <w:rFonts w:ascii="Symbol" w:hAnsi="Symbol" w:hint="default"/>
      </w:rPr>
    </w:lvl>
    <w:lvl w:ilvl="4" w:tplc="0C090003" w:tentative="1">
      <w:start w:val="1"/>
      <w:numFmt w:val="bullet"/>
      <w:lvlText w:val="o"/>
      <w:lvlJc w:val="left"/>
      <w:pPr>
        <w:ind w:left="3092" w:hanging="360"/>
      </w:pPr>
      <w:rPr>
        <w:rFonts w:ascii="Courier New" w:hAnsi="Courier New" w:cs="Courier New" w:hint="default"/>
      </w:rPr>
    </w:lvl>
    <w:lvl w:ilvl="5" w:tplc="0C090005" w:tentative="1">
      <w:start w:val="1"/>
      <w:numFmt w:val="bullet"/>
      <w:lvlText w:val=""/>
      <w:lvlJc w:val="left"/>
      <w:pPr>
        <w:ind w:left="3812" w:hanging="360"/>
      </w:pPr>
      <w:rPr>
        <w:rFonts w:ascii="Wingdings" w:hAnsi="Wingdings" w:hint="default"/>
      </w:rPr>
    </w:lvl>
    <w:lvl w:ilvl="6" w:tplc="0C090001" w:tentative="1">
      <w:start w:val="1"/>
      <w:numFmt w:val="bullet"/>
      <w:lvlText w:val=""/>
      <w:lvlJc w:val="left"/>
      <w:pPr>
        <w:ind w:left="4532" w:hanging="360"/>
      </w:pPr>
      <w:rPr>
        <w:rFonts w:ascii="Symbol" w:hAnsi="Symbol" w:hint="default"/>
      </w:rPr>
    </w:lvl>
    <w:lvl w:ilvl="7" w:tplc="0C090003" w:tentative="1">
      <w:start w:val="1"/>
      <w:numFmt w:val="bullet"/>
      <w:lvlText w:val="o"/>
      <w:lvlJc w:val="left"/>
      <w:pPr>
        <w:ind w:left="5252" w:hanging="360"/>
      </w:pPr>
      <w:rPr>
        <w:rFonts w:ascii="Courier New" w:hAnsi="Courier New" w:cs="Courier New" w:hint="default"/>
      </w:rPr>
    </w:lvl>
    <w:lvl w:ilvl="8" w:tplc="0C090005" w:tentative="1">
      <w:start w:val="1"/>
      <w:numFmt w:val="bullet"/>
      <w:lvlText w:val=""/>
      <w:lvlJc w:val="left"/>
      <w:pPr>
        <w:ind w:left="5972" w:hanging="360"/>
      </w:pPr>
      <w:rPr>
        <w:rFonts w:ascii="Wingdings" w:hAnsi="Wingdings" w:hint="default"/>
      </w:rPr>
    </w:lvl>
  </w:abstractNum>
  <w:abstractNum w:abstractNumId="5" w15:restartNumberingAfterBreak="0">
    <w:nsid w:val="068D7027"/>
    <w:multiLevelType w:val="hybridMultilevel"/>
    <w:tmpl w:val="9894FD10"/>
    <w:lvl w:ilvl="0" w:tplc="9F02A3BE">
      <w:start w:val="14"/>
      <w:numFmt w:val="bullet"/>
      <w:lvlText w:val="•"/>
      <w:lvlJc w:val="left"/>
      <w:pPr>
        <w:ind w:left="868" w:hanging="360"/>
      </w:pPr>
      <w:rPr>
        <w:rFonts w:ascii="Arial" w:eastAsiaTheme="minorHAnsi" w:hAnsi="Arial" w:cs="Arial" w:hint="default"/>
      </w:rPr>
    </w:lvl>
    <w:lvl w:ilvl="1" w:tplc="0C090003" w:tentative="1">
      <w:start w:val="1"/>
      <w:numFmt w:val="bullet"/>
      <w:lvlText w:val="o"/>
      <w:lvlJc w:val="left"/>
      <w:pPr>
        <w:ind w:left="1720" w:hanging="360"/>
      </w:pPr>
      <w:rPr>
        <w:rFonts w:ascii="Courier New" w:hAnsi="Courier New" w:cs="Courier New" w:hint="default"/>
      </w:rPr>
    </w:lvl>
    <w:lvl w:ilvl="2" w:tplc="0C090005" w:tentative="1">
      <w:start w:val="1"/>
      <w:numFmt w:val="bullet"/>
      <w:lvlText w:val=""/>
      <w:lvlJc w:val="left"/>
      <w:pPr>
        <w:ind w:left="2440" w:hanging="360"/>
      </w:pPr>
      <w:rPr>
        <w:rFonts w:ascii="Wingdings" w:hAnsi="Wingdings" w:hint="default"/>
      </w:rPr>
    </w:lvl>
    <w:lvl w:ilvl="3" w:tplc="0C090001" w:tentative="1">
      <w:start w:val="1"/>
      <w:numFmt w:val="bullet"/>
      <w:lvlText w:val=""/>
      <w:lvlJc w:val="left"/>
      <w:pPr>
        <w:ind w:left="3160" w:hanging="360"/>
      </w:pPr>
      <w:rPr>
        <w:rFonts w:ascii="Symbol" w:hAnsi="Symbol" w:hint="default"/>
      </w:rPr>
    </w:lvl>
    <w:lvl w:ilvl="4" w:tplc="0C090003" w:tentative="1">
      <w:start w:val="1"/>
      <w:numFmt w:val="bullet"/>
      <w:lvlText w:val="o"/>
      <w:lvlJc w:val="left"/>
      <w:pPr>
        <w:ind w:left="3880" w:hanging="360"/>
      </w:pPr>
      <w:rPr>
        <w:rFonts w:ascii="Courier New" w:hAnsi="Courier New" w:cs="Courier New" w:hint="default"/>
      </w:rPr>
    </w:lvl>
    <w:lvl w:ilvl="5" w:tplc="0C090005" w:tentative="1">
      <w:start w:val="1"/>
      <w:numFmt w:val="bullet"/>
      <w:lvlText w:val=""/>
      <w:lvlJc w:val="left"/>
      <w:pPr>
        <w:ind w:left="4600" w:hanging="360"/>
      </w:pPr>
      <w:rPr>
        <w:rFonts w:ascii="Wingdings" w:hAnsi="Wingdings" w:hint="default"/>
      </w:rPr>
    </w:lvl>
    <w:lvl w:ilvl="6" w:tplc="0C090001" w:tentative="1">
      <w:start w:val="1"/>
      <w:numFmt w:val="bullet"/>
      <w:lvlText w:val=""/>
      <w:lvlJc w:val="left"/>
      <w:pPr>
        <w:ind w:left="5320" w:hanging="360"/>
      </w:pPr>
      <w:rPr>
        <w:rFonts w:ascii="Symbol" w:hAnsi="Symbol" w:hint="default"/>
      </w:rPr>
    </w:lvl>
    <w:lvl w:ilvl="7" w:tplc="0C090003" w:tentative="1">
      <w:start w:val="1"/>
      <w:numFmt w:val="bullet"/>
      <w:lvlText w:val="o"/>
      <w:lvlJc w:val="left"/>
      <w:pPr>
        <w:ind w:left="6040" w:hanging="360"/>
      </w:pPr>
      <w:rPr>
        <w:rFonts w:ascii="Courier New" w:hAnsi="Courier New" w:cs="Courier New" w:hint="default"/>
      </w:rPr>
    </w:lvl>
    <w:lvl w:ilvl="8" w:tplc="0C090005" w:tentative="1">
      <w:start w:val="1"/>
      <w:numFmt w:val="bullet"/>
      <w:lvlText w:val=""/>
      <w:lvlJc w:val="left"/>
      <w:pPr>
        <w:ind w:left="6760" w:hanging="360"/>
      </w:pPr>
      <w:rPr>
        <w:rFonts w:ascii="Wingdings" w:hAnsi="Wingdings" w:hint="default"/>
      </w:rPr>
    </w:lvl>
  </w:abstractNum>
  <w:abstractNum w:abstractNumId="6" w15:restartNumberingAfterBreak="0">
    <w:nsid w:val="0DC86FBD"/>
    <w:multiLevelType w:val="hybridMultilevel"/>
    <w:tmpl w:val="C7B87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2A01BB"/>
    <w:multiLevelType w:val="hybridMultilevel"/>
    <w:tmpl w:val="0F6CF0A4"/>
    <w:lvl w:ilvl="0" w:tplc="9F02A3BE">
      <w:start w:val="14"/>
      <w:numFmt w:val="bullet"/>
      <w:lvlText w:val="•"/>
      <w:lvlJc w:val="left"/>
      <w:pPr>
        <w:ind w:left="360" w:hanging="360"/>
      </w:pPr>
      <w:rPr>
        <w:rFonts w:ascii="Arial" w:eastAsiaTheme="minorHAnsi" w:hAnsi="Arial" w:cs="Arial" w:hint="default"/>
      </w:rPr>
    </w:lvl>
    <w:lvl w:ilvl="1" w:tplc="0C090003">
      <w:start w:val="1"/>
      <w:numFmt w:val="bullet"/>
      <w:lvlText w:val="o"/>
      <w:lvlJc w:val="left"/>
      <w:pPr>
        <w:ind w:left="932" w:hanging="360"/>
      </w:pPr>
      <w:rPr>
        <w:rFonts w:ascii="Courier New" w:hAnsi="Courier New" w:cs="Courier New" w:hint="default"/>
      </w:rPr>
    </w:lvl>
    <w:lvl w:ilvl="2" w:tplc="0C090005" w:tentative="1">
      <w:start w:val="1"/>
      <w:numFmt w:val="bullet"/>
      <w:lvlText w:val=""/>
      <w:lvlJc w:val="left"/>
      <w:pPr>
        <w:ind w:left="1652" w:hanging="360"/>
      </w:pPr>
      <w:rPr>
        <w:rFonts w:ascii="Wingdings" w:hAnsi="Wingdings" w:hint="default"/>
      </w:rPr>
    </w:lvl>
    <w:lvl w:ilvl="3" w:tplc="0C090001" w:tentative="1">
      <w:start w:val="1"/>
      <w:numFmt w:val="bullet"/>
      <w:lvlText w:val=""/>
      <w:lvlJc w:val="left"/>
      <w:pPr>
        <w:ind w:left="2372" w:hanging="360"/>
      </w:pPr>
      <w:rPr>
        <w:rFonts w:ascii="Symbol" w:hAnsi="Symbol" w:hint="default"/>
      </w:rPr>
    </w:lvl>
    <w:lvl w:ilvl="4" w:tplc="0C090003" w:tentative="1">
      <w:start w:val="1"/>
      <w:numFmt w:val="bullet"/>
      <w:lvlText w:val="o"/>
      <w:lvlJc w:val="left"/>
      <w:pPr>
        <w:ind w:left="3092" w:hanging="360"/>
      </w:pPr>
      <w:rPr>
        <w:rFonts w:ascii="Courier New" w:hAnsi="Courier New" w:cs="Courier New" w:hint="default"/>
      </w:rPr>
    </w:lvl>
    <w:lvl w:ilvl="5" w:tplc="0C090005" w:tentative="1">
      <w:start w:val="1"/>
      <w:numFmt w:val="bullet"/>
      <w:lvlText w:val=""/>
      <w:lvlJc w:val="left"/>
      <w:pPr>
        <w:ind w:left="3812" w:hanging="360"/>
      </w:pPr>
      <w:rPr>
        <w:rFonts w:ascii="Wingdings" w:hAnsi="Wingdings" w:hint="default"/>
      </w:rPr>
    </w:lvl>
    <w:lvl w:ilvl="6" w:tplc="0C090001" w:tentative="1">
      <w:start w:val="1"/>
      <w:numFmt w:val="bullet"/>
      <w:lvlText w:val=""/>
      <w:lvlJc w:val="left"/>
      <w:pPr>
        <w:ind w:left="4532" w:hanging="360"/>
      </w:pPr>
      <w:rPr>
        <w:rFonts w:ascii="Symbol" w:hAnsi="Symbol" w:hint="default"/>
      </w:rPr>
    </w:lvl>
    <w:lvl w:ilvl="7" w:tplc="0C090003" w:tentative="1">
      <w:start w:val="1"/>
      <w:numFmt w:val="bullet"/>
      <w:lvlText w:val="o"/>
      <w:lvlJc w:val="left"/>
      <w:pPr>
        <w:ind w:left="5252" w:hanging="360"/>
      </w:pPr>
      <w:rPr>
        <w:rFonts w:ascii="Courier New" w:hAnsi="Courier New" w:cs="Courier New" w:hint="default"/>
      </w:rPr>
    </w:lvl>
    <w:lvl w:ilvl="8" w:tplc="0C090005" w:tentative="1">
      <w:start w:val="1"/>
      <w:numFmt w:val="bullet"/>
      <w:lvlText w:val=""/>
      <w:lvlJc w:val="left"/>
      <w:pPr>
        <w:ind w:left="5972" w:hanging="360"/>
      </w:pPr>
      <w:rPr>
        <w:rFonts w:ascii="Wingdings" w:hAnsi="Wingdings" w:hint="default"/>
      </w:rPr>
    </w:lvl>
  </w:abstractNum>
  <w:abstractNum w:abstractNumId="8" w15:restartNumberingAfterBreak="0">
    <w:nsid w:val="47EC5EDA"/>
    <w:multiLevelType w:val="hybridMultilevel"/>
    <w:tmpl w:val="8586D2F2"/>
    <w:lvl w:ilvl="0" w:tplc="0DC81C44">
      <w:start w:val="1"/>
      <w:numFmt w:val="bullet"/>
      <w:pStyle w:val="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8F82681"/>
    <w:multiLevelType w:val="hybridMultilevel"/>
    <w:tmpl w:val="9926F4CE"/>
    <w:lvl w:ilvl="0" w:tplc="F9AA8EE4">
      <w:start w:val="1"/>
      <w:numFmt w:val="lowerLetter"/>
      <w:pStyle w:val="Listlett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3D246ED"/>
    <w:multiLevelType w:val="multilevel"/>
    <w:tmpl w:val="A09AAA58"/>
    <w:name w:val="Number List"/>
    <w:lvl w:ilvl="0">
      <w:start w:val="1"/>
      <w:numFmt w:val="decimal"/>
      <w:lvlRestart w:val="0"/>
      <w:pStyle w:val="ListNumber"/>
      <w:lvlText w:val="%1"/>
      <w:lvlJc w:val="left"/>
      <w:pPr>
        <w:tabs>
          <w:tab w:val="num" w:pos="567"/>
        </w:tabs>
        <w:ind w:left="567" w:hanging="567"/>
      </w:pPr>
    </w:lvl>
    <w:lvl w:ilvl="1">
      <w:start w:val="1"/>
      <w:numFmt w:val="decimal"/>
      <w:pStyle w:val="ListNumber2"/>
      <w:lvlText w:val="%1.%2"/>
      <w:lvlJc w:val="left"/>
      <w:pPr>
        <w:tabs>
          <w:tab w:val="num" w:pos="567"/>
        </w:tabs>
        <w:ind w:left="567" w:hanging="567"/>
      </w:pPr>
    </w:lvl>
    <w:lvl w:ilvl="2">
      <w:start w:val="1"/>
      <w:numFmt w:val="decimal"/>
      <w:pStyle w:val="ListNumber3"/>
      <w:lvlText w:val="%1.%2.%3"/>
      <w:lvlJc w:val="left"/>
      <w:pPr>
        <w:tabs>
          <w:tab w:val="num" w:pos="720"/>
        </w:tabs>
        <w:ind w:left="567" w:hanging="567"/>
      </w:pPr>
    </w:lvl>
    <w:lvl w:ilvl="3">
      <w:start w:val="1"/>
      <w:numFmt w:val="decimal"/>
      <w:lvlText w:val="%1.%2.%3.%4."/>
      <w:lvlJc w:val="left"/>
      <w:pPr>
        <w:tabs>
          <w:tab w:val="num" w:pos="1440"/>
        </w:tabs>
        <w:ind w:left="1366" w:hanging="646"/>
      </w:pPr>
    </w:lvl>
    <w:lvl w:ilvl="4">
      <w:start w:val="1"/>
      <w:numFmt w:val="decimal"/>
      <w:lvlText w:val="%1.%2.%3.%4.%5."/>
      <w:lvlJc w:val="left"/>
      <w:pPr>
        <w:tabs>
          <w:tab w:val="num" w:pos="2880"/>
        </w:tabs>
        <w:ind w:left="1871" w:hanging="794"/>
      </w:pPr>
    </w:lvl>
    <w:lvl w:ilvl="5">
      <w:start w:val="1"/>
      <w:numFmt w:val="decimal"/>
      <w:lvlText w:val="%1.%2.%3.%4.%5.%6."/>
      <w:lvlJc w:val="left"/>
      <w:pPr>
        <w:tabs>
          <w:tab w:val="num" w:pos="3600"/>
        </w:tabs>
        <w:ind w:left="2375" w:hanging="935"/>
      </w:pPr>
    </w:lvl>
    <w:lvl w:ilvl="6">
      <w:start w:val="1"/>
      <w:numFmt w:val="decimal"/>
      <w:lvlText w:val="%1.%2.%3.%4.%5.%6.%7."/>
      <w:lvlJc w:val="left"/>
      <w:pPr>
        <w:tabs>
          <w:tab w:val="num" w:pos="4320"/>
        </w:tabs>
        <w:ind w:left="2880" w:hanging="1083"/>
      </w:pPr>
    </w:lvl>
    <w:lvl w:ilvl="7">
      <w:start w:val="1"/>
      <w:numFmt w:val="decimal"/>
      <w:lvlText w:val="%1.%2.%3.%4.%5.%6.%7.%8."/>
      <w:lvlJc w:val="left"/>
      <w:pPr>
        <w:tabs>
          <w:tab w:val="num" w:pos="5040"/>
        </w:tabs>
        <w:ind w:left="3385" w:hanging="1225"/>
      </w:pPr>
    </w:lvl>
    <w:lvl w:ilvl="8">
      <w:start w:val="1"/>
      <w:numFmt w:val="decimal"/>
      <w:lvlText w:val="%1.%2.%3.%4.%5.%6.%7.%8.%9."/>
      <w:lvlJc w:val="left"/>
      <w:pPr>
        <w:tabs>
          <w:tab w:val="num" w:pos="5760"/>
        </w:tabs>
        <w:ind w:left="3957" w:hanging="1440"/>
      </w:pPr>
    </w:lvl>
  </w:abstractNum>
  <w:abstractNum w:abstractNumId="11" w15:restartNumberingAfterBreak="0">
    <w:nsid w:val="67655653"/>
    <w:multiLevelType w:val="singleLevel"/>
    <w:tmpl w:val="5802AB64"/>
    <w:name w:val="Bullet List 3"/>
    <w:lvl w:ilvl="0">
      <w:start w:val="1"/>
      <w:numFmt w:val="bullet"/>
      <w:pStyle w:val="ListBullet3"/>
      <w:lvlText w:val="○"/>
      <w:lvlJc w:val="left"/>
      <w:pPr>
        <w:ind w:left="1000" w:hanging="360"/>
      </w:pPr>
      <w:rPr>
        <w:rFonts w:ascii="Arial" w:hAnsi="Arial" w:hint="default"/>
      </w:rPr>
    </w:lvl>
  </w:abstractNum>
  <w:abstractNum w:abstractNumId="12" w15:restartNumberingAfterBreak="0">
    <w:nsid w:val="69C15C90"/>
    <w:multiLevelType w:val="hybridMultilevel"/>
    <w:tmpl w:val="884A10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F5601D9"/>
    <w:multiLevelType w:val="singleLevel"/>
    <w:tmpl w:val="5E22B866"/>
    <w:name w:val="Bullet List 2"/>
    <w:lvl w:ilvl="0">
      <w:start w:val="1"/>
      <w:numFmt w:val="bullet"/>
      <w:lvlRestart w:val="0"/>
      <w:lvlText w:val="-"/>
      <w:lvlJc w:val="left"/>
      <w:pPr>
        <w:tabs>
          <w:tab w:val="num" w:pos="1134"/>
        </w:tabs>
        <w:ind w:left="1134" w:hanging="567"/>
      </w:pPr>
      <w:rPr>
        <w:rFonts w:ascii="Times New Roman" w:hAnsi="Times New Roman" w:cs="Times New Roman"/>
      </w:rPr>
    </w:lvl>
  </w:abstractNum>
  <w:abstractNum w:abstractNumId="14" w15:restartNumberingAfterBreak="0">
    <w:nsid w:val="7E5C6AF4"/>
    <w:multiLevelType w:val="hybridMultilevel"/>
    <w:tmpl w:val="1E2CD3B6"/>
    <w:lvl w:ilvl="0" w:tplc="9F02A3BE">
      <w:start w:val="14"/>
      <w:numFmt w:val="bullet"/>
      <w:lvlText w:val="•"/>
      <w:lvlJc w:val="left"/>
      <w:pPr>
        <w:ind w:left="588" w:hanging="360"/>
      </w:pPr>
      <w:rPr>
        <w:rFonts w:ascii="Arial" w:eastAsiaTheme="minorHAnsi" w:hAnsi="Arial" w:cs="Arial" w:hint="default"/>
      </w:rPr>
    </w:lvl>
    <w:lvl w:ilvl="1" w:tplc="0C090003" w:tentative="1">
      <w:start w:val="1"/>
      <w:numFmt w:val="bullet"/>
      <w:lvlText w:val="o"/>
      <w:lvlJc w:val="left"/>
      <w:pPr>
        <w:ind w:left="1308" w:hanging="360"/>
      </w:pPr>
      <w:rPr>
        <w:rFonts w:ascii="Courier New" w:hAnsi="Courier New" w:cs="Courier New" w:hint="default"/>
      </w:rPr>
    </w:lvl>
    <w:lvl w:ilvl="2" w:tplc="0C090005" w:tentative="1">
      <w:start w:val="1"/>
      <w:numFmt w:val="bullet"/>
      <w:lvlText w:val=""/>
      <w:lvlJc w:val="left"/>
      <w:pPr>
        <w:ind w:left="2028" w:hanging="360"/>
      </w:pPr>
      <w:rPr>
        <w:rFonts w:ascii="Wingdings" w:hAnsi="Wingdings" w:hint="default"/>
      </w:rPr>
    </w:lvl>
    <w:lvl w:ilvl="3" w:tplc="0C090001" w:tentative="1">
      <w:start w:val="1"/>
      <w:numFmt w:val="bullet"/>
      <w:lvlText w:val=""/>
      <w:lvlJc w:val="left"/>
      <w:pPr>
        <w:ind w:left="2748" w:hanging="360"/>
      </w:pPr>
      <w:rPr>
        <w:rFonts w:ascii="Symbol" w:hAnsi="Symbol" w:hint="default"/>
      </w:rPr>
    </w:lvl>
    <w:lvl w:ilvl="4" w:tplc="0C090003" w:tentative="1">
      <w:start w:val="1"/>
      <w:numFmt w:val="bullet"/>
      <w:lvlText w:val="o"/>
      <w:lvlJc w:val="left"/>
      <w:pPr>
        <w:ind w:left="3468" w:hanging="360"/>
      </w:pPr>
      <w:rPr>
        <w:rFonts w:ascii="Courier New" w:hAnsi="Courier New" w:cs="Courier New" w:hint="default"/>
      </w:rPr>
    </w:lvl>
    <w:lvl w:ilvl="5" w:tplc="0C090005" w:tentative="1">
      <w:start w:val="1"/>
      <w:numFmt w:val="bullet"/>
      <w:lvlText w:val=""/>
      <w:lvlJc w:val="left"/>
      <w:pPr>
        <w:ind w:left="4188" w:hanging="360"/>
      </w:pPr>
      <w:rPr>
        <w:rFonts w:ascii="Wingdings" w:hAnsi="Wingdings" w:hint="default"/>
      </w:rPr>
    </w:lvl>
    <w:lvl w:ilvl="6" w:tplc="0C090001" w:tentative="1">
      <w:start w:val="1"/>
      <w:numFmt w:val="bullet"/>
      <w:lvlText w:val=""/>
      <w:lvlJc w:val="left"/>
      <w:pPr>
        <w:ind w:left="4908" w:hanging="360"/>
      </w:pPr>
      <w:rPr>
        <w:rFonts w:ascii="Symbol" w:hAnsi="Symbol" w:hint="default"/>
      </w:rPr>
    </w:lvl>
    <w:lvl w:ilvl="7" w:tplc="0C090003" w:tentative="1">
      <w:start w:val="1"/>
      <w:numFmt w:val="bullet"/>
      <w:lvlText w:val="o"/>
      <w:lvlJc w:val="left"/>
      <w:pPr>
        <w:ind w:left="5628" w:hanging="360"/>
      </w:pPr>
      <w:rPr>
        <w:rFonts w:ascii="Courier New" w:hAnsi="Courier New" w:cs="Courier New" w:hint="default"/>
      </w:rPr>
    </w:lvl>
    <w:lvl w:ilvl="8" w:tplc="0C090005" w:tentative="1">
      <w:start w:val="1"/>
      <w:numFmt w:val="bullet"/>
      <w:lvlText w:val=""/>
      <w:lvlJc w:val="left"/>
      <w:pPr>
        <w:ind w:left="6348" w:hanging="360"/>
      </w:pPr>
      <w:rPr>
        <w:rFonts w:ascii="Wingdings" w:hAnsi="Wingdings" w:hint="default"/>
      </w:rPr>
    </w:lvl>
  </w:abstractNum>
  <w:abstractNum w:abstractNumId="15" w15:restartNumberingAfterBreak="0">
    <w:nsid w:val="7E61285D"/>
    <w:multiLevelType w:val="singleLevel"/>
    <w:tmpl w:val="EDE4EABC"/>
    <w:name w:val="Bullet List 1"/>
    <w:lvl w:ilvl="0">
      <w:start w:val="1"/>
      <w:numFmt w:val="bullet"/>
      <w:lvlRestart w:val="0"/>
      <w:lvlText w:val=""/>
      <w:lvlJc w:val="left"/>
      <w:pPr>
        <w:tabs>
          <w:tab w:val="num" w:pos="567"/>
        </w:tabs>
        <w:ind w:left="567" w:hanging="567"/>
      </w:pPr>
      <w:rPr>
        <w:rFonts w:ascii="Symbol" w:hAnsi="Symbol" w:hint="default"/>
      </w:rPr>
    </w:lvl>
  </w:abstractNum>
  <w:abstractNum w:abstractNumId="16" w15:restartNumberingAfterBreak="0">
    <w:nsid w:val="7FB7528C"/>
    <w:multiLevelType w:val="singleLevel"/>
    <w:tmpl w:val="2548BC40"/>
    <w:lvl w:ilvl="0">
      <w:start w:val="1"/>
      <w:numFmt w:val="bullet"/>
      <w:pStyle w:val="ListBullet2"/>
      <w:lvlText w:val="̶"/>
      <w:lvlJc w:val="left"/>
      <w:pPr>
        <w:ind w:left="720" w:hanging="360"/>
      </w:pPr>
      <w:rPr>
        <w:rFonts w:ascii="Arial" w:hAnsi="Arial" w:hint="default"/>
      </w:rPr>
    </w:lvl>
  </w:abstractNum>
  <w:num w:numId="1" w16cid:durableId="555288349">
    <w:abstractNumId w:val="8"/>
  </w:num>
  <w:num w:numId="2" w16cid:durableId="565259530">
    <w:abstractNumId w:val="16"/>
  </w:num>
  <w:num w:numId="3" w16cid:durableId="1202328764">
    <w:abstractNumId w:val="11"/>
  </w:num>
  <w:num w:numId="4" w16cid:durableId="148521376">
    <w:abstractNumId w:val="10"/>
  </w:num>
  <w:num w:numId="5" w16cid:durableId="1175416027">
    <w:abstractNumId w:val="3"/>
  </w:num>
  <w:num w:numId="6" w16cid:durableId="1966235430">
    <w:abstractNumId w:val="2"/>
  </w:num>
  <w:num w:numId="7" w16cid:durableId="1726293462">
    <w:abstractNumId w:val="1"/>
  </w:num>
  <w:num w:numId="8" w16cid:durableId="1369180055">
    <w:abstractNumId w:val="0"/>
  </w:num>
  <w:num w:numId="9" w16cid:durableId="1753578427">
    <w:abstractNumId w:val="6"/>
  </w:num>
  <w:num w:numId="10" w16cid:durableId="1126005326">
    <w:abstractNumId w:val="14"/>
  </w:num>
  <w:num w:numId="11" w16cid:durableId="1410468043">
    <w:abstractNumId w:val="5"/>
  </w:num>
  <w:num w:numId="12" w16cid:durableId="691616987">
    <w:abstractNumId w:val="12"/>
  </w:num>
  <w:num w:numId="13" w16cid:durableId="256864261">
    <w:abstractNumId w:val="7"/>
  </w:num>
  <w:num w:numId="14" w16cid:durableId="419059317">
    <w:abstractNumId w:val="4"/>
  </w:num>
  <w:num w:numId="15" w16cid:durableId="5651879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2835995">
    <w:abstractNumId w:val="9"/>
  </w:num>
  <w:num w:numId="17" w16cid:durableId="852915762">
    <w:abstractNumId w:val="9"/>
    <w:lvlOverride w:ilvl="0">
      <w:startOverride w:val="1"/>
    </w:lvlOverride>
  </w:num>
  <w:num w:numId="18" w16cid:durableId="290552705">
    <w:abstractNumId w:val="9"/>
    <w:lvlOverride w:ilvl="0">
      <w:startOverride w:val="1"/>
    </w:lvlOverride>
  </w:num>
  <w:num w:numId="19" w16cid:durableId="463349326">
    <w:abstractNumId w:val="9"/>
    <w:lvlOverride w:ilvl="0">
      <w:startOverride w:val="1"/>
    </w:lvlOverride>
  </w:num>
  <w:num w:numId="20" w16cid:durableId="983243971">
    <w:abstractNumId w:val="9"/>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PaneSortMethod w:val="0004"/>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3C6"/>
    <w:rsid w:val="0000329D"/>
    <w:rsid w:val="00003A06"/>
    <w:rsid w:val="00012CAD"/>
    <w:rsid w:val="00013220"/>
    <w:rsid w:val="0001356D"/>
    <w:rsid w:val="00014E72"/>
    <w:rsid w:val="0002222A"/>
    <w:rsid w:val="00024C73"/>
    <w:rsid w:val="00035A97"/>
    <w:rsid w:val="000403F8"/>
    <w:rsid w:val="00040D81"/>
    <w:rsid w:val="000433B5"/>
    <w:rsid w:val="00047674"/>
    <w:rsid w:val="00054C11"/>
    <w:rsid w:val="00062047"/>
    <w:rsid w:val="00063EC5"/>
    <w:rsid w:val="0006576B"/>
    <w:rsid w:val="00067CCE"/>
    <w:rsid w:val="00073B95"/>
    <w:rsid w:val="00073E13"/>
    <w:rsid w:val="00083D07"/>
    <w:rsid w:val="000919D4"/>
    <w:rsid w:val="00091B9C"/>
    <w:rsid w:val="00094BA5"/>
    <w:rsid w:val="000A1FF6"/>
    <w:rsid w:val="000A21FE"/>
    <w:rsid w:val="000A65A9"/>
    <w:rsid w:val="000A6A0D"/>
    <w:rsid w:val="000A717C"/>
    <w:rsid w:val="000B62D3"/>
    <w:rsid w:val="000B7253"/>
    <w:rsid w:val="000C32E7"/>
    <w:rsid w:val="000E5466"/>
    <w:rsid w:val="000F1F6C"/>
    <w:rsid w:val="000F240A"/>
    <w:rsid w:val="00101A73"/>
    <w:rsid w:val="001155ED"/>
    <w:rsid w:val="0011594D"/>
    <w:rsid w:val="0013309E"/>
    <w:rsid w:val="0014079C"/>
    <w:rsid w:val="00140CB2"/>
    <w:rsid w:val="0015036A"/>
    <w:rsid w:val="00150700"/>
    <w:rsid w:val="00151D00"/>
    <w:rsid w:val="00154AB7"/>
    <w:rsid w:val="001557C8"/>
    <w:rsid w:val="001604CA"/>
    <w:rsid w:val="001613BC"/>
    <w:rsid w:val="00162597"/>
    <w:rsid w:val="00171882"/>
    <w:rsid w:val="001722A9"/>
    <w:rsid w:val="00172F20"/>
    <w:rsid w:val="001809B9"/>
    <w:rsid w:val="0018390F"/>
    <w:rsid w:val="00190D28"/>
    <w:rsid w:val="001935FE"/>
    <w:rsid w:val="001A187B"/>
    <w:rsid w:val="001A79B1"/>
    <w:rsid w:val="001F6C6A"/>
    <w:rsid w:val="002023A3"/>
    <w:rsid w:val="00204A19"/>
    <w:rsid w:val="00216C9B"/>
    <w:rsid w:val="002203EC"/>
    <w:rsid w:val="00242092"/>
    <w:rsid w:val="00246B70"/>
    <w:rsid w:val="002514F8"/>
    <w:rsid w:val="00262D70"/>
    <w:rsid w:val="00263125"/>
    <w:rsid w:val="00264714"/>
    <w:rsid w:val="00267FDF"/>
    <w:rsid w:val="002762B2"/>
    <w:rsid w:val="00280C03"/>
    <w:rsid w:val="002909B5"/>
    <w:rsid w:val="00293985"/>
    <w:rsid w:val="002A7912"/>
    <w:rsid w:val="002B7001"/>
    <w:rsid w:val="002C1AE3"/>
    <w:rsid w:val="002C1FBA"/>
    <w:rsid w:val="002C4110"/>
    <w:rsid w:val="002C4904"/>
    <w:rsid w:val="002D2AB2"/>
    <w:rsid w:val="002D3B9C"/>
    <w:rsid w:val="002D5123"/>
    <w:rsid w:val="002D6779"/>
    <w:rsid w:val="002D7D2F"/>
    <w:rsid w:val="002E5F86"/>
    <w:rsid w:val="002F2FF2"/>
    <w:rsid w:val="002F5ED8"/>
    <w:rsid w:val="00321BB9"/>
    <w:rsid w:val="00330284"/>
    <w:rsid w:val="0034090D"/>
    <w:rsid w:val="00347BAF"/>
    <w:rsid w:val="003533A6"/>
    <w:rsid w:val="00355D63"/>
    <w:rsid w:val="00361176"/>
    <w:rsid w:val="003613C6"/>
    <w:rsid w:val="00367A47"/>
    <w:rsid w:val="003832A1"/>
    <w:rsid w:val="00393FD1"/>
    <w:rsid w:val="00394461"/>
    <w:rsid w:val="003B213C"/>
    <w:rsid w:val="003B3F5D"/>
    <w:rsid w:val="003B4322"/>
    <w:rsid w:val="003B6A87"/>
    <w:rsid w:val="003C201D"/>
    <w:rsid w:val="003C73AE"/>
    <w:rsid w:val="003D3DDE"/>
    <w:rsid w:val="003D5B4B"/>
    <w:rsid w:val="003E0083"/>
    <w:rsid w:val="003E0F7C"/>
    <w:rsid w:val="003E7B3E"/>
    <w:rsid w:val="003F021E"/>
    <w:rsid w:val="003F12FF"/>
    <w:rsid w:val="003F13CE"/>
    <w:rsid w:val="0040194D"/>
    <w:rsid w:val="004060C2"/>
    <w:rsid w:val="0041397D"/>
    <w:rsid w:val="0042018F"/>
    <w:rsid w:val="00420B8B"/>
    <w:rsid w:val="00430723"/>
    <w:rsid w:val="00433D24"/>
    <w:rsid w:val="00433EBB"/>
    <w:rsid w:val="00435625"/>
    <w:rsid w:val="00444D2D"/>
    <w:rsid w:val="00445D40"/>
    <w:rsid w:val="00454948"/>
    <w:rsid w:val="00464141"/>
    <w:rsid w:val="00482035"/>
    <w:rsid w:val="004929AF"/>
    <w:rsid w:val="00492B82"/>
    <w:rsid w:val="00492FF4"/>
    <w:rsid w:val="00495400"/>
    <w:rsid w:val="004A0E65"/>
    <w:rsid w:val="004A12BC"/>
    <w:rsid w:val="004A5840"/>
    <w:rsid w:val="004B6A28"/>
    <w:rsid w:val="004C5ECC"/>
    <w:rsid w:val="004C6FAE"/>
    <w:rsid w:val="004D56A9"/>
    <w:rsid w:val="004D770C"/>
    <w:rsid w:val="004E29B4"/>
    <w:rsid w:val="004E4581"/>
    <w:rsid w:val="004F108A"/>
    <w:rsid w:val="004F3FB3"/>
    <w:rsid w:val="005009C7"/>
    <w:rsid w:val="00503AD7"/>
    <w:rsid w:val="005075D9"/>
    <w:rsid w:val="00511F74"/>
    <w:rsid w:val="00515DDC"/>
    <w:rsid w:val="005316BD"/>
    <w:rsid w:val="005356D0"/>
    <w:rsid w:val="005429A8"/>
    <w:rsid w:val="00545452"/>
    <w:rsid w:val="00546311"/>
    <w:rsid w:val="00554223"/>
    <w:rsid w:val="005554E9"/>
    <w:rsid w:val="00557A78"/>
    <w:rsid w:val="00560347"/>
    <w:rsid w:val="005628F2"/>
    <w:rsid w:val="00567279"/>
    <w:rsid w:val="0057282C"/>
    <w:rsid w:val="00574277"/>
    <w:rsid w:val="0057777A"/>
    <w:rsid w:val="00581325"/>
    <w:rsid w:val="00585FAB"/>
    <w:rsid w:val="00596985"/>
    <w:rsid w:val="00596F31"/>
    <w:rsid w:val="005B03B0"/>
    <w:rsid w:val="005B366A"/>
    <w:rsid w:val="005B5D84"/>
    <w:rsid w:val="005B60B8"/>
    <w:rsid w:val="005C435D"/>
    <w:rsid w:val="005C6720"/>
    <w:rsid w:val="005F07A0"/>
    <w:rsid w:val="005F5281"/>
    <w:rsid w:val="005F5368"/>
    <w:rsid w:val="005F74EA"/>
    <w:rsid w:val="00601688"/>
    <w:rsid w:val="006169D1"/>
    <w:rsid w:val="00624F83"/>
    <w:rsid w:val="00626B30"/>
    <w:rsid w:val="00631512"/>
    <w:rsid w:val="006319CE"/>
    <w:rsid w:val="00640FA4"/>
    <w:rsid w:val="006454B3"/>
    <w:rsid w:val="00650A5D"/>
    <w:rsid w:val="00651913"/>
    <w:rsid w:val="00667215"/>
    <w:rsid w:val="00667F48"/>
    <w:rsid w:val="0067263C"/>
    <w:rsid w:val="0067596A"/>
    <w:rsid w:val="0068573B"/>
    <w:rsid w:val="00686341"/>
    <w:rsid w:val="00687850"/>
    <w:rsid w:val="006879AF"/>
    <w:rsid w:val="006902D2"/>
    <w:rsid w:val="00692EE8"/>
    <w:rsid w:val="0069763E"/>
    <w:rsid w:val="006A14A6"/>
    <w:rsid w:val="006A257D"/>
    <w:rsid w:val="006A6EC1"/>
    <w:rsid w:val="006B18FA"/>
    <w:rsid w:val="006D01E9"/>
    <w:rsid w:val="006D62FC"/>
    <w:rsid w:val="006F44A2"/>
    <w:rsid w:val="006F7B3D"/>
    <w:rsid w:val="006F7C81"/>
    <w:rsid w:val="00702E2B"/>
    <w:rsid w:val="00715DBD"/>
    <w:rsid w:val="00723604"/>
    <w:rsid w:val="007260BD"/>
    <w:rsid w:val="00730901"/>
    <w:rsid w:val="00730DE4"/>
    <w:rsid w:val="007345BF"/>
    <w:rsid w:val="00737BE9"/>
    <w:rsid w:val="00773DE6"/>
    <w:rsid w:val="007758AD"/>
    <w:rsid w:val="007777F6"/>
    <w:rsid w:val="00791F49"/>
    <w:rsid w:val="00792A7B"/>
    <w:rsid w:val="00794CEF"/>
    <w:rsid w:val="007962F2"/>
    <w:rsid w:val="00797970"/>
    <w:rsid w:val="007A5D5A"/>
    <w:rsid w:val="007A6B20"/>
    <w:rsid w:val="007B023C"/>
    <w:rsid w:val="007B1D1E"/>
    <w:rsid w:val="007B55B4"/>
    <w:rsid w:val="007B5787"/>
    <w:rsid w:val="007D7AB7"/>
    <w:rsid w:val="007E0CD4"/>
    <w:rsid w:val="007E45D3"/>
    <w:rsid w:val="007E47D8"/>
    <w:rsid w:val="007E5D9B"/>
    <w:rsid w:val="007E6613"/>
    <w:rsid w:val="007F5591"/>
    <w:rsid w:val="007F5D93"/>
    <w:rsid w:val="00805AE6"/>
    <w:rsid w:val="00805CF7"/>
    <w:rsid w:val="00814FE6"/>
    <w:rsid w:val="00817400"/>
    <w:rsid w:val="008256B0"/>
    <w:rsid w:val="00831DDA"/>
    <w:rsid w:val="00831DFA"/>
    <w:rsid w:val="00832E05"/>
    <w:rsid w:val="0083652E"/>
    <w:rsid w:val="0083794A"/>
    <w:rsid w:val="0084404D"/>
    <w:rsid w:val="00850F61"/>
    <w:rsid w:val="00873D82"/>
    <w:rsid w:val="00883945"/>
    <w:rsid w:val="008859EB"/>
    <w:rsid w:val="0088793C"/>
    <w:rsid w:val="008938DB"/>
    <w:rsid w:val="008A05EE"/>
    <w:rsid w:val="008A7063"/>
    <w:rsid w:val="008C0F00"/>
    <w:rsid w:val="008C4E19"/>
    <w:rsid w:val="008C7462"/>
    <w:rsid w:val="008D1B4D"/>
    <w:rsid w:val="008D375B"/>
    <w:rsid w:val="008D45CD"/>
    <w:rsid w:val="008E08B2"/>
    <w:rsid w:val="008E724E"/>
    <w:rsid w:val="008F15FD"/>
    <w:rsid w:val="008F79AE"/>
    <w:rsid w:val="00900DEE"/>
    <w:rsid w:val="00910872"/>
    <w:rsid w:val="00912B70"/>
    <w:rsid w:val="00923EA4"/>
    <w:rsid w:val="00924579"/>
    <w:rsid w:val="009308E6"/>
    <w:rsid w:val="0093542F"/>
    <w:rsid w:val="0094184C"/>
    <w:rsid w:val="009510A5"/>
    <w:rsid w:val="00954638"/>
    <w:rsid w:val="00954EB3"/>
    <w:rsid w:val="00955CFE"/>
    <w:rsid w:val="009617B0"/>
    <w:rsid w:val="00966CEB"/>
    <w:rsid w:val="00967B32"/>
    <w:rsid w:val="00971339"/>
    <w:rsid w:val="00973734"/>
    <w:rsid w:val="00984F2A"/>
    <w:rsid w:val="009857EF"/>
    <w:rsid w:val="009868A8"/>
    <w:rsid w:val="009A127C"/>
    <w:rsid w:val="009A1FF4"/>
    <w:rsid w:val="009A4AED"/>
    <w:rsid w:val="009A4D71"/>
    <w:rsid w:val="009A6AF9"/>
    <w:rsid w:val="009B024D"/>
    <w:rsid w:val="009C476A"/>
    <w:rsid w:val="009C577D"/>
    <w:rsid w:val="009C6058"/>
    <w:rsid w:val="00A03146"/>
    <w:rsid w:val="00A074ED"/>
    <w:rsid w:val="00A10E29"/>
    <w:rsid w:val="00A13321"/>
    <w:rsid w:val="00A15195"/>
    <w:rsid w:val="00A15347"/>
    <w:rsid w:val="00A22A0A"/>
    <w:rsid w:val="00A250D6"/>
    <w:rsid w:val="00A355BF"/>
    <w:rsid w:val="00A421AF"/>
    <w:rsid w:val="00A63DCB"/>
    <w:rsid w:val="00A654EF"/>
    <w:rsid w:val="00A67B95"/>
    <w:rsid w:val="00A76B73"/>
    <w:rsid w:val="00A77553"/>
    <w:rsid w:val="00A9280E"/>
    <w:rsid w:val="00A930AB"/>
    <w:rsid w:val="00AA76BA"/>
    <w:rsid w:val="00AB456C"/>
    <w:rsid w:val="00AB5A18"/>
    <w:rsid w:val="00AE0B76"/>
    <w:rsid w:val="00AE2692"/>
    <w:rsid w:val="00AF0D67"/>
    <w:rsid w:val="00AF4AC5"/>
    <w:rsid w:val="00B01571"/>
    <w:rsid w:val="00B02107"/>
    <w:rsid w:val="00B1179E"/>
    <w:rsid w:val="00B13631"/>
    <w:rsid w:val="00B15F3B"/>
    <w:rsid w:val="00B44A61"/>
    <w:rsid w:val="00B54845"/>
    <w:rsid w:val="00B56ABB"/>
    <w:rsid w:val="00B65437"/>
    <w:rsid w:val="00B66B3D"/>
    <w:rsid w:val="00B70360"/>
    <w:rsid w:val="00B71644"/>
    <w:rsid w:val="00B9757A"/>
    <w:rsid w:val="00BA55D8"/>
    <w:rsid w:val="00BA5BB2"/>
    <w:rsid w:val="00BA799A"/>
    <w:rsid w:val="00BB29BA"/>
    <w:rsid w:val="00BB35E9"/>
    <w:rsid w:val="00BB5F8C"/>
    <w:rsid w:val="00BB62E2"/>
    <w:rsid w:val="00BC4312"/>
    <w:rsid w:val="00BD14FC"/>
    <w:rsid w:val="00BD4154"/>
    <w:rsid w:val="00BE1D54"/>
    <w:rsid w:val="00BF2BD6"/>
    <w:rsid w:val="00BF3B98"/>
    <w:rsid w:val="00C02D0D"/>
    <w:rsid w:val="00C115F4"/>
    <w:rsid w:val="00C12AC8"/>
    <w:rsid w:val="00C16374"/>
    <w:rsid w:val="00C25514"/>
    <w:rsid w:val="00C266B6"/>
    <w:rsid w:val="00C358A6"/>
    <w:rsid w:val="00C35BDA"/>
    <w:rsid w:val="00C479CB"/>
    <w:rsid w:val="00C5487B"/>
    <w:rsid w:val="00C84ADC"/>
    <w:rsid w:val="00C85D2E"/>
    <w:rsid w:val="00CB3191"/>
    <w:rsid w:val="00CB6F7C"/>
    <w:rsid w:val="00CC16FE"/>
    <w:rsid w:val="00CC58D5"/>
    <w:rsid w:val="00CE0CFA"/>
    <w:rsid w:val="00CE5F2A"/>
    <w:rsid w:val="00CF1B90"/>
    <w:rsid w:val="00CF692C"/>
    <w:rsid w:val="00D00CA4"/>
    <w:rsid w:val="00D15886"/>
    <w:rsid w:val="00D16E06"/>
    <w:rsid w:val="00D242AE"/>
    <w:rsid w:val="00D34E36"/>
    <w:rsid w:val="00D40B95"/>
    <w:rsid w:val="00D62542"/>
    <w:rsid w:val="00D65741"/>
    <w:rsid w:val="00D72D7D"/>
    <w:rsid w:val="00D77F76"/>
    <w:rsid w:val="00D8103A"/>
    <w:rsid w:val="00D83EA5"/>
    <w:rsid w:val="00D840FD"/>
    <w:rsid w:val="00D91F41"/>
    <w:rsid w:val="00D9234F"/>
    <w:rsid w:val="00DA16AE"/>
    <w:rsid w:val="00DA1C0C"/>
    <w:rsid w:val="00DA3F03"/>
    <w:rsid w:val="00DC0880"/>
    <w:rsid w:val="00DD364F"/>
    <w:rsid w:val="00DE0712"/>
    <w:rsid w:val="00DE2E88"/>
    <w:rsid w:val="00DF2DF1"/>
    <w:rsid w:val="00DF71F3"/>
    <w:rsid w:val="00E10FC7"/>
    <w:rsid w:val="00E1135C"/>
    <w:rsid w:val="00E13B27"/>
    <w:rsid w:val="00E13FD1"/>
    <w:rsid w:val="00E14B56"/>
    <w:rsid w:val="00E31410"/>
    <w:rsid w:val="00E4305A"/>
    <w:rsid w:val="00E43405"/>
    <w:rsid w:val="00E434E1"/>
    <w:rsid w:val="00E47617"/>
    <w:rsid w:val="00E56388"/>
    <w:rsid w:val="00E63541"/>
    <w:rsid w:val="00E65C83"/>
    <w:rsid w:val="00E712EE"/>
    <w:rsid w:val="00E71FB5"/>
    <w:rsid w:val="00E72B65"/>
    <w:rsid w:val="00E83F8B"/>
    <w:rsid w:val="00EA1647"/>
    <w:rsid w:val="00EB0E73"/>
    <w:rsid w:val="00EB21D5"/>
    <w:rsid w:val="00EB3C3D"/>
    <w:rsid w:val="00EC6634"/>
    <w:rsid w:val="00EF00D7"/>
    <w:rsid w:val="00EF46EE"/>
    <w:rsid w:val="00F12B31"/>
    <w:rsid w:val="00F16CEA"/>
    <w:rsid w:val="00F266F9"/>
    <w:rsid w:val="00F3649F"/>
    <w:rsid w:val="00F37FE2"/>
    <w:rsid w:val="00F46512"/>
    <w:rsid w:val="00F71EE0"/>
    <w:rsid w:val="00F77ECC"/>
    <w:rsid w:val="00F90037"/>
    <w:rsid w:val="00F9266A"/>
    <w:rsid w:val="00F93E75"/>
    <w:rsid w:val="00F94968"/>
    <w:rsid w:val="00F96E69"/>
    <w:rsid w:val="00FA12DE"/>
    <w:rsid w:val="00FA2FF9"/>
    <w:rsid w:val="00FB54DC"/>
    <w:rsid w:val="00FB59A1"/>
    <w:rsid w:val="00FC76B9"/>
    <w:rsid w:val="00FD0817"/>
    <w:rsid w:val="00FD5312"/>
    <w:rsid w:val="00FD6042"/>
    <w:rsid w:val="00FD67D7"/>
    <w:rsid w:val="00FD7984"/>
    <w:rsid w:val="00FE7BDD"/>
    <w:rsid w:val="00FF14D8"/>
    <w:rsid w:val="00FF40D9"/>
    <w:rsid w:val="00FF56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C29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DE4"/>
    <w:pPr>
      <w:suppressAutoHyphens/>
      <w:spacing w:before="160" w:line="320" w:lineRule="atLeast"/>
    </w:pPr>
    <w:rPr>
      <w:rFonts w:ascii="Arial" w:hAnsi="Arial"/>
      <w:color w:val="18242E" w:themeColor="text1" w:themeTint="E6"/>
      <w:sz w:val="24"/>
    </w:rPr>
  </w:style>
  <w:style w:type="paragraph" w:styleId="Heading1">
    <w:name w:val="heading 1"/>
    <w:basedOn w:val="Normal"/>
    <w:next w:val="Normal"/>
    <w:link w:val="Heading1Char"/>
    <w:uiPriority w:val="9"/>
    <w:qFormat/>
    <w:rsid w:val="002B7001"/>
    <w:pPr>
      <w:keepNext/>
      <w:keepLines/>
      <w:spacing w:before="480" w:line="680" w:lineRule="atLeast"/>
      <w:outlineLvl w:val="0"/>
    </w:pPr>
    <w:rPr>
      <w:rFonts w:eastAsiaTheme="majorEastAsia" w:cstheme="majorBidi"/>
      <w:b/>
      <w:color w:val="080C0F" w:themeColor="text1"/>
      <w:sz w:val="72"/>
      <w:szCs w:val="36"/>
    </w:rPr>
  </w:style>
  <w:style w:type="paragraph" w:styleId="Heading2">
    <w:name w:val="heading 2"/>
    <w:basedOn w:val="Heading1"/>
    <w:next w:val="Normal"/>
    <w:link w:val="Heading2Char"/>
    <w:uiPriority w:val="9"/>
    <w:unhideWhenUsed/>
    <w:qFormat/>
    <w:rsid w:val="002B7001"/>
    <w:pPr>
      <w:spacing w:line="520" w:lineRule="atLeast"/>
      <w:outlineLvl w:val="1"/>
    </w:pPr>
    <w:rPr>
      <w:b w:val="0"/>
      <w:sz w:val="60"/>
      <w:szCs w:val="32"/>
    </w:rPr>
  </w:style>
  <w:style w:type="paragraph" w:styleId="Heading3">
    <w:name w:val="heading 3"/>
    <w:basedOn w:val="Heading1"/>
    <w:next w:val="Normal"/>
    <w:link w:val="Heading3Char"/>
    <w:uiPriority w:val="9"/>
    <w:unhideWhenUsed/>
    <w:qFormat/>
    <w:rsid w:val="002B7001"/>
    <w:pPr>
      <w:spacing w:line="400" w:lineRule="atLeast"/>
      <w:outlineLvl w:val="2"/>
    </w:pPr>
    <w:rPr>
      <w:b w:val="0"/>
      <w:sz w:val="44"/>
      <w:szCs w:val="28"/>
    </w:rPr>
  </w:style>
  <w:style w:type="paragraph" w:styleId="Heading4">
    <w:name w:val="heading 4"/>
    <w:basedOn w:val="Heading1"/>
    <w:next w:val="Normal"/>
    <w:link w:val="Heading4Char"/>
    <w:autoRedefine/>
    <w:uiPriority w:val="9"/>
    <w:unhideWhenUsed/>
    <w:qFormat/>
    <w:rsid w:val="00730DE4"/>
    <w:pPr>
      <w:spacing w:line="320" w:lineRule="atLeast"/>
      <w:outlineLvl w:val="3"/>
    </w:pPr>
    <w:rPr>
      <w:b w:val="0"/>
      <w:sz w:val="32"/>
      <w:szCs w:val="24"/>
    </w:rPr>
  </w:style>
  <w:style w:type="paragraph" w:styleId="Heading5">
    <w:name w:val="heading 5"/>
    <w:basedOn w:val="Normal"/>
    <w:next w:val="Normal"/>
    <w:link w:val="Heading5Char"/>
    <w:uiPriority w:val="9"/>
    <w:unhideWhenUsed/>
    <w:qFormat/>
    <w:rsid w:val="00730DE4"/>
    <w:pPr>
      <w:keepNext/>
      <w:keepLines/>
      <w:spacing w:before="480"/>
      <w:outlineLvl w:val="4"/>
    </w:pPr>
    <w:rPr>
      <w:rFonts w:asciiTheme="majorHAnsi" w:eastAsiaTheme="majorEastAsia" w:hAnsiTheme="majorHAnsi" w:cstheme="majorBidi"/>
      <w:b/>
      <w:color w:val="auto"/>
      <w:sz w:val="28"/>
    </w:rPr>
  </w:style>
  <w:style w:type="paragraph" w:styleId="Heading6">
    <w:name w:val="heading 6"/>
    <w:basedOn w:val="Normal"/>
    <w:next w:val="Normal"/>
    <w:link w:val="Heading6Char"/>
    <w:uiPriority w:val="9"/>
    <w:unhideWhenUsed/>
    <w:qFormat/>
    <w:rsid w:val="00730DE4"/>
    <w:pPr>
      <w:keepNext/>
      <w:keepLines/>
      <w:spacing w:before="320"/>
      <w:outlineLvl w:val="5"/>
    </w:pPr>
    <w:rPr>
      <w:rFonts w:asciiTheme="majorHAnsi" w:eastAsiaTheme="majorEastAsia" w:hAnsiTheme="majorHAnsi" w:cstheme="majorBidi"/>
      <w:b/>
      <w:iCs/>
      <w:color w:val="auto"/>
    </w:rPr>
  </w:style>
  <w:style w:type="paragraph" w:styleId="Heading7">
    <w:name w:val="heading 7"/>
    <w:basedOn w:val="Normal"/>
    <w:next w:val="Normal"/>
    <w:link w:val="Heading7Char"/>
    <w:uiPriority w:val="9"/>
    <w:unhideWhenUsed/>
    <w:qFormat/>
    <w:rsid w:val="00730DE4"/>
    <w:pPr>
      <w:keepNext/>
      <w:keepLines/>
      <w:spacing w:before="320" w:after="0"/>
      <w:outlineLvl w:val="6"/>
    </w:pPr>
    <w:rPr>
      <w:rFonts w:asciiTheme="majorHAnsi" w:eastAsiaTheme="majorEastAsia" w:hAnsiTheme="majorHAnsi" w:cstheme="majorBidi"/>
      <w:bCs/>
      <w:i/>
      <w:color w:val="auto"/>
    </w:rPr>
  </w:style>
  <w:style w:type="paragraph" w:styleId="Heading8">
    <w:name w:val="heading 8"/>
    <w:basedOn w:val="Normal"/>
    <w:next w:val="Normal"/>
    <w:link w:val="Heading8Char"/>
    <w:uiPriority w:val="9"/>
    <w:semiHidden/>
    <w:unhideWhenUsed/>
    <w:qFormat/>
    <w:rsid w:val="00585FAB"/>
    <w:pPr>
      <w:keepNext/>
      <w:keepLines/>
      <w:spacing w:before="40"/>
      <w:outlineLvl w:val="7"/>
    </w:pPr>
    <w:rPr>
      <w:rFonts w:asciiTheme="majorHAnsi" w:eastAsiaTheme="majorEastAsia" w:hAnsiTheme="majorHAnsi" w:cstheme="majorBidi"/>
      <w:b/>
      <w:bCs/>
      <w:i/>
      <w:iCs/>
      <w:color w:val="001E34" w:themeColor="accent1" w:themeShade="80"/>
    </w:rPr>
  </w:style>
  <w:style w:type="paragraph" w:styleId="Heading9">
    <w:name w:val="heading 9"/>
    <w:basedOn w:val="Normal"/>
    <w:next w:val="Normal"/>
    <w:link w:val="Heading9Char"/>
    <w:uiPriority w:val="9"/>
    <w:semiHidden/>
    <w:unhideWhenUsed/>
    <w:qFormat/>
    <w:rsid w:val="00585FAB"/>
    <w:pPr>
      <w:keepNext/>
      <w:keepLines/>
      <w:spacing w:before="40"/>
      <w:outlineLvl w:val="8"/>
    </w:pPr>
    <w:rPr>
      <w:rFonts w:asciiTheme="majorHAnsi" w:eastAsiaTheme="majorEastAsia" w:hAnsiTheme="majorHAnsi" w:cstheme="majorBidi"/>
      <w:i/>
      <w:iCs/>
      <w:color w:val="001E3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uiPriority w:val="99"/>
    <w:unhideWhenUsed/>
    <w:qFormat/>
    <w:rsid w:val="00503AD7"/>
  </w:style>
  <w:style w:type="character" w:customStyle="1" w:styleId="BodyTextChar">
    <w:name w:val="Body Text Char"/>
    <w:basedOn w:val="DefaultParagraphFont"/>
    <w:link w:val="BodyText"/>
    <w:uiPriority w:val="99"/>
    <w:rsid w:val="00503AD7"/>
    <w:rPr>
      <w:rFonts w:ascii="Arial" w:hAnsi="Arial"/>
      <w:sz w:val="24"/>
    </w:rPr>
  </w:style>
  <w:style w:type="paragraph" w:styleId="Footer">
    <w:name w:val="footer"/>
    <w:basedOn w:val="Normal"/>
    <w:link w:val="FooterChar"/>
    <w:uiPriority w:val="99"/>
    <w:unhideWhenUsed/>
    <w:rsid w:val="00585FAB"/>
    <w:pPr>
      <w:tabs>
        <w:tab w:val="center" w:pos="4536"/>
        <w:tab w:val="right" w:pos="9072"/>
      </w:tabs>
      <w:spacing w:line="280" w:lineRule="exact"/>
    </w:pPr>
    <w:rPr>
      <w:color w:val="324B5E" w:themeColor="text1" w:themeTint="BF"/>
      <w:sz w:val="20"/>
    </w:rPr>
  </w:style>
  <w:style w:type="character" w:customStyle="1" w:styleId="FooterChar">
    <w:name w:val="Footer Char"/>
    <w:basedOn w:val="DefaultParagraphFont"/>
    <w:link w:val="Footer"/>
    <w:uiPriority w:val="99"/>
    <w:rsid w:val="00585FAB"/>
    <w:rPr>
      <w:rFonts w:ascii="Arial" w:hAnsi="Arial"/>
      <w:color w:val="324B5E" w:themeColor="text1" w:themeTint="BF"/>
      <w:sz w:val="20"/>
    </w:rPr>
  </w:style>
  <w:style w:type="paragraph" w:styleId="Header">
    <w:name w:val="header"/>
    <w:basedOn w:val="Footer"/>
    <w:link w:val="HeaderChar"/>
    <w:uiPriority w:val="99"/>
    <w:unhideWhenUsed/>
    <w:rsid w:val="00585FAB"/>
  </w:style>
  <w:style w:type="character" w:customStyle="1" w:styleId="HeaderChar">
    <w:name w:val="Header Char"/>
    <w:basedOn w:val="DefaultParagraphFont"/>
    <w:link w:val="Header"/>
    <w:uiPriority w:val="99"/>
    <w:rsid w:val="00585FAB"/>
    <w:rPr>
      <w:rFonts w:ascii="Arial" w:hAnsi="Arial"/>
      <w:color w:val="324B5E" w:themeColor="text1" w:themeTint="BF"/>
      <w:sz w:val="20"/>
    </w:rPr>
  </w:style>
  <w:style w:type="paragraph" w:customStyle="1" w:styleId="Header2">
    <w:name w:val="Header 2"/>
    <w:basedOn w:val="Footer"/>
    <w:link w:val="Header2Char"/>
    <w:rsid w:val="005628F2"/>
    <w:rPr>
      <w:color w:val="4D4D4D"/>
    </w:rPr>
  </w:style>
  <w:style w:type="character" w:customStyle="1" w:styleId="Header2Char">
    <w:name w:val="Header 2 Char"/>
    <w:basedOn w:val="DefaultParagraphFont"/>
    <w:link w:val="Header2"/>
    <w:rsid w:val="005628F2"/>
    <w:rPr>
      <w:rFonts w:ascii="Arial" w:hAnsi="Arial"/>
      <w:color w:val="4D4D4D"/>
      <w:sz w:val="20"/>
    </w:rPr>
  </w:style>
  <w:style w:type="paragraph" w:customStyle="1" w:styleId="Footer2">
    <w:name w:val="Footer 2"/>
    <w:basedOn w:val="Footer"/>
    <w:link w:val="Footer2Char"/>
    <w:rsid w:val="00585FAB"/>
  </w:style>
  <w:style w:type="character" w:customStyle="1" w:styleId="Footer2Char">
    <w:name w:val="Footer 2 Char"/>
    <w:basedOn w:val="DefaultParagraphFont"/>
    <w:link w:val="Footer2"/>
    <w:rsid w:val="00585FAB"/>
    <w:rPr>
      <w:rFonts w:ascii="Arial" w:hAnsi="Arial"/>
      <w:color w:val="324B5E" w:themeColor="text1" w:themeTint="BF"/>
      <w:sz w:val="20"/>
    </w:rPr>
  </w:style>
  <w:style w:type="paragraph" w:styleId="ListNumber">
    <w:name w:val="List Number"/>
    <w:basedOn w:val="Normal"/>
    <w:uiPriority w:val="99"/>
    <w:unhideWhenUsed/>
    <w:rsid w:val="00585FAB"/>
    <w:pPr>
      <w:numPr>
        <w:numId w:val="4"/>
      </w:numPr>
      <w:contextualSpacing/>
    </w:pPr>
  </w:style>
  <w:style w:type="paragraph" w:styleId="ListNumber2">
    <w:name w:val="List Number 2"/>
    <w:basedOn w:val="Normal"/>
    <w:uiPriority w:val="99"/>
    <w:unhideWhenUsed/>
    <w:rsid w:val="00585FAB"/>
    <w:pPr>
      <w:numPr>
        <w:ilvl w:val="1"/>
        <w:numId w:val="4"/>
      </w:numPr>
      <w:contextualSpacing/>
    </w:pPr>
  </w:style>
  <w:style w:type="paragraph" w:styleId="ListNumber3">
    <w:name w:val="List Number 3"/>
    <w:basedOn w:val="Normal"/>
    <w:uiPriority w:val="99"/>
    <w:unhideWhenUsed/>
    <w:rsid w:val="00585FAB"/>
    <w:pPr>
      <w:numPr>
        <w:ilvl w:val="2"/>
        <w:numId w:val="4"/>
      </w:numPr>
      <w:contextualSpacing/>
    </w:pPr>
  </w:style>
  <w:style w:type="paragraph" w:styleId="ListBullet">
    <w:name w:val="List Bullet"/>
    <w:basedOn w:val="Normal"/>
    <w:uiPriority w:val="99"/>
    <w:unhideWhenUsed/>
    <w:rsid w:val="005628F2"/>
    <w:pPr>
      <w:numPr>
        <w:numId w:val="1"/>
      </w:numPr>
      <w:ind w:left="357" w:hanging="357"/>
      <w:contextualSpacing/>
    </w:pPr>
    <w:rPr>
      <w:lang w:eastAsia="en-AU"/>
    </w:rPr>
  </w:style>
  <w:style w:type="paragraph" w:styleId="ListBullet2">
    <w:name w:val="List Bullet 2"/>
    <w:basedOn w:val="Normal"/>
    <w:uiPriority w:val="99"/>
    <w:unhideWhenUsed/>
    <w:rsid w:val="00585FAB"/>
    <w:pPr>
      <w:numPr>
        <w:numId w:val="2"/>
      </w:numPr>
      <w:tabs>
        <w:tab w:val="left" w:pos="160"/>
      </w:tabs>
      <w:contextualSpacing/>
    </w:pPr>
  </w:style>
  <w:style w:type="paragraph" w:styleId="ListBullet3">
    <w:name w:val="List Bullet 3"/>
    <w:basedOn w:val="Normal"/>
    <w:autoRedefine/>
    <w:uiPriority w:val="99"/>
    <w:unhideWhenUsed/>
    <w:rsid w:val="00585FAB"/>
    <w:pPr>
      <w:numPr>
        <w:numId w:val="3"/>
      </w:numPr>
      <w:contextualSpacing/>
    </w:pPr>
  </w:style>
  <w:style w:type="paragraph" w:styleId="EnvelopeAddress">
    <w:name w:val="envelope address"/>
    <w:basedOn w:val="Normal"/>
    <w:uiPriority w:val="99"/>
    <w:semiHidden/>
    <w:unhideWhenUsed/>
    <w:rsid w:val="00585FAB"/>
    <w:pPr>
      <w:framePr w:w="7920" w:h="1980" w:hRule="exact" w:hSpace="180" w:wrap="auto" w:hAnchor="page" w:xAlign="center" w:yAlign="bottom"/>
      <w:ind w:left="2880"/>
    </w:pPr>
    <w:rPr>
      <w:rFonts w:ascii="Times New Roman" w:eastAsiaTheme="majorEastAsia" w:hAnsi="Times New Roman" w:cs="Times New Roman"/>
      <w:szCs w:val="24"/>
    </w:rPr>
  </w:style>
  <w:style w:type="character" w:customStyle="1" w:styleId="Heading1Char">
    <w:name w:val="Heading 1 Char"/>
    <w:basedOn w:val="DefaultParagraphFont"/>
    <w:link w:val="Heading1"/>
    <w:uiPriority w:val="9"/>
    <w:rsid w:val="002B7001"/>
    <w:rPr>
      <w:rFonts w:ascii="Arial" w:eastAsiaTheme="majorEastAsia" w:hAnsi="Arial" w:cstheme="majorBidi"/>
      <w:b/>
      <w:color w:val="080C0F" w:themeColor="text1"/>
      <w:sz w:val="72"/>
      <w:szCs w:val="36"/>
    </w:rPr>
  </w:style>
  <w:style w:type="character" w:customStyle="1" w:styleId="Heading3Char">
    <w:name w:val="Heading 3 Char"/>
    <w:basedOn w:val="DefaultParagraphFont"/>
    <w:link w:val="Heading3"/>
    <w:uiPriority w:val="9"/>
    <w:rsid w:val="002B7001"/>
    <w:rPr>
      <w:rFonts w:ascii="Arial" w:eastAsiaTheme="majorEastAsia" w:hAnsi="Arial" w:cstheme="majorBidi"/>
      <w:color w:val="080C0F" w:themeColor="text1"/>
      <w:sz w:val="44"/>
      <w:szCs w:val="28"/>
    </w:rPr>
  </w:style>
  <w:style w:type="character" w:customStyle="1" w:styleId="Heading4Char">
    <w:name w:val="Heading 4 Char"/>
    <w:basedOn w:val="DefaultParagraphFont"/>
    <w:link w:val="Heading4"/>
    <w:uiPriority w:val="9"/>
    <w:rsid w:val="00730DE4"/>
    <w:rPr>
      <w:rFonts w:ascii="Arial" w:eastAsiaTheme="majorEastAsia" w:hAnsi="Arial" w:cstheme="majorBidi"/>
      <w:color w:val="080C0F" w:themeColor="text1"/>
      <w:sz w:val="32"/>
      <w:szCs w:val="24"/>
    </w:rPr>
  </w:style>
  <w:style w:type="character" w:styleId="IntenseEmphasis">
    <w:name w:val="Intense Emphasis"/>
    <w:basedOn w:val="DefaultParagraphFont"/>
    <w:uiPriority w:val="21"/>
    <w:qFormat/>
    <w:rsid w:val="00585FAB"/>
    <w:rPr>
      <w:b/>
      <w:bCs/>
      <w:i/>
      <w:iCs/>
    </w:rPr>
  </w:style>
  <w:style w:type="paragraph" w:styleId="IntenseQuote">
    <w:name w:val="Intense Quote"/>
    <w:basedOn w:val="Normal"/>
    <w:next w:val="Normal"/>
    <w:link w:val="IntenseQuoteChar"/>
    <w:uiPriority w:val="30"/>
    <w:qFormat/>
    <w:rsid w:val="00585FAB"/>
    <w:pPr>
      <w:spacing w:before="480" w:after="480" w:line="360" w:lineRule="atLeast"/>
      <w:jc w:val="center"/>
    </w:pPr>
    <w:rPr>
      <w:rFonts w:asciiTheme="majorHAnsi" w:eastAsiaTheme="majorEastAsia" w:hAnsiTheme="majorHAnsi" w:cstheme="majorBidi"/>
      <w:b/>
      <w:i/>
      <w:color w:val="003E69" w:themeColor="text2"/>
      <w:spacing w:val="-6"/>
      <w:sz w:val="28"/>
      <w:szCs w:val="32"/>
    </w:rPr>
  </w:style>
  <w:style w:type="character" w:customStyle="1" w:styleId="IntenseQuoteChar">
    <w:name w:val="Intense Quote Char"/>
    <w:basedOn w:val="DefaultParagraphFont"/>
    <w:link w:val="IntenseQuote"/>
    <w:uiPriority w:val="30"/>
    <w:rsid w:val="00585FAB"/>
    <w:rPr>
      <w:rFonts w:asciiTheme="majorHAnsi" w:eastAsiaTheme="majorEastAsia" w:hAnsiTheme="majorHAnsi" w:cstheme="majorBidi"/>
      <w:b/>
      <w:i/>
      <w:color w:val="003E69" w:themeColor="text2"/>
      <w:spacing w:val="-6"/>
      <w:sz w:val="28"/>
      <w:szCs w:val="32"/>
    </w:rPr>
  </w:style>
  <w:style w:type="paragraph" w:styleId="ListParagraph">
    <w:name w:val="List Paragraph"/>
    <w:aliases w:val="Procedure List 1,List Bullet Cab,CAB - List Bullet,List Paragraph11,List Paragraph1,Recommendation,Bullet point,List Paragraph111,L,F5 List Paragraph,Dot pt,CV text,Table text,Numbered Paragraph,List Paragraph2,Bullet Point,Main"/>
    <w:basedOn w:val="Normal"/>
    <w:link w:val="ListParagraphChar"/>
    <w:uiPriority w:val="34"/>
    <w:qFormat/>
    <w:rsid w:val="00585FAB"/>
    <w:pPr>
      <w:ind w:left="720"/>
      <w:contextualSpacing/>
    </w:pPr>
  </w:style>
  <w:style w:type="character" w:customStyle="1" w:styleId="Heading2Char">
    <w:name w:val="Heading 2 Char"/>
    <w:basedOn w:val="DefaultParagraphFont"/>
    <w:link w:val="Heading2"/>
    <w:uiPriority w:val="9"/>
    <w:rsid w:val="002B7001"/>
    <w:rPr>
      <w:rFonts w:ascii="Arial" w:eastAsiaTheme="majorEastAsia" w:hAnsi="Arial" w:cstheme="majorBidi"/>
      <w:color w:val="080C0F" w:themeColor="text1"/>
      <w:sz w:val="60"/>
      <w:szCs w:val="32"/>
    </w:rPr>
  </w:style>
  <w:style w:type="character" w:customStyle="1" w:styleId="Heading5Char">
    <w:name w:val="Heading 5 Char"/>
    <w:basedOn w:val="DefaultParagraphFont"/>
    <w:link w:val="Heading5"/>
    <w:uiPriority w:val="9"/>
    <w:rsid w:val="00730DE4"/>
    <w:rPr>
      <w:rFonts w:asciiTheme="majorHAnsi" w:eastAsiaTheme="majorEastAsia" w:hAnsiTheme="majorHAnsi" w:cstheme="majorBidi"/>
      <w:b/>
      <w:sz w:val="28"/>
    </w:rPr>
  </w:style>
  <w:style w:type="character" w:customStyle="1" w:styleId="Heading6Char">
    <w:name w:val="Heading 6 Char"/>
    <w:basedOn w:val="DefaultParagraphFont"/>
    <w:link w:val="Heading6"/>
    <w:uiPriority w:val="9"/>
    <w:rsid w:val="00730DE4"/>
    <w:rPr>
      <w:rFonts w:asciiTheme="majorHAnsi" w:eastAsiaTheme="majorEastAsia" w:hAnsiTheme="majorHAnsi" w:cstheme="majorBidi"/>
      <w:b/>
      <w:iCs/>
      <w:sz w:val="24"/>
    </w:rPr>
  </w:style>
  <w:style w:type="character" w:customStyle="1" w:styleId="Heading7Char">
    <w:name w:val="Heading 7 Char"/>
    <w:basedOn w:val="DefaultParagraphFont"/>
    <w:link w:val="Heading7"/>
    <w:uiPriority w:val="9"/>
    <w:rsid w:val="00730DE4"/>
    <w:rPr>
      <w:rFonts w:asciiTheme="majorHAnsi" w:eastAsiaTheme="majorEastAsia" w:hAnsiTheme="majorHAnsi" w:cstheme="majorBidi"/>
      <w:bCs/>
      <w:i/>
      <w:sz w:val="24"/>
    </w:rPr>
  </w:style>
  <w:style w:type="character" w:customStyle="1" w:styleId="Heading8Char">
    <w:name w:val="Heading 8 Char"/>
    <w:basedOn w:val="DefaultParagraphFont"/>
    <w:link w:val="Heading8"/>
    <w:uiPriority w:val="9"/>
    <w:semiHidden/>
    <w:rsid w:val="00585FAB"/>
    <w:rPr>
      <w:rFonts w:asciiTheme="majorHAnsi" w:eastAsiaTheme="majorEastAsia" w:hAnsiTheme="majorHAnsi" w:cstheme="majorBidi"/>
      <w:b/>
      <w:bCs/>
      <w:i/>
      <w:iCs/>
      <w:color w:val="001E34" w:themeColor="accent1" w:themeShade="80"/>
      <w:sz w:val="24"/>
    </w:rPr>
  </w:style>
  <w:style w:type="character" w:customStyle="1" w:styleId="Heading9Char">
    <w:name w:val="Heading 9 Char"/>
    <w:basedOn w:val="DefaultParagraphFont"/>
    <w:link w:val="Heading9"/>
    <w:uiPriority w:val="9"/>
    <w:semiHidden/>
    <w:rsid w:val="00585FAB"/>
    <w:rPr>
      <w:rFonts w:asciiTheme="majorHAnsi" w:eastAsiaTheme="majorEastAsia" w:hAnsiTheme="majorHAnsi" w:cstheme="majorBidi"/>
      <w:i/>
      <w:iCs/>
      <w:color w:val="001E34" w:themeColor="accent1" w:themeShade="80"/>
      <w:sz w:val="24"/>
    </w:rPr>
  </w:style>
  <w:style w:type="paragraph" w:styleId="Caption">
    <w:name w:val="caption"/>
    <w:basedOn w:val="Normal"/>
    <w:next w:val="Normal"/>
    <w:uiPriority w:val="35"/>
    <w:unhideWhenUsed/>
    <w:qFormat/>
    <w:rsid w:val="005628F2"/>
    <w:pPr>
      <w:spacing w:before="80" w:line="280" w:lineRule="atLeast"/>
    </w:pPr>
    <w:rPr>
      <w:bCs/>
      <w:color w:val="4D4D4D"/>
      <w:sz w:val="20"/>
    </w:rPr>
  </w:style>
  <w:style w:type="paragraph" w:styleId="Subtitle">
    <w:name w:val="Subtitle"/>
    <w:basedOn w:val="Normal"/>
    <w:next w:val="Normal"/>
    <w:link w:val="SubtitleChar"/>
    <w:uiPriority w:val="11"/>
    <w:qFormat/>
    <w:rsid w:val="00585FAB"/>
    <w:pPr>
      <w:numPr>
        <w:ilvl w:val="1"/>
      </w:numPr>
      <w:spacing w:before="0" w:line="520" w:lineRule="exact"/>
    </w:pPr>
    <w:rPr>
      <w:rFonts w:eastAsiaTheme="majorEastAsia" w:cstheme="majorBidi"/>
      <w:color w:val="041C2C" w:themeColor="background2" w:themeShade="1A"/>
      <w:sz w:val="44"/>
      <w:szCs w:val="28"/>
    </w:rPr>
  </w:style>
  <w:style w:type="character" w:customStyle="1" w:styleId="SubtitleChar">
    <w:name w:val="Subtitle Char"/>
    <w:basedOn w:val="DefaultParagraphFont"/>
    <w:link w:val="Subtitle"/>
    <w:uiPriority w:val="11"/>
    <w:rsid w:val="00585FAB"/>
    <w:rPr>
      <w:rFonts w:ascii="Arial" w:eastAsiaTheme="majorEastAsia" w:hAnsi="Arial" w:cstheme="majorBidi"/>
      <w:color w:val="041C2C" w:themeColor="background2" w:themeShade="1A"/>
      <w:sz w:val="44"/>
      <w:szCs w:val="28"/>
    </w:rPr>
  </w:style>
  <w:style w:type="character" w:styleId="Strong">
    <w:name w:val="Strong"/>
    <w:basedOn w:val="DefaultParagraphFont"/>
    <w:uiPriority w:val="22"/>
    <w:qFormat/>
    <w:rsid w:val="00585FAB"/>
    <w:rPr>
      <w:b/>
      <w:bCs/>
    </w:rPr>
  </w:style>
  <w:style w:type="character" w:styleId="Emphasis">
    <w:name w:val="Emphasis"/>
    <w:basedOn w:val="DefaultParagraphFont"/>
    <w:uiPriority w:val="20"/>
    <w:qFormat/>
    <w:locked/>
    <w:rsid w:val="00585FAB"/>
    <w:rPr>
      <w:i/>
      <w:iCs/>
    </w:rPr>
  </w:style>
  <w:style w:type="paragraph" w:styleId="Quote">
    <w:name w:val="Quote"/>
    <w:basedOn w:val="Normal"/>
    <w:next w:val="Normal"/>
    <w:link w:val="QuoteChar"/>
    <w:uiPriority w:val="29"/>
    <w:qFormat/>
    <w:rsid w:val="00585FAB"/>
    <w:pPr>
      <w:spacing w:before="480" w:after="480"/>
      <w:jc w:val="center"/>
    </w:pPr>
    <w:rPr>
      <w:i/>
      <w:color w:val="003E69" w:themeColor="text2"/>
      <w:szCs w:val="24"/>
    </w:rPr>
  </w:style>
  <w:style w:type="character" w:customStyle="1" w:styleId="QuoteChar">
    <w:name w:val="Quote Char"/>
    <w:basedOn w:val="DefaultParagraphFont"/>
    <w:link w:val="Quote"/>
    <w:uiPriority w:val="29"/>
    <w:rsid w:val="00585FAB"/>
    <w:rPr>
      <w:rFonts w:ascii="Arial" w:hAnsi="Arial"/>
      <w:i/>
      <w:color w:val="003E69" w:themeColor="text2"/>
      <w:sz w:val="24"/>
      <w:szCs w:val="24"/>
    </w:rPr>
  </w:style>
  <w:style w:type="character" w:styleId="SubtleEmphasis">
    <w:name w:val="Subtle Emphasis"/>
    <w:basedOn w:val="DefaultParagraphFont"/>
    <w:uiPriority w:val="19"/>
    <w:qFormat/>
    <w:rsid w:val="00585FAB"/>
    <w:rPr>
      <w:i/>
      <w:iCs/>
      <w:color w:val="324B5E" w:themeColor="text1" w:themeTint="BF"/>
    </w:rPr>
  </w:style>
  <w:style w:type="character" w:styleId="SubtleReference">
    <w:name w:val="Subtle Reference"/>
    <w:basedOn w:val="DefaultParagraphFont"/>
    <w:uiPriority w:val="31"/>
    <w:qFormat/>
    <w:rsid w:val="00585FAB"/>
    <w:rPr>
      <w:caps w:val="0"/>
      <w:smallCaps w:val="0"/>
      <w:color w:val="324B5E" w:themeColor="text1" w:themeTint="BF"/>
      <w:u w:val="none" w:color="5F89AA" w:themeColor="text1" w:themeTint="80"/>
      <w:bdr w:val="none" w:sz="0" w:space="0" w:color="auto"/>
    </w:rPr>
  </w:style>
  <w:style w:type="character" w:styleId="IntenseReference">
    <w:name w:val="Intense Reference"/>
    <w:basedOn w:val="DefaultParagraphFont"/>
    <w:uiPriority w:val="32"/>
    <w:qFormat/>
    <w:rsid w:val="00585FAB"/>
    <w:rPr>
      <w:b/>
      <w:bCs/>
      <w:i/>
      <w:caps w:val="0"/>
      <w:smallCaps w:val="0"/>
      <w:color w:val="003E69" w:themeColor="text2"/>
      <w:u w:val="none"/>
    </w:rPr>
  </w:style>
  <w:style w:type="character" w:styleId="BookTitle">
    <w:name w:val="Book Title"/>
    <w:basedOn w:val="DefaultParagraphFont"/>
    <w:uiPriority w:val="33"/>
    <w:qFormat/>
    <w:locked/>
    <w:rsid w:val="00A074ED"/>
    <w:rPr>
      <w:rFonts w:asciiTheme="majorHAnsi" w:hAnsiTheme="majorHAnsi"/>
      <w:b/>
      <w:bCs/>
      <w:caps w:val="0"/>
      <w:smallCaps w:val="0"/>
      <w:strike w:val="0"/>
      <w:dstrike w:val="0"/>
      <w:vanish w:val="0"/>
      <w:spacing w:val="10"/>
      <w:sz w:val="72"/>
      <w:vertAlign w:val="baseline"/>
    </w:rPr>
  </w:style>
  <w:style w:type="paragraph" w:styleId="TOCHeading">
    <w:name w:val="TOC Heading"/>
    <w:basedOn w:val="Heading1"/>
    <w:next w:val="Normal"/>
    <w:uiPriority w:val="39"/>
    <w:unhideWhenUsed/>
    <w:qFormat/>
    <w:rsid w:val="00585FAB"/>
    <w:pPr>
      <w:spacing w:line="520" w:lineRule="atLeast"/>
      <w:outlineLvl w:val="9"/>
    </w:pPr>
    <w:rPr>
      <w:color w:val="041C2C" w:themeColor="background2" w:themeShade="1A"/>
      <w:sz w:val="44"/>
    </w:rPr>
  </w:style>
  <w:style w:type="table" w:styleId="TableGrid">
    <w:name w:val="Table Grid"/>
    <w:basedOn w:val="TableNormal"/>
    <w:uiPriority w:val="39"/>
    <w:locked/>
    <w:rsid w:val="00585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MR">
    <w:name w:val="TMR"/>
    <w:basedOn w:val="TableNormal"/>
    <w:uiPriority w:val="99"/>
    <w:rsid w:val="003533A6"/>
    <w:pPr>
      <w:spacing w:after="0" w:line="240" w:lineRule="auto"/>
    </w:pPr>
    <w:tblPr>
      <w:tblStyleRowBandSize w:val="1"/>
    </w:tblPr>
    <w:tblStylePr w:type="firstRow">
      <w:tblPr/>
      <w:tcPr>
        <w:tcBorders>
          <w:top w:val="nil"/>
          <w:left w:val="nil"/>
          <w:bottom w:val="nil"/>
          <w:right w:val="nil"/>
          <w:insideH w:val="single" w:sz="8" w:space="0" w:color="FFFFFF" w:themeColor="background1"/>
          <w:insideV w:val="single" w:sz="8" w:space="0" w:color="FFFFFF" w:themeColor="background1"/>
          <w:tl2br w:val="nil"/>
          <w:tr2bl w:val="nil"/>
        </w:tcBorders>
        <w:shd w:val="clear" w:color="auto" w:fill="003E69"/>
      </w:tcPr>
    </w:tblStylePr>
    <w:tblStylePr w:type="lastRow">
      <w:tblPr/>
      <w:tcPr>
        <w:tcBorders>
          <w:top w:val="nil"/>
          <w:left w:val="nil"/>
          <w:bottom w:val="nil"/>
          <w:right w:val="nil"/>
          <w:insideH w:val="nil"/>
          <w:insideV w:val="single" w:sz="8" w:space="0" w:color="FFFFFF" w:themeColor="background1"/>
        </w:tcBorders>
        <w:shd w:val="clear" w:color="auto" w:fill="003E69"/>
      </w:tcPr>
    </w:tblStylePr>
    <w:tblStylePr w:type="band1Horz">
      <w:tblPr/>
      <w:tcPr>
        <w:shd w:val="clear" w:color="auto" w:fill="ECF6FD"/>
      </w:tcPr>
    </w:tblStylePr>
  </w:style>
  <w:style w:type="paragraph" w:styleId="Title">
    <w:name w:val="Title"/>
    <w:basedOn w:val="Heading1"/>
    <w:next w:val="Normal"/>
    <w:link w:val="TitleChar"/>
    <w:uiPriority w:val="10"/>
    <w:qFormat/>
    <w:locked/>
    <w:rsid w:val="00AB456C"/>
    <w:pPr>
      <w:spacing w:before="720" w:line="240" w:lineRule="auto"/>
      <w:contextualSpacing/>
      <w:outlineLvl w:val="9"/>
    </w:pPr>
    <w:rPr>
      <w:rFonts w:asciiTheme="majorHAnsi" w:hAnsiTheme="majorHAnsi"/>
      <w:b w:val="0"/>
      <w:spacing w:val="-10"/>
      <w:kern w:val="28"/>
      <w:szCs w:val="56"/>
    </w:rPr>
  </w:style>
  <w:style w:type="character" w:customStyle="1" w:styleId="TitleChar">
    <w:name w:val="Title Char"/>
    <w:basedOn w:val="DefaultParagraphFont"/>
    <w:link w:val="Title"/>
    <w:uiPriority w:val="10"/>
    <w:rsid w:val="00AB456C"/>
    <w:rPr>
      <w:rFonts w:asciiTheme="majorHAnsi" w:eastAsiaTheme="majorEastAsia" w:hAnsiTheme="majorHAnsi" w:cstheme="majorBidi"/>
      <w:b/>
      <w:color w:val="080C0F" w:themeColor="text1"/>
      <w:spacing w:val="-10"/>
      <w:kern w:val="28"/>
      <w:sz w:val="72"/>
      <w:szCs w:val="56"/>
    </w:rPr>
  </w:style>
  <w:style w:type="paragraph" w:styleId="NoSpacing">
    <w:name w:val="No Spacing"/>
    <w:link w:val="NoSpacingChar"/>
    <w:uiPriority w:val="1"/>
    <w:qFormat/>
    <w:locked/>
    <w:rsid w:val="00151D00"/>
    <w:pPr>
      <w:spacing w:after="0" w:line="240" w:lineRule="auto"/>
    </w:pPr>
    <w:rPr>
      <w:rFonts w:ascii="Arial" w:hAnsi="Arial"/>
      <w:color w:val="18242E" w:themeColor="text1" w:themeTint="E6"/>
      <w:sz w:val="20"/>
    </w:rPr>
  </w:style>
  <w:style w:type="character" w:customStyle="1" w:styleId="NoSpacingChar">
    <w:name w:val="No Spacing Char"/>
    <w:basedOn w:val="DefaultParagraphFont"/>
    <w:link w:val="NoSpacing"/>
    <w:uiPriority w:val="1"/>
    <w:rsid w:val="00151D00"/>
    <w:rPr>
      <w:rFonts w:ascii="Arial" w:hAnsi="Arial"/>
      <w:color w:val="18242E" w:themeColor="text1" w:themeTint="E6"/>
      <w:sz w:val="20"/>
    </w:rPr>
  </w:style>
  <w:style w:type="character" w:customStyle="1" w:styleId="ui-provider">
    <w:name w:val="ui-provider"/>
    <w:basedOn w:val="DefaultParagraphFont"/>
    <w:rsid w:val="00EB3C3D"/>
  </w:style>
  <w:style w:type="paragraph" w:customStyle="1" w:styleId="FigureCaption">
    <w:name w:val="Figure Caption"/>
    <w:basedOn w:val="Caption"/>
    <w:next w:val="Normal"/>
    <w:qFormat/>
    <w:rsid w:val="00585FAB"/>
    <w:pPr>
      <w:keepNext/>
      <w:spacing w:before="320"/>
    </w:pPr>
    <w:rPr>
      <w:b/>
      <w:color w:val="324B5E" w:themeColor="text1" w:themeTint="BF"/>
    </w:rPr>
  </w:style>
  <w:style w:type="character" w:styleId="PlaceholderText">
    <w:name w:val="Placeholder Text"/>
    <w:basedOn w:val="DefaultParagraphFont"/>
    <w:uiPriority w:val="99"/>
    <w:semiHidden/>
    <w:rsid w:val="00585FAB"/>
    <w:rPr>
      <w:color w:val="808080"/>
    </w:rPr>
  </w:style>
  <w:style w:type="paragraph" w:styleId="Bibliography">
    <w:name w:val="Bibliography"/>
    <w:basedOn w:val="Normal"/>
    <w:next w:val="Normal"/>
    <w:uiPriority w:val="37"/>
    <w:unhideWhenUsed/>
    <w:rsid w:val="00585FAB"/>
  </w:style>
  <w:style w:type="paragraph" w:styleId="BlockText">
    <w:name w:val="Block Text"/>
    <w:basedOn w:val="Normal"/>
    <w:uiPriority w:val="99"/>
    <w:unhideWhenUsed/>
    <w:rsid w:val="00585FAB"/>
    <w:pPr>
      <w:framePr w:wrap="around" w:vAnchor="text" w:hAnchor="text" w:y="1"/>
      <w:pBdr>
        <w:top w:val="single" w:sz="2" w:space="8" w:color="AFC4D4" w:themeColor="text1" w:themeTint="40"/>
        <w:left w:val="single" w:sz="2" w:space="8" w:color="AFC4D4" w:themeColor="text1" w:themeTint="40"/>
        <w:bottom w:val="single" w:sz="2" w:space="8" w:color="AFC4D4" w:themeColor="text1" w:themeTint="40"/>
        <w:right w:val="single" w:sz="2" w:space="8" w:color="AFC4D4" w:themeColor="text1" w:themeTint="40"/>
      </w:pBdr>
      <w:ind w:left="640" w:right="640"/>
    </w:pPr>
    <w:rPr>
      <w:rFonts w:asciiTheme="minorHAnsi" w:eastAsiaTheme="minorEastAsia" w:hAnsiTheme="minorHAnsi"/>
      <w:iCs/>
      <w:color w:val="041C2C" w:themeColor="background2" w:themeShade="1A"/>
    </w:rPr>
  </w:style>
  <w:style w:type="paragraph" w:styleId="HTMLPreformatted">
    <w:name w:val="HTML Preformatted"/>
    <w:basedOn w:val="Normal"/>
    <w:link w:val="HTMLPreformattedChar"/>
    <w:uiPriority w:val="99"/>
    <w:unhideWhenUsed/>
    <w:rsid w:val="00585FAB"/>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585FAB"/>
    <w:rPr>
      <w:rFonts w:ascii="Consolas" w:hAnsi="Consolas"/>
      <w:color w:val="18242E" w:themeColor="text1" w:themeTint="E6"/>
      <w:sz w:val="20"/>
      <w:szCs w:val="20"/>
    </w:rPr>
  </w:style>
  <w:style w:type="character" w:styleId="Hyperlink">
    <w:name w:val="Hyperlink"/>
    <w:basedOn w:val="DefaultParagraphFont"/>
    <w:uiPriority w:val="99"/>
    <w:unhideWhenUsed/>
    <w:rsid w:val="009A1FF4"/>
    <w:rPr>
      <w:color w:val="5C5C5C"/>
      <w:u w:val="single"/>
    </w:rPr>
  </w:style>
  <w:style w:type="paragraph" w:styleId="List">
    <w:name w:val="List"/>
    <w:basedOn w:val="Normal"/>
    <w:uiPriority w:val="99"/>
    <w:unhideWhenUsed/>
    <w:rsid w:val="00585FAB"/>
    <w:pPr>
      <w:ind w:left="318"/>
      <w:contextualSpacing/>
    </w:pPr>
  </w:style>
  <w:style w:type="paragraph" w:styleId="List2">
    <w:name w:val="List 2"/>
    <w:basedOn w:val="Normal"/>
    <w:uiPriority w:val="99"/>
    <w:unhideWhenUsed/>
    <w:rsid w:val="00585FAB"/>
    <w:pPr>
      <w:ind w:left="879"/>
      <w:contextualSpacing/>
    </w:pPr>
  </w:style>
  <w:style w:type="paragraph" w:styleId="List3">
    <w:name w:val="List 3"/>
    <w:basedOn w:val="Normal"/>
    <w:uiPriority w:val="99"/>
    <w:unhideWhenUsed/>
    <w:rsid w:val="00585FAB"/>
    <w:pPr>
      <w:ind w:left="1480"/>
      <w:contextualSpacing/>
    </w:pPr>
  </w:style>
  <w:style w:type="paragraph" w:styleId="List4">
    <w:name w:val="List 4"/>
    <w:basedOn w:val="Normal"/>
    <w:uiPriority w:val="99"/>
    <w:unhideWhenUsed/>
    <w:rsid w:val="00585FAB"/>
    <w:pPr>
      <w:ind w:left="1132" w:hanging="283"/>
      <w:contextualSpacing/>
    </w:pPr>
  </w:style>
  <w:style w:type="paragraph" w:styleId="List5">
    <w:name w:val="List 5"/>
    <w:basedOn w:val="Normal"/>
    <w:uiPriority w:val="99"/>
    <w:unhideWhenUsed/>
    <w:rsid w:val="00585FAB"/>
    <w:pPr>
      <w:ind w:left="1415" w:hanging="283"/>
      <w:contextualSpacing/>
    </w:pPr>
  </w:style>
  <w:style w:type="paragraph" w:styleId="ListContinue5">
    <w:name w:val="List Continue 5"/>
    <w:basedOn w:val="Normal"/>
    <w:uiPriority w:val="99"/>
    <w:unhideWhenUsed/>
    <w:rsid w:val="00585FAB"/>
    <w:pPr>
      <w:spacing w:after="120"/>
      <w:ind w:left="1415"/>
      <w:contextualSpacing/>
    </w:pPr>
  </w:style>
  <w:style w:type="table" w:styleId="ListTable3-Accent1">
    <w:name w:val="List Table 3 Accent 1"/>
    <w:basedOn w:val="TableNormal"/>
    <w:uiPriority w:val="48"/>
    <w:locked/>
    <w:rsid w:val="00585FAB"/>
    <w:pPr>
      <w:spacing w:after="0" w:line="240" w:lineRule="auto"/>
    </w:pPr>
    <w:tblPr>
      <w:tblStyleRowBandSize w:val="1"/>
      <w:tblStyleColBandSize w:val="1"/>
      <w:tblBorders>
        <w:top w:val="single" w:sz="4" w:space="0" w:color="003E69" w:themeColor="accent1"/>
        <w:left w:val="single" w:sz="4" w:space="0" w:color="003E69" w:themeColor="accent1"/>
        <w:bottom w:val="single" w:sz="4" w:space="0" w:color="003E69" w:themeColor="accent1"/>
        <w:right w:val="single" w:sz="4" w:space="0" w:color="003E69" w:themeColor="accent1"/>
      </w:tblBorders>
    </w:tblPr>
    <w:tblStylePr w:type="firstRow">
      <w:rPr>
        <w:b/>
        <w:bCs/>
        <w:color w:val="FFFFFF" w:themeColor="background1"/>
      </w:rPr>
      <w:tblPr/>
      <w:tcPr>
        <w:shd w:val="clear" w:color="auto" w:fill="003E69" w:themeFill="accent1"/>
      </w:tcPr>
    </w:tblStylePr>
    <w:tblStylePr w:type="lastRow">
      <w:rPr>
        <w:b/>
        <w:bCs/>
      </w:rPr>
      <w:tblPr/>
      <w:tcPr>
        <w:tcBorders>
          <w:top w:val="double" w:sz="4" w:space="0" w:color="003E6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E69" w:themeColor="accent1"/>
          <w:right w:val="single" w:sz="4" w:space="0" w:color="003E69" w:themeColor="accent1"/>
        </w:tcBorders>
      </w:tcPr>
    </w:tblStylePr>
    <w:tblStylePr w:type="band1Horz">
      <w:tblPr/>
      <w:tcPr>
        <w:tcBorders>
          <w:top w:val="single" w:sz="4" w:space="0" w:color="003E69" w:themeColor="accent1"/>
          <w:bottom w:val="single" w:sz="4" w:space="0" w:color="003E6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E69" w:themeColor="accent1"/>
          <w:left w:val="nil"/>
        </w:tcBorders>
      </w:tcPr>
    </w:tblStylePr>
    <w:tblStylePr w:type="swCell">
      <w:tblPr/>
      <w:tcPr>
        <w:tcBorders>
          <w:top w:val="double" w:sz="4" w:space="0" w:color="003E69" w:themeColor="accent1"/>
          <w:right w:val="nil"/>
        </w:tcBorders>
      </w:tcPr>
    </w:tblStylePr>
  </w:style>
  <w:style w:type="paragraph" w:styleId="MessageHeader">
    <w:name w:val="Message Header"/>
    <w:basedOn w:val="Normal"/>
    <w:link w:val="MessageHeaderChar"/>
    <w:uiPriority w:val="99"/>
    <w:unhideWhenUsed/>
    <w:rsid w:val="001155ED"/>
    <w:pPr>
      <w:pBdr>
        <w:top w:val="single" w:sz="6" w:space="8" w:color="808080" w:themeColor="background1" w:themeShade="80"/>
        <w:left w:val="single" w:sz="6" w:space="8" w:color="808080" w:themeColor="background1" w:themeShade="80"/>
        <w:bottom w:val="single" w:sz="6" w:space="8" w:color="808080" w:themeColor="background1" w:themeShade="80"/>
        <w:right w:val="single" w:sz="6" w:space="8" w:color="808080" w:themeColor="background1" w:themeShade="80"/>
      </w:pBdr>
      <w:shd w:val="clear" w:color="auto" w:fill="F2F2F2" w:themeFill="background1" w:themeFillShade="F2"/>
      <w:spacing w:before="480" w:after="4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rsid w:val="001155ED"/>
    <w:rPr>
      <w:rFonts w:asciiTheme="majorHAnsi" w:eastAsiaTheme="majorEastAsia" w:hAnsiTheme="majorHAnsi" w:cstheme="majorBidi"/>
      <w:color w:val="18242E" w:themeColor="text1" w:themeTint="E6"/>
      <w:sz w:val="24"/>
      <w:szCs w:val="24"/>
      <w:shd w:val="clear" w:color="auto" w:fill="F2F2F2" w:themeFill="background1" w:themeFillShade="F2"/>
    </w:rPr>
  </w:style>
  <w:style w:type="paragraph" w:styleId="NormalWeb">
    <w:name w:val="Normal (Web)"/>
    <w:basedOn w:val="Normal"/>
    <w:uiPriority w:val="99"/>
    <w:semiHidden/>
    <w:unhideWhenUsed/>
    <w:rsid w:val="00585FAB"/>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qg-blank-notice">
    <w:name w:val="qg-blank-notice"/>
    <w:basedOn w:val="DefaultParagraphFont"/>
    <w:rsid w:val="00585FAB"/>
  </w:style>
  <w:style w:type="paragraph" w:styleId="TableofAuthorities">
    <w:name w:val="table of authorities"/>
    <w:basedOn w:val="Normal"/>
    <w:next w:val="Normal"/>
    <w:uiPriority w:val="99"/>
    <w:unhideWhenUsed/>
    <w:rsid w:val="00585FAB"/>
    <w:pPr>
      <w:ind w:left="240" w:hanging="240"/>
    </w:pPr>
  </w:style>
  <w:style w:type="paragraph" w:styleId="TableofFigures">
    <w:name w:val="table of figures"/>
    <w:basedOn w:val="Normal"/>
    <w:next w:val="Normal"/>
    <w:uiPriority w:val="99"/>
    <w:unhideWhenUsed/>
    <w:rsid w:val="00585FAB"/>
  </w:style>
  <w:style w:type="table" w:customStyle="1" w:styleId="TMRDefault">
    <w:name w:val="TMR – Default"/>
    <w:basedOn w:val="TableNormal"/>
    <w:uiPriority w:val="99"/>
    <w:rsid w:val="000A65A9"/>
    <w:pPr>
      <w:spacing w:after="0" w:line="240" w:lineRule="atLeast"/>
    </w:pPr>
    <w:rPr>
      <w:color w:val="001E34" w:themeColor="text2" w:themeShade="80"/>
      <w:sz w:val="20"/>
    </w:rPr>
    <w:tblPr>
      <w:tblStyleRowBandSize w:val="1"/>
      <w:tblBorders>
        <w:top w:val="dotted" w:sz="4" w:space="0" w:color="324B5E" w:themeColor="text1" w:themeTint="BF"/>
        <w:left w:val="dotted" w:sz="4" w:space="0" w:color="324B5E" w:themeColor="text1" w:themeTint="BF"/>
        <w:bottom w:val="dotted" w:sz="4" w:space="0" w:color="324B5E" w:themeColor="text1" w:themeTint="BF"/>
        <w:right w:val="dotted" w:sz="4" w:space="0" w:color="324B5E" w:themeColor="text1" w:themeTint="BF"/>
        <w:insideH w:val="dotted" w:sz="4" w:space="0" w:color="324B5E" w:themeColor="text1" w:themeTint="BF"/>
        <w:insideV w:val="dotted" w:sz="4" w:space="0" w:color="324B5E" w:themeColor="text1" w:themeTint="BF"/>
      </w:tblBorders>
    </w:tblPr>
    <w:tcPr>
      <w:tcMar>
        <w:top w:w="159" w:type="dxa"/>
        <w:left w:w="159" w:type="dxa"/>
        <w:bottom w:w="160" w:type="dxa"/>
        <w:right w:w="159" w:type="dxa"/>
      </w:tcMar>
    </w:tcPr>
    <w:tblStylePr w:type="firstRow">
      <w:rPr>
        <w:b/>
        <w:color w:val="ECF6FD" w:themeColor="background2"/>
      </w:rPr>
      <w:tblPr/>
      <w:tcPr>
        <w:shd w:val="clear" w:color="auto" w:fill="292929"/>
      </w:tcPr>
    </w:tblStylePr>
    <w:tblStylePr w:type="lastRow">
      <w:rPr>
        <w:rFonts w:ascii="Arial" w:hAnsi="Arial"/>
        <w:b/>
        <w:sz w:val="20"/>
      </w:rPr>
      <w:tblPr/>
      <w:tcPr>
        <w:tcBorders>
          <w:top w:val="thinThickSmallGap" w:sz="12" w:space="0" w:color="324B5E" w:themeColor="text1" w:themeTint="BF"/>
        </w:tcBorders>
        <w:shd w:val="clear" w:color="auto" w:fill="FFFFFF" w:themeFill="background1"/>
      </w:tcPr>
    </w:tblStylePr>
    <w:tblStylePr w:type="band1Horz">
      <w:tblPr/>
      <w:tcPr>
        <w:shd w:val="clear" w:color="auto" w:fill="F2F2F2" w:themeFill="background1" w:themeFillShade="F2"/>
      </w:tcPr>
    </w:tblStylePr>
  </w:style>
  <w:style w:type="paragraph" w:styleId="TOC1">
    <w:name w:val="toc 1"/>
    <w:basedOn w:val="Normal"/>
    <w:next w:val="Normal"/>
    <w:autoRedefine/>
    <w:uiPriority w:val="39"/>
    <w:unhideWhenUsed/>
    <w:rsid w:val="000A717C"/>
    <w:pPr>
      <w:spacing w:before="120" w:after="40"/>
    </w:pPr>
    <w:rPr>
      <w:rFonts w:asciiTheme="minorHAnsi" w:hAnsiTheme="minorHAnsi" w:cstheme="minorHAnsi"/>
      <w:b/>
      <w:bCs/>
      <w:sz w:val="20"/>
      <w:szCs w:val="20"/>
    </w:rPr>
  </w:style>
  <w:style w:type="paragraph" w:styleId="TOC2">
    <w:name w:val="toc 2"/>
    <w:basedOn w:val="Normal"/>
    <w:next w:val="Normal"/>
    <w:autoRedefine/>
    <w:uiPriority w:val="39"/>
    <w:unhideWhenUsed/>
    <w:rsid w:val="000A717C"/>
    <w:pPr>
      <w:tabs>
        <w:tab w:val="right" w:leader="dot" w:pos="9060"/>
      </w:tabs>
      <w:spacing w:before="0" w:after="40"/>
      <w:ind w:left="238"/>
    </w:pPr>
    <w:rPr>
      <w:rFonts w:asciiTheme="minorHAnsi" w:hAnsiTheme="minorHAnsi" w:cstheme="minorHAnsi"/>
      <w:iCs/>
      <w:sz w:val="20"/>
      <w:szCs w:val="20"/>
    </w:rPr>
  </w:style>
  <w:style w:type="paragraph" w:styleId="TOC3">
    <w:name w:val="toc 3"/>
    <w:basedOn w:val="Normal"/>
    <w:next w:val="Normal"/>
    <w:autoRedefine/>
    <w:uiPriority w:val="39"/>
    <w:unhideWhenUsed/>
    <w:rsid w:val="00FE7BDD"/>
    <w:pPr>
      <w:spacing w:before="0" w:after="40"/>
      <w:ind w:left="482"/>
    </w:pPr>
    <w:rPr>
      <w:rFonts w:asciiTheme="minorHAnsi" w:hAnsiTheme="minorHAnsi" w:cstheme="minorHAnsi"/>
      <w:sz w:val="20"/>
      <w:szCs w:val="20"/>
    </w:rPr>
  </w:style>
  <w:style w:type="paragraph" w:styleId="TOC4">
    <w:name w:val="toc 4"/>
    <w:basedOn w:val="Normal"/>
    <w:next w:val="Normal"/>
    <w:autoRedefine/>
    <w:uiPriority w:val="39"/>
    <w:unhideWhenUsed/>
    <w:rsid w:val="00FE7BDD"/>
    <w:pPr>
      <w:tabs>
        <w:tab w:val="right" w:leader="dot" w:pos="9060"/>
      </w:tabs>
      <w:spacing w:before="0" w:after="4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FE7BDD"/>
    <w:pPr>
      <w:spacing w:before="0" w:after="40"/>
      <w:ind w:left="958"/>
    </w:pPr>
    <w:rPr>
      <w:rFonts w:asciiTheme="minorHAnsi" w:hAnsiTheme="minorHAnsi" w:cstheme="minorHAnsi"/>
      <w:sz w:val="20"/>
      <w:szCs w:val="20"/>
    </w:rPr>
  </w:style>
  <w:style w:type="paragraph" w:styleId="TOC6">
    <w:name w:val="toc 6"/>
    <w:basedOn w:val="Normal"/>
    <w:next w:val="Normal"/>
    <w:autoRedefine/>
    <w:uiPriority w:val="39"/>
    <w:unhideWhenUsed/>
    <w:rsid w:val="00585FAB"/>
    <w:pPr>
      <w:spacing w:before="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585FAB"/>
    <w:pPr>
      <w:spacing w:before="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585FAB"/>
    <w:pPr>
      <w:spacing w:before="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585FAB"/>
    <w:pPr>
      <w:spacing w:before="0"/>
      <w:ind w:left="1920"/>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515DDC"/>
    <w:rPr>
      <w:color w:val="605E5C"/>
      <w:shd w:val="clear" w:color="auto" w:fill="E1DFDD"/>
    </w:rPr>
  </w:style>
  <w:style w:type="paragraph" w:styleId="CommentText">
    <w:name w:val="annotation text"/>
    <w:basedOn w:val="Normal"/>
    <w:link w:val="CommentTextChar"/>
    <w:uiPriority w:val="99"/>
    <w:unhideWhenUsed/>
    <w:rsid w:val="002514F8"/>
    <w:pPr>
      <w:spacing w:line="240" w:lineRule="auto"/>
    </w:pPr>
    <w:rPr>
      <w:rFonts w:cs="Arial"/>
      <w:color w:val="auto"/>
      <w:sz w:val="20"/>
      <w:szCs w:val="20"/>
      <w:lang w:val="en-US"/>
    </w:rPr>
  </w:style>
  <w:style w:type="character" w:customStyle="1" w:styleId="CommentTextChar">
    <w:name w:val="Comment Text Char"/>
    <w:basedOn w:val="DefaultParagraphFont"/>
    <w:link w:val="CommentText"/>
    <w:uiPriority w:val="99"/>
    <w:rsid w:val="002514F8"/>
    <w:rPr>
      <w:rFonts w:ascii="Arial" w:hAnsi="Arial" w:cs="Arial"/>
      <w:sz w:val="20"/>
      <w:szCs w:val="20"/>
      <w:lang w:val="en-US"/>
    </w:rPr>
  </w:style>
  <w:style w:type="character" w:styleId="CommentReference">
    <w:name w:val="annotation reference"/>
    <w:basedOn w:val="DefaultParagraphFont"/>
    <w:uiPriority w:val="99"/>
    <w:unhideWhenUsed/>
    <w:rsid w:val="002514F8"/>
    <w:rPr>
      <w:sz w:val="16"/>
      <w:szCs w:val="16"/>
    </w:rPr>
  </w:style>
  <w:style w:type="paragraph" w:customStyle="1" w:styleId="TableParagraph">
    <w:name w:val="Table Paragraph"/>
    <w:basedOn w:val="Normal"/>
    <w:next w:val="Normal"/>
    <w:link w:val="TableParagraphChar"/>
    <w:qFormat/>
    <w:rsid w:val="002514F8"/>
    <w:pPr>
      <w:spacing w:before="0" w:line="280" w:lineRule="exact"/>
    </w:pPr>
    <w:rPr>
      <w:rFonts w:cs="Arial"/>
      <w:color w:val="auto"/>
      <w:sz w:val="20"/>
      <w:szCs w:val="20"/>
    </w:rPr>
  </w:style>
  <w:style w:type="character" w:customStyle="1" w:styleId="TableParagraphChar">
    <w:name w:val="Table Paragraph Char"/>
    <w:basedOn w:val="DefaultParagraphFont"/>
    <w:link w:val="TableParagraph"/>
    <w:rsid w:val="002514F8"/>
    <w:rPr>
      <w:rFonts w:ascii="Arial" w:hAnsi="Arial" w:cs="Arial"/>
      <w:sz w:val="20"/>
      <w:szCs w:val="20"/>
    </w:rPr>
  </w:style>
  <w:style w:type="table" w:styleId="TableGridLight">
    <w:name w:val="Grid Table Light"/>
    <w:basedOn w:val="TableNormal"/>
    <w:uiPriority w:val="40"/>
    <w:locked/>
    <w:rsid w:val="002514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locked/>
    <w:rsid w:val="002514F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3">
    <w:name w:val="List Table 3"/>
    <w:basedOn w:val="TableNormal"/>
    <w:uiPriority w:val="48"/>
    <w:locked/>
    <w:rsid w:val="002514F8"/>
    <w:pPr>
      <w:spacing w:after="0" w:line="240" w:lineRule="auto"/>
    </w:pPr>
    <w:tblPr>
      <w:tblStyleRowBandSize w:val="1"/>
      <w:tblStyleColBandSize w:val="1"/>
      <w:tblBorders>
        <w:top w:val="single" w:sz="4" w:space="0" w:color="080C0F" w:themeColor="text1"/>
        <w:left w:val="single" w:sz="4" w:space="0" w:color="080C0F" w:themeColor="text1"/>
        <w:bottom w:val="single" w:sz="4" w:space="0" w:color="080C0F" w:themeColor="text1"/>
        <w:right w:val="single" w:sz="4" w:space="0" w:color="080C0F" w:themeColor="text1"/>
      </w:tblBorders>
    </w:tblPr>
    <w:tblStylePr w:type="firstRow">
      <w:rPr>
        <w:b/>
        <w:bCs/>
        <w:color w:val="FFFFFF" w:themeColor="background1"/>
      </w:rPr>
      <w:tblPr/>
      <w:tcPr>
        <w:shd w:val="clear" w:color="auto" w:fill="080C0F" w:themeFill="text1"/>
      </w:tcPr>
    </w:tblStylePr>
    <w:tblStylePr w:type="lastRow">
      <w:rPr>
        <w:b/>
        <w:bCs/>
      </w:rPr>
      <w:tblPr/>
      <w:tcPr>
        <w:tcBorders>
          <w:top w:val="double" w:sz="4" w:space="0" w:color="080C0F"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80C0F" w:themeColor="text1"/>
          <w:right w:val="single" w:sz="4" w:space="0" w:color="080C0F" w:themeColor="text1"/>
        </w:tcBorders>
      </w:tcPr>
    </w:tblStylePr>
    <w:tblStylePr w:type="band1Horz">
      <w:tblPr/>
      <w:tcPr>
        <w:tcBorders>
          <w:top w:val="single" w:sz="4" w:space="0" w:color="080C0F" w:themeColor="text1"/>
          <w:bottom w:val="single" w:sz="4" w:space="0" w:color="080C0F"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80C0F" w:themeColor="text1"/>
          <w:left w:val="nil"/>
        </w:tcBorders>
      </w:tcPr>
    </w:tblStylePr>
    <w:tblStylePr w:type="swCell">
      <w:tblPr/>
      <w:tcPr>
        <w:tcBorders>
          <w:top w:val="double" w:sz="4" w:space="0" w:color="080C0F" w:themeColor="text1"/>
          <w:right w:val="nil"/>
        </w:tcBorders>
      </w:tcPr>
    </w:tblStylePr>
  </w:style>
  <w:style w:type="paragraph" w:styleId="CommentSubject">
    <w:name w:val="annotation subject"/>
    <w:basedOn w:val="CommentText"/>
    <w:next w:val="CommentText"/>
    <w:link w:val="CommentSubjectChar"/>
    <w:uiPriority w:val="99"/>
    <w:semiHidden/>
    <w:unhideWhenUsed/>
    <w:rsid w:val="002514F8"/>
    <w:pPr>
      <w:spacing w:before="320" w:after="0"/>
    </w:pPr>
    <w:rPr>
      <w:rFonts w:cstheme="minorBidi"/>
      <w:b/>
      <w:bCs/>
      <w:color w:val="18242E" w:themeColor="text1" w:themeTint="E6"/>
      <w:lang w:val="en-AU"/>
    </w:rPr>
  </w:style>
  <w:style w:type="character" w:customStyle="1" w:styleId="CommentSubjectChar">
    <w:name w:val="Comment Subject Char"/>
    <w:basedOn w:val="CommentTextChar"/>
    <w:link w:val="CommentSubject"/>
    <w:uiPriority w:val="99"/>
    <w:semiHidden/>
    <w:rsid w:val="002514F8"/>
    <w:rPr>
      <w:rFonts w:ascii="Arial" w:hAnsi="Arial" w:cs="Arial"/>
      <w:b/>
      <w:bCs/>
      <w:color w:val="18242E" w:themeColor="text1" w:themeTint="E6"/>
      <w:sz w:val="20"/>
      <w:szCs w:val="20"/>
      <w:lang w:val="en-US"/>
    </w:rPr>
  </w:style>
  <w:style w:type="character" w:styleId="FollowedHyperlink">
    <w:name w:val="FollowedHyperlink"/>
    <w:basedOn w:val="DefaultParagraphFont"/>
    <w:uiPriority w:val="99"/>
    <w:semiHidden/>
    <w:unhideWhenUsed/>
    <w:rsid w:val="002514F8"/>
    <w:rPr>
      <w:color w:val="0563C1" w:themeColor="followedHyperlink"/>
      <w:u w:val="single"/>
    </w:rPr>
  </w:style>
  <w:style w:type="character" w:customStyle="1" w:styleId="ListParagraphChar">
    <w:name w:val="List Paragraph Char"/>
    <w:aliases w:val="Procedure List 1 Char,List Bullet Cab Char,CAB - List Bullet Char,List Paragraph11 Char,List Paragraph1 Char,Recommendation Char,Bullet point Char,List Paragraph111 Char,L Char,F5 List Paragraph Char,Dot pt Char,CV text Char"/>
    <w:basedOn w:val="DefaultParagraphFont"/>
    <w:link w:val="ListParagraph"/>
    <w:uiPriority w:val="34"/>
    <w:qFormat/>
    <w:rsid w:val="00FA2FF9"/>
    <w:rPr>
      <w:rFonts w:ascii="Arial" w:hAnsi="Arial"/>
      <w:color w:val="18242E" w:themeColor="text1" w:themeTint="E6"/>
      <w:sz w:val="24"/>
    </w:rPr>
  </w:style>
  <w:style w:type="paragraph" w:styleId="Revision">
    <w:name w:val="Revision"/>
    <w:hidden/>
    <w:uiPriority w:val="99"/>
    <w:semiHidden/>
    <w:rsid w:val="00FA2FF9"/>
    <w:pPr>
      <w:spacing w:after="0" w:line="240" w:lineRule="auto"/>
    </w:pPr>
    <w:rPr>
      <w:rFonts w:ascii="Arial" w:hAnsi="Arial"/>
      <w:color w:val="18242E" w:themeColor="text1" w:themeTint="E6"/>
      <w:sz w:val="24"/>
    </w:rPr>
  </w:style>
  <w:style w:type="character" w:styleId="LineNumber">
    <w:name w:val="line number"/>
    <w:basedOn w:val="DefaultParagraphFont"/>
    <w:uiPriority w:val="99"/>
    <w:semiHidden/>
    <w:unhideWhenUsed/>
    <w:rsid w:val="00773DE6"/>
  </w:style>
  <w:style w:type="table" w:styleId="GridTable4-Accent5">
    <w:name w:val="Grid Table 4 Accent 5"/>
    <w:aliases w:val="Latin TMR style - NM"/>
    <w:basedOn w:val="TableNormal"/>
    <w:uiPriority w:val="49"/>
    <w:locked/>
    <w:rsid w:val="00730DE4"/>
    <w:pPr>
      <w:spacing w:after="0" w:line="240" w:lineRule="auto"/>
    </w:pPr>
    <w:tblPr>
      <w:tblStyleRowBandSize w:val="1"/>
      <w:tblStyleColBandSize w:val="1"/>
      <w:tblBorders>
        <w:top w:val="single" w:sz="4" w:space="0" w:color="E05A75" w:themeColor="accent5" w:themeTint="99"/>
        <w:left w:val="single" w:sz="4" w:space="0" w:color="E05A75" w:themeColor="accent5" w:themeTint="99"/>
        <w:bottom w:val="single" w:sz="4" w:space="0" w:color="E05A75" w:themeColor="accent5" w:themeTint="99"/>
        <w:right w:val="single" w:sz="4" w:space="0" w:color="E05A75" w:themeColor="accent5" w:themeTint="99"/>
        <w:insideH w:val="single" w:sz="4" w:space="0" w:color="E05A75" w:themeColor="accent5" w:themeTint="99"/>
        <w:insideV w:val="single" w:sz="4" w:space="0" w:color="E05A75" w:themeColor="accent5" w:themeTint="99"/>
      </w:tblBorders>
    </w:tblPr>
    <w:tblStylePr w:type="firstRow">
      <w:rPr>
        <w:b/>
        <w:bCs/>
        <w:color w:val="FFFFFF" w:themeColor="background1"/>
      </w:rPr>
      <w:tblPr/>
      <w:tcPr>
        <w:shd w:val="clear" w:color="auto" w:fill="003C69"/>
      </w:tcPr>
    </w:tblStylePr>
    <w:tblStylePr w:type="lastRow">
      <w:rPr>
        <w:b/>
        <w:bCs/>
      </w:rPr>
      <w:tblPr/>
      <w:tcPr>
        <w:tcBorders>
          <w:top w:val="double" w:sz="4" w:space="0" w:color="9C1D37" w:themeColor="accent5"/>
        </w:tcBorders>
      </w:tcPr>
    </w:tblStylePr>
    <w:tblStylePr w:type="firstCol">
      <w:rPr>
        <w:b/>
        <w:bCs/>
      </w:rPr>
    </w:tblStylePr>
    <w:tblStylePr w:type="lastCol">
      <w:rPr>
        <w:b/>
        <w:bCs/>
      </w:rPr>
    </w:tblStylePr>
    <w:tblStylePr w:type="band1Vert">
      <w:tblPr/>
      <w:tcPr>
        <w:shd w:val="clear" w:color="auto" w:fill="F4C8D1" w:themeFill="accent5" w:themeFillTint="33"/>
      </w:tcPr>
    </w:tblStylePr>
    <w:tblStylePr w:type="band1Horz">
      <w:tblPr/>
      <w:tcPr>
        <w:shd w:val="clear" w:color="auto" w:fill="F4C8D1" w:themeFill="accent5" w:themeFillTint="33"/>
      </w:tcPr>
    </w:tblStylePr>
  </w:style>
  <w:style w:type="paragraph" w:styleId="BalloonText">
    <w:name w:val="Balloon Text"/>
    <w:basedOn w:val="Normal"/>
    <w:link w:val="BalloonTextChar"/>
    <w:uiPriority w:val="99"/>
    <w:semiHidden/>
    <w:unhideWhenUsed/>
    <w:rsid w:val="00730DE4"/>
    <w:pPr>
      <w:suppressAutoHyphens w:val="0"/>
      <w:spacing w:before="0" w:line="240" w:lineRule="auto"/>
    </w:pPr>
    <w:rPr>
      <w:rFonts w:ascii="Segoe UI" w:hAnsi="Segoe UI" w:cs="Segoe UI"/>
      <w:color w:val="auto"/>
      <w:sz w:val="18"/>
      <w:szCs w:val="18"/>
    </w:rPr>
  </w:style>
  <w:style w:type="character" w:customStyle="1" w:styleId="BalloonTextChar">
    <w:name w:val="Balloon Text Char"/>
    <w:basedOn w:val="DefaultParagraphFont"/>
    <w:link w:val="BalloonText"/>
    <w:uiPriority w:val="99"/>
    <w:semiHidden/>
    <w:rsid w:val="00730DE4"/>
    <w:rPr>
      <w:rFonts w:ascii="Segoe UI" w:hAnsi="Segoe UI" w:cs="Segoe UI"/>
      <w:sz w:val="18"/>
      <w:szCs w:val="18"/>
    </w:rPr>
  </w:style>
  <w:style w:type="paragraph" w:customStyle="1" w:styleId="ACPHeading">
    <w:name w:val="ACP Heading"/>
    <w:basedOn w:val="Normal"/>
    <w:link w:val="ACPHeadingChar"/>
    <w:qFormat/>
    <w:rsid w:val="00730DE4"/>
    <w:pPr>
      <w:shd w:val="clear" w:color="auto" w:fill="EBEBEB"/>
      <w:suppressAutoHyphens w:val="0"/>
      <w:spacing w:before="0" w:after="120" w:line="240" w:lineRule="auto"/>
    </w:pPr>
    <w:rPr>
      <w:rFonts w:ascii="Meta Pro" w:eastAsia="Times New Roman" w:hAnsi="Meta Pro" w:cs="Arial"/>
      <w:b/>
      <w:bCs/>
      <w:color w:val="000000"/>
      <w:sz w:val="18"/>
      <w:szCs w:val="18"/>
      <w:lang w:eastAsia="en-AU"/>
    </w:rPr>
  </w:style>
  <w:style w:type="paragraph" w:customStyle="1" w:styleId="ACPPara">
    <w:name w:val="ACP Para"/>
    <w:basedOn w:val="Normal"/>
    <w:link w:val="ACPParaChar"/>
    <w:qFormat/>
    <w:rsid w:val="00730DE4"/>
    <w:pPr>
      <w:shd w:val="clear" w:color="auto" w:fill="EBEBEB"/>
      <w:suppressAutoHyphens w:val="0"/>
      <w:spacing w:before="0" w:after="120" w:line="240" w:lineRule="auto"/>
    </w:pPr>
    <w:rPr>
      <w:rFonts w:ascii="Meta Pro" w:eastAsia="Times New Roman" w:hAnsi="Meta Pro" w:cs="Arial"/>
      <w:color w:val="000000"/>
      <w:sz w:val="18"/>
      <w:szCs w:val="18"/>
      <w:lang w:eastAsia="en-AU"/>
    </w:rPr>
  </w:style>
  <w:style w:type="character" w:customStyle="1" w:styleId="ACPHeadingChar">
    <w:name w:val="ACP Heading Char"/>
    <w:basedOn w:val="DefaultParagraphFont"/>
    <w:link w:val="ACPHeading"/>
    <w:rsid w:val="00730DE4"/>
    <w:rPr>
      <w:rFonts w:ascii="Meta Pro" w:eastAsia="Times New Roman" w:hAnsi="Meta Pro" w:cs="Arial"/>
      <w:b/>
      <w:bCs/>
      <w:color w:val="000000"/>
      <w:sz w:val="18"/>
      <w:szCs w:val="18"/>
      <w:shd w:val="clear" w:color="auto" w:fill="EBEBEB"/>
      <w:lang w:eastAsia="en-AU"/>
    </w:rPr>
  </w:style>
  <w:style w:type="character" w:customStyle="1" w:styleId="ACPParaChar">
    <w:name w:val="ACP Para Char"/>
    <w:basedOn w:val="DefaultParagraphFont"/>
    <w:link w:val="ACPPara"/>
    <w:rsid w:val="00730DE4"/>
    <w:rPr>
      <w:rFonts w:ascii="Meta Pro" w:eastAsia="Times New Roman" w:hAnsi="Meta Pro" w:cs="Arial"/>
      <w:color w:val="000000"/>
      <w:sz w:val="18"/>
      <w:szCs w:val="18"/>
      <w:shd w:val="clear" w:color="auto" w:fill="EBEBEB"/>
      <w:lang w:eastAsia="en-AU"/>
    </w:rPr>
  </w:style>
  <w:style w:type="paragraph" w:customStyle="1" w:styleId="Default">
    <w:name w:val="Default"/>
    <w:rsid w:val="00730DE4"/>
    <w:pPr>
      <w:autoSpaceDE w:val="0"/>
      <w:autoSpaceDN w:val="0"/>
      <w:adjustRightInd w:val="0"/>
      <w:spacing w:after="0" w:line="240" w:lineRule="auto"/>
    </w:pPr>
    <w:rPr>
      <w:rFonts w:ascii="Arial" w:hAnsi="Arial" w:cs="Arial"/>
      <w:color w:val="000000"/>
      <w:sz w:val="24"/>
      <w:szCs w:val="24"/>
    </w:rPr>
  </w:style>
  <w:style w:type="paragraph" w:styleId="BodyText2">
    <w:name w:val="Body Text 2"/>
    <w:basedOn w:val="Normal"/>
    <w:link w:val="BodyText2Char"/>
    <w:uiPriority w:val="99"/>
    <w:semiHidden/>
    <w:unhideWhenUsed/>
    <w:rsid w:val="00730DE4"/>
    <w:pPr>
      <w:suppressAutoHyphens w:val="0"/>
      <w:spacing w:before="0" w:after="120" w:line="480" w:lineRule="auto"/>
    </w:pPr>
    <w:rPr>
      <w:rFonts w:cs="Arial"/>
      <w:color w:val="auto"/>
      <w:sz w:val="22"/>
    </w:rPr>
  </w:style>
  <w:style w:type="character" w:customStyle="1" w:styleId="BodyText2Char">
    <w:name w:val="Body Text 2 Char"/>
    <w:basedOn w:val="DefaultParagraphFont"/>
    <w:link w:val="BodyText2"/>
    <w:uiPriority w:val="99"/>
    <w:semiHidden/>
    <w:rsid w:val="00730DE4"/>
    <w:rPr>
      <w:rFonts w:ascii="Arial" w:hAnsi="Arial" w:cs="Arial"/>
    </w:rPr>
  </w:style>
  <w:style w:type="paragraph" w:styleId="BodyText3">
    <w:name w:val="Body Text 3"/>
    <w:basedOn w:val="Normal"/>
    <w:link w:val="BodyText3Char"/>
    <w:uiPriority w:val="99"/>
    <w:semiHidden/>
    <w:unhideWhenUsed/>
    <w:rsid w:val="00730DE4"/>
    <w:pPr>
      <w:suppressAutoHyphens w:val="0"/>
      <w:spacing w:before="0" w:after="120" w:line="240" w:lineRule="auto"/>
    </w:pPr>
    <w:rPr>
      <w:rFonts w:cs="Arial"/>
      <w:color w:val="auto"/>
      <w:sz w:val="16"/>
      <w:szCs w:val="16"/>
    </w:rPr>
  </w:style>
  <w:style w:type="character" w:customStyle="1" w:styleId="BodyText3Char">
    <w:name w:val="Body Text 3 Char"/>
    <w:basedOn w:val="DefaultParagraphFont"/>
    <w:link w:val="BodyText3"/>
    <w:uiPriority w:val="99"/>
    <w:semiHidden/>
    <w:rsid w:val="00730DE4"/>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730DE4"/>
    <w:pPr>
      <w:suppressAutoHyphens w:val="0"/>
      <w:spacing w:before="0" w:line="240" w:lineRule="auto"/>
      <w:ind w:firstLine="360"/>
    </w:pPr>
    <w:rPr>
      <w:rFonts w:cs="Arial"/>
      <w:color w:val="auto"/>
      <w:sz w:val="22"/>
    </w:rPr>
  </w:style>
  <w:style w:type="character" w:customStyle="1" w:styleId="BodyTextFirstIndentChar">
    <w:name w:val="Body Text First Indent Char"/>
    <w:basedOn w:val="BodyTextChar"/>
    <w:link w:val="BodyTextFirstIndent"/>
    <w:uiPriority w:val="99"/>
    <w:semiHidden/>
    <w:rsid w:val="00730DE4"/>
    <w:rPr>
      <w:rFonts w:ascii="Arial" w:hAnsi="Arial" w:cs="Arial"/>
      <w:sz w:val="24"/>
    </w:rPr>
  </w:style>
  <w:style w:type="paragraph" w:styleId="BodyTextIndent">
    <w:name w:val="Body Text Indent"/>
    <w:basedOn w:val="Normal"/>
    <w:link w:val="BodyTextIndentChar"/>
    <w:uiPriority w:val="99"/>
    <w:semiHidden/>
    <w:unhideWhenUsed/>
    <w:rsid w:val="00730DE4"/>
    <w:pPr>
      <w:suppressAutoHyphens w:val="0"/>
      <w:spacing w:before="0" w:after="120" w:line="240" w:lineRule="auto"/>
      <w:ind w:left="283"/>
    </w:pPr>
    <w:rPr>
      <w:rFonts w:cs="Arial"/>
      <w:color w:val="auto"/>
      <w:sz w:val="22"/>
    </w:rPr>
  </w:style>
  <w:style w:type="character" w:customStyle="1" w:styleId="BodyTextIndentChar">
    <w:name w:val="Body Text Indent Char"/>
    <w:basedOn w:val="DefaultParagraphFont"/>
    <w:link w:val="BodyTextIndent"/>
    <w:uiPriority w:val="99"/>
    <w:semiHidden/>
    <w:rsid w:val="00730DE4"/>
    <w:rPr>
      <w:rFonts w:ascii="Arial" w:hAnsi="Arial" w:cs="Arial"/>
    </w:rPr>
  </w:style>
  <w:style w:type="paragraph" w:styleId="BodyTextFirstIndent2">
    <w:name w:val="Body Text First Indent 2"/>
    <w:basedOn w:val="BodyTextIndent"/>
    <w:link w:val="BodyTextFirstIndent2Char"/>
    <w:uiPriority w:val="99"/>
    <w:semiHidden/>
    <w:unhideWhenUsed/>
    <w:rsid w:val="00730DE4"/>
    <w:pPr>
      <w:spacing w:after="0"/>
      <w:ind w:left="360" w:firstLine="360"/>
    </w:pPr>
  </w:style>
  <w:style w:type="character" w:customStyle="1" w:styleId="BodyTextFirstIndent2Char">
    <w:name w:val="Body Text First Indent 2 Char"/>
    <w:basedOn w:val="BodyTextIndentChar"/>
    <w:link w:val="BodyTextFirstIndent2"/>
    <w:uiPriority w:val="99"/>
    <w:semiHidden/>
    <w:rsid w:val="00730DE4"/>
    <w:rPr>
      <w:rFonts w:ascii="Arial" w:hAnsi="Arial" w:cs="Arial"/>
    </w:rPr>
  </w:style>
  <w:style w:type="paragraph" w:styleId="BodyTextIndent2">
    <w:name w:val="Body Text Indent 2"/>
    <w:basedOn w:val="Normal"/>
    <w:link w:val="BodyTextIndent2Char"/>
    <w:uiPriority w:val="99"/>
    <w:semiHidden/>
    <w:unhideWhenUsed/>
    <w:rsid w:val="00730DE4"/>
    <w:pPr>
      <w:suppressAutoHyphens w:val="0"/>
      <w:spacing w:before="0" w:after="120" w:line="480" w:lineRule="auto"/>
      <w:ind w:left="283"/>
    </w:pPr>
    <w:rPr>
      <w:rFonts w:cs="Arial"/>
      <w:color w:val="auto"/>
      <w:sz w:val="22"/>
    </w:rPr>
  </w:style>
  <w:style w:type="character" w:customStyle="1" w:styleId="BodyTextIndent2Char">
    <w:name w:val="Body Text Indent 2 Char"/>
    <w:basedOn w:val="DefaultParagraphFont"/>
    <w:link w:val="BodyTextIndent2"/>
    <w:uiPriority w:val="99"/>
    <w:semiHidden/>
    <w:rsid w:val="00730DE4"/>
    <w:rPr>
      <w:rFonts w:ascii="Arial" w:hAnsi="Arial" w:cs="Arial"/>
    </w:rPr>
  </w:style>
  <w:style w:type="paragraph" w:styleId="BodyTextIndent3">
    <w:name w:val="Body Text Indent 3"/>
    <w:basedOn w:val="Normal"/>
    <w:link w:val="BodyTextIndent3Char"/>
    <w:uiPriority w:val="99"/>
    <w:semiHidden/>
    <w:unhideWhenUsed/>
    <w:rsid w:val="00730DE4"/>
    <w:pPr>
      <w:suppressAutoHyphens w:val="0"/>
      <w:spacing w:before="0" w:after="120" w:line="240" w:lineRule="auto"/>
      <w:ind w:left="283"/>
    </w:pPr>
    <w:rPr>
      <w:rFonts w:cs="Arial"/>
      <w:color w:val="auto"/>
      <w:sz w:val="16"/>
      <w:szCs w:val="16"/>
    </w:rPr>
  </w:style>
  <w:style w:type="character" w:customStyle="1" w:styleId="BodyTextIndent3Char">
    <w:name w:val="Body Text Indent 3 Char"/>
    <w:basedOn w:val="DefaultParagraphFont"/>
    <w:link w:val="BodyTextIndent3"/>
    <w:uiPriority w:val="99"/>
    <w:semiHidden/>
    <w:rsid w:val="00730DE4"/>
    <w:rPr>
      <w:rFonts w:ascii="Arial" w:hAnsi="Arial" w:cs="Arial"/>
      <w:sz w:val="16"/>
      <w:szCs w:val="16"/>
    </w:rPr>
  </w:style>
  <w:style w:type="paragraph" w:styleId="Closing">
    <w:name w:val="Closing"/>
    <w:basedOn w:val="Normal"/>
    <w:link w:val="ClosingChar"/>
    <w:uiPriority w:val="99"/>
    <w:semiHidden/>
    <w:unhideWhenUsed/>
    <w:rsid w:val="00730DE4"/>
    <w:pPr>
      <w:suppressAutoHyphens w:val="0"/>
      <w:spacing w:before="0" w:line="240" w:lineRule="auto"/>
      <w:ind w:left="4252"/>
    </w:pPr>
    <w:rPr>
      <w:rFonts w:cs="Arial"/>
      <w:color w:val="auto"/>
      <w:sz w:val="22"/>
    </w:rPr>
  </w:style>
  <w:style w:type="character" w:customStyle="1" w:styleId="ClosingChar">
    <w:name w:val="Closing Char"/>
    <w:basedOn w:val="DefaultParagraphFont"/>
    <w:link w:val="Closing"/>
    <w:uiPriority w:val="99"/>
    <w:semiHidden/>
    <w:rsid w:val="00730DE4"/>
    <w:rPr>
      <w:rFonts w:ascii="Arial" w:hAnsi="Arial" w:cs="Arial"/>
    </w:rPr>
  </w:style>
  <w:style w:type="paragraph" w:styleId="Date">
    <w:name w:val="Date"/>
    <w:basedOn w:val="Normal"/>
    <w:next w:val="Normal"/>
    <w:link w:val="DateChar"/>
    <w:uiPriority w:val="99"/>
    <w:semiHidden/>
    <w:unhideWhenUsed/>
    <w:rsid w:val="00730DE4"/>
    <w:pPr>
      <w:suppressAutoHyphens w:val="0"/>
      <w:spacing w:before="0" w:line="240" w:lineRule="auto"/>
    </w:pPr>
    <w:rPr>
      <w:rFonts w:cs="Arial"/>
      <w:color w:val="auto"/>
      <w:sz w:val="22"/>
    </w:rPr>
  </w:style>
  <w:style w:type="character" w:customStyle="1" w:styleId="DateChar">
    <w:name w:val="Date Char"/>
    <w:basedOn w:val="DefaultParagraphFont"/>
    <w:link w:val="Date"/>
    <w:uiPriority w:val="99"/>
    <w:semiHidden/>
    <w:rsid w:val="00730DE4"/>
    <w:rPr>
      <w:rFonts w:ascii="Arial" w:hAnsi="Arial" w:cs="Arial"/>
    </w:rPr>
  </w:style>
  <w:style w:type="paragraph" w:styleId="DocumentMap">
    <w:name w:val="Document Map"/>
    <w:basedOn w:val="Normal"/>
    <w:link w:val="DocumentMapChar"/>
    <w:uiPriority w:val="99"/>
    <w:semiHidden/>
    <w:unhideWhenUsed/>
    <w:rsid w:val="00730DE4"/>
    <w:pPr>
      <w:suppressAutoHyphens w:val="0"/>
      <w:spacing w:before="0" w:line="240" w:lineRule="auto"/>
    </w:pPr>
    <w:rPr>
      <w:rFonts w:ascii="Segoe UI" w:hAnsi="Segoe UI" w:cs="Segoe UI"/>
      <w:color w:val="auto"/>
      <w:sz w:val="16"/>
      <w:szCs w:val="16"/>
    </w:rPr>
  </w:style>
  <w:style w:type="character" w:customStyle="1" w:styleId="DocumentMapChar">
    <w:name w:val="Document Map Char"/>
    <w:basedOn w:val="DefaultParagraphFont"/>
    <w:link w:val="DocumentMap"/>
    <w:uiPriority w:val="99"/>
    <w:semiHidden/>
    <w:rsid w:val="00730DE4"/>
    <w:rPr>
      <w:rFonts w:ascii="Segoe UI" w:hAnsi="Segoe UI" w:cs="Segoe UI"/>
      <w:sz w:val="16"/>
      <w:szCs w:val="16"/>
    </w:rPr>
  </w:style>
  <w:style w:type="paragraph" w:styleId="E-mailSignature">
    <w:name w:val="E-mail Signature"/>
    <w:basedOn w:val="Normal"/>
    <w:link w:val="E-mailSignatureChar"/>
    <w:uiPriority w:val="99"/>
    <w:semiHidden/>
    <w:unhideWhenUsed/>
    <w:rsid w:val="00730DE4"/>
    <w:pPr>
      <w:suppressAutoHyphens w:val="0"/>
      <w:spacing w:before="0" w:line="240" w:lineRule="auto"/>
    </w:pPr>
    <w:rPr>
      <w:rFonts w:cs="Arial"/>
      <w:color w:val="auto"/>
      <w:sz w:val="22"/>
    </w:rPr>
  </w:style>
  <w:style w:type="character" w:customStyle="1" w:styleId="E-mailSignatureChar">
    <w:name w:val="E-mail Signature Char"/>
    <w:basedOn w:val="DefaultParagraphFont"/>
    <w:link w:val="E-mailSignature"/>
    <w:uiPriority w:val="99"/>
    <w:semiHidden/>
    <w:rsid w:val="00730DE4"/>
    <w:rPr>
      <w:rFonts w:ascii="Arial" w:hAnsi="Arial" w:cs="Arial"/>
    </w:rPr>
  </w:style>
  <w:style w:type="paragraph" w:styleId="EndnoteText">
    <w:name w:val="endnote text"/>
    <w:basedOn w:val="Normal"/>
    <w:link w:val="EndnoteTextChar"/>
    <w:uiPriority w:val="99"/>
    <w:semiHidden/>
    <w:unhideWhenUsed/>
    <w:rsid w:val="00730DE4"/>
    <w:pPr>
      <w:suppressAutoHyphens w:val="0"/>
      <w:spacing w:before="0" w:line="240" w:lineRule="auto"/>
    </w:pPr>
    <w:rPr>
      <w:rFonts w:cs="Arial"/>
      <w:color w:val="auto"/>
      <w:sz w:val="20"/>
      <w:szCs w:val="20"/>
    </w:rPr>
  </w:style>
  <w:style w:type="character" w:customStyle="1" w:styleId="EndnoteTextChar">
    <w:name w:val="Endnote Text Char"/>
    <w:basedOn w:val="DefaultParagraphFont"/>
    <w:link w:val="EndnoteText"/>
    <w:uiPriority w:val="99"/>
    <w:semiHidden/>
    <w:rsid w:val="00730DE4"/>
    <w:rPr>
      <w:rFonts w:ascii="Arial" w:hAnsi="Arial" w:cs="Arial"/>
      <w:sz w:val="20"/>
      <w:szCs w:val="20"/>
    </w:rPr>
  </w:style>
  <w:style w:type="paragraph" w:styleId="EnvelopeReturn">
    <w:name w:val="envelope return"/>
    <w:basedOn w:val="Normal"/>
    <w:uiPriority w:val="99"/>
    <w:semiHidden/>
    <w:unhideWhenUsed/>
    <w:rsid w:val="00730DE4"/>
    <w:pPr>
      <w:suppressAutoHyphens w:val="0"/>
      <w:spacing w:before="0" w:line="240" w:lineRule="auto"/>
    </w:pPr>
    <w:rPr>
      <w:rFonts w:asciiTheme="majorHAnsi" w:eastAsiaTheme="majorEastAsia" w:hAnsiTheme="majorHAnsi" w:cstheme="majorBidi"/>
      <w:color w:val="auto"/>
      <w:sz w:val="20"/>
      <w:szCs w:val="20"/>
    </w:rPr>
  </w:style>
  <w:style w:type="paragraph" w:styleId="FootnoteText">
    <w:name w:val="footnote text"/>
    <w:basedOn w:val="Normal"/>
    <w:link w:val="FootnoteTextChar"/>
    <w:uiPriority w:val="99"/>
    <w:semiHidden/>
    <w:unhideWhenUsed/>
    <w:rsid w:val="00730DE4"/>
    <w:pPr>
      <w:suppressAutoHyphens w:val="0"/>
      <w:spacing w:before="0" w:line="240" w:lineRule="auto"/>
    </w:pPr>
    <w:rPr>
      <w:rFonts w:cs="Arial"/>
      <w:color w:val="auto"/>
      <w:sz w:val="20"/>
      <w:szCs w:val="20"/>
    </w:rPr>
  </w:style>
  <w:style w:type="character" w:customStyle="1" w:styleId="FootnoteTextChar">
    <w:name w:val="Footnote Text Char"/>
    <w:basedOn w:val="DefaultParagraphFont"/>
    <w:link w:val="FootnoteText"/>
    <w:uiPriority w:val="99"/>
    <w:semiHidden/>
    <w:rsid w:val="00730DE4"/>
    <w:rPr>
      <w:rFonts w:ascii="Arial" w:hAnsi="Arial" w:cs="Arial"/>
      <w:sz w:val="20"/>
      <w:szCs w:val="20"/>
    </w:rPr>
  </w:style>
  <w:style w:type="paragraph" w:styleId="HTMLAddress">
    <w:name w:val="HTML Address"/>
    <w:basedOn w:val="Normal"/>
    <w:link w:val="HTMLAddressChar"/>
    <w:uiPriority w:val="99"/>
    <w:semiHidden/>
    <w:unhideWhenUsed/>
    <w:rsid w:val="00730DE4"/>
    <w:pPr>
      <w:suppressAutoHyphens w:val="0"/>
      <w:spacing w:before="0" w:line="240" w:lineRule="auto"/>
    </w:pPr>
    <w:rPr>
      <w:rFonts w:cs="Arial"/>
      <w:i/>
      <w:iCs/>
      <w:color w:val="auto"/>
      <w:sz w:val="22"/>
    </w:rPr>
  </w:style>
  <w:style w:type="character" w:customStyle="1" w:styleId="HTMLAddressChar">
    <w:name w:val="HTML Address Char"/>
    <w:basedOn w:val="DefaultParagraphFont"/>
    <w:link w:val="HTMLAddress"/>
    <w:uiPriority w:val="99"/>
    <w:semiHidden/>
    <w:rsid w:val="00730DE4"/>
    <w:rPr>
      <w:rFonts w:ascii="Arial" w:hAnsi="Arial" w:cs="Arial"/>
      <w:i/>
      <w:iCs/>
    </w:rPr>
  </w:style>
  <w:style w:type="paragraph" w:styleId="Index1">
    <w:name w:val="index 1"/>
    <w:basedOn w:val="Normal"/>
    <w:next w:val="Normal"/>
    <w:autoRedefine/>
    <w:uiPriority w:val="99"/>
    <w:semiHidden/>
    <w:unhideWhenUsed/>
    <w:rsid w:val="00730DE4"/>
    <w:pPr>
      <w:suppressAutoHyphens w:val="0"/>
      <w:spacing w:before="0" w:line="240" w:lineRule="auto"/>
      <w:ind w:left="220" w:hanging="220"/>
    </w:pPr>
    <w:rPr>
      <w:rFonts w:cs="Arial"/>
      <w:color w:val="auto"/>
      <w:sz w:val="22"/>
    </w:rPr>
  </w:style>
  <w:style w:type="paragraph" w:styleId="Index2">
    <w:name w:val="index 2"/>
    <w:basedOn w:val="Normal"/>
    <w:next w:val="Normal"/>
    <w:autoRedefine/>
    <w:uiPriority w:val="99"/>
    <w:semiHidden/>
    <w:unhideWhenUsed/>
    <w:rsid w:val="00730DE4"/>
    <w:pPr>
      <w:suppressAutoHyphens w:val="0"/>
      <w:spacing w:before="0" w:line="240" w:lineRule="auto"/>
      <w:ind w:left="440" w:hanging="220"/>
    </w:pPr>
    <w:rPr>
      <w:rFonts w:cs="Arial"/>
      <w:color w:val="auto"/>
      <w:sz w:val="22"/>
    </w:rPr>
  </w:style>
  <w:style w:type="paragraph" w:styleId="Index3">
    <w:name w:val="index 3"/>
    <w:basedOn w:val="Normal"/>
    <w:next w:val="Normal"/>
    <w:autoRedefine/>
    <w:uiPriority w:val="99"/>
    <w:semiHidden/>
    <w:unhideWhenUsed/>
    <w:rsid w:val="00730DE4"/>
    <w:pPr>
      <w:suppressAutoHyphens w:val="0"/>
      <w:spacing w:before="0" w:line="240" w:lineRule="auto"/>
      <w:ind w:left="660" w:hanging="220"/>
    </w:pPr>
    <w:rPr>
      <w:rFonts w:cs="Arial"/>
      <w:color w:val="auto"/>
      <w:sz w:val="22"/>
    </w:rPr>
  </w:style>
  <w:style w:type="paragraph" w:styleId="Index4">
    <w:name w:val="index 4"/>
    <w:basedOn w:val="Normal"/>
    <w:next w:val="Normal"/>
    <w:autoRedefine/>
    <w:uiPriority w:val="99"/>
    <w:semiHidden/>
    <w:unhideWhenUsed/>
    <w:rsid w:val="00730DE4"/>
    <w:pPr>
      <w:suppressAutoHyphens w:val="0"/>
      <w:spacing w:before="0" w:line="240" w:lineRule="auto"/>
      <w:ind w:left="880" w:hanging="220"/>
    </w:pPr>
    <w:rPr>
      <w:rFonts w:cs="Arial"/>
      <w:color w:val="auto"/>
      <w:sz w:val="22"/>
    </w:rPr>
  </w:style>
  <w:style w:type="paragraph" w:styleId="Index5">
    <w:name w:val="index 5"/>
    <w:basedOn w:val="Normal"/>
    <w:next w:val="Normal"/>
    <w:autoRedefine/>
    <w:uiPriority w:val="99"/>
    <w:semiHidden/>
    <w:unhideWhenUsed/>
    <w:rsid w:val="00730DE4"/>
    <w:pPr>
      <w:suppressAutoHyphens w:val="0"/>
      <w:spacing w:before="0" w:line="240" w:lineRule="auto"/>
      <w:ind w:left="1100" w:hanging="220"/>
    </w:pPr>
    <w:rPr>
      <w:rFonts w:cs="Arial"/>
      <w:color w:val="auto"/>
      <w:sz w:val="22"/>
    </w:rPr>
  </w:style>
  <w:style w:type="paragraph" w:styleId="Index6">
    <w:name w:val="index 6"/>
    <w:basedOn w:val="Normal"/>
    <w:next w:val="Normal"/>
    <w:autoRedefine/>
    <w:uiPriority w:val="99"/>
    <w:semiHidden/>
    <w:unhideWhenUsed/>
    <w:rsid w:val="00730DE4"/>
    <w:pPr>
      <w:suppressAutoHyphens w:val="0"/>
      <w:spacing w:before="0" w:line="240" w:lineRule="auto"/>
      <w:ind w:left="1320" w:hanging="220"/>
    </w:pPr>
    <w:rPr>
      <w:rFonts w:cs="Arial"/>
      <w:color w:val="auto"/>
      <w:sz w:val="22"/>
    </w:rPr>
  </w:style>
  <w:style w:type="paragraph" w:styleId="Index7">
    <w:name w:val="index 7"/>
    <w:basedOn w:val="Normal"/>
    <w:next w:val="Normal"/>
    <w:autoRedefine/>
    <w:uiPriority w:val="99"/>
    <w:semiHidden/>
    <w:unhideWhenUsed/>
    <w:rsid w:val="00730DE4"/>
    <w:pPr>
      <w:suppressAutoHyphens w:val="0"/>
      <w:spacing w:before="0" w:line="240" w:lineRule="auto"/>
      <w:ind w:left="1540" w:hanging="220"/>
    </w:pPr>
    <w:rPr>
      <w:rFonts w:cs="Arial"/>
      <w:color w:val="auto"/>
      <w:sz w:val="22"/>
    </w:rPr>
  </w:style>
  <w:style w:type="paragraph" w:styleId="Index8">
    <w:name w:val="index 8"/>
    <w:basedOn w:val="Normal"/>
    <w:next w:val="Normal"/>
    <w:autoRedefine/>
    <w:uiPriority w:val="99"/>
    <w:semiHidden/>
    <w:unhideWhenUsed/>
    <w:rsid w:val="00730DE4"/>
    <w:pPr>
      <w:suppressAutoHyphens w:val="0"/>
      <w:spacing w:before="0" w:line="240" w:lineRule="auto"/>
      <w:ind w:left="1760" w:hanging="220"/>
    </w:pPr>
    <w:rPr>
      <w:rFonts w:cs="Arial"/>
      <w:color w:val="auto"/>
      <w:sz w:val="22"/>
    </w:rPr>
  </w:style>
  <w:style w:type="paragraph" w:styleId="Index9">
    <w:name w:val="index 9"/>
    <w:basedOn w:val="Normal"/>
    <w:next w:val="Normal"/>
    <w:autoRedefine/>
    <w:uiPriority w:val="99"/>
    <w:semiHidden/>
    <w:unhideWhenUsed/>
    <w:rsid w:val="00730DE4"/>
    <w:pPr>
      <w:suppressAutoHyphens w:val="0"/>
      <w:spacing w:before="0" w:line="240" w:lineRule="auto"/>
      <w:ind w:left="1980" w:hanging="220"/>
    </w:pPr>
    <w:rPr>
      <w:rFonts w:cs="Arial"/>
      <w:color w:val="auto"/>
      <w:sz w:val="22"/>
    </w:rPr>
  </w:style>
  <w:style w:type="paragraph" w:styleId="IndexHeading">
    <w:name w:val="index heading"/>
    <w:basedOn w:val="Normal"/>
    <w:next w:val="Index1"/>
    <w:uiPriority w:val="99"/>
    <w:semiHidden/>
    <w:unhideWhenUsed/>
    <w:rsid w:val="00730DE4"/>
    <w:pPr>
      <w:suppressAutoHyphens w:val="0"/>
      <w:spacing w:before="0" w:line="240" w:lineRule="auto"/>
    </w:pPr>
    <w:rPr>
      <w:rFonts w:asciiTheme="majorHAnsi" w:eastAsiaTheme="majorEastAsia" w:hAnsiTheme="majorHAnsi" w:cstheme="majorBidi"/>
      <w:b/>
      <w:bCs/>
      <w:color w:val="auto"/>
      <w:sz w:val="22"/>
    </w:rPr>
  </w:style>
  <w:style w:type="paragraph" w:styleId="ListBullet4">
    <w:name w:val="List Bullet 4"/>
    <w:basedOn w:val="Normal"/>
    <w:uiPriority w:val="99"/>
    <w:semiHidden/>
    <w:unhideWhenUsed/>
    <w:rsid w:val="00730DE4"/>
    <w:pPr>
      <w:numPr>
        <w:numId w:val="5"/>
      </w:numPr>
      <w:suppressAutoHyphens w:val="0"/>
      <w:spacing w:before="0" w:line="240" w:lineRule="auto"/>
      <w:contextualSpacing/>
    </w:pPr>
    <w:rPr>
      <w:rFonts w:cs="Arial"/>
      <w:color w:val="auto"/>
      <w:sz w:val="22"/>
    </w:rPr>
  </w:style>
  <w:style w:type="paragraph" w:styleId="ListBullet5">
    <w:name w:val="List Bullet 5"/>
    <w:basedOn w:val="Normal"/>
    <w:uiPriority w:val="99"/>
    <w:semiHidden/>
    <w:unhideWhenUsed/>
    <w:rsid w:val="00730DE4"/>
    <w:pPr>
      <w:numPr>
        <w:numId w:val="6"/>
      </w:numPr>
      <w:suppressAutoHyphens w:val="0"/>
      <w:spacing w:before="0" w:line="240" w:lineRule="auto"/>
      <w:contextualSpacing/>
    </w:pPr>
    <w:rPr>
      <w:rFonts w:cs="Arial"/>
      <w:color w:val="auto"/>
      <w:sz w:val="22"/>
    </w:rPr>
  </w:style>
  <w:style w:type="paragraph" w:styleId="ListContinue">
    <w:name w:val="List Continue"/>
    <w:basedOn w:val="Normal"/>
    <w:uiPriority w:val="99"/>
    <w:semiHidden/>
    <w:unhideWhenUsed/>
    <w:rsid w:val="00730DE4"/>
    <w:pPr>
      <w:suppressAutoHyphens w:val="0"/>
      <w:spacing w:before="0" w:after="120" w:line="240" w:lineRule="auto"/>
      <w:ind w:left="283"/>
      <w:contextualSpacing/>
    </w:pPr>
    <w:rPr>
      <w:rFonts w:cs="Arial"/>
      <w:color w:val="auto"/>
      <w:sz w:val="22"/>
    </w:rPr>
  </w:style>
  <w:style w:type="paragraph" w:styleId="ListContinue2">
    <w:name w:val="List Continue 2"/>
    <w:basedOn w:val="Normal"/>
    <w:uiPriority w:val="99"/>
    <w:semiHidden/>
    <w:unhideWhenUsed/>
    <w:rsid w:val="00730DE4"/>
    <w:pPr>
      <w:suppressAutoHyphens w:val="0"/>
      <w:spacing w:before="0" w:after="120" w:line="240" w:lineRule="auto"/>
      <w:ind w:left="566"/>
      <w:contextualSpacing/>
    </w:pPr>
    <w:rPr>
      <w:rFonts w:cs="Arial"/>
      <w:color w:val="auto"/>
      <w:sz w:val="22"/>
    </w:rPr>
  </w:style>
  <w:style w:type="paragraph" w:styleId="ListContinue3">
    <w:name w:val="List Continue 3"/>
    <w:basedOn w:val="Normal"/>
    <w:uiPriority w:val="99"/>
    <w:semiHidden/>
    <w:unhideWhenUsed/>
    <w:rsid w:val="00730DE4"/>
    <w:pPr>
      <w:suppressAutoHyphens w:val="0"/>
      <w:spacing w:before="0" w:after="120" w:line="240" w:lineRule="auto"/>
      <w:ind w:left="849"/>
      <w:contextualSpacing/>
    </w:pPr>
    <w:rPr>
      <w:rFonts w:cs="Arial"/>
      <w:color w:val="auto"/>
      <w:sz w:val="22"/>
    </w:rPr>
  </w:style>
  <w:style w:type="paragraph" w:styleId="ListContinue4">
    <w:name w:val="List Continue 4"/>
    <w:basedOn w:val="Normal"/>
    <w:uiPriority w:val="99"/>
    <w:semiHidden/>
    <w:unhideWhenUsed/>
    <w:rsid w:val="00730DE4"/>
    <w:pPr>
      <w:suppressAutoHyphens w:val="0"/>
      <w:spacing w:before="0" w:after="120" w:line="240" w:lineRule="auto"/>
      <w:ind w:left="1132"/>
      <w:contextualSpacing/>
    </w:pPr>
    <w:rPr>
      <w:rFonts w:cs="Arial"/>
      <w:color w:val="auto"/>
      <w:sz w:val="22"/>
    </w:rPr>
  </w:style>
  <w:style w:type="paragraph" w:styleId="ListNumber4">
    <w:name w:val="List Number 4"/>
    <w:basedOn w:val="Normal"/>
    <w:uiPriority w:val="99"/>
    <w:semiHidden/>
    <w:unhideWhenUsed/>
    <w:rsid w:val="00730DE4"/>
    <w:pPr>
      <w:numPr>
        <w:numId w:val="7"/>
      </w:numPr>
      <w:suppressAutoHyphens w:val="0"/>
      <w:spacing w:before="0" w:line="240" w:lineRule="auto"/>
      <w:contextualSpacing/>
    </w:pPr>
    <w:rPr>
      <w:rFonts w:cs="Arial"/>
      <w:color w:val="auto"/>
      <w:sz w:val="22"/>
    </w:rPr>
  </w:style>
  <w:style w:type="paragraph" w:styleId="ListNumber5">
    <w:name w:val="List Number 5"/>
    <w:basedOn w:val="Normal"/>
    <w:uiPriority w:val="99"/>
    <w:unhideWhenUsed/>
    <w:rsid w:val="00730DE4"/>
    <w:pPr>
      <w:numPr>
        <w:numId w:val="8"/>
      </w:numPr>
      <w:suppressAutoHyphens w:val="0"/>
      <w:spacing w:before="0" w:line="240" w:lineRule="auto"/>
      <w:contextualSpacing/>
    </w:pPr>
    <w:rPr>
      <w:rFonts w:cs="Arial"/>
      <w:color w:val="auto"/>
      <w:sz w:val="22"/>
    </w:rPr>
  </w:style>
  <w:style w:type="paragraph" w:styleId="MacroText">
    <w:name w:val="macro"/>
    <w:link w:val="MacroTextChar"/>
    <w:uiPriority w:val="99"/>
    <w:semiHidden/>
    <w:unhideWhenUsed/>
    <w:rsid w:val="00730DE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Arial"/>
      <w:sz w:val="20"/>
      <w:szCs w:val="20"/>
    </w:rPr>
  </w:style>
  <w:style w:type="character" w:customStyle="1" w:styleId="MacroTextChar">
    <w:name w:val="Macro Text Char"/>
    <w:basedOn w:val="DefaultParagraphFont"/>
    <w:link w:val="MacroText"/>
    <w:uiPriority w:val="99"/>
    <w:semiHidden/>
    <w:rsid w:val="00730DE4"/>
    <w:rPr>
      <w:rFonts w:ascii="Consolas" w:hAnsi="Consolas" w:cs="Arial"/>
      <w:sz w:val="20"/>
      <w:szCs w:val="20"/>
    </w:rPr>
  </w:style>
  <w:style w:type="paragraph" w:styleId="NormalIndent">
    <w:name w:val="Normal Indent"/>
    <w:basedOn w:val="Normal"/>
    <w:uiPriority w:val="99"/>
    <w:semiHidden/>
    <w:unhideWhenUsed/>
    <w:rsid w:val="00730DE4"/>
    <w:pPr>
      <w:suppressAutoHyphens w:val="0"/>
      <w:spacing w:before="0" w:line="240" w:lineRule="auto"/>
      <w:ind w:left="567"/>
    </w:pPr>
    <w:rPr>
      <w:rFonts w:cs="Arial"/>
      <w:color w:val="auto"/>
      <w:sz w:val="22"/>
    </w:rPr>
  </w:style>
  <w:style w:type="paragraph" w:styleId="NoteHeading">
    <w:name w:val="Note Heading"/>
    <w:basedOn w:val="Normal"/>
    <w:next w:val="Normal"/>
    <w:link w:val="NoteHeadingChar"/>
    <w:uiPriority w:val="99"/>
    <w:semiHidden/>
    <w:unhideWhenUsed/>
    <w:rsid w:val="00730DE4"/>
    <w:pPr>
      <w:suppressAutoHyphens w:val="0"/>
      <w:spacing w:before="0" w:line="240" w:lineRule="auto"/>
    </w:pPr>
    <w:rPr>
      <w:rFonts w:cs="Arial"/>
      <w:color w:val="auto"/>
      <w:sz w:val="22"/>
    </w:rPr>
  </w:style>
  <w:style w:type="character" w:customStyle="1" w:styleId="NoteHeadingChar">
    <w:name w:val="Note Heading Char"/>
    <w:basedOn w:val="DefaultParagraphFont"/>
    <w:link w:val="NoteHeading"/>
    <w:uiPriority w:val="99"/>
    <w:semiHidden/>
    <w:rsid w:val="00730DE4"/>
    <w:rPr>
      <w:rFonts w:ascii="Arial" w:hAnsi="Arial" w:cs="Arial"/>
    </w:rPr>
  </w:style>
  <w:style w:type="paragraph" w:styleId="PlainText">
    <w:name w:val="Plain Text"/>
    <w:basedOn w:val="Normal"/>
    <w:link w:val="PlainTextChar"/>
    <w:uiPriority w:val="99"/>
    <w:semiHidden/>
    <w:unhideWhenUsed/>
    <w:rsid w:val="00730DE4"/>
    <w:pPr>
      <w:suppressAutoHyphens w:val="0"/>
      <w:spacing w:before="0" w:line="240" w:lineRule="auto"/>
    </w:pPr>
    <w:rPr>
      <w:rFonts w:ascii="Consolas" w:hAnsi="Consolas" w:cs="Arial"/>
      <w:color w:val="auto"/>
      <w:sz w:val="21"/>
      <w:szCs w:val="21"/>
    </w:rPr>
  </w:style>
  <w:style w:type="character" w:customStyle="1" w:styleId="PlainTextChar">
    <w:name w:val="Plain Text Char"/>
    <w:basedOn w:val="DefaultParagraphFont"/>
    <w:link w:val="PlainText"/>
    <w:uiPriority w:val="99"/>
    <w:semiHidden/>
    <w:rsid w:val="00730DE4"/>
    <w:rPr>
      <w:rFonts w:ascii="Consolas" w:hAnsi="Consolas" w:cs="Arial"/>
      <w:sz w:val="21"/>
      <w:szCs w:val="21"/>
    </w:rPr>
  </w:style>
  <w:style w:type="paragraph" w:styleId="Salutation">
    <w:name w:val="Salutation"/>
    <w:basedOn w:val="Normal"/>
    <w:next w:val="Normal"/>
    <w:link w:val="SalutationChar"/>
    <w:uiPriority w:val="99"/>
    <w:semiHidden/>
    <w:unhideWhenUsed/>
    <w:rsid w:val="00730DE4"/>
    <w:pPr>
      <w:suppressAutoHyphens w:val="0"/>
      <w:spacing w:before="0" w:line="240" w:lineRule="auto"/>
    </w:pPr>
    <w:rPr>
      <w:rFonts w:cs="Arial"/>
      <w:color w:val="auto"/>
      <w:sz w:val="22"/>
    </w:rPr>
  </w:style>
  <w:style w:type="character" w:customStyle="1" w:styleId="SalutationChar">
    <w:name w:val="Salutation Char"/>
    <w:basedOn w:val="DefaultParagraphFont"/>
    <w:link w:val="Salutation"/>
    <w:uiPriority w:val="99"/>
    <w:semiHidden/>
    <w:rsid w:val="00730DE4"/>
    <w:rPr>
      <w:rFonts w:ascii="Arial" w:hAnsi="Arial" w:cs="Arial"/>
    </w:rPr>
  </w:style>
  <w:style w:type="paragraph" w:styleId="Signature">
    <w:name w:val="Signature"/>
    <w:basedOn w:val="Normal"/>
    <w:link w:val="SignatureChar"/>
    <w:uiPriority w:val="99"/>
    <w:semiHidden/>
    <w:unhideWhenUsed/>
    <w:rsid w:val="00730DE4"/>
    <w:pPr>
      <w:suppressAutoHyphens w:val="0"/>
      <w:spacing w:before="0" w:line="240" w:lineRule="auto"/>
      <w:ind w:left="4252"/>
    </w:pPr>
    <w:rPr>
      <w:rFonts w:cs="Arial"/>
      <w:color w:val="auto"/>
      <w:sz w:val="22"/>
    </w:rPr>
  </w:style>
  <w:style w:type="character" w:customStyle="1" w:styleId="SignatureChar">
    <w:name w:val="Signature Char"/>
    <w:basedOn w:val="DefaultParagraphFont"/>
    <w:link w:val="Signature"/>
    <w:uiPriority w:val="99"/>
    <w:semiHidden/>
    <w:rsid w:val="00730DE4"/>
    <w:rPr>
      <w:rFonts w:ascii="Arial" w:hAnsi="Arial" w:cs="Arial"/>
    </w:rPr>
  </w:style>
  <w:style w:type="paragraph" w:styleId="TOAHeading">
    <w:name w:val="toa heading"/>
    <w:basedOn w:val="Normal"/>
    <w:next w:val="Normal"/>
    <w:uiPriority w:val="99"/>
    <w:semiHidden/>
    <w:unhideWhenUsed/>
    <w:rsid w:val="00730DE4"/>
    <w:pPr>
      <w:suppressAutoHyphens w:val="0"/>
      <w:spacing w:before="120" w:line="240" w:lineRule="auto"/>
    </w:pPr>
    <w:rPr>
      <w:rFonts w:asciiTheme="majorHAnsi" w:eastAsiaTheme="majorEastAsia" w:hAnsiTheme="majorHAnsi" w:cstheme="majorBidi"/>
      <w:b/>
      <w:bCs/>
      <w:color w:val="auto"/>
      <w:szCs w:val="24"/>
    </w:rPr>
  </w:style>
  <w:style w:type="paragraph" w:customStyle="1" w:styleId="NoSpacingIndent">
    <w:name w:val="No Spacing – Indent"/>
    <w:basedOn w:val="NoSpacing"/>
    <w:qFormat/>
    <w:rsid w:val="00730DE4"/>
    <w:pPr>
      <w:ind w:left="284"/>
    </w:pPr>
    <w:rPr>
      <w:color w:val="080C0F" w:themeColor="text1"/>
      <w:szCs w:val="20"/>
    </w:rPr>
  </w:style>
  <w:style w:type="paragraph" w:customStyle="1" w:styleId="List0">
    <w:name w:val="* List"/>
    <w:basedOn w:val="Caption"/>
    <w:qFormat/>
    <w:rsid w:val="00730DE4"/>
    <w:pPr>
      <w:ind w:left="142" w:hanging="142"/>
    </w:pPr>
  </w:style>
  <w:style w:type="paragraph" w:customStyle="1" w:styleId="List1">
    <w:name w:val="** List"/>
    <w:basedOn w:val="List0"/>
    <w:qFormat/>
    <w:rsid w:val="00730DE4"/>
    <w:pPr>
      <w:ind w:left="227" w:hanging="227"/>
    </w:pPr>
  </w:style>
  <w:style w:type="paragraph" w:customStyle="1" w:styleId="List6">
    <w:name w:val="*** List"/>
    <w:basedOn w:val="List1"/>
    <w:qFormat/>
    <w:rsid w:val="00730DE4"/>
    <w:pPr>
      <w:ind w:left="295" w:hanging="295"/>
    </w:pPr>
  </w:style>
  <w:style w:type="paragraph" w:customStyle="1" w:styleId="Listletters">
    <w:name w:val="List letters"/>
    <w:basedOn w:val="ListNumber"/>
    <w:qFormat/>
    <w:rsid w:val="003C201D"/>
    <w:pPr>
      <w:numPr>
        <w:numId w:val="16"/>
      </w:numPr>
      <w:ind w:left="35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ranslink.com.au/news-and-media/competitions-and-offers/bus-driver-awards" TargetMode="External"/><Relationship Id="rId21" Type="http://schemas.openxmlformats.org/officeDocument/2006/relationships/hyperlink" Target="https://www.tmr.qld.gov.au/About-us/Corporate-information/Publications/Regional-Transport-Plans" TargetMode="External"/><Relationship Id="rId42" Type="http://schemas.openxmlformats.org/officeDocument/2006/relationships/hyperlink" Target="https://www.tmr.qld.gov.au/projects/kennedy-highway-cairns-mareeba-barron-river-bridge-upgrade-planning" TargetMode="External"/><Relationship Id="rId63" Type="http://schemas.openxmlformats.org/officeDocument/2006/relationships/hyperlink" Target="https://www.tmr.qld.gov.au/projects/bruce-highway-cooroy-to-curra/bruce-highway-cooroy-to-curra-section-d" TargetMode="External"/><Relationship Id="rId84" Type="http://schemas.openxmlformats.org/officeDocument/2006/relationships/hyperlink" Target="https://www.tmr.qld.gov.au/projects/kin-kin-road-six-mile-creek-replace-timber-bridge" TargetMode="External"/><Relationship Id="rId138" Type="http://schemas.openxmlformats.org/officeDocument/2006/relationships/hyperlink" Target="https://arcia.org.au/2023-arcia-industry-excellence-awards-winners/" TargetMode="External"/><Relationship Id="rId159" Type="http://schemas.openxmlformats.org/officeDocument/2006/relationships/hyperlink" Target="http://www.tmr.qld.gov.au" TargetMode="External"/><Relationship Id="rId107" Type="http://schemas.openxmlformats.org/officeDocument/2006/relationships/hyperlink" Target="https://www.qld.gov.au/transport/public/school/school-transport-assistance" TargetMode="External"/><Relationship Id="rId11" Type="http://schemas.openxmlformats.org/officeDocument/2006/relationships/hyperlink" Target="mailto:copyright@tmr.gov.au" TargetMode="External"/><Relationship Id="rId32" Type="http://schemas.openxmlformats.org/officeDocument/2006/relationships/hyperlink" Target="https://www.tmr.qld.gov.au/cyclingstrategy" TargetMode="External"/><Relationship Id="rId53" Type="http://schemas.openxmlformats.org/officeDocument/2006/relationships/hyperlink" Target="https://www.tmr.qld.gov.au/projects/bruce-highway-mackay-proserpine-jumper-creek-upgrade-flood-immunity" TargetMode="External"/><Relationship Id="rId74" Type="http://schemas.openxmlformats.org/officeDocument/2006/relationships/hyperlink" Target="https://www.tmr.qld.gov.au/projects/diamantina-developmental-road-quilpie-windorah-widen-and-seal" TargetMode="External"/><Relationship Id="rId128" Type="http://schemas.openxmlformats.org/officeDocument/2006/relationships/hyperlink" Target="https://www.msq.qld.gov.au/about-us/maritime-jobs" TargetMode="External"/><Relationship Id="rId149" Type="http://schemas.openxmlformats.org/officeDocument/2006/relationships/header" Target="header1.xml"/><Relationship Id="rId5" Type="http://schemas.openxmlformats.org/officeDocument/2006/relationships/footnotes" Target="footnotes.xml"/><Relationship Id="rId95" Type="http://schemas.openxmlformats.org/officeDocument/2006/relationships/hyperlink" Target="https://www.youtube.com/playlist?list=PLCK8wjaTpQ_oqs_rQFcMAemSOpfn7DP_Q" TargetMode="External"/><Relationship Id="rId160" Type="http://schemas.openxmlformats.org/officeDocument/2006/relationships/hyperlink" Target="https://www.msq.qld.gov.au/About-us/How-to-contact-us/Regions" TargetMode="External"/><Relationship Id="rId22" Type="http://schemas.openxmlformats.org/officeDocument/2006/relationships/hyperlink" Target="https://translink.com.au/about-translink/projects-and-initiatives/creating-better-connections" TargetMode="External"/><Relationship Id="rId43" Type="http://schemas.openxmlformats.org/officeDocument/2006/relationships/hyperlink" Target="https://www.tmr.qld.gov.au/projects/cape-york-region-package-stage-2" TargetMode="External"/><Relationship Id="rId64" Type="http://schemas.openxmlformats.org/officeDocument/2006/relationships/hyperlink" Target="https://www.tmr.qld.gov.au/projects/torbanlea-pialba-road-various-locations-upgrade-intersections-and-floodways" TargetMode="External"/><Relationship Id="rId118" Type="http://schemas.openxmlformats.org/officeDocument/2006/relationships/hyperlink" Target="https://www.tmr.qld.gov.au/projects/New-Generation-Rollingstock" TargetMode="External"/><Relationship Id="rId139" Type="http://schemas.openxmlformats.org/officeDocument/2006/relationships/hyperlink" Target="https://www.forgov.qld.gov.au/information-and-communication-technology/cyber-security/about-the-cyber-security-unit" TargetMode="External"/><Relationship Id="rId85" Type="http://schemas.openxmlformats.org/officeDocument/2006/relationships/hyperlink" Target="https://www.tmr.qld.gov.au/projects/beerburrum-to-nambour-rail-upgrade-stage-1" TargetMode="External"/><Relationship Id="rId150" Type="http://schemas.openxmlformats.org/officeDocument/2006/relationships/footer" Target="footer4.xml"/><Relationship Id="rId12" Type="http://schemas.openxmlformats.org/officeDocument/2006/relationships/hyperlink" Target="mailto:annual.report@tmr.qld.gov.au" TargetMode="External"/><Relationship Id="rId17" Type="http://schemas.openxmlformats.org/officeDocument/2006/relationships/image" Target="media/image5.svg"/><Relationship Id="rId33" Type="http://schemas.openxmlformats.org/officeDocument/2006/relationships/hyperlink" Target="https://www.tmr.qld.gov.au/travel-and-transport/pedestrians-and-walking/walking-network-plans/" TargetMode="External"/><Relationship Id="rId38" Type="http://schemas.openxmlformats.org/officeDocument/2006/relationships/hyperlink" Target="https://www.tmr.qld.gov.au/projects/Bruce-Highway-Cairns-Southern-Access-Corridor-Stage-3-Edmonton-to-Gordonvale" TargetMode="External"/><Relationship Id="rId59" Type="http://schemas.openxmlformats.org/officeDocument/2006/relationships/hyperlink" Target="https://www.tmr.qld.gov.au/projects/rockhampton-emu-park-road-upgrades-including-overtaking-lanes-and-other-improvements" TargetMode="External"/><Relationship Id="rId103" Type="http://schemas.openxmlformats.org/officeDocument/2006/relationships/hyperlink" Target="https://www.qld.gov.au/disability/out-and-about/subsidies-concessions-passes/taxi-subsidy" TargetMode="External"/><Relationship Id="rId108" Type="http://schemas.openxmlformats.org/officeDocument/2006/relationships/hyperlink" Target="https://www.data.qld.gov.au" TargetMode="External"/><Relationship Id="rId124" Type="http://schemas.openxmlformats.org/officeDocument/2006/relationships/hyperlink" Target="https://www.qld.gov.au/transport/safety/road-safety/community-road-safety-grants" TargetMode="External"/><Relationship Id="rId129" Type="http://schemas.openxmlformats.org/officeDocument/2006/relationships/hyperlink" Target="https://www.smartshipaustralia.qld.gov.au/training" TargetMode="External"/><Relationship Id="rId54" Type="http://schemas.openxmlformats.org/officeDocument/2006/relationships/hyperlink" Target="https://www.tmr.qld.gov.au/projects/bruce-highway-mackay-proserpine-knobels-road-upgrade-intersection-and-approaches" TargetMode="External"/><Relationship Id="rId70" Type="http://schemas.openxmlformats.org/officeDocument/2006/relationships/hyperlink" Target="https://www.tmr.qld.gov.au/projects/gore-highway-millmerran-goondiwindi-wyaga-creek-upgrade-floodway" TargetMode="External"/><Relationship Id="rId75" Type="http://schemas.openxmlformats.org/officeDocument/2006/relationships/hyperlink" Target="https://www.tmr.qld.gov.au/projects/bruce-highway-brisbane-gympie-caboolture-bribie-island-road-to-steve-irwin-way-upgrade" TargetMode="External"/><Relationship Id="rId91" Type="http://schemas.openxmlformats.org/officeDocument/2006/relationships/hyperlink" Target="https://www.tmr.qld.gov.au/projects/programs/logan-and-gold-coast-faster-rail" TargetMode="External"/><Relationship Id="rId96" Type="http://schemas.openxmlformats.org/officeDocument/2006/relationships/hyperlink" Target="https://www.tmr.qld.gov.au/projects/programs/mount-lindesay-highway-upgrade-program" TargetMode="External"/><Relationship Id="rId140" Type="http://schemas.openxmlformats.org/officeDocument/2006/relationships/hyperlink" Target="https://www.forgov.qld.gov.au/service-delivery-and-community-support/design-public-services/digital-service-design-playbook" TargetMode="External"/><Relationship Id="rId145" Type="http://schemas.openxmlformats.org/officeDocument/2006/relationships/hyperlink" Target="https://www.tmr.qld.gov.au/About-us/Right-to-Information/Disclosure-log" TargetMode="External"/><Relationship Id="rId161" Type="http://schemas.openxmlformats.org/officeDocument/2006/relationships/hyperlink" Target="http://www.translink.com.au"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qld.gov.au/transport/projects/electricvehicles" TargetMode="External"/><Relationship Id="rId28" Type="http://schemas.openxmlformats.org/officeDocument/2006/relationships/hyperlink" Target="https://www.qrida.qld.gov.au/program/queensland-zero-emission-vehicle-rebate-scheme" TargetMode="External"/><Relationship Id="rId49" Type="http://schemas.openxmlformats.org/officeDocument/2006/relationships/hyperlink" Target="https://www.tmr.qld.gov.au/projects/townsville-connection-road-idalia-university-road-to-bowen-road-bridge-improve-safety" TargetMode="External"/><Relationship Id="rId114" Type="http://schemas.openxmlformats.org/officeDocument/2006/relationships/hyperlink" Target="https://qrida.qld.gov.au" TargetMode="External"/><Relationship Id="rId119" Type="http://schemas.openxmlformats.org/officeDocument/2006/relationships/hyperlink" Target="https://www.tmr.qld.gov.au/projects/programs/queensland-train-manufacturing-program" TargetMode="External"/><Relationship Id="rId44" Type="http://schemas.openxmlformats.org/officeDocument/2006/relationships/hyperlink" Target="https://www.tmr.qld.gov.au/travel-and-transport/local-fare-scheme-far-north-queensland" TargetMode="External"/><Relationship Id="rId60" Type="http://schemas.openxmlformats.org/officeDocument/2006/relationships/hyperlink" Target="https://www.tmr.qld.gov.au/projects/yeppoon-road-upgrade-project" TargetMode="External"/><Relationship Id="rId65" Type="http://schemas.openxmlformats.org/officeDocument/2006/relationships/hyperlink" Target="https://www.tmr.qld.gov.au/projects/isis-highway-bundaberg-childers-various-locations-improve-safety" TargetMode="External"/><Relationship Id="rId81" Type="http://schemas.openxmlformats.org/officeDocument/2006/relationships/hyperlink" Target="https://www.tmr.qld.gov.au/projects/elizabeth-avenue-clontarf-construct-active-transport-overpass" TargetMode="External"/><Relationship Id="rId86" Type="http://schemas.openxmlformats.org/officeDocument/2006/relationships/hyperlink" Target="https://www.tmr.qld.gov.au/projects/beams-road-carseldine-and-fitzgibbon-rail-level-crossing" TargetMode="External"/><Relationship Id="rId130" Type="http://schemas.openxmlformats.org/officeDocument/2006/relationships/hyperlink" Target="https://www.msq.qld.gov.au/about-us/news-and-stories/taskforce-continues-gaining-ground-in-war-on-wrecks" TargetMode="External"/><Relationship Id="rId135" Type="http://schemas.openxmlformats.org/officeDocument/2006/relationships/hyperlink" Target="https://www.disaster.qld.gov.au/__data/assets/pdf_file/0035/388790/cyber-security-hazard-response-plan.pdf" TargetMode="External"/><Relationship Id="rId151" Type="http://schemas.openxmlformats.org/officeDocument/2006/relationships/image" Target="media/image6.png"/><Relationship Id="rId156" Type="http://schemas.openxmlformats.org/officeDocument/2006/relationships/hyperlink" Target="https://data.qld.gov.au" TargetMode="External"/><Relationship Id="rId13" Type="http://schemas.openxmlformats.org/officeDocument/2006/relationships/hyperlink" Target="https://www.getinvolved.qld.gov.au/gi/consultation/13350/view.html" TargetMode="External"/><Relationship Id="rId18" Type="http://schemas.openxmlformats.org/officeDocument/2006/relationships/hyperlink" Target="mailto:annual.report@tmr.qld.gov.au" TargetMode="External"/><Relationship Id="rId39" Type="http://schemas.openxmlformats.org/officeDocument/2006/relationships/hyperlink" Target="https://www.tmr.qld.gov.au/projects/bruce-highway-ingham-innisfail-smiths-gap-construct-southbound-overtaking-lane-and-fauna-overpass" TargetMode="External"/><Relationship Id="rId109" Type="http://schemas.openxmlformats.org/officeDocument/2006/relationships/hyperlink" Target="https://www.tmr.qld.gov.au/Travel-and-transport/Disability-access-and-mobility/Disability-Action-Plan" TargetMode="External"/><Relationship Id="rId34" Type="http://schemas.openxmlformats.org/officeDocument/2006/relationships/hyperlink" Target="https://www.qld.gov.au/transport/public/bicycle-riding/where-to-ride/paths/veloway-1" TargetMode="External"/><Relationship Id="rId50" Type="http://schemas.openxmlformats.org/officeDocument/2006/relationships/hyperlink" Target="https://www.tmr.qld.gov.au/projects/townsville-connection-road-stuart-drive-bowen-road-bridge-idalia-duplicate-bridge-and-approaches" TargetMode="External"/><Relationship Id="rId55" Type="http://schemas.openxmlformats.org/officeDocument/2006/relationships/hyperlink" Target="https://www.tmr.qld.gov.au/projects/mackay-bucasia-road-capacity-upgrades-and-duplication-planning" TargetMode="External"/><Relationship Id="rId76" Type="http://schemas.openxmlformats.org/officeDocument/2006/relationships/hyperlink" Target="https://www.tmr.qld.gov.au/projects/direct-sunshine-coast-rail-line-planning" TargetMode="External"/><Relationship Id="rId97" Type="http://schemas.openxmlformats.org/officeDocument/2006/relationships/hyperlink" Target="https://www.tmr.qld.gov.au/projects/programs/coomera-connector" TargetMode="External"/><Relationship Id="rId104" Type="http://schemas.openxmlformats.org/officeDocument/2006/relationships/hyperlink" Target="https://translink.com.au/about-translink/projects-and-initiatives/smart-ticketing" TargetMode="External"/><Relationship Id="rId120" Type="http://schemas.openxmlformats.org/officeDocument/2006/relationships/hyperlink" Target="https://www.tmr.qld.gov.au/rrtg" TargetMode="External"/><Relationship Id="rId125" Type="http://schemas.openxmlformats.org/officeDocument/2006/relationships/hyperlink" Target="https://www.qld.gov.au/transport/safety/rules/wheeled-devices/personal-mobility-devices" TargetMode="External"/><Relationship Id="rId141" Type="http://schemas.openxmlformats.org/officeDocument/2006/relationships/hyperlink" Target="https://www.tmr.qld.gov.au/Help/Privacy" TargetMode="External"/><Relationship Id="rId146" Type="http://schemas.openxmlformats.org/officeDocument/2006/relationships/hyperlink" Target="https://www.data.qld.gov.au/dataset?organization=transport-and-main-roads" TargetMode="External"/><Relationship Id="rId7" Type="http://schemas.openxmlformats.org/officeDocument/2006/relationships/footer" Target="footer1.xml"/><Relationship Id="rId71" Type="http://schemas.openxmlformats.org/officeDocument/2006/relationships/hyperlink" Target="https://www.tmr.qld.gov.au/projects/new-england-highway-yarraman-toowoomba-widen-pavement" TargetMode="External"/><Relationship Id="rId92" Type="http://schemas.openxmlformats.org/officeDocument/2006/relationships/hyperlink" Target="https://www.tmr.qld.gov.au/projects/programs/coomera-connector" TargetMode="External"/><Relationship Id="rId162" Type="http://schemas.openxmlformats.org/officeDocument/2006/relationships/hyperlink" Target="https://qldtraffic.qld.gov.au/" TargetMode="External"/><Relationship Id="rId2" Type="http://schemas.openxmlformats.org/officeDocument/2006/relationships/styles" Target="styles.xml"/><Relationship Id="rId29" Type="http://schemas.openxmlformats.org/officeDocument/2006/relationships/hyperlink" Target="https://www.qld.gov.au/transport/projects/electricvehicles/super-highway" TargetMode="External"/><Relationship Id="rId24" Type="http://schemas.openxmlformats.org/officeDocument/2006/relationships/hyperlink" Target="https://www.tmr.qld.gov.au/business-industry/transport-sectors/ports/sustainable-port-development-and-operation/master-planning-for-priority-ports" TargetMode="External"/><Relationship Id="rId40" Type="http://schemas.openxmlformats.org/officeDocument/2006/relationships/hyperlink" Target="https://www.tmr.qld.gov.au/projects/cape-york-region-package-stage-2" TargetMode="External"/><Relationship Id="rId45" Type="http://schemas.openxmlformats.org/officeDocument/2006/relationships/hyperlink" Target="https://www.tmr.qld.gov.au/projects/kennedy-developmental-road-the-lynd-to-hughenden-upgrade" TargetMode="External"/><Relationship Id="rId66" Type="http://schemas.openxmlformats.org/officeDocument/2006/relationships/hyperlink" Target="https://www.tmr.qld.gov.au/projects/maryborough-hervey-bay-road-and-pialba-burrum-heads-road-upgrade-intersection" TargetMode="External"/><Relationship Id="rId87" Type="http://schemas.openxmlformats.org/officeDocument/2006/relationships/hyperlink" Target="https://www.tmr.qld.gov.au/projects/veloway-1-v1-cycleway-okeefe-street-construct-bridge-approaches" TargetMode="External"/><Relationship Id="rId110" Type="http://schemas.openxmlformats.org/officeDocument/2006/relationships/hyperlink" Target="https://www.tmr.qld.gov.au/Travel-and-transport/Public-transport/%20Public-transport-infrastructure-grants" TargetMode="External"/><Relationship Id="rId115" Type="http://schemas.openxmlformats.org/officeDocument/2006/relationships/hyperlink" Target="https://www.tmr.qld.gov.au/business-industry/Taxi-and-limousine/Industry-information/Taxi/Wheelchair-accessible-taxis" TargetMode="External"/><Relationship Id="rId131" Type="http://schemas.openxmlformats.org/officeDocument/2006/relationships/hyperlink" Target="https://imoveaustralia.com/project/project-outcomes/safely-deploying-automated-vehicles-on-australian-roads/" TargetMode="External"/><Relationship Id="rId136" Type="http://schemas.openxmlformats.org/officeDocument/2006/relationships/hyperlink" Target="https://www.chde.qld.gov.au/__data/assets/file/0024/17529/digital-professional-workforce-plan.pdf" TargetMode="External"/><Relationship Id="rId157" Type="http://schemas.openxmlformats.org/officeDocument/2006/relationships/hyperlink" Target="https://data.qld.gov.au" TargetMode="External"/><Relationship Id="rId61" Type="http://schemas.openxmlformats.org/officeDocument/2006/relationships/hyperlink" Target="https://www.tmr.qld.gov.au/projects/rockhampton-railyards-rejuvenation" TargetMode="External"/><Relationship Id="rId82" Type="http://schemas.openxmlformats.org/officeDocument/2006/relationships/hyperlink" Target="https://www.tmr.qld.gov.au/projects/caboolture-bribie-island-road-bribie-island-bridge-planning" TargetMode="External"/><Relationship Id="rId152" Type="http://schemas.openxmlformats.org/officeDocument/2006/relationships/hyperlink" Target="https://gcwa.qld.gov.au/our-publications/" TargetMode="External"/><Relationship Id="rId19" Type="http://schemas.openxmlformats.org/officeDocument/2006/relationships/hyperlink" Target="https://s3.treasury.qld.gov.au/files/Budget_2023-24_SDS_Department_of_Transport_and_Main_Roads.pdf" TargetMode="External"/><Relationship Id="rId14" Type="http://schemas.openxmlformats.org/officeDocument/2006/relationships/hyperlink" Target="http://www.tmr.qld.gov.au/annualreport" TargetMode="External"/><Relationship Id="rId30" Type="http://schemas.openxmlformats.org/officeDocument/2006/relationships/hyperlink" Target="https://www.qrida.qld.gov.au/program/electric-vehicle-charging-infrastructure-scheme" TargetMode="External"/><Relationship Id="rId35" Type="http://schemas.openxmlformats.org/officeDocument/2006/relationships/hyperlink" Target="https://www.qld.gov.au/transport/public/bicycle-riding/bike-riding-takes-you-places" TargetMode="External"/><Relationship Id="rId56" Type="http://schemas.openxmlformats.org/officeDocument/2006/relationships/hyperlink" Target="https://www.tmr.qld.gov.au/projects/cramsie-muttaburra-road-rehabilitate-and-widen-pavement" TargetMode="External"/><Relationship Id="rId77" Type="http://schemas.openxmlformats.org/officeDocument/2006/relationships/hyperlink" Target="https://www.tmr.qld.gov.au/projects/southern-sunshine-coast-roads-improvement-study" TargetMode="External"/><Relationship Id="rId100" Type="http://schemas.openxmlformats.org/officeDocument/2006/relationships/hyperlink" Target="https://www.gclr3.com.au/goldlinq/gclr3" TargetMode="External"/><Relationship Id="rId105" Type="http://schemas.openxmlformats.org/officeDocument/2006/relationships/hyperlink" Target="https://translink.com.au/travel-with-us/on-demand" TargetMode="External"/><Relationship Id="rId126" Type="http://schemas.openxmlformats.org/officeDocument/2006/relationships/hyperlink" Target="https://streetsmarts.initiatives.qld.gov.au/" TargetMode="External"/><Relationship Id="rId147"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s://www.tmr.qld.gov.au/projects/mackay-ring-road" TargetMode="External"/><Relationship Id="rId72" Type="http://schemas.openxmlformats.org/officeDocument/2006/relationships/hyperlink" Target="https://www.tmr.qld.gov.au/projects/warwick-principal-cycle-network-plan-business-case" TargetMode="External"/><Relationship Id="rId93" Type="http://schemas.openxmlformats.org/officeDocument/2006/relationships/hyperlink" Target="https://www.tmr.qld.gov.au/projects/programs/pacific-motorway-m1-upgrade-program" TargetMode="External"/><Relationship Id="rId98" Type="http://schemas.openxmlformats.org/officeDocument/2006/relationships/hyperlink" Target="https://www.tmr.qld.gov.au/projects/gold-coast-light-rail-stage-4" TargetMode="External"/><Relationship Id="rId121" Type="http://schemas.openxmlformats.org/officeDocument/2006/relationships/hyperlink" Target="https://www.qld.gov.au/transport/projects/electricvehicles/zero-emission-strategy" TargetMode="External"/><Relationship Id="rId142" Type="http://schemas.openxmlformats.org/officeDocument/2006/relationships/hyperlink" Target="https://www.tmr.qld.gov.au/about-us/corporate-information/publications/data-and-analytics-strategy" TargetMode="External"/><Relationship Id="rId163" Type="http://schemas.openxmlformats.org/officeDocument/2006/relationships/hyperlink" Target="https://www.service.transport.qld.gov.au/SBSExternal/public/WelcomeVehicleInspection.xhtml" TargetMode="External"/><Relationship Id="rId3" Type="http://schemas.openxmlformats.org/officeDocument/2006/relationships/settings" Target="settings.xml"/><Relationship Id="rId25" Type="http://schemas.openxmlformats.org/officeDocument/2006/relationships/hyperlink" Target="https://www.tmr.qld.gov.au/business-industry/Transport-sectors/Rail-services-and-infrastructure/Rail-Transport-Contracts-and-Agreements" TargetMode="External"/><Relationship Id="rId46" Type="http://schemas.openxmlformats.org/officeDocument/2006/relationships/hyperlink" Target="https://www.tmr.qld.gov.au/projects/flinders-highway-julia-creek-cloncurry-scrubby-creek-pavement-strengthening-and-widening-of-floodway" TargetMode="External"/><Relationship Id="rId67" Type="http://schemas.openxmlformats.org/officeDocument/2006/relationships/hyperlink" Target="https://www.tmr.qld.gov.au/projects/bruce-highway-gympie-maryborough-tiaro-bypass-construct-four-lane-bypass" TargetMode="External"/><Relationship Id="rId116" Type="http://schemas.openxmlformats.org/officeDocument/2006/relationships/hyperlink" Target="https://translink.com.au/about-translink/projects-and-initiatives/bus-driver-safety-review" TargetMode="External"/><Relationship Id="rId137" Type="http://schemas.openxmlformats.org/officeDocument/2006/relationships/hyperlink" Target="https://www.qld.gov.au/jobs/career/digital-careers/digital-jobs/first-nations-digital-careers-program" TargetMode="External"/><Relationship Id="rId158" Type="http://schemas.openxmlformats.org/officeDocument/2006/relationships/hyperlink" Target="https://data.qld.gov.au" TargetMode="External"/><Relationship Id="rId20" Type="http://schemas.openxmlformats.org/officeDocument/2006/relationships/hyperlink" Target="http://www.data.qld.gov.au" TargetMode="External"/><Relationship Id="rId41" Type="http://schemas.openxmlformats.org/officeDocument/2006/relationships/hyperlink" Target="https://www.tmr.qld.gov.au/projects/bruce-highway-cairns-southern-access-corridor-stage-5-foster-road-upgrade-intersection" TargetMode="External"/><Relationship Id="rId62" Type="http://schemas.openxmlformats.org/officeDocument/2006/relationships/hyperlink" Target="https://www.qra.qld.gov.au/funding/drfa" TargetMode="External"/><Relationship Id="rId83" Type="http://schemas.openxmlformats.org/officeDocument/2006/relationships/hyperlink" Target="http://www.tmr.qld.gov.au/projects/strathpine-samford-road-eatons-crossing-road-and-mount-samson-road-improve-intersection" TargetMode="External"/><Relationship Id="rId88" Type="http://schemas.openxmlformats.org/officeDocument/2006/relationships/hyperlink" Target="https://www.tmr.qld.gov.au/projects/centenary-bridge-upgrade" TargetMode="External"/><Relationship Id="rId111" Type="http://schemas.openxmlformats.org/officeDocument/2006/relationships/hyperlink" Target="https://www.tmr.qld.gov.au/about-us/our-organisation/accessibility-and-inclusion" TargetMode="External"/><Relationship Id="rId132" Type="http://schemas.openxmlformats.org/officeDocument/2006/relationships/hyperlink" Target="https://tafeqld.edu.au/news-and-events/news/2023/digitrek-roadshow--experience-digital-technologies" TargetMode="External"/><Relationship Id="rId153" Type="http://schemas.openxmlformats.org/officeDocument/2006/relationships/hyperlink" Target="https://www.queenslandrail.com.au/aboutus/governance/reports-and-publications" TargetMode="External"/><Relationship Id="rId15" Type="http://schemas.openxmlformats.org/officeDocument/2006/relationships/hyperlink" Target="http://www.qld.gov.au/data" TargetMode="External"/><Relationship Id="rId36" Type="http://schemas.openxmlformats.org/officeDocument/2006/relationships/hyperlink" Target="https://www.tmr.qld.gov.au/projects/programs/bruce-highway-upgrade-program" TargetMode="External"/><Relationship Id="rId57" Type="http://schemas.openxmlformats.org/officeDocument/2006/relationships/hyperlink" Target="https://www.tmr.qld.gov.au/projects/richmond-winton-road-pave-and-seal" TargetMode="External"/><Relationship Id="rId106" Type="http://schemas.openxmlformats.org/officeDocument/2006/relationships/hyperlink" Target="https://translink.com.au/tickets-and-fares/concessions" TargetMode="External"/><Relationship Id="rId127" Type="http://schemas.openxmlformats.org/officeDocument/2006/relationships/hyperlink" Target="https://www.tmr.qld.gov.au/safety/rail-safety/national-level-crossing-safety-strategy" TargetMode="External"/><Relationship Id="rId10" Type="http://schemas.openxmlformats.org/officeDocument/2006/relationships/image" Target="media/image3.svg"/><Relationship Id="rId31" Type="http://schemas.openxmlformats.org/officeDocument/2006/relationships/hyperlink" Target="https://translink.com.au/about-translink/projects-and-initiatives/map" TargetMode="External"/><Relationship Id="rId52" Type="http://schemas.openxmlformats.org/officeDocument/2006/relationships/hyperlink" Target="https://www.tmr.qld.gov.au/projects/walkerston-bypass" TargetMode="External"/><Relationship Id="rId73" Type="http://schemas.openxmlformats.org/officeDocument/2006/relationships/hyperlink" Target="https://www.tmr.qld.gov.au/projects/carnarvon-highway-injune-rolleston-dawson-river-bridge-upgrade" TargetMode="External"/><Relationship Id="rId78" Type="http://schemas.openxmlformats.org/officeDocument/2006/relationships/hyperlink" Target="https://www.tmr.qld.gov.au/projects/programs/Bruce-Highway-Upgrade-Anzac-Avenue-to-Caboolture-Bribie-Island-Road" TargetMode="External"/><Relationship Id="rId94" Type="http://schemas.openxmlformats.org/officeDocument/2006/relationships/hyperlink" Target="https://www.tmr.qld.gov.au/projects/cunningham-highway-ipswich-warwick-2020-disaster-recovery-funding-arrangements-reconstruction-works" TargetMode="External"/><Relationship Id="rId99" Type="http://schemas.openxmlformats.org/officeDocument/2006/relationships/hyperlink" Target="https://www.tmr.qld.gov.au/projects/gold-coast-light-rail" TargetMode="External"/><Relationship Id="rId101" Type="http://schemas.openxmlformats.org/officeDocument/2006/relationships/hyperlink" Target="https://qldtraffic.qld.gov.au" TargetMode="External"/><Relationship Id="rId122" Type="http://schemas.openxmlformats.org/officeDocument/2006/relationships/hyperlink" Target="https://www.qld.gov.au/transport/projects/electricvehicles/zero-emission-bus-program" TargetMode="External"/><Relationship Id="rId143" Type="http://schemas.openxmlformats.org/officeDocument/2006/relationships/hyperlink" Target="https://www.tmr.qld.gov.au/About-us/Contact-us/Compliments-and-complaints" TargetMode="External"/><Relationship Id="rId148" Type="http://schemas.openxmlformats.org/officeDocument/2006/relationships/footer" Target="footer3.xml"/><Relationship Id="rId164" Type="http://schemas.openxmlformats.org/officeDocument/2006/relationships/hyperlink" Target="http://www.qld.gov.au/" TargetMode="External"/><Relationship Id="rId4" Type="http://schemas.openxmlformats.org/officeDocument/2006/relationships/webSettings" Target="webSettings.xml"/><Relationship Id="rId9" Type="http://schemas.openxmlformats.org/officeDocument/2006/relationships/image" Target="media/image2.png"/><Relationship Id="rId26" Type="http://schemas.openxmlformats.org/officeDocument/2006/relationships/hyperlink" Target="https://www.tmr.qld.gov.au/business-industry/Transport-sectors/Rail-services-and-infrastructure" TargetMode="External"/><Relationship Id="rId47" Type="http://schemas.openxmlformats.org/officeDocument/2006/relationships/hyperlink" Target="https://www.tmr.qld.gov.au/projects/townsville-ring-road-stage-5" TargetMode="External"/><Relationship Id="rId68" Type="http://schemas.openxmlformats.org/officeDocument/2006/relationships/hyperlink" Target="https://www.tmr.qld.gov.au/projects/monto-mount-perry-road-progressive-sealing" TargetMode="External"/><Relationship Id="rId89" Type="http://schemas.openxmlformats.org/officeDocument/2006/relationships/hyperlink" Target="https://www.tmr.qld.gov.au/projects/Cleveland-Redland%20Bay%20Road%20upgrade" TargetMode="External"/><Relationship Id="rId112" Type="http://schemas.openxmlformats.org/officeDocument/2006/relationships/hyperlink" Target="https://www.translink.com.au" TargetMode="External"/><Relationship Id="rId133" Type="http://schemas.openxmlformats.org/officeDocument/2006/relationships/hyperlink" Target="https://www.mydigitalcareer.com.au/QLD/?cl=QGD:4" TargetMode="External"/><Relationship Id="rId154" Type="http://schemas.openxmlformats.org/officeDocument/2006/relationships/hyperlink" Target="https://crossriverrail.qld.gov.au/asset-library/" TargetMode="External"/><Relationship Id="rId16" Type="http://schemas.openxmlformats.org/officeDocument/2006/relationships/image" Target="media/image4.png"/><Relationship Id="rId37" Type="http://schemas.openxmlformats.org/officeDocument/2006/relationships/hyperlink" Target="https://www.tmr.qld.gov.au/About-us/Corporate-information/Publications/Bruce-Highway-Action-Plan" TargetMode="External"/><Relationship Id="rId58" Type="http://schemas.openxmlformats.org/officeDocument/2006/relationships/hyperlink" Target="https://www.tmr.qld.gov.au/projects/Rockhampton-Ring-Road" TargetMode="External"/><Relationship Id="rId79" Type="http://schemas.openxmlformats.org/officeDocument/2006/relationships/hyperlink" Target="https://www.tmr.qld.gov.au/sunshinecoastpublictransport" TargetMode="External"/><Relationship Id="rId102" Type="http://schemas.openxmlformats.org/officeDocument/2006/relationships/hyperlink" Target="https://www.tmr.qld.gov.au/Travel-and-transport/School-transport/Assistance-schemes/School-Bus-Upgrade-Scheme.aspx" TargetMode="External"/><Relationship Id="rId123" Type="http://schemas.openxmlformats.org/officeDocument/2006/relationships/hyperlink" Target="https://www.tmr.qld.gov.au/projects/bruce-highway-cairns-southern-access-corridor-stage-3-edmonton-to-gordonvale" TargetMode="External"/><Relationship Id="rId144" Type="http://schemas.openxmlformats.org/officeDocument/2006/relationships/hyperlink" Target="https://www.qao.qld.gov.au/" TargetMode="External"/><Relationship Id="rId90" Type="http://schemas.openxmlformats.org/officeDocument/2006/relationships/hyperlink" Target="https://www.tmr.qld.gov.au/projects/programs/gateway-motorway-and-bruce-highway-upgrades" TargetMode="External"/><Relationship Id="rId165" Type="http://schemas.openxmlformats.org/officeDocument/2006/relationships/fontTable" Target="fontTable.xml"/><Relationship Id="rId27" Type="http://schemas.openxmlformats.org/officeDocument/2006/relationships/hyperlink" Target="https://www.tmr.qld.gov.au/travel-and-transport/long-distance-air-services" TargetMode="External"/><Relationship Id="rId48" Type="http://schemas.openxmlformats.org/officeDocument/2006/relationships/hyperlink" Target="https://www.tmr.qld.gov.au/projects/programs/high-risk-roads-projects-townsville" TargetMode="External"/><Relationship Id="rId69" Type="http://schemas.openxmlformats.org/officeDocument/2006/relationships/hyperlink" Target="https://www.tmr.qld.gov.au/projects/southern-queensland-2022-flood-reconstruction-works" TargetMode="External"/><Relationship Id="rId113" Type="http://schemas.openxmlformats.org/officeDocument/2006/relationships/hyperlink" Target="https://www.qld.gov.au/transport/projects/digital-licence" TargetMode="External"/><Relationship Id="rId134" Type="http://schemas.openxmlformats.org/officeDocument/2006/relationships/hyperlink" Target="https://www.qld.gov.au/jobs/career/digital-careers" TargetMode="External"/><Relationship Id="rId80" Type="http://schemas.openxmlformats.org/officeDocument/2006/relationships/hyperlink" Target="https://www.tmr.qld.gov.au/projects/north-brisbane-bruce-highway-western-alternative-planning" TargetMode="External"/><Relationship Id="rId155" Type="http://schemas.openxmlformats.org/officeDocument/2006/relationships/hyperlink" Target="https://www.transmax.com.au/who-we-are/corporate-publications/" TargetMode="External"/></Relationships>
</file>

<file path=word/theme/theme1.xml><?xml version="1.0" encoding="utf-8"?>
<a:theme xmlns:a="http://schemas.openxmlformats.org/drawingml/2006/main" name="Office Theme">
  <a:themeElements>
    <a:clrScheme name="TMR Colours">
      <a:dk1>
        <a:srgbClr val="080C0F"/>
      </a:dk1>
      <a:lt1>
        <a:sysClr val="window" lastClr="FFFFFF"/>
      </a:lt1>
      <a:dk2>
        <a:srgbClr val="003E69"/>
      </a:dk2>
      <a:lt2>
        <a:srgbClr val="ECF6FD"/>
      </a:lt2>
      <a:accent1>
        <a:srgbClr val="003E69"/>
      </a:accent1>
      <a:accent2>
        <a:srgbClr val="071E30"/>
      </a:accent2>
      <a:accent3>
        <a:srgbClr val="85C446"/>
      </a:accent3>
      <a:accent4>
        <a:srgbClr val="E08724"/>
      </a:accent4>
      <a:accent5>
        <a:srgbClr val="9C1D37"/>
      </a:accent5>
      <a:accent6>
        <a:srgbClr val="830E26"/>
      </a:accent6>
      <a:hlink>
        <a:srgbClr val="0563C1"/>
      </a:hlink>
      <a:folHlink>
        <a:srgbClr val="0563C1"/>
      </a:folHlink>
    </a:clrScheme>
    <a:fontScheme name="TMR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109630</Words>
  <Characters>624895</Characters>
  <Application>Microsoft Office Word</Application>
  <DocSecurity>0</DocSecurity>
  <Lines>5207</Lines>
  <Paragraphs>1466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2024-10-22T07:14:00Z</dcterms:created>
  <dcterms:modified xsi:type="dcterms:W3CDTF">2024-10-30T23:44:00Z</dcterms:modified>
</cp:coreProperties>
</file>