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696E4" w14:textId="07C4D2D8" w:rsidR="00D136D0" w:rsidRDefault="00822D2C" w:rsidP="009345FA">
      <w:pPr>
        <w:pStyle w:val="Heading1"/>
        <w:sectPr w:rsidR="00D136D0" w:rsidSect="00D136D0">
          <w:headerReference w:type="default" r:id="rId7"/>
          <w:pgSz w:w="11906" w:h="16838"/>
          <w:pgMar w:top="2495" w:right="1134" w:bottom="1418" w:left="1134" w:header="709" w:footer="1474" w:gutter="0"/>
          <w:cols w:space="709"/>
          <w:docGrid w:linePitch="360"/>
        </w:sectPr>
      </w:pPr>
      <w:r>
        <w:t xml:space="preserve">New </w:t>
      </w:r>
      <w:r w:rsidR="00D510AA">
        <w:t>s</w:t>
      </w:r>
      <w:r w:rsidR="00BB55D8">
        <w:t xml:space="preserve">ervices to support </w:t>
      </w:r>
      <w:r w:rsidR="00BD202C">
        <w:t xml:space="preserve">2021 </w:t>
      </w:r>
      <w:r>
        <w:t xml:space="preserve">Youth Justice Act amendments </w:t>
      </w:r>
    </w:p>
    <w:p w14:paraId="09CFB42C" w14:textId="7922E212" w:rsidR="00344742" w:rsidRDefault="00710D26" w:rsidP="00344742">
      <w:pPr>
        <w:spacing w:after="120"/>
      </w:pPr>
      <w:r>
        <w:t xml:space="preserve">Recent </w:t>
      </w:r>
      <w:r w:rsidR="00D510AA" w:rsidRPr="00D510AA">
        <w:t xml:space="preserve">amendments </w:t>
      </w:r>
      <w:r w:rsidR="00A621DD">
        <w:t>made by</w:t>
      </w:r>
      <w:r w:rsidR="00D510AA">
        <w:t xml:space="preserve"> </w:t>
      </w:r>
      <w:r w:rsidR="00D510AA" w:rsidRPr="00D510AA">
        <w:t xml:space="preserve">the </w:t>
      </w:r>
      <w:r w:rsidR="00D510AA" w:rsidRPr="00D33FAE">
        <w:rPr>
          <w:i/>
          <w:iCs/>
        </w:rPr>
        <w:t xml:space="preserve">Youth Justice and Other Legislation Amendment </w:t>
      </w:r>
      <w:r w:rsidR="006763C4" w:rsidRPr="00D33FAE">
        <w:rPr>
          <w:i/>
          <w:iCs/>
        </w:rPr>
        <w:t xml:space="preserve">Act </w:t>
      </w:r>
      <w:r w:rsidR="00D510AA" w:rsidRPr="00D33FAE">
        <w:rPr>
          <w:i/>
          <w:iCs/>
        </w:rPr>
        <w:t>2021</w:t>
      </w:r>
      <w:r w:rsidR="00D510AA" w:rsidRPr="00D510AA">
        <w:t xml:space="preserve"> are intended to</w:t>
      </w:r>
      <w:r w:rsidR="00344742">
        <w:t>:</w:t>
      </w:r>
    </w:p>
    <w:p w14:paraId="56AC9160" w14:textId="096D4FC1" w:rsidR="00344742" w:rsidRDefault="00822D2C" w:rsidP="00344742">
      <w:pPr>
        <w:pStyle w:val="ListParagraph"/>
        <w:numPr>
          <w:ilvl w:val="0"/>
          <w:numId w:val="28"/>
        </w:numPr>
      </w:pPr>
      <w:r>
        <w:t>increase</w:t>
      </w:r>
      <w:r w:rsidR="00D510AA">
        <w:t xml:space="preserve"> </w:t>
      </w:r>
      <w:r>
        <w:t xml:space="preserve">the </w:t>
      </w:r>
      <w:r w:rsidR="00D510AA">
        <w:t>accountability</w:t>
      </w:r>
      <w:r>
        <w:t xml:space="preserve"> of</w:t>
      </w:r>
      <w:r w:rsidR="00D510AA">
        <w:t xml:space="preserve"> serious re</w:t>
      </w:r>
      <w:r w:rsidR="0086061F">
        <w:t>peat</w:t>
      </w:r>
      <w:r w:rsidR="00D510AA">
        <w:t xml:space="preserve"> youth offenders</w:t>
      </w:r>
    </w:p>
    <w:p w14:paraId="30B3D94D" w14:textId="4C52512C" w:rsidR="00D510AA" w:rsidRDefault="00822D2C" w:rsidP="00344742">
      <w:pPr>
        <w:pStyle w:val="ListParagraph"/>
        <w:numPr>
          <w:ilvl w:val="0"/>
          <w:numId w:val="28"/>
        </w:numPr>
      </w:pPr>
      <w:r>
        <w:t>provide greater reassurance of community safety.</w:t>
      </w:r>
    </w:p>
    <w:p w14:paraId="16B0178B" w14:textId="65E17FCA" w:rsidR="00344742" w:rsidRDefault="009D72D8" w:rsidP="00344742">
      <w:r>
        <w:t xml:space="preserve">The amendments </w:t>
      </w:r>
      <w:r w:rsidR="0086061F">
        <w:t>operate</w:t>
      </w:r>
      <w:r>
        <w:t xml:space="preserve"> alongside </w:t>
      </w:r>
      <w:r w:rsidR="002D3858">
        <w:t xml:space="preserve">over $98 million </w:t>
      </w:r>
      <w:r>
        <w:t xml:space="preserve">investment in </w:t>
      </w:r>
      <w:r w:rsidR="002D3858">
        <w:t xml:space="preserve">new </w:t>
      </w:r>
      <w:r w:rsidR="0086061F">
        <w:t>or</w:t>
      </w:r>
      <w:r w:rsidR="002D3858">
        <w:t xml:space="preserve"> </w:t>
      </w:r>
      <w:r>
        <w:t xml:space="preserve">enhanced services in the community for this challenging group of young people, their families and carers. </w:t>
      </w:r>
    </w:p>
    <w:p w14:paraId="521C411A" w14:textId="58770135" w:rsidR="009D72D8" w:rsidRPr="00D510AA" w:rsidRDefault="002D3858" w:rsidP="00344742">
      <w:r>
        <w:t xml:space="preserve">These </w:t>
      </w:r>
      <w:r w:rsidR="00710D26">
        <w:t xml:space="preserve">services </w:t>
      </w:r>
      <w:r w:rsidR="0086061F">
        <w:t>ensure</w:t>
      </w:r>
      <w:r w:rsidR="009D72D8">
        <w:t xml:space="preserve"> that the necessary holistic support is </w:t>
      </w:r>
      <w:r w:rsidR="00710D26">
        <w:t xml:space="preserve">delivered to better </w:t>
      </w:r>
      <w:r w:rsidR="009D72D8">
        <w:t>address the causes of young people’s offending</w:t>
      </w:r>
      <w:r>
        <w:t xml:space="preserve"> and improve </w:t>
      </w:r>
      <w:r w:rsidR="0065758E">
        <w:t xml:space="preserve">their </w:t>
      </w:r>
      <w:r>
        <w:t>bail compliance</w:t>
      </w:r>
      <w:r w:rsidR="009D72D8">
        <w:t>.</w:t>
      </w:r>
    </w:p>
    <w:p w14:paraId="6A45AC3D" w14:textId="3C8D2DA5" w:rsidR="00344742" w:rsidRDefault="00D510AA" w:rsidP="00344742">
      <w:pPr>
        <w:spacing w:after="120"/>
      </w:pPr>
      <w:r>
        <w:t>Q</w:t>
      </w:r>
      <w:r w:rsidR="00EB454E">
        <w:t xml:space="preserve">ueensland </w:t>
      </w:r>
      <w:r>
        <w:t>P</w:t>
      </w:r>
      <w:r w:rsidR="00EB454E">
        <w:t xml:space="preserve">olice </w:t>
      </w:r>
      <w:r>
        <w:t>S</w:t>
      </w:r>
      <w:r w:rsidR="00EB454E">
        <w:t>ervice</w:t>
      </w:r>
      <w:r>
        <w:t xml:space="preserve"> and D</w:t>
      </w:r>
      <w:r w:rsidR="00EB454E">
        <w:t xml:space="preserve">epartment of </w:t>
      </w:r>
      <w:r>
        <w:t>C</w:t>
      </w:r>
      <w:r w:rsidR="00EB454E">
        <w:t xml:space="preserve">hildren, </w:t>
      </w:r>
      <w:r>
        <w:t>Y</w:t>
      </w:r>
      <w:r w:rsidR="00EB454E">
        <w:t xml:space="preserve">outh </w:t>
      </w:r>
      <w:r>
        <w:t>J</w:t>
      </w:r>
      <w:r w:rsidR="00EB454E">
        <w:t xml:space="preserve">ustice and </w:t>
      </w:r>
      <w:r>
        <w:t>M</w:t>
      </w:r>
      <w:r w:rsidR="00EB454E">
        <w:t xml:space="preserve">ulticultural </w:t>
      </w:r>
      <w:r>
        <w:t>A</w:t>
      </w:r>
      <w:r w:rsidR="00EB454E">
        <w:t>ffairs</w:t>
      </w:r>
      <w:r>
        <w:t xml:space="preserve"> staff </w:t>
      </w:r>
      <w:r w:rsidR="0086061F">
        <w:t>provide</w:t>
      </w:r>
      <w:r>
        <w:t xml:space="preserve"> high levels of monitoring and supervision</w:t>
      </w:r>
      <w:r w:rsidR="00710D26">
        <w:t xml:space="preserve"> for serious, </w:t>
      </w:r>
      <w:r w:rsidR="0086061F">
        <w:t>repeat</w:t>
      </w:r>
      <w:r w:rsidR="00710D26">
        <w:t xml:space="preserve"> offenders</w:t>
      </w:r>
      <w:r>
        <w:t xml:space="preserve">, including on weekends and after hours </w:t>
      </w:r>
      <w:r w:rsidR="00344742">
        <w:t>with:</w:t>
      </w:r>
    </w:p>
    <w:p w14:paraId="3EEEB62D" w14:textId="77777777" w:rsidR="00344742" w:rsidRDefault="00D510AA" w:rsidP="00344742">
      <w:pPr>
        <w:pStyle w:val="ListParagraph"/>
        <w:numPr>
          <w:ilvl w:val="0"/>
          <w:numId w:val="29"/>
        </w:numPr>
      </w:pPr>
      <w:r>
        <w:t>24/7 co-responder teams</w:t>
      </w:r>
    </w:p>
    <w:p w14:paraId="386EA3FB" w14:textId="77777777" w:rsidR="00344742" w:rsidRDefault="00D510AA" w:rsidP="00344742">
      <w:pPr>
        <w:pStyle w:val="ListParagraph"/>
        <w:numPr>
          <w:ilvl w:val="0"/>
          <w:numId w:val="29"/>
        </w:numPr>
      </w:pPr>
      <w:r>
        <w:t>conditional bail program youth workers.</w:t>
      </w:r>
      <w:r w:rsidR="00F025EA">
        <w:t xml:space="preserve"> </w:t>
      </w:r>
    </w:p>
    <w:p w14:paraId="348E1C2B" w14:textId="46B65FEA" w:rsidR="00D510AA" w:rsidRDefault="00D510AA" w:rsidP="00344742">
      <w:r>
        <w:t xml:space="preserve">After-hours </w:t>
      </w:r>
      <w:r w:rsidR="002D3858">
        <w:t xml:space="preserve">services </w:t>
      </w:r>
      <w:r w:rsidR="00A621DD">
        <w:t xml:space="preserve">are </w:t>
      </w:r>
      <w:r w:rsidR="00822D2C">
        <w:t>delivered by non-government organisations</w:t>
      </w:r>
      <w:r w:rsidR="0086061F">
        <w:t xml:space="preserve"> (NGOs)</w:t>
      </w:r>
      <w:r w:rsidR="00822D2C">
        <w:t xml:space="preserve"> </w:t>
      </w:r>
      <w:r>
        <w:t xml:space="preserve">to </w:t>
      </w:r>
      <w:r w:rsidR="0086061F">
        <w:t>help</w:t>
      </w:r>
      <w:r w:rsidR="00822D2C">
        <w:t xml:space="preserve"> </w:t>
      </w:r>
      <w:r>
        <w:t>families of young offenders</w:t>
      </w:r>
      <w:r w:rsidR="002D3858">
        <w:t>.</w:t>
      </w:r>
    </w:p>
    <w:p w14:paraId="7D40328B" w14:textId="275065FA" w:rsidR="00822D2C" w:rsidRDefault="00D510AA" w:rsidP="00344742">
      <w:pPr>
        <w:pStyle w:val="Heading2"/>
      </w:pPr>
      <w:r>
        <w:t xml:space="preserve">New </w:t>
      </w:r>
      <w:r w:rsidR="00822D2C">
        <w:t xml:space="preserve">services </w:t>
      </w:r>
    </w:p>
    <w:p w14:paraId="3956C5E0" w14:textId="6B3C43E1" w:rsidR="00D510AA" w:rsidRPr="00D510AA" w:rsidRDefault="00D510AA" w:rsidP="0086061F">
      <w:pPr>
        <w:spacing w:after="120"/>
      </w:pPr>
      <w:r>
        <w:rPr>
          <w:rFonts w:eastAsiaTheme="minorEastAsia"/>
        </w:rPr>
        <w:t>N</w:t>
      </w:r>
      <w:r w:rsidRPr="00D510AA">
        <w:rPr>
          <w:rFonts w:eastAsiaTheme="minorEastAsia"/>
        </w:rPr>
        <w:t>ew</w:t>
      </w:r>
      <w:r>
        <w:rPr>
          <w:rFonts w:eastAsiaTheme="minorEastAsia"/>
        </w:rPr>
        <w:t xml:space="preserve"> </w:t>
      </w:r>
      <w:r w:rsidRPr="00D510AA">
        <w:rPr>
          <w:rFonts w:eastAsiaTheme="minorEastAsia"/>
        </w:rPr>
        <w:t>funding</w:t>
      </w:r>
      <w:r>
        <w:rPr>
          <w:rFonts w:eastAsiaTheme="minorEastAsia"/>
        </w:rPr>
        <w:t xml:space="preserve"> of $38.3 million</w:t>
      </w:r>
      <w:r w:rsidRPr="00D510AA">
        <w:rPr>
          <w:rFonts w:eastAsiaTheme="minorEastAsia"/>
        </w:rPr>
        <w:t xml:space="preserve"> </w:t>
      </w:r>
      <w:r w:rsidR="00A621DD">
        <w:rPr>
          <w:rFonts w:eastAsiaTheme="minorEastAsia"/>
        </w:rPr>
        <w:t>is</w:t>
      </w:r>
      <w:r w:rsidR="00A621DD" w:rsidRPr="00D510AA">
        <w:rPr>
          <w:rFonts w:eastAsiaTheme="minorEastAsia"/>
        </w:rPr>
        <w:t xml:space="preserve"> </w:t>
      </w:r>
      <w:r w:rsidRPr="00D510AA">
        <w:rPr>
          <w:rFonts w:eastAsiaTheme="minorEastAsia"/>
        </w:rPr>
        <w:t>deliver</w:t>
      </w:r>
      <w:r w:rsidR="00A621DD">
        <w:rPr>
          <w:rFonts w:eastAsiaTheme="minorEastAsia"/>
        </w:rPr>
        <w:t>ing</w:t>
      </w:r>
      <w:r w:rsidRPr="00D510AA">
        <w:rPr>
          <w:rFonts w:eastAsiaTheme="minorEastAsia"/>
        </w:rPr>
        <w:t xml:space="preserve"> more resources to frontline workers for intensive monitoring </w:t>
      </w:r>
      <w:r w:rsidR="009D72D8">
        <w:rPr>
          <w:rFonts w:eastAsiaTheme="minorEastAsia"/>
        </w:rPr>
        <w:t>of ser</w:t>
      </w:r>
      <w:r w:rsidR="0086061F">
        <w:rPr>
          <w:rFonts w:eastAsiaTheme="minorEastAsia"/>
        </w:rPr>
        <w:t>i</w:t>
      </w:r>
      <w:r w:rsidR="009D72D8">
        <w:rPr>
          <w:rFonts w:eastAsiaTheme="minorEastAsia"/>
        </w:rPr>
        <w:t>ous recidivist young</w:t>
      </w:r>
      <w:r w:rsidR="00822D2C">
        <w:rPr>
          <w:rFonts w:eastAsiaTheme="minorEastAsia"/>
        </w:rPr>
        <w:t xml:space="preserve"> people</w:t>
      </w:r>
      <w:r w:rsidR="00344742">
        <w:rPr>
          <w:rFonts w:eastAsiaTheme="minorEastAsia"/>
        </w:rPr>
        <w:t>,</w:t>
      </w:r>
      <w:r w:rsidR="00822D2C">
        <w:rPr>
          <w:rFonts w:eastAsiaTheme="minorEastAsia"/>
        </w:rPr>
        <w:t xml:space="preserve"> </w:t>
      </w:r>
      <w:r w:rsidR="009D72D8">
        <w:rPr>
          <w:rFonts w:eastAsiaTheme="minorEastAsia"/>
        </w:rPr>
        <w:t xml:space="preserve">including </w:t>
      </w:r>
      <w:r w:rsidR="002D3858">
        <w:rPr>
          <w:rFonts w:eastAsiaTheme="minorEastAsia"/>
        </w:rPr>
        <w:t xml:space="preserve">young people </w:t>
      </w:r>
      <w:r w:rsidR="00822D2C">
        <w:rPr>
          <w:rFonts w:eastAsiaTheme="minorEastAsia"/>
        </w:rPr>
        <w:t>subject to electronic monitoring as a condition of bail</w:t>
      </w:r>
      <w:r w:rsidR="00344742">
        <w:rPr>
          <w:rFonts w:eastAsiaTheme="minorEastAsia"/>
        </w:rPr>
        <w:t xml:space="preserve">. It </w:t>
      </w:r>
      <w:r w:rsidR="0086061F">
        <w:rPr>
          <w:rFonts w:eastAsiaTheme="minorEastAsia"/>
        </w:rPr>
        <w:t>a</w:t>
      </w:r>
      <w:r w:rsidR="00344742">
        <w:rPr>
          <w:rFonts w:eastAsiaTheme="minorEastAsia"/>
        </w:rPr>
        <w:t>lso provid</w:t>
      </w:r>
      <w:r w:rsidR="0086061F">
        <w:rPr>
          <w:rFonts w:eastAsiaTheme="minorEastAsia"/>
        </w:rPr>
        <w:t>es</w:t>
      </w:r>
      <w:r w:rsidR="00710D26">
        <w:rPr>
          <w:rFonts w:eastAsiaTheme="minorEastAsia"/>
        </w:rPr>
        <w:t xml:space="preserve"> </w:t>
      </w:r>
      <w:r w:rsidR="002D3858">
        <w:rPr>
          <w:rFonts w:eastAsiaTheme="minorEastAsia"/>
        </w:rPr>
        <w:t xml:space="preserve">intensive </w:t>
      </w:r>
      <w:r w:rsidRPr="00D510AA">
        <w:rPr>
          <w:rFonts w:eastAsiaTheme="minorEastAsia"/>
        </w:rPr>
        <w:t xml:space="preserve">support </w:t>
      </w:r>
      <w:r w:rsidR="002D3858">
        <w:rPr>
          <w:rFonts w:eastAsiaTheme="minorEastAsia"/>
        </w:rPr>
        <w:t>for</w:t>
      </w:r>
      <w:r w:rsidR="00822D2C">
        <w:rPr>
          <w:rFonts w:eastAsiaTheme="minorEastAsia"/>
        </w:rPr>
        <w:t xml:space="preserve"> their families. </w:t>
      </w:r>
      <w:r w:rsidRPr="00D510AA">
        <w:rPr>
          <w:rFonts w:eastAsiaTheme="minorEastAsia"/>
        </w:rPr>
        <w:t xml:space="preserve"> </w:t>
      </w:r>
      <w:r w:rsidR="00710D26">
        <w:rPr>
          <w:rFonts w:eastAsiaTheme="minorEastAsia"/>
        </w:rPr>
        <w:t xml:space="preserve">New services </w:t>
      </w:r>
      <w:r w:rsidRPr="00D510AA">
        <w:rPr>
          <w:rFonts w:eastAsiaTheme="minorEastAsia"/>
        </w:rPr>
        <w:t xml:space="preserve">include: </w:t>
      </w:r>
    </w:p>
    <w:p w14:paraId="50F1F518" w14:textId="77C265B8" w:rsidR="00D510AA" w:rsidRPr="00D510AA" w:rsidRDefault="00344742" w:rsidP="00344742">
      <w:pPr>
        <w:pStyle w:val="ListParagraph"/>
        <w:numPr>
          <w:ilvl w:val="0"/>
          <w:numId w:val="30"/>
        </w:numPr>
      </w:pPr>
      <w:proofErr w:type="gramStart"/>
      <w:r>
        <w:rPr>
          <w:rFonts w:eastAsiaTheme="minorEastAsia"/>
        </w:rPr>
        <w:t>s</w:t>
      </w:r>
      <w:r w:rsidR="002D3858" w:rsidRPr="00344742">
        <w:rPr>
          <w:rFonts w:eastAsiaTheme="minorEastAsia"/>
        </w:rPr>
        <w:t>taffing</w:t>
      </w:r>
      <w:proofErr w:type="gramEnd"/>
      <w:r w:rsidR="002D3858" w:rsidRPr="00344742">
        <w:rPr>
          <w:rFonts w:eastAsiaTheme="minorEastAsia"/>
        </w:rPr>
        <w:t xml:space="preserve"> and equipment to deliver the</w:t>
      </w:r>
      <w:r w:rsidR="00D510AA" w:rsidRPr="00344742">
        <w:rPr>
          <w:rFonts w:eastAsiaTheme="minorEastAsia"/>
        </w:rPr>
        <w:t xml:space="preserve"> </w:t>
      </w:r>
      <w:r w:rsidR="00822D2C" w:rsidRPr="00344742">
        <w:rPr>
          <w:rFonts w:eastAsiaTheme="minorEastAsia"/>
        </w:rPr>
        <w:t>electronic monitoring</w:t>
      </w:r>
      <w:r w:rsidR="00D510AA" w:rsidRPr="00344742">
        <w:rPr>
          <w:rFonts w:eastAsiaTheme="minorEastAsia"/>
        </w:rPr>
        <w:t xml:space="preserve"> </w:t>
      </w:r>
      <w:r w:rsidR="002D3858" w:rsidRPr="00344742">
        <w:rPr>
          <w:rFonts w:eastAsiaTheme="minorEastAsia"/>
        </w:rPr>
        <w:t xml:space="preserve">trial </w:t>
      </w:r>
      <w:r w:rsidR="00D510AA" w:rsidRPr="00344742">
        <w:rPr>
          <w:rFonts w:eastAsiaTheme="minorEastAsia"/>
        </w:rPr>
        <w:t xml:space="preserve">in </w:t>
      </w:r>
      <w:r w:rsidR="00822D2C" w:rsidRPr="00344742">
        <w:rPr>
          <w:rFonts w:eastAsiaTheme="minorEastAsia"/>
        </w:rPr>
        <w:t xml:space="preserve">Townsville, </w:t>
      </w:r>
      <w:r w:rsidR="00822D2C" w:rsidRPr="00344742">
        <w:rPr>
          <w:rFonts w:eastAsiaTheme="minorEastAsia"/>
        </w:rPr>
        <w:t>Moreton, north Brisbane, Logan and Gold Coast.</w:t>
      </w:r>
      <w:r w:rsidR="009D72D8" w:rsidRPr="00344742">
        <w:rPr>
          <w:rFonts w:eastAsiaTheme="minorEastAsia"/>
        </w:rPr>
        <w:t xml:space="preserve"> </w:t>
      </w:r>
    </w:p>
    <w:p w14:paraId="6D5487F0" w14:textId="5F4410D2" w:rsidR="00D510AA" w:rsidRPr="00D510AA" w:rsidRDefault="0005472A" w:rsidP="00344742">
      <w:pPr>
        <w:pStyle w:val="ListParagraph"/>
        <w:numPr>
          <w:ilvl w:val="0"/>
          <w:numId w:val="30"/>
        </w:numPr>
      </w:pPr>
      <w:r w:rsidRPr="00344742">
        <w:rPr>
          <w:rFonts w:eastAsiaTheme="minorEastAsia"/>
        </w:rPr>
        <w:t>an</w:t>
      </w:r>
      <w:r w:rsidR="00D510AA" w:rsidRPr="00344742">
        <w:rPr>
          <w:rFonts w:eastAsiaTheme="minorEastAsia"/>
        </w:rPr>
        <w:t xml:space="preserve"> </w:t>
      </w:r>
      <w:r w:rsidRPr="00344742">
        <w:rPr>
          <w:rFonts w:eastAsiaTheme="minorEastAsia"/>
        </w:rPr>
        <w:t xml:space="preserve">expansion of </w:t>
      </w:r>
      <w:r w:rsidR="00D510AA" w:rsidRPr="00344742">
        <w:rPr>
          <w:rFonts w:eastAsiaTheme="minorEastAsia"/>
        </w:rPr>
        <w:t xml:space="preserve">joint Police and Youth Justice </w:t>
      </w:r>
      <w:r w:rsidR="00344742">
        <w:rPr>
          <w:rFonts w:eastAsiaTheme="minorEastAsia"/>
        </w:rPr>
        <w:t>c</w:t>
      </w:r>
      <w:r w:rsidR="00D510AA" w:rsidRPr="00344742">
        <w:rPr>
          <w:rFonts w:eastAsiaTheme="minorEastAsia"/>
        </w:rPr>
        <w:t>o-responder teams to north Brisbane and the Gold Coast</w:t>
      </w:r>
      <w:r w:rsidR="00344742">
        <w:rPr>
          <w:rFonts w:eastAsiaTheme="minorEastAsia"/>
        </w:rPr>
        <w:t>, so t</w:t>
      </w:r>
      <w:r w:rsidR="009D72D8" w:rsidRPr="00344742">
        <w:rPr>
          <w:rFonts w:eastAsiaTheme="minorEastAsia"/>
        </w:rPr>
        <w:t>hat all electronic monitoring tri</w:t>
      </w:r>
      <w:r w:rsidR="002D3858" w:rsidRPr="00344742">
        <w:rPr>
          <w:rFonts w:eastAsiaTheme="minorEastAsia"/>
        </w:rPr>
        <w:t>a</w:t>
      </w:r>
      <w:r w:rsidR="009D72D8" w:rsidRPr="00344742">
        <w:rPr>
          <w:rFonts w:eastAsiaTheme="minorEastAsia"/>
        </w:rPr>
        <w:t xml:space="preserve">l sites will have an operational </w:t>
      </w:r>
      <w:r w:rsidR="00344742">
        <w:rPr>
          <w:rFonts w:eastAsiaTheme="minorEastAsia"/>
        </w:rPr>
        <w:t>c</w:t>
      </w:r>
      <w:r w:rsidR="009D72D8" w:rsidRPr="00344742">
        <w:rPr>
          <w:rFonts w:eastAsiaTheme="minorEastAsia"/>
        </w:rPr>
        <w:t>o-</w:t>
      </w:r>
      <w:r w:rsidR="00344742">
        <w:rPr>
          <w:rFonts w:eastAsiaTheme="minorEastAsia"/>
        </w:rPr>
        <w:t>r</w:t>
      </w:r>
      <w:r w:rsidR="009D72D8" w:rsidRPr="00344742">
        <w:rPr>
          <w:rFonts w:eastAsiaTheme="minorEastAsia"/>
        </w:rPr>
        <w:t xml:space="preserve">esponder team </w:t>
      </w:r>
    </w:p>
    <w:p w14:paraId="5EEFE371" w14:textId="30E7E9C7" w:rsidR="00D510AA" w:rsidRPr="00D510AA" w:rsidRDefault="00D510AA" w:rsidP="00344742">
      <w:pPr>
        <w:pStyle w:val="ListParagraph"/>
        <w:numPr>
          <w:ilvl w:val="0"/>
          <w:numId w:val="30"/>
        </w:numPr>
      </w:pPr>
      <w:r w:rsidRPr="00344742">
        <w:rPr>
          <w:rFonts w:eastAsiaTheme="minorEastAsia"/>
        </w:rPr>
        <w:t xml:space="preserve">enhanced intensive supervision of young people on bail </w:t>
      </w:r>
      <w:r w:rsidR="00344742">
        <w:rPr>
          <w:rFonts w:eastAsiaTheme="minorEastAsia"/>
        </w:rPr>
        <w:t>with</w:t>
      </w:r>
      <w:r w:rsidRPr="00344742">
        <w:rPr>
          <w:rFonts w:eastAsiaTheme="minorEastAsia"/>
        </w:rPr>
        <w:t xml:space="preserve"> the </w:t>
      </w:r>
      <w:r w:rsidR="00344742" w:rsidRPr="00344742">
        <w:rPr>
          <w:rFonts w:eastAsiaTheme="minorEastAsia"/>
        </w:rPr>
        <w:t>conditional bail progra</w:t>
      </w:r>
      <w:r w:rsidRPr="00344742">
        <w:rPr>
          <w:rFonts w:eastAsiaTheme="minorEastAsia"/>
        </w:rPr>
        <w:t xml:space="preserve">m, including weekend and after-hours supervision </w:t>
      </w:r>
    </w:p>
    <w:p w14:paraId="33F55D90" w14:textId="71E1CCF2" w:rsidR="00D510AA" w:rsidRPr="00D510AA" w:rsidRDefault="00D510AA" w:rsidP="00344742">
      <w:pPr>
        <w:pStyle w:val="ListParagraph"/>
        <w:numPr>
          <w:ilvl w:val="0"/>
          <w:numId w:val="30"/>
        </w:numPr>
      </w:pPr>
      <w:r w:rsidRPr="00344742">
        <w:rPr>
          <w:rFonts w:eastAsiaTheme="minorEastAsia"/>
        </w:rPr>
        <w:t xml:space="preserve">intensive support for families of children on bail provided by </w:t>
      </w:r>
      <w:r w:rsidR="0086061F">
        <w:rPr>
          <w:rFonts w:eastAsiaTheme="minorEastAsia"/>
        </w:rPr>
        <w:t>NGOs</w:t>
      </w:r>
    </w:p>
    <w:p w14:paraId="3F34B53D" w14:textId="6BD077D4" w:rsidR="00D510AA" w:rsidRPr="00344742" w:rsidRDefault="0086061F" w:rsidP="00344742">
      <w:pPr>
        <w:pStyle w:val="ListParagraph"/>
        <w:numPr>
          <w:ilvl w:val="0"/>
          <w:numId w:val="30"/>
        </w:numPr>
      </w:pPr>
      <w:proofErr w:type="gramStart"/>
      <w:r>
        <w:rPr>
          <w:rFonts w:eastAsiaTheme="minorEastAsia"/>
        </w:rPr>
        <w:t>extra</w:t>
      </w:r>
      <w:proofErr w:type="gramEnd"/>
      <w:r>
        <w:rPr>
          <w:rFonts w:eastAsiaTheme="minorEastAsia"/>
        </w:rPr>
        <w:t xml:space="preserve"> </w:t>
      </w:r>
      <w:r w:rsidR="00D510AA" w:rsidRPr="00344742">
        <w:rPr>
          <w:rFonts w:eastAsiaTheme="minorEastAsia"/>
        </w:rPr>
        <w:t>court and legal advocacy services.</w:t>
      </w:r>
    </w:p>
    <w:p w14:paraId="56A9559F" w14:textId="2495BF3E" w:rsidR="00822D2C" w:rsidRPr="00F025EA" w:rsidRDefault="009D72D8" w:rsidP="00F025EA">
      <w:pPr>
        <w:spacing w:after="120"/>
        <w:jc w:val="both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>
        <w:rPr>
          <w:rFonts w:ascii="Arial Bold" w:hAnsi="Arial Bold" w:cs="Arial"/>
          <w:b/>
          <w:bCs/>
          <w:iCs/>
          <w:color w:val="F89A44"/>
          <w:sz w:val="30"/>
          <w:szCs w:val="30"/>
        </w:rPr>
        <w:t>Continuing successful services</w:t>
      </w:r>
    </w:p>
    <w:p w14:paraId="39469C50" w14:textId="25B5389D" w:rsidR="00822D2C" w:rsidRPr="00D510AA" w:rsidRDefault="00822D2C" w:rsidP="00344742">
      <w:pPr>
        <w:spacing w:after="120"/>
      </w:pPr>
      <w:r w:rsidRPr="00D510AA">
        <w:t xml:space="preserve">$60.1 million </w:t>
      </w:r>
      <w:r w:rsidR="00344742">
        <w:t xml:space="preserve">is being invested </w:t>
      </w:r>
      <w:r w:rsidRPr="00D510AA">
        <w:t xml:space="preserve">over four years </w:t>
      </w:r>
      <w:r w:rsidR="002D3858">
        <w:t xml:space="preserve">to </w:t>
      </w:r>
      <w:r w:rsidRPr="00D510AA">
        <w:t>continu</w:t>
      </w:r>
      <w:r w:rsidR="002D3858">
        <w:t>e</w:t>
      </w:r>
      <w:r w:rsidRPr="00D510AA">
        <w:t xml:space="preserve"> existing programs and services</w:t>
      </w:r>
      <w:r w:rsidR="00344742">
        <w:t xml:space="preserve"> </w:t>
      </w:r>
      <w:r w:rsidRPr="00D510AA">
        <w:t xml:space="preserve">under the </w:t>
      </w:r>
      <w:r w:rsidRPr="00EB454E">
        <w:rPr>
          <w:iCs/>
        </w:rPr>
        <w:t>Youth Justice Strategy</w:t>
      </w:r>
      <w:r w:rsidR="00A621DD" w:rsidRPr="00EB454E">
        <w:rPr>
          <w:iCs/>
        </w:rPr>
        <w:t xml:space="preserve"> 2019-23</w:t>
      </w:r>
      <w:r w:rsidR="009D72D8">
        <w:t xml:space="preserve"> and </w:t>
      </w:r>
      <w:r w:rsidR="00A621DD">
        <w:t>the</w:t>
      </w:r>
      <w:r w:rsidR="009D72D8">
        <w:t xml:space="preserve"> Five Point Plan</w:t>
      </w:r>
      <w:r w:rsidR="00A621DD">
        <w:t xml:space="preserve"> announced in March 2020</w:t>
      </w:r>
      <w:r w:rsidR="009D72D8">
        <w:t xml:space="preserve"> </w:t>
      </w:r>
      <w:r w:rsidR="002D3858">
        <w:t xml:space="preserve">that are achieving </w:t>
      </w:r>
      <w:r w:rsidR="009D72D8" w:rsidRPr="00D510AA">
        <w:t>positive results</w:t>
      </w:r>
      <w:r w:rsidR="00344742">
        <w:t>, including:</w:t>
      </w:r>
    </w:p>
    <w:p w14:paraId="7C2CE573" w14:textId="2CE4D6F2" w:rsidR="00822D2C" w:rsidRPr="00D510AA" w:rsidRDefault="00344742" w:rsidP="00344742">
      <w:pPr>
        <w:pStyle w:val="ListParagraph"/>
        <w:numPr>
          <w:ilvl w:val="0"/>
          <w:numId w:val="31"/>
        </w:numPr>
      </w:pPr>
      <w:r w:rsidRPr="00D510AA">
        <w:t xml:space="preserve">integrated case management </w:t>
      </w:r>
    </w:p>
    <w:p w14:paraId="616B718C" w14:textId="6959F18F" w:rsidR="00822D2C" w:rsidRPr="00D510AA" w:rsidRDefault="00344742" w:rsidP="00344742">
      <w:pPr>
        <w:pStyle w:val="ListParagraph"/>
        <w:numPr>
          <w:ilvl w:val="0"/>
          <w:numId w:val="31"/>
        </w:numPr>
      </w:pPr>
      <w:r w:rsidRPr="00D510AA">
        <w:t>family</w:t>
      </w:r>
      <w:r>
        <w:t>-</w:t>
      </w:r>
      <w:r w:rsidRPr="00D510AA">
        <w:t>led decision making</w:t>
      </w:r>
    </w:p>
    <w:p w14:paraId="0A7A9106" w14:textId="2585849F" w:rsidR="00822D2C" w:rsidRPr="00D510AA" w:rsidRDefault="00344742" w:rsidP="00344742">
      <w:pPr>
        <w:pStyle w:val="ListParagraph"/>
        <w:numPr>
          <w:ilvl w:val="0"/>
          <w:numId w:val="31"/>
        </w:numPr>
      </w:pPr>
      <w:r w:rsidRPr="00D510AA">
        <w:t>risk and dynamic assessment register</w:t>
      </w:r>
    </w:p>
    <w:p w14:paraId="1B1A55DE" w14:textId="0059FA02" w:rsidR="00822D2C" w:rsidRPr="00D510AA" w:rsidRDefault="00822D2C" w:rsidP="00344742">
      <w:pPr>
        <w:pStyle w:val="ListParagraph"/>
        <w:numPr>
          <w:ilvl w:val="0"/>
          <w:numId w:val="31"/>
        </w:numPr>
      </w:pPr>
      <w:r w:rsidRPr="00D510AA">
        <w:t xml:space="preserve">Mt Isa </w:t>
      </w:r>
      <w:r w:rsidR="00344742" w:rsidRPr="00D510AA">
        <w:t>youth transitional hub</w:t>
      </w:r>
    </w:p>
    <w:p w14:paraId="1EDF760C" w14:textId="16C2C98B" w:rsidR="00822D2C" w:rsidRPr="00D510AA" w:rsidRDefault="00822D2C" w:rsidP="00344742">
      <w:pPr>
        <w:pStyle w:val="ListParagraph"/>
        <w:numPr>
          <w:ilvl w:val="0"/>
          <w:numId w:val="31"/>
        </w:numPr>
      </w:pPr>
      <w:r w:rsidRPr="00D510AA">
        <w:t xml:space="preserve">Navigate </w:t>
      </w:r>
      <w:r w:rsidR="00344742" w:rsidRPr="00D510AA">
        <w:t>your health</w:t>
      </w:r>
    </w:p>
    <w:p w14:paraId="7DC05DD5" w14:textId="13C9F128" w:rsidR="00822D2C" w:rsidRDefault="00822D2C" w:rsidP="00344742">
      <w:pPr>
        <w:pStyle w:val="ListParagraph"/>
        <w:numPr>
          <w:ilvl w:val="0"/>
          <w:numId w:val="31"/>
        </w:numPr>
      </w:pPr>
      <w:r w:rsidRPr="00D510AA">
        <w:t xml:space="preserve">Indigenous </w:t>
      </w:r>
      <w:r w:rsidR="00344742" w:rsidRPr="00D510AA">
        <w:t xml:space="preserve">youth and family workers </w:t>
      </w:r>
    </w:p>
    <w:p w14:paraId="3D71AC35" w14:textId="6D9A9FCC" w:rsidR="009D72D8" w:rsidRDefault="00344742" w:rsidP="00344742">
      <w:pPr>
        <w:pStyle w:val="ListParagraph"/>
        <w:numPr>
          <w:ilvl w:val="0"/>
          <w:numId w:val="31"/>
        </w:numPr>
      </w:pPr>
      <w:r>
        <w:t>co-responder teams</w:t>
      </w:r>
    </w:p>
    <w:p w14:paraId="50A43674" w14:textId="3D6F8770" w:rsidR="009D72D8" w:rsidRPr="00D510AA" w:rsidRDefault="009D72D8" w:rsidP="00344742">
      <w:pPr>
        <w:pStyle w:val="ListParagraph"/>
        <w:numPr>
          <w:ilvl w:val="0"/>
          <w:numId w:val="31"/>
        </w:numPr>
      </w:pPr>
      <w:r>
        <w:t xml:space="preserve">Community </w:t>
      </w:r>
      <w:r w:rsidR="00344742">
        <w:t xml:space="preserve">crime action committees </w:t>
      </w:r>
    </w:p>
    <w:p w14:paraId="5051203B" w14:textId="4862AFCF" w:rsidR="009D72D8" w:rsidRPr="00D510AA" w:rsidRDefault="00344742" w:rsidP="00344742">
      <w:pPr>
        <w:pStyle w:val="ListParagraph"/>
        <w:numPr>
          <w:ilvl w:val="0"/>
          <w:numId w:val="31"/>
        </w:numPr>
      </w:pPr>
      <w:r w:rsidRPr="00D510AA">
        <w:t>conditional bail program</w:t>
      </w:r>
    </w:p>
    <w:p w14:paraId="5018DDFE" w14:textId="0D7BC120" w:rsidR="009D72D8" w:rsidRDefault="00344742" w:rsidP="00344742">
      <w:pPr>
        <w:pStyle w:val="ListParagraph"/>
        <w:numPr>
          <w:ilvl w:val="0"/>
          <w:numId w:val="31"/>
        </w:numPr>
      </w:pPr>
      <w:r w:rsidRPr="00D510AA">
        <w:t>legal advocacy and bail support</w:t>
      </w:r>
    </w:p>
    <w:p w14:paraId="2C6D9688" w14:textId="68BFEA0C" w:rsidR="00D510AA" w:rsidRPr="00D510AA" w:rsidRDefault="00D510AA" w:rsidP="00F025EA">
      <w:pPr>
        <w:spacing w:after="120"/>
        <w:jc w:val="both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 w:rsidRPr="00D510AA">
        <w:rPr>
          <w:rFonts w:ascii="Arial Bold" w:hAnsi="Arial Bold" w:cs="Arial"/>
          <w:b/>
          <w:bCs/>
          <w:iCs/>
          <w:color w:val="F89A44"/>
          <w:sz w:val="30"/>
          <w:szCs w:val="30"/>
        </w:rPr>
        <w:t>Review</w:t>
      </w:r>
      <w:r w:rsidR="0065758E">
        <w:rPr>
          <w:rFonts w:ascii="Arial Bold" w:hAnsi="Arial Bold" w:cs="Arial"/>
          <w:b/>
          <w:bCs/>
          <w:iCs/>
          <w:color w:val="F89A44"/>
          <w:sz w:val="30"/>
          <w:szCs w:val="30"/>
        </w:rPr>
        <w:t>ing the new services</w:t>
      </w:r>
    </w:p>
    <w:p w14:paraId="3B93834C" w14:textId="77777777" w:rsidR="00286B92" w:rsidRDefault="00286B92" w:rsidP="00286B92">
      <w:r>
        <w:t>Mr Bob Atkinson will independently report to the Government in late 2021 about how the reforms have worked, including the electronic monitoring trial.</w:t>
      </w:r>
    </w:p>
    <w:p w14:paraId="73C9BAA4" w14:textId="4E194C5E" w:rsidR="00852560" w:rsidRDefault="00852560" w:rsidP="00286B92">
      <w:pPr>
        <w:spacing w:after="60"/>
        <w:jc w:val="both"/>
      </w:pPr>
      <w:bookmarkStart w:id="0" w:name="_GoBack"/>
      <w:bookmarkEnd w:id="0"/>
    </w:p>
    <w:sectPr w:rsidR="00852560" w:rsidSect="00D136D0">
      <w:type w:val="continuous"/>
      <w:pgSz w:w="11906" w:h="16838"/>
      <w:pgMar w:top="2495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15F8" w14:textId="77777777" w:rsidR="0096018F" w:rsidRDefault="0096018F">
      <w:r>
        <w:separator/>
      </w:r>
    </w:p>
  </w:endnote>
  <w:endnote w:type="continuationSeparator" w:id="0">
    <w:p w14:paraId="3A055887" w14:textId="77777777" w:rsidR="0096018F" w:rsidRDefault="0096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54AF" w14:textId="77777777" w:rsidR="0096018F" w:rsidRDefault="0096018F">
      <w:r>
        <w:separator/>
      </w:r>
    </w:p>
  </w:footnote>
  <w:footnote w:type="continuationSeparator" w:id="0">
    <w:p w14:paraId="22C0B6D8" w14:textId="77777777" w:rsidR="0096018F" w:rsidRDefault="0096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14BB" w14:textId="20424B6D" w:rsidR="00B21459" w:rsidRDefault="0052585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DBFCC26" wp14:editId="2D161903">
          <wp:simplePos x="0" y="0"/>
          <wp:positionH relativeFrom="column">
            <wp:posOffset>-720090</wp:posOffset>
          </wp:positionH>
          <wp:positionV relativeFrom="paragraph">
            <wp:posOffset>-450571</wp:posOffset>
          </wp:positionV>
          <wp:extent cx="7551744" cy="10688678"/>
          <wp:effectExtent l="0" t="0" r="5080" b="5080"/>
          <wp:wrapNone/>
          <wp:docPr id="3" name="Picture 3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744" cy="10688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20AF4"/>
    <w:multiLevelType w:val="hybridMultilevel"/>
    <w:tmpl w:val="AD1EE68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i w:val="0"/>
        <w:iCs/>
      </w:rPr>
    </w:lvl>
    <w:lvl w:ilvl="1" w:tplc="0C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0CBF25A6"/>
    <w:multiLevelType w:val="hybridMultilevel"/>
    <w:tmpl w:val="0F521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07642"/>
    <w:multiLevelType w:val="hybridMultilevel"/>
    <w:tmpl w:val="010C8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FD1488"/>
    <w:multiLevelType w:val="hybridMultilevel"/>
    <w:tmpl w:val="8FF89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C348C3"/>
    <w:multiLevelType w:val="hybridMultilevel"/>
    <w:tmpl w:val="4294A1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BB2C4F"/>
    <w:multiLevelType w:val="hybridMultilevel"/>
    <w:tmpl w:val="42B46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D09CF"/>
    <w:multiLevelType w:val="hybridMultilevel"/>
    <w:tmpl w:val="D6E6BF4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E5603CE"/>
    <w:multiLevelType w:val="hybridMultilevel"/>
    <w:tmpl w:val="8D1013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1C5A06"/>
    <w:multiLevelType w:val="hybridMultilevel"/>
    <w:tmpl w:val="B718B6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432D51"/>
    <w:multiLevelType w:val="hybridMultilevel"/>
    <w:tmpl w:val="579A04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B7CCF"/>
    <w:multiLevelType w:val="hybridMultilevel"/>
    <w:tmpl w:val="B97E974C"/>
    <w:lvl w:ilvl="0" w:tplc="C7B29A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26F60">
      <w:start w:val="250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E5A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F4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87D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AA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001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E1B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084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C643B"/>
    <w:multiLevelType w:val="hybridMultilevel"/>
    <w:tmpl w:val="0FF0CEB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35A3458"/>
    <w:multiLevelType w:val="hybridMultilevel"/>
    <w:tmpl w:val="16505312"/>
    <w:lvl w:ilvl="0" w:tplc="0C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C310BF"/>
    <w:multiLevelType w:val="hybridMultilevel"/>
    <w:tmpl w:val="2564B1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1663BA"/>
    <w:multiLevelType w:val="hybridMultilevel"/>
    <w:tmpl w:val="2A3C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25EBA"/>
    <w:multiLevelType w:val="hybridMultilevel"/>
    <w:tmpl w:val="AFCCB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E4382"/>
    <w:multiLevelType w:val="hybridMultilevel"/>
    <w:tmpl w:val="3190BA2C"/>
    <w:lvl w:ilvl="0" w:tplc="AD5E8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727675"/>
    <w:multiLevelType w:val="hybridMultilevel"/>
    <w:tmpl w:val="6D5849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321A3"/>
    <w:multiLevelType w:val="hybridMultilevel"/>
    <w:tmpl w:val="4C140C98"/>
    <w:lvl w:ilvl="0" w:tplc="9E9AFF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2874E">
      <w:numFmt w:val="none"/>
      <w:lvlText w:val=""/>
      <w:lvlJc w:val="left"/>
      <w:pPr>
        <w:tabs>
          <w:tab w:val="num" w:pos="360"/>
        </w:tabs>
      </w:pPr>
    </w:lvl>
    <w:lvl w:ilvl="2" w:tplc="52C836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2A0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22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AEF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ADA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605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80A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18"/>
  </w:num>
  <w:num w:numId="14">
    <w:abstractNumId w:val="24"/>
  </w:num>
  <w:num w:numId="15">
    <w:abstractNumId w:val="17"/>
  </w:num>
  <w:num w:numId="16">
    <w:abstractNumId w:val="11"/>
  </w:num>
  <w:num w:numId="17">
    <w:abstractNumId w:val="16"/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0"/>
  </w:num>
  <w:num w:numId="23">
    <w:abstractNumId w:val="15"/>
  </w:num>
  <w:num w:numId="24">
    <w:abstractNumId w:val="20"/>
  </w:num>
  <w:num w:numId="25">
    <w:abstractNumId w:val="25"/>
  </w:num>
  <w:num w:numId="26">
    <w:abstractNumId w:val="15"/>
  </w:num>
  <w:num w:numId="27">
    <w:abstractNumId w:val="12"/>
  </w:num>
  <w:num w:numId="28">
    <w:abstractNumId w:val="27"/>
  </w:num>
  <w:num w:numId="29">
    <w:abstractNumId w:val="14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46A9"/>
    <w:rsid w:val="00035510"/>
    <w:rsid w:val="00041261"/>
    <w:rsid w:val="0004169D"/>
    <w:rsid w:val="000442EB"/>
    <w:rsid w:val="00047BF9"/>
    <w:rsid w:val="000528FC"/>
    <w:rsid w:val="00053E8F"/>
    <w:rsid w:val="00053F80"/>
    <w:rsid w:val="0005472A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674AF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5787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0425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294E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2D87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66B9"/>
    <w:rsid w:val="001505BB"/>
    <w:rsid w:val="00150B3B"/>
    <w:rsid w:val="001520A7"/>
    <w:rsid w:val="00152969"/>
    <w:rsid w:val="001529A3"/>
    <w:rsid w:val="00153398"/>
    <w:rsid w:val="00153A3D"/>
    <w:rsid w:val="0015407F"/>
    <w:rsid w:val="00154CAD"/>
    <w:rsid w:val="00155141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09FD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12D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3C52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B92"/>
    <w:rsid w:val="00286E98"/>
    <w:rsid w:val="00287D95"/>
    <w:rsid w:val="00287FAF"/>
    <w:rsid w:val="002905FA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A17"/>
    <w:rsid w:val="002A5EAA"/>
    <w:rsid w:val="002A6B83"/>
    <w:rsid w:val="002A75DD"/>
    <w:rsid w:val="002B0430"/>
    <w:rsid w:val="002B0BF4"/>
    <w:rsid w:val="002B0FF7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3858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0DF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508"/>
    <w:rsid w:val="00326E26"/>
    <w:rsid w:val="0033172D"/>
    <w:rsid w:val="0033480A"/>
    <w:rsid w:val="0033558F"/>
    <w:rsid w:val="00335E8D"/>
    <w:rsid w:val="003434D6"/>
    <w:rsid w:val="00343A95"/>
    <w:rsid w:val="0034438C"/>
    <w:rsid w:val="00344742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9FE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1F10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275C"/>
    <w:rsid w:val="0039287F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88E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2C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2D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1952"/>
    <w:rsid w:val="00462DFB"/>
    <w:rsid w:val="00463665"/>
    <w:rsid w:val="00464047"/>
    <w:rsid w:val="004656A1"/>
    <w:rsid w:val="0046600D"/>
    <w:rsid w:val="00466620"/>
    <w:rsid w:val="004713FE"/>
    <w:rsid w:val="004721A1"/>
    <w:rsid w:val="00474118"/>
    <w:rsid w:val="0047419E"/>
    <w:rsid w:val="00476B61"/>
    <w:rsid w:val="00477A11"/>
    <w:rsid w:val="004802BB"/>
    <w:rsid w:val="0048169E"/>
    <w:rsid w:val="00481C76"/>
    <w:rsid w:val="0048314A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5B6"/>
    <w:rsid w:val="004C3C0D"/>
    <w:rsid w:val="004C52F3"/>
    <w:rsid w:val="004C5DC6"/>
    <w:rsid w:val="004C64E0"/>
    <w:rsid w:val="004D0504"/>
    <w:rsid w:val="004D05E5"/>
    <w:rsid w:val="004D155C"/>
    <w:rsid w:val="004D2940"/>
    <w:rsid w:val="004D3897"/>
    <w:rsid w:val="004D3A62"/>
    <w:rsid w:val="004D417B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86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09D5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6B0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5D0"/>
    <w:rsid w:val="0057768F"/>
    <w:rsid w:val="0057782F"/>
    <w:rsid w:val="005800C0"/>
    <w:rsid w:val="00582E37"/>
    <w:rsid w:val="00583995"/>
    <w:rsid w:val="00585815"/>
    <w:rsid w:val="00586A1C"/>
    <w:rsid w:val="00587104"/>
    <w:rsid w:val="005874CA"/>
    <w:rsid w:val="005907C1"/>
    <w:rsid w:val="00590D0C"/>
    <w:rsid w:val="00592722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2D3F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4AB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565A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053"/>
    <w:rsid w:val="00654153"/>
    <w:rsid w:val="006563E8"/>
    <w:rsid w:val="0065671E"/>
    <w:rsid w:val="0065758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3C4"/>
    <w:rsid w:val="00676CAF"/>
    <w:rsid w:val="006771E9"/>
    <w:rsid w:val="006772FD"/>
    <w:rsid w:val="0067778E"/>
    <w:rsid w:val="00680461"/>
    <w:rsid w:val="006804DF"/>
    <w:rsid w:val="00682B03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4C75"/>
    <w:rsid w:val="006E6A62"/>
    <w:rsid w:val="006E7743"/>
    <w:rsid w:val="006F04D3"/>
    <w:rsid w:val="006F1E9A"/>
    <w:rsid w:val="006F263D"/>
    <w:rsid w:val="006F3577"/>
    <w:rsid w:val="006F51AC"/>
    <w:rsid w:val="006F5D5A"/>
    <w:rsid w:val="006F767D"/>
    <w:rsid w:val="006F769B"/>
    <w:rsid w:val="00700AFC"/>
    <w:rsid w:val="00701A86"/>
    <w:rsid w:val="00701ED4"/>
    <w:rsid w:val="0070605F"/>
    <w:rsid w:val="00710178"/>
    <w:rsid w:val="00710D26"/>
    <w:rsid w:val="007115B6"/>
    <w:rsid w:val="00712A50"/>
    <w:rsid w:val="00713427"/>
    <w:rsid w:val="00713F81"/>
    <w:rsid w:val="007152E6"/>
    <w:rsid w:val="0071602D"/>
    <w:rsid w:val="007177B2"/>
    <w:rsid w:val="007225BE"/>
    <w:rsid w:val="00724AF6"/>
    <w:rsid w:val="00730F20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32A7"/>
    <w:rsid w:val="00795076"/>
    <w:rsid w:val="007954B6"/>
    <w:rsid w:val="00795960"/>
    <w:rsid w:val="00795D10"/>
    <w:rsid w:val="00796776"/>
    <w:rsid w:val="007A0BEE"/>
    <w:rsid w:val="007A11E9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34A6"/>
    <w:rsid w:val="007C35FA"/>
    <w:rsid w:val="007C4613"/>
    <w:rsid w:val="007C5254"/>
    <w:rsid w:val="007C54B5"/>
    <w:rsid w:val="007C625E"/>
    <w:rsid w:val="007C65BE"/>
    <w:rsid w:val="007C6E2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E75CC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35B3"/>
    <w:rsid w:val="00806966"/>
    <w:rsid w:val="00806E6A"/>
    <w:rsid w:val="00810EF2"/>
    <w:rsid w:val="00811199"/>
    <w:rsid w:val="00811DC7"/>
    <w:rsid w:val="00813F77"/>
    <w:rsid w:val="008224EC"/>
    <w:rsid w:val="00822D2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198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560"/>
    <w:rsid w:val="008529F0"/>
    <w:rsid w:val="00852CF8"/>
    <w:rsid w:val="00852D17"/>
    <w:rsid w:val="0085331B"/>
    <w:rsid w:val="00856342"/>
    <w:rsid w:val="00856C90"/>
    <w:rsid w:val="00856D16"/>
    <w:rsid w:val="008572A0"/>
    <w:rsid w:val="00860218"/>
    <w:rsid w:val="00860267"/>
    <w:rsid w:val="0086061F"/>
    <w:rsid w:val="0086202D"/>
    <w:rsid w:val="00863899"/>
    <w:rsid w:val="008639A2"/>
    <w:rsid w:val="0086739B"/>
    <w:rsid w:val="008675B4"/>
    <w:rsid w:val="00867D22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6C6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2C1"/>
    <w:rsid w:val="008D1FC2"/>
    <w:rsid w:val="008D6D98"/>
    <w:rsid w:val="008E0BD0"/>
    <w:rsid w:val="008E1B21"/>
    <w:rsid w:val="008E2116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0214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5F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279"/>
    <w:rsid w:val="00954CB5"/>
    <w:rsid w:val="00955A9B"/>
    <w:rsid w:val="00956AAD"/>
    <w:rsid w:val="0096018F"/>
    <w:rsid w:val="00960C4C"/>
    <w:rsid w:val="00961ABE"/>
    <w:rsid w:val="009621E2"/>
    <w:rsid w:val="009630C3"/>
    <w:rsid w:val="0096492F"/>
    <w:rsid w:val="00964BB7"/>
    <w:rsid w:val="00964E50"/>
    <w:rsid w:val="00966553"/>
    <w:rsid w:val="009702D6"/>
    <w:rsid w:val="00972A76"/>
    <w:rsid w:val="00974484"/>
    <w:rsid w:val="00974AE7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4BCF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2D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21DD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4156"/>
    <w:rsid w:val="00A751E1"/>
    <w:rsid w:val="00A753D2"/>
    <w:rsid w:val="00A75C27"/>
    <w:rsid w:val="00A7629C"/>
    <w:rsid w:val="00A76907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351B"/>
    <w:rsid w:val="00AD44BF"/>
    <w:rsid w:val="00AD57FB"/>
    <w:rsid w:val="00AD6214"/>
    <w:rsid w:val="00AD6F72"/>
    <w:rsid w:val="00AD7B22"/>
    <w:rsid w:val="00AE03C9"/>
    <w:rsid w:val="00AE41AD"/>
    <w:rsid w:val="00AE4214"/>
    <w:rsid w:val="00AE4239"/>
    <w:rsid w:val="00AE5BE6"/>
    <w:rsid w:val="00AE61E2"/>
    <w:rsid w:val="00AE6D22"/>
    <w:rsid w:val="00AE6FDE"/>
    <w:rsid w:val="00AE7AB2"/>
    <w:rsid w:val="00AF0F41"/>
    <w:rsid w:val="00AF1635"/>
    <w:rsid w:val="00AF29D8"/>
    <w:rsid w:val="00AF3602"/>
    <w:rsid w:val="00AF3C02"/>
    <w:rsid w:val="00AF56B1"/>
    <w:rsid w:val="00AF6028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4EF1"/>
    <w:rsid w:val="00B06552"/>
    <w:rsid w:val="00B1061F"/>
    <w:rsid w:val="00B11439"/>
    <w:rsid w:val="00B12288"/>
    <w:rsid w:val="00B13872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1B76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3794"/>
    <w:rsid w:val="00B64085"/>
    <w:rsid w:val="00B70838"/>
    <w:rsid w:val="00B746AB"/>
    <w:rsid w:val="00B74C9B"/>
    <w:rsid w:val="00B75951"/>
    <w:rsid w:val="00B759B6"/>
    <w:rsid w:val="00B80863"/>
    <w:rsid w:val="00B80C36"/>
    <w:rsid w:val="00B82B61"/>
    <w:rsid w:val="00B82C7E"/>
    <w:rsid w:val="00B837BF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5D8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04B"/>
    <w:rsid w:val="00BD0C6C"/>
    <w:rsid w:val="00BD1500"/>
    <w:rsid w:val="00BD18C2"/>
    <w:rsid w:val="00BD1F47"/>
    <w:rsid w:val="00BD202C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5BF4"/>
    <w:rsid w:val="00BF7EE7"/>
    <w:rsid w:val="00C0274D"/>
    <w:rsid w:val="00C02AB4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145"/>
    <w:rsid w:val="00C16576"/>
    <w:rsid w:val="00C165EA"/>
    <w:rsid w:val="00C17081"/>
    <w:rsid w:val="00C17BF0"/>
    <w:rsid w:val="00C24C1D"/>
    <w:rsid w:val="00C2511F"/>
    <w:rsid w:val="00C25738"/>
    <w:rsid w:val="00C25974"/>
    <w:rsid w:val="00C26C63"/>
    <w:rsid w:val="00C27436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00E7"/>
    <w:rsid w:val="00C61B08"/>
    <w:rsid w:val="00C63BD9"/>
    <w:rsid w:val="00C6660D"/>
    <w:rsid w:val="00C66F39"/>
    <w:rsid w:val="00C7117F"/>
    <w:rsid w:val="00C71781"/>
    <w:rsid w:val="00C7202F"/>
    <w:rsid w:val="00C72BEB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7552"/>
    <w:rsid w:val="00CB253F"/>
    <w:rsid w:val="00CB2D98"/>
    <w:rsid w:val="00CB3A72"/>
    <w:rsid w:val="00CB7A6B"/>
    <w:rsid w:val="00CC07AB"/>
    <w:rsid w:val="00CC2853"/>
    <w:rsid w:val="00CC2FFE"/>
    <w:rsid w:val="00CC4468"/>
    <w:rsid w:val="00CD006C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138C"/>
    <w:rsid w:val="00D125FC"/>
    <w:rsid w:val="00D12BA4"/>
    <w:rsid w:val="00D1339D"/>
    <w:rsid w:val="00D136D0"/>
    <w:rsid w:val="00D1399A"/>
    <w:rsid w:val="00D13E2C"/>
    <w:rsid w:val="00D14B36"/>
    <w:rsid w:val="00D15621"/>
    <w:rsid w:val="00D21089"/>
    <w:rsid w:val="00D2221E"/>
    <w:rsid w:val="00D25B03"/>
    <w:rsid w:val="00D25BAC"/>
    <w:rsid w:val="00D31225"/>
    <w:rsid w:val="00D32600"/>
    <w:rsid w:val="00D33E42"/>
    <w:rsid w:val="00D33FAE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0AA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6FA0"/>
    <w:rsid w:val="00D67184"/>
    <w:rsid w:val="00D67C25"/>
    <w:rsid w:val="00D70720"/>
    <w:rsid w:val="00D72883"/>
    <w:rsid w:val="00D73689"/>
    <w:rsid w:val="00D74C98"/>
    <w:rsid w:val="00D756EE"/>
    <w:rsid w:val="00D803CE"/>
    <w:rsid w:val="00D80BF5"/>
    <w:rsid w:val="00D81ADE"/>
    <w:rsid w:val="00D8327A"/>
    <w:rsid w:val="00D848D6"/>
    <w:rsid w:val="00D857A1"/>
    <w:rsid w:val="00D85826"/>
    <w:rsid w:val="00D8766A"/>
    <w:rsid w:val="00D909C5"/>
    <w:rsid w:val="00D9591F"/>
    <w:rsid w:val="00D978D9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08B6"/>
    <w:rsid w:val="00DC4F1D"/>
    <w:rsid w:val="00DC5179"/>
    <w:rsid w:val="00DC52B0"/>
    <w:rsid w:val="00DC6DD4"/>
    <w:rsid w:val="00DC7E16"/>
    <w:rsid w:val="00DD0484"/>
    <w:rsid w:val="00DD170D"/>
    <w:rsid w:val="00DD3EA9"/>
    <w:rsid w:val="00DD6905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27F0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1BB8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A3B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0C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454E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049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25EA"/>
    <w:rsid w:val="00F033B4"/>
    <w:rsid w:val="00F04367"/>
    <w:rsid w:val="00F04618"/>
    <w:rsid w:val="00F04D02"/>
    <w:rsid w:val="00F117BA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79E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1D9A"/>
    <w:rsid w:val="00F724AB"/>
    <w:rsid w:val="00F75BF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33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C6E7B"/>
    <w:rsid w:val="00FD1C14"/>
    <w:rsid w:val="00FD2D8D"/>
    <w:rsid w:val="00FD355B"/>
    <w:rsid w:val="00FD3628"/>
    <w:rsid w:val="00FD4003"/>
    <w:rsid w:val="00FD4C33"/>
    <w:rsid w:val="00FD4F88"/>
    <w:rsid w:val="00FD7D5E"/>
    <w:rsid w:val="00FE2506"/>
    <w:rsid w:val="00FE2B1A"/>
    <w:rsid w:val="00FE2F50"/>
    <w:rsid w:val="00FE4FE9"/>
    <w:rsid w:val="00FE6403"/>
    <w:rsid w:val="00FE7FC9"/>
    <w:rsid w:val="00FF2E36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FDD1A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32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F769B"/>
    <w:rPr>
      <w:rFonts w:ascii="Arial Bold" w:hAnsi="Arial Bold" w:cs="Arial"/>
      <w:b/>
      <w:bCs/>
      <w:iCs/>
      <w:color w:val="F89A44"/>
      <w:sz w:val="30"/>
      <w:szCs w:val="3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7A11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11E9"/>
    <w:rPr>
      <w:rFonts w:ascii="Segoe UI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rsid w:val="00E56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A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00A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FC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0AFC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3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2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3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2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6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5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8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2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7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1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9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5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4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9" ma:contentTypeDescription="Create a new document." ma:contentTypeScope="" ma:versionID="12f159f075a02266bd9ca581dca6e38d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47bbd562aa59321dc51cc48297f47af5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PublishingExpirationDate xmlns="http://schemas.microsoft.com/sharepoint/v3" xsi:nil="true"/>
    <lcf76f155ced4ddcb4097134ff3c332f xmlns="0b8dffbd-6425-4760-9d3e-66ce409199d4">
      <Terms xmlns="http://schemas.microsoft.com/office/infopath/2007/PartnerControls"/>
    </lcf76f155ced4ddcb4097134ff3c332f>
    <PublishingStartDate xmlns="http://schemas.microsoft.com/sharepoint/v3" xsi:nil="true"/>
    <_dlc_DocId xmlns="dbefc7fa-1a1d-4432-8b48-0661d01a2bf9">NER3HZ3QZUNC-1385979215-289915</_dlc_DocId>
    <_dlc_DocIdUrl xmlns="dbefc7fa-1a1d-4432-8b48-0661d01a2bf9">
      <Url>https://dsitiaqld.sharepoint.com/sites/DESBT/engagement/customer-experience/digital-delivery/_layouts/15/DocIdRedir.aspx?ID=NER3HZ3QZUNC-1385979215-289915</Url>
      <Description>NER3HZ3QZUNC-1385979215-289915</Description>
    </_dlc_DocIdUrl>
  </documentManagement>
</p:properties>
</file>

<file path=customXml/itemProps1.xml><?xml version="1.0" encoding="utf-8"?>
<ds:datastoreItem xmlns:ds="http://schemas.openxmlformats.org/officeDocument/2006/customXml" ds:itemID="{175D9247-FE31-41B7-8EAB-2DB0B6C12FF6}"/>
</file>

<file path=customXml/itemProps2.xml><?xml version="1.0" encoding="utf-8"?>
<ds:datastoreItem xmlns:ds="http://schemas.openxmlformats.org/officeDocument/2006/customXml" ds:itemID="{49B24DC2-A46D-4C8B-9C17-9F8E823528C8}"/>
</file>

<file path=customXml/itemProps3.xml><?xml version="1.0" encoding="utf-8"?>
<ds:datastoreItem xmlns:ds="http://schemas.openxmlformats.org/officeDocument/2006/customXml" ds:itemID="{9108621C-30D0-4F39-A8D4-B86225BBCD9F}"/>
</file>

<file path=customXml/itemProps4.xml><?xml version="1.0" encoding="utf-8"?>
<ds:datastoreItem xmlns:ds="http://schemas.openxmlformats.org/officeDocument/2006/customXml" ds:itemID="{71912FBE-03A3-4985-84C5-4724AA3E4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2213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services to support 2021 Youth Justice Act amendments</vt:lpstr>
    </vt:vector>
  </TitlesOfParts>
  <Manager/>
  <Company/>
  <LinksUpToDate>false</LinksUpToDate>
  <CharactersWithSpaces>2590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services to support 2021 Youth Justice Act amendments</dc:title>
  <dc:subject>Services to support young people and their families</dc:subject>
  <dc:creator>Queensland Government</dc:creator>
  <cp:keywords>YJ, youth justice, new services, YJA, amendments, electronic monitoring, reform, co-responder, bail program, legislation, amendment</cp:keywords>
  <dc:description/>
  <cp:lastModifiedBy>Nicole J Neumann</cp:lastModifiedBy>
  <cp:revision>2</cp:revision>
  <cp:lastPrinted>2021-03-02T03:12:00Z</cp:lastPrinted>
  <dcterms:created xsi:type="dcterms:W3CDTF">2021-05-16T22:46:00Z</dcterms:created>
  <dcterms:modified xsi:type="dcterms:W3CDTF">2021-05-16T22:46:00Z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28bee81a-c89e-4fc8-9f5c-856340b21a3b</vt:lpwstr>
  </property>
</Properties>
</file>