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AAAA9" w14:textId="3D59BAFB" w:rsidR="00B336C5" w:rsidRPr="00524065" w:rsidRDefault="00B336C5" w:rsidP="00B336C5">
      <w:pPr>
        <w:pStyle w:val="Heading1"/>
        <w:rPr>
          <w:i/>
        </w:rPr>
      </w:pPr>
      <w:r>
        <w:rPr>
          <w:i/>
        </w:rPr>
        <w:t>Y</w:t>
      </w:r>
      <w:r w:rsidRPr="00524065">
        <w:rPr>
          <w:i/>
        </w:rPr>
        <w:t xml:space="preserve">outh Justice and Other Legislation Amendment </w:t>
      </w:r>
      <w:r>
        <w:rPr>
          <w:i/>
        </w:rPr>
        <w:t>Act</w:t>
      </w:r>
      <w:r w:rsidRPr="00524065">
        <w:rPr>
          <w:i/>
        </w:rPr>
        <w:t xml:space="preserve"> 2021</w:t>
      </w:r>
    </w:p>
    <w:p w14:paraId="3AA696E4" w14:textId="77777777" w:rsidR="00D136D0" w:rsidRDefault="00D136D0" w:rsidP="009F58F2">
      <w:pPr>
        <w:pStyle w:val="Heading2"/>
        <w:sectPr w:rsidR="00D136D0" w:rsidSect="00B336C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701" w:right="1134" w:bottom="1701" w:left="1134" w:header="709" w:footer="1474" w:gutter="0"/>
          <w:cols w:space="709"/>
          <w:docGrid w:linePitch="360"/>
        </w:sectPr>
      </w:pPr>
    </w:p>
    <w:p w14:paraId="6415BEBC" w14:textId="77777777" w:rsidR="00B336C5" w:rsidRDefault="00B336C5" w:rsidP="00B336C5">
      <w:pPr>
        <w:spacing w:after="120"/>
      </w:pPr>
      <w:r w:rsidRPr="00E76A74">
        <w:t>The</w:t>
      </w:r>
      <w:r>
        <w:t xml:space="preserve"> </w:t>
      </w:r>
      <w:r w:rsidRPr="007002E6">
        <w:t>Working Together Changing the Story: Youth Justice Strategy 2019-2023</w:t>
      </w:r>
      <w:r>
        <w:t xml:space="preserve"> is underpinned by the</w:t>
      </w:r>
      <w:r w:rsidRPr="00E76A74">
        <w:t xml:space="preserve"> four pillars</w:t>
      </w:r>
      <w:r>
        <w:t xml:space="preserve"> recommended by Bob Atkinson</w:t>
      </w:r>
      <w:r w:rsidRPr="00E76A74">
        <w:t xml:space="preserve">: </w:t>
      </w:r>
    </w:p>
    <w:p w14:paraId="314317FA" w14:textId="77777777" w:rsidR="00B336C5" w:rsidRDefault="00B336C5" w:rsidP="00B336C5">
      <w:pPr>
        <w:pStyle w:val="ListParagraph"/>
        <w:numPr>
          <w:ilvl w:val="0"/>
          <w:numId w:val="13"/>
        </w:numPr>
      </w:pPr>
      <w:r w:rsidRPr="00E76A74">
        <w:t xml:space="preserve">intervene </w:t>
      </w:r>
      <w:proofErr w:type="gramStart"/>
      <w:r w:rsidRPr="00E76A74">
        <w:t>early</w:t>
      </w:r>
      <w:proofErr w:type="gramEnd"/>
    </w:p>
    <w:p w14:paraId="75FB97F3" w14:textId="77777777" w:rsidR="00B336C5" w:rsidRDefault="00B336C5" w:rsidP="00B336C5">
      <w:pPr>
        <w:pStyle w:val="ListParagraph"/>
        <w:numPr>
          <w:ilvl w:val="0"/>
          <w:numId w:val="13"/>
        </w:numPr>
      </w:pPr>
      <w:r w:rsidRPr="00E76A74">
        <w:t xml:space="preserve">keep children out of </w:t>
      </w:r>
      <w:proofErr w:type="gramStart"/>
      <w:r w:rsidRPr="00E76A74">
        <w:t>court</w:t>
      </w:r>
      <w:proofErr w:type="gramEnd"/>
    </w:p>
    <w:p w14:paraId="50014614" w14:textId="77777777" w:rsidR="00B336C5" w:rsidRDefault="00B336C5" w:rsidP="00B336C5">
      <w:pPr>
        <w:pStyle w:val="ListParagraph"/>
        <w:numPr>
          <w:ilvl w:val="0"/>
          <w:numId w:val="13"/>
        </w:numPr>
      </w:pPr>
      <w:r w:rsidRPr="00E76A74">
        <w:t xml:space="preserve">keep children out of </w:t>
      </w:r>
      <w:proofErr w:type="gramStart"/>
      <w:r w:rsidRPr="00E76A74">
        <w:t>custody</w:t>
      </w:r>
      <w:proofErr w:type="gramEnd"/>
    </w:p>
    <w:p w14:paraId="5BEA5065" w14:textId="77777777" w:rsidR="00B336C5" w:rsidRDefault="00B336C5" w:rsidP="00B336C5">
      <w:pPr>
        <w:pStyle w:val="ListParagraph"/>
        <w:numPr>
          <w:ilvl w:val="0"/>
          <w:numId w:val="13"/>
        </w:numPr>
      </w:pPr>
      <w:r w:rsidRPr="00E76A74">
        <w:t>reduce reoffending.</w:t>
      </w:r>
      <w:r>
        <w:t xml:space="preserve"> </w:t>
      </w:r>
    </w:p>
    <w:p w14:paraId="471B1872" w14:textId="77777777" w:rsidR="00B336C5" w:rsidRDefault="00B336C5" w:rsidP="00B336C5">
      <w:r w:rsidRPr="00E76A74">
        <w:t xml:space="preserve">The </w:t>
      </w:r>
      <w:r>
        <w:t>S</w:t>
      </w:r>
      <w:r w:rsidRPr="00E76A74">
        <w:t xml:space="preserve">trategy and record investment in </w:t>
      </w:r>
      <w:r>
        <w:t>youth justice reform</w:t>
      </w:r>
      <w:r w:rsidRPr="00E76A74">
        <w:t xml:space="preserve"> have had a positive impact on crime trends, with a continued decrease in the number of unique youth offenders.</w:t>
      </w:r>
      <w:r>
        <w:t xml:space="preserve"> </w:t>
      </w:r>
    </w:p>
    <w:p w14:paraId="75859A83" w14:textId="77777777" w:rsidR="00B336C5" w:rsidRDefault="00B336C5" w:rsidP="00B336C5">
      <w:r>
        <w:t xml:space="preserve">There remains, however, a small, hard-core group of serious repeat youth offenders who present a genuine risk to the community and to themselves.  </w:t>
      </w:r>
    </w:p>
    <w:p w14:paraId="21859046" w14:textId="77777777" w:rsidR="00B336C5" w:rsidRDefault="00B336C5" w:rsidP="00B336C5">
      <w:r>
        <w:t xml:space="preserve">The </w:t>
      </w:r>
      <w:r w:rsidRPr="00BB6D91">
        <w:rPr>
          <w:i/>
          <w:iCs/>
        </w:rPr>
        <w:t xml:space="preserve">Youth Justice and Other Legislation Amendment </w:t>
      </w:r>
      <w:r>
        <w:rPr>
          <w:i/>
          <w:iCs/>
        </w:rPr>
        <w:t>Act</w:t>
      </w:r>
      <w:r w:rsidRPr="00BB6D91">
        <w:rPr>
          <w:i/>
          <w:iCs/>
        </w:rPr>
        <w:t xml:space="preserve"> 2021</w:t>
      </w:r>
      <w:r>
        <w:t xml:space="preserve"> (the Amendment Act) is intended to improve community safety by targeting this</w:t>
      </w:r>
      <w:r w:rsidRPr="00CD7F24">
        <w:t xml:space="preserve"> </w:t>
      </w:r>
      <w:r>
        <w:t>group</w:t>
      </w:r>
      <w:r w:rsidRPr="00CD7F24">
        <w:t xml:space="preserve"> of </w:t>
      </w:r>
      <w:r>
        <w:t>children</w:t>
      </w:r>
      <w:r w:rsidRPr="00CD7F24">
        <w:t xml:space="preserve"> who engage in persistent and serious offending</w:t>
      </w:r>
      <w:r>
        <w:t xml:space="preserve">. </w:t>
      </w:r>
    </w:p>
    <w:p w14:paraId="1BFC8A80" w14:textId="77777777" w:rsidR="00B336C5" w:rsidRDefault="00B336C5" w:rsidP="00B336C5">
      <w:pPr>
        <w:spacing w:after="120"/>
      </w:pPr>
      <w:r>
        <w:t xml:space="preserve">The Amendment Act amended the </w:t>
      </w:r>
      <w:r w:rsidRPr="00E76A74">
        <w:rPr>
          <w:i/>
        </w:rPr>
        <w:t>Youth Justice Act 1992</w:t>
      </w:r>
      <w:r>
        <w:t xml:space="preserve"> (YJA) to: </w:t>
      </w:r>
    </w:p>
    <w:p w14:paraId="425A0566" w14:textId="77777777" w:rsidR="00B336C5" w:rsidRDefault="00B336C5" w:rsidP="00B336C5">
      <w:pPr>
        <w:pStyle w:val="ListParagraph"/>
        <w:numPr>
          <w:ilvl w:val="0"/>
          <w:numId w:val="12"/>
        </w:numPr>
        <w:spacing w:after="60"/>
        <w:ind w:left="357" w:hanging="357"/>
        <w:contextualSpacing w:val="0"/>
      </w:pPr>
      <w:r>
        <w:t xml:space="preserve">provide that in certain circumstances, a young person charged with a prescribed indictable offence while on bail for an indictable offence may be required to </w:t>
      </w:r>
      <w:r w:rsidRPr="00524065">
        <w:rPr>
          <w:b/>
          <w:bCs/>
        </w:rPr>
        <w:t>show cause</w:t>
      </w:r>
      <w:r>
        <w:t xml:space="preserve"> why they should get </w:t>
      </w:r>
      <w:proofErr w:type="gramStart"/>
      <w:r>
        <w:t>bail</w:t>
      </w:r>
      <w:proofErr w:type="gramEnd"/>
    </w:p>
    <w:p w14:paraId="128DFD0A" w14:textId="77777777" w:rsidR="00B336C5" w:rsidRDefault="00B336C5" w:rsidP="00B336C5">
      <w:pPr>
        <w:pStyle w:val="ListParagraph"/>
        <w:numPr>
          <w:ilvl w:val="0"/>
          <w:numId w:val="12"/>
        </w:numPr>
        <w:spacing w:after="60"/>
        <w:ind w:left="357" w:hanging="357"/>
        <w:contextualSpacing w:val="0"/>
      </w:pPr>
      <w:r>
        <w:t xml:space="preserve">allow police and courts making a bail decision to consider an </w:t>
      </w:r>
      <w:r w:rsidRPr="001001D0">
        <w:rPr>
          <w:b/>
          <w:bCs/>
        </w:rPr>
        <w:t>indication of</w:t>
      </w:r>
      <w:r>
        <w:t xml:space="preserve"> </w:t>
      </w:r>
      <w:r w:rsidRPr="001001D0">
        <w:rPr>
          <w:b/>
          <w:bCs/>
        </w:rPr>
        <w:t>willingness</w:t>
      </w:r>
      <w:r>
        <w:t xml:space="preserve"> from a parent, guardian, or another person </w:t>
      </w:r>
      <w:r w:rsidRPr="008F2D28">
        <w:t>to provide support</w:t>
      </w:r>
      <w:r>
        <w:t xml:space="preserve"> to a young person to comply with bail conditions, and/or to advise police or youth justice staff of any relevant changes in circumstances or of a breach of bail conditions and</w:t>
      </w:r>
    </w:p>
    <w:p w14:paraId="6C311A15" w14:textId="77777777" w:rsidR="00B336C5" w:rsidRDefault="00B336C5" w:rsidP="00B336C5">
      <w:pPr>
        <w:pStyle w:val="ListParagraph"/>
        <w:numPr>
          <w:ilvl w:val="0"/>
          <w:numId w:val="12"/>
        </w:numPr>
        <w:ind w:left="360"/>
      </w:pPr>
      <w:r>
        <w:t xml:space="preserve">allow courts in prescribed locations to use </w:t>
      </w:r>
      <w:r w:rsidRPr="00524065">
        <w:rPr>
          <w:b/>
          <w:bCs/>
        </w:rPr>
        <w:t>electronic monitoring</w:t>
      </w:r>
      <w:r>
        <w:t xml:space="preserve"> as a condition of </w:t>
      </w:r>
      <w:r>
        <w:t>bail for young people aged 16 and over, in certain circumstances.</w:t>
      </w:r>
    </w:p>
    <w:p w14:paraId="32C29356" w14:textId="77777777" w:rsidR="00B336C5" w:rsidRDefault="00B336C5" w:rsidP="00B336C5">
      <w:pPr>
        <w:spacing w:after="120"/>
      </w:pPr>
      <w:r>
        <w:t>The Amendment Act also further clarified existing youth justice legislation by:</w:t>
      </w:r>
    </w:p>
    <w:p w14:paraId="6D9B1FE2" w14:textId="77777777" w:rsidR="00B336C5" w:rsidRDefault="00B336C5" w:rsidP="00B336C5">
      <w:pPr>
        <w:pStyle w:val="ListParagraph"/>
        <w:numPr>
          <w:ilvl w:val="0"/>
          <w:numId w:val="11"/>
        </w:numPr>
        <w:spacing w:after="60"/>
        <w:ind w:left="357" w:hanging="357"/>
        <w:contextualSpacing w:val="0"/>
      </w:pPr>
      <w:r>
        <w:t xml:space="preserve">codifying the longstanding common law principle that committing an offence while on bail is an aggravating factor in </w:t>
      </w:r>
      <w:proofErr w:type="gramStart"/>
      <w:r>
        <w:t>sentencing</w:t>
      </w:r>
      <w:proofErr w:type="gramEnd"/>
    </w:p>
    <w:p w14:paraId="7323128A" w14:textId="77777777" w:rsidR="00B336C5" w:rsidRDefault="00B336C5" w:rsidP="00B336C5">
      <w:pPr>
        <w:pStyle w:val="ListParagraph"/>
        <w:numPr>
          <w:ilvl w:val="0"/>
          <w:numId w:val="11"/>
        </w:numPr>
        <w:spacing w:after="60"/>
        <w:ind w:left="357" w:hanging="357"/>
        <w:contextualSpacing w:val="0"/>
      </w:pPr>
      <w:r>
        <w:t xml:space="preserve">amending the youth justice principles to specifically highlight that the community should be protected from recidivist high-risk </w:t>
      </w:r>
      <w:proofErr w:type="gramStart"/>
      <w:r>
        <w:t>offenders</w:t>
      </w:r>
      <w:proofErr w:type="gramEnd"/>
    </w:p>
    <w:p w14:paraId="238B38A3" w14:textId="77777777" w:rsidR="00B336C5" w:rsidRPr="00613861" w:rsidRDefault="00B336C5" w:rsidP="00B336C5">
      <w:pPr>
        <w:pStyle w:val="ListParagraph"/>
        <w:numPr>
          <w:ilvl w:val="0"/>
          <w:numId w:val="11"/>
        </w:numPr>
      </w:pPr>
      <w:r>
        <w:t xml:space="preserve">make clear that lack of accommodation and apparent family support cannot be the sole reason to keep a child in custody. </w:t>
      </w:r>
    </w:p>
    <w:p w14:paraId="2F088C79" w14:textId="77777777" w:rsidR="00B336C5" w:rsidRDefault="00B336C5" w:rsidP="00B336C5">
      <w:pPr>
        <w:pStyle w:val="Heading2"/>
      </w:pPr>
      <w:r>
        <w:t xml:space="preserve">Show </w:t>
      </w:r>
      <w:proofErr w:type="gramStart"/>
      <w:r>
        <w:t>cause</w:t>
      </w:r>
      <w:proofErr w:type="gramEnd"/>
    </w:p>
    <w:p w14:paraId="7601CDD4" w14:textId="77777777" w:rsidR="00B336C5" w:rsidRPr="00613861" w:rsidRDefault="00B336C5" w:rsidP="00B336C5">
      <w:r w:rsidRPr="00613861">
        <w:t xml:space="preserve">For certain prescribed indictable offences committed whilst on release on bail, a court or police officer must not release the young person from custody unless the young person shows cause </w:t>
      </w:r>
      <w:r>
        <w:t xml:space="preserve">(provides good reasons) </w:t>
      </w:r>
      <w:r w:rsidRPr="00613861">
        <w:t>why the</w:t>
      </w:r>
      <w:r>
        <w:t>ir</w:t>
      </w:r>
      <w:r w:rsidRPr="00613861">
        <w:t xml:space="preserve"> detention is not justified.</w:t>
      </w:r>
    </w:p>
    <w:p w14:paraId="3E422FFB" w14:textId="77777777" w:rsidR="00B336C5" w:rsidRDefault="00B336C5" w:rsidP="00B336C5">
      <w:pPr>
        <w:spacing w:after="120"/>
      </w:pPr>
      <w:r>
        <w:t>P</w:t>
      </w:r>
      <w:r w:rsidRPr="00613861">
        <w:t xml:space="preserve">rescribed </w:t>
      </w:r>
      <w:r>
        <w:t xml:space="preserve">indictable </w:t>
      </w:r>
      <w:r w:rsidRPr="00613861">
        <w:t>offence</w:t>
      </w:r>
      <w:r w:rsidRPr="008159C0">
        <w:t>s</w:t>
      </w:r>
      <w:r>
        <w:t xml:space="preserve"> are:</w:t>
      </w:r>
    </w:p>
    <w:p w14:paraId="0C3794AA" w14:textId="77777777" w:rsidR="00B336C5" w:rsidRDefault="00B336C5" w:rsidP="00B336C5">
      <w:pPr>
        <w:pStyle w:val="ListParagraph"/>
        <w:numPr>
          <w:ilvl w:val="0"/>
          <w:numId w:val="14"/>
        </w:numPr>
        <w:spacing w:after="60"/>
        <w:ind w:left="357" w:hanging="357"/>
        <w:contextualSpacing w:val="0"/>
      </w:pPr>
      <w:r w:rsidRPr="008159C0">
        <w:t xml:space="preserve">a life offence, or </w:t>
      </w:r>
    </w:p>
    <w:p w14:paraId="4B4F077D" w14:textId="77777777" w:rsidR="00B336C5" w:rsidRDefault="00B336C5" w:rsidP="00B336C5">
      <w:pPr>
        <w:pStyle w:val="ListParagraph"/>
        <w:numPr>
          <w:ilvl w:val="0"/>
          <w:numId w:val="14"/>
        </w:numPr>
        <w:spacing w:after="60"/>
        <w:ind w:left="357" w:hanging="357"/>
        <w:contextualSpacing w:val="0"/>
      </w:pPr>
      <w:r w:rsidRPr="008159C0">
        <w:t>an offence which attracts 14 years imprisonment or</w:t>
      </w:r>
      <w:r>
        <w:t xml:space="preserve"> more (with one exception), or</w:t>
      </w:r>
      <w:r w:rsidRPr="008159C0">
        <w:t xml:space="preserve"> </w:t>
      </w:r>
    </w:p>
    <w:p w14:paraId="31DF160F" w14:textId="77777777" w:rsidR="00B336C5" w:rsidRPr="00524065" w:rsidRDefault="00B336C5" w:rsidP="00B336C5">
      <w:pPr>
        <w:pStyle w:val="ListParagraph"/>
        <w:numPr>
          <w:ilvl w:val="0"/>
          <w:numId w:val="14"/>
        </w:numPr>
      </w:pPr>
      <w:r>
        <w:t xml:space="preserve">certain other </w:t>
      </w:r>
      <w:r w:rsidRPr="008159C0">
        <w:t>Criminal Code</w:t>
      </w:r>
      <w:r w:rsidRPr="00B1374C">
        <w:t xml:space="preserve"> </w:t>
      </w:r>
      <w:r w:rsidRPr="008159C0">
        <w:t>offence</w:t>
      </w:r>
      <w:r>
        <w:t>s</w:t>
      </w:r>
      <w:r w:rsidRPr="008159C0">
        <w:t xml:space="preserve"> </w:t>
      </w:r>
      <w:r w:rsidRPr="00B1374C">
        <w:t xml:space="preserve">including </w:t>
      </w:r>
      <w:r>
        <w:t xml:space="preserve">dangerous driving and </w:t>
      </w:r>
      <w:r w:rsidRPr="00B1374C">
        <w:t xml:space="preserve">unauthorised use of a motor vehicle where the child is </w:t>
      </w:r>
      <w:r>
        <w:t>the</w:t>
      </w:r>
      <w:r w:rsidRPr="00B1374C">
        <w:t xml:space="preserve"> drive</w:t>
      </w:r>
      <w:r>
        <w:t>r.</w:t>
      </w:r>
    </w:p>
    <w:p w14:paraId="565E1A82" w14:textId="77777777" w:rsidR="00B336C5" w:rsidRPr="00524065" w:rsidRDefault="00B336C5" w:rsidP="00B336C5">
      <w:pPr>
        <w:rPr>
          <w:rFonts w:cs="Arial"/>
        </w:rPr>
      </w:pPr>
      <w:r w:rsidRPr="00E76A74">
        <w:rPr>
          <w:rFonts w:cs="Arial"/>
        </w:rPr>
        <w:t>Th</w:t>
      </w:r>
      <w:r>
        <w:rPr>
          <w:rFonts w:cs="Arial"/>
        </w:rPr>
        <w:t xml:space="preserve">is limited presumption against bail is intended to </w:t>
      </w:r>
      <w:bookmarkStart w:id="0" w:name="_Hlk69685546"/>
      <w:r>
        <w:rPr>
          <w:rFonts w:cs="Arial"/>
        </w:rPr>
        <w:t xml:space="preserve">ensure </w:t>
      </w:r>
      <w:r w:rsidRPr="00E76A74">
        <w:rPr>
          <w:rFonts w:cs="Arial"/>
        </w:rPr>
        <w:t xml:space="preserve">that </w:t>
      </w:r>
      <w:r>
        <w:rPr>
          <w:rFonts w:cs="Arial"/>
        </w:rPr>
        <w:t xml:space="preserve">the community will be further protected from the risk posed by this small cohort of </w:t>
      </w:r>
      <w:r w:rsidRPr="00E76A74">
        <w:rPr>
          <w:rFonts w:cs="Arial"/>
        </w:rPr>
        <w:t>serious recidivist offend</w:t>
      </w:r>
      <w:r>
        <w:rPr>
          <w:rFonts w:cs="Arial"/>
        </w:rPr>
        <w:t>ers</w:t>
      </w:r>
      <w:r>
        <w:t>.</w:t>
      </w:r>
      <w:bookmarkEnd w:id="0"/>
    </w:p>
    <w:p w14:paraId="732BDDFE" w14:textId="77777777" w:rsidR="00B336C5" w:rsidRPr="00524065" w:rsidRDefault="00B336C5" w:rsidP="00B336C5">
      <w:pPr>
        <w:pStyle w:val="Heading2"/>
      </w:pPr>
      <w:r w:rsidRPr="00524065">
        <w:t>Willingness to support</w:t>
      </w:r>
    </w:p>
    <w:p w14:paraId="74F04145" w14:textId="77777777" w:rsidR="00B336C5" w:rsidRDefault="00B336C5" w:rsidP="00B336C5">
      <w:pPr>
        <w:spacing w:after="120"/>
        <w:rPr>
          <w:lang w:val="en-GB"/>
        </w:rPr>
      </w:pPr>
      <w:r w:rsidRPr="00606C61">
        <w:rPr>
          <w:lang w:val="en-GB"/>
        </w:rPr>
        <w:lastRenderedPageBreak/>
        <w:t xml:space="preserve">The </w:t>
      </w:r>
      <w:r>
        <w:rPr>
          <w:lang w:val="en-GB"/>
        </w:rPr>
        <w:t>amendments enable</w:t>
      </w:r>
      <w:r w:rsidRPr="00606C61">
        <w:rPr>
          <w:lang w:val="en-GB"/>
        </w:rPr>
        <w:t xml:space="preserve"> </w:t>
      </w:r>
      <w:r>
        <w:rPr>
          <w:lang w:val="en-GB"/>
        </w:rPr>
        <w:t>p</w:t>
      </w:r>
      <w:r w:rsidRPr="00606C61">
        <w:rPr>
          <w:lang w:val="en-GB"/>
        </w:rPr>
        <w:t xml:space="preserve">olice and </w:t>
      </w:r>
      <w:r>
        <w:rPr>
          <w:lang w:val="en-GB"/>
        </w:rPr>
        <w:t>c</w:t>
      </w:r>
      <w:r w:rsidRPr="00606C61">
        <w:rPr>
          <w:lang w:val="en-GB"/>
        </w:rPr>
        <w:t>ourt</w:t>
      </w:r>
      <w:r>
        <w:rPr>
          <w:lang w:val="en-GB"/>
        </w:rPr>
        <w:t>s to</w:t>
      </w:r>
      <w:r w:rsidRPr="00606C61">
        <w:rPr>
          <w:lang w:val="en-GB"/>
        </w:rPr>
        <w:t xml:space="preserve"> consider</w:t>
      </w:r>
      <w:r>
        <w:rPr>
          <w:lang w:val="en-GB"/>
        </w:rPr>
        <w:t xml:space="preserve"> </w:t>
      </w:r>
      <w:r w:rsidRPr="00606C61">
        <w:rPr>
          <w:lang w:val="en-GB"/>
        </w:rPr>
        <w:t xml:space="preserve">whether a parent or another person has indicated a willingness to do one or more of the following: </w:t>
      </w:r>
    </w:p>
    <w:p w14:paraId="0ED6FE8F" w14:textId="77777777" w:rsidR="00B336C5" w:rsidRDefault="00B336C5" w:rsidP="00B336C5">
      <w:pPr>
        <w:pStyle w:val="ListParagraph"/>
        <w:numPr>
          <w:ilvl w:val="0"/>
          <w:numId w:val="15"/>
        </w:numPr>
        <w:spacing w:after="60"/>
        <w:ind w:left="357" w:hanging="357"/>
        <w:contextualSpacing w:val="0"/>
      </w:pPr>
      <w:r>
        <w:t xml:space="preserve">support a young person to comply with conditions of </w:t>
      </w:r>
      <w:proofErr w:type="gramStart"/>
      <w:r>
        <w:t>bail</w:t>
      </w:r>
      <w:proofErr w:type="gramEnd"/>
    </w:p>
    <w:p w14:paraId="68F0657A" w14:textId="77777777" w:rsidR="00B336C5" w:rsidRDefault="00B336C5" w:rsidP="00B336C5">
      <w:pPr>
        <w:pStyle w:val="ListParagraph"/>
        <w:numPr>
          <w:ilvl w:val="0"/>
          <w:numId w:val="15"/>
        </w:numPr>
        <w:spacing w:after="60"/>
        <w:ind w:left="357" w:hanging="357"/>
        <w:contextualSpacing w:val="0"/>
      </w:pPr>
      <w:r>
        <w:t xml:space="preserve">notify youth justice staff or police of a change in the young person’s circumstances which may affect their ability to comply with </w:t>
      </w:r>
      <w:proofErr w:type="gramStart"/>
      <w:r>
        <w:t>bail</w:t>
      </w:r>
      <w:proofErr w:type="gramEnd"/>
    </w:p>
    <w:p w14:paraId="6971D5A1" w14:textId="77777777" w:rsidR="00B336C5" w:rsidRPr="000B2254" w:rsidRDefault="00B336C5" w:rsidP="00B336C5">
      <w:pPr>
        <w:pStyle w:val="ListParagraph"/>
        <w:numPr>
          <w:ilvl w:val="0"/>
          <w:numId w:val="15"/>
        </w:numPr>
      </w:pPr>
      <w:r>
        <w:t>notify youth justice staff or police of a breach of a bail condition.</w:t>
      </w:r>
    </w:p>
    <w:p w14:paraId="4F1D794C" w14:textId="77777777" w:rsidR="00B336C5" w:rsidRDefault="00B336C5" w:rsidP="00B336C5">
      <w:r w:rsidRPr="00A501B1">
        <w:t>This person may be anyone deemed suitable by the court, depending on the nature of the support the court considers is needed</w:t>
      </w:r>
      <w:r>
        <w:t xml:space="preserve"> – which may be broad whole-of-life support, or support in relation to a specific issue such as remembering a court date.</w:t>
      </w:r>
      <w:r w:rsidRPr="00A501B1">
        <w:t xml:space="preserve"> </w:t>
      </w:r>
    </w:p>
    <w:p w14:paraId="38C34375" w14:textId="77777777" w:rsidR="00B336C5" w:rsidRDefault="00B336C5" w:rsidP="00B336C5">
      <w:pPr>
        <w:spacing w:after="120"/>
      </w:pPr>
      <w:r>
        <w:t>The person</w:t>
      </w:r>
      <w:r w:rsidRPr="00A501B1">
        <w:t xml:space="preserve"> may </w:t>
      </w:r>
      <w:r>
        <w:t>b</w:t>
      </w:r>
      <w:r w:rsidRPr="00A501B1">
        <w:t>e a</w:t>
      </w:r>
      <w:r>
        <w:t>:</w:t>
      </w:r>
    </w:p>
    <w:p w14:paraId="35FFBA18" w14:textId="77777777" w:rsidR="00B336C5" w:rsidRDefault="00B336C5" w:rsidP="00B336C5">
      <w:pPr>
        <w:pStyle w:val="ListParagraph"/>
        <w:numPr>
          <w:ilvl w:val="0"/>
          <w:numId w:val="19"/>
        </w:numPr>
      </w:pPr>
      <w:r>
        <w:t>g</w:t>
      </w:r>
      <w:r w:rsidRPr="00A501B1">
        <w:t>randparent</w:t>
      </w:r>
    </w:p>
    <w:p w14:paraId="2E92F559" w14:textId="77777777" w:rsidR="00B336C5" w:rsidRDefault="00B336C5" w:rsidP="00B336C5">
      <w:pPr>
        <w:pStyle w:val="ListParagraph"/>
        <w:numPr>
          <w:ilvl w:val="0"/>
          <w:numId w:val="19"/>
        </w:numPr>
      </w:pPr>
      <w:r w:rsidRPr="00A501B1">
        <w:t>older sibling</w:t>
      </w:r>
    </w:p>
    <w:p w14:paraId="56DB2DE0" w14:textId="77777777" w:rsidR="00B336C5" w:rsidRDefault="00B336C5" w:rsidP="00B336C5">
      <w:pPr>
        <w:pStyle w:val="ListParagraph"/>
        <w:numPr>
          <w:ilvl w:val="0"/>
          <w:numId w:val="19"/>
        </w:numPr>
      </w:pPr>
      <w:r w:rsidRPr="00A501B1">
        <w:t>other family member</w:t>
      </w:r>
    </w:p>
    <w:p w14:paraId="317BBC59" w14:textId="77777777" w:rsidR="00B336C5" w:rsidRDefault="00B336C5" w:rsidP="00B336C5">
      <w:pPr>
        <w:pStyle w:val="ListParagraph"/>
        <w:numPr>
          <w:ilvl w:val="0"/>
          <w:numId w:val="19"/>
        </w:numPr>
      </w:pPr>
      <w:r w:rsidRPr="00A501B1">
        <w:t>neighbour</w:t>
      </w:r>
    </w:p>
    <w:p w14:paraId="72F5713B" w14:textId="77777777" w:rsidR="00B336C5" w:rsidRDefault="00B336C5" w:rsidP="00B336C5">
      <w:pPr>
        <w:pStyle w:val="ListParagraph"/>
        <w:numPr>
          <w:ilvl w:val="0"/>
          <w:numId w:val="19"/>
        </w:numPr>
      </w:pPr>
      <w:r>
        <w:t>employer</w:t>
      </w:r>
    </w:p>
    <w:p w14:paraId="4D05C88A" w14:textId="77777777" w:rsidR="00B336C5" w:rsidRDefault="00B336C5" w:rsidP="00B336C5">
      <w:pPr>
        <w:pStyle w:val="ListParagraph"/>
        <w:numPr>
          <w:ilvl w:val="0"/>
          <w:numId w:val="19"/>
        </w:numPr>
      </w:pPr>
      <w:r w:rsidRPr="00A501B1">
        <w:t>child safety officer</w:t>
      </w:r>
    </w:p>
    <w:p w14:paraId="71EB2362" w14:textId="77777777" w:rsidR="00B336C5" w:rsidRPr="00A501B1" w:rsidRDefault="00B336C5" w:rsidP="00B336C5">
      <w:pPr>
        <w:pStyle w:val="ListParagraph"/>
        <w:numPr>
          <w:ilvl w:val="0"/>
          <w:numId w:val="19"/>
        </w:numPr>
      </w:pPr>
      <w:r w:rsidRPr="00A501B1">
        <w:t xml:space="preserve">staff member or volunteer from a support service. </w:t>
      </w:r>
    </w:p>
    <w:p w14:paraId="64B94ADB" w14:textId="77777777" w:rsidR="00B336C5" w:rsidRDefault="00B336C5" w:rsidP="00B336C5">
      <w:r w:rsidRPr="00A501B1">
        <w:t xml:space="preserve">No-one </w:t>
      </w:r>
      <w:r>
        <w:t>will be</w:t>
      </w:r>
      <w:r w:rsidRPr="00A501B1">
        <w:t xml:space="preserve"> obliged to provide any </w:t>
      </w:r>
      <w:proofErr w:type="gramStart"/>
      <w:r w:rsidRPr="00A501B1">
        <w:t>particular kind</w:t>
      </w:r>
      <w:proofErr w:type="gramEnd"/>
      <w:r w:rsidRPr="00A501B1">
        <w:t xml:space="preserve"> of support. </w:t>
      </w:r>
    </w:p>
    <w:p w14:paraId="33798EE6" w14:textId="77777777" w:rsidR="00B336C5" w:rsidRDefault="00B336C5" w:rsidP="00B336C5">
      <w:r w:rsidRPr="00A501B1">
        <w:t xml:space="preserve">Although there is no penalty for not doing something a person has indicated a willingness to do, parents and other persons should </w:t>
      </w:r>
      <w:r>
        <w:t>only</w:t>
      </w:r>
      <w:r w:rsidRPr="00A501B1">
        <w:t xml:space="preserve"> indicat</w:t>
      </w:r>
      <w:r>
        <w:t>e</w:t>
      </w:r>
      <w:r w:rsidRPr="00A501B1">
        <w:t xml:space="preserve"> a willingness </w:t>
      </w:r>
      <w:r>
        <w:t>to do</w:t>
      </w:r>
      <w:r w:rsidRPr="00A501B1">
        <w:t xml:space="preserve"> something if they </w:t>
      </w:r>
      <w:r>
        <w:t>are willing and able to</w:t>
      </w:r>
      <w:r w:rsidRPr="00A501B1">
        <w:t xml:space="preserve"> </w:t>
      </w:r>
      <w:r>
        <w:t>do</w:t>
      </w:r>
      <w:r w:rsidRPr="00A501B1">
        <w:t xml:space="preserve"> it. </w:t>
      </w:r>
    </w:p>
    <w:p w14:paraId="596BD124" w14:textId="77777777" w:rsidR="00B336C5" w:rsidRPr="008159C0" w:rsidRDefault="00B336C5" w:rsidP="00B336C5">
      <w:r w:rsidRPr="00A501B1">
        <w:t>For example, a parent or other person, including a representative of an NGO, may prefer not to indicate a willingness to report breaches of bail conditions to police.</w:t>
      </w:r>
    </w:p>
    <w:p w14:paraId="184325C7" w14:textId="77777777" w:rsidR="00B336C5" w:rsidRDefault="00B336C5" w:rsidP="00B336C5">
      <w:pPr>
        <w:pStyle w:val="Heading2"/>
      </w:pPr>
      <w:r>
        <w:t xml:space="preserve">Electronic monitoring </w:t>
      </w:r>
    </w:p>
    <w:p w14:paraId="630CF2A5" w14:textId="77777777" w:rsidR="00B336C5" w:rsidRDefault="00B336C5" w:rsidP="00B336C5">
      <w:bookmarkStart w:id="1" w:name="_Hlk69685754"/>
      <w:r>
        <w:t>The amendments also include time-limited (two years) amendments to allow courts to impose electronic monitoring as a condition of bail for young people aged 16 years and over in certain circumstances.</w:t>
      </w:r>
    </w:p>
    <w:p w14:paraId="02C59C5B" w14:textId="77777777" w:rsidR="00B336C5" w:rsidRDefault="00B336C5" w:rsidP="00B336C5">
      <w:pPr>
        <w:spacing w:after="120"/>
      </w:pPr>
      <w:r>
        <w:t xml:space="preserve">A 12-month trial of electronic monitoring technology will be implemented </w:t>
      </w:r>
      <w:r w:rsidRPr="00C14D53">
        <w:t>in five sites</w:t>
      </w:r>
      <w:r>
        <w:t xml:space="preserve">: </w:t>
      </w:r>
    </w:p>
    <w:p w14:paraId="720BFE8F" w14:textId="423C7C0E" w:rsidR="00B336C5" w:rsidRDefault="00B336C5" w:rsidP="00B336C5">
      <w:pPr>
        <w:pStyle w:val="ListParagraph"/>
        <w:numPr>
          <w:ilvl w:val="0"/>
          <w:numId w:val="21"/>
        </w:numPr>
      </w:pPr>
      <w:r w:rsidRPr="00C14D53">
        <w:t>Townsville</w:t>
      </w:r>
    </w:p>
    <w:p w14:paraId="5131BA4C" w14:textId="77777777" w:rsidR="00B336C5" w:rsidRDefault="00B336C5" w:rsidP="00B336C5">
      <w:pPr>
        <w:pStyle w:val="ListParagraph"/>
        <w:numPr>
          <w:ilvl w:val="0"/>
          <w:numId w:val="21"/>
        </w:numPr>
      </w:pPr>
      <w:r>
        <w:t>n</w:t>
      </w:r>
      <w:r w:rsidRPr="00C14D53">
        <w:t>orth Brisbane</w:t>
      </w:r>
    </w:p>
    <w:p w14:paraId="7BC4DA3C" w14:textId="77777777" w:rsidR="00B336C5" w:rsidRDefault="00B336C5" w:rsidP="00B336C5">
      <w:pPr>
        <w:pStyle w:val="ListParagraph"/>
        <w:numPr>
          <w:ilvl w:val="0"/>
          <w:numId w:val="21"/>
        </w:numPr>
      </w:pPr>
      <w:r w:rsidRPr="00C14D53">
        <w:t>Moreton</w:t>
      </w:r>
    </w:p>
    <w:p w14:paraId="49F52DD3" w14:textId="77777777" w:rsidR="00B336C5" w:rsidRDefault="00B336C5" w:rsidP="00B336C5">
      <w:pPr>
        <w:pStyle w:val="ListParagraph"/>
        <w:numPr>
          <w:ilvl w:val="0"/>
          <w:numId w:val="21"/>
        </w:numPr>
      </w:pPr>
      <w:r w:rsidRPr="00C14D53">
        <w:t>Logan</w:t>
      </w:r>
    </w:p>
    <w:p w14:paraId="5DEBE592" w14:textId="77777777" w:rsidR="00B336C5" w:rsidRDefault="00B336C5" w:rsidP="00B336C5">
      <w:pPr>
        <w:pStyle w:val="ListParagraph"/>
        <w:numPr>
          <w:ilvl w:val="0"/>
          <w:numId w:val="21"/>
        </w:numPr>
      </w:pPr>
      <w:r w:rsidRPr="00C14D53">
        <w:t>Gold Coast.</w:t>
      </w:r>
    </w:p>
    <w:p w14:paraId="3DD2FDC9" w14:textId="77777777" w:rsidR="00B336C5" w:rsidRDefault="00B336C5" w:rsidP="00B336C5">
      <w:pPr>
        <w:spacing w:after="120"/>
      </w:pPr>
      <w:r>
        <w:t xml:space="preserve">To be eligible for an electronic monitoring device a young person must: </w:t>
      </w:r>
    </w:p>
    <w:p w14:paraId="625EE980" w14:textId="77777777" w:rsidR="00B336C5" w:rsidRDefault="00B336C5" w:rsidP="00B336C5">
      <w:pPr>
        <w:pStyle w:val="ListParagraph"/>
        <w:numPr>
          <w:ilvl w:val="0"/>
          <w:numId w:val="16"/>
        </w:numPr>
        <w:spacing w:after="60"/>
        <w:ind w:left="357" w:hanging="357"/>
        <w:contextualSpacing w:val="0"/>
      </w:pPr>
      <w:r>
        <w:t xml:space="preserve">be at least 16 years of </w:t>
      </w:r>
      <w:proofErr w:type="gramStart"/>
      <w:r>
        <w:t>age</w:t>
      </w:r>
      <w:proofErr w:type="gramEnd"/>
    </w:p>
    <w:p w14:paraId="6E30B966" w14:textId="77777777" w:rsidR="00B336C5" w:rsidRDefault="00B336C5" w:rsidP="00B336C5">
      <w:pPr>
        <w:pStyle w:val="ListParagraph"/>
        <w:numPr>
          <w:ilvl w:val="0"/>
          <w:numId w:val="16"/>
        </w:numPr>
        <w:spacing w:after="60"/>
        <w:ind w:left="357" w:hanging="357"/>
        <w:contextualSpacing w:val="0"/>
      </w:pPr>
      <w:r>
        <w:t>be appearing for a</w:t>
      </w:r>
      <w:r w:rsidRPr="00287D95">
        <w:t xml:space="preserve"> prescribed indictable offence</w:t>
      </w:r>
      <w:r>
        <w:t xml:space="preserve"> (see definition under </w:t>
      </w:r>
      <w:r>
        <w:rPr>
          <w:i/>
          <w:iCs/>
        </w:rPr>
        <w:t>Show cause</w:t>
      </w:r>
      <w:r>
        <w:t xml:space="preserve"> above)</w:t>
      </w:r>
    </w:p>
    <w:p w14:paraId="5E457F74" w14:textId="77777777" w:rsidR="00B336C5" w:rsidRDefault="00B336C5" w:rsidP="00B336C5">
      <w:pPr>
        <w:pStyle w:val="ListParagraph"/>
        <w:numPr>
          <w:ilvl w:val="0"/>
          <w:numId w:val="16"/>
        </w:numPr>
        <w:spacing w:after="60"/>
        <w:ind w:left="357" w:hanging="357"/>
        <w:contextualSpacing w:val="0"/>
      </w:pPr>
      <w:r>
        <w:t xml:space="preserve">have </w:t>
      </w:r>
      <w:r w:rsidRPr="00287D95">
        <w:t>previously been found guilty of at least one indictable offence</w:t>
      </w:r>
      <w:r>
        <w:t>, and</w:t>
      </w:r>
    </w:p>
    <w:p w14:paraId="2B3779A8" w14:textId="77777777" w:rsidR="00B336C5" w:rsidRDefault="00B336C5" w:rsidP="00B336C5">
      <w:pPr>
        <w:pStyle w:val="ListParagraph"/>
        <w:numPr>
          <w:ilvl w:val="0"/>
          <w:numId w:val="16"/>
        </w:numPr>
      </w:pPr>
      <w:r>
        <w:t>live in one of the prescribed locations.</w:t>
      </w:r>
    </w:p>
    <w:bookmarkEnd w:id="1"/>
    <w:p w14:paraId="0A42E6D2" w14:textId="77777777" w:rsidR="00B336C5" w:rsidRPr="00576B3C" w:rsidRDefault="00B336C5" w:rsidP="00B336C5">
      <w:r>
        <w:t xml:space="preserve">For more information see the </w:t>
      </w:r>
      <w:hyperlink r:id="rId17" w:history="1">
        <w:r w:rsidRPr="00711143">
          <w:rPr>
            <w:rStyle w:val="Hyperlink"/>
          </w:rPr>
          <w:t>factsheet about electronic monitoring</w:t>
        </w:r>
      </w:hyperlink>
      <w:r>
        <w:t xml:space="preserve">.  </w:t>
      </w:r>
    </w:p>
    <w:p w14:paraId="439DB006" w14:textId="77777777" w:rsidR="00B336C5" w:rsidRPr="00A63265" w:rsidRDefault="00B336C5" w:rsidP="00B336C5">
      <w:pPr>
        <w:pStyle w:val="Heading2"/>
      </w:pPr>
      <w:r>
        <w:t xml:space="preserve">Extra services to support </w:t>
      </w:r>
      <w:proofErr w:type="gramStart"/>
      <w:r w:rsidRPr="00A63265">
        <w:t>implementation</w:t>
      </w:r>
      <w:proofErr w:type="gramEnd"/>
    </w:p>
    <w:p w14:paraId="1376B6B1" w14:textId="77777777" w:rsidR="00B336C5" w:rsidRDefault="00B336C5" w:rsidP="00B336C5">
      <w:r>
        <w:t xml:space="preserve">Extra monitoring and supervision services are being put in place for high-risk repeat offenders, including young people subject to electronic monitoring bail conditions. </w:t>
      </w:r>
    </w:p>
    <w:p w14:paraId="4C4B55FA" w14:textId="77777777" w:rsidR="00B336C5" w:rsidRDefault="00B336C5" w:rsidP="00B336C5">
      <w:pPr>
        <w:spacing w:after="120"/>
      </w:pPr>
      <w:r>
        <w:t>Police and youth justice staff will provide high levels of monitoring and supervision, including on weekends and after hours with:</w:t>
      </w:r>
    </w:p>
    <w:p w14:paraId="012E4213" w14:textId="77777777" w:rsidR="00B336C5" w:rsidRDefault="00B336C5" w:rsidP="00B336C5">
      <w:pPr>
        <w:pStyle w:val="ListParagraph"/>
        <w:numPr>
          <w:ilvl w:val="0"/>
          <w:numId w:val="17"/>
        </w:numPr>
      </w:pPr>
      <w:r>
        <w:t>24/7 co-responder teams</w:t>
      </w:r>
    </w:p>
    <w:p w14:paraId="66A975BE" w14:textId="77777777" w:rsidR="00B336C5" w:rsidRDefault="00B336C5" w:rsidP="00B336C5">
      <w:pPr>
        <w:pStyle w:val="ListParagraph"/>
        <w:numPr>
          <w:ilvl w:val="0"/>
          <w:numId w:val="17"/>
        </w:numPr>
      </w:pPr>
      <w:r>
        <w:t xml:space="preserve">conditional bail program youth workers. </w:t>
      </w:r>
    </w:p>
    <w:p w14:paraId="0E16E5A0" w14:textId="77777777" w:rsidR="00B336C5" w:rsidRDefault="00B336C5" w:rsidP="00B336C5">
      <w:r>
        <w:t>After-hours intensive support will also be available to families of these young offenders to help manage their child’s compliance.</w:t>
      </w:r>
    </w:p>
    <w:p w14:paraId="1F73E3C6" w14:textId="77777777" w:rsidR="00B336C5" w:rsidRDefault="00B336C5" w:rsidP="00B336C5">
      <w:r>
        <w:t xml:space="preserve">For more information see the </w:t>
      </w:r>
      <w:hyperlink r:id="rId18" w:history="1">
        <w:r w:rsidRPr="007002E6">
          <w:rPr>
            <w:rStyle w:val="Hyperlink"/>
          </w:rPr>
          <w:t>factsheet about new services</w:t>
        </w:r>
      </w:hyperlink>
      <w:r>
        <w:t>.</w:t>
      </w:r>
    </w:p>
    <w:p w14:paraId="3BF5E2B2" w14:textId="77777777" w:rsidR="00B336C5" w:rsidRDefault="00B336C5" w:rsidP="00B336C5">
      <w:pPr>
        <w:pStyle w:val="Heading2"/>
        <w:rPr>
          <w:rFonts w:ascii="Calibri" w:hAnsi="Calibri"/>
          <w:szCs w:val="22"/>
        </w:rPr>
      </w:pPr>
      <w:r>
        <w:t>How we will know if these reforms have worked</w:t>
      </w:r>
    </w:p>
    <w:p w14:paraId="790D8B0A" w14:textId="34B5042A" w:rsidR="006E017E" w:rsidRDefault="00B336C5" w:rsidP="00B336C5">
      <w:r>
        <w:t>Mr Bob Atkinson will independently report to the Government in late 2021 about how the reforms have worked, including the electronic monitoring trial.</w:t>
      </w:r>
    </w:p>
    <w:sectPr w:rsidR="006E017E" w:rsidSect="00B336C5">
      <w:headerReference w:type="default" r:id="rId19"/>
      <w:footerReference w:type="default" r:id="rId20"/>
      <w:type w:val="continuous"/>
      <w:pgSz w:w="11906" w:h="16838"/>
      <w:pgMar w:top="1701" w:right="1134" w:bottom="1701" w:left="1134" w:header="709" w:footer="706" w:gutter="0"/>
      <w:cols w:num="2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F2EAA" w14:textId="77777777" w:rsidR="003F48B6" w:rsidRDefault="003F48B6">
      <w:r>
        <w:separator/>
      </w:r>
    </w:p>
  </w:endnote>
  <w:endnote w:type="continuationSeparator" w:id="0">
    <w:p w14:paraId="0A398B2C" w14:textId="77777777" w:rsidR="003F48B6" w:rsidRDefault="003F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3C36" w14:textId="77777777" w:rsidR="007D0395" w:rsidRDefault="007D03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71CFC" w14:textId="77777777" w:rsidR="007D0395" w:rsidRDefault="007D03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7325" w14:textId="77777777" w:rsidR="007D0395" w:rsidRDefault="007D039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8B25" w14:textId="77777777" w:rsidR="00F77B8F" w:rsidRDefault="00F77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138C" w14:textId="77777777" w:rsidR="003F48B6" w:rsidRDefault="003F48B6">
      <w:r>
        <w:separator/>
      </w:r>
    </w:p>
  </w:footnote>
  <w:footnote w:type="continuationSeparator" w:id="0">
    <w:p w14:paraId="692607BE" w14:textId="77777777" w:rsidR="003F48B6" w:rsidRDefault="003F4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CCC9" w14:textId="77777777" w:rsidR="007D0395" w:rsidRDefault="007D0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14BB" w14:textId="3B9608A4" w:rsidR="00B21459" w:rsidRDefault="00B3699D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5D661EF" wp14:editId="7383FC05">
          <wp:simplePos x="0" y="0"/>
          <wp:positionH relativeFrom="column">
            <wp:posOffset>-732447</wp:posOffset>
          </wp:positionH>
          <wp:positionV relativeFrom="paragraph">
            <wp:posOffset>-448493</wp:posOffset>
          </wp:positionV>
          <wp:extent cx="7599600" cy="10749756"/>
          <wp:effectExtent l="0" t="0" r="1905" b="0"/>
          <wp:wrapNone/>
          <wp:docPr id="20750717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071707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9600" cy="10749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64C40" w14:textId="77777777" w:rsidR="007D0395" w:rsidRDefault="007D039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1F700" w14:textId="77777777" w:rsidR="00F77B8F" w:rsidRDefault="00F77B8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6DB56F" wp14:editId="2AD4BAAE">
              <wp:simplePos x="0" y="0"/>
              <wp:positionH relativeFrom="column">
                <wp:posOffset>-720090</wp:posOffset>
              </wp:positionH>
              <wp:positionV relativeFrom="paragraph">
                <wp:posOffset>-127486</wp:posOffset>
              </wp:positionV>
              <wp:extent cx="7559675" cy="362660"/>
              <wp:effectExtent l="0" t="0" r="0" b="0"/>
              <wp:wrapNone/>
              <wp:docPr id="1832701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362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FCAF9F" w14:textId="38E2B660" w:rsidR="00F77B8F" w:rsidRPr="00F77B8F" w:rsidRDefault="00F77B8F" w:rsidP="00F77B8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6DB5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-10.05pt;width:595.25pt;height:28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" filled="f" stroked="f" strokeweight=".5pt">
              <v:textbox>
                <w:txbxContent>
                  <w:p w14:paraId="6FFCAF9F" w14:textId="38E2B660" w:rsidR="00F77B8F" w:rsidRPr="00F77B8F" w:rsidRDefault="00F77B8F" w:rsidP="00F77B8F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7D5D2DD" wp14:editId="010737CA">
          <wp:simplePos x="0" y="0"/>
          <wp:positionH relativeFrom="column">
            <wp:posOffset>-717857</wp:posOffset>
          </wp:positionH>
          <wp:positionV relativeFrom="paragraph">
            <wp:posOffset>-435610</wp:posOffset>
          </wp:positionV>
          <wp:extent cx="7560000" cy="1285200"/>
          <wp:effectExtent l="0" t="0" r="0" b="0"/>
          <wp:wrapNone/>
          <wp:docPr id="1531318431" name="Picture 1531318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975121" name="Picture 4319751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2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86C9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4800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44E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4498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4C0F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46F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7011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A7B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F23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444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A5220"/>
    <w:multiLevelType w:val="hybridMultilevel"/>
    <w:tmpl w:val="98348B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C2D4848"/>
    <w:multiLevelType w:val="hybridMultilevel"/>
    <w:tmpl w:val="6BCE32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A1E8E"/>
    <w:multiLevelType w:val="hybridMultilevel"/>
    <w:tmpl w:val="D31EC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36324"/>
    <w:multiLevelType w:val="hybridMultilevel"/>
    <w:tmpl w:val="29D8AE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8F6181"/>
    <w:multiLevelType w:val="hybridMultilevel"/>
    <w:tmpl w:val="D55230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744899"/>
    <w:multiLevelType w:val="hybridMultilevel"/>
    <w:tmpl w:val="D02CCD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4C7CFB"/>
    <w:multiLevelType w:val="hybridMultilevel"/>
    <w:tmpl w:val="FC9694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67668"/>
    <w:multiLevelType w:val="hybridMultilevel"/>
    <w:tmpl w:val="AA9A6E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5B562E"/>
    <w:multiLevelType w:val="hybridMultilevel"/>
    <w:tmpl w:val="5A864D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F56279"/>
    <w:multiLevelType w:val="hybridMultilevel"/>
    <w:tmpl w:val="1DA6BC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6C7A3A"/>
    <w:multiLevelType w:val="hybridMultilevel"/>
    <w:tmpl w:val="ADA29B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5252027">
    <w:abstractNumId w:val="0"/>
  </w:num>
  <w:num w:numId="2" w16cid:durableId="1155990301">
    <w:abstractNumId w:val="1"/>
  </w:num>
  <w:num w:numId="3" w16cid:durableId="2052804923">
    <w:abstractNumId w:val="2"/>
  </w:num>
  <w:num w:numId="4" w16cid:durableId="2085908971">
    <w:abstractNumId w:val="3"/>
  </w:num>
  <w:num w:numId="5" w16cid:durableId="284428574">
    <w:abstractNumId w:val="8"/>
  </w:num>
  <w:num w:numId="6" w16cid:durableId="396981857">
    <w:abstractNumId w:val="4"/>
  </w:num>
  <w:num w:numId="7" w16cid:durableId="85228144">
    <w:abstractNumId w:val="5"/>
  </w:num>
  <w:num w:numId="8" w16cid:durableId="1471291342">
    <w:abstractNumId w:val="6"/>
  </w:num>
  <w:num w:numId="9" w16cid:durableId="20983732">
    <w:abstractNumId w:val="7"/>
  </w:num>
  <w:num w:numId="10" w16cid:durableId="443160849">
    <w:abstractNumId w:val="9"/>
  </w:num>
  <w:num w:numId="11" w16cid:durableId="294524716">
    <w:abstractNumId w:val="19"/>
  </w:num>
  <w:num w:numId="12" w16cid:durableId="862285669">
    <w:abstractNumId w:val="12"/>
  </w:num>
  <w:num w:numId="13" w16cid:durableId="940261977">
    <w:abstractNumId w:val="15"/>
  </w:num>
  <w:num w:numId="14" w16cid:durableId="307981068">
    <w:abstractNumId w:val="13"/>
  </w:num>
  <w:num w:numId="15" w16cid:durableId="105080550">
    <w:abstractNumId w:val="14"/>
  </w:num>
  <w:num w:numId="16" w16cid:durableId="1557931656">
    <w:abstractNumId w:val="18"/>
  </w:num>
  <w:num w:numId="17" w16cid:durableId="1719091050">
    <w:abstractNumId w:val="20"/>
  </w:num>
  <w:num w:numId="18" w16cid:durableId="386926730">
    <w:abstractNumId w:val="17"/>
  </w:num>
  <w:num w:numId="19" w16cid:durableId="1253202409">
    <w:abstractNumId w:val="10"/>
  </w:num>
  <w:num w:numId="20" w16cid:durableId="1685399023">
    <w:abstractNumId w:val="11"/>
  </w:num>
  <w:num w:numId="21" w16cid:durableId="21178266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3BB6"/>
    <w:rsid w:val="001B42DD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536F"/>
    <w:rsid w:val="002056E6"/>
    <w:rsid w:val="00205967"/>
    <w:rsid w:val="0020637E"/>
    <w:rsid w:val="002140B9"/>
    <w:rsid w:val="002203A6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48B6"/>
    <w:rsid w:val="003F5FFA"/>
    <w:rsid w:val="003F6637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60F7"/>
    <w:rsid w:val="00416834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585A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A21C3"/>
    <w:rsid w:val="005A358A"/>
    <w:rsid w:val="005A3F19"/>
    <w:rsid w:val="005A4518"/>
    <w:rsid w:val="005A5A79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1BF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21815"/>
    <w:rsid w:val="0062185B"/>
    <w:rsid w:val="0062267C"/>
    <w:rsid w:val="00623463"/>
    <w:rsid w:val="006237EA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17E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0ADF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6162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71F1"/>
    <w:rsid w:val="007D0055"/>
    <w:rsid w:val="007D039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10EF2"/>
    <w:rsid w:val="00811199"/>
    <w:rsid w:val="00811DC7"/>
    <w:rsid w:val="00813F77"/>
    <w:rsid w:val="008224E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4CEB"/>
    <w:rsid w:val="00845E70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3AAE"/>
    <w:rsid w:val="009F503F"/>
    <w:rsid w:val="009F58F2"/>
    <w:rsid w:val="00A01078"/>
    <w:rsid w:val="00A01C47"/>
    <w:rsid w:val="00A01C84"/>
    <w:rsid w:val="00A03D81"/>
    <w:rsid w:val="00A0606D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96925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36C5"/>
    <w:rsid w:val="00B361A5"/>
    <w:rsid w:val="00B36519"/>
    <w:rsid w:val="00B3699D"/>
    <w:rsid w:val="00B36A8A"/>
    <w:rsid w:val="00B4103C"/>
    <w:rsid w:val="00B43970"/>
    <w:rsid w:val="00B45FAB"/>
    <w:rsid w:val="00B50A9A"/>
    <w:rsid w:val="00B52C0E"/>
    <w:rsid w:val="00B5331C"/>
    <w:rsid w:val="00B54622"/>
    <w:rsid w:val="00B549B6"/>
    <w:rsid w:val="00B572C8"/>
    <w:rsid w:val="00B62F06"/>
    <w:rsid w:val="00B632EF"/>
    <w:rsid w:val="00B64085"/>
    <w:rsid w:val="00B70838"/>
    <w:rsid w:val="00B746AB"/>
    <w:rsid w:val="00B74C9B"/>
    <w:rsid w:val="00B75951"/>
    <w:rsid w:val="00B759B6"/>
    <w:rsid w:val="00B80863"/>
    <w:rsid w:val="00B80C36"/>
    <w:rsid w:val="00B82C7E"/>
    <w:rsid w:val="00B83AE6"/>
    <w:rsid w:val="00B83E4D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66F67"/>
    <w:rsid w:val="00C7117F"/>
    <w:rsid w:val="00C71781"/>
    <w:rsid w:val="00C7202F"/>
    <w:rsid w:val="00C73020"/>
    <w:rsid w:val="00C74500"/>
    <w:rsid w:val="00C74B58"/>
    <w:rsid w:val="00C74BE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6D0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4367"/>
    <w:rsid w:val="00F04618"/>
    <w:rsid w:val="00F04D02"/>
    <w:rsid w:val="00F11A7E"/>
    <w:rsid w:val="00F123F2"/>
    <w:rsid w:val="00F1590C"/>
    <w:rsid w:val="00F16B95"/>
    <w:rsid w:val="00F2021D"/>
    <w:rsid w:val="00F227E8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77B8F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1D7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6FDD1A"/>
  <w14:defaultImageDpi w14:val="300"/>
  <w15:chartTrackingRefBased/>
  <w15:docId w15:val="{1FCCE845-05CA-694A-B4A2-EFF4A5AD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C57"/>
    <w:pPr>
      <w:spacing w:after="24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9F58F2"/>
    <w:pPr>
      <w:snapToGrid w:val="0"/>
      <w:spacing w:before="240" w:after="360"/>
      <w:outlineLvl w:val="0"/>
    </w:pPr>
    <w:rPr>
      <w:rFonts w:cs="Arial"/>
      <w:b/>
      <w:bCs/>
      <w:color w:val="055772"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qFormat/>
    <w:rsid w:val="009F58F2"/>
    <w:pPr>
      <w:spacing w:before="240" w:after="60"/>
      <w:outlineLvl w:val="1"/>
    </w:pPr>
    <w:rPr>
      <w:rFonts w:ascii="Arial Bold" w:hAnsi="Arial Bold" w:cs="Arial"/>
      <w:b/>
      <w:bCs/>
      <w:iCs/>
      <w:color w:val="F89A44"/>
      <w:sz w:val="30"/>
      <w:szCs w:val="30"/>
    </w:rPr>
  </w:style>
  <w:style w:type="paragraph" w:styleId="Heading3">
    <w:name w:val="heading 3"/>
    <w:basedOn w:val="Normal"/>
    <w:next w:val="Normal"/>
    <w:qFormat/>
    <w:rsid w:val="009F58F2"/>
    <w:pPr>
      <w:spacing w:before="160" w:after="60"/>
      <w:outlineLvl w:val="2"/>
    </w:pPr>
    <w:rPr>
      <w:rFonts w:cs="Arial"/>
      <w:b/>
      <w:bCs/>
      <w:color w:val="055772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F58F2"/>
    <w:pPr>
      <w:keepNext/>
      <w:keepLines/>
      <w:spacing w:before="120" w:after="60"/>
      <w:outlineLvl w:val="3"/>
    </w:pPr>
    <w:rPr>
      <w:rFonts w:eastAsiaTheme="majorEastAsia" w:cs="Arial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14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1459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rsid w:val="009F58F2"/>
    <w:rPr>
      <w:rFonts w:ascii="Arial" w:eastAsiaTheme="majorEastAsia" w:hAnsi="Arial" w:cs="Arial"/>
      <w:b/>
      <w:iCs/>
      <w:color w:val="000000" w:themeColor="text1"/>
      <w:sz w:val="22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B336C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B336C5"/>
    <w:rPr>
      <w:rFonts w:ascii="Arial Bold" w:hAnsi="Arial Bold" w:cs="Arial"/>
      <w:b/>
      <w:bCs/>
      <w:iCs/>
      <w:color w:val="F89A44"/>
      <w:sz w:val="30"/>
      <w:szCs w:val="30"/>
      <w:lang w:eastAsia="en-AU"/>
    </w:rPr>
  </w:style>
  <w:style w:type="character" w:styleId="Hyperlink">
    <w:name w:val="Hyperlink"/>
    <w:basedOn w:val="DefaultParagraphFont"/>
    <w:rsid w:val="00B336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cyjma.qld.gov.au/resources/dcsyw/youth-justice/reform/new-services-support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cyjma.qld.gov.au/resources/dcsyw/youth-justice/reform/electronic-monitoring-trial.pdf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efc7fa-1a1d-4432-8b48-0661d01a2bf9" xsi:nil="true"/>
    <lcf76f155ced4ddcb4097134ff3c332f xmlns="c5cd0b95-ad48-469c-b60b-2c41487abb3e">
      <Terms xmlns="http://schemas.microsoft.com/office/infopath/2007/PartnerControls"/>
    </lcf76f155ced4ddcb4097134ff3c332f>
    <Actionlead xmlns="c5cd0b95-ad48-469c-b60b-2c41487abb3e" xsi:nil="true"/>
    <_dlc_DocId xmlns="dbefc7fa-1a1d-4432-8b48-0661d01a2bf9">NER3HZ3QZUNC-1648413401-222805</_dlc_DocId>
    <_dlc_DocIdUrl xmlns="dbefc7fa-1a1d-4432-8b48-0661d01a2bf9">
      <Url>https://dsitiaqld.sharepoint.com/sites/DESBT/engagement/customer-experience/communications/_layouts/15/DocIdRedir.aspx?ID=NER3HZ3QZUNC-1648413401-222805</Url>
      <Description>NER3HZ3QZUNC-1648413401-222805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F2431AAD9DA4EA0AF530A4AAA6A2E" ma:contentTypeVersion="276" ma:contentTypeDescription="Create a new document." ma:contentTypeScope="" ma:versionID="7800e5df172010b8728c698f859d692b">
  <xsd:schema xmlns:xsd="http://www.w3.org/2001/XMLSchema" xmlns:xs="http://www.w3.org/2001/XMLSchema" xmlns:p="http://schemas.microsoft.com/office/2006/metadata/properties" xmlns:ns2="dbefc7fa-1a1d-4432-8b48-0661d01a2bf9" xmlns:ns3="c5cd0b95-ad48-469c-b60b-2c41487abb3e" xmlns:ns4="6fbbf639-a96b-4cb5-b890-7fc984a8433e" targetNamespace="http://schemas.microsoft.com/office/2006/metadata/properties" ma:root="true" ma:fieldsID="e7157cc54be51ffaa7950c4f98be0495" ns2:_="" ns3:_="" ns4:_="">
    <xsd:import namespace="dbefc7fa-1a1d-4432-8b48-0661d01a2bf9"/>
    <xsd:import namespace="c5cd0b95-ad48-469c-b60b-2c41487abb3e"/>
    <xsd:import namespace="6fbbf639-a96b-4cb5-b890-7fc984a843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Actionlea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d0b95-ad48-469c-b60b-2c41487ab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ctionlead" ma:index="27" nillable="true" ma:displayName="Action lead" ma:format="Dropdown" ma:internalName="Actionlead">
      <xsd:simpleType>
        <xsd:restriction base="dms:Choice">
          <xsd:enumeration value="DESBT Investment"/>
          <xsd:enumeration value="DESBT Strategy"/>
          <xsd:enumeration value="DESBT Engagement"/>
          <xsd:enumeration value="JQ"/>
          <xsd:enumeration value="DoR"/>
          <xsd:enumeration value="DSDSATSIP"/>
          <xsd:enumeration value="QPSC"/>
          <xsd:enumeration value="DoE"/>
          <xsd:enumeration value="DCYJMA"/>
          <xsd:enumeration value="DAF"/>
          <xsd:enumeration value="QWS team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bf639-a96b-4cb5-b890-7fc984a84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02C5-FF20-483F-945A-D4C9A257AC0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6fbbf639-a96b-4cb5-b890-7fc984a8433e"/>
    <ds:schemaRef ds:uri="c5cd0b95-ad48-469c-b60b-2c41487abb3e"/>
    <ds:schemaRef ds:uri="dbefc7fa-1a1d-4432-8b48-0661d01a2bf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90EA086-3FCE-4EAD-9735-FC8E479D0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c5cd0b95-ad48-469c-b60b-2c41487abb3e"/>
    <ds:schemaRef ds:uri="6fbbf639-a96b-4cb5-b890-7fc984a84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936337-0DA6-4EF4-9CA3-00B265EEFFD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DAB30C0-341D-4F25-A1BF-CA6BA92141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873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DCCSDS Fact Sheet portrait A4 blue</vt:lpstr>
    </vt:vector>
  </TitlesOfParts>
  <Manager>Department of Communities, Child Safety and Disability Services</Manager>
  <Company>Queensland Government</Company>
  <LinksUpToDate>false</LinksUpToDate>
  <CharactersWithSpaces>5762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DCCSDS Fact Sheet portrait A4 blue</dc:title>
  <dc:subject>online templates</dc:subject>
  <dc:creator>Communications Services</dc:creator>
  <cp:keywords>fact sheet, template, A4, portrait, blue, 2 columns</cp:keywords>
  <dc:description/>
  <cp:lastModifiedBy>Katharine Tilston</cp:lastModifiedBy>
  <cp:revision>2</cp:revision>
  <dcterms:created xsi:type="dcterms:W3CDTF">2024-05-17T06:08:00Z</dcterms:created>
  <dcterms:modified xsi:type="dcterms:W3CDTF">2024-05-17T06:08:00Z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0x010100843F2431AAD9DA4EA0AF530A4AAA6A2E</vt:lpwstr>
  </property>
  <property fmtid="{D5CDD505-2E9C-101B-9397-08002B2CF9AE}" pid="3" name="_dlc_DocIdItemGuid">
    <vt:lpwstr>a740f3ce-887c-4a41-a979-071b9eb806f8</vt:lpwstr>
  </property>
</Properties>
</file>