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8250" w14:textId="4FBBE269" w:rsidR="00AC6AA8" w:rsidRPr="00AC6AA8" w:rsidRDefault="00AC6AA8" w:rsidP="00AC6AA8">
      <w:pPr>
        <w:pStyle w:val="Heading3"/>
        <w:spacing w:before="0" w:after="120"/>
        <w:rPr>
          <w:i/>
          <w:iCs/>
        </w:rPr>
      </w:pPr>
      <w:r w:rsidRPr="00AC6AA8">
        <w:rPr>
          <w:i/>
          <w:iCs/>
        </w:rPr>
        <w:t>Making Queensland Safer Act 2024</w:t>
      </w:r>
    </w:p>
    <w:p w14:paraId="3AA696E4" w14:textId="606A8AF8" w:rsidR="00D136D0" w:rsidRDefault="00AC6AA8" w:rsidP="00AC6AA8">
      <w:pPr>
        <w:pStyle w:val="Heading2"/>
        <w:spacing w:before="0" w:after="0"/>
        <w:sectPr w:rsidR="00D136D0" w:rsidSect="00776162">
          <w:headerReference w:type="default" r:id="rId11"/>
          <w:footerReference w:type="default" r:id="rId12"/>
          <w:pgSz w:w="11906" w:h="16838"/>
          <w:pgMar w:top="2268" w:right="1134" w:bottom="1701" w:left="1134" w:header="709" w:footer="1474" w:gutter="0"/>
          <w:cols w:space="709"/>
          <w:docGrid w:linePitch="360"/>
        </w:sectPr>
      </w:pPr>
      <w:r w:rsidRPr="00AC6AA8">
        <w:rPr>
          <w:rFonts w:ascii="Arial" w:hAnsi="Arial"/>
          <w:iCs w:val="0"/>
          <w:color w:val="055772"/>
          <w:kern w:val="32"/>
          <w:sz w:val="48"/>
          <w:szCs w:val="32"/>
        </w:rPr>
        <w:t>Custody of persons aged 18 or over being dealt with for child offences</w:t>
      </w:r>
    </w:p>
    <w:p w14:paraId="0AA07A23" w14:textId="77777777" w:rsidR="00AC6AA8" w:rsidRPr="00AC6AA8" w:rsidRDefault="00AC6AA8" w:rsidP="00AC6AA8">
      <w:pPr>
        <w:pStyle w:val="Heading3"/>
      </w:pPr>
      <w:r w:rsidRPr="00AC6AA8">
        <w:t>Fact sheet for legal representatives</w:t>
      </w:r>
    </w:p>
    <w:p w14:paraId="37AC09A5" w14:textId="77777777" w:rsidR="00AC6AA8" w:rsidRPr="00AC6AA8" w:rsidRDefault="00AC6AA8" w:rsidP="00AC6AA8">
      <w:pPr>
        <w:spacing w:before="120" w:after="0"/>
        <w:rPr>
          <w:rFonts w:eastAsiaTheme="majorEastAsia" w:cs="Arial"/>
          <w:bCs/>
          <w:iCs/>
          <w:color w:val="000000" w:themeColor="text1"/>
        </w:rPr>
      </w:pPr>
      <w:r w:rsidRPr="00AC6AA8">
        <w:rPr>
          <w:rFonts w:eastAsiaTheme="majorEastAsia" w:cs="Arial"/>
          <w:bCs/>
          <w:iCs/>
          <w:color w:val="000000" w:themeColor="text1"/>
        </w:rPr>
        <w:t xml:space="preserve">Section references are to the </w:t>
      </w:r>
      <w:r w:rsidRPr="00AC6AA8">
        <w:rPr>
          <w:rFonts w:eastAsiaTheme="majorEastAsia" w:cs="Arial"/>
          <w:bCs/>
          <w:i/>
          <w:color w:val="000000" w:themeColor="text1"/>
        </w:rPr>
        <w:t>Youth Justice Act 1992</w:t>
      </w:r>
      <w:r w:rsidRPr="00AC6AA8">
        <w:rPr>
          <w:rFonts w:eastAsiaTheme="majorEastAsia" w:cs="Arial"/>
          <w:bCs/>
          <w:iCs/>
          <w:color w:val="000000" w:themeColor="text1"/>
        </w:rPr>
        <w:t xml:space="preserve"> unless otherwise indicated.</w:t>
      </w:r>
    </w:p>
    <w:p w14:paraId="68FB1783" w14:textId="107484DC" w:rsidR="00AC6AA8" w:rsidRPr="00AC6AA8" w:rsidRDefault="00AC6AA8" w:rsidP="00AC6AA8">
      <w:pPr>
        <w:spacing w:before="120" w:after="0"/>
        <w:rPr>
          <w:rFonts w:eastAsiaTheme="majorEastAsia" w:cs="Arial"/>
          <w:bCs/>
          <w:iCs/>
          <w:color w:val="000000" w:themeColor="text1"/>
        </w:rPr>
      </w:pPr>
      <w:r w:rsidRPr="00AC6AA8">
        <w:rPr>
          <w:rFonts w:eastAsiaTheme="majorEastAsia" w:cs="Arial"/>
          <w:bCs/>
          <w:iCs/>
          <w:color w:val="000000" w:themeColor="text1"/>
        </w:rPr>
        <w:t xml:space="preserve">CAUTION: Hyperlinks to </w:t>
      </w:r>
      <w:r w:rsidRPr="009B3D01">
        <w:rPr>
          <w:rFonts w:eastAsiaTheme="majorEastAsia" w:cs="Arial"/>
          <w:bCs/>
          <w:iCs/>
          <w:color w:val="000000" w:themeColor="text1"/>
          <w:u w:val="single"/>
        </w:rPr>
        <w:t>former</w:t>
      </w:r>
      <w:r w:rsidRPr="00AC6AA8">
        <w:rPr>
          <w:rFonts w:eastAsiaTheme="majorEastAsia" w:cs="Arial"/>
          <w:bCs/>
          <w:iCs/>
          <w:color w:val="000000" w:themeColor="text1"/>
        </w:rPr>
        <w:t xml:space="preserve"> provisions are to an </w:t>
      </w:r>
      <w:r w:rsidRPr="009B3D01">
        <w:rPr>
          <w:rFonts w:eastAsiaTheme="majorEastAsia" w:cs="Arial"/>
          <w:bCs/>
          <w:iCs/>
          <w:color w:val="000000" w:themeColor="text1"/>
          <w:u w:val="single"/>
        </w:rPr>
        <w:t>expired</w:t>
      </w:r>
      <w:r w:rsidRPr="00AC6AA8">
        <w:rPr>
          <w:rFonts w:eastAsiaTheme="majorEastAsia" w:cs="Arial"/>
          <w:bCs/>
          <w:iCs/>
          <w:color w:val="000000" w:themeColor="text1"/>
        </w:rPr>
        <w:t xml:space="preserve"> version of the Act</w:t>
      </w:r>
      <w:r w:rsidR="009B3D01">
        <w:rPr>
          <w:rFonts w:eastAsiaTheme="majorEastAsia" w:cs="Arial"/>
          <w:bCs/>
          <w:iCs/>
          <w:color w:val="000000" w:themeColor="text1"/>
        </w:rPr>
        <w:t>.</w:t>
      </w:r>
    </w:p>
    <w:p w14:paraId="429BD9F9" w14:textId="77777777" w:rsidR="00AC6AA8" w:rsidRDefault="00AC6AA8" w:rsidP="00AC6AA8">
      <w:pPr>
        <w:spacing w:after="0"/>
        <w:rPr>
          <w:rFonts w:eastAsiaTheme="majorEastAsia" w:cs="Arial"/>
          <w:b/>
          <w:iCs/>
          <w:color w:val="000000" w:themeColor="text1"/>
        </w:rPr>
      </w:pPr>
    </w:p>
    <w:p w14:paraId="1E81C688" w14:textId="77777777" w:rsidR="00AC6AA8" w:rsidRDefault="00AC6AA8" w:rsidP="00634C9C">
      <w:pPr>
        <w:pStyle w:val="Heading2"/>
        <w:spacing w:after="120"/>
      </w:pPr>
      <w:r>
        <w:t>Glossary</w:t>
      </w:r>
    </w:p>
    <w:p w14:paraId="69C61DDC" w14:textId="77777777" w:rsidR="00AC6AA8" w:rsidRDefault="00AC6AA8" w:rsidP="009777DA">
      <w:pPr>
        <w:spacing w:after="120"/>
      </w:pPr>
      <w:r>
        <w:t>DYJVS means the Department of Youth Justice and Victim Support.</w:t>
      </w:r>
    </w:p>
    <w:p w14:paraId="73AA13F6" w14:textId="77777777" w:rsidR="00AC6AA8" w:rsidRDefault="00AC6AA8" w:rsidP="009777DA">
      <w:pPr>
        <w:spacing w:after="120"/>
      </w:pPr>
      <w:r>
        <w:t>Chief Executive means the Director-General of DYJVS.</w:t>
      </w:r>
    </w:p>
    <w:p w14:paraId="5ECCCC49" w14:textId="77777777" w:rsidR="00AC6AA8" w:rsidRPr="005D68E4" w:rsidRDefault="00AC6AA8" w:rsidP="009777DA">
      <w:pPr>
        <w:spacing w:after="120"/>
      </w:pPr>
      <w:r>
        <w:t xml:space="preserve">CS Act means the </w:t>
      </w:r>
      <w:hyperlink r:id="rId13" w:history="1">
        <w:r w:rsidRPr="003D541F">
          <w:rPr>
            <w:rStyle w:val="Hyperlink"/>
            <w:i/>
            <w:iCs/>
          </w:rPr>
          <w:t>Corrective Services Act 2006</w:t>
        </w:r>
      </w:hyperlink>
      <w:r>
        <w:t>.</w:t>
      </w:r>
    </w:p>
    <w:p w14:paraId="530307FC" w14:textId="77777777" w:rsidR="00AC6AA8" w:rsidRPr="005D68E4" w:rsidRDefault="00AC6AA8" w:rsidP="009777DA">
      <w:pPr>
        <w:spacing w:after="120"/>
      </w:pPr>
      <w:r>
        <w:t>MQS</w:t>
      </w:r>
      <w:r w:rsidRPr="005D68E4">
        <w:t xml:space="preserve"> Act means the </w:t>
      </w:r>
      <w:hyperlink r:id="rId14" w:history="1">
        <w:r w:rsidRPr="003D541F">
          <w:rPr>
            <w:rStyle w:val="Hyperlink"/>
            <w:i/>
            <w:iCs/>
          </w:rPr>
          <w:t>Making Queensland Safer Act 2024</w:t>
        </w:r>
      </w:hyperlink>
      <w:r w:rsidRPr="005D68E4">
        <w:t>.</w:t>
      </w:r>
    </w:p>
    <w:p w14:paraId="252C8F0C" w14:textId="6C6A5992" w:rsidR="00AC6AA8" w:rsidRPr="005D68E4" w:rsidRDefault="00AC6AA8" w:rsidP="009777DA">
      <w:pPr>
        <w:spacing w:after="120"/>
      </w:pPr>
      <w:r>
        <w:t xml:space="preserve">YJ Act means the </w:t>
      </w:r>
      <w:hyperlink r:id="rId15" w:history="1">
        <w:r w:rsidRPr="003D541F">
          <w:rPr>
            <w:rStyle w:val="Hyperlink"/>
            <w:i/>
            <w:iCs/>
          </w:rPr>
          <w:t>Youth Justice Act 1992</w:t>
        </w:r>
      </w:hyperlink>
      <w:r>
        <w:t>.</w:t>
      </w:r>
    </w:p>
    <w:p w14:paraId="3978960D" w14:textId="77777777" w:rsidR="00AC6AA8" w:rsidRPr="00A71675" w:rsidRDefault="00AC6AA8" w:rsidP="00634C9C">
      <w:pPr>
        <w:pStyle w:val="Heading2"/>
        <w:spacing w:before="480" w:after="120"/>
      </w:pPr>
      <w:r w:rsidRPr="00A71675">
        <w:t>Background</w:t>
      </w:r>
    </w:p>
    <w:p w14:paraId="41EF0C17" w14:textId="77777777" w:rsidR="009B3D01" w:rsidRDefault="009B3D01" w:rsidP="009B3D01">
      <w:pPr>
        <w:rPr>
          <w:rFonts w:cstheme="minorHAnsi"/>
        </w:rPr>
      </w:pPr>
      <w:r w:rsidRPr="00910AEE">
        <w:rPr>
          <w:rFonts w:cstheme="minorHAnsi"/>
        </w:rPr>
        <w:t xml:space="preserve">The MQS Act </w:t>
      </w:r>
      <w:r>
        <w:rPr>
          <w:rFonts w:cstheme="minorHAnsi"/>
        </w:rPr>
        <w:t>ma</w:t>
      </w:r>
      <w:r w:rsidRPr="00910AEE">
        <w:rPr>
          <w:rFonts w:cstheme="minorHAnsi"/>
        </w:rPr>
        <w:t>de</w:t>
      </w:r>
      <w:r w:rsidRPr="00794603">
        <w:rPr>
          <w:rFonts w:cstheme="minorHAnsi"/>
        </w:rPr>
        <w:t xml:space="preserve"> amendments to the YJ Act</w:t>
      </w:r>
      <w:r>
        <w:rPr>
          <w:rFonts w:cstheme="minorHAnsi"/>
        </w:rPr>
        <w:t xml:space="preserve"> to establish new arrangements for the c</w:t>
      </w:r>
      <w:r w:rsidRPr="00A72D09">
        <w:rPr>
          <w:rFonts w:cstheme="minorHAnsi"/>
        </w:rPr>
        <w:t xml:space="preserve">ustody of persons aged 18 or over </w:t>
      </w:r>
      <w:r>
        <w:rPr>
          <w:rFonts w:cstheme="minorHAnsi"/>
        </w:rPr>
        <w:t>who are remanded in custody or sentenced to detention</w:t>
      </w:r>
      <w:r w:rsidRPr="00A72D09">
        <w:rPr>
          <w:rFonts w:cstheme="minorHAnsi"/>
        </w:rPr>
        <w:t xml:space="preserve"> for child offences</w:t>
      </w:r>
      <w:r>
        <w:rPr>
          <w:rFonts w:cstheme="minorHAnsi"/>
        </w:rPr>
        <w:t xml:space="preserve">. These provisions commenced on assent on 13 December 2024. </w:t>
      </w:r>
    </w:p>
    <w:p w14:paraId="0AAFAA5F" w14:textId="77777777" w:rsidR="009B3D01" w:rsidRDefault="009B3D01" w:rsidP="009B3D01">
      <w:pPr>
        <w:rPr>
          <w:rFonts w:cstheme="minorHAnsi"/>
        </w:rPr>
      </w:pPr>
      <w:r>
        <w:rPr>
          <w:rFonts w:cstheme="minorHAnsi"/>
        </w:rPr>
        <w:t>This fact sheet describes the new arrangements.</w:t>
      </w:r>
    </w:p>
    <w:p w14:paraId="1027B417" w14:textId="77777777" w:rsidR="009B3D01" w:rsidRDefault="009B3D01" w:rsidP="009B3D01">
      <w:pPr>
        <w:rPr>
          <w:rFonts w:cstheme="minorHAnsi"/>
        </w:rPr>
      </w:pPr>
      <w:r>
        <w:rPr>
          <w:rFonts w:cstheme="minorHAnsi"/>
        </w:rPr>
        <w:t>These provisions relate only to where the person is held in custody. There have been no changes to jurisdiction or procedure.</w:t>
      </w:r>
    </w:p>
    <w:p w14:paraId="55664326" w14:textId="77777777" w:rsidR="00AC6AA8" w:rsidRDefault="00AC6AA8" w:rsidP="00634C9C">
      <w:pPr>
        <w:pStyle w:val="Heading2"/>
        <w:spacing w:before="480" w:after="120"/>
      </w:pPr>
      <w:r>
        <w:t>Where a person over 18 is to be detained on remand</w:t>
      </w:r>
    </w:p>
    <w:p w14:paraId="4361FCD4" w14:textId="77777777" w:rsidR="009B3D01" w:rsidRPr="009B3D01" w:rsidRDefault="009B3D01" w:rsidP="009B3D01">
      <w:pPr>
        <w:rPr>
          <w:rFonts w:cs="Arial"/>
        </w:rPr>
      </w:pPr>
      <w:r>
        <w:t>S.</w:t>
      </w:r>
      <w:r w:rsidRPr="009B3D01">
        <w:rPr>
          <w:rFonts w:cs="Arial"/>
        </w:rPr>
        <w:t xml:space="preserve">135 sets out </w:t>
      </w:r>
      <w:proofErr w:type="gramStart"/>
      <w:r w:rsidRPr="009B3D01">
        <w:rPr>
          <w:rFonts w:cs="Arial"/>
        </w:rPr>
        <w:t>a number of</w:t>
      </w:r>
      <w:proofErr w:type="gramEnd"/>
      <w:r w:rsidRPr="009B3D01">
        <w:rPr>
          <w:rFonts w:cs="Arial"/>
        </w:rPr>
        <w:t xml:space="preserve"> remand scenarios in which a person aged 18 or over and in custody for a child offence is to be held in a corrective services facility, rather than a youth detention centre: </w:t>
      </w:r>
    </w:p>
    <w:p w14:paraId="212D2F21" w14:textId="6119AB4F" w:rsidR="009B3D01" w:rsidRPr="009B3D01" w:rsidRDefault="009B3D01" w:rsidP="009B3D01">
      <w:pPr>
        <w:pStyle w:val="ListParagraph"/>
        <w:numPr>
          <w:ilvl w:val="0"/>
          <w:numId w:val="12"/>
        </w:numPr>
        <w:ind w:left="714" w:hanging="357"/>
        <w:contextualSpacing w:val="0"/>
        <w:rPr>
          <w:rFonts w:ascii="Arial" w:hAnsi="Arial" w:cs="Arial"/>
        </w:rPr>
      </w:pPr>
      <w:r w:rsidRPr="009B3D01">
        <w:rPr>
          <w:rFonts w:ascii="Arial" w:hAnsi="Arial" w:cs="Arial"/>
        </w:rPr>
        <w:t xml:space="preserve">the person is already in youth detention, but is remanded in custody on an adult </w:t>
      </w:r>
      <w:proofErr w:type="gramStart"/>
      <w:r w:rsidRPr="009B3D01">
        <w:rPr>
          <w:rFonts w:ascii="Arial" w:hAnsi="Arial" w:cs="Arial"/>
        </w:rPr>
        <w:t>offence</w:t>
      </w:r>
      <w:proofErr w:type="gramEnd"/>
    </w:p>
    <w:p w14:paraId="5D75BDDB" w14:textId="30CDE92A" w:rsidR="009B3D01" w:rsidRPr="009B3D01" w:rsidRDefault="009B3D01" w:rsidP="009B3D01">
      <w:pPr>
        <w:pStyle w:val="ListParagraph"/>
        <w:numPr>
          <w:ilvl w:val="0"/>
          <w:numId w:val="12"/>
        </w:numPr>
        <w:ind w:left="714" w:hanging="357"/>
        <w:contextualSpacing w:val="0"/>
        <w:rPr>
          <w:rFonts w:ascii="Arial" w:hAnsi="Arial" w:cs="Arial"/>
        </w:rPr>
      </w:pPr>
      <w:r w:rsidRPr="009B3D01">
        <w:rPr>
          <w:rFonts w:ascii="Arial" w:hAnsi="Arial" w:cs="Arial"/>
        </w:rPr>
        <w:t xml:space="preserve">the person is not already in youth detention, and is remanded in custody on a child offence, or on child and adult </w:t>
      </w:r>
      <w:proofErr w:type="gramStart"/>
      <w:r w:rsidRPr="009B3D01">
        <w:rPr>
          <w:rFonts w:ascii="Arial" w:hAnsi="Arial" w:cs="Arial"/>
        </w:rPr>
        <w:t>offences</w:t>
      </w:r>
      <w:proofErr w:type="gramEnd"/>
    </w:p>
    <w:p w14:paraId="09017598" w14:textId="6676C693" w:rsidR="009B3D01" w:rsidRPr="009B3D01" w:rsidRDefault="009B3D01" w:rsidP="009B3D01">
      <w:pPr>
        <w:pStyle w:val="ListParagraph"/>
        <w:numPr>
          <w:ilvl w:val="0"/>
          <w:numId w:val="12"/>
        </w:numPr>
        <w:ind w:left="714" w:hanging="357"/>
        <w:contextualSpacing w:val="0"/>
        <w:rPr>
          <w:rFonts w:ascii="Arial" w:hAnsi="Arial" w:cs="Arial"/>
        </w:rPr>
      </w:pPr>
      <w:r w:rsidRPr="009B3D01">
        <w:rPr>
          <w:rFonts w:ascii="Arial" w:hAnsi="Arial" w:cs="Arial"/>
        </w:rPr>
        <w:t xml:space="preserve">the person is already in adult custody and is remanded in custody on a child offence. </w:t>
      </w:r>
    </w:p>
    <w:p w14:paraId="18090570" w14:textId="03073EA5" w:rsidR="009B3D01" w:rsidRDefault="009B3D01" w:rsidP="009B3D01">
      <w:r w:rsidRPr="009B3D01">
        <w:rPr>
          <w:rFonts w:cs="Arial"/>
        </w:rPr>
        <w:t>There is one exception</w:t>
      </w:r>
      <w:r>
        <w:rPr>
          <w:rFonts w:cs="Arial"/>
        </w:rPr>
        <w:t>—</w:t>
      </w:r>
      <w:r w:rsidRPr="009B3D01">
        <w:rPr>
          <w:rFonts w:cs="Arial"/>
        </w:rPr>
        <w:t>where</w:t>
      </w:r>
      <w:r w:rsidRPr="008B4D63">
        <w:t xml:space="preserve"> the Chief Executive has directed, under s.276D, that the person be held in a youth detention centre</w:t>
      </w:r>
      <w:r>
        <w:t>. This can only have occurred under scenario (a)</w:t>
      </w:r>
      <w:r w:rsidRPr="00772C3A">
        <w:t xml:space="preserve"> </w:t>
      </w:r>
      <w:r>
        <w:t xml:space="preserve">because </w:t>
      </w:r>
      <w:r w:rsidRPr="00772C3A">
        <w:t xml:space="preserve">s.276D </w:t>
      </w:r>
      <w:r w:rsidRPr="00772C3A">
        <w:lastRenderedPageBreak/>
        <w:t>only applies in relation to a person already being held in a detention centre (s.276D(1)</w:t>
      </w:r>
      <w:r>
        <w:t xml:space="preserve"> &amp;</w:t>
      </w:r>
      <w:r w:rsidRPr="00772C3A">
        <w:t xml:space="preserve"> s.276C(1)). Such a direction could therefore not be in effect </w:t>
      </w:r>
      <w:r w:rsidRPr="001F08EC">
        <w:t xml:space="preserve">under scenario </w:t>
      </w:r>
      <w:r w:rsidRPr="00772C3A">
        <w:t>(b)</w:t>
      </w:r>
      <w:r>
        <w:t xml:space="preserve"> or (c)</w:t>
      </w:r>
      <w:r w:rsidRPr="00772C3A">
        <w:t>.</w:t>
      </w:r>
    </w:p>
    <w:p w14:paraId="2D225C86" w14:textId="77777777" w:rsidR="009B3D01" w:rsidRDefault="009B3D01" w:rsidP="009B3D01">
      <w:r w:rsidRPr="00772C3A">
        <w:t>DYJVS staff will be able to advise</w:t>
      </w:r>
      <w:r>
        <w:t xml:space="preserve"> whether a s.276D direction is in effect.</w:t>
      </w:r>
    </w:p>
    <w:p w14:paraId="1A445B6C" w14:textId="77777777" w:rsidR="009B3D01" w:rsidRDefault="009B3D01" w:rsidP="009B3D01">
      <w:r>
        <w:t xml:space="preserve">If a </w:t>
      </w:r>
      <w:r w:rsidRPr="00772C3A">
        <w:t xml:space="preserve">s.276D direction is in effect </w:t>
      </w:r>
      <w:r>
        <w:t xml:space="preserve">and the person is sentenced to imprisonment for the adult offence, they serve the imprisonment in a youth detention centre (s.135(3) to (5)). </w:t>
      </w:r>
    </w:p>
    <w:p w14:paraId="4B73F070" w14:textId="77777777" w:rsidR="009B3D01" w:rsidRDefault="009B3D01" w:rsidP="009B3D01">
      <w:r>
        <w:t xml:space="preserve">If a person described in scenario (b) or (c) is sentenced to detention for the child offence, they serve the detention in adult custody </w:t>
      </w:r>
      <w:r w:rsidRPr="00772C3A">
        <w:t>(s.135(</w:t>
      </w:r>
      <w:r>
        <w:t>6</w:t>
      </w:r>
      <w:r w:rsidRPr="00772C3A">
        <w:t xml:space="preserve">) </w:t>
      </w:r>
      <w:r>
        <w:t>&amp;</w:t>
      </w:r>
      <w:r w:rsidRPr="00772C3A">
        <w:t xml:space="preserve"> (</w:t>
      </w:r>
      <w:r>
        <w:t>7</w:t>
      </w:r>
      <w:r w:rsidRPr="00772C3A">
        <w:t>))</w:t>
      </w:r>
      <w:r>
        <w:t xml:space="preserve">. </w:t>
      </w:r>
    </w:p>
    <w:p w14:paraId="39DBC6FD" w14:textId="77777777" w:rsidR="009B3D01" w:rsidRDefault="009B3D01" w:rsidP="009B3D01">
      <w:r>
        <w:t>A</w:t>
      </w:r>
      <w:r w:rsidRPr="00A57BF5">
        <w:t xml:space="preserve"> detainee </w:t>
      </w:r>
      <w:r>
        <w:t xml:space="preserve">in adult custody because of the operation of s.135 </w:t>
      </w:r>
      <w:r w:rsidRPr="00A57BF5">
        <w:t>is taken to be a prisoner under the CS Act for the purpose of being held in a corrective services facility, and if sentenced</w:t>
      </w:r>
      <w:r>
        <w:t xml:space="preserve"> for a child offence</w:t>
      </w:r>
      <w:r w:rsidRPr="00A57BF5">
        <w:t>, they will be released on parole (treated as court ordered parole under the CS Act) on the day they would have been released on a supervised release order under s.227 (s.</w:t>
      </w:r>
      <w:r>
        <w:t>136</w:t>
      </w:r>
      <w:r w:rsidRPr="00A57BF5">
        <w:t>).</w:t>
      </w:r>
    </w:p>
    <w:p w14:paraId="3F6DAAA2" w14:textId="1CA4EDBE" w:rsidR="009B3D01" w:rsidRPr="00A57BF5" w:rsidRDefault="009B3D01" w:rsidP="009B3D01">
      <w:r>
        <w:t>A detainee who turns 18 in a youth detention centre will generally be transferred to adult custody within 30 days – see ‘</w:t>
      </w:r>
      <w:r w:rsidRPr="009F42B6">
        <w:t>Transfer of detainees from youth detention centres to adult custody</w:t>
      </w:r>
      <w:r>
        <w:t>’ below.</w:t>
      </w:r>
    </w:p>
    <w:p w14:paraId="76CA2ADC" w14:textId="77777777" w:rsidR="00AC6AA8" w:rsidRPr="009777DA" w:rsidRDefault="00AC6AA8" w:rsidP="009777DA">
      <w:pPr>
        <w:pStyle w:val="Heading3"/>
        <w:spacing w:before="240" w:after="120"/>
        <w:rPr>
          <w:sz w:val="22"/>
          <w:szCs w:val="22"/>
        </w:rPr>
      </w:pPr>
      <w:r w:rsidRPr="009777DA">
        <w:rPr>
          <w:sz w:val="22"/>
          <w:szCs w:val="22"/>
        </w:rPr>
        <w:t xml:space="preserve">Transitional arrangements </w:t>
      </w:r>
    </w:p>
    <w:p w14:paraId="27E1BFED" w14:textId="54DAE404" w:rsidR="00AC6AA8" w:rsidRDefault="00AC6AA8" w:rsidP="00AC6AA8">
      <w:r>
        <w:t xml:space="preserve">These provisions apply regardless of when the relevant offences were committed (s.430). </w:t>
      </w:r>
    </w:p>
    <w:p w14:paraId="1A8CBDDE" w14:textId="77777777" w:rsidR="00AC6AA8" w:rsidRDefault="00AC6AA8" w:rsidP="009777DA">
      <w:pPr>
        <w:pStyle w:val="Heading2"/>
        <w:spacing w:before="480" w:after="120"/>
      </w:pPr>
      <w:r w:rsidRPr="00F02B67">
        <w:t>Where a person over 18 is to be detained on</w:t>
      </w:r>
      <w:r>
        <w:t xml:space="preserve"> sentence </w:t>
      </w:r>
    </w:p>
    <w:p w14:paraId="5AF582AD" w14:textId="77777777" w:rsidR="009B3D01" w:rsidRPr="009B3D01" w:rsidRDefault="009B3D01" w:rsidP="009F42B6">
      <w:pPr>
        <w:spacing w:after="120"/>
        <w:rPr>
          <w:rFonts w:cs="Arial"/>
        </w:rPr>
      </w:pPr>
      <w:r>
        <w:t xml:space="preserve">A </w:t>
      </w:r>
      <w:r w:rsidRPr="009B3D01">
        <w:rPr>
          <w:rFonts w:cs="Arial"/>
        </w:rPr>
        <w:t>person will go directly to a corrective services facility if they are already 18 or over when they enter custody:</w:t>
      </w:r>
    </w:p>
    <w:p w14:paraId="17A30530" w14:textId="77777777" w:rsidR="009B3D01" w:rsidRPr="009F42B6" w:rsidRDefault="009B3D01" w:rsidP="009F42B6">
      <w:pPr>
        <w:pStyle w:val="ListParagraph"/>
        <w:numPr>
          <w:ilvl w:val="0"/>
          <w:numId w:val="11"/>
        </w:numPr>
        <w:spacing w:after="120"/>
        <w:ind w:left="567" w:hanging="357"/>
        <w:contextualSpacing w:val="0"/>
        <w:rPr>
          <w:rFonts w:ascii="Arial" w:hAnsi="Arial" w:cs="Arial"/>
        </w:rPr>
      </w:pPr>
      <w:r w:rsidRPr="009F42B6">
        <w:rPr>
          <w:rFonts w:ascii="Arial" w:hAnsi="Arial" w:cs="Arial"/>
        </w:rPr>
        <w:t>to serve a period of detention for a child offence (s.276B(1)(b)(</w:t>
      </w:r>
      <w:proofErr w:type="spellStart"/>
      <w:r w:rsidRPr="009F42B6">
        <w:rPr>
          <w:rFonts w:ascii="Arial" w:hAnsi="Arial" w:cs="Arial"/>
        </w:rPr>
        <w:t>i</w:t>
      </w:r>
      <w:proofErr w:type="spellEnd"/>
      <w:r w:rsidRPr="009F42B6">
        <w:rPr>
          <w:rFonts w:ascii="Arial" w:hAnsi="Arial" w:cs="Arial"/>
        </w:rPr>
        <w:t xml:space="preserve">)), or </w:t>
      </w:r>
    </w:p>
    <w:p w14:paraId="640AB83C" w14:textId="77777777" w:rsidR="009B3D01" w:rsidRPr="009F42B6" w:rsidRDefault="009B3D01" w:rsidP="009B3D01">
      <w:pPr>
        <w:pStyle w:val="ListParagraph"/>
        <w:numPr>
          <w:ilvl w:val="0"/>
          <w:numId w:val="11"/>
        </w:numPr>
        <w:ind w:left="567" w:hanging="357"/>
        <w:contextualSpacing w:val="0"/>
        <w:rPr>
          <w:rFonts w:ascii="Arial" w:hAnsi="Arial" w:cs="Arial"/>
        </w:rPr>
      </w:pPr>
      <w:r w:rsidRPr="009F42B6">
        <w:rPr>
          <w:rFonts w:ascii="Arial" w:hAnsi="Arial" w:cs="Arial"/>
        </w:rPr>
        <w:t>to continue or complete a period of detention, for example, because of a contravention of a conditional release order or supervised release order (s.276B(1)(b)(ii)).</w:t>
      </w:r>
    </w:p>
    <w:p w14:paraId="0A4ABFAD" w14:textId="77777777" w:rsidR="009B3D01" w:rsidRPr="009B3D01" w:rsidRDefault="009B3D01" w:rsidP="009B3D01">
      <w:pPr>
        <w:rPr>
          <w:rFonts w:cs="Arial"/>
        </w:rPr>
      </w:pPr>
      <w:r w:rsidRPr="009B3D01">
        <w:rPr>
          <w:rFonts w:cs="Arial"/>
        </w:rPr>
        <w:t>In these cases, the CS Act applies for the purpose of holding the person in a corrective services facility (s.276E(2)(a)). If the person is serving a period of detention, they will be released on parole (treated as court ordered parole under the CS Act) on the day they would have been released on a supervised release order under s.227 (s.276E(2)(c)(ii) &amp; (3)).</w:t>
      </w:r>
    </w:p>
    <w:p w14:paraId="66B2196C" w14:textId="77777777" w:rsidR="00AC6AA8" w:rsidRPr="009777DA" w:rsidRDefault="00AC6AA8" w:rsidP="009777DA">
      <w:pPr>
        <w:pStyle w:val="Heading3"/>
        <w:spacing w:before="240" w:after="120"/>
        <w:rPr>
          <w:sz w:val="22"/>
          <w:szCs w:val="22"/>
        </w:rPr>
      </w:pPr>
      <w:r w:rsidRPr="009777DA">
        <w:rPr>
          <w:sz w:val="22"/>
          <w:szCs w:val="22"/>
        </w:rPr>
        <w:t xml:space="preserve">Transitional arrangements </w:t>
      </w:r>
    </w:p>
    <w:p w14:paraId="0E30378B" w14:textId="67866947" w:rsidR="00AC6AA8" w:rsidRDefault="00AC6AA8" w:rsidP="00AC6AA8">
      <w:r>
        <w:t xml:space="preserve">These provisions apply regardless of when the person was sentenced (s.435(1)(b)). </w:t>
      </w:r>
    </w:p>
    <w:p w14:paraId="6ACF9A92" w14:textId="77777777" w:rsidR="00AC6AA8" w:rsidRDefault="00AC6AA8" w:rsidP="00634C9C">
      <w:pPr>
        <w:pStyle w:val="Heading2"/>
        <w:spacing w:before="480" w:after="120"/>
      </w:pPr>
      <w:r>
        <w:t xml:space="preserve">Persons who turn 18 </w:t>
      </w:r>
      <w:proofErr w:type="gramStart"/>
      <w:r>
        <w:t>while</w:t>
      </w:r>
      <w:proofErr w:type="gramEnd"/>
      <w:r>
        <w:t xml:space="preserve"> being held in a watchhouse </w:t>
      </w:r>
    </w:p>
    <w:p w14:paraId="677696AD" w14:textId="77777777" w:rsidR="009B3D01" w:rsidRDefault="009B3D01" w:rsidP="009B3D01">
      <w:r>
        <w:t xml:space="preserve">Sections 56 and 210 establish arrangements for remanded or sentenced children to transition from being prisoners of the court to the custody of the Chief Executive, via police custody. These children are held in watchhouses until the Chief Executive notifies the Police Commissioner when </w:t>
      </w:r>
      <w:r>
        <w:lastRenderedPageBreak/>
        <w:t>delivery of the child to a youth detention centre can be accepted. S.276A(3) provides that s.56 and s.210 stop applying when the detainee turns 18.</w:t>
      </w:r>
      <w:r>
        <w:rPr>
          <w:rStyle w:val="FootnoteReference"/>
        </w:rPr>
        <w:footnoteReference w:id="1"/>
      </w:r>
      <w:r>
        <w:t xml:space="preserve"> </w:t>
      </w:r>
    </w:p>
    <w:p w14:paraId="4B7F50F9" w14:textId="77777777" w:rsidR="009B3D01" w:rsidRDefault="009B3D01" w:rsidP="009B3D01">
      <w:r>
        <w:t xml:space="preserve">Instead, </w:t>
      </w:r>
      <w:hyperlink r:id="rId16" w:anchor="sec.6" w:history="1">
        <w:r w:rsidRPr="00245527">
          <w:rPr>
            <w:rStyle w:val="Hyperlink"/>
          </w:rPr>
          <w:t>CS Act s.6</w:t>
        </w:r>
      </w:hyperlink>
      <w:r>
        <w:t xml:space="preserve"> applies, and the 21 day period referred to in that section is taken to have started on the day the detainee was taken into police custody under s.56 or 210 (s</w:t>
      </w:r>
      <w:r w:rsidRPr="00F125EB">
        <w:t>.276A(4)(b)</w:t>
      </w:r>
      <w:r>
        <w:t xml:space="preserve">). </w:t>
      </w:r>
    </w:p>
    <w:p w14:paraId="6E525066" w14:textId="77777777" w:rsidR="009B3D01" w:rsidRDefault="009B3D01" w:rsidP="009B3D01">
      <w:r>
        <w:t xml:space="preserve">The detainee is then taken to be a prisoner under the CS Act for the purpose of being held in a </w:t>
      </w:r>
      <w:r w:rsidRPr="00F125EB">
        <w:t>corrective services facility</w:t>
      </w:r>
      <w:r>
        <w:t>, and if sentenced, they will be released on parole (treated as court ordered parole under the CS Act) on the day they would have been released on a supervised release order under s.227 (s.276E(2) &amp; (3)).</w:t>
      </w:r>
    </w:p>
    <w:p w14:paraId="7B05B541" w14:textId="77777777" w:rsidR="00AC6AA8" w:rsidRPr="009777DA" w:rsidRDefault="00AC6AA8" w:rsidP="009777DA">
      <w:pPr>
        <w:pStyle w:val="Heading3"/>
        <w:spacing w:before="240" w:after="120"/>
        <w:rPr>
          <w:sz w:val="22"/>
          <w:szCs w:val="22"/>
        </w:rPr>
      </w:pPr>
      <w:r w:rsidRPr="009777DA">
        <w:rPr>
          <w:sz w:val="22"/>
          <w:szCs w:val="22"/>
        </w:rPr>
        <w:t xml:space="preserve">Transitional arrangements </w:t>
      </w:r>
    </w:p>
    <w:p w14:paraId="2890CC98" w14:textId="50256F04" w:rsidR="00AC6AA8" w:rsidRDefault="00AC6AA8" w:rsidP="00AC6AA8">
      <w:r>
        <w:t xml:space="preserve">These provisions apply regardless of when the person was </w:t>
      </w:r>
      <w:r w:rsidRPr="00245527">
        <w:t xml:space="preserve">taken into police custody </w:t>
      </w:r>
      <w:r>
        <w:t>(s.435(1)(a))</w:t>
      </w:r>
      <w:r>
        <w:rPr>
          <w:rStyle w:val="FootnoteReference"/>
        </w:rPr>
        <w:footnoteReference w:id="2"/>
      </w:r>
      <w:r>
        <w:t xml:space="preserve">. </w:t>
      </w:r>
    </w:p>
    <w:p w14:paraId="56059D5D" w14:textId="77777777" w:rsidR="00AC6AA8" w:rsidRDefault="00AC6AA8" w:rsidP="00634C9C">
      <w:pPr>
        <w:pStyle w:val="Heading2"/>
        <w:spacing w:before="480" w:after="120"/>
      </w:pPr>
      <w:r>
        <w:t xml:space="preserve">Transfer of detainees from youth detention centres to adult custody </w:t>
      </w:r>
    </w:p>
    <w:p w14:paraId="115CDF1B" w14:textId="77777777" w:rsidR="009B3D01" w:rsidRDefault="009B3D01" w:rsidP="009B3D01">
      <w:r>
        <w:t xml:space="preserve">A detainee, whether on remand or sentenced, is to be transferred to a corrective services facility within </w:t>
      </w:r>
      <w:bookmarkStart w:id="0" w:name="_Hlk185849918"/>
      <w:r>
        <w:t>30 days</w:t>
      </w:r>
      <w:bookmarkEnd w:id="0"/>
      <w:r>
        <w:t xml:space="preserve"> after they turn 18</w:t>
      </w:r>
      <w:r w:rsidRPr="00126B41">
        <w:t xml:space="preserve"> </w:t>
      </w:r>
      <w:r>
        <w:t xml:space="preserve">(s.276C). </w:t>
      </w:r>
    </w:p>
    <w:p w14:paraId="32E7D10C" w14:textId="77777777" w:rsidR="009B3D01" w:rsidRDefault="009B3D01" w:rsidP="009B3D01">
      <w:r>
        <w:t xml:space="preserve">A failure to transfer the detainee within </w:t>
      </w:r>
      <w:r w:rsidRPr="00131D5D">
        <w:t>30 days</w:t>
      </w:r>
      <w:r>
        <w:t xml:space="preserve"> does not affect the requirement to transfer, or the validity of the transfer (s.276C(3)). </w:t>
      </w:r>
    </w:p>
    <w:p w14:paraId="024B82B8" w14:textId="77777777" w:rsidR="009B3D01" w:rsidRDefault="009B3D01" w:rsidP="009B3D01">
      <w:r>
        <w:t xml:space="preserve">The transfer is subject to an exclusive Chief Executive discretion to direct otherwise, with no appeal or review (except judicial review) (s.276D). In giving the direction, the Chief Executive </w:t>
      </w:r>
      <w:r w:rsidRPr="006F4B4F">
        <w:rPr>
          <w:i/>
          <w:iCs/>
        </w:rPr>
        <w:t>must</w:t>
      </w:r>
      <w:r>
        <w:t xml:space="preserve"> have regard to the interests of the detainee and the interests of other detainees and staff at the detention </w:t>
      </w:r>
      <w:proofErr w:type="gramStart"/>
      <w:r>
        <w:t>centre, and</w:t>
      </w:r>
      <w:proofErr w:type="gramEnd"/>
      <w:r>
        <w:t xml:space="preserve"> </w:t>
      </w:r>
      <w:r w:rsidRPr="006F4B4F">
        <w:rPr>
          <w:i/>
          <w:iCs/>
        </w:rPr>
        <w:t>may</w:t>
      </w:r>
      <w:r>
        <w:t xml:space="preserve"> have regard to any other matter the Chief Executive considers appropriate </w:t>
      </w:r>
      <w:r w:rsidRPr="00AF5677">
        <w:t>(s.276D</w:t>
      </w:r>
      <w:r>
        <w:t>(3)</w:t>
      </w:r>
      <w:r w:rsidRPr="00AF5677">
        <w:t>)</w:t>
      </w:r>
      <w:r>
        <w:t xml:space="preserve">. The Chief Executive can revoke the direction, and therefore transfer the detainee to adult custody, at any time </w:t>
      </w:r>
      <w:r w:rsidRPr="00AF5677">
        <w:t>(s.276D</w:t>
      </w:r>
      <w:r>
        <w:t>(5)</w:t>
      </w:r>
      <w:r w:rsidRPr="00AF5677">
        <w:t>)</w:t>
      </w:r>
      <w:r>
        <w:t xml:space="preserve">. The Chief Executive is not required to provide procedural fairness in giving or revoking a direction </w:t>
      </w:r>
      <w:r w:rsidRPr="00002A7F">
        <w:t>(s.276D</w:t>
      </w:r>
      <w:r>
        <w:t>(7)</w:t>
      </w:r>
      <w:r w:rsidRPr="00002A7F">
        <w:t>)</w:t>
      </w:r>
      <w:r>
        <w:t xml:space="preserve">. </w:t>
      </w:r>
    </w:p>
    <w:p w14:paraId="25E279A7" w14:textId="77777777" w:rsidR="009B3D01" w:rsidRDefault="009B3D01" w:rsidP="009B3D01">
      <w:r>
        <w:t xml:space="preserve">DYJVS will inform Queensland Corrective Services (QCS) </w:t>
      </w:r>
      <w:r w:rsidRPr="00F22A81">
        <w:t xml:space="preserve">about a detainee who is to be transferred </w:t>
      </w:r>
      <w:r>
        <w:t>(</w:t>
      </w:r>
      <w:r w:rsidRPr="00002A7F">
        <w:t>s.276</w:t>
      </w:r>
      <w:r>
        <w:t>A(2)</w:t>
      </w:r>
      <w:r w:rsidRPr="00002A7F">
        <w:t>)</w:t>
      </w:r>
      <w:r>
        <w:t xml:space="preserve"> and </w:t>
      </w:r>
      <w:proofErr w:type="gramStart"/>
      <w:r>
        <w:t>make arrangements</w:t>
      </w:r>
      <w:proofErr w:type="gramEnd"/>
      <w:r>
        <w:t xml:space="preserve"> for QCS staff to visit the youth detention centre to talk with the detainee about the transfer and what they can expect in adult custody. </w:t>
      </w:r>
    </w:p>
    <w:p w14:paraId="7C61C6F8" w14:textId="77777777" w:rsidR="009B3D01" w:rsidRDefault="009B3D01" w:rsidP="009B3D01">
      <w:r>
        <w:t>Where the detainee has ongoing criminal proceedings, DYJVS will also notify legal representatives about the transfer, and facilitate any consultations if requested by the lawyer or the young person.</w:t>
      </w:r>
    </w:p>
    <w:p w14:paraId="4E1B1DFD" w14:textId="77777777" w:rsidR="009B3D01" w:rsidRDefault="009B3D01" w:rsidP="009B3D01">
      <w:r>
        <w:t xml:space="preserve">Once the detainee has been transferred to adult custody, the CS Act applies for the purpose of holding the detainee in adult custody </w:t>
      </w:r>
      <w:r w:rsidRPr="00002A7F">
        <w:t>(s.276</w:t>
      </w:r>
      <w:r>
        <w:t>E</w:t>
      </w:r>
      <w:r w:rsidRPr="00002A7F">
        <w:t>)</w:t>
      </w:r>
      <w:r>
        <w:t xml:space="preserve">. The detainee will be released on parole on the date they would have been released on a supervised release order under the YJ Act </w:t>
      </w:r>
      <w:r w:rsidRPr="00002A7F">
        <w:t>(s.276</w:t>
      </w:r>
      <w:r>
        <w:t>E(2)(c)(ii)</w:t>
      </w:r>
      <w:r w:rsidRPr="00002A7F">
        <w:t>)</w:t>
      </w:r>
      <w:r>
        <w:t xml:space="preserve">. The parole will be treated as court ordered parole under the CS Act </w:t>
      </w:r>
      <w:r w:rsidRPr="00685C0B">
        <w:t>(s.276</w:t>
      </w:r>
      <w:r>
        <w:t>E(3)</w:t>
      </w:r>
      <w:r w:rsidRPr="00685C0B">
        <w:t>)</w:t>
      </w:r>
      <w:r>
        <w:t>.</w:t>
      </w:r>
    </w:p>
    <w:p w14:paraId="28E29E61" w14:textId="77777777" w:rsidR="00AC6AA8" w:rsidRPr="009777DA" w:rsidRDefault="00AC6AA8" w:rsidP="009777DA">
      <w:pPr>
        <w:pStyle w:val="Heading3"/>
        <w:spacing w:before="240" w:after="120"/>
        <w:rPr>
          <w:sz w:val="22"/>
          <w:szCs w:val="22"/>
        </w:rPr>
      </w:pPr>
      <w:r w:rsidRPr="009777DA">
        <w:rPr>
          <w:sz w:val="22"/>
          <w:szCs w:val="22"/>
        </w:rPr>
        <w:lastRenderedPageBreak/>
        <w:t xml:space="preserve">Transitional arrangements </w:t>
      </w:r>
    </w:p>
    <w:p w14:paraId="0F95A9C9" w14:textId="77777777" w:rsidR="009B3D01" w:rsidRDefault="009B3D01" w:rsidP="009B3D01">
      <w:r>
        <w:t>These provisions apply regardless of when the person entered</w:t>
      </w:r>
      <w:r w:rsidRPr="00245527">
        <w:t xml:space="preserve"> custody </w:t>
      </w:r>
      <w:r>
        <w:t>(s.435(1)(c))</w:t>
      </w:r>
      <w:r>
        <w:rPr>
          <w:rStyle w:val="FootnoteReference"/>
        </w:rPr>
        <w:footnoteReference w:id="3"/>
      </w:r>
      <w:r>
        <w:t>.</w:t>
      </w:r>
    </w:p>
    <w:p w14:paraId="7B9F3339" w14:textId="47FAFCB5" w:rsidR="009B3D01" w:rsidRDefault="009B3D01" w:rsidP="009B3D01">
      <w:r w:rsidRPr="00F44F0D">
        <w:t xml:space="preserve">A person aged 18 or over in a youth detention centre </w:t>
      </w:r>
      <w:r>
        <w:t>on the day of commencement (</w:t>
      </w:r>
      <w:r w:rsidRPr="0055313B">
        <w:t>13 December 2024</w:t>
      </w:r>
      <w:r>
        <w:t xml:space="preserve">) </w:t>
      </w:r>
      <w:r w:rsidRPr="00F44F0D">
        <w:t>is deemed to have turned 18 on th</w:t>
      </w:r>
      <w:r>
        <w:t>at</w:t>
      </w:r>
      <w:r w:rsidRPr="00F44F0D">
        <w:t xml:space="preserve"> day (s.43</w:t>
      </w:r>
      <w:r>
        <w:t>5(2)</w:t>
      </w:r>
      <w:r w:rsidRPr="00F44F0D">
        <w:t xml:space="preserve">). This means that the </w:t>
      </w:r>
      <w:r w:rsidRPr="00131D5D">
        <w:t>30</w:t>
      </w:r>
      <w:r>
        <w:t>-</w:t>
      </w:r>
      <w:r w:rsidRPr="00131D5D">
        <w:t>day</w:t>
      </w:r>
      <w:r w:rsidRPr="00F44F0D">
        <w:t xml:space="preserve"> period within which </w:t>
      </w:r>
      <w:r>
        <w:t>the person</w:t>
      </w:r>
      <w:r w:rsidRPr="00F44F0D">
        <w:t xml:space="preserve"> is to be transferred to adult custody start</w:t>
      </w:r>
      <w:r>
        <w:t>ed</w:t>
      </w:r>
      <w:r w:rsidRPr="00F44F0D">
        <w:t xml:space="preserve"> on </w:t>
      </w:r>
      <w:r>
        <w:t>13 December 2024</w:t>
      </w:r>
      <w:r>
        <w:rPr>
          <w:rStyle w:val="FootnoteReference"/>
        </w:rPr>
        <w:footnoteReference w:id="4"/>
      </w:r>
      <w:r>
        <w:t>.</w:t>
      </w:r>
    </w:p>
    <w:p w14:paraId="570584DC" w14:textId="77777777" w:rsidR="00AC6AA8" w:rsidRDefault="00AC6AA8" w:rsidP="009777DA">
      <w:pPr>
        <w:pStyle w:val="Heading2"/>
        <w:spacing w:before="480" w:after="120"/>
      </w:pPr>
      <w:r>
        <w:t xml:space="preserve">Other transitional arrangements </w:t>
      </w:r>
    </w:p>
    <w:p w14:paraId="0FE96D80" w14:textId="3D840C55" w:rsidR="009B3D01" w:rsidRPr="00F44F0D" w:rsidRDefault="009B3D01" w:rsidP="009B3D01">
      <w:r w:rsidRPr="00F44F0D">
        <w:t xml:space="preserve">A person aged 18 or over in a youth detention centre </w:t>
      </w:r>
      <w:r>
        <w:t xml:space="preserve">on the day of commencement (13 December 2024) </w:t>
      </w:r>
      <w:r w:rsidRPr="00F44F0D">
        <w:t xml:space="preserve">pursuant to </w:t>
      </w:r>
      <w:hyperlink r:id="rId17" w:anchor="sec.135" w:history="1">
        <w:r>
          <w:rPr>
            <w:rStyle w:val="Hyperlink"/>
          </w:rPr>
          <w:t>former s</w:t>
        </w:r>
        <w:r w:rsidRPr="00F44F0D">
          <w:rPr>
            <w:rStyle w:val="Hyperlink"/>
          </w:rPr>
          <w:t>.135</w:t>
        </w:r>
      </w:hyperlink>
      <w:r w:rsidRPr="00F44F0D">
        <w:t xml:space="preserve"> or </w:t>
      </w:r>
      <w:hyperlink r:id="rId18" w:anchor="sec.136" w:history="1">
        <w:r>
          <w:rPr>
            <w:rStyle w:val="Hyperlink"/>
          </w:rPr>
          <w:t>former s</w:t>
        </w:r>
        <w:r w:rsidRPr="00F44F0D">
          <w:rPr>
            <w:rStyle w:val="Hyperlink"/>
          </w:rPr>
          <w:t>.136</w:t>
        </w:r>
      </w:hyperlink>
      <w:r w:rsidRPr="00F44F0D">
        <w:t xml:space="preserve"> is deemed to have turned 18 on th</w:t>
      </w:r>
      <w:r>
        <w:t>at</w:t>
      </w:r>
      <w:r w:rsidRPr="00F44F0D">
        <w:t xml:space="preserve"> day (s.431). This means the </w:t>
      </w:r>
      <w:r w:rsidRPr="00131D5D">
        <w:t>30</w:t>
      </w:r>
      <w:r w:rsidR="00E5498F">
        <w:t>-</w:t>
      </w:r>
      <w:r w:rsidRPr="00131D5D">
        <w:t>day</w:t>
      </w:r>
      <w:r w:rsidRPr="00F44F0D">
        <w:t xml:space="preserve"> period within which </w:t>
      </w:r>
      <w:r>
        <w:t>the person</w:t>
      </w:r>
      <w:r w:rsidRPr="00F44F0D">
        <w:t xml:space="preserve"> is to be transferred to adult custody start</w:t>
      </w:r>
      <w:r>
        <w:t>ed</w:t>
      </w:r>
      <w:r w:rsidRPr="00F44F0D">
        <w:t xml:space="preserve"> on </w:t>
      </w:r>
      <w:r w:rsidRPr="00C5554B">
        <w:t>13 December 2024</w:t>
      </w:r>
      <w:r w:rsidRPr="00F44F0D">
        <w:t xml:space="preserve">. </w:t>
      </w:r>
    </w:p>
    <w:p w14:paraId="2C5AFBF5" w14:textId="23131391" w:rsidR="00AC6AA8" w:rsidRDefault="009777DA" w:rsidP="009F42B6">
      <w:pPr>
        <w:spacing w:after="120"/>
      </w:pPr>
      <w:r>
        <w:t>T</w:t>
      </w:r>
      <w:r>
        <w:t xml:space="preserve">he </w:t>
      </w:r>
      <w:hyperlink r:id="rId19" w:anchor="pt.8-div.2A" w:history="1">
        <w:r w:rsidRPr="002B1FA2">
          <w:rPr>
            <w:rStyle w:val="Hyperlink"/>
          </w:rPr>
          <w:t>former part 8, division 2A</w:t>
        </w:r>
      </w:hyperlink>
      <w:r>
        <w:t xml:space="preserve"> continues to apply</w:t>
      </w:r>
      <w:r>
        <w:t xml:space="preserve"> i</w:t>
      </w:r>
      <w:r w:rsidR="00AC6AA8">
        <w:t>f, before commencement:</w:t>
      </w:r>
    </w:p>
    <w:p w14:paraId="3980B74D" w14:textId="77777777" w:rsidR="00AC6AA8" w:rsidRPr="009F42B6" w:rsidRDefault="00AC6AA8" w:rsidP="00AC6AA8">
      <w:pPr>
        <w:pStyle w:val="ListParagraph"/>
        <w:numPr>
          <w:ilvl w:val="0"/>
          <w:numId w:val="11"/>
        </w:numPr>
        <w:spacing w:after="0"/>
        <w:ind w:left="567"/>
        <w:rPr>
          <w:rFonts w:ascii="Arial" w:hAnsi="Arial" w:cs="Arial"/>
        </w:rPr>
      </w:pPr>
      <w:r w:rsidRPr="009F42B6">
        <w:rPr>
          <w:rFonts w:ascii="Arial" w:hAnsi="Arial" w:cs="Arial"/>
        </w:rPr>
        <w:t xml:space="preserve">a notice to temporarily delay a transfer had been given to a detainee under </w:t>
      </w:r>
      <w:hyperlink r:id="rId20" w:anchor="sec.276D" w:history="1">
        <w:r w:rsidRPr="009F42B6">
          <w:rPr>
            <w:rStyle w:val="Hyperlink"/>
            <w:rFonts w:ascii="Arial" w:hAnsi="Arial" w:cs="Arial"/>
          </w:rPr>
          <w:t>former s.276D</w:t>
        </w:r>
      </w:hyperlink>
      <w:r w:rsidRPr="009F42B6">
        <w:rPr>
          <w:rFonts w:ascii="Arial" w:hAnsi="Arial" w:cs="Arial"/>
        </w:rPr>
        <w:t>, with a specified date after commencement (s.436(1)(a)(</w:t>
      </w:r>
      <w:proofErr w:type="spellStart"/>
      <w:r w:rsidRPr="009F42B6">
        <w:rPr>
          <w:rFonts w:ascii="Arial" w:hAnsi="Arial" w:cs="Arial"/>
        </w:rPr>
        <w:t>i</w:t>
      </w:r>
      <w:proofErr w:type="spellEnd"/>
      <w:r w:rsidRPr="009F42B6">
        <w:rPr>
          <w:rFonts w:ascii="Arial" w:hAnsi="Arial" w:cs="Arial"/>
        </w:rPr>
        <w:t>) and (b)); or</w:t>
      </w:r>
    </w:p>
    <w:p w14:paraId="1A04E1E3" w14:textId="2DE25740" w:rsidR="00AC6AA8" w:rsidRPr="009F42B6" w:rsidRDefault="00AC6AA8" w:rsidP="00AC6AA8">
      <w:pPr>
        <w:pStyle w:val="ListParagraph"/>
        <w:numPr>
          <w:ilvl w:val="0"/>
          <w:numId w:val="11"/>
        </w:numPr>
        <w:spacing w:after="0"/>
        <w:ind w:left="567"/>
        <w:rPr>
          <w:rFonts w:ascii="Arial" w:hAnsi="Arial" w:cs="Arial"/>
        </w:rPr>
      </w:pPr>
      <w:r w:rsidRPr="009F42B6">
        <w:rPr>
          <w:rFonts w:ascii="Arial" w:hAnsi="Arial" w:cs="Arial"/>
        </w:rPr>
        <w:t xml:space="preserve">a prison transfer notice had been given to a detainee under </w:t>
      </w:r>
      <w:hyperlink r:id="rId21" w:anchor="sec.276F" w:history="1">
        <w:r w:rsidRPr="009F42B6">
          <w:rPr>
            <w:rStyle w:val="Hyperlink"/>
            <w:rFonts w:ascii="Arial" w:hAnsi="Arial" w:cs="Arial"/>
          </w:rPr>
          <w:t>former s.276F</w:t>
        </w:r>
      </w:hyperlink>
      <w:r w:rsidRPr="009F42B6">
        <w:rPr>
          <w:rFonts w:ascii="Arial" w:hAnsi="Arial" w:cs="Arial"/>
        </w:rPr>
        <w:t xml:space="preserve"> (s.436(1)(a)(ii))</w:t>
      </w:r>
      <w:r w:rsidR="009777DA" w:rsidRPr="009F42B6">
        <w:rPr>
          <w:rFonts w:ascii="Arial" w:hAnsi="Arial" w:cs="Arial"/>
        </w:rPr>
        <w:t>;</w:t>
      </w:r>
      <w:r w:rsidRPr="009F42B6">
        <w:rPr>
          <w:rFonts w:ascii="Arial" w:hAnsi="Arial" w:cs="Arial"/>
        </w:rPr>
        <w:t xml:space="preserve"> or</w:t>
      </w:r>
    </w:p>
    <w:p w14:paraId="485A7DEF" w14:textId="5F3A0738" w:rsidR="00AC6AA8" w:rsidRPr="009F42B6" w:rsidRDefault="00AC6AA8" w:rsidP="00AC6AA8">
      <w:pPr>
        <w:pStyle w:val="ListParagraph"/>
        <w:numPr>
          <w:ilvl w:val="0"/>
          <w:numId w:val="11"/>
        </w:numPr>
        <w:spacing w:after="0"/>
        <w:ind w:left="567"/>
        <w:rPr>
          <w:rFonts w:ascii="Arial" w:hAnsi="Arial" w:cs="Arial"/>
        </w:rPr>
      </w:pPr>
      <w:r w:rsidRPr="009F42B6">
        <w:rPr>
          <w:rFonts w:ascii="Arial" w:hAnsi="Arial" w:cs="Arial"/>
        </w:rPr>
        <w:t xml:space="preserve">an application to a court under </w:t>
      </w:r>
      <w:hyperlink r:id="rId22" w:anchor="sec.276P" w:history="1">
        <w:r w:rsidRPr="009F42B6">
          <w:rPr>
            <w:rStyle w:val="Hyperlink"/>
            <w:rFonts w:ascii="Arial" w:hAnsi="Arial" w:cs="Arial"/>
          </w:rPr>
          <w:t>former s.276P</w:t>
        </w:r>
      </w:hyperlink>
      <w:r w:rsidRPr="009F42B6">
        <w:rPr>
          <w:rFonts w:ascii="Arial" w:hAnsi="Arial" w:cs="Arial"/>
        </w:rPr>
        <w:t xml:space="preserve"> or </w:t>
      </w:r>
      <w:hyperlink r:id="rId23" w:anchor="sec.276T" w:history="1">
        <w:r w:rsidRPr="009F42B6">
          <w:rPr>
            <w:rStyle w:val="Hyperlink"/>
            <w:rFonts w:ascii="Arial" w:hAnsi="Arial" w:cs="Arial"/>
          </w:rPr>
          <w:t>former s.276T</w:t>
        </w:r>
      </w:hyperlink>
      <w:r w:rsidRPr="009F42B6">
        <w:rPr>
          <w:rFonts w:ascii="Arial" w:hAnsi="Arial" w:cs="Arial"/>
        </w:rPr>
        <w:t xml:space="preserve"> had been made but not decided (s.437)</w:t>
      </w:r>
      <w:r w:rsidR="009777DA" w:rsidRPr="009F42B6">
        <w:rPr>
          <w:rFonts w:ascii="Arial" w:hAnsi="Arial" w:cs="Arial"/>
        </w:rPr>
        <w:t>.</w:t>
      </w:r>
    </w:p>
    <w:p w14:paraId="529E03B4" w14:textId="0DD9E623" w:rsidR="00AC6AA8" w:rsidRDefault="00AC6AA8" w:rsidP="009F42B6">
      <w:pPr>
        <w:spacing w:before="240"/>
      </w:pPr>
      <w:r>
        <w:t xml:space="preserve">This means the arrangements for internal review by the Chief Executive, and review by a Childrens Court judge, continue to apply. </w:t>
      </w:r>
    </w:p>
    <w:p w14:paraId="244A384C" w14:textId="0FCF2068" w:rsidR="00060110" w:rsidRDefault="00E5498F" w:rsidP="00E5498F">
      <w:r>
        <w:t>Another transitional provision provides for where</w:t>
      </w:r>
      <w:r w:rsidRPr="00F44F0D">
        <w:t xml:space="preserve"> an application to be held in a detention centre had been made under </w:t>
      </w:r>
      <w:hyperlink r:id="rId24" w:anchor="sec.139" w:history="1">
        <w:r w:rsidRPr="00FA5406">
          <w:rPr>
            <w:rStyle w:val="Hyperlink"/>
          </w:rPr>
          <w:t>former</w:t>
        </w:r>
        <w:r>
          <w:rPr>
            <w:rStyle w:val="Hyperlink"/>
          </w:rPr>
          <w:t xml:space="preserve"> s</w:t>
        </w:r>
        <w:r w:rsidRPr="00FA5406">
          <w:rPr>
            <w:rStyle w:val="Hyperlink"/>
          </w:rPr>
          <w:t>.139</w:t>
        </w:r>
      </w:hyperlink>
      <w:r w:rsidRPr="00F44F0D">
        <w:t xml:space="preserve"> but not decided</w:t>
      </w:r>
      <w:r>
        <w:t xml:space="preserve"> prior to</w:t>
      </w:r>
      <w:r w:rsidRPr="00F44F0D">
        <w:t xml:space="preserve"> commencement</w:t>
      </w:r>
      <w:r>
        <w:t xml:space="preserve"> (s.432), but on the day of commencement there were no such undecided applications</w:t>
      </w:r>
      <w:r w:rsidRPr="00F44F0D">
        <w:t xml:space="preserve">. </w:t>
      </w:r>
    </w:p>
    <w:sectPr w:rsidR="00060110" w:rsidSect="009F42B6">
      <w:headerReference w:type="default" r:id="rId25"/>
      <w:footerReference w:type="default" r:id="rId26"/>
      <w:type w:val="continuous"/>
      <w:pgSz w:w="11906" w:h="16838"/>
      <w:pgMar w:top="2495" w:right="1134" w:bottom="1418" w:left="1134" w:header="709" w:footer="53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27CF" w14:textId="77777777" w:rsidR="00196E38" w:rsidRDefault="00196E38">
      <w:r>
        <w:separator/>
      </w:r>
    </w:p>
  </w:endnote>
  <w:endnote w:type="continuationSeparator" w:id="0">
    <w:p w14:paraId="560EDFA5" w14:textId="77777777" w:rsidR="00196E38" w:rsidRDefault="0019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30A3" w14:textId="19AB220A" w:rsidR="00F15153" w:rsidRDefault="00F15153">
    <w:pPr>
      <w:pStyle w:val="Footer"/>
    </w:pPr>
    <w:r>
      <w:rPr>
        <w:noProof/>
      </w:rPr>
      <mc:AlternateContent>
        <mc:Choice Requires="wps">
          <w:drawing>
            <wp:anchor distT="45720" distB="45720" distL="114300" distR="114300" simplePos="0" relativeHeight="251667456" behindDoc="1" locked="0" layoutInCell="1" allowOverlap="1" wp14:anchorId="5545A589" wp14:editId="20AB67DB">
              <wp:simplePos x="0" y="0"/>
              <wp:positionH relativeFrom="margin">
                <wp:posOffset>945515</wp:posOffset>
              </wp:positionH>
              <wp:positionV relativeFrom="paragraph">
                <wp:posOffset>488922</wp:posOffset>
              </wp:positionV>
              <wp:extent cx="4224020" cy="1404620"/>
              <wp:effectExtent l="0" t="0" r="508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1404620"/>
                      </a:xfrm>
                      <a:prstGeom prst="rect">
                        <a:avLst/>
                      </a:prstGeom>
                      <a:solidFill>
                        <a:srgbClr val="FFFFFF"/>
                      </a:solidFill>
                      <a:ln w="9525">
                        <a:noFill/>
                        <a:miter lim="800000"/>
                        <a:headEnd/>
                        <a:tailEnd/>
                      </a:ln>
                    </wps:spPr>
                    <wps:txbx>
                      <w:txbxContent>
                        <w:p w14:paraId="2E8B8975" w14:textId="77777777" w:rsidR="00F15153" w:rsidRPr="00CC6E19" w:rsidRDefault="00F15153" w:rsidP="00F15153">
                          <w:pPr>
                            <w:spacing w:before="120" w:after="0"/>
                            <w:jc w:val="center"/>
                            <w:rPr>
                              <w:rFonts w:eastAsiaTheme="majorEastAsia" w:cs="Arial"/>
                              <w:bCs/>
                              <w:iCs/>
                              <w:color w:val="000000" w:themeColor="text1"/>
                              <w:sz w:val="16"/>
                              <w:szCs w:val="16"/>
                            </w:rPr>
                          </w:pPr>
                          <w:r w:rsidRPr="00CC6E19">
                            <w:rPr>
                              <w:rFonts w:eastAsiaTheme="majorEastAsia" w:cs="Arial"/>
                              <w:bCs/>
                              <w:iCs/>
                              <w:color w:val="000000" w:themeColor="text1"/>
                              <w:sz w:val="16"/>
                              <w:szCs w:val="16"/>
                            </w:rPr>
                            <w:t xml:space="preserve">Section references are to the </w:t>
                          </w:r>
                          <w:r w:rsidRPr="00CC6E19">
                            <w:rPr>
                              <w:rFonts w:eastAsiaTheme="majorEastAsia" w:cs="Arial"/>
                              <w:bCs/>
                              <w:i/>
                              <w:color w:val="000000" w:themeColor="text1"/>
                              <w:sz w:val="16"/>
                              <w:szCs w:val="16"/>
                            </w:rPr>
                            <w:t>Youth Justice Act 1992</w:t>
                          </w:r>
                          <w:r w:rsidRPr="00CC6E19">
                            <w:rPr>
                              <w:rFonts w:eastAsiaTheme="majorEastAsia" w:cs="Arial"/>
                              <w:bCs/>
                              <w:iCs/>
                              <w:color w:val="000000" w:themeColor="text1"/>
                              <w:sz w:val="16"/>
                              <w:szCs w:val="16"/>
                            </w:rPr>
                            <w:t xml:space="preserve"> unless otherwise indicated.</w:t>
                          </w:r>
                        </w:p>
                        <w:p w14:paraId="3A251789" w14:textId="77777777" w:rsidR="00F15153" w:rsidRPr="009F42B6" w:rsidRDefault="00F15153" w:rsidP="009F42B6">
                          <w:pPr>
                            <w:spacing w:before="120" w:after="0"/>
                            <w:jc w:val="center"/>
                            <w:rPr>
                              <w:sz w:val="16"/>
                              <w:szCs w:val="16"/>
                            </w:rPr>
                          </w:pPr>
                          <w:r w:rsidRPr="00CC6E19">
                            <w:rPr>
                              <w:rFonts w:eastAsiaTheme="majorEastAsia" w:cs="Arial"/>
                              <w:bCs/>
                              <w:iCs/>
                              <w:color w:val="000000" w:themeColor="text1"/>
                              <w:sz w:val="16"/>
                              <w:szCs w:val="16"/>
                            </w:rPr>
                            <w:t xml:space="preserve">CAUTION: Hyperlinks to </w:t>
                          </w:r>
                          <w:r w:rsidRPr="00CC6E19">
                            <w:rPr>
                              <w:rFonts w:eastAsiaTheme="majorEastAsia" w:cs="Arial"/>
                              <w:bCs/>
                              <w:iCs/>
                              <w:color w:val="000000" w:themeColor="text1"/>
                              <w:sz w:val="16"/>
                              <w:szCs w:val="16"/>
                              <w:u w:val="single"/>
                            </w:rPr>
                            <w:t>former</w:t>
                          </w:r>
                          <w:r w:rsidRPr="00CC6E19">
                            <w:rPr>
                              <w:rFonts w:eastAsiaTheme="majorEastAsia" w:cs="Arial"/>
                              <w:bCs/>
                              <w:iCs/>
                              <w:color w:val="000000" w:themeColor="text1"/>
                              <w:sz w:val="16"/>
                              <w:szCs w:val="16"/>
                            </w:rPr>
                            <w:t xml:space="preserve"> provisions are to an </w:t>
                          </w:r>
                          <w:r w:rsidRPr="00CC6E19">
                            <w:rPr>
                              <w:rFonts w:eastAsiaTheme="majorEastAsia" w:cs="Arial"/>
                              <w:bCs/>
                              <w:iCs/>
                              <w:color w:val="000000" w:themeColor="text1"/>
                              <w:sz w:val="16"/>
                              <w:szCs w:val="16"/>
                              <w:u w:val="single"/>
                            </w:rPr>
                            <w:t>expired</w:t>
                          </w:r>
                          <w:r w:rsidRPr="00CC6E19">
                            <w:rPr>
                              <w:rFonts w:eastAsiaTheme="majorEastAsia" w:cs="Arial"/>
                              <w:bCs/>
                              <w:iCs/>
                              <w:color w:val="000000" w:themeColor="text1"/>
                              <w:sz w:val="16"/>
                              <w:szCs w:val="16"/>
                            </w:rPr>
                            <w:t xml:space="preserve"> version of the 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5A589" id="_x0000_t202" coordsize="21600,21600" o:spt="202" path="m,l,21600r21600,l21600,xe">
              <v:stroke joinstyle="miter"/>
              <v:path gradientshapeok="t" o:connecttype="rect"/>
            </v:shapetype>
            <v:shape id="Text Box 2" o:spid="_x0000_s1026" type="#_x0000_t202" style="position:absolute;margin-left:74.45pt;margin-top:38.5pt;width:332.6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" stroked="f">
              <v:textbox style="mso-fit-shape-to-text:t">
                <w:txbxContent>
                  <w:p w14:paraId="2E8B8975" w14:textId="77777777" w:rsidR="00F15153" w:rsidRPr="00CC6E19" w:rsidRDefault="00F15153" w:rsidP="00F15153">
                    <w:pPr>
                      <w:spacing w:before="120" w:after="0"/>
                      <w:jc w:val="center"/>
                      <w:rPr>
                        <w:rFonts w:eastAsiaTheme="majorEastAsia" w:cs="Arial"/>
                        <w:bCs/>
                        <w:iCs/>
                        <w:color w:val="000000" w:themeColor="text1"/>
                        <w:sz w:val="16"/>
                        <w:szCs w:val="16"/>
                      </w:rPr>
                    </w:pPr>
                    <w:r w:rsidRPr="00CC6E19">
                      <w:rPr>
                        <w:rFonts w:eastAsiaTheme="majorEastAsia" w:cs="Arial"/>
                        <w:bCs/>
                        <w:iCs/>
                        <w:color w:val="000000" w:themeColor="text1"/>
                        <w:sz w:val="16"/>
                        <w:szCs w:val="16"/>
                      </w:rPr>
                      <w:t xml:space="preserve">Section references are to the </w:t>
                    </w:r>
                    <w:r w:rsidRPr="00CC6E19">
                      <w:rPr>
                        <w:rFonts w:eastAsiaTheme="majorEastAsia" w:cs="Arial"/>
                        <w:bCs/>
                        <w:i/>
                        <w:color w:val="000000" w:themeColor="text1"/>
                        <w:sz w:val="16"/>
                        <w:szCs w:val="16"/>
                      </w:rPr>
                      <w:t>Youth Justice Act 1992</w:t>
                    </w:r>
                    <w:r w:rsidRPr="00CC6E19">
                      <w:rPr>
                        <w:rFonts w:eastAsiaTheme="majorEastAsia" w:cs="Arial"/>
                        <w:bCs/>
                        <w:iCs/>
                        <w:color w:val="000000" w:themeColor="text1"/>
                        <w:sz w:val="16"/>
                        <w:szCs w:val="16"/>
                      </w:rPr>
                      <w:t xml:space="preserve"> unless otherwise indicated.</w:t>
                    </w:r>
                  </w:p>
                  <w:p w14:paraId="3A251789" w14:textId="77777777" w:rsidR="00F15153" w:rsidRPr="009F42B6" w:rsidRDefault="00F15153" w:rsidP="009F42B6">
                    <w:pPr>
                      <w:spacing w:before="120" w:after="0"/>
                      <w:jc w:val="center"/>
                      <w:rPr>
                        <w:sz w:val="16"/>
                        <w:szCs w:val="16"/>
                      </w:rPr>
                    </w:pPr>
                    <w:r w:rsidRPr="00CC6E19">
                      <w:rPr>
                        <w:rFonts w:eastAsiaTheme="majorEastAsia" w:cs="Arial"/>
                        <w:bCs/>
                        <w:iCs/>
                        <w:color w:val="000000" w:themeColor="text1"/>
                        <w:sz w:val="16"/>
                        <w:szCs w:val="16"/>
                      </w:rPr>
                      <w:t xml:space="preserve">CAUTION: Hyperlinks to </w:t>
                    </w:r>
                    <w:r w:rsidRPr="00CC6E19">
                      <w:rPr>
                        <w:rFonts w:eastAsiaTheme="majorEastAsia" w:cs="Arial"/>
                        <w:bCs/>
                        <w:iCs/>
                        <w:color w:val="000000" w:themeColor="text1"/>
                        <w:sz w:val="16"/>
                        <w:szCs w:val="16"/>
                        <w:u w:val="single"/>
                      </w:rPr>
                      <w:t>former</w:t>
                    </w:r>
                    <w:r w:rsidRPr="00CC6E19">
                      <w:rPr>
                        <w:rFonts w:eastAsiaTheme="majorEastAsia" w:cs="Arial"/>
                        <w:bCs/>
                        <w:iCs/>
                        <w:color w:val="000000" w:themeColor="text1"/>
                        <w:sz w:val="16"/>
                        <w:szCs w:val="16"/>
                      </w:rPr>
                      <w:t xml:space="preserve"> provisions are to an </w:t>
                    </w:r>
                    <w:r w:rsidRPr="00CC6E19">
                      <w:rPr>
                        <w:rFonts w:eastAsiaTheme="majorEastAsia" w:cs="Arial"/>
                        <w:bCs/>
                        <w:iCs/>
                        <w:color w:val="000000" w:themeColor="text1"/>
                        <w:sz w:val="16"/>
                        <w:szCs w:val="16"/>
                        <w:u w:val="single"/>
                      </w:rPr>
                      <w:t>expired</w:t>
                    </w:r>
                    <w:r w:rsidRPr="00CC6E19">
                      <w:rPr>
                        <w:rFonts w:eastAsiaTheme="majorEastAsia" w:cs="Arial"/>
                        <w:bCs/>
                        <w:iCs/>
                        <w:color w:val="000000" w:themeColor="text1"/>
                        <w:sz w:val="16"/>
                        <w:szCs w:val="16"/>
                      </w:rPr>
                      <w:t xml:space="preserve"> version of the Act.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28935600" w:rsidR="00F77B8F" w:rsidRPr="009F42B6" w:rsidRDefault="00F15153" w:rsidP="009F42B6">
    <w:pPr>
      <w:pStyle w:val="Footer"/>
      <w:jc w:val="right"/>
      <w:rPr>
        <w:sz w:val="16"/>
        <w:szCs w:val="16"/>
      </w:rPr>
    </w:pPr>
    <w:r>
      <w:rPr>
        <w:noProof/>
      </w:rPr>
      <mc:AlternateContent>
        <mc:Choice Requires="wps">
          <w:drawing>
            <wp:anchor distT="45720" distB="45720" distL="114300" distR="114300" simplePos="0" relativeHeight="251665408" behindDoc="1" locked="0" layoutInCell="1" allowOverlap="1" wp14:anchorId="37570303" wp14:editId="3F683EA1">
              <wp:simplePos x="0" y="0"/>
              <wp:positionH relativeFrom="margin">
                <wp:posOffset>945515</wp:posOffset>
              </wp:positionH>
              <wp:positionV relativeFrom="paragraph">
                <wp:posOffset>-128298</wp:posOffset>
              </wp:positionV>
              <wp:extent cx="4224654" cy="705484"/>
              <wp:effectExtent l="0" t="0" r="5080" b="8890"/>
              <wp:wrapNone/>
              <wp:docPr id="1832701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4" cy="705484"/>
                      </a:xfrm>
                      <a:prstGeom prst="rect">
                        <a:avLst/>
                      </a:prstGeom>
                      <a:solidFill>
                        <a:srgbClr val="FFFFFF"/>
                      </a:solidFill>
                      <a:ln w="9525">
                        <a:noFill/>
                        <a:miter lim="800000"/>
                        <a:headEnd/>
                        <a:tailEnd/>
                      </a:ln>
                    </wps:spPr>
                    <wps:txbx>
                      <w:txbxContent>
                        <w:p w14:paraId="77D3CA37" w14:textId="77777777" w:rsidR="00F15153" w:rsidRPr="00CC6E19" w:rsidRDefault="00F15153" w:rsidP="00F15153">
                          <w:pPr>
                            <w:spacing w:before="120" w:after="0"/>
                            <w:jc w:val="center"/>
                            <w:rPr>
                              <w:rFonts w:eastAsiaTheme="majorEastAsia" w:cs="Arial"/>
                              <w:bCs/>
                              <w:iCs/>
                              <w:color w:val="000000" w:themeColor="text1"/>
                              <w:sz w:val="16"/>
                              <w:szCs w:val="16"/>
                            </w:rPr>
                          </w:pPr>
                          <w:r w:rsidRPr="00CC6E19">
                            <w:rPr>
                              <w:rFonts w:eastAsiaTheme="majorEastAsia" w:cs="Arial"/>
                              <w:bCs/>
                              <w:iCs/>
                              <w:color w:val="000000" w:themeColor="text1"/>
                              <w:sz w:val="16"/>
                              <w:szCs w:val="16"/>
                            </w:rPr>
                            <w:t xml:space="preserve">Section references are to the </w:t>
                          </w:r>
                          <w:r w:rsidRPr="00CC6E19">
                            <w:rPr>
                              <w:rFonts w:eastAsiaTheme="majorEastAsia" w:cs="Arial"/>
                              <w:bCs/>
                              <w:i/>
                              <w:color w:val="000000" w:themeColor="text1"/>
                              <w:sz w:val="16"/>
                              <w:szCs w:val="16"/>
                            </w:rPr>
                            <w:t>Youth Justice Act 1992</w:t>
                          </w:r>
                          <w:r w:rsidRPr="00CC6E19">
                            <w:rPr>
                              <w:rFonts w:eastAsiaTheme="majorEastAsia" w:cs="Arial"/>
                              <w:bCs/>
                              <w:iCs/>
                              <w:color w:val="000000" w:themeColor="text1"/>
                              <w:sz w:val="16"/>
                              <w:szCs w:val="16"/>
                            </w:rPr>
                            <w:t xml:space="preserve"> unless otherwise indicated.</w:t>
                          </w:r>
                        </w:p>
                        <w:p w14:paraId="13019852" w14:textId="77777777" w:rsidR="00F15153" w:rsidRPr="009F42B6" w:rsidRDefault="00F15153" w:rsidP="009F42B6">
                          <w:pPr>
                            <w:spacing w:before="120" w:after="0"/>
                            <w:jc w:val="center"/>
                            <w:rPr>
                              <w:sz w:val="16"/>
                              <w:szCs w:val="16"/>
                            </w:rPr>
                          </w:pPr>
                          <w:r w:rsidRPr="00CC6E19">
                            <w:rPr>
                              <w:rFonts w:eastAsiaTheme="majorEastAsia" w:cs="Arial"/>
                              <w:bCs/>
                              <w:iCs/>
                              <w:color w:val="000000" w:themeColor="text1"/>
                              <w:sz w:val="16"/>
                              <w:szCs w:val="16"/>
                            </w:rPr>
                            <w:t xml:space="preserve">CAUTION: Hyperlinks to </w:t>
                          </w:r>
                          <w:r w:rsidRPr="00CC6E19">
                            <w:rPr>
                              <w:rFonts w:eastAsiaTheme="majorEastAsia" w:cs="Arial"/>
                              <w:bCs/>
                              <w:iCs/>
                              <w:color w:val="000000" w:themeColor="text1"/>
                              <w:sz w:val="16"/>
                              <w:szCs w:val="16"/>
                              <w:u w:val="single"/>
                            </w:rPr>
                            <w:t>former</w:t>
                          </w:r>
                          <w:r w:rsidRPr="00CC6E19">
                            <w:rPr>
                              <w:rFonts w:eastAsiaTheme="majorEastAsia" w:cs="Arial"/>
                              <w:bCs/>
                              <w:iCs/>
                              <w:color w:val="000000" w:themeColor="text1"/>
                              <w:sz w:val="16"/>
                              <w:szCs w:val="16"/>
                            </w:rPr>
                            <w:t xml:space="preserve"> provisions are to an </w:t>
                          </w:r>
                          <w:r w:rsidRPr="00CC6E19">
                            <w:rPr>
                              <w:rFonts w:eastAsiaTheme="majorEastAsia" w:cs="Arial"/>
                              <w:bCs/>
                              <w:iCs/>
                              <w:color w:val="000000" w:themeColor="text1"/>
                              <w:sz w:val="16"/>
                              <w:szCs w:val="16"/>
                              <w:u w:val="single"/>
                            </w:rPr>
                            <w:t>expired</w:t>
                          </w:r>
                          <w:r w:rsidRPr="00CC6E19">
                            <w:rPr>
                              <w:rFonts w:eastAsiaTheme="majorEastAsia" w:cs="Arial"/>
                              <w:bCs/>
                              <w:iCs/>
                              <w:color w:val="000000" w:themeColor="text1"/>
                              <w:sz w:val="16"/>
                              <w:szCs w:val="16"/>
                            </w:rPr>
                            <w:t xml:space="preserve"> version of the 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70303" id="_x0000_t202" coordsize="21600,21600" o:spt="202" path="m,l,21600r21600,l21600,xe">
              <v:stroke joinstyle="miter"/>
              <v:path gradientshapeok="t" o:connecttype="rect"/>
            </v:shapetype>
            <v:shape id="_x0000_s1028" type="#_x0000_t202" style="position:absolute;left:0;text-align:left;margin-left:74.45pt;margin-top:-10.1pt;width:332.65pt;height:55.55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" stroked="f">
              <v:textbox style="mso-fit-shape-to-text:t">
                <w:txbxContent>
                  <w:p w14:paraId="77D3CA37" w14:textId="77777777" w:rsidR="00F15153" w:rsidRPr="00CC6E19" w:rsidRDefault="00F15153" w:rsidP="00F15153">
                    <w:pPr>
                      <w:spacing w:before="120" w:after="0"/>
                      <w:jc w:val="center"/>
                      <w:rPr>
                        <w:rFonts w:eastAsiaTheme="majorEastAsia" w:cs="Arial"/>
                        <w:bCs/>
                        <w:iCs/>
                        <w:color w:val="000000" w:themeColor="text1"/>
                        <w:sz w:val="16"/>
                        <w:szCs w:val="16"/>
                      </w:rPr>
                    </w:pPr>
                    <w:r w:rsidRPr="00CC6E19">
                      <w:rPr>
                        <w:rFonts w:eastAsiaTheme="majorEastAsia" w:cs="Arial"/>
                        <w:bCs/>
                        <w:iCs/>
                        <w:color w:val="000000" w:themeColor="text1"/>
                        <w:sz w:val="16"/>
                        <w:szCs w:val="16"/>
                      </w:rPr>
                      <w:t xml:space="preserve">Section references are to the </w:t>
                    </w:r>
                    <w:r w:rsidRPr="00CC6E19">
                      <w:rPr>
                        <w:rFonts w:eastAsiaTheme="majorEastAsia" w:cs="Arial"/>
                        <w:bCs/>
                        <w:i/>
                        <w:color w:val="000000" w:themeColor="text1"/>
                        <w:sz w:val="16"/>
                        <w:szCs w:val="16"/>
                      </w:rPr>
                      <w:t>Youth Justice Act 1992</w:t>
                    </w:r>
                    <w:r w:rsidRPr="00CC6E19">
                      <w:rPr>
                        <w:rFonts w:eastAsiaTheme="majorEastAsia" w:cs="Arial"/>
                        <w:bCs/>
                        <w:iCs/>
                        <w:color w:val="000000" w:themeColor="text1"/>
                        <w:sz w:val="16"/>
                        <w:szCs w:val="16"/>
                      </w:rPr>
                      <w:t xml:space="preserve"> unless otherwise indicated.</w:t>
                    </w:r>
                  </w:p>
                  <w:p w14:paraId="13019852" w14:textId="77777777" w:rsidR="00F15153" w:rsidRPr="009F42B6" w:rsidRDefault="00F15153" w:rsidP="009F42B6">
                    <w:pPr>
                      <w:spacing w:before="120" w:after="0"/>
                      <w:jc w:val="center"/>
                      <w:rPr>
                        <w:sz w:val="16"/>
                        <w:szCs w:val="16"/>
                      </w:rPr>
                    </w:pPr>
                    <w:r w:rsidRPr="00CC6E19">
                      <w:rPr>
                        <w:rFonts w:eastAsiaTheme="majorEastAsia" w:cs="Arial"/>
                        <w:bCs/>
                        <w:iCs/>
                        <w:color w:val="000000" w:themeColor="text1"/>
                        <w:sz w:val="16"/>
                        <w:szCs w:val="16"/>
                      </w:rPr>
                      <w:t xml:space="preserve">CAUTION: Hyperlinks to </w:t>
                    </w:r>
                    <w:r w:rsidRPr="00CC6E19">
                      <w:rPr>
                        <w:rFonts w:eastAsiaTheme="majorEastAsia" w:cs="Arial"/>
                        <w:bCs/>
                        <w:iCs/>
                        <w:color w:val="000000" w:themeColor="text1"/>
                        <w:sz w:val="16"/>
                        <w:szCs w:val="16"/>
                        <w:u w:val="single"/>
                      </w:rPr>
                      <w:t>former</w:t>
                    </w:r>
                    <w:r w:rsidRPr="00CC6E19">
                      <w:rPr>
                        <w:rFonts w:eastAsiaTheme="majorEastAsia" w:cs="Arial"/>
                        <w:bCs/>
                        <w:iCs/>
                        <w:color w:val="000000" w:themeColor="text1"/>
                        <w:sz w:val="16"/>
                        <w:szCs w:val="16"/>
                      </w:rPr>
                      <w:t xml:space="preserve"> provisions are to an </w:t>
                    </w:r>
                    <w:r w:rsidRPr="00CC6E19">
                      <w:rPr>
                        <w:rFonts w:eastAsiaTheme="majorEastAsia" w:cs="Arial"/>
                        <w:bCs/>
                        <w:iCs/>
                        <w:color w:val="000000" w:themeColor="text1"/>
                        <w:sz w:val="16"/>
                        <w:szCs w:val="16"/>
                        <w:u w:val="single"/>
                      </w:rPr>
                      <w:t>expired</w:t>
                    </w:r>
                    <w:r w:rsidRPr="00CC6E19">
                      <w:rPr>
                        <w:rFonts w:eastAsiaTheme="majorEastAsia" w:cs="Arial"/>
                        <w:bCs/>
                        <w:iCs/>
                        <w:color w:val="000000" w:themeColor="text1"/>
                        <w:sz w:val="16"/>
                        <w:szCs w:val="16"/>
                      </w:rPr>
                      <w:t xml:space="preserve"> version of the Act.</w:t>
                    </w:r>
                  </w:p>
                </w:txbxContent>
              </v:textbox>
              <w10:wrap anchorx="margin"/>
            </v:shape>
          </w:pict>
        </mc:Fallback>
      </mc:AlternateContent>
    </w:r>
    <w:r w:rsidR="00E5498F">
      <w:rPr>
        <w:sz w:val="16"/>
        <w:szCs w:val="16"/>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194D" w14:textId="77777777" w:rsidR="00196E38" w:rsidRDefault="00196E38">
      <w:r>
        <w:separator/>
      </w:r>
    </w:p>
  </w:footnote>
  <w:footnote w:type="continuationSeparator" w:id="0">
    <w:p w14:paraId="1FF133C2" w14:textId="77777777" w:rsidR="00196E38" w:rsidRDefault="00196E38">
      <w:r>
        <w:continuationSeparator/>
      </w:r>
    </w:p>
  </w:footnote>
  <w:footnote w:id="1">
    <w:p w14:paraId="66E34121" w14:textId="77777777" w:rsidR="009B3D01" w:rsidRDefault="009B3D01" w:rsidP="009B3D01">
      <w:pPr>
        <w:pStyle w:val="FootnoteText"/>
      </w:pPr>
      <w:r>
        <w:rPr>
          <w:rStyle w:val="FootnoteReference"/>
        </w:rPr>
        <w:footnoteRef/>
      </w:r>
      <w:r>
        <w:t xml:space="preserve"> Until the detainee turns 18, the Chief Executive must continue to plan to accept the detainee into a youth detention centre as soon as reasonably practicable under the prioritising arrangements set out in s.56 or s.210, with no regard to the effect of s.276A (s.56(4A); s.210(4A)).</w:t>
      </w:r>
    </w:p>
  </w:footnote>
  <w:footnote w:id="2">
    <w:p w14:paraId="3A9B5651" w14:textId="77777777" w:rsidR="00AC6AA8" w:rsidRDefault="00AC6AA8" w:rsidP="00AC6AA8">
      <w:pPr>
        <w:pStyle w:val="FootnoteText"/>
      </w:pPr>
      <w:r>
        <w:rPr>
          <w:rStyle w:val="FootnoteReference"/>
        </w:rPr>
        <w:footnoteRef/>
      </w:r>
      <w:r>
        <w:t xml:space="preserve"> </w:t>
      </w:r>
      <w:r w:rsidRPr="00822B6A">
        <w:t xml:space="preserve">Except if a notice had been given or </w:t>
      </w:r>
      <w:r>
        <w:t>certain</w:t>
      </w:r>
      <w:r w:rsidRPr="00822B6A">
        <w:t xml:space="preserve"> application</w:t>
      </w:r>
      <w:r>
        <w:t>s</w:t>
      </w:r>
      <w:r w:rsidRPr="00822B6A">
        <w:t xml:space="preserve"> made prior to commencement under former </w:t>
      </w:r>
      <w:hyperlink r:id="rId1" w:anchor="pt.8-div.2A" w:history="1">
        <w:r w:rsidRPr="002D2946">
          <w:rPr>
            <w:rStyle w:val="Hyperlink"/>
          </w:rPr>
          <w:t>part 8, division 2A</w:t>
        </w:r>
      </w:hyperlink>
      <w:r w:rsidRPr="00822B6A">
        <w:t>. See ‘Other transitional arrangements’ below</w:t>
      </w:r>
      <w:r>
        <w:t>.</w:t>
      </w:r>
    </w:p>
  </w:footnote>
  <w:footnote w:id="3">
    <w:p w14:paraId="257CFC2F" w14:textId="77777777" w:rsidR="009B3D01" w:rsidRDefault="009B3D01" w:rsidP="009B3D01">
      <w:pPr>
        <w:pStyle w:val="FootnoteText"/>
      </w:pPr>
      <w:r>
        <w:rPr>
          <w:rStyle w:val="FootnoteReference"/>
        </w:rPr>
        <w:footnoteRef/>
      </w:r>
      <w:r>
        <w:t xml:space="preserve"> See note </w:t>
      </w:r>
      <w:proofErr w:type="gramStart"/>
      <w:r>
        <w:t>2</w:t>
      </w:r>
      <w:proofErr w:type="gramEnd"/>
    </w:p>
  </w:footnote>
  <w:footnote w:id="4">
    <w:p w14:paraId="46E34EE5" w14:textId="77777777" w:rsidR="009B3D01" w:rsidRDefault="009B3D01" w:rsidP="009B3D01">
      <w:pPr>
        <w:pStyle w:val="FootnoteText"/>
      </w:pPr>
      <w:r>
        <w:rPr>
          <w:rStyle w:val="FootnoteReference"/>
        </w:rPr>
        <w:footnoteRef/>
      </w:r>
      <w:r>
        <w:t xml:space="preserve"> See note 2</w:t>
      </w:r>
      <w:r w:rsidRPr="00822B6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58CCC2CD">
          <wp:simplePos x="0" y="0"/>
          <wp:positionH relativeFrom="column">
            <wp:posOffset>-736132</wp:posOffset>
          </wp:positionH>
          <wp:positionV relativeFrom="paragraph">
            <wp:posOffset>-450215</wp:posOffset>
          </wp:positionV>
          <wp:extent cx="7599599" cy="10749756"/>
          <wp:effectExtent l="0" t="0" r="1905" b="0"/>
          <wp:wrapNone/>
          <wp:docPr id="1832701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599"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669DA010">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_x0000_s1027" type="#_x0000_t202" style="position:absolute;margin-left:-56.7pt;margin-top:-10.05pt;width:595.25pt;height:2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1832701898" name="Picture 183270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F55C3"/>
    <w:multiLevelType w:val="hybridMultilevel"/>
    <w:tmpl w:val="CBF03E2E"/>
    <w:lvl w:ilvl="0" w:tplc="0F8A5F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D74DCC"/>
    <w:multiLevelType w:val="hybridMultilevel"/>
    <w:tmpl w:val="698E0BD8"/>
    <w:lvl w:ilvl="0" w:tplc="F38CE36C">
      <w:numFmt w:val="bullet"/>
      <w:lvlText w:val=""/>
      <w:lvlJc w:val="left"/>
      <w:pPr>
        <w:ind w:left="927" w:hanging="360"/>
      </w:pPr>
      <w:rPr>
        <w:rFonts w:ascii="Symbol" w:eastAsiaTheme="minorHAnsi" w:hAnsi="Symbol"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1474565464">
    <w:abstractNumId w:val="11"/>
  </w:num>
  <w:num w:numId="12" w16cid:durableId="7236021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0110"/>
    <w:rsid w:val="000610EA"/>
    <w:rsid w:val="00061396"/>
    <w:rsid w:val="00062951"/>
    <w:rsid w:val="00063F4D"/>
    <w:rsid w:val="000654DB"/>
    <w:rsid w:val="00065B95"/>
    <w:rsid w:val="00070336"/>
    <w:rsid w:val="000708C2"/>
    <w:rsid w:val="0007559F"/>
    <w:rsid w:val="0007574E"/>
    <w:rsid w:val="00077D38"/>
    <w:rsid w:val="000829FC"/>
    <w:rsid w:val="000848F6"/>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96E38"/>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38D"/>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69A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4C9C"/>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959"/>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7DA"/>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D01"/>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42B6"/>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59E"/>
    <w:rsid w:val="00AB6833"/>
    <w:rsid w:val="00AB7915"/>
    <w:rsid w:val="00AC3433"/>
    <w:rsid w:val="00AC676F"/>
    <w:rsid w:val="00AC6AA8"/>
    <w:rsid w:val="00AC6E7D"/>
    <w:rsid w:val="00AD0599"/>
    <w:rsid w:val="00AD071F"/>
    <w:rsid w:val="00AD16DB"/>
    <w:rsid w:val="00AD2EC4"/>
    <w:rsid w:val="00AD57FB"/>
    <w:rsid w:val="00AD6214"/>
    <w:rsid w:val="00AD6F72"/>
    <w:rsid w:val="00AE03C9"/>
    <w:rsid w:val="00AE338B"/>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498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2F01"/>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153"/>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paragraph" w:styleId="ListParagraph">
    <w:name w:val="List Paragraph"/>
    <w:basedOn w:val="Normal"/>
    <w:uiPriority w:val="34"/>
    <w:qFormat/>
    <w:rsid w:val="00AC6AA8"/>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paragraph" w:styleId="FootnoteText">
    <w:name w:val="footnote text"/>
    <w:basedOn w:val="Normal"/>
    <w:link w:val="FootnoteTextChar"/>
    <w:uiPriority w:val="99"/>
    <w:unhideWhenUsed/>
    <w:rsid w:val="00AC6AA8"/>
    <w:pPr>
      <w:spacing w:after="0"/>
    </w:pPr>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AC6AA8"/>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unhideWhenUsed/>
    <w:rsid w:val="00AC6AA8"/>
    <w:rPr>
      <w:vertAlign w:val="superscript"/>
    </w:rPr>
  </w:style>
  <w:style w:type="character" w:styleId="Hyperlink">
    <w:name w:val="Hyperlink"/>
    <w:basedOn w:val="DefaultParagraphFont"/>
    <w:uiPriority w:val="99"/>
    <w:unhideWhenUsed/>
    <w:rsid w:val="00AC6AA8"/>
    <w:rPr>
      <w:color w:val="0563C1" w:themeColor="hyperlink"/>
      <w:u w:val="single"/>
    </w:rPr>
  </w:style>
  <w:style w:type="paragraph" w:styleId="Revision">
    <w:name w:val="Revision"/>
    <w:hidden/>
    <w:uiPriority w:val="71"/>
    <w:rsid w:val="00AC6AA8"/>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qld.gov.au/view/html/inforce/current/act-2006-029" TargetMode="External"/><Relationship Id="rId18" Type="http://schemas.openxmlformats.org/officeDocument/2006/relationships/hyperlink" Target="https://www.legislation.qld.gov.au/view/html/inforce/2024-09-19/act-1992-04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qld.gov.au/view/html/inforce/2024-09-19/act-1992-04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qld.gov.au/view/html/inforce/2024-09-19/act-1992-04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egislation.qld.gov.au/view/html/inforce/current/act-2006-029" TargetMode="External"/><Relationship Id="rId20" Type="http://schemas.openxmlformats.org/officeDocument/2006/relationships/hyperlink" Target="https://www.legislation.qld.gov.au/view/html/inforce/2024-09-19/act-1992-0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islation.qld.gov.au/view/html/inforce/2024-09-19/act-1992-044" TargetMode="External"/><Relationship Id="rId5" Type="http://schemas.openxmlformats.org/officeDocument/2006/relationships/numbering" Target="numbering.xml"/><Relationship Id="rId15" Type="http://schemas.openxmlformats.org/officeDocument/2006/relationships/hyperlink" Target="https://www.legislation.qld.gov.au/view/html/inforce/current/act-1992-044" TargetMode="External"/><Relationship Id="rId23" Type="http://schemas.openxmlformats.org/officeDocument/2006/relationships/hyperlink" Target="https://www.legislation.qld.gov.au/view/html/inforce/2024-09-19/act-1992-04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qld.gov.au/view/html/inforce/2024-09-19/act-1992-0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qld.gov.au/view/html/asmade/act-2024-054" TargetMode="External"/><Relationship Id="rId22" Type="http://schemas.openxmlformats.org/officeDocument/2006/relationships/hyperlink" Target="https://www.legislation.qld.gov.au/view/html/inforce/2024-09-19/act-1992-044"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qld.gov.au/view/html/inforce/2024-09-19/act-1992-0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CB38D5B1813CDB4E8402D37098013292" ma:contentTypeVersion="10" ma:contentTypeDescription="Create a new Standard document." ma:contentTypeScope="" ma:versionID="881fd66cf14b4d79131617f4fa37225b">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45734b7-3c4a-4003-87e0-54aa8a21508e" ContentTypeId="0x010100B152FE0A27636C4F8C85B65586C31A9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7fcd359-19c8-40e3-b19f-91106bd6c442">
      <Value>2</Value>
      <Value>1</Value>
    </TaxCatchAll>
    <DocumentStatus xmlns="b7fcd359-19c8-40e3-b19f-91106bd6c442">Draft</DocumentStatus>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Props1.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2.xml><?xml version="1.0" encoding="utf-8"?>
<ds:datastoreItem xmlns:ds="http://schemas.openxmlformats.org/officeDocument/2006/customXml" ds:itemID="{5B1CF1C9-A88B-43A9-9CA4-F8944EFEA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cd359-19c8-40e3-b19f-91106bd6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F2895-BF43-4E3C-8F25-A3CBF8510A51}">
  <ds:schemaRefs>
    <ds:schemaRef ds:uri="Microsoft.SharePoint.Taxonomy.ContentTypeSync"/>
  </ds:schemaRefs>
</ds:datastoreItem>
</file>

<file path=customXml/itemProps4.xml><?xml version="1.0" encoding="utf-8"?>
<ds:datastoreItem xmlns:ds="http://schemas.openxmlformats.org/officeDocument/2006/customXml" ds:itemID="{3E7E02C5-FF20-483F-945A-D4C9A257AC0B}">
  <ds:schemaRefs>
    <ds:schemaRef ds:uri="http://schemas.microsoft.com/office/2006/metadata/properties"/>
    <ds:schemaRef ds:uri="http://schemas.microsoft.com/office/infopath/2007/PartnerControls"/>
    <ds:schemaRef ds:uri="b7fcd359-19c8-40e3-b19f-91106bd6c442"/>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Custody of persons aged 18 or over fact sheet for lawyers</vt:lpstr>
    </vt:vector>
  </TitlesOfParts>
  <Manager>Department of Communities, Child Safety and Disability Services</Manager>
  <Company>Queensland Government</Company>
  <LinksUpToDate>false</LinksUpToDate>
  <CharactersWithSpaces>9637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Custody of persons aged 18 or over fact sheet for lawyers</dc:title>
  <dc:subject>Template</dc:subject>
  <dc:creator>Queensland Government</dc:creator>
  <cp:keywords>fact sheet; Making Queensland Safer Laws</cp:keywords>
  <cp:lastModifiedBy>Karen Ashton</cp:lastModifiedBy>
  <cp:revision>2</cp:revision>
  <dcterms:created xsi:type="dcterms:W3CDTF">2024-12-24T01:47:00Z</dcterms:created>
  <dcterms:modified xsi:type="dcterms:W3CDTF">2024-12-24T01:47:00Z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0x010100B152FE0A27636C4F8C85B65586C31A9400CB38D5B1813CDB4E8402D37098013292</vt:lpwstr>
  </property>
  <property fmtid="{D5CDD505-2E9C-101B-9397-08002B2CF9AE}" pid="3" name="_dlc_DocIdItemGuid">
    <vt:lpwstr>f8583f6e-bac2-429c-a1a1-ecdc2cbcb197</vt:lpwstr>
  </property>
  <property fmtid="{D5CDD505-2E9C-101B-9397-08002B2CF9AE}" pid="4" name="MediaServiceImageTags">
    <vt:lpwstr/>
  </property>
</Properties>
</file>